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8C7A0"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</w:rPr>
        <w:t>杭州市</w:t>
      </w:r>
      <w:r>
        <w:rPr>
          <w:rFonts w:hint="eastAsia"/>
          <w:b/>
          <w:bCs/>
          <w:sz w:val="28"/>
          <w:szCs w:val="36"/>
          <w:lang w:val="en-US" w:eastAsia="zh-CN"/>
        </w:rPr>
        <w:t>萧山区第一人民</w:t>
      </w:r>
      <w:r>
        <w:rPr>
          <w:rFonts w:hint="eastAsia"/>
          <w:b/>
          <w:bCs/>
          <w:sz w:val="28"/>
          <w:szCs w:val="36"/>
        </w:rPr>
        <w:t>医院生化试剂耗材项目</w:t>
      </w:r>
      <w:r>
        <w:rPr>
          <w:rFonts w:hint="eastAsia"/>
          <w:b/>
          <w:bCs/>
          <w:sz w:val="28"/>
          <w:szCs w:val="36"/>
          <w:lang w:val="en-US" w:eastAsia="zh-CN"/>
        </w:rPr>
        <w:t>遴选</w:t>
      </w:r>
    </w:p>
    <w:p w14:paraId="26B8E0DD">
      <w:pPr>
        <w:spacing w:line="360" w:lineRule="auto"/>
        <w:rPr>
          <w:rFonts w:hint="eastAsia" w:ascii="宋体" w:hAnsi="宋体" w:cs="宋体" w:eastAsiaTheme="minorEastAsia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</w:rPr>
        <w:t>1、项目内容：</w:t>
      </w:r>
      <w:r>
        <w:rPr>
          <w:rFonts w:hint="eastAsia"/>
          <w:color w:val="000000"/>
          <w:sz w:val="24"/>
        </w:rPr>
        <w:t>杭州市</w:t>
      </w:r>
      <w:r>
        <w:rPr>
          <w:rFonts w:hint="eastAsia"/>
          <w:color w:val="000000"/>
          <w:sz w:val="24"/>
          <w:lang w:val="en-US" w:eastAsia="zh-CN"/>
        </w:rPr>
        <w:t>萧山区第一人民</w:t>
      </w:r>
      <w:r>
        <w:rPr>
          <w:rFonts w:hint="eastAsia"/>
          <w:color w:val="000000"/>
          <w:sz w:val="24"/>
        </w:rPr>
        <w:t>医院</w:t>
      </w:r>
      <w:r>
        <w:rPr>
          <w:rFonts w:hint="eastAsia" w:ascii="宋体" w:hAnsi="宋体" w:cs="宋体"/>
          <w:color w:val="000000"/>
          <w:sz w:val="24"/>
        </w:rPr>
        <w:t>生化试剂耗材。具体项目详见《项目清单》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；</w:t>
      </w:r>
    </w:p>
    <w:p w14:paraId="3FAAB807">
      <w:pPr>
        <w:spacing w:line="360" w:lineRule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2、《项目清单》中的项目应能在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指定生化仪器上</w:t>
      </w:r>
      <w:r>
        <w:rPr>
          <w:rFonts w:hint="eastAsia" w:ascii="宋体" w:hAnsi="宋体" w:cs="宋体"/>
          <w:color w:val="000000"/>
          <w:sz w:val="24"/>
        </w:rPr>
        <w:t>完成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；</w:t>
      </w:r>
      <w:r>
        <w:rPr>
          <w:rFonts w:hint="eastAsia" w:ascii="宋体" w:hAnsi="宋体" w:cs="宋体"/>
          <w:color w:val="000000"/>
          <w:sz w:val="24"/>
        </w:rPr>
        <w:t>能提供全部试剂及配套的校准品</w:t>
      </w:r>
      <w:r>
        <w:rPr>
          <w:rFonts w:hint="eastAsia" w:ascii="宋体" w:hAnsi="宋体" w:cs="宋体"/>
          <w:color w:val="000000"/>
          <w:sz w:val="24"/>
          <w:lang w:eastAsia="zh-CN"/>
        </w:rPr>
        <w:t>；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免费提供满足科室生化室内质控要求的质控品。</w:t>
      </w:r>
    </w:p>
    <w:p w14:paraId="7E2B7A94">
      <w:pPr>
        <w:spacing w:line="360" w:lineRule="auto"/>
        <w:rPr>
          <w:rFonts w:hint="default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</w:rPr>
        <w:t>3、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有室间质评的项目分组数以卫健委临检中心2024年最近一次能力验证报告为准，最低要求详见</w:t>
      </w:r>
      <w:r>
        <w:rPr>
          <w:rFonts w:hint="eastAsia" w:ascii="宋体" w:hAnsi="宋体" w:cs="宋体"/>
          <w:color w:val="000000"/>
          <w:sz w:val="24"/>
        </w:rPr>
        <w:t>《项目清单》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表；</w:t>
      </w:r>
    </w:p>
    <w:p w14:paraId="748B9632">
      <w:pPr>
        <w:spacing w:line="360" w:lineRule="auto"/>
        <w:rPr>
          <w:rFonts w:hint="default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4、生化仪校准年度费用,由各标段按结算比例承担；</w:t>
      </w:r>
    </w:p>
    <w:p w14:paraId="6F033920">
      <w:pPr>
        <w:spacing w:line="360" w:lineRule="auto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</w:rPr>
        <w:t>、《项目清单》按照以下划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分的标段</w:t>
      </w:r>
      <w:r>
        <w:rPr>
          <w:rFonts w:hint="eastAsia" w:ascii="宋体" w:hAnsi="宋体" w:cs="宋体"/>
          <w:color w:val="000000"/>
          <w:sz w:val="24"/>
        </w:rPr>
        <w:t>各入选一家，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要求每标段使用同一品牌试剂，</w:t>
      </w:r>
      <w:r>
        <w:rPr>
          <w:rFonts w:hint="eastAsia" w:ascii="宋体" w:hAnsi="宋体" w:cs="宋体"/>
          <w:color w:val="000000"/>
          <w:sz w:val="24"/>
        </w:rPr>
        <w:t>允许各品牌及供应商</w:t>
      </w:r>
      <w:r>
        <w:rPr>
          <w:rFonts w:hint="eastAsia" w:ascii="宋体" w:hAnsi="宋体" w:cs="宋体"/>
          <w:color w:val="000000"/>
          <w:sz w:val="24"/>
          <w:lang w:eastAsia="zh-CN"/>
        </w:rPr>
        <w:t>可重复</w:t>
      </w:r>
      <w:r>
        <w:rPr>
          <w:rFonts w:hint="eastAsia" w:ascii="宋体" w:hAnsi="宋体" w:cs="宋体"/>
          <w:color w:val="000000"/>
          <w:sz w:val="24"/>
        </w:rPr>
        <w:t>中标，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以最高得分中标，并要求能满足科室性能验证要求；</w:t>
      </w:r>
    </w:p>
    <w:p w14:paraId="70F27143">
      <w:pPr>
        <w:spacing w:line="360" w:lineRule="auto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6、试剂交货周期；中标方接到采购人的订单通知后，应在1周内将相应试剂及耗材按医院要求的数量及时送达医院指定的地点。到货试剂、耗材剩余有效期为半年以上、每年批号更换须小于4批次。已到货产品临近效期，可由中标方进行更换。</w:t>
      </w:r>
    </w:p>
    <w:p w14:paraId="6150AA6C">
      <w:pPr>
        <w:spacing w:line="360" w:lineRule="auto"/>
        <w:rPr>
          <w:rFonts w:hint="default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7、试剂验收：采购人</w:t>
      </w:r>
      <w:r>
        <w:rPr>
          <w:rFonts w:hint="eastAsia" w:ascii="宋体" w:hAnsi="宋体"/>
          <w:color w:val="000000"/>
          <w:sz w:val="24"/>
          <w:highlight w:val="none"/>
        </w:rPr>
        <w:t>对货物的外包装完好性、数量、规格、厂家、生产批号、有效期等信息进行核对无误后进行入库验收。若验收不合格，供应商必须更换货物，并且赔偿由此给采购人造成的损失；入库记录为入库验收的唯一有效凭证，入库验收时间以入库记录时间为准。</w:t>
      </w:r>
    </w:p>
    <w:p w14:paraId="70287BE8">
      <w:pPr>
        <w:spacing w:line="360" w:lineRule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8、</w:t>
      </w:r>
      <w:r>
        <w:rPr>
          <w:rFonts w:hint="eastAsia" w:ascii="宋体" w:hAnsi="宋体" w:cs="宋体"/>
          <w:color w:val="000000"/>
          <w:sz w:val="24"/>
        </w:rPr>
        <w:t>服务期一年，如一年期满后</w:t>
      </w:r>
      <w:r>
        <w:rPr>
          <w:rFonts w:hint="eastAsia" w:ascii="宋体" w:hAnsi="宋体" w:cs="宋体"/>
          <w:color w:val="000000"/>
          <w:sz w:val="24"/>
          <w:lang w:eastAsia="zh-CN"/>
        </w:rPr>
        <w:t>，经</w:t>
      </w:r>
      <w:r>
        <w:rPr>
          <w:rFonts w:ascii="宋体" w:hAnsi="宋体" w:eastAsia="宋体" w:cs="宋体"/>
          <w:color w:val="000000"/>
          <w:sz w:val="24"/>
          <w:szCs w:val="24"/>
          <w:highlight w:val="none"/>
        </w:rPr>
        <w:t>履约考核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通过后</w:t>
      </w:r>
      <w:r>
        <w:rPr>
          <w:rFonts w:ascii="宋体" w:hAnsi="宋体" w:eastAsia="宋体" w:cs="宋体"/>
          <w:color w:val="000000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采购人</w:t>
      </w:r>
      <w:r>
        <w:rPr>
          <w:rFonts w:ascii="宋体" w:hAnsi="宋体" w:eastAsia="宋体" w:cs="宋体"/>
          <w:color w:val="000000"/>
          <w:sz w:val="24"/>
          <w:szCs w:val="24"/>
          <w:highlight w:val="none"/>
        </w:rPr>
        <w:t>将结合政策、市场等实际情况</w:t>
      </w:r>
      <w:r>
        <w:rPr>
          <w:rFonts w:hint="eastAsia" w:ascii="宋体" w:hAnsi="宋体" w:cs="宋体"/>
          <w:color w:val="000000"/>
          <w:sz w:val="24"/>
          <w:lang w:eastAsia="zh-CN"/>
        </w:rPr>
        <w:t>，续签合同，合同一年一签，最多可续签二年</w:t>
      </w:r>
      <w:r>
        <w:rPr>
          <w:rFonts w:hint="eastAsia" w:ascii="宋体" w:hAnsi="宋体" w:cs="宋体"/>
          <w:color w:val="000000"/>
          <w:sz w:val="24"/>
        </w:rPr>
        <w:t>。</w:t>
      </w:r>
    </w:p>
    <w:p w14:paraId="6D62CA7B">
      <w:pPr>
        <w:spacing w:line="360" w:lineRule="auto"/>
        <w:rPr>
          <w:rFonts w:hint="eastAsia" w:ascii="宋体" w:hAnsi="宋体" w:cs="宋体"/>
          <w:color w:val="000000"/>
          <w:sz w:val="24"/>
        </w:rPr>
      </w:pPr>
    </w:p>
    <w:p w14:paraId="3F3B6C92">
      <w:pPr>
        <w:spacing w:line="360" w:lineRule="auto"/>
        <w:rPr>
          <w:rFonts w:hint="eastAsia" w:ascii="宋体" w:hAnsi="宋体" w:cs="宋体"/>
          <w:color w:val="000000"/>
          <w:sz w:val="24"/>
          <w:lang w:val="zh-CN"/>
        </w:rPr>
      </w:pPr>
      <w:r>
        <w:rPr>
          <w:rFonts w:hint="eastAsia" w:ascii="宋体" w:hAnsi="宋体" w:cs="宋体"/>
          <w:color w:val="000000"/>
          <w:sz w:val="24"/>
          <w:lang w:val="zh-CN"/>
        </w:rPr>
        <w:t>报名事宜</w:t>
      </w:r>
      <w:r>
        <w:rPr>
          <w:rFonts w:hint="eastAsia" w:ascii="宋体" w:hAnsi="宋体" w:cs="宋体"/>
          <w:color w:val="000000"/>
          <w:sz w:val="24"/>
          <w:lang w:val="zh-CN" w:eastAsia="zh-CN"/>
        </w:rPr>
        <w:t>：</w:t>
      </w:r>
    </w:p>
    <w:p w14:paraId="1EB39001">
      <w:pPr>
        <w:spacing w:line="360" w:lineRule="auto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zh-CN"/>
        </w:rPr>
        <w:t>报名截止时间：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2025年4月30日17:00</w:t>
      </w:r>
    </w:p>
    <w:p w14:paraId="5F2AC666">
      <w:pPr>
        <w:spacing w:line="360" w:lineRule="auto"/>
        <w:rPr>
          <w:rFonts w:hint="default" w:ascii="宋体" w:hAnsi="宋体" w:cs="宋体" w:eastAsiaTheme="minorEastAsia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zh-CN"/>
        </w:rPr>
        <w:t>报名地址：杭州市萧山区第一人民医院设备科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106</w:t>
      </w:r>
    </w:p>
    <w:p w14:paraId="3FDB44D1">
      <w:pPr>
        <w:spacing w:line="360" w:lineRule="auto"/>
        <w:rPr>
          <w:rFonts w:hint="eastAsia" w:ascii="宋体" w:hAnsi="宋体" w:cs="宋体"/>
          <w:color w:val="000000"/>
          <w:sz w:val="24"/>
          <w:lang w:val="zh-CN"/>
        </w:rPr>
      </w:pPr>
      <w:r>
        <w:rPr>
          <w:rFonts w:hint="eastAsia" w:ascii="宋体" w:hAnsi="宋体" w:cs="宋体"/>
          <w:color w:val="000000"/>
          <w:sz w:val="24"/>
          <w:lang w:val="zh-CN"/>
        </w:rPr>
        <w:t>投标文件以密封的形式递交给医院</w:t>
      </w:r>
    </w:p>
    <w:p w14:paraId="6694E418">
      <w:pPr>
        <w:spacing w:line="360" w:lineRule="auto"/>
        <w:rPr>
          <w:rFonts w:hint="eastAsia" w:ascii="宋体" w:hAnsi="宋体" w:cs="宋体"/>
          <w:color w:val="000000"/>
          <w:sz w:val="24"/>
        </w:rPr>
      </w:pPr>
    </w:p>
    <w:p w14:paraId="451F6DE6">
      <w:pPr>
        <w:pStyle w:val="2"/>
        <w:rPr>
          <w:rFonts w:hint="eastAsia"/>
          <w:lang w:val="en-US" w:eastAsia="zh-CN"/>
        </w:rPr>
      </w:pPr>
    </w:p>
    <w:p w14:paraId="5571CB7E">
      <w:pPr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>附：</w:t>
      </w:r>
      <w:r>
        <w:rPr>
          <w:rFonts w:hint="eastAsia" w:ascii="宋体" w:hAnsi="宋体" w:cs="宋体"/>
          <w:b/>
          <w:bCs/>
          <w:color w:val="000000"/>
          <w:sz w:val="24"/>
        </w:rPr>
        <w:t>《项目清单》</w:t>
      </w:r>
    </w:p>
    <w:p w14:paraId="302E9245">
      <w:pPr>
        <w:rPr>
          <w:sz w:val="21"/>
          <w:szCs w:val="21"/>
        </w:rPr>
      </w:pPr>
    </w:p>
    <w:tbl>
      <w:tblPr>
        <w:tblStyle w:val="12"/>
        <w:tblW w:w="90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2376"/>
        <w:gridCol w:w="1590"/>
        <w:gridCol w:w="920"/>
        <w:gridCol w:w="1012"/>
        <w:gridCol w:w="1740"/>
        <w:gridCol w:w="976"/>
      </w:tblGrid>
      <w:tr w14:paraId="161F7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12EDE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C90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标段</w:t>
            </w: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3</w:t>
            </w:r>
            <w:r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 其它血液病相关生化项目</w:t>
            </w:r>
          </w:p>
        </w:tc>
      </w:tr>
      <w:tr w14:paraId="742A1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634B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4E66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缩写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7A6432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4547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收费参考单价（元）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6909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2024年卫健委室间质评分组（家数）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6839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177B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铁蛋白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F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FER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（家数）大于12为有分组</w:t>
            </w:r>
          </w:p>
        </w:tc>
      </w:tr>
      <w:tr w14:paraId="549E5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8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转铁蛋白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TRF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F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D8B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触珠蛋白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待开展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B58C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轻链KAPPA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1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K-LC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待开展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9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1FAD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轻链LAMBDA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E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λ-LC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待开展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E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4843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血清淀粉样蛋白A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SAA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6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73000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647B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25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可溶性转铁蛋白受体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33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STFR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AB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6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无要求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BBDC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BAE94">
            <w:pPr>
              <w:jc w:val="center"/>
              <w:rPr>
                <w:rFonts w:hint="default" w:ascii="明朝" w:hAnsi="明朝" w:eastAsia="明朝" w:cs="明朝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F59DA">
            <w:pPr>
              <w:keepNext w:val="0"/>
              <w:keepLines w:val="0"/>
              <w:widowControl/>
              <w:suppressLineNumbers w:val="0"/>
              <w:tabs>
                <w:tab w:val="left" w:pos="27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0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4D1C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1D8A040D">
      <w:pPr>
        <w:rPr>
          <w:b/>
          <w:bCs/>
          <w:color w:val="000000"/>
          <w:szCs w:val="21"/>
          <w:highlight w:val="none"/>
        </w:rPr>
      </w:pPr>
      <w:bookmarkStart w:id="0" w:name="_Toc345320402"/>
    </w:p>
    <w:p w14:paraId="1C517336">
      <w:pPr>
        <w:adjustRightInd w:val="0"/>
        <w:snapToGrid w:val="0"/>
        <w:spacing w:line="360" w:lineRule="auto"/>
        <w:rPr>
          <w:b/>
          <w:bCs/>
          <w:color w:val="000000"/>
          <w:highlight w:val="none"/>
        </w:rPr>
      </w:pPr>
      <w:r>
        <w:rPr>
          <w:rFonts w:hint="eastAsia"/>
          <w:lang w:eastAsia="zh-CN"/>
        </w:rPr>
        <w:t>二、</w:t>
      </w:r>
      <w:r>
        <w:rPr>
          <w:b/>
          <w:bCs/>
          <w:color w:val="000000"/>
          <w:highlight w:val="none"/>
        </w:rPr>
        <w:t>评标细则</w:t>
      </w:r>
    </w:p>
    <w:p w14:paraId="380FDAC1">
      <w:pPr>
        <w:pStyle w:val="8"/>
        <w:adjustRightInd w:val="0"/>
        <w:snapToGrid w:val="0"/>
        <w:spacing w:line="360" w:lineRule="auto"/>
        <w:ind w:firstLine="420" w:firstLineChars="200"/>
        <w:rPr>
          <w:rFonts w:ascii="Times New Roman"/>
          <w:color w:val="000000"/>
          <w:sz w:val="21"/>
          <w:szCs w:val="21"/>
          <w:highlight w:val="none"/>
        </w:rPr>
      </w:pPr>
      <w:r>
        <w:rPr>
          <w:rFonts w:ascii="Times New Roman"/>
          <w:color w:val="000000"/>
          <w:sz w:val="21"/>
          <w:szCs w:val="21"/>
          <w:highlight w:val="none"/>
        </w:rPr>
        <w:t>1.</w:t>
      </w:r>
      <w:r>
        <w:rPr>
          <w:rFonts w:hint="eastAsia" w:hAnsi="宋体" w:cs="宋体"/>
          <w:color w:val="000000"/>
          <w:sz w:val="21"/>
          <w:szCs w:val="21"/>
          <w:highlight w:val="none"/>
        </w:rPr>
        <w:t>本项目采用综合评分法（总分</w:t>
      </w:r>
      <w:r>
        <w:rPr>
          <w:rFonts w:ascii="Times New Roman"/>
          <w:color w:val="000000"/>
          <w:sz w:val="21"/>
          <w:szCs w:val="21"/>
          <w:highlight w:val="none"/>
        </w:rPr>
        <w:t>100</w:t>
      </w:r>
      <w:r>
        <w:rPr>
          <w:rFonts w:hint="eastAsia" w:hAnsi="宋体" w:cs="宋体"/>
          <w:color w:val="000000"/>
          <w:sz w:val="21"/>
          <w:szCs w:val="21"/>
          <w:highlight w:val="none"/>
        </w:rPr>
        <w:t>分），评标委员会根据本评审办法进行评审，对各投标人的价格、商务、技术等评分因素在分值范围内进行各自打分。每个投标人最终得分</w:t>
      </w:r>
      <w:r>
        <w:rPr>
          <w:rFonts w:ascii="Times New Roman"/>
          <w:color w:val="000000"/>
          <w:sz w:val="21"/>
          <w:szCs w:val="21"/>
          <w:highlight w:val="none"/>
        </w:rPr>
        <w:t>=</w:t>
      </w:r>
      <w:r>
        <w:rPr>
          <w:rFonts w:hint="eastAsia" w:hAnsi="宋体" w:cs="宋体"/>
          <w:color w:val="000000"/>
          <w:sz w:val="21"/>
          <w:szCs w:val="21"/>
          <w:highlight w:val="none"/>
        </w:rPr>
        <w:t>价格分</w:t>
      </w:r>
      <w:r>
        <w:rPr>
          <w:rFonts w:ascii="Times New Roman"/>
          <w:color w:val="000000"/>
          <w:sz w:val="21"/>
          <w:szCs w:val="21"/>
          <w:highlight w:val="none"/>
        </w:rPr>
        <w:t>+</w:t>
      </w:r>
      <w:r>
        <w:rPr>
          <w:rFonts w:hint="eastAsia" w:hAnsi="宋体" w:cs="宋体"/>
          <w:color w:val="000000"/>
          <w:sz w:val="21"/>
          <w:szCs w:val="21"/>
          <w:highlight w:val="none"/>
        </w:rPr>
        <w:t>商务技术分。</w:t>
      </w:r>
    </w:p>
    <w:p w14:paraId="4AB50947">
      <w:pPr>
        <w:pStyle w:val="8"/>
        <w:adjustRightInd w:val="0"/>
        <w:snapToGrid w:val="0"/>
        <w:spacing w:line="360" w:lineRule="auto"/>
        <w:ind w:firstLine="420" w:firstLineChars="200"/>
        <w:rPr>
          <w:rFonts w:ascii="Times New Roman"/>
          <w:color w:val="000000"/>
          <w:sz w:val="21"/>
          <w:szCs w:val="21"/>
          <w:highlight w:val="none"/>
        </w:rPr>
      </w:pPr>
      <w:r>
        <w:rPr>
          <w:rFonts w:ascii="Times New Roman"/>
          <w:color w:val="000000"/>
          <w:sz w:val="21"/>
          <w:szCs w:val="21"/>
          <w:highlight w:val="none"/>
        </w:rPr>
        <w:t>2.</w:t>
      </w:r>
      <w:r>
        <w:rPr>
          <w:rFonts w:hint="eastAsia" w:hAnsi="宋体" w:cs="宋体"/>
          <w:color w:val="000000"/>
          <w:sz w:val="21"/>
          <w:szCs w:val="21"/>
          <w:highlight w:val="none"/>
        </w:rPr>
        <w:t>评审时，评标委员会各成员应当独立对每个有效响应的文件进行评价、打分，然后汇总每个投标人每项评分因素的得分。</w:t>
      </w:r>
    </w:p>
    <w:p w14:paraId="3F3A13D9">
      <w:pPr>
        <w:pStyle w:val="8"/>
        <w:adjustRightInd w:val="0"/>
        <w:snapToGrid w:val="0"/>
        <w:spacing w:line="360" w:lineRule="auto"/>
        <w:ind w:firstLine="420" w:firstLineChars="200"/>
        <w:rPr>
          <w:rFonts w:ascii="Times New Roman"/>
          <w:color w:val="000000"/>
          <w:sz w:val="21"/>
          <w:szCs w:val="21"/>
          <w:highlight w:val="none"/>
        </w:rPr>
      </w:pPr>
      <w:r>
        <w:rPr>
          <w:rFonts w:ascii="Times New Roman"/>
          <w:color w:val="000000"/>
          <w:sz w:val="21"/>
          <w:szCs w:val="21"/>
          <w:highlight w:val="none"/>
        </w:rPr>
        <w:t>3.</w:t>
      </w:r>
      <w:r>
        <w:rPr>
          <w:rFonts w:hint="eastAsia" w:hAnsi="宋体" w:cs="宋体"/>
          <w:color w:val="000000"/>
          <w:sz w:val="21"/>
          <w:szCs w:val="21"/>
          <w:highlight w:val="none"/>
        </w:rPr>
        <w:t>对投标人的价格分等客观评分项的评分应当一致，对其他需要借助专业知识评判的主观评分项，应当严格按照评分细则公正评分。</w:t>
      </w:r>
    </w:p>
    <w:p w14:paraId="15AF62D4">
      <w:pPr>
        <w:pStyle w:val="8"/>
        <w:adjustRightInd w:val="0"/>
        <w:snapToGrid w:val="0"/>
        <w:spacing w:line="360" w:lineRule="auto"/>
        <w:ind w:firstLine="420" w:firstLineChars="200"/>
        <w:rPr>
          <w:rFonts w:hint="eastAsia" w:eastAsia="宋体"/>
          <w:lang w:eastAsia="zh-CN"/>
        </w:rPr>
      </w:pPr>
      <w:r>
        <w:rPr>
          <w:rFonts w:ascii="Times New Roman"/>
          <w:color w:val="000000"/>
          <w:sz w:val="21"/>
          <w:szCs w:val="21"/>
          <w:highlight w:val="none"/>
        </w:rPr>
        <w:t>4.</w:t>
      </w:r>
      <w:r>
        <w:rPr>
          <w:rFonts w:hint="eastAsia" w:hAnsi="宋体" w:cs="宋体"/>
          <w:color w:val="000000"/>
          <w:sz w:val="21"/>
          <w:szCs w:val="21"/>
          <w:highlight w:val="none"/>
        </w:rPr>
        <w:t>采用综合评分法的，评标结果按评审后得分由高到低顺序排列。得分相同的，按投标报价由低到高顺序排列。得分且投标报价相同的并列,投标文件满足招标文件全部实质性要求，且按照评审因素的量化指标评审得分最高的投标人为中标候选人。</w:t>
      </w:r>
    </w:p>
    <w:p w14:paraId="27E5955D">
      <w:pPr>
        <w:snapToGrid w:val="0"/>
        <w:spacing w:line="360" w:lineRule="auto"/>
        <w:rPr>
          <w:b/>
          <w:bCs/>
          <w:color w:val="000000"/>
          <w:sz w:val="22"/>
          <w:szCs w:val="22"/>
          <w:highlight w:val="none"/>
        </w:rPr>
      </w:pPr>
    </w:p>
    <w:p w14:paraId="3DE492B7">
      <w:pPr>
        <w:snapToGrid w:val="0"/>
        <w:spacing w:line="360" w:lineRule="auto"/>
        <w:rPr>
          <w:rFonts w:hint="eastAsia" w:ascii="宋体" w:hAnsi="宋体" w:eastAsia="宋体" w:cs="宋体"/>
          <w:sz w:val="20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highlight w:val="none"/>
        </w:rPr>
        <w:t>商务技术分</w:t>
      </w:r>
      <w:bookmarkEnd w:id="0"/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highlight w:val="none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highlight w:val="none"/>
          <w:lang w:val="en-US" w:eastAsia="zh-CN"/>
        </w:rPr>
        <w:t>70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highlight w:val="none"/>
        </w:rPr>
        <w:t>分）</w:t>
      </w:r>
    </w:p>
    <w:p w14:paraId="6B483C9B">
      <w:pPr>
        <w:pStyle w:val="11"/>
        <w:ind w:left="0" w:leftChars="0" w:firstLine="0" w:firstLineChars="0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18"/>
          <w:lang w:val="en-US" w:eastAsia="zh-CN"/>
        </w:rPr>
        <w:t>标段3</w:t>
      </w:r>
    </w:p>
    <w:tbl>
      <w:tblPr>
        <w:tblStyle w:val="12"/>
        <w:tblW w:w="91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5264"/>
        <w:gridCol w:w="990"/>
        <w:gridCol w:w="1432"/>
      </w:tblGrid>
      <w:tr w14:paraId="4F443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CF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评分内容</w:t>
            </w:r>
          </w:p>
        </w:tc>
        <w:tc>
          <w:tcPr>
            <w:tcW w:w="5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19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评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分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说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明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15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DF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主观客观分</w:t>
            </w:r>
          </w:p>
        </w:tc>
      </w:tr>
      <w:tr w14:paraId="021CE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4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75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试剂生产企业资质能力（8分）</w:t>
            </w:r>
          </w:p>
        </w:tc>
        <w:tc>
          <w:tcPr>
            <w:tcW w:w="5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FB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生产企业通过第三方医疗器械质量管理体系认证情况：</w:t>
            </w:r>
          </w:p>
          <w:p w14:paraId="34D23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通过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ISO9001质量管理体系认证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ISO13485国际质量认证。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每少一项扣2分。（请标明具体页码）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51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65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客观分</w:t>
            </w:r>
          </w:p>
        </w:tc>
      </w:tr>
      <w:tr w14:paraId="62391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8E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68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企业主持或参与制定了行业标准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每个/项0.5分，最高得2分。（请标明具体页码）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D1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649DF">
            <w:pPr>
              <w:keepNext w:val="0"/>
              <w:keepLines w:val="0"/>
              <w:pageBreakBefore w:val="0"/>
              <w:widowControl/>
              <w:tabs>
                <w:tab w:val="left" w:pos="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客观分</w:t>
            </w:r>
          </w:p>
        </w:tc>
      </w:tr>
      <w:tr w14:paraId="1FEC5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7F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23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投标试剂生产厂家具备CNAS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ISO 17025检测与校准实验室认可；</w:t>
            </w:r>
          </w:p>
          <w:p w14:paraId="410DC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未经CNAS认可的或未提供证明文件的得0分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（请标明具体页码）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C7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05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客观分</w:t>
            </w:r>
          </w:p>
        </w:tc>
      </w:tr>
      <w:tr w14:paraId="3EC87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83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试剂市场占有率（10分）</w:t>
            </w:r>
          </w:p>
        </w:tc>
        <w:tc>
          <w:tcPr>
            <w:tcW w:w="5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E8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投标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试剂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品牌自2023年1月1日起，浙江省内三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医院用户名单每提供1个业绩得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分，最高得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（提供的相关资料须信息明确清楚，否则不得分）。（请标明具体页码）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93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A6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客观分</w:t>
            </w:r>
          </w:p>
        </w:tc>
      </w:tr>
      <w:tr w14:paraId="51C21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5EB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试剂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质量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及评价（23分）</w:t>
            </w:r>
          </w:p>
        </w:tc>
        <w:tc>
          <w:tcPr>
            <w:tcW w:w="5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86D55">
            <w:pPr>
              <w:pStyle w:val="11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2024年卫健委室间质评（以2024年卫健委最近一次能力验证报告为准）有独立分组的每一项得1分。（请标明具体页码）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4D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74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客观分</w:t>
            </w:r>
          </w:p>
        </w:tc>
      </w:tr>
      <w:tr w14:paraId="1CDEB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0E0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6F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投标试剂产品需适用于医院现使用的生化仪器：有适用贝克曼AU5800机型包装 5分、有适用日立008机型试剂包装 5分。（请标明具体页码）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A9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B6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客观分</w:t>
            </w:r>
          </w:p>
        </w:tc>
      </w:tr>
      <w:tr w14:paraId="12FE1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276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EF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根据医试剂性能先进程度及与现有设备的匹配情况；本项最高得3分，未提供则为0分。（请标明具体页码）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74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11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主观分</w:t>
            </w:r>
          </w:p>
        </w:tc>
      </w:tr>
      <w:tr w14:paraId="626C3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3F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8A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所投产品需提供溯源报告，缺1项扣1分，扣完为止。（请标明具体页码）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38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0F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客观分</w:t>
            </w:r>
          </w:p>
        </w:tc>
      </w:tr>
      <w:tr w14:paraId="1177D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963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商务、售后服务措施（29分）</w:t>
            </w:r>
          </w:p>
        </w:tc>
        <w:tc>
          <w:tcPr>
            <w:tcW w:w="5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29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冷链运输并且温度实时监控。（请标明具体页码）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AC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5E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客观分</w:t>
            </w:r>
          </w:p>
        </w:tc>
      </w:tr>
      <w:tr w14:paraId="25358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7CA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58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投标企业需提供所投试剂有效授权书。（请标明具体页码）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8C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6A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客观分</w:t>
            </w:r>
          </w:p>
        </w:tc>
      </w:tr>
      <w:tr w14:paraId="70D8F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382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B6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投标试剂厂家拥有专业的售后工程师团队，拥有当地（本省）的厂家直服售后团队，可满足1小时之内响应，12小时之内到现场服务；（提供售后服务承诺，厂家认证证书以作为佐证材料），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根据投标企业方案承诺进行分析比较、评议，确定档次打分：本项最高得4分，未提供则为0分。（请标明具体页码）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A3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63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主观分</w:t>
            </w:r>
          </w:p>
        </w:tc>
      </w:tr>
      <w:tr w14:paraId="1DF95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0D9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06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根据投标企业提供对医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院进行供应商的配送、物流方案进行分析比较、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评议，确定档次打分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本项最高得5分，未提供则为0分。（请标明具体页码）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B4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77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主观分</w:t>
            </w:r>
          </w:p>
        </w:tc>
      </w:tr>
      <w:tr w14:paraId="684FF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28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2E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根据有利于医院发展和科室学科建设服务的承诺方案，进行分析比较、评议，确定档次打分，共5分。本项最高得5分，未提供则为0分。（请标明具体页码）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D0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ED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主观分</w:t>
            </w:r>
          </w:p>
        </w:tc>
      </w:tr>
      <w:tr w14:paraId="4EB37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47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2B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有提供科室ISO 15189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实验室认可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的服务方案，进行分析比较、评议，确定档次打分，共5分，本项最高得5分，未提供则为0分。（请标明具体页码）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BD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3B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主观分</w:t>
            </w:r>
          </w:p>
        </w:tc>
      </w:tr>
      <w:tr w14:paraId="392EA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1F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D6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有提升临床检验技术水平的方案，进行分析比较、评议，确定档次打分，共5分，本项最高得5分，未提供则为0分。（请标明具体页码）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06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71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主观分</w:t>
            </w:r>
          </w:p>
        </w:tc>
      </w:tr>
    </w:tbl>
    <w:p w14:paraId="3E1476C3">
      <w:pPr>
        <w:pStyle w:val="11"/>
        <w:ind w:left="0" w:leftChars="0" w:firstLine="0" w:firstLineChars="0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▲1、投标产品必须为同一品牌。</w:t>
      </w:r>
    </w:p>
    <w:p w14:paraId="3D2B4522">
      <w:pPr>
        <w:pStyle w:val="11"/>
        <w:ind w:left="0" w:leftChars="0" w:firstLine="0" w:firstLineChars="0"/>
        <w:rPr>
          <w:rFonts w:hint="eastAsia" w:ascii="宋体" w:hAnsi="宋体" w:eastAsia="仿宋" w:cs="宋体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▲2、技术得分低于35分，则将被视为投标无效。</w:t>
      </w:r>
    </w:p>
    <w:p w14:paraId="32F8254C">
      <w:pPr>
        <w:pStyle w:val="9"/>
        <w:adjustRightInd w:val="0"/>
        <w:snapToGrid w:val="0"/>
        <w:spacing w:line="360" w:lineRule="auto"/>
        <w:ind w:firstLine="420"/>
        <w:rPr>
          <w:rFonts w:eastAsia="宋体"/>
          <w:b/>
          <w:color w:val="000000"/>
          <w:sz w:val="21"/>
          <w:szCs w:val="21"/>
          <w:highlight w:val="none"/>
        </w:rPr>
      </w:pPr>
    </w:p>
    <w:p w14:paraId="6F857693">
      <w:pPr>
        <w:pStyle w:val="9"/>
        <w:adjustRightInd w:val="0"/>
        <w:snapToGrid w:val="0"/>
        <w:spacing w:line="360" w:lineRule="auto"/>
        <w:ind w:firstLine="420"/>
        <w:rPr>
          <w:rFonts w:eastAsia="宋体"/>
          <w:b/>
          <w:color w:val="000000"/>
          <w:sz w:val="21"/>
          <w:szCs w:val="21"/>
          <w:highlight w:val="none"/>
        </w:rPr>
      </w:pPr>
    </w:p>
    <w:p w14:paraId="00909EF4">
      <w:pPr>
        <w:snapToGrid w:val="0"/>
        <w:spacing w:line="360" w:lineRule="auto"/>
        <w:rPr>
          <w:rFonts w:hint="eastAsia"/>
          <w:b/>
          <w:bCs/>
          <w:color w:val="000000"/>
          <w:sz w:val="22"/>
          <w:szCs w:val="22"/>
          <w:highlight w:val="none"/>
        </w:rPr>
      </w:pPr>
      <w:r>
        <w:rPr>
          <w:b/>
          <w:bCs/>
          <w:color w:val="000000"/>
          <w:sz w:val="22"/>
          <w:szCs w:val="22"/>
          <w:highlight w:val="none"/>
        </w:rPr>
        <w:t>价格分</w:t>
      </w:r>
      <w:r>
        <w:rPr>
          <w:rFonts w:hint="eastAsia"/>
          <w:b/>
          <w:bCs/>
          <w:color w:val="000000"/>
          <w:sz w:val="22"/>
          <w:szCs w:val="22"/>
          <w:highlight w:val="none"/>
        </w:rPr>
        <w:t>（</w:t>
      </w:r>
      <w:r>
        <w:rPr>
          <w:rFonts w:hint="eastAsia"/>
          <w:b/>
          <w:bCs/>
          <w:color w:val="000000"/>
          <w:sz w:val="22"/>
          <w:szCs w:val="22"/>
          <w:highlight w:val="none"/>
          <w:lang w:val="en-US" w:eastAsia="zh-CN"/>
        </w:rPr>
        <w:t>30</w:t>
      </w:r>
      <w:r>
        <w:rPr>
          <w:rFonts w:hint="eastAsia"/>
          <w:b/>
          <w:bCs/>
          <w:color w:val="000000"/>
          <w:sz w:val="22"/>
          <w:szCs w:val="22"/>
          <w:highlight w:val="none"/>
        </w:rPr>
        <w:t>分）</w:t>
      </w:r>
    </w:p>
    <w:p w14:paraId="7EA752CF">
      <w:pPr>
        <w:widowControl/>
        <w:snapToGrid w:val="0"/>
        <w:spacing w:line="360" w:lineRule="auto"/>
        <w:ind w:firstLine="420" w:firstLineChars="200"/>
        <w:rPr>
          <w:color w:val="000000"/>
          <w:kern w:val="0"/>
          <w:szCs w:val="21"/>
          <w:highlight w:val="none"/>
        </w:rPr>
      </w:pPr>
      <w:r>
        <w:rPr>
          <w:color w:val="000000"/>
          <w:kern w:val="0"/>
          <w:szCs w:val="21"/>
          <w:highlight w:val="none"/>
        </w:rPr>
        <w:t>价格评分将在有效投标人范围内进行，最高得</w:t>
      </w:r>
      <w:r>
        <w:rPr>
          <w:rFonts w:hint="eastAsia"/>
          <w:color w:val="000000"/>
          <w:kern w:val="0"/>
          <w:szCs w:val="21"/>
          <w:highlight w:val="none"/>
          <w:lang w:val="en-US" w:eastAsia="zh-CN"/>
        </w:rPr>
        <w:t>30</w:t>
      </w:r>
      <w:r>
        <w:rPr>
          <w:color w:val="000000"/>
          <w:kern w:val="0"/>
          <w:szCs w:val="21"/>
          <w:highlight w:val="none"/>
        </w:rPr>
        <w:t>分，最低得0分（小数点后保留二位小数，第三位四舍五入）。满足采购文件要求且投标价格最</w:t>
      </w:r>
      <w:r>
        <w:rPr>
          <w:rFonts w:hint="eastAsia"/>
          <w:color w:val="000000"/>
          <w:kern w:val="0"/>
          <w:szCs w:val="21"/>
          <w:highlight w:val="none"/>
          <w:lang w:eastAsia="zh-CN"/>
        </w:rPr>
        <w:t>底</w:t>
      </w:r>
      <w:r>
        <w:rPr>
          <w:color w:val="000000"/>
          <w:kern w:val="0"/>
          <w:szCs w:val="21"/>
          <w:highlight w:val="none"/>
        </w:rPr>
        <w:t>的</w:t>
      </w:r>
      <w:r>
        <w:rPr>
          <w:b/>
          <w:color w:val="000000"/>
          <w:kern w:val="0"/>
          <w:szCs w:val="21"/>
          <w:highlight w:val="none"/>
          <w:u w:val="thick"/>
        </w:rPr>
        <w:t>投标报价</w:t>
      </w:r>
      <w:r>
        <w:rPr>
          <w:color w:val="000000"/>
          <w:kern w:val="0"/>
          <w:szCs w:val="21"/>
          <w:highlight w:val="none"/>
        </w:rPr>
        <w:t>为</w:t>
      </w:r>
      <w:r>
        <w:rPr>
          <w:b/>
          <w:color w:val="000000"/>
          <w:kern w:val="0"/>
          <w:szCs w:val="21"/>
          <w:highlight w:val="none"/>
          <w:u w:val="thick"/>
        </w:rPr>
        <w:t>评标基准价</w:t>
      </w:r>
      <w:r>
        <w:rPr>
          <w:color w:val="000000"/>
          <w:kern w:val="0"/>
          <w:szCs w:val="21"/>
          <w:highlight w:val="none"/>
        </w:rPr>
        <w:t>，投标人的价格分统一按照下列公式计算：</w:t>
      </w:r>
    </w:p>
    <w:p w14:paraId="04E6433E">
      <w:pPr>
        <w:widowControl/>
        <w:snapToGrid w:val="0"/>
        <w:spacing w:line="360" w:lineRule="auto"/>
        <w:ind w:firstLine="420" w:firstLineChars="200"/>
        <w:rPr>
          <w:color w:val="000000"/>
          <w:kern w:val="0"/>
          <w:szCs w:val="21"/>
          <w:highlight w:val="none"/>
        </w:rPr>
      </w:pPr>
      <w:r>
        <w:rPr>
          <w:color w:val="000000"/>
          <w:kern w:val="0"/>
          <w:szCs w:val="21"/>
          <w:highlight w:val="none"/>
        </w:rPr>
        <w:t>投标报价得分=（</w:t>
      </w:r>
      <w:r>
        <w:rPr>
          <w:b/>
          <w:color w:val="000000"/>
          <w:kern w:val="0"/>
          <w:szCs w:val="21"/>
          <w:highlight w:val="none"/>
          <w:u w:val="thick"/>
        </w:rPr>
        <w:t>评标基准价</w:t>
      </w:r>
      <w:r>
        <w:rPr>
          <w:color w:val="000000"/>
          <w:kern w:val="0"/>
          <w:szCs w:val="21"/>
          <w:highlight w:val="none"/>
        </w:rPr>
        <w:t>/</w:t>
      </w:r>
      <w:r>
        <w:rPr>
          <w:b/>
          <w:color w:val="000000"/>
          <w:kern w:val="0"/>
          <w:szCs w:val="21"/>
          <w:highlight w:val="none"/>
          <w:u w:val="thick"/>
        </w:rPr>
        <w:t>投标报价</w:t>
      </w:r>
      <w:r>
        <w:rPr>
          <w:color w:val="000000"/>
          <w:kern w:val="0"/>
          <w:szCs w:val="21"/>
          <w:highlight w:val="none"/>
        </w:rPr>
        <w:t>）×</w:t>
      </w:r>
      <w:r>
        <w:rPr>
          <w:rFonts w:hint="eastAsia"/>
          <w:color w:val="000000"/>
          <w:kern w:val="0"/>
          <w:szCs w:val="21"/>
          <w:highlight w:val="none"/>
          <w:lang w:val="en-US" w:eastAsia="zh-CN"/>
        </w:rPr>
        <w:t>30</w:t>
      </w:r>
      <w:r>
        <w:rPr>
          <w:color w:val="000000"/>
          <w:kern w:val="0"/>
          <w:szCs w:val="21"/>
          <w:highlight w:val="none"/>
        </w:rPr>
        <w:t>%×100</w:t>
      </w:r>
    </w:p>
    <w:p w14:paraId="7D845EB0">
      <w:pPr>
        <w:spacing w:line="360" w:lineRule="auto"/>
        <w:rPr>
          <w:b/>
          <w:color w:val="000000"/>
          <w:kern w:val="0"/>
          <w:szCs w:val="21"/>
          <w:highlight w:val="none"/>
          <w:u w:val="thick"/>
        </w:rPr>
      </w:pPr>
      <w:r>
        <w:rPr>
          <w:b/>
          <w:color w:val="000000"/>
          <w:kern w:val="0"/>
          <w:szCs w:val="21"/>
          <w:highlight w:val="none"/>
          <w:u w:val="thick"/>
        </w:rPr>
        <w:t>投标报价</w:t>
      </w:r>
    </w:p>
    <w:p w14:paraId="416FA4B5">
      <w:pPr>
        <w:spacing w:line="360" w:lineRule="auto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ascii="宋体" w:hAnsi="宋体"/>
          <w:color w:val="000000"/>
          <w:sz w:val="24"/>
          <w:highlight w:val="none"/>
        </w:rPr>
        <w:t>1</w:t>
      </w:r>
      <w:r>
        <w:rPr>
          <w:rFonts w:hint="eastAsia" w:ascii="宋体" w:hAnsi="宋体"/>
          <w:color w:val="000000"/>
          <w:sz w:val="24"/>
          <w:highlight w:val="none"/>
        </w:rPr>
        <w:t>、投标价为：按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检查</w:t>
      </w:r>
      <w:r>
        <w:rPr>
          <w:rFonts w:hint="eastAsia" w:ascii="宋体" w:hAnsi="宋体"/>
          <w:color w:val="000000"/>
          <w:sz w:val="24"/>
          <w:highlight w:val="none"/>
        </w:rPr>
        <w:t>项目清单，提供年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生化试剂</w:t>
      </w:r>
      <w:r>
        <w:rPr>
          <w:rFonts w:hint="eastAsia" w:ascii="宋体" w:hAnsi="宋体"/>
          <w:color w:val="000000"/>
          <w:sz w:val="24"/>
          <w:highlight w:val="none"/>
        </w:rPr>
        <w:t>耗材成本占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生化</w:t>
      </w:r>
      <w:r>
        <w:rPr>
          <w:rFonts w:hint="eastAsia" w:ascii="宋体" w:hAnsi="宋体" w:cs="宋体"/>
          <w:color w:val="000000"/>
          <w:sz w:val="24"/>
          <w:highlight w:val="none"/>
        </w:rPr>
        <w:t>项目的业务收入的比例。本次投标报价为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百分比</w:t>
      </w:r>
      <w:r>
        <w:rPr>
          <w:rFonts w:hint="eastAsia" w:ascii="宋体" w:hAnsi="宋体" w:cs="宋体"/>
          <w:color w:val="000000"/>
          <w:sz w:val="24"/>
          <w:highlight w:val="none"/>
        </w:rPr>
        <w:t>。</w:t>
      </w:r>
    </w:p>
    <w:p w14:paraId="06FB11C6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highlight w:val="none"/>
        </w:rPr>
        <w:t>▲</w:t>
      </w:r>
      <w:r>
        <w:rPr>
          <w:rFonts w:hint="eastAsia" w:ascii="宋体" w:hAnsi="宋体" w:cs="宋体"/>
          <w:color w:val="000000"/>
          <w:sz w:val="24"/>
          <w:highlight w:val="none"/>
        </w:rPr>
        <w:t>最高限价：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22</w:t>
      </w:r>
      <w:r>
        <w:rPr>
          <w:rFonts w:hint="eastAsia" w:ascii="宋体" w:hAnsi="宋体" w:cs="宋体"/>
          <w:color w:val="000000"/>
          <w:sz w:val="24"/>
          <w:highlight w:val="none"/>
        </w:rPr>
        <w:t>%。</w:t>
      </w:r>
    </w:p>
    <w:p w14:paraId="6C900342">
      <w:pPr>
        <w:spacing w:line="360" w:lineRule="auto"/>
        <w:ind w:firstLine="480" w:firstLineChars="200"/>
        <w:rPr>
          <w:rFonts w:hint="eastAsia" w:ascii="宋体" w:hAnsi="宋体" w:cs="Arial Unicode MS"/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>注：</w:t>
      </w:r>
      <w:r>
        <w:rPr>
          <w:rFonts w:hint="eastAsia" w:ascii="宋体" w:hAnsi="宋体" w:cs="Arial Unicode MS"/>
          <w:color w:val="000000"/>
          <w:sz w:val="24"/>
          <w:highlight w:val="none"/>
        </w:rPr>
        <w:t>该报价包括试剂耗材、及完成项目的</w:t>
      </w:r>
      <w:r>
        <w:rPr>
          <w:rFonts w:hint="eastAsia" w:ascii="宋体" w:hAnsi="宋体"/>
          <w:color w:val="000000"/>
          <w:sz w:val="24"/>
          <w:highlight w:val="none"/>
        </w:rPr>
        <w:t>辅助试剂和耗材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、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易耗品</w:t>
      </w:r>
      <w:r>
        <w:rPr>
          <w:rFonts w:hint="eastAsia" w:ascii="宋体" w:hAnsi="宋体"/>
          <w:color w:val="000000"/>
          <w:sz w:val="24"/>
          <w:highlight w:val="none"/>
        </w:rPr>
        <w:t>（如校准液，质控品，反应杯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、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灯泡，比色杯，注射器</w:t>
      </w:r>
      <w:r>
        <w:rPr>
          <w:rFonts w:hint="eastAsia" w:ascii="宋体" w:hAnsi="宋体"/>
          <w:color w:val="000000"/>
          <w:sz w:val="24"/>
          <w:highlight w:val="none"/>
        </w:rPr>
        <w:t>）</w:t>
      </w:r>
    </w:p>
    <w:p w14:paraId="1F2987EB">
      <w:pPr>
        <w:spacing w:line="360" w:lineRule="auto"/>
        <w:rPr>
          <w:rFonts w:ascii="宋体" w:hAnsi="宋体"/>
          <w:b/>
          <w:color w:val="000000"/>
          <w:sz w:val="24"/>
          <w:highlight w:val="none"/>
        </w:rPr>
      </w:pPr>
      <w:r>
        <w:rPr>
          <w:rFonts w:hint="eastAsia" w:ascii="宋体" w:hAnsi="宋体" w:cs="Arial Unicode MS"/>
          <w:color w:val="000000"/>
          <w:sz w:val="24"/>
          <w:highlight w:val="none"/>
        </w:rPr>
        <w:t>2、</w:t>
      </w:r>
      <w:r>
        <w:rPr>
          <w:rFonts w:hint="eastAsia" w:ascii="宋体" w:hAnsi="宋体"/>
          <w:color w:val="000000"/>
          <w:sz w:val="24"/>
          <w:highlight w:val="none"/>
        </w:rPr>
        <w:t>费用的结算：</w:t>
      </w:r>
      <w:bookmarkStart w:id="1" w:name="_GoBack"/>
      <w:bookmarkEnd w:id="1"/>
    </w:p>
    <w:p w14:paraId="08CBD451">
      <w:pPr>
        <w:pStyle w:val="4"/>
        <w:spacing w:line="360" w:lineRule="auto"/>
        <w:ind w:firstLine="480" w:firstLineChars="200"/>
        <w:rPr>
          <w:rFonts w:hint="eastAsia" w:ascii="仿宋" w:hAnsi="仿宋" w:eastAsia="仿宋" w:cs="仿宋"/>
          <w:b/>
          <w:bCs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按照项目的收入进行，</w:t>
      </w:r>
      <w:r>
        <w:rPr>
          <w:rFonts w:hint="eastAsia" w:ascii="宋体" w:hAnsi="宋体" w:cs="宋体"/>
          <w:color w:val="000000"/>
          <w:sz w:val="24"/>
        </w:rPr>
        <w:t>收入以院方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LIS</w:t>
      </w:r>
      <w:r>
        <w:rPr>
          <w:rFonts w:hint="eastAsia" w:ascii="宋体" w:hAnsi="宋体" w:cs="宋体"/>
          <w:color w:val="000000"/>
          <w:sz w:val="24"/>
        </w:rPr>
        <w:t>的收入统计为依据</w:t>
      </w:r>
      <w:r>
        <w:rPr>
          <w:rFonts w:hint="eastAsia" w:ascii="宋体" w:hAnsi="宋体" w:cs="宋体"/>
          <w:color w:val="000000"/>
          <w:sz w:val="24"/>
          <w:lang w:eastAsia="zh-CN"/>
        </w:rPr>
        <w:t>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77C9C4"/>
    <w:multiLevelType w:val="singleLevel"/>
    <w:tmpl w:val="4877C9C4"/>
    <w:lvl w:ilvl="0" w:tentative="0">
      <w:start w:val="1"/>
      <w:numFmt w:val="decimal"/>
      <w:pStyle w:val="3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51D9F"/>
    <w:rsid w:val="034C1957"/>
    <w:rsid w:val="041D2A27"/>
    <w:rsid w:val="056000BD"/>
    <w:rsid w:val="05816FE5"/>
    <w:rsid w:val="05F45A09"/>
    <w:rsid w:val="06277B8D"/>
    <w:rsid w:val="0664432A"/>
    <w:rsid w:val="079E3E7E"/>
    <w:rsid w:val="084F33CB"/>
    <w:rsid w:val="08DD09D6"/>
    <w:rsid w:val="09532084"/>
    <w:rsid w:val="09C120A6"/>
    <w:rsid w:val="0C0D3E21"/>
    <w:rsid w:val="0D6D057B"/>
    <w:rsid w:val="0F231E64"/>
    <w:rsid w:val="0F847DFE"/>
    <w:rsid w:val="125C7C86"/>
    <w:rsid w:val="15671D54"/>
    <w:rsid w:val="18F953B8"/>
    <w:rsid w:val="191D19DE"/>
    <w:rsid w:val="1C183DA8"/>
    <w:rsid w:val="1CA67605"/>
    <w:rsid w:val="1D1162ED"/>
    <w:rsid w:val="1DCB6601"/>
    <w:rsid w:val="1E502351"/>
    <w:rsid w:val="1E827880"/>
    <w:rsid w:val="1FEC17D3"/>
    <w:rsid w:val="20BB73F7"/>
    <w:rsid w:val="20FF5E10"/>
    <w:rsid w:val="226715E5"/>
    <w:rsid w:val="22C94B3D"/>
    <w:rsid w:val="233C13F4"/>
    <w:rsid w:val="246F3BA4"/>
    <w:rsid w:val="24FE0F95"/>
    <w:rsid w:val="2504136D"/>
    <w:rsid w:val="25621DAF"/>
    <w:rsid w:val="25BD6C18"/>
    <w:rsid w:val="26832765"/>
    <w:rsid w:val="288E7D10"/>
    <w:rsid w:val="2A756869"/>
    <w:rsid w:val="2A9113E2"/>
    <w:rsid w:val="2AC33130"/>
    <w:rsid w:val="2BB21E2A"/>
    <w:rsid w:val="2C1764C2"/>
    <w:rsid w:val="2C1F4CDE"/>
    <w:rsid w:val="2CDA38A5"/>
    <w:rsid w:val="2D26209C"/>
    <w:rsid w:val="2D2D342B"/>
    <w:rsid w:val="2F557547"/>
    <w:rsid w:val="2F6A2862"/>
    <w:rsid w:val="32A45F3D"/>
    <w:rsid w:val="34841033"/>
    <w:rsid w:val="3507280B"/>
    <w:rsid w:val="359202CF"/>
    <w:rsid w:val="38B95544"/>
    <w:rsid w:val="39241B86"/>
    <w:rsid w:val="3A80103E"/>
    <w:rsid w:val="3B144E0C"/>
    <w:rsid w:val="3B7C7A57"/>
    <w:rsid w:val="3C775C77"/>
    <w:rsid w:val="3CA60B04"/>
    <w:rsid w:val="3CC2593E"/>
    <w:rsid w:val="3E5A7DF8"/>
    <w:rsid w:val="43F04137"/>
    <w:rsid w:val="45012280"/>
    <w:rsid w:val="457F4E6D"/>
    <w:rsid w:val="45CA5863"/>
    <w:rsid w:val="461F354B"/>
    <w:rsid w:val="46D46FB3"/>
    <w:rsid w:val="471274C2"/>
    <w:rsid w:val="48A24875"/>
    <w:rsid w:val="490177EE"/>
    <w:rsid w:val="492F759D"/>
    <w:rsid w:val="49675ED4"/>
    <w:rsid w:val="4A5A0DBE"/>
    <w:rsid w:val="4A7F4E6E"/>
    <w:rsid w:val="4A7F5953"/>
    <w:rsid w:val="4B090BDC"/>
    <w:rsid w:val="4BFF28C2"/>
    <w:rsid w:val="4DA90454"/>
    <w:rsid w:val="4E4267D1"/>
    <w:rsid w:val="50346C0B"/>
    <w:rsid w:val="50946400"/>
    <w:rsid w:val="510A120A"/>
    <w:rsid w:val="5151508A"/>
    <w:rsid w:val="545E3D46"/>
    <w:rsid w:val="549C486F"/>
    <w:rsid w:val="54AC0134"/>
    <w:rsid w:val="5540412F"/>
    <w:rsid w:val="57C06AC6"/>
    <w:rsid w:val="5895790D"/>
    <w:rsid w:val="59123351"/>
    <w:rsid w:val="5A1B4488"/>
    <w:rsid w:val="5A783688"/>
    <w:rsid w:val="5B215ACE"/>
    <w:rsid w:val="5B2D4472"/>
    <w:rsid w:val="5C1C4B73"/>
    <w:rsid w:val="5D047455"/>
    <w:rsid w:val="5E2C6C63"/>
    <w:rsid w:val="5EE65064"/>
    <w:rsid w:val="5F5E1037"/>
    <w:rsid w:val="5F8108E9"/>
    <w:rsid w:val="5FB05672"/>
    <w:rsid w:val="60477D84"/>
    <w:rsid w:val="604A36B1"/>
    <w:rsid w:val="609F196E"/>
    <w:rsid w:val="60CF38D6"/>
    <w:rsid w:val="61B10A6E"/>
    <w:rsid w:val="637075F2"/>
    <w:rsid w:val="63F975E8"/>
    <w:rsid w:val="644A1BF1"/>
    <w:rsid w:val="64B0720E"/>
    <w:rsid w:val="67242BCD"/>
    <w:rsid w:val="6990454A"/>
    <w:rsid w:val="699D52B5"/>
    <w:rsid w:val="6A022F6E"/>
    <w:rsid w:val="6A2D7FEB"/>
    <w:rsid w:val="6A9C6F1F"/>
    <w:rsid w:val="6AC96F12"/>
    <w:rsid w:val="6B691CE3"/>
    <w:rsid w:val="6D6D4BA2"/>
    <w:rsid w:val="6D875C64"/>
    <w:rsid w:val="6EDA6267"/>
    <w:rsid w:val="7104409F"/>
    <w:rsid w:val="71353C29"/>
    <w:rsid w:val="73D92BAC"/>
    <w:rsid w:val="75412B9C"/>
    <w:rsid w:val="779E42D6"/>
    <w:rsid w:val="78FA19E0"/>
    <w:rsid w:val="799C2A97"/>
    <w:rsid w:val="7AAA11E4"/>
    <w:rsid w:val="7DFA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Number"/>
    <w:basedOn w:val="1"/>
    <w:qFormat/>
    <w:uiPriority w:val="0"/>
    <w:pPr>
      <w:numPr>
        <w:ilvl w:val="0"/>
        <w:numId w:val="1"/>
      </w:numPr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Body Text First Indent"/>
    <w:basedOn w:val="4"/>
    <w:next w:val="1"/>
    <w:qFormat/>
    <w:uiPriority w:val="0"/>
    <w:pPr>
      <w:ind w:firstLine="420" w:firstLineChars="100"/>
    </w:pPr>
    <w:rPr>
      <w:rFonts w:eastAsia="楷体_GB2312"/>
      <w:kern w:val="44"/>
      <w:position w:val="6"/>
      <w:sz w:val="28"/>
      <w:szCs w:val="20"/>
    </w:rPr>
  </w:style>
  <w:style w:type="paragraph" w:styleId="6">
    <w:name w:val="Body Text Indent"/>
    <w:basedOn w:val="1"/>
    <w:next w:val="7"/>
    <w:qFormat/>
    <w:uiPriority w:val="0"/>
    <w:pPr>
      <w:ind w:left="540" w:leftChars="257" w:firstLine="20" w:firstLineChars="7"/>
    </w:pPr>
    <w:rPr>
      <w:sz w:val="28"/>
    </w:rPr>
  </w:style>
  <w:style w:type="paragraph" w:customStyle="1" w:styleId="7">
    <w:name w:val="正文 A"/>
    <w:qFormat/>
    <w:uiPriority w:val="99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styleId="8">
    <w:name w:val="Body Text Indent 2"/>
    <w:basedOn w:val="1"/>
    <w:qFormat/>
    <w:uiPriority w:val="0"/>
    <w:pPr>
      <w:widowControl/>
      <w:spacing w:line="480" w:lineRule="atLeast"/>
      <w:ind w:firstLine="480"/>
    </w:pPr>
    <w:rPr>
      <w:rFonts w:ascii="宋体"/>
      <w:kern w:val="0"/>
      <w:sz w:val="24"/>
      <w:szCs w:val="20"/>
    </w:rPr>
  </w:style>
  <w:style w:type="paragraph" w:styleId="9">
    <w:name w:val="Body Text Indent 3"/>
    <w:basedOn w:val="1"/>
    <w:qFormat/>
    <w:uiPriority w:val="0"/>
    <w:pPr>
      <w:autoSpaceDE w:val="0"/>
      <w:autoSpaceDN w:val="0"/>
      <w:spacing w:line="400" w:lineRule="atLeast"/>
      <w:ind w:firstLine="443" w:firstLineChars="200"/>
      <w:textAlignment w:val="bottom"/>
    </w:pPr>
    <w:rPr>
      <w:rFonts w:eastAsia="黑体"/>
      <w:color w:val="000000"/>
      <w:kern w:val="0"/>
      <w:sz w:val="24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qFormat/>
    <w:uiPriority w:val="0"/>
  </w:style>
  <w:style w:type="character" w:styleId="14">
    <w:name w:val="Strong"/>
    <w:basedOn w:val="13"/>
    <w:qFormat/>
    <w:uiPriority w:val="0"/>
    <w:rPr>
      <w:b/>
    </w:rPr>
  </w:style>
  <w:style w:type="character" w:customStyle="1" w:styleId="15">
    <w:name w:val="font81"/>
    <w:basedOn w:val="1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61"/>
    <w:basedOn w:val="13"/>
    <w:qFormat/>
    <w:uiPriority w:val="0"/>
    <w:rPr>
      <w:rFonts w:ascii="MingLiU_HKSCS-ExtB" w:hAnsi="MingLiU_HKSCS-ExtB" w:eastAsia="MingLiU_HKSCS-ExtB" w:cs="MingLiU_HKSCS-ExtB"/>
      <w:color w:val="000000"/>
      <w:sz w:val="22"/>
      <w:szCs w:val="22"/>
      <w:u w:val="none"/>
    </w:rPr>
  </w:style>
  <w:style w:type="character" w:customStyle="1" w:styleId="17">
    <w:name w:val="font111"/>
    <w:basedOn w:val="13"/>
    <w:qFormat/>
    <w:uiPriority w:val="0"/>
    <w:rPr>
      <w:rFonts w:ascii="MingLiU_HKSCS-ExtB" w:hAnsi="MingLiU_HKSCS-ExtB" w:eastAsia="MingLiU_HKSCS-ExtB" w:cs="MingLiU_HKSCS-ExtB"/>
      <w:color w:val="000000"/>
      <w:sz w:val="22"/>
      <w:szCs w:val="22"/>
      <w:u w:val="none"/>
    </w:rPr>
  </w:style>
  <w:style w:type="paragraph" w:customStyle="1" w:styleId="18">
    <w:name w:val="样式 列表编号 + 段后: 0.5 行"/>
    <w:basedOn w:val="3"/>
    <w:qFormat/>
    <w:uiPriority w:val="0"/>
    <w:pPr>
      <w:widowControl/>
      <w:numPr>
        <w:ilvl w:val="0"/>
        <w:numId w:val="0"/>
      </w:numPr>
      <w:spacing w:after="120"/>
      <w:ind w:left="840" w:hanging="420"/>
      <w:jc w:val="left"/>
    </w:pPr>
    <w:rPr>
      <w:rFonts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1772</Words>
  <Characters>2283</Characters>
  <Lines>0</Lines>
  <Paragraphs>0</Paragraphs>
  <TotalTime>5</TotalTime>
  <ScaleCrop>false</ScaleCrop>
  <LinksUpToDate>false</LinksUpToDate>
  <CharactersWithSpaces>2298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2024-11-21T01:11:00Z</dcterms:created>
  <dc:creator>shijianjiang</dc:creator>
  <cp:lastModifiedBy>can波</cp:lastModifiedBy>
  <cp:lastPrinted>2025-01-15T08:21:00Z</cp:lastPrinted>
  <dcterms:modified xsi:type="dcterms:W3CDTF">2025-04-24T09:47:53Z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C1CF6EF1856B41C9BD7B938499B71E6B_13</vt:lpwstr>
  </property>
  <property fmtid="{D5CDD505-2E9C-101B-9397-08002B2CF9AE}" pid="4" name="KSOTemplateDocerSaveRecord">
    <vt:lpwstr>eyJoZGlkIjoiYTA1OTc1ZGQxZTNiMDNiYzYyYTY3Njc2ZTFmOTFhMzciLCJ1c2VySWQiOiI2NDMyMDUxNjQifQ==</vt:lpwstr>
  </property>
</Properties>
</file>