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ACB175">
      <w:pPr>
        <w:keepNext/>
        <w:keepLines/>
        <w:spacing w:before="260" w:after="60" w:line="413" w:lineRule="atLeast"/>
        <w:ind w:firstLine="281" w:firstLineChars="100"/>
        <w:jc w:val="center"/>
        <w:rPr>
          <w:rFonts w:hint="eastAsia" w:ascii="黑体" w:hAnsi="黑体" w:eastAsia="黑体"/>
          <w:b/>
          <w:color w:val="000000"/>
          <w:sz w:val="28"/>
          <w:szCs w:val="24"/>
          <w:highlight w:val="none"/>
          <w:lang w:val="zh-CN"/>
        </w:rPr>
      </w:pPr>
      <w:r>
        <w:rPr>
          <w:rFonts w:hint="eastAsia" w:ascii="黑体" w:hAnsi="黑体" w:eastAsia="黑体"/>
          <w:b/>
          <w:color w:val="000000"/>
          <w:sz w:val="28"/>
          <w:szCs w:val="24"/>
          <w:highlight w:val="none"/>
          <w:lang w:val="zh-CN"/>
        </w:rPr>
        <w:t>杭州市萧山区第一人民医院</w:t>
      </w:r>
    </w:p>
    <w:p w14:paraId="36734E94">
      <w:pPr>
        <w:keepNext/>
        <w:keepLines/>
        <w:spacing w:before="260" w:after="60" w:line="413" w:lineRule="atLeast"/>
        <w:ind w:firstLine="281" w:firstLineChars="100"/>
        <w:jc w:val="center"/>
        <w:rPr>
          <w:rFonts w:hint="eastAsia" w:ascii="黑体" w:hAnsi="黑体" w:eastAsia="黑体"/>
          <w:b/>
          <w:color w:val="000000"/>
          <w:sz w:val="28"/>
          <w:szCs w:val="24"/>
          <w:highlight w:val="none"/>
          <w:lang w:val="zh-CN"/>
        </w:rPr>
      </w:pPr>
      <w:r>
        <w:rPr>
          <w:rFonts w:hint="eastAsia" w:ascii="黑体" w:hAnsi="黑体" w:eastAsia="黑体"/>
          <w:b/>
          <w:color w:val="000000"/>
          <w:sz w:val="28"/>
          <w:szCs w:val="24"/>
          <w:highlight w:val="none"/>
          <w:lang w:val="zh-CN"/>
        </w:rPr>
        <w:t>便民售货机服务项目</w:t>
      </w:r>
      <w:r>
        <w:rPr>
          <w:rFonts w:hint="eastAsia" w:ascii="黑体" w:hAnsi="黑体" w:eastAsia="黑体"/>
          <w:b/>
          <w:color w:val="000000"/>
          <w:sz w:val="28"/>
          <w:szCs w:val="24"/>
          <w:highlight w:val="none"/>
          <w:lang w:val="zh-CN" w:eastAsia="zh-CN"/>
        </w:rPr>
        <w:t>采购</w:t>
      </w:r>
      <w:r>
        <w:rPr>
          <w:rFonts w:hint="eastAsia" w:ascii="黑体" w:hAnsi="黑体" w:eastAsia="黑体"/>
          <w:b/>
          <w:color w:val="000000"/>
          <w:sz w:val="28"/>
          <w:szCs w:val="24"/>
          <w:highlight w:val="none"/>
          <w:lang w:val="zh-CN"/>
        </w:rPr>
        <w:t>公告</w:t>
      </w:r>
    </w:p>
    <w:p w14:paraId="44E5CCC9">
      <w:pPr>
        <w:spacing w:line="360" w:lineRule="auto"/>
        <w:ind w:firstLine="360" w:firstLineChars="200"/>
        <w:jc w:val="left"/>
        <w:rPr>
          <w:rFonts w:hint="eastAsia" w:ascii="宋体" w:hAnsi="宋体"/>
          <w:color w:val="000000"/>
          <w:sz w:val="18"/>
          <w:szCs w:val="24"/>
          <w:highlight w:val="white"/>
          <w:lang w:val="zh-CN"/>
        </w:rPr>
      </w:pPr>
      <w:r>
        <w:rPr>
          <w:rFonts w:hint="eastAsia" w:ascii="宋体" w:hAnsi="宋体"/>
          <w:color w:val="000000"/>
          <w:sz w:val="18"/>
          <w:szCs w:val="24"/>
          <w:highlight w:val="white"/>
          <w:lang w:val="zh-CN"/>
        </w:rPr>
        <w:t>为落实惠民服务措施，提高我院就诊患者及其家属的满意率，我院就</w:t>
      </w:r>
      <w:r>
        <w:rPr>
          <w:rFonts w:hint="eastAsia" w:ascii="宋体" w:hAnsi="宋体"/>
          <w:color w:val="000000"/>
          <w:sz w:val="18"/>
          <w:szCs w:val="24"/>
          <w:highlight w:val="none"/>
          <w:lang w:val="zh-CN"/>
        </w:rPr>
        <w:t>便民售货机进</w:t>
      </w:r>
      <w:r>
        <w:rPr>
          <w:rFonts w:hint="eastAsia" w:ascii="宋体" w:hAnsi="宋体"/>
          <w:color w:val="000000"/>
          <w:sz w:val="18"/>
          <w:szCs w:val="24"/>
          <w:lang w:val="zh-CN"/>
        </w:rPr>
        <w:t>行公开选租，欢迎有意向</w:t>
      </w:r>
      <w:r>
        <w:rPr>
          <w:rFonts w:hint="eastAsia" w:ascii="宋体" w:hAnsi="宋体"/>
          <w:color w:val="000000"/>
          <w:sz w:val="18"/>
          <w:szCs w:val="24"/>
          <w:highlight w:val="white"/>
          <w:lang w:val="zh-CN"/>
        </w:rPr>
        <w:t>参与投标的投标人、厂家递送相关资料及报价。</w:t>
      </w:r>
    </w:p>
    <w:p w14:paraId="024320A9">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一、招标项目概况</w:t>
      </w:r>
    </w:p>
    <w:p w14:paraId="0A6109CB">
      <w:pPr>
        <w:widowControl/>
        <w:spacing w:line="336" w:lineRule="auto"/>
        <w:ind w:firstLine="360" w:firstLineChars="200"/>
        <w:rPr>
          <w:rFonts w:hint="eastAsia" w:ascii="宋体" w:hAnsi="宋体"/>
          <w:color w:val="000000"/>
          <w:sz w:val="18"/>
          <w:szCs w:val="24"/>
          <w:lang w:val="zh-CN"/>
        </w:rPr>
      </w:pPr>
      <w:r>
        <w:rPr>
          <w:rFonts w:hint="eastAsia" w:ascii="宋体" w:hAnsi="宋体"/>
          <w:color w:val="000000"/>
          <w:sz w:val="18"/>
          <w:szCs w:val="24"/>
          <w:lang w:val="en-US" w:eastAsia="zh-CN"/>
        </w:rPr>
        <w:t>1.</w:t>
      </w:r>
      <w:r>
        <w:rPr>
          <w:rFonts w:hint="eastAsia" w:ascii="宋体" w:hAnsi="宋体"/>
          <w:color w:val="000000"/>
          <w:sz w:val="18"/>
          <w:szCs w:val="24"/>
          <w:lang w:val="zh-CN"/>
        </w:rPr>
        <w:t>项目名称：便民售货机服务项目</w:t>
      </w:r>
    </w:p>
    <w:p w14:paraId="1229B8B6">
      <w:pPr>
        <w:widowControl/>
        <w:spacing w:line="336" w:lineRule="auto"/>
        <w:ind w:firstLine="360" w:firstLineChars="200"/>
        <w:rPr>
          <w:rFonts w:hint="default" w:ascii="宋体" w:hAnsi="宋体" w:eastAsia="宋体"/>
          <w:color w:val="000000"/>
          <w:sz w:val="18"/>
          <w:szCs w:val="24"/>
          <w:lang w:val="en-US" w:eastAsia="zh-CN"/>
        </w:rPr>
      </w:pPr>
      <w:r>
        <w:rPr>
          <w:rFonts w:hint="eastAsia" w:ascii="宋体" w:hAnsi="宋体"/>
          <w:color w:val="000000"/>
          <w:sz w:val="18"/>
          <w:szCs w:val="24"/>
          <w:lang w:val="en-US" w:eastAsia="zh-CN"/>
        </w:rPr>
        <w:t>2.项目编号：XYSBK2025-010</w:t>
      </w:r>
    </w:p>
    <w:p w14:paraId="42235F60">
      <w:pPr>
        <w:widowControl/>
        <w:spacing w:line="336" w:lineRule="auto"/>
        <w:ind w:firstLine="360" w:firstLineChars="200"/>
        <w:rPr>
          <w:rFonts w:hint="eastAsia" w:ascii="宋体" w:hAnsi="宋体" w:cs="宋体"/>
          <w:kern w:val="0"/>
          <w:sz w:val="24"/>
        </w:rPr>
      </w:pPr>
      <w:r>
        <w:rPr>
          <w:rFonts w:hint="eastAsia" w:ascii="宋体" w:hAnsi="宋体"/>
          <w:color w:val="000000"/>
          <w:sz w:val="18"/>
          <w:szCs w:val="24"/>
          <w:lang w:val="en-US" w:eastAsia="zh-CN"/>
        </w:rPr>
        <w:t>3.</w:t>
      </w:r>
      <w:r>
        <w:rPr>
          <w:rFonts w:hint="eastAsia" w:ascii="宋体" w:hAnsi="宋体"/>
          <w:color w:val="000000"/>
          <w:sz w:val="18"/>
          <w:szCs w:val="24"/>
          <w:lang w:val="zh-CN"/>
        </w:rPr>
        <w:t>地点：杭州市萧山区城厢街道市心南路199号</w:t>
      </w:r>
    </w:p>
    <w:p w14:paraId="6D34398E">
      <w:pPr>
        <w:spacing w:line="360" w:lineRule="auto"/>
        <w:ind w:firstLine="360" w:firstLineChars="200"/>
        <w:jc w:val="left"/>
        <w:rPr>
          <w:rFonts w:hint="eastAsia" w:ascii="宋体" w:hAnsi="宋体"/>
          <w:color w:val="000000"/>
          <w:sz w:val="18"/>
          <w:szCs w:val="24"/>
          <w:highlight w:val="none"/>
          <w:lang w:val="zh-CN"/>
        </w:rPr>
      </w:pPr>
      <w:r>
        <w:rPr>
          <w:rFonts w:hint="eastAsia" w:ascii="宋体" w:hAnsi="宋体"/>
          <w:color w:val="000000"/>
          <w:sz w:val="18"/>
          <w:szCs w:val="24"/>
          <w:lang w:val="en-US" w:eastAsia="zh-CN"/>
        </w:rPr>
        <w:t>4.</w:t>
      </w:r>
      <w:r>
        <w:rPr>
          <w:rFonts w:hint="eastAsia" w:ascii="宋体" w:hAnsi="宋体"/>
          <w:color w:val="000000"/>
          <w:sz w:val="18"/>
          <w:szCs w:val="24"/>
          <w:lang w:val="zh-CN"/>
        </w:rPr>
        <w:t>项目招标内容：</w:t>
      </w:r>
      <w:r>
        <w:rPr>
          <w:rFonts w:hint="eastAsia" w:ascii="宋体" w:hAnsi="宋体"/>
          <w:color w:val="000000"/>
          <w:sz w:val="18"/>
          <w:szCs w:val="24"/>
          <w:highlight w:val="none"/>
          <w:lang w:val="zh-CN"/>
        </w:rPr>
        <w:t>投标人在医院内指定地点摆放便民售货机销售相关医疗耗材，并向医院支付电费、管理费。</w:t>
      </w:r>
      <w:r>
        <w:rPr>
          <w:rFonts w:hint="eastAsia" w:ascii="宋体" w:hAnsi="宋体"/>
          <w:color w:val="000000"/>
          <w:sz w:val="18"/>
          <w:szCs w:val="24"/>
          <w:lang w:val="zh-CN"/>
        </w:rPr>
        <w:t>便民售货机投放数量：暂拟定</w:t>
      </w:r>
      <w:r>
        <w:rPr>
          <w:rFonts w:hint="eastAsia" w:ascii="宋体" w:hAnsi="宋体"/>
          <w:color w:val="000000"/>
          <w:sz w:val="18"/>
          <w:szCs w:val="24"/>
          <w:lang w:val="en-US" w:eastAsia="zh-CN"/>
        </w:rPr>
        <w:t>8</w:t>
      </w:r>
      <w:r>
        <w:rPr>
          <w:rFonts w:hint="eastAsia" w:ascii="宋体" w:hAnsi="宋体"/>
          <w:color w:val="000000"/>
          <w:sz w:val="18"/>
          <w:szCs w:val="24"/>
          <w:lang w:val="zh-CN"/>
        </w:rPr>
        <w:t>个点位，最终数量以招标方根据需求确认为准。</w:t>
      </w:r>
    </w:p>
    <w:p w14:paraId="6E36CDEB">
      <w:pPr>
        <w:spacing w:line="360" w:lineRule="auto"/>
        <w:ind w:firstLine="360" w:firstLineChars="200"/>
        <w:jc w:val="left"/>
        <w:rPr>
          <w:rFonts w:hint="eastAsia" w:ascii="宋体" w:hAnsi="宋体"/>
          <w:color w:val="000000"/>
          <w:sz w:val="18"/>
          <w:szCs w:val="24"/>
          <w:lang w:val="zh-CN"/>
        </w:rPr>
      </w:pPr>
      <w:r>
        <w:rPr>
          <w:rFonts w:hint="eastAsia" w:ascii="宋体" w:hAnsi="宋体"/>
          <w:color w:val="000000"/>
          <w:sz w:val="18"/>
          <w:szCs w:val="24"/>
          <w:lang w:val="en-US" w:eastAsia="zh-CN"/>
        </w:rPr>
        <w:t>5.</w:t>
      </w:r>
      <w:r>
        <w:rPr>
          <w:rFonts w:hint="eastAsia" w:ascii="宋体" w:hAnsi="宋体"/>
          <w:color w:val="000000"/>
          <w:sz w:val="18"/>
          <w:szCs w:val="24"/>
          <w:lang w:val="zh-CN"/>
        </w:rPr>
        <w:t>项目经营年限：合同签订之日起三年</w:t>
      </w:r>
    </w:p>
    <w:p w14:paraId="2D1D64C6">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二、投标人资格要求：</w:t>
      </w:r>
    </w:p>
    <w:p w14:paraId="769276C1">
      <w:pPr>
        <w:spacing w:line="360" w:lineRule="auto"/>
        <w:ind w:firstLine="360" w:firstLineChars="200"/>
        <w:jc w:val="left"/>
        <w:rPr>
          <w:rFonts w:hint="eastAsia" w:ascii="宋体" w:hAnsi="宋体"/>
          <w:color w:val="000000"/>
          <w:sz w:val="18"/>
          <w:szCs w:val="24"/>
          <w:lang w:val="zh-CN"/>
        </w:rPr>
      </w:pPr>
      <w:r>
        <w:rPr>
          <w:rFonts w:hint="eastAsia" w:ascii="宋体" w:hAnsi="宋体"/>
          <w:color w:val="000000"/>
          <w:sz w:val="18"/>
          <w:szCs w:val="24"/>
          <w:lang w:val="en-US" w:eastAsia="zh-CN"/>
        </w:rPr>
        <w:t>1、</w:t>
      </w:r>
      <w:r>
        <w:rPr>
          <w:rFonts w:hint="eastAsia" w:ascii="宋体" w:hAnsi="宋体"/>
          <w:color w:val="000000"/>
          <w:sz w:val="18"/>
          <w:szCs w:val="24"/>
          <w:lang w:val="zh-CN"/>
        </w:rPr>
        <w:t>投标人参加本次投标活动前3年内在经营活动中没有重大违法记录的书面声明（或者在参加政府采购活动前3年内因违法经营被禁止在一定期限内参加政府采购活动，期限已届满）</w:t>
      </w:r>
    </w:p>
    <w:p w14:paraId="10974F81">
      <w:pPr>
        <w:spacing w:line="360" w:lineRule="auto"/>
        <w:ind w:firstLine="360" w:firstLineChars="200"/>
        <w:jc w:val="left"/>
        <w:rPr>
          <w:rFonts w:hint="eastAsia" w:ascii="宋体" w:hAnsi="宋体"/>
          <w:color w:val="000000"/>
          <w:sz w:val="18"/>
          <w:szCs w:val="24"/>
          <w:lang w:val="zh-CN"/>
        </w:rPr>
      </w:pPr>
      <w:r>
        <w:rPr>
          <w:rFonts w:hint="eastAsia" w:ascii="宋体" w:hAnsi="宋体"/>
          <w:color w:val="000000"/>
          <w:sz w:val="18"/>
          <w:szCs w:val="24"/>
          <w:lang w:val="en-US" w:eastAsia="zh-CN"/>
        </w:rPr>
        <w:t>2、</w:t>
      </w:r>
      <w:r>
        <w:rPr>
          <w:rFonts w:hint="eastAsia" w:ascii="宋体" w:hAnsi="宋体"/>
          <w:color w:val="000000"/>
          <w:sz w:val="18"/>
          <w:szCs w:val="24"/>
          <w:lang w:val="zh-CN"/>
        </w:rPr>
        <w:t xml:space="preserve">投标人必须是中国境内注册并合法运作的独立法人。 </w:t>
      </w:r>
    </w:p>
    <w:p w14:paraId="3D22119F">
      <w:pPr>
        <w:spacing w:line="360" w:lineRule="auto"/>
        <w:ind w:left="0" w:leftChars="0" w:firstLine="360" w:firstLineChars="200"/>
        <w:jc w:val="left"/>
        <w:rPr>
          <w:rFonts w:hint="eastAsia" w:ascii="宋体" w:hAnsi="宋体"/>
          <w:color w:val="000000"/>
          <w:sz w:val="18"/>
          <w:szCs w:val="24"/>
          <w:lang w:val="zh-CN"/>
        </w:rPr>
      </w:pPr>
      <w:r>
        <w:rPr>
          <w:rFonts w:hint="eastAsia" w:ascii="宋体" w:hAnsi="宋体"/>
          <w:color w:val="000000"/>
          <w:sz w:val="18"/>
          <w:szCs w:val="24"/>
          <w:lang w:val="en-US" w:eastAsia="zh-CN"/>
        </w:rPr>
        <w:t>3、</w:t>
      </w:r>
      <w:r>
        <w:rPr>
          <w:rFonts w:hint="eastAsia" w:ascii="宋体" w:hAnsi="宋体"/>
          <w:color w:val="000000"/>
          <w:sz w:val="18"/>
          <w:szCs w:val="24"/>
          <w:lang w:val="zh-CN"/>
        </w:rPr>
        <w:t>投标人应提供医疗器械经营许可证有效复印件或医疗器械经营备案证明资料。在合同签订时需提供医疗器械经营许可证或医疗器械经营备案，场所变更等相关资料。</w:t>
      </w:r>
    </w:p>
    <w:p w14:paraId="54B8A981">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三、投标项目要求：</w:t>
      </w:r>
    </w:p>
    <w:p w14:paraId="1376E9FA">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1、售货机设备基本要求：</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6"/>
        <w:gridCol w:w="1144"/>
        <w:gridCol w:w="7136"/>
      </w:tblGrid>
      <w:tr w14:paraId="628D7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7AEAC6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w:t>
            </w:r>
          </w:p>
        </w:tc>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B44B15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外形尺寸</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3BE5334">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格子机 ：长≤1400mm，厚≥420mm，高≤1920</w:t>
            </w:r>
          </w:p>
        </w:tc>
      </w:tr>
      <w:tr w14:paraId="6671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59BCE093">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2、</w:t>
            </w:r>
          </w:p>
        </w:tc>
        <w:tc>
          <w:tcPr>
            <w:tcW w:w="0" w:type="auto"/>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3DD3A0DD">
            <w:pPr>
              <w:spacing w:after="200" w:line="276" w:lineRule="auto"/>
              <w:jc w:val="left"/>
              <w:rPr>
                <w:rFonts w:hint="eastAsia" w:ascii="宋体" w:hAnsi="宋体"/>
                <w:color w:val="auto"/>
                <w:sz w:val="22"/>
                <w:szCs w:val="24"/>
                <w:lang w:val="zh-CN"/>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383EF1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推杆机：长≤100mm，厚≤800mm，高≤1900</w:t>
            </w:r>
          </w:p>
        </w:tc>
      </w:tr>
      <w:tr w14:paraId="0049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B7C7E96">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3、</w:t>
            </w:r>
          </w:p>
        </w:tc>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7AB0339">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单台设备占地面积</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E24B71C">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格子机 ：≤0.59平方</w:t>
            </w:r>
          </w:p>
        </w:tc>
      </w:tr>
      <w:tr w14:paraId="0B43F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3FB641F">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4、</w:t>
            </w:r>
          </w:p>
        </w:tc>
        <w:tc>
          <w:tcPr>
            <w:tcW w:w="0" w:type="auto"/>
            <w:vMerge w:val="continue"/>
            <w:tcBorders>
              <w:top w:val="single" w:color="auto" w:sz="4" w:space="0"/>
              <w:left w:val="single" w:color="auto" w:sz="4" w:space="0"/>
              <w:bottom w:val="single" w:color="auto" w:sz="4" w:space="0"/>
              <w:right w:val="single" w:color="auto" w:sz="4" w:space="0"/>
              <w:tl2br w:val="nil"/>
              <w:tr2bl w:val="nil"/>
            </w:tcBorders>
            <w:shd w:val="clear" w:color="000000" w:fill="FFFFFF"/>
            <w:noWrap w:val="0"/>
            <w:vAlign w:val="center"/>
          </w:tcPr>
          <w:p w14:paraId="2CF75BC8">
            <w:pPr>
              <w:spacing w:after="200" w:line="276" w:lineRule="auto"/>
              <w:jc w:val="left"/>
              <w:rPr>
                <w:rFonts w:hint="eastAsia" w:ascii="宋体" w:hAnsi="宋体"/>
                <w:color w:val="auto"/>
                <w:sz w:val="22"/>
                <w:szCs w:val="24"/>
                <w:lang w:val="zh-CN"/>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138068D">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推杆机：≤0.89平方</w:t>
            </w:r>
          </w:p>
        </w:tc>
      </w:tr>
      <w:tr w14:paraId="5B0B7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D234800">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5、</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ACF8BE9">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额定功率</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1F895B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≤100W</w:t>
            </w:r>
          </w:p>
        </w:tc>
      </w:tr>
      <w:tr w14:paraId="2C413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6FA8FF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6、</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6C85BBF">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网络接入</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DEF47B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支持4G物联卡</w:t>
            </w:r>
          </w:p>
        </w:tc>
      </w:tr>
      <w:tr w14:paraId="47E9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0B3FB39">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7、</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6D2F4E2">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操控屏幕</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115F06C">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≥10寸</w:t>
            </w:r>
          </w:p>
        </w:tc>
      </w:tr>
      <w:tr w14:paraId="1856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76D5FEC">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8、</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521B52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操作系统</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589F068">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安卓</w:t>
            </w:r>
          </w:p>
        </w:tc>
      </w:tr>
      <w:tr w14:paraId="4A169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BA00A45">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9、</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35808D7">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取货方式</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B1A3BF4">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推杆式或者电磁锁开门</w:t>
            </w:r>
          </w:p>
        </w:tc>
      </w:tr>
      <w:tr w14:paraId="1094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12F7F08">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CCFE07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支付方式</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2EC1720">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微信/支付宝扫码支付</w:t>
            </w:r>
          </w:p>
        </w:tc>
      </w:tr>
      <w:tr w14:paraId="336AE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5E7D08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11、</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2D1815E">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纸质小票</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45FCF6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自带或选配</w:t>
            </w:r>
          </w:p>
        </w:tc>
      </w:tr>
      <w:tr w14:paraId="4554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8463724">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12、</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DB97BB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副机连接</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868BB6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售货机设备应支持连接副机功能。</w:t>
            </w:r>
          </w:p>
        </w:tc>
      </w:tr>
      <w:tr w14:paraId="09388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75D0B84">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13、</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507E068">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屏幕广告</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955A388">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售货机设备应支持播放患者教育，政策宣传视频文字广告功能。</w:t>
            </w:r>
          </w:p>
        </w:tc>
      </w:tr>
      <w:tr w14:paraId="1852B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9E097B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14、</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A3C08AE">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商品展示</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0BD8B4F">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售货机设备应支持顾客能够直观看到售卖的商品，让其自主选择、自由购买</w:t>
            </w:r>
          </w:p>
        </w:tc>
      </w:tr>
      <w:tr w14:paraId="34E96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D53987B">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15、</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9AD7FFC">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货道数量</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CABFCDB">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售货机应支持售卖各种类型的产品（含易脆、不规则、大尺寸等）售卖，同一台格子售货机设备支持不少于三种（含）规格大中小格子货道。</w:t>
            </w:r>
          </w:p>
        </w:tc>
      </w:tr>
    </w:tbl>
    <w:p w14:paraId="3301EEBA">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xml:space="preserve">  投标人使用售货机设备必须满足上述要求。</w:t>
      </w:r>
    </w:p>
    <w:p w14:paraId="00CDC40C">
      <w:pPr>
        <w:spacing w:line="360" w:lineRule="auto"/>
        <w:ind w:left="360" w:hanging="360"/>
        <w:jc w:val="left"/>
        <w:rPr>
          <w:rFonts w:hint="eastAsia" w:ascii="宋体" w:hAnsi="宋体"/>
          <w:color w:val="000000"/>
          <w:sz w:val="18"/>
          <w:szCs w:val="24"/>
          <w:lang w:val="zh-CN"/>
        </w:rPr>
      </w:pPr>
      <w:r>
        <w:rPr>
          <w:rFonts w:hint="eastAsia" w:ascii="宋体" w:hAnsi="宋体"/>
          <w:color w:val="000000"/>
          <w:sz w:val="18"/>
          <w:szCs w:val="24"/>
          <w:lang w:val="en-US" w:eastAsia="zh-CN"/>
        </w:rPr>
        <w:t>2、</w:t>
      </w:r>
      <w:r>
        <w:rPr>
          <w:rFonts w:hint="eastAsia" w:ascii="宋体" w:hAnsi="宋体"/>
          <w:color w:val="000000"/>
          <w:sz w:val="18"/>
          <w:szCs w:val="24"/>
          <w:lang w:val="zh-CN"/>
        </w:rPr>
        <w:t>合作服务要求：</w:t>
      </w:r>
    </w:p>
    <w:p w14:paraId="37F915A7">
      <w:pPr>
        <w:numPr>
          <w:ilvl w:val="0"/>
          <w:numId w:val="1"/>
        </w:numPr>
        <w:spacing w:line="360" w:lineRule="auto"/>
        <w:jc w:val="left"/>
        <w:rPr>
          <w:rFonts w:hint="eastAsia" w:ascii="宋体" w:hAnsi="宋体"/>
          <w:color w:val="000000"/>
          <w:sz w:val="18"/>
          <w:szCs w:val="24"/>
          <w:highlight w:val="none"/>
          <w:lang w:val="zh-CN" w:eastAsia="zh-CN"/>
        </w:rPr>
      </w:pPr>
      <w:r>
        <w:rPr>
          <w:rFonts w:hint="eastAsia" w:ascii="宋体" w:hAnsi="宋体"/>
          <w:color w:val="000000"/>
          <w:sz w:val="18"/>
          <w:szCs w:val="24"/>
          <w:highlight w:val="none"/>
          <w:lang w:val="en-US" w:eastAsia="zh-CN"/>
        </w:rPr>
        <w:t>.便</w:t>
      </w:r>
      <w:r>
        <w:rPr>
          <w:rFonts w:hint="eastAsia" w:ascii="宋体" w:hAnsi="宋体"/>
          <w:color w:val="000000"/>
          <w:sz w:val="18"/>
          <w:szCs w:val="24"/>
          <w:highlight w:val="none"/>
          <w:lang w:val="zh-CN"/>
        </w:rPr>
        <w:t>民自动售货机销售的相关耗材</w:t>
      </w:r>
      <w:r>
        <w:rPr>
          <w:rFonts w:hint="eastAsia" w:ascii="宋体" w:hAnsi="宋体"/>
          <w:color w:val="000000"/>
          <w:sz w:val="18"/>
          <w:szCs w:val="24"/>
          <w:highlight w:val="none"/>
          <w:lang w:val="zh-CN" w:eastAsia="zh-CN"/>
        </w:rPr>
        <w:t>需要有医疗器械注册证或者备案证。</w:t>
      </w:r>
    </w:p>
    <w:p w14:paraId="644FF183">
      <w:pPr>
        <w:numPr>
          <w:ilvl w:val="0"/>
          <w:numId w:val="1"/>
        </w:numPr>
        <w:spacing w:line="360" w:lineRule="auto"/>
        <w:jc w:val="left"/>
        <w:rPr>
          <w:rFonts w:hint="eastAsia" w:ascii="宋体" w:hAnsi="宋体"/>
          <w:color w:val="000000"/>
          <w:sz w:val="18"/>
          <w:szCs w:val="24"/>
          <w:highlight w:val="none"/>
          <w:lang w:val="en-US" w:eastAsia="zh-CN"/>
        </w:rPr>
      </w:pPr>
      <w:r>
        <w:rPr>
          <w:rFonts w:hint="eastAsia" w:ascii="宋体" w:hAnsi="宋体"/>
          <w:color w:val="000000"/>
          <w:sz w:val="18"/>
          <w:szCs w:val="24"/>
          <w:highlight w:val="none"/>
          <w:lang w:val="en-US" w:eastAsia="zh-CN"/>
        </w:rPr>
        <w:t>.便</w:t>
      </w:r>
      <w:r>
        <w:rPr>
          <w:rFonts w:hint="eastAsia" w:ascii="宋体" w:hAnsi="宋体"/>
          <w:color w:val="000000"/>
          <w:sz w:val="18"/>
          <w:szCs w:val="24"/>
          <w:highlight w:val="none"/>
          <w:lang w:val="zh-CN"/>
        </w:rPr>
        <w:t>民自动售货机销售的相关耗材</w:t>
      </w:r>
      <w:r>
        <w:rPr>
          <w:rFonts w:hint="eastAsia" w:ascii="宋体" w:hAnsi="宋体"/>
          <w:color w:val="000000"/>
          <w:sz w:val="18"/>
          <w:szCs w:val="24"/>
          <w:highlight w:val="none"/>
          <w:lang w:val="zh-CN" w:eastAsia="zh-CN"/>
        </w:rPr>
        <w:t>需要通过医院管理部门审核通过后，方可销售。</w:t>
      </w:r>
    </w:p>
    <w:p w14:paraId="2D33BE2A">
      <w:pPr>
        <w:numPr>
          <w:ilvl w:val="0"/>
          <w:numId w:val="1"/>
        </w:numPr>
        <w:spacing w:line="360" w:lineRule="auto"/>
        <w:jc w:val="left"/>
        <w:rPr>
          <w:rFonts w:hint="eastAsia" w:ascii="宋体" w:hAnsi="宋体"/>
          <w:color w:val="000000"/>
          <w:sz w:val="18"/>
          <w:szCs w:val="24"/>
          <w:highlight w:val="none"/>
          <w:lang w:val="en-US" w:eastAsia="zh-CN"/>
        </w:rPr>
      </w:pPr>
      <w:r>
        <w:rPr>
          <w:rFonts w:hint="eastAsia" w:ascii="宋体" w:hAnsi="宋体"/>
          <w:color w:val="000000"/>
          <w:sz w:val="18"/>
          <w:szCs w:val="24"/>
          <w:highlight w:val="none"/>
          <w:lang w:val="en-US" w:eastAsia="zh-CN"/>
        </w:rPr>
        <w:t>.投标人每月需将产品销售报表递交给医院管理部门。</w:t>
      </w:r>
    </w:p>
    <w:p w14:paraId="7F3E626E">
      <w:pPr>
        <w:spacing w:line="360" w:lineRule="auto"/>
        <w:jc w:val="left"/>
        <w:rPr>
          <w:rFonts w:hint="eastAsia" w:ascii="宋体" w:hAnsi="宋体"/>
          <w:color w:val="000000"/>
          <w:sz w:val="18"/>
          <w:szCs w:val="24"/>
          <w:lang w:val="zh-CN"/>
        </w:rPr>
      </w:pPr>
      <w:r>
        <w:rPr>
          <w:rFonts w:hint="eastAsia" w:ascii="宋体" w:hAnsi="宋体"/>
          <w:color w:val="000000"/>
          <w:sz w:val="18"/>
          <w:szCs w:val="24"/>
          <w:lang w:val="en-US" w:eastAsia="zh-CN"/>
        </w:rPr>
        <w:t>4</w:t>
      </w:r>
      <w:r>
        <w:rPr>
          <w:rFonts w:hint="eastAsia" w:ascii="宋体" w:hAnsi="宋体"/>
          <w:color w:val="000000"/>
          <w:sz w:val="18"/>
          <w:szCs w:val="24"/>
          <w:lang w:val="zh-CN"/>
        </w:rPr>
        <w:t>）投标人根据国家标准、行业标准和规范要求、磋商文件规定的服务质量标准和有关要求及响应文件所作的承诺，积极主动保质保量地完成服务工作。</w:t>
      </w:r>
    </w:p>
    <w:p w14:paraId="5CB2CCC1">
      <w:pPr>
        <w:spacing w:line="360" w:lineRule="auto"/>
        <w:jc w:val="left"/>
        <w:rPr>
          <w:rFonts w:hint="eastAsia" w:ascii="宋体" w:hAnsi="宋体"/>
          <w:color w:val="000000"/>
          <w:sz w:val="18"/>
          <w:szCs w:val="24"/>
          <w:lang w:val="zh-CN"/>
        </w:rPr>
      </w:pPr>
      <w:r>
        <w:rPr>
          <w:rFonts w:hint="eastAsia" w:ascii="宋体" w:hAnsi="宋体"/>
          <w:color w:val="000000"/>
          <w:sz w:val="18"/>
          <w:szCs w:val="24"/>
          <w:lang w:val="en-US" w:eastAsia="zh-CN"/>
        </w:rPr>
        <w:t>5</w:t>
      </w:r>
      <w:r>
        <w:rPr>
          <w:rFonts w:hint="eastAsia" w:ascii="宋体" w:hAnsi="宋体"/>
          <w:color w:val="000000"/>
          <w:sz w:val="18"/>
          <w:szCs w:val="24"/>
          <w:lang w:val="zh-CN"/>
        </w:rPr>
        <w:t>）.投标人负责解决与本项目有关的一切技术问题。</w:t>
      </w:r>
    </w:p>
    <w:p w14:paraId="206C6036">
      <w:pPr>
        <w:spacing w:line="360" w:lineRule="auto"/>
        <w:jc w:val="left"/>
        <w:rPr>
          <w:rFonts w:hint="eastAsia" w:ascii="宋体" w:hAnsi="宋体"/>
          <w:color w:val="000000"/>
          <w:sz w:val="18"/>
          <w:szCs w:val="24"/>
          <w:lang w:val="zh-CN"/>
        </w:rPr>
      </w:pPr>
      <w:r>
        <w:rPr>
          <w:rFonts w:hint="eastAsia" w:ascii="宋体" w:hAnsi="宋体"/>
          <w:color w:val="000000"/>
          <w:sz w:val="18"/>
          <w:szCs w:val="24"/>
          <w:lang w:val="en-US" w:eastAsia="zh-CN"/>
        </w:rPr>
        <w:t>6</w:t>
      </w:r>
      <w:r>
        <w:rPr>
          <w:rFonts w:hint="eastAsia" w:ascii="宋体" w:hAnsi="宋体"/>
          <w:color w:val="000000"/>
          <w:sz w:val="18"/>
          <w:szCs w:val="24"/>
          <w:lang w:val="zh-CN"/>
        </w:rPr>
        <w:t>）.因投标人货物原因造成的安全、质量等责任事故及经济损失，由投标人负全部责任。</w:t>
      </w:r>
    </w:p>
    <w:p w14:paraId="2A165FF7">
      <w:pPr>
        <w:spacing w:line="360" w:lineRule="auto"/>
        <w:jc w:val="left"/>
        <w:rPr>
          <w:rFonts w:hint="eastAsia" w:ascii="宋体" w:hAnsi="宋体"/>
          <w:color w:val="000000"/>
          <w:sz w:val="18"/>
          <w:szCs w:val="24"/>
          <w:lang w:val="zh-CN"/>
        </w:rPr>
      </w:pPr>
      <w:r>
        <w:rPr>
          <w:rFonts w:hint="eastAsia" w:ascii="宋体" w:hAnsi="宋体"/>
          <w:color w:val="000000"/>
          <w:sz w:val="18"/>
          <w:szCs w:val="24"/>
          <w:lang w:val="en-US" w:eastAsia="zh-CN"/>
        </w:rPr>
        <w:t>7</w:t>
      </w:r>
      <w:r>
        <w:rPr>
          <w:rFonts w:hint="eastAsia" w:ascii="宋体" w:hAnsi="宋体"/>
          <w:color w:val="000000"/>
          <w:sz w:val="18"/>
          <w:szCs w:val="24"/>
          <w:lang w:val="zh-CN"/>
        </w:rPr>
        <w:t>）.投标人应配备具有相应资质、特定经验的工作人员负责项目实施，按照合同约定的标准、要求和时间完成项目。</w:t>
      </w:r>
    </w:p>
    <w:p w14:paraId="6C7258CB">
      <w:pPr>
        <w:spacing w:line="360" w:lineRule="auto"/>
        <w:jc w:val="left"/>
        <w:rPr>
          <w:rFonts w:hint="eastAsia" w:ascii="宋体" w:hAnsi="宋体"/>
          <w:color w:val="000000"/>
          <w:sz w:val="18"/>
          <w:szCs w:val="24"/>
          <w:lang w:val="zh-CN"/>
        </w:rPr>
      </w:pPr>
      <w:r>
        <w:rPr>
          <w:rFonts w:hint="eastAsia" w:ascii="宋体" w:hAnsi="宋体"/>
          <w:color w:val="000000"/>
          <w:sz w:val="18"/>
          <w:szCs w:val="24"/>
          <w:lang w:val="en-US" w:eastAsia="zh-CN"/>
        </w:rPr>
        <w:t>8</w:t>
      </w:r>
      <w:r>
        <w:rPr>
          <w:rFonts w:hint="eastAsia" w:ascii="宋体" w:hAnsi="宋体"/>
          <w:color w:val="000000"/>
          <w:sz w:val="18"/>
          <w:szCs w:val="24"/>
          <w:lang w:val="zh-CN"/>
        </w:rPr>
        <w:t>）.对服务范围之外的突击性、突发性工作，投标人须服从医院的安排，不得无故拖延。</w:t>
      </w:r>
    </w:p>
    <w:p w14:paraId="62E41A95">
      <w:pPr>
        <w:spacing w:line="360" w:lineRule="auto"/>
        <w:jc w:val="left"/>
        <w:rPr>
          <w:rFonts w:hint="eastAsia" w:ascii="宋体" w:hAnsi="宋体"/>
          <w:color w:val="000000"/>
          <w:sz w:val="18"/>
          <w:szCs w:val="24"/>
          <w:lang w:val="zh-CN"/>
        </w:rPr>
      </w:pPr>
      <w:r>
        <w:rPr>
          <w:rFonts w:hint="eastAsia" w:ascii="宋体" w:hAnsi="宋体"/>
          <w:color w:val="000000"/>
          <w:sz w:val="18"/>
          <w:szCs w:val="24"/>
          <w:lang w:val="en-US" w:eastAsia="zh-CN"/>
        </w:rPr>
        <w:t>9</w:t>
      </w:r>
      <w:r>
        <w:rPr>
          <w:rFonts w:hint="eastAsia" w:ascii="宋体" w:hAnsi="宋体"/>
          <w:color w:val="000000"/>
          <w:sz w:val="18"/>
          <w:szCs w:val="24"/>
          <w:lang w:val="zh-CN"/>
        </w:rPr>
        <w:t>）.对因投标人管理不善而损坏的硬件设施，投标人应负责及时修复，其他硬件设施需及时修复或照价赔偿。</w:t>
      </w:r>
    </w:p>
    <w:p w14:paraId="1B2B4B88">
      <w:pPr>
        <w:spacing w:line="360" w:lineRule="auto"/>
        <w:jc w:val="left"/>
        <w:rPr>
          <w:rFonts w:hint="eastAsia" w:ascii="宋体" w:hAnsi="宋体"/>
          <w:color w:val="000000"/>
          <w:sz w:val="18"/>
          <w:szCs w:val="24"/>
          <w:lang w:val="zh-CN"/>
        </w:rPr>
      </w:pPr>
      <w:r>
        <w:rPr>
          <w:rFonts w:hint="eastAsia" w:ascii="宋体" w:hAnsi="宋体"/>
          <w:color w:val="000000"/>
          <w:sz w:val="18"/>
          <w:szCs w:val="24"/>
          <w:lang w:val="en-US" w:eastAsia="zh-CN"/>
        </w:rPr>
        <w:t>10</w:t>
      </w:r>
      <w:r>
        <w:rPr>
          <w:rFonts w:hint="eastAsia" w:ascii="宋体" w:hAnsi="宋体"/>
          <w:color w:val="000000"/>
          <w:sz w:val="18"/>
          <w:szCs w:val="24"/>
          <w:lang w:val="zh-CN"/>
        </w:rPr>
        <w:t>）.投标人负责各项设备的日常营运管理。上述设备的产权及运营中的收益归属于投标人。投标人应确保设备的正常运行，并负责设备补货、清洁及维修工作。投标人所提供设备应符合相关国家标准和行业标准。</w:t>
      </w:r>
    </w:p>
    <w:p w14:paraId="0BC315F9">
      <w:pPr>
        <w:spacing w:line="360" w:lineRule="auto"/>
        <w:jc w:val="left"/>
        <w:rPr>
          <w:rFonts w:hint="eastAsia" w:ascii="宋体" w:hAnsi="宋体"/>
          <w:color w:val="000000"/>
          <w:sz w:val="18"/>
          <w:szCs w:val="24"/>
          <w:lang w:val="zh-CN"/>
        </w:rPr>
      </w:pPr>
      <w:r>
        <w:rPr>
          <w:rFonts w:hint="eastAsia" w:ascii="宋体" w:hAnsi="宋体"/>
          <w:color w:val="000000"/>
          <w:sz w:val="18"/>
          <w:szCs w:val="24"/>
          <w:lang w:val="en-US" w:eastAsia="zh-CN"/>
        </w:rPr>
        <w:t>11</w:t>
      </w:r>
      <w:r>
        <w:rPr>
          <w:rFonts w:hint="eastAsia" w:ascii="宋体" w:hAnsi="宋体"/>
          <w:color w:val="000000"/>
          <w:sz w:val="18"/>
          <w:szCs w:val="24"/>
          <w:lang w:val="zh-CN"/>
        </w:rPr>
        <w:t>）.投标人应保证所提供的货物或其任何一部分均不会侵犯任何第三方的知识产权，如若出现侵权行为，由投标人付全部责任，医院不因此承担任何的法律责任。</w:t>
      </w:r>
    </w:p>
    <w:p w14:paraId="1E919333">
      <w:pPr>
        <w:spacing w:line="360" w:lineRule="auto"/>
        <w:jc w:val="left"/>
        <w:rPr>
          <w:rFonts w:hint="eastAsia" w:ascii="宋体" w:hAnsi="宋体"/>
          <w:color w:val="000000"/>
          <w:sz w:val="18"/>
          <w:szCs w:val="24"/>
          <w:lang w:val="zh-CN"/>
        </w:rPr>
      </w:pPr>
      <w:r>
        <w:rPr>
          <w:rFonts w:hint="eastAsia" w:ascii="宋体" w:hAnsi="宋体"/>
          <w:color w:val="000000"/>
          <w:sz w:val="18"/>
          <w:szCs w:val="24"/>
          <w:lang w:val="en-US" w:eastAsia="zh-CN"/>
        </w:rPr>
        <w:t>12</w:t>
      </w:r>
      <w:r>
        <w:rPr>
          <w:rFonts w:hint="eastAsia" w:ascii="宋体" w:hAnsi="宋体"/>
          <w:color w:val="000000"/>
          <w:sz w:val="18"/>
          <w:szCs w:val="24"/>
          <w:lang w:val="zh-CN"/>
        </w:rPr>
        <w:t>）.运输、安装过程中的货物毁损及发生的安全事故由投标人承担相关责任。</w:t>
      </w:r>
    </w:p>
    <w:p w14:paraId="22BDD36A">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1</w:t>
      </w:r>
      <w:r>
        <w:rPr>
          <w:rFonts w:hint="eastAsia" w:ascii="宋体" w:hAnsi="宋体"/>
          <w:color w:val="000000"/>
          <w:sz w:val="18"/>
          <w:szCs w:val="24"/>
          <w:lang w:val="en-US" w:eastAsia="zh-CN"/>
        </w:rPr>
        <w:t>3</w:t>
      </w:r>
      <w:r>
        <w:rPr>
          <w:rFonts w:hint="eastAsia" w:ascii="宋体" w:hAnsi="宋体"/>
          <w:color w:val="000000"/>
          <w:sz w:val="18"/>
          <w:szCs w:val="24"/>
          <w:lang w:val="zh-CN"/>
        </w:rPr>
        <w:t>）.提供24小时服务电话，及时处理用户的投诉。</w:t>
      </w:r>
    </w:p>
    <w:p w14:paraId="003777AD">
      <w:pPr>
        <w:spacing w:line="360" w:lineRule="auto"/>
        <w:jc w:val="left"/>
        <w:rPr>
          <w:rFonts w:hint="eastAsia" w:ascii="宋体" w:hAnsi="宋体"/>
          <w:color w:val="000000"/>
          <w:sz w:val="18"/>
          <w:szCs w:val="24"/>
          <w:lang w:val="zh-CN"/>
        </w:rPr>
      </w:pPr>
    </w:p>
    <w:p w14:paraId="2FBF203A">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四、管理费用支付方式：</w:t>
      </w:r>
    </w:p>
    <w:p w14:paraId="32F03175">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投标人每月向医院支付费用，按照元/点位/月向医院支付电费、管理费</w:t>
      </w:r>
    </w:p>
    <w:p w14:paraId="4C63243E">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五、勘察现场：</w:t>
      </w:r>
    </w:p>
    <w:p w14:paraId="372479D2">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由各投标人根据医院提供的位置自行查看，因未能勘察现场，给投标人带来影响，由投标人自行承担。</w:t>
      </w:r>
    </w:p>
    <w:p w14:paraId="23A3BF3B">
      <w:pPr>
        <w:spacing w:line="360" w:lineRule="auto"/>
        <w:jc w:val="left"/>
        <w:rPr>
          <w:rFonts w:hint="eastAsia" w:ascii="宋体" w:hAnsi="宋体"/>
          <w:color w:val="000000"/>
          <w:sz w:val="18"/>
          <w:szCs w:val="24"/>
          <w:highlight w:val="white"/>
          <w:lang w:val="zh-CN"/>
        </w:rPr>
      </w:pPr>
      <w:r>
        <w:rPr>
          <w:rFonts w:hint="eastAsia" w:ascii="宋体" w:hAnsi="宋体"/>
          <w:color w:val="000000"/>
          <w:sz w:val="18"/>
          <w:szCs w:val="24"/>
          <w:highlight w:val="white"/>
          <w:lang w:val="zh-CN"/>
        </w:rPr>
        <w:t>六、资质审查：</w:t>
      </w:r>
    </w:p>
    <w:p w14:paraId="7DC897A0">
      <w:pPr>
        <w:spacing w:line="360" w:lineRule="auto"/>
        <w:jc w:val="left"/>
        <w:rPr>
          <w:rFonts w:hint="eastAsia" w:ascii="宋体" w:hAnsi="宋体"/>
          <w:color w:val="000000"/>
          <w:sz w:val="18"/>
          <w:szCs w:val="24"/>
          <w:lang w:val="zh-CN"/>
        </w:rPr>
      </w:pPr>
      <w:r>
        <w:rPr>
          <w:rFonts w:hint="eastAsia" w:ascii="宋体" w:hAnsi="宋体"/>
          <w:color w:val="000000"/>
          <w:sz w:val="18"/>
          <w:szCs w:val="24"/>
          <w:highlight w:val="white"/>
          <w:lang w:val="zh-CN"/>
        </w:rPr>
        <w:t>在整个招标过程中，由医院组织评委会将对投标人的资质进行审查，若发现投标人的资质条件不符合招标文件要求，可随时取消其投标或中标资格。</w:t>
      </w:r>
    </w:p>
    <w:p w14:paraId="1F19D98C">
      <w:pPr>
        <w:spacing w:line="360" w:lineRule="auto"/>
        <w:jc w:val="left"/>
        <w:rPr>
          <w:rFonts w:hint="eastAsia" w:ascii="宋体" w:hAnsi="宋体"/>
          <w:color w:val="000000"/>
          <w:sz w:val="18"/>
          <w:szCs w:val="24"/>
          <w:lang w:val="zh-CN"/>
        </w:rPr>
      </w:pPr>
      <w:r>
        <w:rPr>
          <w:rFonts w:hint="eastAsia" w:ascii="宋体" w:hAnsi="宋体"/>
          <w:color w:val="000000"/>
          <w:sz w:val="18"/>
          <w:szCs w:val="24"/>
          <w:highlight w:val="white"/>
          <w:lang w:val="zh-CN"/>
        </w:rPr>
        <w:t>七、投标人材料：</w:t>
      </w:r>
    </w:p>
    <w:p w14:paraId="60FDD10F">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投标人营业执照等资质证件，加盖公章</w:t>
      </w:r>
    </w:p>
    <w:p w14:paraId="463A2055">
      <w:pPr>
        <w:spacing w:line="360" w:lineRule="auto"/>
        <w:jc w:val="left"/>
        <w:rPr>
          <w:rFonts w:hint="eastAsia" w:ascii="宋体" w:hAnsi="宋体"/>
          <w:color w:val="000000"/>
          <w:sz w:val="18"/>
          <w:szCs w:val="24"/>
          <w:lang w:val="en-US" w:eastAsia="zh-CN"/>
        </w:rPr>
      </w:pPr>
      <w:r>
        <w:rPr>
          <w:rFonts w:hint="eastAsia" w:ascii="宋体" w:hAnsi="宋体"/>
          <w:color w:val="000000"/>
          <w:sz w:val="18"/>
          <w:szCs w:val="24"/>
          <w:lang w:val="zh-CN"/>
        </w:rPr>
        <w:t>其他医院签约合同</w:t>
      </w:r>
      <w:r>
        <w:rPr>
          <w:rFonts w:hint="eastAsia" w:ascii="宋体" w:hAnsi="宋体"/>
          <w:color w:val="000000"/>
          <w:sz w:val="18"/>
          <w:szCs w:val="24"/>
          <w:lang w:val="en-US" w:eastAsia="zh-CN"/>
        </w:rPr>
        <w:t xml:space="preserve">  </w:t>
      </w:r>
    </w:p>
    <w:p w14:paraId="105F7509">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投标人投标承诺文件</w:t>
      </w:r>
    </w:p>
    <w:p w14:paraId="04E2DCD4">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投标人报价书</w:t>
      </w:r>
    </w:p>
    <w:p w14:paraId="4BCD2C65">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以密封的形式递交给医院</w:t>
      </w:r>
    </w:p>
    <w:p w14:paraId="6BFEDA66">
      <w:pPr>
        <w:numPr>
          <w:ilvl w:val="0"/>
          <w:numId w:val="2"/>
        </w:num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报名事宜</w:t>
      </w:r>
      <w:r>
        <w:rPr>
          <w:rFonts w:hint="eastAsia" w:ascii="宋体" w:hAnsi="宋体"/>
          <w:color w:val="000000"/>
          <w:sz w:val="18"/>
          <w:szCs w:val="24"/>
          <w:lang w:val="zh-CN" w:eastAsia="zh-CN"/>
        </w:rPr>
        <w:t>：</w:t>
      </w:r>
    </w:p>
    <w:p w14:paraId="33CD0415">
      <w:pPr>
        <w:numPr>
          <w:ilvl w:val="-1"/>
          <w:numId w:val="0"/>
        </w:numPr>
        <w:spacing w:line="360" w:lineRule="auto"/>
        <w:jc w:val="left"/>
        <w:rPr>
          <w:rFonts w:hint="default" w:ascii="宋体" w:hAnsi="宋体" w:eastAsia="宋体"/>
          <w:color w:val="000000"/>
          <w:sz w:val="18"/>
          <w:szCs w:val="24"/>
          <w:lang w:val="en-US" w:eastAsia="zh-CN"/>
        </w:rPr>
      </w:pPr>
      <w:r>
        <w:rPr>
          <w:rFonts w:hint="eastAsia" w:ascii="宋体" w:hAnsi="宋体"/>
          <w:color w:val="000000"/>
          <w:sz w:val="18"/>
          <w:szCs w:val="24"/>
          <w:lang w:val="zh-CN"/>
        </w:rPr>
        <w:t>报名时间：</w:t>
      </w:r>
      <w:r>
        <w:rPr>
          <w:rFonts w:hint="eastAsia" w:ascii="宋体" w:hAnsi="宋体"/>
          <w:color w:val="000000"/>
          <w:sz w:val="18"/>
          <w:szCs w:val="24"/>
          <w:lang w:val="en-US" w:eastAsia="zh-CN"/>
        </w:rPr>
        <w:t>2025年4月26日--2025年5月23日</w:t>
      </w:r>
    </w:p>
    <w:p w14:paraId="03B4A6EB">
      <w:pPr>
        <w:numPr>
          <w:ilvl w:val="-1"/>
          <w:numId w:val="0"/>
        </w:num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报名地址：杭州市萧山区第一人民医院设备科</w:t>
      </w:r>
    </w:p>
    <w:p w14:paraId="253E88AE">
      <w:pPr>
        <w:spacing w:line="360" w:lineRule="auto"/>
        <w:jc w:val="left"/>
        <w:rPr>
          <w:rFonts w:hint="eastAsia" w:ascii="宋体" w:hAnsi="宋体"/>
          <w:color w:val="000000"/>
          <w:sz w:val="18"/>
          <w:szCs w:val="24"/>
          <w:highlight w:val="white"/>
          <w:lang w:val="zh-CN"/>
        </w:rPr>
      </w:pPr>
      <w:r>
        <w:rPr>
          <w:rFonts w:hint="eastAsia" w:ascii="宋体" w:hAnsi="宋体"/>
          <w:color w:val="000000"/>
          <w:sz w:val="18"/>
          <w:szCs w:val="24"/>
          <w:highlight w:val="white"/>
          <w:lang w:val="zh-CN"/>
        </w:rPr>
        <w:t>九、评标办法：</w:t>
      </w:r>
      <w:bookmarkStart w:id="0" w:name="_GoBack"/>
      <w:bookmarkEnd w:id="0"/>
    </w:p>
    <w:p w14:paraId="799C928C">
      <w:pPr>
        <w:spacing w:line="360" w:lineRule="auto"/>
        <w:jc w:val="left"/>
        <w:rPr>
          <w:rFonts w:hint="eastAsia" w:ascii="宋体" w:hAnsi="宋体"/>
          <w:color w:val="000000"/>
          <w:sz w:val="18"/>
          <w:szCs w:val="24"/>
          <w:lang w:val="zh-CN"/>
        </w:rPr>
      </w:pPr>
      <w:r>
        <w:rPr>
          <w:rFonts w:hint="eastAsia" w:ascii="宋体" w:hAnsi="宋体"/>
          <w:color w:val="000000"/>
          <w:sz w:val="18"/>
          <w:szCs w:val="24"/>
          <w:highlight w:val="white"/>
          <w:lang w:val="zh-CN"/>
        </w:rPr>
        <w:t>以标书综合得分为准，得分最高者中标。</w:t>
      </w:r>
    </w:p>
    <w:p w14:paraId="017793D7">
      <w:pPr>
        <w:spacing w:line="360" w:lineRule="auto"/>
        <w:jc w:val="left"/>
        <w:rPr>
          <w:rFonts w:hint="eastAsia" w:ascii="宋体" w:hAnsi="宋体"/>
          <w:color w:val="000000"/>
          <w:sz w:val="18"/>
          <w:szCs w:val="24"/>
          <w:lang w:val="zh-CN"/>
        </w:rPr>
      </w:pPr>
      <w:r>
        <w:rPr>
          <w:rFonts w:hint="eastAsia" w:ascii="宋体" w:hAnsi="宋体"/>
          <w:color w:val="000000"/>
          <w:sz w:val="18"/>
          <w:szCs w:val="24"/>
          <w:highlight w:val="white"/>
          <w:lang w:val="zh-CN"/>
        </w:rPr>
        <w:t>十、开标时间及地点：</w:t>
      </w:r>
    </w:p>
    <w:p w14:paraId="528766D8">
      <w:pPr>
        <w:spacing w:line="360" w:lineRule="auto"/>
        <w:jc w:val="left"/>
        <w:rPr>
          <w:rFonts w:hint="eastAsia" w:ascii="宋体" w:hAnsi="宋体"/>
          <w:color w:val="000000"/>
          <w:sz w:val="18"/>
          <w:szCs w:val="24"/>
          <w:highlight w:val="white"/>
          <w:lang w:val="zh-CN"/>
        </w:rPr>
      </w:pPr>
      <w:r>
        <w:rPr>
          <w:rFonts w:hint="eastAsia" w:ascii="宋体" w:hAnsi="宋体"/>
          <w:color w:val="000000"/>
          <w:sz w:val="18"/>
          <w:szCs w:val="24"/>
          <w:highlight w:val="white"/>
          <w:lang w:val="zh-CN"/>
        </w:rPr>
        <w:t>开标时间：另行通知</w:t>
      </w:r>
    </w:p>
    <w:p w14:paraId="3D9F3F93">
      <w:pPr>
        <w:spacing w:line="360" w:lineRule="auto"/>
        <w:jc w:val="left"/>
        <w:rPr>
          <w:rFonts w:hint="eastAsia" w:ascii="宋体" w:hAnsi="宋体"/>
          <w:color w:val="000000"/>
          <w:sz w:val="18"/>
          <w:szCs w:val="24"/>
          <w:lang w:val="zh-CN"/>
        </w:rPr>
      </w:pPr>
      <w:r>
        <w:rPr>
          <w:rFonts w:hint="eastAsia" w:ascii="宋体" w:hAnsi="宋体"/>
          <w:color w:val="000000"/>
          <w:sz w:val="18"/>
          <w:szCs w:val="24"/>
          <w:highlight w:val="white"/>
          <w:lang w:val="zh-CN"/>
        </w:rPr>
        <w:t>开标地点:杭州市萧山区第一人民医院</w:t>
      </w:r>
    </w:p>
    <w:p w14:paraId="31FBC89A">
      <w:pPr>
        <w:spacing w:line="360" w:lineRule="auto"/>
        <w:jc w:val="left"/>
        <w:rPr>
          <w:rFonts w:hint="eastAsia" w:ascii="宋体" w:hAnsi="宋体"/>
          <w:color w:val="000000"/>
          <w:sz w:val="18"/>
          <w:szCs w:val="24"/>
          <w:lang w:val="zh-CN"/>
        </w:rPr>
      </w:pPr>
      <w:r>
        <w:rPr>
          <w:rFonts w:hint="eastAsia" w:ascii="宋体" w:hAnsi="宋体"/>
          <w:color w:val="000000"/>
          <w:sz w:val="18"/>
          <w:szCs w:val="24"/>
          <w:highlight w:val="white"/>
          <w:lang w:val="zh-CN"/>
        </w:rPr>
        <w:t>十一、本次开标联系事项：</w:t>
      </w:r>
    </w:p>
    <w:p w14:paraId="4A001B74">
      <w:pPr>
        <w:spacing w:line="360" w:lineRule="auto"/>
        <w:jc w:val="left"/>
        <w:rPr>
          <w:rFonts w:hint="default" w:ascii="宋体" w:hAnsi="宋体" w:eastAsia="宋体"/>
          <w:color w:val="000000"/>
          <w:sz w:val="18"/>
          <w:szCs w:val="24"/>
          <w:highlight w:val="white"/>
          <w:lang w:val="en-US" w:eastAsia="zh-CN"/>
        </w:rPr>
      </w:pPr>
      <w:r>
        <w:rPr>
          <w:rFonts w:hint="eastAsia" w:ascii="宋体" w:hAnsi="宋体"/>
          <w:color w:val="000000"/>
          <w:sz w:val="18"/>
          <w:szCs w:val="24"/>
          <w:highlight w:val="white"/>
          <w:lang w:val="zh-CN"/>
        </w:rPr>
        <w:t>1、招标单位联系人（技术咨询）:  周先生     电话:</w:t>
      </w:r>
      <w:r>
        <w:rPr>
          <w:rFonts w:hint="eastAsia" w:ascii="宋体" w:hAnsi="宋体"/>
          <w:color w:val="000000"/>
          <w:sz w:val="18"/>
          <w:szCs w:val="24"/>
          <w:highlight w:val="white"/>
          <w:lang w:val="en-US" w:eastAsia="zh-CN"/>
        </w:rPr>
        <w:t>0571-83807102</w:t>
      </w:r>
    </w:p>
    <w:p w14:paraId="779B6B2C">
      <w:pPr>
        <w:spacing w:line="360" w:lineRule="auto"/>
        <w:jc w:val="left"/>
        <w:rPr>
          <w:rFonts w:hint="eastAsia" w:ascii="宋体" w:hAnsi="宋体"/>
          <w:color w:val="000000"/>
          <w:sz w:val="18"/>
          <w:szCs w:val="24"/>
          <w:lang w:val="zh-CN"/>
        </w:rPr>
      </w:pPr>
      <w:r>
        <w:rPr>
          <w:rFonts w:hint="eastAsia" w:ascii="宋体" w:hAnsi="宋体"/>
          <w:color w:val="000000"/>
          <w:sz w:val="18"/>
          <w:szCs w:val="24"/>
          <w:highlight w:val="white"/>
          <w:lang w:val="zh-CN"/>
        </w:rPr>
        <w:t>2、招标单位联系地址: 杭州市萧山区第一人民医院</w:t>
      </w:r>
    </w:p>
    <w:p w14:paraId="7641667B">
      <w:pPr>
        <w:spacing w:line="360" w:lineRule="auto"/>
        <w:jc w:val="left"/>
        <w:rPr>
          <w:rFonts w:hint="eastAsia" w:ascii="宋体" w:hAnsi="宋体"/>
          <w:color w:val="000000"/>
          <w:sz w:val="18"/>
          <w:szCs w:val="24"/>
          <w:highlight w:val="white"/>
          <w:lang w:val="zh-CN"/>
        </w:rPr>
      </w:pPr>
    </w:p>
    <w:p w14:paraId="2856E886">
      <w:pPr>
        <w:spacing w:line="360" w:lineRule="auto"/>
        <w:jc w:val="left"/>
        <w:rPr>
          <w:rFonts w:hint="eastAsia" w:ascii="宋体" w:hAnsi="宋体"/>
          <w:color w:val="000000"/>
          <w:sz w:val="18"/>
          <w:szCs w:val="24"/>
          <w:highlight w:val="white"/>
          <w:lang w:val="zh-CN"/>
        </w:rPr>
      </w:pPr>
    </w:p>
    <w:p w14:paraId="05B7F7DB">
      <w:pPr>
        <w:spacing w:line="360" w:lineRule="auto"/>
        <w:jc w:val="left"/>
        <w:rPr>
          <w:rFonts w:hint="eastAsia" w:ascii="宋体" w:hAnsi="宋体"/>
          <w:color w:val="000000"/>
          <w:sz w:val="18"/>
          <w:szCs w:val="24"/>
          <w:lang w:val="zh-CN"/>
        </w:rPr>
      </w:pPr>
    </w:p>
    <w:p w14:paraId="52C42713">
      <w:pPr>
        <w:spacing w:line="360" w:lineRule="auto"/>
        <w:jc w:val="left"/>
        <w:rPr>
          <w:rFonts w:hint="eastAsia" w:ascii="宋体" w:hAnsi="宋体"/>
          <w:color w:val="000000"/>
          <w:sz w:val="18"/>
          <w:szCs w:val="24"/>
          <w:lang w:val="zh-CN"/>
        </w:rPr>
      </w:pPr>
    </w:p>
    <w:p w14:paraId="3B6D1D4C">
      <w:pPr>
        <w:spacing w:line="360" w:lineRule="auto"/>
        <w:jc w:val="left"/>
        <w:rPr>
          <w:rFonts w:hint="eastAsia" w:ascii="宋体" w:hAnsi="宋体"/>
          <w:color w:val="000000"/>
          <w:sz w:val="18"/>
          <w:szCs w:val="24"/>
          <w:lang w:val="zh-CN"/>
        </w:rPr>
      </w:pPr>
    </w:p>
    <w:p w14:paraId="160ABA0C">
      <w:pPr>
        <w:spacing w:line="360" w:lineRule="auto"/>
        <w:jc w:val="left"/>
        <w:rPr>
          <w:rFonts w:hint="eastAsia" w:ascii="宋体" w:hAnsi="宋体"/>
          <w:color w:val="000000"/>
          <w:sz w:val="18"/>
          <w:szCs w:val="24"/>
          <w:lang w:val="zh-CN"/>
        </w:rPr>
      </w:pPr>
    </w:p>
    <w:p w14:paraId="24C2B3FA">
      <w:pPr>
        <w:spacing w:line="360" w:lineRule="auto"/>
        <w:jc w:val="left"/>
        <w:rPr>
          <w:rFonts w:hint="eastAsia" w:ascii="宋体" w:hAnsi="宋体"/>
          <w:color w:val="000000"/>
          <w:sz w:val="18"/>
          <w:szCs w:val="24"/>
          <w:lang w:val="zh-CN"/>
        </w:rPr>
      </w:pPr>
    </w:p>
    <w:p w14:paraId="67D0DEF3">
      <w:pPr>
        <w:spacing w:line="360" w:lineRule="auto"/>
        <w:jc w:val="left"/>
        <w:rPr>
          <w:rFonts w:hint="eastAsia" w:ascii="宋体" w:hAnsi="宋体"/>
          <w:color w:val="000000"/>
          <w:sz w:val="18"/>
          <w:szCs w:val="24"/>
          <w:lang w:val="zh-CN"/>
        </w:rPr>
      </w:pPr>
    </w:p>
    <w:p w14:paraId="1B2F54D1">
      <w:pPr>
        <w:spacing w:line="360" w:lineRule="auto"/>
        <w:jc w:val="left"/>
        <w:rPr>
          <w:rFonts w:hint="eastAsia" w:ascii="宋体" w:hAnsi="宋体"/>
          <w:color w:val="000000"/>
          <w:sz w:val="18"/>
          <w:szCs w:val="24"/>
          <w:lang w:val="zh-CN"/>
        </w:rPr>
      </w:pPr>
    </w:p>
    <w:p w14:paraId="63A3934D">
      <w:pPr>
        <w:spacing w:line="360" w:lineRule="auto"/>
        <w:jc w:val="left"/>
        <w:rPr>
          <w:rFonts w:hint="eastAsia" w:ascii="宋体" w:hAnsi="宋体"/>
          <w:color w:val="000000"/>
          <w:sz w:val="18"/>
          <w:szCs w:val="24"/>
          <w:lang w:val="zh-CN"/>
        </w:rPr>
      </w:pPr>
    </w:p>
    <w:p w14:paraId="32401584">
      <w:pPr>
        <w:spacing w:line="360" w:lineRule="auto"/>
        <w:jc w:val="left"/>
        <w:rPr>
          <w:rFonts w:hint="eastAsia" w:ascii="宋体" w:hAnsi="宋体"/>
          <w:color w:val="000000"/>
          <w:sz w:val="18"/>
          <w:szCs w:val="24"/>
          <w:lang w:val="zh-CN"/>
        </w:rPr>
      </w:pPr>
    </w:p>
    <w:p w14:paraId="034E0EB2">
      <w:pPr>
        <w:spacing w:line="360" w:lineRule="auto"/>
        <w:jc w:val="left"/>
        <w:rPr>
          <w:rFonts w:hint="eastAsia" w:ascii="宋体" w:hAnsi="宋体"/>
          <w:color w:val="000000"/>
          <w:sz w:val="18"/>
          <w:szCs w:val="24"/>
          <w:lang w:val="zh-CN"/>
        </w:rPr>
      </w:pPr>
    </w:p>
    <w:p w14:paraId="403E5A0E">
      <w:pPr>
        <w:spacing w:line="360" w:lineRule="auto"/>
        <w:jc w:val="left"/>
        <w:rPr>
          <w:rFonts w:hint="eastAsia" w:ascii="宋体" w:hAnsi="宋体"/>
          <w:color w:val="000000"/>
          <w:sz w:val="18"/>
          <w:szCs w:val="24"/>
          <w:lang w:val="zh-CN"/>
        </w:rPr>
      </w:pPr>
    </w:p>
    <w:p w14:paraId="7C10F09E">
      <w:pPr>
        <w:spacing w:line="360" w:lineRule="auto"/>
        <w:jc w:val="left"/>
        <w:rPr>
          <w:rFonts w:hint="eastAsia" w:ascii="宋体" w:hAnsi="宋体"/>
          <w:color w:val="000000"/>
          <w:sz w:val="18"/>
          <w:szCs w:val="24"/>
          <w:lang w:val="zh-CN"/>
        </w:rPr>
      </w:pPr>
    </w:p>
    <w:p w14:paraId="092BFD42">
      <w:pPr>
        <w:spacing w:line="360" w:lineRule="auto"/>
        <w:jc w:val="left"/>
        <w:rPr>
          <w:rFonts w:hint="eastAsia" w:ascii="宋体" w:hAnsi="宋体"/>
          <w:color w:val="000000"/>
          <w:sz w:val="18"/>
          <w:szCs w:val="24"/>
          <w:lang w:val="zh-CN"/>
        </w:rPr>
      </w:pPr>
    </w:p>
    <w:p w14:paraId="47E9B821">
      <w:pPr>
        <w:spacing w:line="360" w:lineRule="auto"/>
        <w:jc w:val="left"/>
        <w:rPr>
          <w:rFonts w:hint="eastAsia" w:ascii="宋体" w:hAnsi="宋体"/>
          <w:color w:val="000000"/>
          <w:sz w:val="18"/>
          <w:szCs w:val="24"/>
          <w:lang w:val="zh-CN"/>
        </w:rPr>
      </w:pPr>
    </w:p>
    <w:p w14:paraId="0D8F8093">
      <w:pPr>
        <w:spacing w:line="360" w:lineRule="auto"/>
        <w:jc w:val="left"/>
        <w:rPr>
          <w:rFonts w:hint="eastAsia" w:ascii="宋体" w:hAnsi="宋体"/>
          <w:color w:val="000000"/>
          <w:sz w:val="18"/>
          <w:szCs w:val="24"/>
          <w:lang w:val="zh-CN"/>
        </w:rPr>
      </w:pPr>
    </w:p>
    <w:p w14:paraId="2917344F">
      <w:pPr>
        <w:spacing w:line="360" w:lineRule="auto"/>
        <w:jc w:val="left"/>
        <w:rPr>
          <w:rFonts w:hint="eastAsia" w:ascii="宋体" w:hAnsi="宋体"/>
          <w:color w:val="000000"/>
          <w:sz w:val="18"/>
          <w:szCs w:val="24"/>
          <w:lang w:val="zh-CN"/>
        </w:rPr>
      </w:pPr>
    </w:p>
    <w:p w14:paraId="550FED20">
      <w:pPr>
        <w:spacing w:line="360" w:lineRule="auto"/>
        <w:jc w:val="left"/>
        <w:rPr>
          <w:rFonts w:hint="eastAsia" w:ascii="宋体" w:hAnsi="宋体"/>
          <w:color w:val="000000"/>
          <w:sz w:val="18"/>
          <w:szCs w:val="24"/>
          <w:lang w:val="zh-CN"/>
        </w:rPr>
      </w:pPr>
    </w:p>
    <w:p w14:paraId="13E30A65">
      <w:pPr>
        <w:spacing w:line="360" w:lineRule="auto"/>
        <w:jc w:val="left"/>
        <w:rPr>
          <w:rFonts w:hint="eastAsia" w:ascii="宋体" w:hAnsi="宋体"/>
          <w:color w:val="000000"/>
          <w:sz w:val="18"/>
          <w:szCs w:val="24"/>
          <w:lang w:val="zh-CN"/>
        </w:rPr>
      </w:pPr>
    </w:p>
    <w:p w14:paraId="516787F1">
      <w:pPr>
        <w:spacing w:line="360" w:lineRule="auto"/>
        <w:jc w:val="left"/>
        <w:rPr>
          <w:rFonts w:hint="eastAsia" w:ascii="宋体" w:hAnsi="宋体"/>
          <w:color w:val="000000"/>
          <w:sz w:val="18"/>
          <w:szCs w:val="24"/>
          <w:lang w:val="zh-CN"/>
        </w:rPr>
      </w:pPr>
    </w:p>
    <w:p w14:paraId="68B03AA4">
      <w:pPr>
        <w:spacing w:line="360" w:lineRule="auto"/>
        <w:jc w:val="left"/>
        <w:rPr>
          <w:rFonts w:hint="eastAsia" w:ascii="宋体" w:hAnsi="宋体"/>
          <w:color w:val="000000"/>
          <w:sz w:val="18"/>
          <w:szCs w:val="24"/>
          <w:lang w:val="zh-CN"/>
        </w:rPr>
      </w:pPr>
    </w:p>
    <w:p w14:paraId="2F416EC6">
      <w:pPr>
        <w:spacing w:line="360" w:lineRule="auto"/>
        <w:jc w:val="left"/>
        <w:rPr>
          <w:rFonts w:hint="eastAsia" w:ascii="宋体" w:hAnsi="宋体"/>
          <w:color w:val="000000"/>
          <w:sz w:val="18"/>
          <w:szCs w:val="24"/>
          <w:lang w:val="zh-CN"/>
        </w:rPr>
      </w:pPr>
    </w:p>
    <w:p w14:paraId="5D81CB4F">
      <w:pPr>
        <w:spacing w:line="360" w:lineRule="auto"/>
        <w:jc w:val="left"/>
        <w:rPr>
          <w:rFonts w:hint="eastAsia" w:ascii="宋体" w:hAnsi="宋体"/>
          <w:color w:val="000000"/>
          <w:sz w:val="18"/>
          <w:szCs w:val="24"/>
          <w:lang w:val="zh-CN"/>
        </w:rPr>
      </w:pPr>
    </w:p>
    <w:p w14:paraId="39C2FF64">
      <w:pPr>
        <w:spacing w:line="360" w:lineRule="auto"/>
        <w:jc w:val="left"/>
        <w:rPr>
          <w:rFonts w:hint="eastAsia" w:ascii="宋体" w:hAnsi="宋体"/>
          <w:color w:val="000000"/>
          <w:sz w:val="18"/>
          <w:szCs w:val="24"/>
          <w:lang w:val="zh-CN"/>
        </w:rPr>
      </w:pPr>
    </w:p>
    <w:p w14:paraId="501FA473">
      <w:pPr>
        <w:spacing w:line="360" w:lineRule="auto"/>
        <w:jc w:val="left"/>
        <w:rPr>
          <w:rFonts w:hint="eastAsia" w:ascii="宋体" w:hAnsi="宋体"/>
          <w:color w:val="000000"/>
          <w:sz w:val="18"/>
          <w:szCs w:val="24"/>
          <w:lang w:val="zh-CN"/>
        </w:rPr>
      </w:pPr>
    </w:p>
    <w:p w14:paraId="63EA3936">
      <w:pPr>
        <w:spacing w:line="360" w:lineRule="auto"/>
        <w:jc w:val="left"/>
        <w:rPr>
          <w:rFonts w:hint="eastAsia" w:ascii="宋体" w:hAnsi="宋体"/>
          <w:color w:val="000000"/>
          <w:sz w:val="18"/>
          <w:szCs w:val="24"/>
          <w:lang w:val="zh-CN"/>
        </w:rPr>
      </w:pPr>
    </w:p>
    <w:p w14:paraId="37B7BBF4">
      <w:pPr>
        <w:spacing w:line="360" w:lineRule="auto"/>
        <w:ind w:firstLine="3654"/>
        <w:jc w:val="left"/>
        <w:rPr>
          <w:rFonts w:hint="eastAsia" w:ascii="宋体" w:hAnsi="宋体"/>
          <w:b/>
          <w:color w:val="000000"/>
          <w:sz w:val="28"/>
          <w:szCs w:val="24"/>
          <w:lang w:val="zh-CN"/>
        </w:rPr>
      </w:pPr>
      <w:r>
        <w:rPr>
          <w:rFonts w:hint="eastAsia" w:ascii="宋体" w:hAnsi="宋体"/>
          <w:b/>
          <w:color w:val="000000"/>
          <w:sz w:val="28"/>
          <w:szCs w:val="24"/>
          <w:lang w:val="zh-CN"/>
        </w:rPr>
        <w:t>附件：评分细则</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
        <w:gridCol w:w="6940"/>
        <w:gridCol w:w="1416"/>
      </w:tblGrid>
      <w:tr w14:paraId="31E3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853" w:type="dxa"/>
            <w:tcBorders>
              <w:top w:val="single" w:color="000000" w:sz="2" w:space="0"/>
              <w:left w:val="single" w:color="000000" w:sz="2" w:space="0"/>
              <w:bottom w:val="single" w:color="000000" w:sz="2" w:space="0"/>
              <w:right w:val="single" w:color="000000" w:sz="2" w:space="0"/>
              <w:tl2br w:val="nil"/>
              <w:tr2bl w:val="nil"/>
            </w:tcBorders>
            <w:noWrap w:val="0"/>
            <w:vAlign w:val="center"/>
          </w:tcPr>
          <w:p w14:paraId="3D3C5D74">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序号</w:t>
            </w:r>
          </w:p>
        </w:tc>
        <w:tc>
          <w:tcPr>
            <w:tcW w:w="6940" w:type="dxa"/>
            <w:tcBorders>
              <w:top w:val="single" w:color="000000" w:sz="2" w:space="0"/>
              <w:left w:val="nil"/>
              <w:bottom w:val="single" w:color="000000" w:sz="2" w:space="0"/>
              <w:right w:val="single" w:color="000000" w:sz="2" w:space="0"/>
              <w:tl2br w:val="nil"/>
              <w:tr2bl w:val="nil"/>
            </w:tcBorders>
            <w:noWrap w:val="0"/>
            <w:vAlign w:val="center"/>
          </w:tcPr>
          <w:p w14:paraId="5B043D75">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评分标准</w:t>
            </w:r>
          </w:p>
        </w:tc>
        <w:tc>
          <w:tcPr>
            <w:tcW w:w="1416" w:type="dxa"/>
            <w:tcBorders>
              <w:top w:val="single" w:color="000000" w:sz="2" w:space="0"/>
              <w:left w:val="nil"/>
              <w:bottom w:val="single" w:color="000000" w:sz="2" w:space="0"/>
              <w:right w:val="single" w:color="000000" w:sz="2" w:space="0"/>
              <w:tl2br w:val="nil"/>
              <w:tr2bl w:val="nil"/>
            </w:tcBorders>
            <w:noWrap w:val="0"/>
            <w:vAlign w:val="center"/>
          </w:tcPr>
          <w:p w14:paraId="5DFCC665">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满分值（分）</w:t>
            </w:r>
          </w:p>
        </w:tc>
      </w:tr>
      <w:tr w14:paraId="0F14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restart"/>
            <w:tcBorders>
              <w:top w:val="nil"/>
              <w:left w:val="single" w:color="000000" w:sz="2" w:space="0"/>
              <w:bottom w:val="single" w:color="000000" w:sz="2" w:space="0"/>
              <w:right w:val="single" w:color="000000" w:sz="2" w:space="0"/>
              <w:tl2br w:val="nil"/>
              <w:tr2bl w:val="nil"/>
            </w:tcBorders>
            <w:noWrap w:val="0"/>
            <w:vAlign w:val="center"/>
          </w:tcPr>
          <w:p w14:paraId="1A36AE38">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w:t>
            </w:r>
          </w:p>
        </w:tc>
        <w:tc>
          <w:tcPr>
            <w:tcW w:w="8356" w:type="dxa"/>
            <w:gridSpan w:val="2"/>
            <w:tcBorders>
              <w:top w:val="single" w:color="000000" w:sz="2" w:space="0"/>
              <w:left w:val="nil"/>
              <w:bottom w:val="single" w:color="000000" w:sz="2" w:space="0"/>
              <w:right w:val="single" w:color="000000" w:sz="2" w:space="0"/>
              <w:tl2br w:val="nil"/>
              <w:tr2bl w:val="nil"/>
            </w:tcBorders>
            <w:noWrap w:val="0"/>
            <w:vAlign w:val="center"/>
          </w:tcPr>
          <w:p w14:paraId="3B20C082">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一、运营方案（总计10分）</w:t>
            </w:r>
          </w:p>
        </w:tc>
      </w:tr>
      <w:tr w14:paraId="06201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1E8EC27C">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3B4D4C76">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1.1售货机设备摆放位置方案、售卖商品售卖方案</w:t>
            </w:r>
          </w:p>
        </w:tc>
        <w:tc>
          <w:tcPr>
            <w:tcW w:w="1416" w:type="dxa"/>
            <w:vMerge w:val="restart"/>
            <w:tcBorders>
              <w:top w:val="nil"/>
              <w:left w:val="single" w:color="000000" w:sz="2" w:space="0"/>
              <w:bottom w:val="single" w:color="000000" w:sz="2" w:space="0"/>
              <w:right w:val="single" w:color="000000" w:sz="2" w:space="0"/>
              <w:tl2br w:val="nil"/>
              <w:tr2bl w:val="nil"/>
            </w:tcBorders>
            <w:noWrap w:val="0"/>
            <w:vAlign w:val="center"/>
          </w:tcPr>
          <w:p w14:paraId="637E337B">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10</w:t>
            </w:r>
          </w:p>
        </w:tc>
      </w:tr>
      <w:tr w14:paraId="58EC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6E535294">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shd w:val="clear" w:color="auto" w:fill="auto"/>
            <w:noWrap w:val="0"/>
            <w:vAlign w:val="center"/>
          </w:tcPr>
          <w:p w14:paraId="49A962BF">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1.2售货机日常管理方案，应至少包含产品采购入库售卖以及资质审查方案、售货机设备的安全保障措施、以及应急管理措施</w:t>
            </w:r>
          </w:p>
        </w:tc>
        <w:tc>
          <w:tcPr>
            <w:tcW w:w="1416"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511E89B6">
            <w:pPr>
              <w:spacing w:after="200" w:line="276" w:lineRule="auto"/>
              <w:jc w:val="left"/>
              <w:rPr>
                <w:rFonts w:hint="eastAsia" w:ascii="宋体" w:hAnsi="宋体"/>
                <w:color w:val="auto"/>
                <w:sz w:val="22"/>
                <w:szCs w:val="24"/>
                <w:lang w:val="zh-CN"/>
              </w:rPr>
            </w:pPr>
          </w:p>
        </w:tc>
      </w:tr>
      <w:tr w14:paraId="3DB1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47D9B783">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shd w:val="clear" w:color="auto" w:fill="auto"/>
            <w:noWrap w:val="0"/>
            <w:vAlign w:val="center"/>
          </w:tcPr>
          <w:p w14:paraId="0B80F5F7">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上述每缺一项扣5分，每有一项内容中存在表述不清晰、内容不全面、不合理或操作性较差的扣1-5分，扣完为止。</w:t>
            </w:r>
          </w:p>
        </w:tc>
        <w:tc>
          <w:tcPr>
            <w:tcW w:w="1416"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44DE7409">
            <w:pPr>
              <w:spacing w:after="200" w:line="276" w:lineRule="auto"/>
              <w:jc w:val="left"/>
              <w:rPr>
                <w:rFonts w:hint="eastAsia" w:ascii="宋体" w:hAnsi="宋体"/>
                <w:color w:val="auto"/>
                <w:sz w:val="22"/>
                <w:szCs w:val="24"/>
                <w:lang w:val="zh-CN"/>
              </w:rPr>
            </w:pPr>
          </w:p>
        </w:tc>
      </w:tr>
      <w:tr w14:paraId="26F4C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restart"/>
            <w:tcBorders>
              <w:top w:val="nil"/>
              <w:left w:val="single" w:color="000000" w:sz="2" w:space="0"/>
              <w:bottom w:val="single" w:color="000000" w:sz="2" w:space="0"/>
              <w:right w:val="single" w:color="000000" w:sz="2" w:space="0"/>
              <w:tl2br w:val="nil"/>
              <w:tr2bl w:val="nil"/>
            </w:tcBorders>
            <w:noWrap w:val="0"/>
            <w:vAlign w:val="center"/>
          </w:tcPr>
          <w:p w14:paraId="2AF455D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2</w:t>
            </w:r>
          </w:p>
        </w:tc>
        <w:tc>
          <w:tcPr>
            <w:tcW w:w="8356" w:type="dxa"/>
            <w:gridSpan w:val="2"/>
            <w:tcBorders>
              <w:top w:val="single" w:color="000000" w:sz="2" w:space="0"/>
              <w:left w:val="nil"/>
              <w:bottom w:val="nil"/>
              <w:right w:val="single" w:color="000000" w:sz="2" w:space="0"/>
              <w:tl2br w:val="nil"/>
              <w:tr2bl w:val="nil"/>
            </w:tcBorders>
            <w:noWrap w:val="0"/>
            <w:vAlign w:val="center"/>
          </w:tcPr>
          <w:p w14:paraId="4BC3F82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二、售后服务评分细则（总计10分）</w:t>
            </w:r>
          </w:p>
        </w:tc>
      </w:tr>
      <w:tr w14:paraId="0232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5E239BBE">
            <w:pPr>
              <w:spacing w:after="200" w:line="276" w:lineRule="auto"/>
              <w:jc w:val="left"/>
              <w:rPr>
                <w:rFonts w:hint="eastAsia" w:ascii="宋体" w:hAnsi="宋体"/>
                <w:color w:val="auto"/>
                <w:sz w:val="22"/>
                <w:szCs w:val="24"/>
                <w:lang w:val="zh-CN"/>
              </w:rPr>
            </w:pPr>
          </w:p>
        </w:tc>
        <w:tc>
          <w:tcPr>
            <w:tcW w:w="6940" w:type="dxa"/>
            <w:tcBorders>
              <w:top w:val="single" w:color="000000" w:sz="2" w:space="0"/>
              <w:left w:val="nil"/>
              <w:bottom w:val="single" w:color="000000" w:sz="2" w:space="0"/>
              <w:right w:val="single" w:color="000000" w:sz="2" w:space="0"/>
              <w:tl2br w:val="nil"/>
              <w:tr2bl w:val="nil"/>
            </w:tcBorders>
            <w:noWrap w:val="0"/>
            <w:vAlign w:val="center"/>
          </w:tcPr>
          <w:p w14:paraId="56880BD9">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2.1服务人员设置以及人员职责</w:t>
            </w:r>
          </w:p>
        </w:tc>
        <w:tc>
          <w:tcPr>
            <w:tcW w:w="1416" w:type="dxa"/>
            <w:vMerge w:val="restart"/>
            <w:tcBorders>
              <w:top w:val="single" w:color="000000" w:sz="2" w:space="0"/>
              <w:left w:val="single" w:color="000000" w:sz="2" w:space="0"/>
              <w:bottom w:val="single" w:color="000000" w:sz="2" w:space="0"/>
              <w:right w:val="single" w:color="000000" w:sz="2" w:space="0"/>
              <w:tl2br w:val="nil"/>
              <w:tr2bl w:val="nil"/>
            </w:tcBorders>
            <w:noWrap w:val="0"/>
            <w:vAlign w:val="center"/>
          </w:tcPr>
          <w:p w14:paraId="220022C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10</w:t>
            </w:r>
          </w:p>
        </w:tc>
      </w:tr>
      <w:tr w14:paraId="4F2D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70FBA908">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shd w:val="clear" w:color="auto" w:fill="auto"/>
            <w:noWrap w:val="0"/>
            <w:vAlign w:val="center"/>
          </w:tcPr>
          <w:p w14:paraId="79FC279D">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2.2 售后服务流程、售后管理制度、售后投诉与处理措施</w:t>
            </w:r>
          </w:p>
        </w:tc>
        <w:tc>
          <w:tcPr>
            <w:tcW w:w="1416"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29FB3BE6">
            <w:pPr>
              <w:spacing w:after="200" w:line="276" w:lineRule="auto"/>
              <w:jc w:val="left"/>
              <w:rPr>
                <w:rFonts w:hint="eastAsia" w:ascii="宋体" w:hAnsi="宋体"/>
                <w:color w:val="auto"/>
                <w:sz w:val="22"/>
                <w:szCs w:val="24"/>
                <w:lang w:val="zh-CN"/>
              </w:rPr>
            </w:pPr>
          </w:p>
        </w:tc>
      </w:tr>
      <w:tr w14:paraId="254B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479D00C8">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shd w:val="clear" w:color="auto" w:fill="auto"/>
            <w:noWrap w:val="0"/>
            <w:vAlign w:val="center"/>
          </w:tcPr>
          <w:p w14:paraId="19F00FC8">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上述每缺一项扣</w:t>
            </w:r>
            <w:r>
              <w:rPr>
                <w:rFonts w:hint="eastAsia" w:ascii="宋体" w:hAnsi="宋体"/>
                <w:color w:val="000000"/>
                <w:sz w:val="18"/>
                <w:szCs w:val="24"/>
                <w:lang w:val="en-US" w:eastAsia="zh-CN"/>
              </w:rPr>
              <w:t>5</w:t>
            </w:r>
            <w:r>
              <w:rPr>
                <w:rFonts w:hint="eastAsia" w:ascii="宋体" w:hAnsi="宋体"/>
                <w:color w:val="000000"/>
                <w:sz w:val="18"/>
                <w:szCs w:val="24"/>
                <w:lang w:val="zh-CN"/>
              </w:rPr>
              <w:t>分，每有一项内容中存在表述不清晰、内容不全面、不合理或操作性较差的扣1-</w:t>
            </w:r>
            <w:r>
              <w:rPr>
                <w:rFonts w:hint="eastAsia" w:ascii="宋体" w:hAnsi="宋体"/>
                <w:color w:val="000000"/>
                <w:sz w:val="18"/>
                <w:szCs w:val="24"/>
                <w:lang w:val="en-US" w:eastAsia="zh-CN"/>
              </w:rPr>
              <w:t>5</w:t>
            </w:r>
            <w:r>
              <w:rPr>
                <w:rFonts w:hint="eastAsia" w:ascii="宋体" w:hAnsi="宋体"/>
                <w:color w:val="000000"/>
                <w:sz w:val="18"/>
                <w:szCs w:val="24"/>
                <w:lang w:val="zh-CN"/>
              </w:rPr>
              <w:t>分，扣完为止。</w:t>
            </w:r>
          </w:p>
        </w:tc>
        <w:tc>
          <w:tcPr>
            <w:tcW w:w="1416"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08DBC964">
            <w:pPr>
              <w:spacing w:after="200" w:line="276" w:lineRule="auto"/>
              <w:jc w:val="left"/>
              <w:rPr>
                <w:rFonts w:hint="eastAsia" w:ascii="宋体" w:hAnsi="宋体"/>
                <w:color w:val="auto"/>
                <w:sz w:val="22"/>
                <w:szCs w:val="24"/>
                <w:lang w:val="zh-CN"/>
              </w:rPr>
            </w:pPr>
          </w:p>
        </w:tc>
      </w:tr>
      <w:tr w14:paraId="35E1E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restart"/>
            <w:tcBorders>
              <w:top w:val="nil"/>
              <w:left w:val="single" w:color="000000" w:sz="2" w:space="0"/>
              <w:bottom w:val="single" w:color="000000" w:sz="2" w:space="0"/>
              <w:right w:val="single" w:color="000000" w:sz="2" w:space="0"/>
              <w:tl2br w:val="nil"/>
              <w:tr2bl w:val="nil"/>
            </w:tcBorders>
            <w:noWrap w:val="0"/>
            <w:vAlign w:val="center"/>
          </w:tcPr>
          <w:p w14:paraId="103380A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3</w:t>
            </w:r>
          </w:p>
        </w:tc>
        <w:tc>
          <w:tcPr>
            <w:tcW w:w="8356" w:type="dxa"/>
            <w:gridSpan w:val="2"/>
            <w:tcBorders>
              <w:top w:val="single" w:color="000000" w:sz="2" w:space="0"/>
              <w:left w:val="nil"/>
              <w:bottom w:val="single" w:color="000000" w:sz="2" w:space="0"/>
              <w:right w:val="single" w:color="000000" w:sz="2" w:space="0"/>
              <w:tl2br w:val="nil"/>
              <w:tr2bl w:val="nil"/>
            </w:tcBorders>
            <w:noWrap w:val="0"/>
            <w:vAlign w:val="center"/>
          </w:tcPr>
          <w:p w14:paraId="1FCBA8D2">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三、业绩案例评分细则（总计30分）</w:t>
            </w:r>
          </w:p>
        </w:tc>
      </w:tr>
      <w:tr w14:paraId="709B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08BD9A2F">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07ED5157">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 xml:space="preserve">3.1根据2018年至今（以合同签订时间为准）投标人（或授权给投标人的生产企业）在公立三级医院的自动售卖机运营业绩（要求应包含医疗相关产品、医用耗材、医疗器械、日用品等。注：仅仅预包装食品（饮料等）经营业绩不予计分）进行评价，每提供一个三级医院的运营业绩得0.5分，满分30分。 </w:t>
            </w:r>
          </w:p>
        </w:tc>
        <w:tc>
          <w:tcPr>
            <w:tcW w:w="1416" w:type="dxa"/>
            <w:vMerge w:val="restart"/>
            <w:tcBorders>
              <w:top w:val="nil"/>
              <w:left w:val="single" w:color="000000" w:sz="2" w:space="0"/>
              <w:bottom w:val="single" w:color="000000" w:sz="2" w:space="0"/>
              <w:right w:val="single" w:color="000000" w:sz="2" w:space="0"/>
              <w:tl2br w:val="nil"/>
              <w:tr2bl w:val="nil"/>
            </w:tcBorders>
            <w:noWrap w:val="0"/>
            <w:vAlign w:val="center"/>
          </w:tcPr>
          <w:p w14:paraId="21E044E7">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30</w:t>
            </w:r>
          </w:p>
        </w:tc>
      </w:tr>
      <w:tr w14:paraId="5963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3"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308B8EBB">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shd w:val="clear" w:color="auto" w:fill="auto"/>
            <w:noWrap w:val="0"/>
            <w:vAlign w:val="center"/>
          </w:tcPr>
          <w:p w14:paraId="24F66939">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说明：</w:t>
            </w:r>
          </w:p>
          <w:p w14:paraId="68AC788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 xml:space="preserve">3.2运营业绩证明材料为投标人与公立三级医院签署的合同（协议）文本复印件或者公立三级医院官网/招标机构的中标通知公示（或提供官网网址链接）                                                                     </w:t>
            </w:r>
          </w:p>
        </w:tc>
        <w:tc>
          <w:tcPr>
            <w:tcW w:w="1416"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29FC0683">
            <w:pPr>
              <w:spacing w:after="200" w:line="276" w:lineRule="auto"/>
              <w:jc w:val="left"/>
              <w:rPr>
                <w:rFonts w:hint="eastAsia" w:ascii="宋体" w:hAnsi="宋体"/>
                <w:color w:val="auto"/>
                <w:sz w:val="22"/>
                <w:szCs w:val="24"/>
                <w:lang w:val="zh-CN"/>
              </w:rPr>
            </w:pPr>
          </w:p>
        </w:tc>
      </w:tr>
      <w:tr w14:paraId="294C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42F1C36C">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shd w:val="clear" w:color="auto" w:fill="auto"/>
            <w:noWrap w:val="0"/>
            <w:vAlign w:val="center"/>
          </w:tcPr>
          <w:p w14:paraId="0C284142">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 xml:space="preserve">3.3投标人提供的三级医院业绩证明材料必须为公立三级医院，三级医院标准认定按提交案例医院的官网以及医疗机构分类目录为准。 </w:t>
            </w:r>
          </w:p>
        </w:tc>
        <w:tc>
          <w:tcPr>
            <w:tcW w:w="1416"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13CBC06A">
            <w:pPr>
              <w:spacing w:after="200" w:line="276" w:lineRule="auto"/>
              <w:jc w:val="left"/>
              <w:rPr>
                <w:rFonts w:hint="eastAsia" w:ascii="宋体" w:hAnsi="宋体"/>
                <w:color w:val="auto"/>
                <w:sz w:val="22"/>
                <w:szCs w:val="24"/>
                <w:lang w:val="zh-CN"/>
              </w:rPr>
            </w:pPr>
          </w:p>
        </w:tc>
      </w:tr>
      <w:tr w14:paraId="2A85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071ADDD1">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shd w:val="clear" w:color="auto" w:fill="auto"/>
            <w:noWrap w:val="0"/>
            <w:vAlign w:val="center"/>
          </w:tcPr>
          <w:p w14:paraId="7FEF28A7">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3.4如有必要，投标人须提供合同原件或现场图片或后台系统备查，若发现业绩造假，则取消其投标资格</w:t>
            </w:r>
          </w:p>
        </w:tc>
        <w:tc>
          <w:tcPr>
            <w:tcW w:w="1416"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79F905EF">
            <w:pPr>
              <w:spacing w:after="200" w:line="276" w:lineRule="auto"/>
              <w:jc w:val="left"/>
              <w:rPr>
                <w:rFonts w:hint="eastAsia" w:ascii="宋体" w:hAnsi="宋体"/>
                <w:color w:val="auto"/>
                <w:sz w:val="22"/>
                <w:szCs w:val="24"/>
                <w:lang w:val="zh-CN"/>
              </w:rPr>
            </w:pPr>
          </w:p>
        </w:tc>
      </w:tr>
      <w:tr w14:paraId="4058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restart"/>
            <w:tcBorders>
              <w:top w:val="nil"/>
              <w:left w:val="single" w:color="000000" w:sz="2" w:space="0"/>
              <w:bottom w:val="nil"/>
              <w:right w:val="single" w:color="000000" w:sz="2" w:space="0"/>
              <w:tl2br w:val="nil"/>
              <w:tr2bl w:val="nil"/>
            </w:tcBorders>
            <w:shd w:val="clear" w:color="000000" w:fill="FFFFFF"/>
            <w:noWrap w:val="0"/>
            <w:vAlign w:val="center"/>
          </w:tcPr>
          <w:p w14:paraId="1B611047">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4</w:t>
            </w:r>
          </w:p>
        </w:tc>
        <w:tc>
          <w:tcPr>
            <w:tcW w:w="8356" w:type="dxa"/>
            <w:gridSpan w:val="2"/>
            <w:tcBorders>
              <w:top w:val="single" w:color="000000" w:sz="2" w:space="0"/>
              <w:left w:val="nil"/>
              <w:bottom w:val="single" w:color="000000" w:sz="2" w:space="0"/>
              <w:right w:val="single" w:color="000000" w:sz="2" w:space="0"/>
              <w:tl2br w:val="nil"/>
              <w:tr2bl w:val="nil"/>
            </w:tcBorders>
            <w:noWrap w:val="0"/>
            <w:vAlign w:val="center"/>
          </w:tcPr>
          <w:p w14:paraId="5C6D4CE9">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四、设备技术参数评分细则（总计20分）</w:t>
            </w:r>
          </w:p>
        </w:tc>
      </w:tr>
      <w:tr w14:paraId="30DCE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1FC585F4">
            <w:pPr>
              <w:spacing w:after="200" w:line="276" w:lineRule="auto"/>
              <w:jc w:val="left"/>
              <w:rPr>
                <w:rFonts w:hint="eastAsia" w:ascii="宋体" w:hAnsi="宋体"/>
                <w:color w:val="auto"/>
                <w:sz w:val="22"/>
                <w:szCs w:val="24"/>
                <w:lang w:val="zh-CN"/>
              </w:rPr>
            </w:pPr>
          </w:p>
        </w:tc>
        <w:tc>
          <w:tcPr>
            <w:tcW w:w="6940" w:type="dxa"/>
            <w:tcBorders>
              <w:top w:val="single" w:color="000000" w:sz="2" w:space="0"/>
              <w:left w:val="nil"/>
              <w:bottom w:val="single" w:color="000000" w:sz="2" w:space="0"/>
              <w:right w:val="single" w:color="000000" w:sz="2" w:space="0"/>
              <w:tl2br w:val="nil"/>
              <w:tr2bl w:val="nil"/>
            </w:tcBorders>
            <w:noWrap w:val="0"/>
            <w:vAlign w:val="center"/>
          </w:tcPr>
          <w:p w14:paraId="0997E729">
            <w:pPr>
              <w:spacing w:line="360" w:lineRule="auto"/>
              <w:jc w:val="left"/>
              <w:rPr>
                <w:rFonts w:hint="eastAsia" w:ascii="宋体" w:hAnsi="宋体"/>
                <w:color w:val="auto"/>
                <w:sz w:val="22"/>
                <w:szCs w:val="24"/>
                <w:lang w:val="zh-CN"/>
              </w:rPr>
            </w:pPr>
            <w:r>
              <w:rPr>
                <w:rFonts w:hint="eastAsia" w:ascii="宋体" w:hAnsi="宋体" w:eastAsia="宋体" w:cs="宋体"/>
                <w:color w:val="333333"/>
                <w:sz w:val="18"/>
                <w:szCs w:val="24"/>
                <w:lang w:val="zh-CN"/>
              </w:rPr>
              <w:t>△</w:t>
            </w:r>
            <w:r>
              <w:rPr>
                <w:rFonts w:hint="eastAsia" w:ascii="宋体" w:hAnsi="宋体"/>
                <w:color w:val="333333"/>
                <w:sz w:val="18"/>
                <w:szCs w:val="24"/>
                <w:lang w:val="zh-CN"/>
              </w:rPr>
              <w:t>4.1</w:t>
            </w:r>
            <w:r>
              <w:rPr>
                <w:rFonts w:hint="eastAsia" w:ascii="宋体" w:hAnsi="宋体"/>
                <w:color w:val="000000"/>
                <w:sz w:val="18"/>
                <w:szCs w:val="24"/>
                <w:lang w:val="zh-CN"/>
              </w:rPr>
              <w:t>售货机系统应同时具有管理者、顾客两种小程序，方便进行管理</w:t>
            </w:r>
          </w:p>
        </w:tc>
        <w:tc>
          <w:tcPr>
            <w:tcW w:w="1416" w:type="dxa"/>
            <w:vMerge w:val="restart"/>
            <w:tcBorders>
              <w:top w:val="single" w:color="000000" w:sz="2" w:space="0"/>
              <w:left w:val="nil"/>
              <w:bottom w:val="nil"/>
              <w:right w:val="single" w:color="000000" w:sz="2" w:space="0"/>
              <w:tl2br w:val="nil"/>
              <w:tr2bl w:val="nil"/>
            </w:tcBorders>
            <w:noWrap w:val="0"/>
            <w:vAlign w:val="center"/>
          </w:tcPr>
          <w:p w14:paraId="2EFE5539">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w:t>
            </w:r>
          </w:p>
          <w:p w14:paraId="42BC4CDC">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w:t>
            </w:r>
          </w:p>
          <w:p w14:paraId="550B6ABD">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w:t>
            </w:r>
          </w:p>
          <w:p w14:paraId="7D965BDA">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w:t>
            </w:r>
          </w:p>
          <w:p w14:paraId="052357AB">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w:t>
            </w:r>
          </w:p>
          <w:p w14:paraId="1BE99F65">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w:t>
            </w:r>
          </w:p>
          <w:p w14:paraId="4C04E775">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w:t>
            </w:r>
          </w:p>
          <w:p w14:paraId="30B81183">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w:t>
            </w:r>
          </w:p>
          <w:p w14:paraId="759FA6DC">
            <w:pPr>
              <w:spacing w:line="360" w:lineRule="auto"/>
              <w:jc w:val="left"/>
              <w:rPr>
                <w:rFonts w:hint="eastAsia" w:ascii="宋体" w:hAnsi="宋体"/>
                <w:color w:val="000000"/>
                <w:sz w:val="18"/>
                <w:szCs w:val="24"/>
                <w:lang w:val="zh-CN"/>
              </w:rPr>
            </w:pPr>
            <w:r>
              <w:rPr>
                <w:rFonts w:hint="eastAsia" w:ascii="宋体" w:hAnsi="宋体"/>
                <w:color w:val="000000"/>
                <w:sz w:val="18"/>
                <w:szCs w:val="24"/>
                <w:lang w:val="zh-CN"/>
              </w:rPr>
              <w:t>　</w:t>
            </w:r>
          </w:p>
          <w:p w14:paraId="02EDA665">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20分　</w:t>
            </w:r>
          </w:p>
        </w:tc>
      </w:tr>
      <w:tr w14:paraId="25B57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51A5CA0B">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0C6578DB">
            <w:pPr>
              <w:spacing w:line="360" w:lineRule="auto"/>
              <w:jc w:val="left"/>
              <w:rPr>
                <w:rFonts w:hint="eastAsia" w:ascii="宋体" w:hAnsi="宋体"/>
                <w:color w:val="auto"/>
                <w:sz w:val="22"/>
                <w:szCs w:val="24"/>
                <w:lang w:val="zh-CN"/>
              </w:rPr>
            </w:pPr>
            <w:r>
              <w:rPr>
                <w:rFonts w:hint="eastAsia" w:ascii="宋体" w:hAnsi="宋体"/>
                <w:color w:val="333333"/>
                <w:sz w:val="18"/>
                <w:szCs w:val="24"/>
                <w:lang w:val="zh-CN"/>
              </w:rPr>
              <w:t>△4.2</w:t>
            </w:r>
            <w:r>
              <w:rPr>
                <w:rFonts w:hint="eastAsia" w:ascii="宋体" w:hAnsi="宋体"/>
                <w:color w:val="000000"/>
                <w:sz w:val="18"/>
                <w:szCs w:val="24"/>
                <w:lang w:val="zh-CN"/>
              </w:rPr>
              <w:t>售货机系统支持先补货，先出货功能，避免造成部分商品长期不能售卖，造成售货机设备售卖过期商品</w:t>
            </w:r>
          </w:p>
        </w:tc>
        <w:tc>
          <w:tcPr>
            <w:tcW w:w="1416" w:type="dxa"/>
            <w:vMerge w:val="continue"/>
            <w:tcBorders>
              <w:top w:val="nil"/>
              <w:left w:val="nil"/>
              <w:bottom w:val="nil"/>
              <w:right w:val="single" w:color="000000" w:sz="2" w:space="0"/>
              <w:tl2br w:val="nil"/>
              <w:tr2bl w:val="nil"/>
            </w:tcBorders>
            <w:noWrap w:val="0"/>
            <w:vAlign w:val="center"/>
          </w:tcPr>
          <w:p w14:paraId="1F65D80F">
            <w:pPr>
              <w:spacing w:after="200" w:line="276" w:lineRule="auto"/>
              <w:jc w:val="left"/>
              <w:rPr>
                <w:rFonts w:hint="eastAsia" w:ascii="宋体" w:hAnsi="宋体"/>
                <w:color w:val="auto"/>
                <w:sz w:val="22"/>
                <w:szCs w:val="24"/>
                <w:lang w:val="zh-CN"/>
              </w:rPr>
            </w:pPr>
          </w:p>
        </w:tc>
      </w:tr>
      <w:tr w14:paraId="42C54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restart"/>
            <w:tcBorders>
              <w:top w:val="nil"/>
              <w:left w:val="single" w:color="000000" w:sz="2" w:space="0"/>
              <w:bottom w:val="nil"/>
              <w:right w:val="single" w:color="000000" w:sz="2" w:space="0"/>
              <w:tl2br w:val="nil"/>
              <w:tr2bl w:val="nil"/>
            </w:tcBorders>
            <w:shd w:val="clear" w:color="000000" w:fill="FFFFFF"/>
            <w:noWrap w:val="0"/>
            <w:vAlign w:val="center"/>
          </w:tcPr>
          <w:p w14:paraId="45D94576">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4</w:t>
            </w:r>
          </w:p>
        </w:tc>
        <w:tc>
          <w:tcPr>
            <w:tcW w:w="6940" w:type="dxa"/>
            <w:tcBorders>
              <w:top w:val="nil"/>
              <w:left w:val="nil"/>
              <w:bottom w:val="single" w:color="000000" w:sz="2" w:space="0"/>
              <w:right w:val="single" w:color="000000" w:sz="2" w:space="0"/>
              <w:tl2br w:val="nil"/>
              <w:tr2bl w:val="nil"/>
            </w:tcBorders>
            <w:noWrap w:val="0"/>
            <w:vAlign w:val="center"/>
          </w:tcPr>
          <w:p w14:paraId="61EE3393">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4.3售货机系统应支持效期提醒，售卖商品临近效期提醒补货人下架，并支持过期商品不允许售卖功能。</w:t>
            </w:r>
          </w:p>
        </w:tc>
        <w:tc>
          <w:tcPr>
            <w:tcW w:w="1416" w:type="dxa"/>
            <w:vMerge w:val="continue"/>
            <w:tcBorders>
              <w:top w:val="nil"/>
              <w:left w:val="nil"/>
              <w:bottom w:val="nil"/>
              <w:right w:val="single" w:color="000000" w:sz="2" w:space="0"/>
              <w:tl2br w:val="nil"/>
              <w:tr2bl w:val="nil"/>
            </w:tcBorders>
            <w:noWrap w:val="0"/>
            <w:vAlign w:val="center"/>
          </w:tcPr>
          <w:p w14:paraId="1BA5D827">
            <w:pPr>
              <w:spacing w:after="200" w:line="276" w:lineRule="auto"/>
              <w:jc w:val="left"/>
              <w:rPr>
                <w:rFonts w:hint="eastAsia" w:ascii="宋体" w:hAnsi="宋体"/>
                <w:color w:val="auto"/>
                <w:sz w:val="22"/>
                <w:szCs w:val="24"/>
                <w:lang w:val="zh-CN"/>
              </w:rPr>
            </w:pPr>
          </w:p>
        </w:tc>
      </w:tr>
      <w:tr w14:paraId="0838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13D74FC2">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4F3645E7">
            <w:pPr>
              <w:spacing w:line="360" w:lineRule="auto"/>
              <w:jc w:val="left"/>
              <w:rPr>
                <w:rFonts w:hint="eastAsia" w:ascii="宋体" w:hAnsi="宋体"/>
                <w:color w:val="auto"/>
                <w:sz w:val="22"/>
                <w:szCs w:val="24"/>
                <w:lang w:val="zh-CN"/>
              </w:rPr>
            </w:pPr>
            <w:r>
              <w:rPr>
                <w:rFonts w:hint="eastAsia" w:ascii="宋体" w:hAnsi="宋体"/>
                <w:color w:val="333333"/>
                <w:sz w:val="18"/>
                <w:szCs w:val="24"/>
                <w:lang w:val="zh-CN"/>
              </w:rPr>
              <w:t>△4.4</w:t>
            </w:r>
            <w:r>
              <w:rPr>
                <w:rFonts w:hint="eastAsia" w:ascii="宋体" w:hAnsi="宋体"/>
                <w:color w:val="000000"/>
                <w:sz w:val="18"/>
                <w:szCs w:val="24"/>
                <w:lang w:val="zh-CN"/>
              </w:rPr>
              <w:t>售货机系统须支持顾客点击操控屏购买，顾客点击屏幕可以查看在售商品完整电子说明书内容/产品批号等信息内容</w:t>
            </w:r>
          </w:p>
        </w:tc>
        <w:tc>
          <w:tcPr>
            <w:tcW w:w="1416" w:type="dxa"/>
            <w:vMerge w:val="continue"/>
            <w:tcBorders>
              <w:top w:val="nil"/>
              <w:left w:val="nil"/>
              <w:bottom w:val="nil"/>
              <w:right w:val="single" w:color="000000" w:sz="2" w:space="0"/>
              <w:tl2br w:val="nil"/>
              <w:tr2bl w:val="nil"/>
            </w:tcBorders>
            <w:noWrap w:val="0"/>
            <w:vAlign w:val="center"/>
          </w:tcPr>
          <w:p w14:paraId="27CF59DE">
            <w:pPr>
              <w:spacing w:after="200" w:line="276" w:lineRule="auto"/>
              <w:jc w:val="left"/>
              <w:rPr>
                <w:rFonts w:hint="eastAsia" w:ascii="宋体" w:hAnsi="宋体"/>
                <w:color w:val="auto"/>
                <w:sz w:val="22"/>
                <w:szCs w:val="24"/>
                <w:lang w:val="zh-CN"/>
              </w:rPr>
            </w:pPr>
          </w:p>
        </w:tc>
      </w:tr>
      <w:tr w14:paraId="4F63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11D1BC55">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7F96C579">
            <w:pPr>
              <w:spacing w:line="360" w:lineRule="auto"/>
              <w:jc w:val="left"/>
              <w:rPr>
                <w:rFonts w:hint="eastAsia" w:ascii="宋体" w:hAnsi="宋体"/>
                <w:color w:val="auto"/>
                <w:sz w:val="22"/>
                <w:szCs w:val="24"/>
                <w:lang w:val="zh-CN"/>
              </w:rPr>
            </w:pPr>
            <w:r>
              <w:rPr>
                <w:rFonts w:hint="eastAsia" w:ascii="宋体" w:hAnsi="宋体"/>
                <w:color w:val="333333"/>
                <w:sz w:val="18"/>
                <w:szCs w:val="24"/>
                <w:lang w:val="zh-CN"/>
              </w:rPr>
              <w:t>4.5</w:t>
            </w:r>
            <w:r>
              <w:rPr>
                <w:rFonts w:hint="eastAsia" w:ascii="宋体" w:hAnsi="宋体"/>
                <w:color w:val="000000"/>
                <w:sz w:val="18"/>
                <w:szCs w:val="24"/>
                <w:lang w:val="zh-CN"/>
              </w:rPr>
              <w:t>格子售货机设备应支持顾客按照指定格子货道选货购物功能</w:t>
            </w:r>
          </w:p>
        </w:tc>
        <w:tc>
          <w:tcPr>
            <w:tcW w:w="1416" w:type="dxa"/>
            <w:vMerge w:val="continue"/>
            <w:tcBorders>
              <w:top w:val="nil"/>
              <w:left w:val="nil"/>
              <w:bottom w:val="nil"/>
              <w:right w:val="single" w:color="000000" w:sz="2" w:space="0"/>
              <w:tl2br w:val="nil"/>
              <w:tr2bl w:val="nil"/>
            </w:tcBorders>
            <w:noWrap w:val="0"/>
            <w:vAlign w:val="center"/>
          </w:tcPr>
          <w:p w14:paraId="3E03D1B1">
            <w:pPr>
              <w:spacing w:after="200" w:line="276" w:lineRule="auto"/>
              <w:jc w:val="left"/>
              <w:rPr>
                <w:rFonts w:hint="eastAsia" w:ascii="宋体" w:hAnsi="宋体"/>
                <w:color w:val="auto"/>
                <w:sz w:val="22"/>
                <w:szCs w:val="24"/>
                <w:lang w:val="zh-CN"/>
              </w:rPr>
            </w:pPr>
          </w:p>
        </w:tc>
      </w:tr>
      <w:tr w14:paraId="1765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1D72BD2F">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2D10ADED">
            <w:pPr>
              <w:spacing w:line="360" w:lineRule="auto"/>
              <w:jc w:val="left"/>
              <w:rPr>
                <w:rFonts w:hint="eastAsia" w:ascii="宋体" w:hAnsi="宋体"/>
                <w:color w:val="auto"/>
                <w:sz w:val="22"/>
                <w:szCs w:val="24"/>
                <w:lang w:val="zh-CN"/>
              </w:rPr>
            </w:pPr>
            <w:r>
              <w:rPr>
                <w:rFonts w:hint="eastAsia" w:ascii="宋体" w:hAnsi="宋体"/>
                <w:color w:val="333333"/>
                <w:sz w:val="18"/>
                <w:szCs w:val="24"/>
                <w:lang w:val="zh-CN"/>
              </w:rPr>
              <w:t>△4.6</w:t>
            </w:r>
            <w:r>
              <w:rPr>
                <w:rFonts w:hint="eastAsia" w:ascii="宋体" w:hAnsi="宋体"/>
                <w:color w:val="000000"/>
                <w:sz w:val="18"/>
                <w:szCs w:val="24"/>
                <w:lang w:val="zh-CN"/>
              </w:rPr>
              <w:t>售货机设备（格子机）应自带节能以及防虫功能，待机时格子指示灯熄灭，购物时开启，可降低能耗，又减少蚊、虫侵袭。</w:t>
            </w:r>
          </w:p>
        </w:tc>
        <w:tc>
          <w:tcPr>
            <w:tcW w:w="1416" w:type="dxa"/>
            <w:vMerge w:val="continue"/>
            <w:tcBorders>
              <w:top w:val="nil"/>
              <w:left w:val="nil"/>
              <w:bottom w:val="nil"/>
              <w:right w:val="single" w:color="000000" w:sz="2" w:space="0"/>
              <w:tl2br w:val="nil"/>
              <w:tr2bl w:val="nil"/>
            </w:tcBorders>
            <w:noWrap w:val="0"/>
            <w:vAlign w:val="center"/>
          </w:tcPr>
          <w:p w14:paraId="1F7C5667">
            <w:pPr>
              <w:spacing w:after="200" w:line="276" w:lineRule="auto"/>
              <w:jc w:val="left"/>
              <w:rPr>
                <w:rFonts w:hint="eastAsia" w:ascii="宋体" w:hAnsi="宋体"/>
                <w:color w:val="auto"/>
                <w:sz w:val="22"/>
                <w:szCs w:val="24"/>
                <w:lang w:val="zh-CN"/>
              </w:rPr>
            </w:pPr>
          </w:p>
        </w:tc>
      </w:tr>
      <w:tr w14:paraId="43F36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4D2D0413">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4A515163">
            <w:pPr>
              <w:spacing w:line="360" w:lineRule="auto"/>
              <w:jc w:val="left"/>
              <w:rPr>
                <w:rFonts w:hint="eastAsia" w:ascii="宋体" w:hAnsi="宋体"/>
                <w:color w:val="auto"/>
                <w:sz w:val="22"/>
                <w:szCs w:val="24"/>
                <w:lang w:val="zh-CN"/>
              </w:rPr>
            </w:pPr>
            <w:r>
              <w:rPr>
                <w:rFonts w:hint="eastAsia" w:ascii="宋体" w:hAnsi="宋体"/>
                <w:color w:val="333333"/>
                <w:sz w:val="18"/>
                <w:szCs w:val="24"/>
                <w:lang w:val="zh-CN"/>
              </w:rPr>
              <w:t>4.7</w:t>
            </w:r>
            <w:r>
              <w:rPr>
                <w:rFonts w:hint="eastAsia" w:ascii="宋体" w:hAnsi="宋体"/>
                <w:color w:val="000000"/>
                <w:sz w:val="18"/>
                <w:szCs w:val="24"/>
                <w:lang w:val="zh-CN"/>
              </w:rPr>
              <w:t>售货机设备应支持优惠码购物功能，支持顾客购物打折优惠功能</w:t>
            </w:r>
          </w:p>
        </w:tc>
        <w:tc>
          <w:tcPr>
            <w:tcW w:w="1416" w:type="dxa"/>
            <w:vMerge w:val="continue"/>
            <w:tcBorders>
              <w:top w:val="nil"/>
              <w:left w:val="nil"/>
              <w:bottom w:val="nil"/>
              <w:right w:val="single" w:color="000000" w:sz="2" w:space="0"/>
              <w:tl2br w:val="nil"/>
              <w:tr2bl w:val="nil"/>
            </w:tcBorders>
            <w:noWrap w:val="0"/>
            <w:vAlign w:val="center"/>
          </w:tcPr>
          <w:p w14:paraId="599B219E">
            <w:pPr>
              <w:spacing w:after="200" w:line="276" w:lineRule="auto"/>
              <w:jc w:val="left"/>
              <w:rPr>
                <w:rFonts w:hint="eastAsia" w:ascii="宋体" w:hAnsi="宋体"/>
                <w:color w:val="auto"/>
                <w:sz w:val="22"/>
                <w:szCs w:val="24"/>
                <w:lang w:val="zh-CN"/>
              </w:rPr>
            </w:pPr>
          </w:p>
        </w:tc>
      </w:tr>
      <w:tr w14:paraId="4831F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6C71EA0B">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24086547">
            <w:pPr>
              <w:spacing w:line="360" w:lineRule="auto"/>
              <w:jc w:val="left"/>
              <w:rPr>
                <w:rFonts w:hint="eastAsia" w:ascii="宋体" w:hAnsi="宋体"/>
                <w:color w:val="auto"/>
                <w:sz w:val="22"/>
                <w:szCs w:val="24"/>
                <w:lang w:val="zh-CN"/>
              </w:rPr>
            </w:pPr>
            <w:r>
              <w:rPr>
                <w:rFonts w:hint="eastAsia" w:ascii="宋体" w:hAnsi="宋体"/>
                <w:color w:val="333333"/>
                <w:sz w:val="18"/>
                <w:szCs w:val="24"/>
                <w:lang w:val="zh-CN"/>
              </w:rPr>
              <w:t>△4.8</w:t>
            </w:r>
            <w:r>
              <w:rPr>
                <w:rFonts w:hint="eastAsia" w:ascii="宋体" w:hAnsi="宋体"/>
                <w:color w:val="000000"/>
                <w:sz w:val="18"/>
                <w:szCs w:val="24"/>
                <w:lang w:val="zh-CN"/>
              </w:rPr>
              <w:t>售货机设备支持为顾客提供电子或者纸质凭证，凭证内容必须包含“产品名称、型号、规格、生产企业名称、注册证编号或者备案编号、生产批号、数量、单价、金额，零售企业名称、经营地址、电话、销售日期”等全部内容，以方便进行质量追溯，并且顾客能通过小程序查看包含上述完整内容的电子销售凭证。</w:t>
            </w:r>
          </w:p>
        </w:tc>
        <w:tc>
          <w:tcPr>
            <w:tcW w:w="1416" w:type="dxa"/>
            <w:vMerge w:val="continue"/>
            <w:tcBorders>
              <w:top w:val="nil"/>
              <w:left w:val="nil"/>
              <w:bottom w:val="nil"/>
              <w:right w:val="single" w:color="000000" w:sz="2" w:space="0"/>
              <w:tl2br w:val="nil"/>
              <w:tr2bl w:val="nil"/>
            </w:tcBorders>
            <w:noWrap w:val="0"/>
            <w:vAlign w:val="center"/>
          </w:tcPr>
          <w:p w14:paraId="57DD5D51">
            <w:pPr>
              <w:spacing w:after="200" w:line="276" w:lineRule="auto"/>
              <w:jc w:val="left"/>
              <w:rPr>
                <w:rFonts w:hint="eastAsia" w:ascii="宋体" w:hAnsi="宋体"/>
                <w:color w:val="auto"/>
                <w:sz w:val="22"/>
                <w:szCs w:val="24"/>
                <w:lang w:val="zh-CN"/>
              </w:rPr>
            </w:pPr>
          </w:p>
        </w:tc>
      </w:tr>
      <w:tr w14:paraId="74230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3"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594246BD">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50B21B8B">
            <w:pPr>
              <w:spacing w:line="360" w:lineRule="auto"/>
              <w:jc w:val="left"/>
              <w:rPr>
                <w:rFonts w:hint="eastAsia" w:ascii="宋体" w:hAnsi="宋体"/>
                <w:color w:val="auto"/>
                <w:sz w:val="22"/>
                <w:szCs w:val="24"/>
                <w:lang w:val="zh-CN"/>
              </w:rPr>
            </w:pPr>
            <w:r>
              <w:rPr>
                <w:rFonts w:hint="eastAsia" w:ascii="宋体" w:hAnsi="宋体"/>
                <w:color w:val="333333"/>
                <w:sz w:val="18"/>
                <w:szCs w:val="24"/>
                <w:lang w:val="zh-CN"/>
              </w:rPr>
              <w:t>4.9</w:t>
            </w:r>
            <w:r>
              <w:rPr>
                <w:rFonts w:hint="eastAsia" w:ascii="宋体" w:hAnsi="宋体"/>
                <w:color w:val="000000"/>
                <w:sz w:val="18"/>
                <w:szCs w:val="24"/>
                <w:lang w:val="zh-CN"/>
              </w:rPr>
              <w:t>售货机设备必须支持顾客小程序端购买，顾客在购物后离开售货机设备依旧可以通过小程序端，查看之前全部购买商品信息内容，并找到售后服务电话，以便售货机运营商做好售后服务。</w:t>
            </w:r>
          </w:p>
        </w:tc>
        <w:tc>
          <w:tcPr>
            <w:tcW w:w="1416" w:type="dxa"/>
            <w:vMerge w:val="continue"/>
            <w:tcBorders>
              <w:top w:val="nil"/>
              <w:left w:val="nil"/>
              <w:bottom w:val="nil"/>
              <w:right w:val="single" w:color="000000" w:sz="2" w:space="0"/>
              <w:tl2br w:val="nil"/>
              <w:tr2bl w:val="nil"/>
            </w:tcBorders>
            <w:noWrap w:val="0"/>
            <w:vAlign w:val="center"/>
          </w:tcPr>
          <w:p w14:paraId="7EDABB70">
            <w:pPr>
              <w:spacing w:after="200" w:line="276" w:lineRule="auto"/>
              <w:jc w:val="left"/>
              <w:rPr>
                <w:rFonts w:hint="eastAsia" w:ascii="宋体" w:hAnsi="宋体"/>
                <w:color w:val="auto"/>
                <w:sz w:val="22"/>
                <w:szCs w:val="24"/>
                <w:lang w:val="zh-CN"/>
              </w:rPr>
            </w:pPr>
          </w:p>
        </w:tc>
      </w:tr>
      <w:tr w14:paraId="0E99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56A746B3">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7FF68D55">
            <w:pPr>
              <w:spacing w:line="360" w:lineRule="auto"/>
              <w:jc w:val="left"/>
              <w:rPr>
                <w:rFonts w:hint="eastAsia" w:ascii="宋体" w:hAnsi="宋体"/>
                <w:color w:val="auto"/>
                <w:sz w:val="22"/>
                <w:szCs w:val="24"/>
                <w:lang w:val="zh-CN"/>
              </w:rPr>
            </w:pPr>
            <w:r>
              <w:rPr>
                <w:rFonts w:hint="eastAsia" w:ascii="宋体" w:hAnsi="宋体"/>
                <w:color w:val="333333"/>
                <w:sz w:val="18"/>
                <w:szCs w:val="24"/>
                <w:lang w:val="zh-CN"/>
              </w:rPr>
              <w:t>4.10</w:t>
            </w:r>
            <w:r>
              <w:rPr>
                <w:rFonts w:hint="eastAsia" w:ascii="宋体" w:hAnsi="宋体"/>
                <w:color w:val="000000"/>
                <w:sz w:val="18"/>
                <w:szCs w:val="24"/>
                <w:lang w:val="zh-CN"/>
              </w:rPr>
              <w:t>售货机系统应支持商品批号录入管理</w:t>
            </w:r>
          </w:p>
        </w:tc>
        <w:tc>
          <w:tcPr>
            <w:tcW w:w="1416" w:type="dxa"/>
            <w:vMerge w:val="continue"/>
            <w:tcBorders>
              <w:top w:val="nil"/>
              <w:left w:val="nil"/>
              <w:bottom w:val="nil"/>
              <w:right w:val="single" w:color="000000" w:sz="2" w:space="0"/>
              <w:tl2br w:val="nil"/>
              <w:tr2bl w:val="nil"/>
            </w:tcBorders>
            <w:noWrap w:val="0"/>
            <w:vAlign w:val="center"/>
          </w:tcPr>
          <w:p w14:paraId="3920319B">
            <w:pPr>
              <w:spacing w:after="200" w:line="276" w:lineRule="auto"/>
              <w:jc w:val="left"/>
              <w:rPr>
                <w:rFonts w:hint="eastAsia" w:ascii="宋体" w:hAnsi="宋体"/>
                <w:color w:val="auto"/>
                <w:sz w:val="22"/>
                <w:szCs w:val="24"/>
                <w:lang w:val="zh-CN"/>
              </w:rPr>
            </w:pPr>
          </w:p>
        </w:tc>
      </w:tr>
      <w:tr w14:paraId="4D224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6F95E06E">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7B7F5408">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上述技术参数一般项每缺一项扣1分，重点项目</w:t>
            </w:r>
            <w:r>
              <w:rPr>
                <w:rFonts w:hint="eastAsia" w:ascii="宋体" w:hAnsi="宋体"/>
                <w:color w:val="333333"/>
                <w:sz w:val="18"/>
                <w:szCs w:val="24"/>
                <w:lang w:val="zh-CN"/>
              </w:rPr>
              <w:t>△</w:t>
            </w:r>
            <w:r>
              <w:rPr>
                <w:rFonts w:hint="eastAsia" w:ascii="宋体" w:hAnsi="宋体"/>
                <w:color w:val="000000"/>
                <w:sz w:val="18"/>
                <w:szCs w:val="24"/>
                <w:lang w:val="zh-CN"/>
              </w:rPr>
              <w:t>每缺一项扣2分，扣完为止。须提供相应图片或者视频资料，如有可能需要登录后台系统或者实物验证确定。</w:t>
            </w:r>
          </w:p>
        </w:tc>
        <w:tc>
          <w:tcPr>
            <w:tcW w:w="1416" w:type="dxa"/>
            <w:vMerge w:val="continue"/>
            <w:tcBorders>
              <w:top w:val="nil"/>
              <w:left w:val="nil"/>
              <w:bottom w:val="single" w:color="000000" w:sz="2" w:space="0"/>
              <w:right w:val="single" w:color="000000" w:sz="2" w:space="0"/>
              <w:tl2br w:val="nil"/>
              <w:tr2bl w:val="nil"/>
            </w:tcBorders>
            <w:noWrap w:val="0"/>
            <w:vAlign w:val="center"/>
          </w:tcPr>
          <w:p w14:paraId="3A43BF41">
            <w:pPr>
              <w:spacing w:after="200" w:line="276" w:lineRule="auto"/>
              <w:jc w:val="left"/>
              <w:rPr>
                <w:rFonts w:hint="eastAsia" w:ascii="宋体" w:hAnsi="宋体"/>
                <w:color w:val="auto"/>
                <w:sz w:val="22"/>
                <w:szCs w:val="24"/>
                <w:lang w:val="zh-CN"/>
              </w:rPr>
            </w:pPr>
          </w:p>
        </w:tc>
      </w:tr>
      <w:tr w14:paraId="07873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restart"/>
            <w:tcBorders>
              <w:top w:val="nil"/>
              <w:left w:val="single" w:color="000000" w:sz="2" w:space="0"/>
              <w:bottom w:val="nil"/>
              <w:right w:val="single" w:color="000000" w:sz="2" w:space="0"/>
              <w:tl2br w:val="nil"/>
              <w:tr2bl w:val="nil"/>
            </w:tcBorders>
            <w:shd w:val="clear" w:color="000000" w:fill="FFFFFF"/>
            <w:noWrap w:val="0"/>
            <w:vAlign w:val="center"/>
          </w:tcPr>
          <w:p w14:paraId="1083486F">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5</w:t>
            </w:r>
          </w:p>
        </w:tc>
        <w:tc>
          <w:tcPr>
            <w:tcW w:w="8356" w:type="dxa"/>
            <w:gridSpan w:val="2"/>
            <w:tcBorders>
              <w:top w:val="single" w:color="000000" w:sz="2" w:space="0"/>
              <w:left w:val="nil"/>
              <w:bottom w:val="single" w:color="000000" w:sz="2" w:space="0"/>
              <w:right w:val="single" w:color="000000" w:sz="2" w:space="0"/>
              <w:tl2br w:val="nil"/>
              <w:tr2bl w:val="nil"/>
            </w:tcBorders>
            <w:noWrap w:val="0"/>
            <w:vAlign w:val="center"/>
          </w:tcPr>
          <w:p w14:paraId="492183F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五、投标人综合实力评分细则（总计20分）</w:t>
            </w:r>
          </w:p>
        </w:tc>
      </w:tr>
      <w:tr w14:paraId="2AC34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017051EA">
            <w:pPr>
              <w:spacing w:after="200" w:line="276" w:lineRule="auto"/>
              <w:jc w:val="left"/>
              <w:rPr>
                <w:rFonts w:hint="eastAsia" w:ascii="宋体" w:hAnsi="宋体"/>
                <w:color w:val="auto"/>
                <w:sz w:val="22"/>
                <w:szCs w:val="24"/>
                <w:lang w:val="zh-CN"/>
              </w:rPr>
            </w:pPr>
          </w:p>
        </w:tc>
        <w:tc>
          <w:tcPr>
            <w:tcW w:w="6940" w:type="dxa"/>
            <w:tcBorders>
              <w:top w:val="single" w:color="000000" w:sz="2" w:space="0"/>
              <w:left w:val="nil"/>
              <w:bottom w:val="single" w:color="000000" w:sz="2" w:space="0"/>
              <w:right w:val="single" w:color="000000" w:sz="2" w:space="0"/>
              <w:tl2br w:val="nil"/>
              <w:tr2bl w:val="nil"/>
            </w:tcBorders>
            <w:noWrap w:val="0"/>
            <w:vAlign w:val="center"/>
          </w:tcPr>
          <w:p w14:paraId="1EB47288">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5.1信息安全等级保护备案证明：按照《信息安全等级保护管理办法》要求，投标人需要提供《信息安全等级保护备案证明》（二级以及以上），备案证明所有人必须为投标人或授权给投标人的售货机生产企业所有。提供得10分，不能提供不得分。</w:t>
            </w:r>
          </w:p>
        </w:tc>
        <w:tc>
          <w:tcPr>
            <w:tcW w:w="1416" w:type="dxa"/>
            <w:vMerge w:val="restart"/>
            <w:tcBorders>
              <w:top w:val="single" w:color="000000" w:sz="2" w:space="0"/>
              <w:left w:val="single" w:color="000000" w:sz="2" w:space="0"/>
              <w:bottom w:val="nil"/>
              <w:right w:val="single" w:color="000000" w:sz="2" w:space="0"/>
              <w:tl2br w:val="nil"/>
              <w:tr2bl w:val="nil"/>
            </w:tcBorders>
            <w:noWrap w:val="0"/>
            <w:vAlign w:val="center"/>
          </w:tcPr>
          <w:p w14:paraId="2E477B5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20分</w:t>
            </w:r>
          </w:p>
        </w:tc>
      </w:tr>
      <w:tr w14:paraId="1C00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04252CE6">
            <w:pPr>
              <w:spacing w:after="200" w:line="276" w:lineRule="auto"/>
              <w:jc w:val="left"/>
              <w:rPr>
                <w:rFonts w:hint="eastAsia" w:ascii="宋体" w:hAnsi="宋体"/>
                <w:color w:val="auto"/>
                <w:sz w:val="22"/>
                <w:szCs w:val="24"/>
                <w:lang w:val="zh-CN"/>
              </w:rPr>
            </w:pPr>
          </w:p>
        </w:tc>
        <w:tc>
          <w:tcPr>
            <w:tcW w:w="6940" w:type="dxa"/>
            <w:tcBorders>
              <w:top w:val="single" w:color="000000" w:sz="2" w:space="0"/>
              <w:left w:val="nil"/>
              <w:bottom w:val="single" w:color="000000" w:sz="2" w:space="0"/>
              <w:right w:val="single" w:color="000000" w:sz="2" w:space="0"/>
              <w:tl2br w:val="nil"/>
              <w:tr2bl w:val="nil"/>
            </w:tcBorders>
            <w:noWrap w:val="0"/>
            <w:vAlign w:val="center"/>
          </w:tcPr>
          <w:p w14:paraId="1C81D4BD">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5.2根据本项目实际情况投入相应的人力物力和技术能力，提供项目稳定运营的保障措施（含自助售货机的运维），</w:t>
            </w:r>
            <w:r>
              <w:rPr>
                <w:rFonts w:hint="eastAsia" w:ascii="宋体" w:hAnsi="宋体"/>
                <w:color w:val="000000"/>
                <w:sz w:val="18"/>
                <w:szCs w:val="24"/>
                <w:lang w:val="zh-CN" w:eastAsia="zh-CN"/>
              </w:rPr>
              <w:t>包括不限于项目的管理制度、培训制度、人员组织架构等，</w:t>
            </w:r>
            <w:r>
              <w:rPr>
                <w:rFonts w:hint="eastAsia" w:ascii="宋体" w:hAnsi="宋体"/>
                <w:color w:val="000000"/>
                <w:sz w:val="18"/>
                <w:szCs w:val="24"/>
                <w:lang w:val="zh-CN"/>
              </w:rPr>
              <w:t>确保项目在运营期内顺利运营。</w:t>
            </w:r>
            <w:r>
              <w:rPr>
                <w:rFonts w:hint="eastAsia" w:ascii="宋体" w:hAnsi="宋体"/>
                <w:color w:val="000000"/>
                <w:sz w:val="18"/>
                <w:szCs w:val="24"/>
                <w:lang w:val="en-US" w:eastAsia="zh-CN"/>
              </w:rPr>
              <w:t xml:space="preserve"> </w:t>
            </w:r>
            <w:r>
              <w:rPr>
                <w:rFonts w:hint="eastAsia" w:ascii="宋体" w:hAnsi="宋体"/>
                <w:color w:val="000000"/>
                <w:sz w:val="18"/>
                <w:szCs w:val="24"/>
                <w:lang w:val="zh-CN"/>
              </w:rPr>
              <w:t>最多得5分，不能提供不得分。</w:t>
            </w:r>
          </w:p>
        </w:tc>
        <w:tc>
          <w:tcPr>
            <w:tcW w:w="1416" w:type="dxa"/>
            <w:vMerge w:val="continue"/>
            <w:tcBorders>
              <w:top w:val="nil"/>
              <w:left w:val="single" w:color="000000" w:sz="2" w:space="0"/>
              <w:bottom w:val="nil"/>
              <w:right w:val="single" w:color="000000" w:sz="2" w:space="0"/>
              <w:tl2br w:val="nil"/>
              <w:tr2bl w:val="nil"/>
            </w:tcBorders>
            <w:noWrap w:val="0"/>
            <w:vAlign w:val="center"/>
          </w:tcPr>
          <w:p w14:paraId="63686FFD">
            <w:pPr>
              <w:spacing w:after="200" w:line="276" w:lineRule="auto"/>
              <w:jc w:val="left"/>
              <w:rPr>
                <w:rFonts w:hint="eastAsia" w:ascii="宋体" w:hAnsi="宋体"/>
                <w:color w:val="auto"/>
                <w:sz w:val="22"/>
                <w:szCs w:val="24"/>
                <w:lang w:val="zh-CN"/>
              </w:rPr>
            </w:pPr>
          </w:p>
        </w:tc>
      </w:tr>
      <w:tr w14:paraId="2D0D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6A9FBEBE">
            <w:pPr>
              <w:spacing w:after="200" w:line="276" w:lineRule="auto"/>
              <w:jc w:val="left"/>
              <w:rPr>
                <w:rFonts w:hint="eastAsia" w:ascii="宋体" w:hAnsi="宋体"/>
                <w:color w:val="auto"/>
                <w:sz w:val="22"/>
                <w:szCs w:val="24"/>
                <w:lang w:val="zh-CN"/>
              </w:rPr>
            </w:pPr>
          </w:p>
        </w:tc>
        <w:tc>
          <w:tcPr>
            <w:tcW w:w="6940" w:type="dxa"/>
            <w:tcBorders>
              <w:top w:val="single" w:color="000000" w:sz="2" w:space="0"/>
              <w:left w:val="nil"/>
              <w:bottom w:val="single" w:color="000000" w:sz="2" w:space="0"/>
              <w:right w:val="single" w:color="000000" w:sz="2" w:space="0"/>
              <w:tl2br w:val="nil"/>
              <w:tr2bl w:val="nil"/>
            </w:tcBorders>
            <w:noWrap w:val="0"/>
            <w:vAlign w:val="center"/>
          </w:tcPr>
          <w:p w14:paraId="02FAF83C">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5.3售货机系统应与ERP系统对接：按照药监局相关规定“</w:t>
            </w:r>
            <w:r>
              <w:rPr>
                <w:rFonts w:hint="eastAsia" w:ascii="宋体" w:hAnsi="宋体"/>
                <w:color w:val="000000"/>
                <w:sz w:val="18"/>
                <w:szCs w:val="24"/>
                <w:highlight w:val="white"/>
                <w:lang w:val="zh-CN"/>
              </w:rPr>
              <w:t>自动售械机实行“一机一号”联网管理，企业计算机系统应能与仓库、设备实时数据对接。”,投标人应提供售货机系统与符合药监规定的医疗器械零售计算机管理系统实现数据对接的证明材料。</w:t>
            </w:r>
            <w:r>
              <w:rPr>
                <w:rFonts w:hint="eastAsia" w:ascii="宋体" w:hAnsi="宋体"/>
                <w:color w:val="000000"/>
                <w:sz w:val="18"/>
                <w:szCs w:val="24"/>
                <w:lang w:val="zh-CN"/>
              </w:rPr>
              <w:t>提供得2.5分，不能提供不得分。</w:t>
            </w:r>
          </w:p>
        </w:tc>
        <w:tc>
          <w:tcPr>
            <w:tcW w:w="1416" w:type="dxa"/>
            <w:vMerge w:val="continue"/>
            <w:tcBorders>
              <w:top w:val="nil"/>
              <w:left w:val="single" w:color="000000" w:sz="2" w:space="0"/>
              <w:bottom w:val="nil"/>
              <w:right w:val="single" w:color="000000" w:sz="2" w:space="0"/>
              <w:tl2br w:val="nil"/>
              <w:tr2bl w:val="nil"/>
            </w:tcBorders>
            <w:noWrap w:val="0"/>
            <w:vAlign w:val="center"/>
          </w:tcPr>
          <w:p w14:paraId="25710554">
            <w:pPr>
              <w:spacing w:after="200" w:line="276" w:lineRule="auto"/>
              <w:jc w:val="left"/>
              <w:rPr>
                <w:rFonts w:hint="eastAsia" w:ascii="宋体" w:hAnsi="宋体"/>
                <w:color w:val="auto"/>
                <w:sz w:val="22"/>
                <w:szCs w:val="24"/>
                <w:lang w:val="zh-CN"/>
              </w:rPr>
            </w:pPr>
          </w:p>
        </w:tc>
      </w:tr>
      <w:tr w14:paraId="728F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5F4CC832">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shd w:val="clear" w:color="auto" w:fill="auto"/>
            <w:noWrap w:val="0"/>
            <w:vAlign w:val="center"/>
          </w:tcPr>
          <w:p w14:paraId="17A79F39">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5.4 质量管理体系认证：能够提供ISO9001质量管理体系，认证范围包含自动售货机的组装生产以及销售。该证所有人必须为投标人（或授权给投标人的售货机生产企业），提供得2.5分，不能提供不得分。</w:t>
            </w:r>
          </w:p>
        </w:tc>
        <w:tc>
          <w:tcPr>
            <w:tcW w:w="1416" w:type="dxa"/>
            <w:vMerge w:val="continue"/>
            <w:tcBorders>
              <w:top w:val="nil"/>
              <w:left w:val="single" w:color="000000" w:sz="2" w:space="0"/>
              <w:bottom w:val="nil"/>
              <w:right w:val="single" w:color="000000" w:sz="2" w:space="0"/>
              <w:tl2br w:val="nil"/>
              <w:tr2bl w:val="nil"/>
            </w:tcBorders>
            <w:shd w:val="clear" w:color="000000" w:fill="FFFFFF"/>
            <w:noWrap w:val="0"/>
            <w:vAlign w:val="center"/>
          </w:tcPr>
          <w:p w14:paraId="60406E51">
            <w:pPr>
              <w:spacing w:after="200" w:line="276" w:lineRule="auto"/>
              <w:jc w:val="left"/>
              <w:rPr>
                <w:rFonts w:hint="eastAsia" w:ascii="宋体" w:hAnsi="宋体"/>
                <w:color w:val="auto"/>
                <w:sz w:val="22"/>
                <w:szCs w:val="24"/>
                <w:lang w:val="zh-CN"/>
              </w:rPr>
            </w:pPr>
          </w:p>
        </w:tc>
      </w:tr>
      <w:tr w14:paraId="4537B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1459C24E">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shd w:val="clear" w:color="auto" w:fill="auto"/>
            <w:noWrap w:val="0"/>
            <w:vAlign w:val="center"/>
          </w:tcPr>
          <w:p w14:paraId="080BCB7E">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上述证书（报告）必须为投标人所有，若为品牌代理商投标，则需提供售货机生产企业的授权书。</w:t>
            </w:r>
          </w:p>
        </w:tc>
        <w:tc>
          <w:tcPr>
            <w:tcW w:w="1416"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59BC6BEA">
            <w:pPr>
              <w:spacing w:after="200" w:line="276" w:lineRule="auto"/>
              <w:jc w:val="left"/>
              <w:rPr>
                <w:rFonts w:hint="eastAsia" w:ascii="宋体" w:hAnsi="宋体"/>
                <w:color w:val="auto"/>
                <w:sz w:val="22"/>
                <w:szCs w:val="24"/>
                <w:lang w:val="zh-CN"/>
              </w:rPr>
            </w:pPr>
          </w:p>
        </w:tc>
      </w:tr>
      <w:tr w14:paraId="5418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restart"/>
            <w:tcBorders>
              <w:top w:val="nil"/>
              <w:left w:val="single" w:color="000000" w:sz="2" w:space="0"/>
              <w:bottom w:val="single" w:color="000000" w:sz="2" w:space="0"/>
              <w:right w:val="single" w:color="000000" w:sz="2" w:space="0"/>
              <w:tl2br w:val="nil"/>
              <w:tr2bl w:val="nil"/>
            </w:tcBorders>
            <w:noWrap w:val="0"/>
            <w:vAlign w:val="center"/>
          </w:tcPr>
          <w:p w14:paraId="0F25848A">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6</w:t>
            </w:r>
          </w:p>
        </w:tc>
        <w:tc>
          <w:tcPr>
            <w:tcW w:w="8356" w:type="dxa"/>
            <w:gridSpan w:val="2"/>
            <w:tcBorders>
              <w:top w:val="single" w:color="000000" w:sz="2" w:space="0"/>
              <w:left w:val="nil"/>
              <w:bottom w:val="single" w:color="000000" w:sz="2" w:space="0"/>
              <w:right w:val="single" w:color="000000" w:sz="2" w:space="0"/>
              <w:tl2br w:val="nil"/>
              <w:tr2bl w:val="nil"/>
            </w:tcBorders>
            <w:noWrap w:val="0"/>
            <w:vAlign w:val="center"/>
          </w:tcPr>
          <w:p w14:paraId="278188B9">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6、报价评分细则（总计10分）</w:t>
            </w:r>
          </w:p>
        </w:tc>
      </w:tr>
      <w:tr w14:paraId="2C054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53" w:type="dxa"/>
            <w:vMerge w:val="continue"/>
            <w:tcBorders>
              <w:top w:val="nil"/>
              <w:left w:val="single" w:color="000000" w:sz="2" w:space="0"/>
              <w:bottom w:val="single" w:color="000000" w:sz="2" w:space="0"/>
              <w:right w:val="single" w:color="000000" w:sz="2" w:space="0"/>
              <w:tl2br w:val="nil"/>
              <w:tr2bl w:val="nil"/>
            </w:tcBorders>
            <w:shd w:val="clear" w:color="000000" w:fill="FFFFFF"/>
            <w:noWrap w:val="0"/>
            <w:vAlign w:val="center"/>
          </w:tcPr>
          <w:p w14:paraId="0978342E">
            <w:pPr>
              <w:spacing w:after="200" w:line="276" w:lineRule="auto"/>
              <w:jc w:val="left"/>
              <w:rPr>
                <w:rFonts w:hint="eastAsia" w:ascii="宋体" w:hAnsi="宋体"/>
                <w:color w:val="auto"/>
                <w:sz w:val="22"/>
                <w:szCs w:val="24"/>
                <w:lang w:val="zh-CN"/>
              </w:rPr>
            </w:pPr>
          </w:p>
        </w:tc>
        <w:tc>
          <w:tcPr>
            <w:tcW w:w="6940" w:type="dxa"/>
            <w:tcBorders>
              <w:top w:val="nil"/>
              <w:left w:val="nil"/>
              <w:bottom w:val="single" w:color="000000" w:sz="2" w:space="0"/>
              <w:right w:val="single" w:color="000000" w:sz="2" w:space="0"/>
              <w:tl2br w:val="nil"/>
              <w:tr2bl w:val="nil"/>
            </w:tcBorders>
            <w:noWrap w:val="0"/>
            <w:vAlign w:val="center"/>
          </w:tcPr>
          <w:p w14:paraId="5D0BE7E7">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投标报价得分 =10×(有效报价÷最高有效报价)，最高有效报价为</w:t>
            </w:r>
            <w:r>
              <w:rPr>
                <w:rFonts w:hint="eastAsia" w:ascii="宋体" w:hAnsi="宋体"/>
                <w:color w:val="000000"/>
                <w:sz w:val="18"/>
                <w:szCs w:val="24"/>
                <w:lang w:val="en-US" w:eastAsia="zh-CN"/>
              </w:rPr>
              <w:t>50</w:t>
            </w:r>
            <w:r>
              <w:rPr>
                <w:rFonts w:hint="eastAsia" w:ascii="宋体" w:hAnsi="宋体"/>
                <w:color w:val="000000"/>
                <w:sz w:val="18"/>
                <w:szCs w:val="24"/>
                <w:lang w:val="zh-CN"/>
              </w:rPr>
              <w:t>00元/点位/年。</w:t>
            </w:r>
          </w:p>
        </w:tc>
        <w:tc>
          <w:tcPr>
            <w:tcW w:w="1416" w:type="dxa"/>
            <w:tcBorders>
              <w:top w:val="nil"/>
              <w:left w:val="nil"/>
              <w:bottom w:val="single" w:color="000000" w:sz="2" w:space="0"/>
              <w:right w:val="single" w:color="000000" w:sz="2" w:space="0"/>
              <w:tl2br w:val="nil"/>
              <w:tr2bl w:val="nil"/>
            </w:tcBorders>
            <w:noWrap w:val="0"/>
            <w:vAlign w:val="center"/>
          </w:tcPr>
          <w:p w14:paraId="5455BEA5">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10</w:t>
            </w:r>
          </w:p>
        </w:tc>
      </w:tr>
      <w:tr w14:paraId="365D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209" w:type="dxa"/>
            <w:gridSpan w:val="3"/>
            <w:tcBorders>
              <w:top w:val="single" w:color="000000" w:sz="2" w:space="0"/>
              <w:left w:val="single" w:color="000000" w:sz="2" w:space="0"/>
              <w:bottom w:val="single" w:color="000000" w:sz="2" w:space="0"/>
              <w:right w:val="single" w:color="000000" w:sz="2" w:space="0"/>
              <w:tl2br w:val="nil"/>
              <w:tr2bl w:val="nil"/>
            </w:tcBorders>
            <w:noWrap w:val="0"/>
            <w:vAlign w:val="center"/>
          </w:tcPr>
          <w:p w14:paraId="206FDBFF">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综合得分计算规则：</w:t>
            </w:r>
          </w:p>
        </w:tc>
      </w:tr>
      <w:tr w14:paraId="7E01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jc w:val="center"/>
        </w:trPr>
        <w:tc>
          <w:tcPr>
            <w:tcW w:w="9209" w:type="dxa"/>
            <w:gridSpan w:val="3"/>
            <w:tcBorders>
              <w:top w:val="single" w:color="000000" w:sz="2" w:space="0"/>
              <w:left w:val="single" w:color="000000" w:sz="2" w:space="0"/>
              <w:bottom w:val="single" w:color="000000" w:sz="2" w:space="0"/>
              <w:right w:val="single" w:color="000000" w:sz="2" w:space="0"/>
              <w:tl2br w:val="nil"/>
              <w:tr2bl w:val="nil"/>
            </w:tcBorders>
            <w:noWrap w:val="0"/>
            <w:vAlign w:val="center"/>
          </w:tcPr>
          <w:p w14:paraId="76392C61">
            <w:pPr>
              <w:spacing w:line="360" w:lineRule="auto"/>
              <w:jc w:val="left"/>
              <w:rPr>
                <w:rFonts w:hint="eastAsia" w:ascii="宋体" w:hAnsi="宋体"/>
                <w:color w:val="auto"/>
                <w:sz w:val="22"/>
                <w:szCs w:val="24"/>
                <w:lang w:val="zh-CN"/>
              </w:rPr>
            </w:pPr>
            <w:r>
              <w:rPr>
                <w:rFonts w:hint="eastAsia" w:ascii="宋体" w:hAnsi="宋体"/>
                <w:color w:val="000000"/>
                <w:sz w:val="18"/>
                <w:szCs w:val="24"/>
                <w:lang w:val="zh-CN"/>
              </w:rPr>
              <w:t xml:space="preserve">投标人最后综合得分=运营方案得分+售后服务得分+业绩案例+设备技术参数+投标人综合实力+报价 </w:t>
            </w:r>
          </w:p>
        </w:tc>
      </w:tr>
    </w:tbl>
    <w:p w14:paraId="316730D0">
      <w:pPr>
        <w:spacing w:line="360" w:lineRule="auto"/>
        <w:jc w:val="left"/>
        <w:rPr>
          <w:rFonts w:hint="eastAsia" w:ascii="宋体" w:hAnsi="宋体"/>
          <w:color w:val="000000"/>
          <w:sz w:val="18"/>
          <w:szCs w:val="24"/>
          <w:lang w:val="zh-CN"/>
        </w:rPr>
      </w:pPr>
    </w:p>
    <w:p w14:paraId="480CCBED">
      <w:pPr>
        <w:spacing w:line="360" w:lineRule="auto"/>
        <w:jc w:val="left"/>
        <w:rPr>
          <w:rFonts w:hint="eastAsia" w:ascii="宋体" w:hAnsi="宋体"/>
          <w:color w:val="000000"/>
          <w:sz w:val="18"/>
          <w:szCs w:val="24"/>
          <w:lang w:val="zh-CN"/>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37F98"/>
    <w:multiLevelType w:val="singleLevel"/>
    <w:tmpl w:val="97037F98"/>
    <w:lvl w:ilvl="0" w:tentative="0">
      <w:start w:val="8"/>
      <w:numFmt w:val="chineseCounting"/>
      <w:suff w:val="nothing"/>
      <w:lvlText w:val="%1、"/>
      <w:lvlJc w:val="left"/>
      <w:rPr>
        <w:rFonts w:hint="eastAsia"/>
      </w:rPr>
    </w:lvl>
  </w:abstractNum>
  <w:abstractNum w:abstractNumId="1">
    <w:nsid w:val="E315E50A"/>
    <w:multiLevelType w:val="singleLevel"/>
    <w:tmpl w:val="E315E5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OTc1ZGQxZTNiMDNiYzYyYTY3Njc2ZTFmOTFhMzcifQ=="/>
  </w:docVars>
  <w:rsids>
    <w:rsidRoot w:val="00172A27"/>
    <w:rsid w:val="04B05649"/>
    <w:rsid w:val="071D5960"/>
    <w:rsid w:val="0A2466BD"/>
    <w:rsid w:val="0BE867CB"/>
    <w:rsid w:val="11B46926"/>
    <w:rsid w:val="138A7DAA"/>
    <w:rsid w:val="14133898"/>
    <w:rsid w:val="141F6BD7"/>
    <w:rsid w:val="145E323C"/>
    <w:rsid w:val="170E51CC"/>
    <w:rsid w:val="17F74A31"/>
    <w:rsid w:val="1A8B3D2C"/>
    <w:rsid w:val="21C75EEE"/>
    <w:rsid w:val="22427499"/>
    <w:rsid w:val="2315241A"/>
    <w:rsid w:val="28AD0409"/>
    <w:rsid w:val="2B7C42D7"/>
    <w:rsid w:val="2C112292"/>
    <w:rsid w:val="328C7543"/>
    <w:rsid w:val="373B602E"/>
    <w:rsid w:val="3DD42E37"/>
    <w:rsid w:val="3F423694"/>
    <w:rsid w:val="3FB5744A"/>
    <w:rsid w:val="406063DD"/>
    <w:rsid w:val="418D6DFD"/>
    <w:rsid w:val="46357B15"/>
    <w:rsid w:val="49F75FD5"/>
    <w:rsid w:val="4BC12101"/>
    <w:rsid w:val="4DC66EE9"/>
    <w:rsid w:val="562239F2"/>
    <w:rsid w:val="5A11069C"/>
    <w:rsid w:val="5FB23A2A"/>
    <w:rsid w:val="667D149E"/>
    <w:rsid w:val="6EDA002C"/>
    <w:rsid w:val="7A0F601D"/>
    <w:rsid w:val="7BB3708A"/>
    <w:rsid w:val="7F133384"/>
    <w:rsid w:val="7F415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spacing w:beforeLines="0" w:afterLines="0"/>
      <w:jc w:val="both"/>
    </w:pPr>
    <w:rPr>
      <w:rFonts w:hint="default" w:ascii="Times New Roman" w:hAnsi="Times New Roman" w:eastAsia="宋体" w:cs="Times New Roman"/>
      <w:kern w:val="2"/>
      <w:sz w:val="21"/>
      <w:szCs w:val="24"/>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 w:type="paragraph" w:styleId="3">
    <w:name w:val="header"/>
    <w:basedOn w:val="1"/>
    <w:unhideWhenUsed/>
    <w:qFormat/>
    <w:uiPriority w:val="99"/>
    <w:pPr>
      <w:tabs>
        <w:tab w:val="center" w:pos="4153"/>
        <w:tab w:val="right" w:pos="8306"/>
      </w:tabs>
      <w:snapToGrid w:val="0"/>
      <w:spacing w:beforeLines="0" w:afterLines="0"/>
    </w:pPr>
    <w:rPr>
      <w:rFonts w:hint="default"/>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3562</Words>
  <Characters>3734</Characters>
  <TotalTime>8</TotalTime>
  <ScaleCrop>false</ScaleCrop>
  <LinksUpToDate>false</LinksUpToDate>
  <CharactersWithSpaces>3835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2024-11-03T06:54:00Z</dcterms:created>
  <dc:creator>1</dc:creator>
  <cp:lastModifiedBy>can波</cp:lastModifiedBy>
  <dcterms:modified xsi:type="dcterms:W3CDTF">2025-04-26T06:31:21Z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C86DD09D3D394FB5BECB0E12D791E435_13</vt:lpwstr>
  </property>
  <property fmtid="{D5CDD505-2E9C-101B-9397-08002B2CF9AE}" pid="4" name="KSOTemplateDocerSaveRecord">
    <vt:lpwstr>eyJoZGlkIjoiYTA1OTc1ZGQxZTNiMDNiYzYyYTY3Njc2ZTFmOTFhMzciLCJ1c2VySWQiOiI2NDMyMDUxNjQifQ==</vt:lpwstr>
  </property>
</Properties>
</file>