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62BDE">
      <w:pPr>
        <w:spacing w:line="360" w:lineRule="auto"/>
        <w:jc w:val="center"/>
        <w:rPr>
          <w:rFonts w:ascii="方正小标宋简体" w:hAnsi="方正小标宋简体" w:eastAsia="方正小标宋简体" w:cs="宋体"/>
          <w:color w:val="auto"/>
          <w:sz w:val="44"/>
          <w:szCs w:val="44"/>
          <w:highlight w:val="none"/>
          <w:u w:val="single"/>
        </w:rPr>
      </w:pPr>
      <w:bookmarkStart w:id="0" w:name="_Toc20384570"/>
      <w:r>
        <w:rPr>
          <w:rFonts w:hint="eastAsia" w:ascii="黑体" w:hAnsi="黑体" w:eastAsia="黑体" w:cs="宋体"/>
          <w:color w:val="auto"/>
          <w:sz w:val="32"/>
          <w:szCs w:val="32"/>
          <w:highlight w:val="none"/>
        </w:rPr>
        <w:t xml:space="preserve"> </w:t>
      </w:r>
    </w:p>
    <w:p w14:paraId="46274578">
      <w:pPr>
        <w:spacing w:line="360" w:lineRule="auto"/>
        <w:jc w:val="center"/>
        <w:rPr>
          <w:rFonts w:ascii="方正小标宋简体" w:hAnsi="方正小标宋简体" w:eastAsia="方正小标宋简体" w:cs="宋体"/>
          <w:color w:val="auto"/>
          <w:sz w:val="48"/>
          <w:szCs w:val="48"/>
          <w:highlight w:val="none"/>
        </w:rPr>
      </w:pPr>
    </w:p>
    <w:p w14:paraId="07FA6268">
      <w:pPr>
        <w:spacing w:line="360" w:lineRule="auto"/>
        <w:jc w:val="center"/>
        <w:rPr>
          <w:rFonts w:ascii="方正小标宋简体" w:hAnsi="方正小标宋简体" w:eastAsia="方正小标宋简体" w:cs="宋体"/>
          <w:color w:val="auto"/>
          <w:sz w:val="48"/>
          <w:szCs w:val="48"/>
          <w:highlight w:val="none"/>
        </w:rPr>
      </w:pPr>
    </w:p>
    <w:p w14:paraId="54C9410E">
      <w:pPr>
        <w:spacing w:line="360" w:lineRule="auto"/>
        <w:jc w:val="center"/>
        <w:rPr>
          <w:rFonts w:hint="eastAsia" w:ascii="宋体" w:hAnsi="宋体" w:eastAsia="宋体" w:cs="宋体"/>
          <w:color w:val="auto"/>
          <w:sz w:val="52"/>
          <w:szCs w:val="52"/>
          <w:highlight w:val="none"/>
          <w:lang w:val="en-US" w:eastAsia="zh-CN"/>
        </w:rPr>
      </w:pPr>
      <w:r>
        <w:rPr>
          <w:rFonts w:hint="eastAsia" w:ascii="宋体" w:hAnsi="宋体" w:eastAsia="宋体" w:cs="宋体"/>
          <w:color w:val="auto"/>
          <w:sz w:val="52"/>
          <w:szCs w:val="52"/>
          <w:highlight w:val="none"/>
        </w:rPr>
        <w:t>杭州市</w:t>
      </w:r>
      <w:r>
        <w:rPr>
          <w:rFonts w:hint="eastAsia" w:ascii="宋体" w:hAnsi="宋体" w:eastAsia="宋体" w:cs="宋体"/>
          <w:color w:val="auto"/>
          <w:sz w:val="52"/>
          <w:szCs w:val="52"/>
          <w:highlight w:val="none"/>
          <w:lang w:val="en-US" w:eastAsia="zh-CN"/>
        </w:rPr>
        <w:t>余杭区</w:t>
      </w:r>
    </w:p>
    <w:p w14:paraId="1A875853">
      <w:pPr>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政府采购项目采购需求</w:t>
      </w:r>
    </w:p>
    <w:p w14:paraId="3B4812FF">
      <w:pPr>
        <w:spacing w:line="360" w:lineRule="auto"/>
        <w:jc w:val="center"/>
        <w:rPr>
          <w:rFonts w:hint="eastAsia" w:ascii="宋体" w:hAnsi="宋体" w:eastAsia="宋体" w:cs="宋体"/>
          <w:color w:val="auto"/>
          <w:sz w:val="32"/>
          <w:szCs w:val="32"/>
          <w:highlight w:val="none"/>
        </w:rPr>
      </w:pPr>
    </w:p>
    <w:p w14:paraId="790D7268">
      <w:pPr>
        <w:spacing w:line="360" w:lineRule="auto"/>
        <w:jc w:val="center"/>
        <w:rPr>
          <w:rFonts w:hint="eastAsia" w:ascii="宋体" w:hAnsi="宋体" w:eastAsia="宋体" w:cs="宋体"/>
          <w:color w:val="auto"/>
          <w:sz w:val="44"/>
          <w:szCs w:val="44"/>
          <w:highlight w:val="none"/>
        </w:rPr>
      </w:pPr>
    </w:p>
    <w:p w14:paraId="0B8B5D4C">
      <w:pPr>
        <w:spacing w:line="360" w:lineRule="auto"/>
        <w:jc w:val="center"/>
        <w:rPr>
          <w:rFonts w:hint="eastAsia" w:ascii="宋体" w:hAnsi="宋体" w:eastAsia="宋体" w:cs="宋体"/>
          <w:color w:val="auto"/>
          <w:sz w:val="44"/>
          <w:szCs w:val="44"/>
          <w:highlight w:val="none"/>
        </w:rPr>
      </w:pPr>
    </w:p>
    <w:p w14:paraId="39B7F5B5">
      <w:pPr>
        <w:spacing w:line="360" w:lineRule="auto"/>
        <w:jc w:val="center"/>
        <w:rPr>
          <w:rFonts w:hint="eastAsia" w:ascii="宋体" w:hAnsi="宋体" w:eastAsia="宋体" w:cs="宋体"/>
          <w:color w:val="auto"/>
          <w:sz w:val="44"/>
          <w:szCs w:val="44"/>
          <w:highlight w:val="none"/>
        </w:rPr>
      </w:pPr>
    </w:p>
    <w:p w14:paraId="14BA204D">
      <w:pPr>
        <w:spacing w:line="360" w:lineRule="auto"/>
        <w:ind w:left="420" w:leftChars="200"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采购单位：</w:t>
      </w:r>
      <w:r>
        <w:rPr>
          <w:rFonts w:hint="eastAsia" w:ascii="宋体" w:hAnsi="宋体" w:eastAsia="宋体" w:cs="宋体"/>
          <w:color w:val="auto"/>
          <w:sz w:val="28"/>
          <w:szCs w:val="28"/>
          <w:highlight w:val="none"/>
          <w:u w:val="single"/>
          <w:lang w:eastAsia="zh-CN"/>
        </w:rPr>
        <w:t>杭州市余杭区发展和改革局</w:t>
      </w:r>
    </w:p>
    <w:p w14:paraId="39C67D4A">
      <w:pPr>
        <w:spacing w:line="360" w:lineRule="auto"/>
        <w:ind w:left="420" w:leftChars="200"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lang w:eastAsia="zh-CN"/>
        </w:rPr>
        <w:t>余杭区政策性农房保险及室内财产扩展保险项目</w:t>
      </w:r>
    </w:p>
    <w:p w14:paraId="3AE90226">
      <w:pPr>
        <w:spacing w:line="360" w:lineRule="auto"/>
        <w:ind w:left="420" w:leftChars="200"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编制单位：</w:t>
      </w:r>
      <w:r>
        <w:rPr>
          <w:rFonts w:hint="eastAsia" w:ascii="宋体" w:hAnsi="宋体" w:eastAsia="宋体" w:cs="宋体"/>
          <w:color w:val="auto"/>
          <w:sz w:val="28"/>
          <w:szCs w:val="28"/>
          <w:highlight w:val="none"/>
          <w:u w:val="single"/>
          <w:lang w:eastAsia="zh-CN"/>
        </w:rPr>
        <w:t>杭州市余杭区发展和改革局</w:t>
      </w:r>
    </w:p>
    <w:p w14:paraId="1A8D9C56">
      <w:pPr>
        <w:spacing w:line="360" w:lineRule="auto"/>
        <w:ind w:left="420" w:leftChars="200"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编制时间：</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12</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04</w:t>
      </w:r>
      <w:r>
        <w:rPr>
          <w:rFonts w:hint="eastAsia" w:ascii="宋体" w:hAnsi="宋体" w:eastAsia="宋体" w:cs="宋体"/>
          <w:color w:val="auto"/>
          <w:sz w:val="28"/>
          <w:szCs w:val="28"/>
          <w:highlight w:val="none"/>
          <w:u w:val="single"/>
          <w:lang w:val="en-US" w:eastAsia="zh-CN"/>
        </w:rPr>
        <w:t>日</w:t>
      </w:r>
      <w:r>
        <w:rPr>
          <w:rFonts w:hint="eastAsia" w:ascii="宋体" w:hAnsi="宋体" w:eastAsia="宋体" w:cs="宋体"/>
          <w:color w:val="auto"/>
          <w:sz w:val="28"/>
          <w:szCs w:val="28"/>
          <w:highlight w:val="none"/>
          <w:u w:val="single"/>
        </w:rPr>
        <w:t xml:space="preserve">   </w:t>
      </w:r>
    </w:p>
    <w:p w14:paraId="140F2C47">
      <w:pPr>
        <w:spacing w:line="360" w:lineRule="auto"/>
        <w:jc w:val="left"/>
        <w:rPr>
          <w:rFonts w:ascii="宋体" w:hAnsi="宋体"/>
          <w:b/>
          <w:color w:val="auto"/>
          <w:sz w:val="28"/>
          <w:szCs w:val="28"/>
          <w:highlight w:val="none"/>
        </w:rPr>
      </w:pPr>
      <w:r>
        <w:rPr>
          <w:rFonts w:ascii="黑体" w:hAnsi="黑体" w:eastAsia="黑体"/>
          <w:color w:val="auto"/>
          <w:sz w:val="32"/>
          <w:szCs w:val="32"/>
          <w:highlight w:val="none"/>
        </w:rPr>
        <w:br w:type="page"/>
      </w:r>
      <w:r>
        <w:rPr>
          <w:rFonts w:hint="eastAsia" w:ascii="宋体" w:hAnsi="宋体"/>
          <w:b/>
          <w:color w:val="auto"/>
          <w:sz w:val="28"/>
          <w:szCs w:val="28"/>
          <w:highlight w:val="none"/>
        </w:rPr>
        <w:t>一、需求调查情况</w:t>
      </w:r>
    </w:p>
    <w:p w14:paraId="13B36DDF">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（一）本项目是否需要开展需求调查：</w:t>
      </w:r>
      <w:r>
        <w:rPr>
          <w:rFonts w:hint="eastAsia" w:ascii="宋体" w:hAnsi="宋体" w:cs="仿宋_GB2312"/>
          <w:color w:val="auto"/>
          <w:sz w:val="24"/>
          <w:highlight w:val="none"/>
        </w:rPr>
        <w:sym w:font="Wingdings 2" w:char="0052"/>
      </w:r>
      <w:r>
        <w:rPr>
          <w:rFonts w:hint="eastAsia" w:ascii="宋体" w:hAnsi="宋体" w:cs="仿宋_GB2312"/>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否</w:t>
      </w:r>
    </w:p>
    <w:p w14:paraId="55289646">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（二）本项目是否属于可以不再重复开展需求调查情形：</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是  </w:t>
      </w:r>
      <w:r>
        <w:rPr>
          <w:rFonts w:hint="eastAsia" w:ascii="宋体" w:hAnsi="宋体" w:cs="仿宋_GB2312"/>
          <w:color w:val="auto"/>
          <w:sz w:val="24"/>
          <w:highlight w:val="none"/>
        </w:rPr>
        <w:sym w:font="Wingdings 2" w:char="0052"/>
      </w:r>
      <w:r>
        <w:rPr>
          <w:rFonts w:hint="eastAsia" w:ascii="宋体" w:hAnsi="宋体" w:cs="仿宋_GB2312"/>
          <w:color w:val="auto"/>
          <w:sz w:val="24"/>
          <w:highlight w:val="none"/>
        </w:rPr>
        <w:t>否</w:t>
      </w:r>
    </w:p>
    <w:p w14:paraId="35AD6B00">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（三）需求调查方式</w:t>
      </w:r>
    </w:p>
    <w:p w14:paraId="6356A02F">
      <w:pPr>
        <w:spacing w:line="360" w:lineRule="auto"/>
        <w:ind w:firstLine="420"/>
        <w:jc w:val="left"/>
        <w:rPr>
          <w:rFonts w:ascii="宋体" w:hAnsi="宋体" w:cs="仿宋_GB2312"/>
          <w:color w:val="auto"/>
          <w:sz w:val="24"/>
          <w:highlight w:val="none"/>
        </w:rPr>
      </w:pPr>
      <w:r>
        <w:rPr>
          <w:rFonts w:hint="eastAsia" w:ascii="宋体" w:hAnsi="宋体" w:cs="仿宋_GB2312"/>
          <w:color w:val="auto"/>
          <w:sz w:val="24"/>
          <w:highlight w:val="none"/>
        </w:rPr>
        <w:sym w:font="Wingdings 2" w:char="0052"/>
      </w:r>
      <w:r>
        <w:rPr>
          <w:rFonts w:hint="eastAsia" w:ascii="宋体" w:hAnsi="宋体" w:cs="仿宋_GB2312"/>
          <w:color w:val="auto"/>
          <w:sz w:val="24"/>
          <w:highlight w:val="none"/>
        </w:rPr>
        <w:t xml:space="preserve">咨询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论证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问卷调查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其他方式（</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（四）需求调查对象</w:t>
      </w:r>
    </w:p>
    <w:p w14:paraId="24D07141">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阳光财产保险股份有限公司、中华联合财产保险股份有限公司、长安责任保险股份有限公司</w:t>
      </w:r>
    </w:p>
    <w:p w14:paraId="719C6BB9">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（五）需求调查结果</w:t>
      </w:r>
    </w:p>
    <w:p w14:paraId="4346C310">
      <w:pPr>
        <w:spacing w:line="360" w:lineRule="auto"/>
        <w:ind w:firstLine="420"/>
        <w:jc w:val="left"/>
        <w:rPr>
          <w:rFonts w:ascii="宋体" w:hAnsi="宋体"/>
          <w:color w:val="auto"/>
          <w:sz w:val="24"/>
          <w:highlight w:val="none"/>
        </w:rPr>
      </w:pPr>
      <w:r>
        <w:rPr>
          <w:rFonts w:hint="eastAsia" w:ascii="宋体" w:hAnsi="宋体"/>
          <w:color w:val="auto"/>
          <w:sz w:val="24"/>
          <w:highlight w:val="none"/>
        </w:rPr>
        <w:t>1.相关产业发展情况</w:t>
      </w:r>
    </w:p>
    <w:p w14:paraId="62FF0636">
      <w:pPr>
        <w:widowControl w:val="0"/>
        <w:numPr>
          <w:ilvl w:val="0"/>
          <w:numId w:val="0"/>
        </w:numPr>
        <w:wordWrap/>
        <w:adjustRightInd/>
        <w:snapToGrid/>
        <w:spacing w:line="360" w:lineRule="auto"/>
        <w:ind w:firstLine="480" w:firstLineChars="200"/>
        <w:textAlignment w:val="auto"/>
        <w:rPr>
          <w:rFonts w:ascii="宋体" w:hAnsi="宋体"/>
          <w:color w:val="auto"/>
          <w:sz w:val="24"/>
          <w:highlight w:val="none"/>
          <w:u w:val="single"/>
        </w:rPr>
      </w:pPr>
      <w:r>
        <w:rPr>
          <w:rFonts w:hint="eastAsia" w:ascii="宋体" w:hAnsi="宋体"/>
          <w:color w:val="auto"/>
          <w:sz w:val="24"/>
          <w:highlight w:val="none"/>
          <w:u w:val="single"/>
          <w:lang w:val="en-US" w:eastAsia="zh-CN"/>
        </w:rPr>
        <w:t>农房险自2006年开始在全省进行试点工作，在2009年开始转为正态化工作。在2017年开始，在农村住房保险基础上，新增了室内财产保险业务。</w:t>
      </w:r>
    </w:p>
    <w:p w14:paraId="404D9CBB">
      <w:pPr>
        <w:spacing w:line="360" w:lineRule="auto"/>
        <w:ind w:firstLine="420"/>
        <w:jc w:val="left"/>
        <w:rPr>
          <w:rFonts w:ascii="宋体" w:hAnsi="宋体"/>
          <w:color w:val="auto"/>
          <w:sz w:val="24"/>
          <w:highlight w:val="none"/>
        </w:rPr>
      </w:pPr>
      <w:r>
        <w:rPr>
          <w:rFonts w:hint="eastAsia" w:ascii="宋体" w:hAnsi="宋体"/>
          <w:color w:val="auto"/>
          <w:sz w:val="24"/>
          <w:highlight w:val="none"/>
        </w:rPr>
        <w:t>2.市场供给情况</w:t>
      </w:r>
    </w:p>
    <w:p w14:paraId="4991DB27">
      <w:pPr>
        <w:widowControl w:val="0"/>
        <w:numPr>
          <w:ilvl w:val="0"/>
          <w:numId w:val="0"/>
        </w:numPr>
        <w:wordWrap/>
        <w:adjustRightInd/>
        <w:snapToGrid/>
        <w:spacing w:line="360" w:lineRule="auto"/>
        <w:ind w:firstLine="480" w:firstLineChars="200"/>
        <w:textAlignment w:val="auto"/>
        <w:rPr>
          <w:rFonts w:ascii="宋体" w:hAnsi="宋体"/>
          <w:color w:val="auto"/>
          <w:sz w:val="24"/>
          <w:highlight w:val="none"/>
          <w:u w:val="single"/>
          <w:shd w:val="clear" w:color="auto" w:fill="auto"/>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截止2024年，余杭区开展农房险已经18个年头，现为我区农村住房及室内财产提供风险保障，</w:t>
      </w:r>
      <w:r>
        <w:rPr>
          <w:rFonts w:hint="eastAsia" w:ascii="宋体" w:hAnsi="宋体"/>
          <w:color w:val="auto"/>
          <w:sz w:val="24"/>
          <w:highlight w:val="none"/>
          <w:u w:val="single"/>
          <w:lang w:eastAsia="zh-CN"/>
        </w:rPr>
        <w:t>余杭区政策性农房保险及室内财产扩展保险项目</w:t>
      </w:r>
      <w:r>
        <w:rPr>
          <w:rFonts w:hint="eastAsia" w:ascii="宋体" w:hAnsi="宋体"/>
          <w:color w:val="auto"/>
          <w:sz w:val="24"/>
          <w:highlight w:val="none"/>
          <w:u w:val="single"/>
          <w:lang w:val="en-US" w:eastAsia="zh-CN"/>
        </w:rPr>
        <w:t>采购需求包括</w:t>
      </w:r>
      <w:r>
        <w:rPr>
          <w:rFonts w:hint="eastAsia" w:ascii="宋体" w:hAnsi="宋体"/>
          <w:color w:val="auto"/>
          <w:sz w:val="24"/>
          <w:highlight w:val="none"/>
          <w:u w:val="single"/>
          <w:shd w:val="clear" w:color="auto" w:fill="auto"/>
          <w:lang w:val="en-US" w:eastAsia="zh-CN"/>
        </w:rPr>
        <w:t>：</w:t>
      </w:r>
      <w:r>
        <w:rPr>
          <w:rFonts w:hint="eastAsia" w:ascii="宋体" w:hAnsi="宋体" w:eastAsia="宋体" w:cs="宋体"/>
          <w:color w:val="auto"/>
          <w:sz w:val="24"/>
          <w:szCs w:val="24"/>
          <w:highlight w:val="none"/>
          <w:u w:val="single"/>
          <w:shd w:val="clear" w:color="auto" w:fill="auto"/>
          <w:lang w:val="en-US" w:eastAsia="zh-CN"/>
        </w:rPr>
        <w:t>服务单位提供至少8人服务团队，</w:t>
      </w:r>
      <w:r>
        <w:rPr>
          <w:rFonts w:hint="eastAsia" w:ascii="宋体" w:hAnsi="宋体" w:eastAsia="宋体" w:cs="宋体"/>
          <w:color w:val="auto"/>
          <w:sz w:val="24"/>
          <w:szCs w:val="24"/>
          <w:highlight w:val="none"/>
          <w:u w:val="single"/>
          <w:shd w:val="clear" w:color="auto" w:fill="auto"/>
          <w:lang w:eastAsia="zh-CN"/>
        </w:rPr>
        <w:t>为在余杭区范围内拥有农村土地承包经营权或宅基地使用权且拥有自建合法住房的余杭户籍居民（约78354人）提供政策性农村住房保险和室内财产保险服务。因遭受自然灾害（地震灾害除外）和意外事故造成农村住房损失或室内财产损失的，保险公司按保险条款规定予以赔偿。当保险标的发生保险责任范围内的事故时，要求保险公司接到报案后</w:t>
      </w:r>
      <w:r>
        <w:rPr>
          <w:rFonts w:hint="eastAsia" w:ascii="宋体" w:hAnsi="宋体" w:eastAsia="宋体" w:cs="宋体"/>
          <w:color w:val="auto"/>
          <w:sz w:val="24"/>
          <w:szCs w:val="24"/>
          <w:highlight w:val="none"/>
          <w:u w:val="single"/>
          <w:shd w:val="clear" w:color="auto" w:fill="auto"/>
          <w:lang w:val="en-US" w:eastAsia="zh-CN"/>
        </w:rPr>
        <w:t>24小时内</w:t>
      </w:r>
      <w:r>
        <w:rPr>
          <w:rFonts w:hint="eastAsia" w:ascii="宋体" w:hAnsi="宋体" w:eastAsia="宋体" w:cs="宋体"/>
          <w:color w:val="auto"/>
          <w:sz w:val="24"/>
          <w:szCs w:val="24"/>
          <w:highlight w:val="none"/>
          <w:u w:val="single"/>
          <w:shd w:val="clear" w:color="auto" w:fill="auto"/>
          <w:lang w:eastAsia="zh-CN"/>
        </w:rPr>
        <w:t>赶赴现场查勘，并对受损标的及时作出核定且支付赔款。</w:t>
      </w:r>
    </w:p>
    <w:p w14:paraId="1E8352A2">
      <w:pPr>
        <w:spacing w:line="360" w:lineRule="auto"/>
        <w:ind w:firstLine="420"/>
        <w:jc w:val="left"/>
        <w:rPr>
          <w:rFonts w:ascii="宋体" w:hAnsi="宋体"/>
          <w:color w:val="auto"/>
          <w:sz w:val="24"/>
          <w:highlight w:val="none"/>
        </w:rPr>
      </w:pPr>
      <w:r>
        <w:rPr>
          <w:rFonts w:hint="eastAsia" w:ascii="宋体" w:hAnsi="宋体"/>
          <w:color w:val="auto"/>
          <w:sz w:val="24"/>
          <w:highlight w:val="none"/>
        </w:rPr>
        <w:t>3.同类采购项目历史成交信息情况</w:t>
      </w:r>
    </w:p>
    <w:tbl>
      <w:tblPr>
        <w:tblStyle w:val="13"/>
        <w:tblW w:w="9849" w:type="dxa"/>
        <w:tblInd w:w="-81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126"/>
        <w:gridCol w:w="3013"/>
        <w:gridCol w:w="1665"/>
        <w:gridCol w:w="3045"/>
      </w:tblGrid>
      <w:tr w14:paraId="4339F9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00" w:hRule="atLeast"/>
        </w:trPr>
        <w:tc>
          <w:tcPr>
            <w:tcW w:w="2126"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vAlign w:val="center"/>
          </w:tcPr>
          <w:p w14:paraId="40D4A2CE">
            <w:pPr>
              <w:pStyle w:val="17"/>
              <w:spacing w:line="360" w:lineRule="auto"/>
              <w:rPr>
                <w:rFonts w:hint="default" w:ascii="宋体" w:hAnsi="宋体" w:eastAsia="宋体"/>
                <w:color w:val="auto"/>
                <w:highlight w:val="none"/>
              </w:rPr>
            </w:pPr>
            <w:r>
              <w:rPr>
                <w:rFonts w:hint="eastAsia" w:ascii="宋体" w:hAnsi="宋体" w:eastAsia="宋体"/>
                <w:color w:val="auto"/>
                <w:sz w:val="24"/>
                <w:szCs w:val="24"/>
                <w:highlight w:val="none"/>
                <w:lang w:val="en-US" w:eastAsia="zh-CN"/>
              </w:rPr>
              <w:t>项目</w:t>
            </w:r>
            <w:r>
              <w:rPr>
                <w:rFonts w:ascii="宋体" w:hAnsi="宋体" w:eastAsia="宋体"/>
                <w:color w:val="auto"/>
                <w:sz w:val="24"/>
                <w:szCs w:val="24"/>
                <w:highlight w:val="none"/>
              </w:rPr>
              <w:t>名称</w:t>
            </w:r>
          </w:p>
        </w:tc>
        <w:tc>
          <w:tcPr>
            <w:tcW w:w="3013"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vAlign w:val="center"/>
          </w:tcPr>
          <w:p w14:paraId="5E5FF579">
            <w:pPr>
              <w:pStyle w:val="17"/>
              <w:spacing w:line="360" w:lineRule="auto"/>
              <w:rPr>
                <w:rFonts w:hint="default" w:ascii="宋体" w:hAnsi="宋体" w:eastAsia="宋体"/>
                <w:color w:val="auto"/>
                <w:highlight w:val="none"/>
              </w:rPr>
            </w:pPr>
            <w:r>
              <w:rPr>
                <w:rFonts w:ascii="宋体" w:hAnsi="宋体" w:eastAsia="宋体"/>
                <w:color w:val="auto"/>
                <w:sz w:val="24"/>
                <w:szCs w:val="24"/>
                <w:highlight w:val="none"/>
              </w:rPr>
              <w:t>合同内容</w:t>
            </w:r>
          </w:p>
        </w:tc>
        <w:tc>
          <w:tcPr>
            <w:tcW w:w="1665"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vAlign w:val="center"/>
          </w:tcPr>
          <w:p w14:paraId="03545C0F">
            <w:pPr>
              <w:pStyle w:val="17"/>
              <w:spacing w:line="360" w:lineRule="auto"/>
              <w:rPr>
                <w:rFonts w:hint="default" w:ascii="宋体" w:hAnsi="宋体" w:eastAsia="宋体"/>
                <w:color w:val="auto"/>
                <w:highlight w:val="none"/>
              </w:rPr>
            </w:pPr>
            <w:r>
              <w:rPr>
                <w:rFonts w:ascii="宋体" w:hAnsi="宋体" w:eastAsia="宋体"/>
                <w:color w:val="auto"/>
                <w:sz w:val="24"/>
                <w:szCs w:val="24"/>
                <w:highlight w:val="none"/>
              </w:rPr>
              <w:t>合同金额</w:t>
            </w:r>
          </w:p>
        </w:tc>
        <w:tc>
          <w:tcPr>
            <w:tcW w:w="3045"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vAlign w:val="center"/>
          </w:tcPr>
          <w:p w14:paraId="5EF69EE0">
            <w:pPr>
              <w:pStyle w:val="17"/>
              <w:spacing w:line="360" w:lineRule="auto"/>
              <w:rPr>
                <w:rFonts w:hint="default" w:ascii="宋体" w:hAnsi="宋体" w:eastAsia="宋体"/>
                <w:color w:val="auto"/>
                <w:highlight w:val="none"/>
              </w:rPr>
            </w:pPr>
            <w:r>
              <w:rPr>
                <w:rFonts w:ascii="宋体" w:hAnsi="宋体" w:eastAsia="宋体"/>
                <w:color w:val="auto"/>
                <w:sz w:val="24"/>
                <w:szCs w:val="24"/>
                <w:highlight w:val="none"/>
              </w:rPr>
              <w:t>数据来源</w:t>
            </w:r>
          </w:p>
        </w:tc>
      </w:tr>
      <w:tr w14:paraId="52A5FE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380" w:hRule="atLeast"/>
        </w:trPr>
        <w:tc>
          <w:tcPr>
            <w:tcW w:w="2126"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07B843F3">
            <w:pPr>
              <w:pStyle w:val="17"/>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余杭区政策性农村住房保险及室内财产险采购项目</w:t>
            </w:r>
          </w:p>
        </w:tc>
        <w:tc>
          <w:tcPr>
            <w:tcW w:w="301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21E2A3DD">
            <w:pPr>
              <w:pStyle w:val="17"/>
              <w:spacing w:line="360" w:lineRule="auto"/>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rPr>
              <w:t>余杭区政策性农村住房保险及室内财产险采购项目</w:t>
            </w:r>
            <w:r>
              <w:rPr>
                <w:rFonts w:hint="eastAsia" w:ascii="宋体" w:hAnsi="宋体" w:eastAsia="宋体"/>
                <w:color w:val="auto"/>
                <w:sz w:val="24"/>
                <w:szCs w:val="24"/>
                <w:highlight w:val="none"/>
                <w:lang w:val="en-US" w:eastAsia="zh-CN"/>
              </w:rPr>
              <w:t>合同书</w:t>
            </w:r>
          </w:p>
        </w:tc>
        <w:tc>
          <w:tcPr>
            <w:tcW w:w="166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4901CBD8">
            <w:pPr>
              <w:pStyle w:val="17"/>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983540元</w:t>
            </w:r>
          </w:p>
        </w:tc>
        <w:tc>
          <w:tcPr>
            <w:tcW w:w="304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716A7457">
            <w:pPr>
              <w:pStyle w:val="17"/>
              <w:spacing w:line="360" w:lineRule="auto"/>
              <w:rPr>
                <w:rFonts w:hint="default"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项目</w:t>
            </w:r>
            <w:r>
              <w:rPr>
                <w:rFonts w:ascii="宋体" w:hAnsi="宋体" w:eastAsia="宋体"/>
                <w:color w:val="auto"/>
                <w:sz w:val="24"/>
                <w:szCs w:val="24"/>
                <w:highlight w:val="none"/>
              </w:rPr>
              <w:t>中标公告</w:t>
            </w:r>
          </w:p>
        </w:tc>
      </w:tr>
      <w:tr w14:paraId="3C22BD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380" w:hRule="atLeast"/>
        </w:trPr>
        <w:tc>
          <w:tcPr>
            <w:tcW w:w="2126"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7111E08F">
            <w:pPr>
              <w:pStyle w:val="17"/>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临平区政策性农村住房保险及室内财产险采购项目</w:t>
            </w:r>
          </w:p>
        </w:tc>
        <w:tc>
          <w:tcPr>
            <w:tcW w:w="3013"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09683489">
            <w:pPr>
              <w:pStyle w:val="17"/>
              <w:spacing w:line="360" w:lineRule="auto"/>
              <w:rPr>
                <w:rFonts w:hint="eastAsia" w:ascii="宋体" w:hAnsi="宋体" w:eastAsia="宋体"/>
                <w:color w:val="auto"/>
                <w:sz w:val="24"/>
                <w:szCs w:val="24"/>
                <w:highlight w:val="none"/>
                <w:lang w:val="en-US" w:eastAsia="zh-CN"/>
              </w:rPr>
            </w:pPr>
            <w:r>
              <w:rPr>
                <w:rFonts w:ascii="宋体" w:hAnsi="宋体" w:eastAsia="宋体"/>
                <w:color w:val="auto"/>
                <w:sz w:val="24"/>
                <w:szCs w:val="24"/>
                <w:highlight w:val="none"/>
              </w:rPr>
              <w:t>临平区政策性农村住房保险及室内财产险采购项目</w:t>
            </w:r>
            <w:r>
              <w:rPr>
                <w:rFonts w:hint="eastAsia" w:ascii="宋体" w:hAnsi="宋体" w:eastAsia="宋体"/>
                <w:color w:val="auto"/>
                <w:sz w:val="24"/>
                <w:szCs w:val="24"/>
                <w:highlight w:val="none"/>
                <w:lang w:val="en-US" w:eastAsia="zh-CN"/>
              </w:rPr>
              <w:t>合同书</w:t>
            </w:r>
          </w:p>
        </w:tc>
        <w:tc>
          <w:tcPr>
            <w:tcW w:w="166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6C5A8671">
            <w:pPr>
              <w:pStyle w:val="17"/>
              <w:spacing w:line="360" w:lineRule="auto"/>
              <w:rPr>
                <w:rFonts w:hint="eastAsia" w:ascii="宋体" w:hAnsi="宋体" w:eastAsia="宋体"/>
                <w:color w:val="auto"/>
                <w:sz w:val="24"/>
                <w:szCs w:val="24"/>
                <w:highlight w:val="none"/>
                <w:lang w:val="en-US" w:eastAsia="zh-CN"/>
              </w:rPr>
            </w:pPr>
            <w:r>
              <w:rPr>
                <w:rFonts w:ascii="宋体" w:hAnsi="宋体" w:eastAsia="宋体"/>
                <w:color w:val="auto"/>
                <w:sz w:val="24"/>
                <w:szCs w:val="24"/>
                <w:highlight w:val="none"/>
              </w:rPr>
              <w:t>563936</w:t>
            </w:r>
            <w:r>
              <w:rPr>
                <w:rFonts w:hint="eastAsia" w:ascii="宋体" w:hAnsi="宋体" w:eastAsia="宋体"/>
                <w:color w:val="auto"/>
                <w:sz w:val="24"/>
                <w:szCs w:val="24"/>
                <w:highlight w:val="none"/>
                <w:lang w:val="en-US" w:eastAsia="zh-CN"/>
              </w:rPr>
              <w:t>元</w:t>
            </w:r>
          </w:p>
        </w:tc>
        <w:tc>
          <w:tcPr>
            <w:tcW w:w="304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2134A7A9">
            <w:pPr>
              <w:pStyle w:val="17"/>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项目</w:t>
            </w:r>
            <w:r>
              <w:rPr>
                <w:rFonts w:ascii="宋体" w:hAnsi="宋体" w:eastAsia="宋体"/>
                <w:color w:val="auto"/>
                <w:sz w:val="24"/>
                <w:szCs w:val="24"/>
                <w:highlight w:val="none"/>
              </w:rPr>
              <w:t>中标公告</w:t>
            </w:r>
          </w:p>
        </w:tc>
      </w:tr>
    </w:tbl>
    <w:p w14:paraId="7E8DBB47">
      <w:pPr>
        <w:spacing w:line="360" w:lineRule="auto"/>
        <w:ind w:firstLine="420"/>
        <w:jc w:val="left"/>
        <w:rPr>
          <w:rFonts w:ascii="宋体" w:hAnsi="宋体"/>
          <w:color w:val="auto"/>
          <w:sz w:val="24"/>
          <w:highlight w:val="none"/>
        </w:rPr>
      </w:pPr>
      <w:r>
        <w:rPr>
          <w:rFonts w:hint="eastAsia" w:ascii="宋体" w:hAnsi="宋体"/>
          <w:color w:val="auto"/>
          <w:sz w:val="24"/>
          <w:highlight w:val="none"/>
        </w:rPr>
        <w:t>4.可能涉及的运行维护、升级更新、备品备件、耗材等后续采购情况</w:t>
      </w:r>
    </w:p>
    <w:p w14:paraId="30A354CD">
      <w:pPr>
        <w:spacing w:line="360" w:lineRule="auto"/>
        <w:ind w:firstLine="720" w:firstLineChars="300"/>
        <w:jc w:val="left"/>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u w:val="single"/>
        </w:rPr>
        <w:t>本项目不涉及</w:t>
      </w:r>
      <w:r>
        <w:rPr>
          <w:rFonts w:hint="eastAsia" w:ascii="宋体" w:hAnsi="宋体" w:eastAsia="宋体"/>
          <w:color w:val="auto"/>
          <w:sz w:val="24"/>
          <w:highlight w:val="none"/>
          <w:u w:val="single"/>
          <w:lang w:eastAsia="zh-CN"/>
        </w:rPr>
        <w:t>。</w:t>
      </w:r>
    </w:p>
    <w:p w14:paraId="4F5808EB">
      <w:pPr>
        <w:spacing w:line="360" w:lineRule="auto"/>
        <w:ind w:firstLine="420"/>
        <w:jc w:val="left"/>
        <w:rPr>
          <w:rFonts w:ascii="宋体" w:hAnsi="宋体"/>
          <w:color w:val="auto"/>
          <w:sz w:val="24"/>
          <w:highlight w:val="none"/>
        </w:rPr>
      </w:pPr>
      <w:r>
        <w:rPr>
          <w:rFonts w:hint="eastAsia" w:ascii="宋体" w:hAnsi="宋体"/>
          <w:color w:val="auto"/>
          <w:sz w:val="24"/>
          <w:highlight w:val="none"/>
        </w:rPr>
        <w:t>5.其他相关情况</w:t>
      </w:r>
    </w:p>
    <w:p w14:paraId="30AF3E32">
      <w:pPr>
        <w:spacing w:line="360" w:lineRule="auto"/>
        <w:ind w:firstLine="720" w:firstLineChars="300"/>
        <w:jc w:val="left"/>
        <w:rPr>
          <w:rFonts w:ascii="宋体" w:hAnsi="宋体"/>
          <w:color w:val="auto"/>
          <w:sz w:val="24"/>
          <w:highlight w:val="none"/>
          <w:u w:val="single"/>
        </w:rPr>
      </w:pPr>
      <w:r>
        <w:rPr>
          <w:rFonts w:hint="eastAsia" w:ascii="宋体" w:hAnsi="宋体"/>
          <w:color w:val="auto"/>
          <w:sz w:val="24"/>
          <w:highlight w:val="none"/>
          <w:u w:val="single"/>
          <w:lang w:val="en-US" w:eastAsia="zh-CN"/>
        </w:rPr>
        <w:t>无</w:t>
      </w:r>
    </w:p>
    <w:p w14:paraId="33129913">
      <w:pPr>
        <w:spacing w:before="312" w:beforeLines="100" w:line="360" w:lineRule="auto"/>
        <w:jc w:val="left"/>
        <w:rPr>
          <w:rFonts w:ascii="宋体" w:hAnsi="宋体"/>
          <w:b/>
          <w:color w:val="auto"/>
          <w:sz w:val="28"/>
          <w:szCs w:val="28"/>
          <w:highlight w:val="none"/>
        </w:rPr>
      </w:pPr>
      <w:r>
        <w:rPr>
          <w:rFonts w:ascii="宋体" w:hAnsi="宋体"/>
          <w:b/>
          <w:color w:val="auto"/>
          <w:sz w:val="28"/>
          <w:szCs w:val="28"/>
          <w:highlight w:val="none"/>
        </w:rPr>
        <w:t>二</w:t>
      </w:r>
      <w:r>
        <w:rPr>
          <w:rFonts w:hint="eastAsia" w:ascii="宋体" w:hAnsi="宋体"/>
          <w:b/>
          <w:color w:val="auto"/>
          <w:sz w:val="28"/>
          <w:szCs w:val="28"/>
          <w:highlight w:val="none"/>
        </w:rPr>
        <w:t>、采购需求内容</w:t>
      </w:r>
    </w:p>
    <w:p w14:paraId="6E9F9D8B">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（一）项目概况</w:t>
      </w:r>
    </w:p>
    <w:p w14:paraId="474292CD">
      <w:pPr>
        <w:spacing w:line="360" w:lineRule="auto"/>
        <w:ind w:firstLine="720" w:firstLineChars="300"/>
        <w:jc w:val="left"/>
        <w:rPr>
          <w:rFonts w:hint="eastAsia" w:hAnsi="宋体"/>
          <w:color w:val="auto"/>
          <w:sz w:val="24"/>
          <w:highlight w:val="none"/>
          <w:lang w:eastAsia="zh-CN"/>
        </w:rPr>
      </w:pPr>
      <w:r>
        <w:rPr>
          <w:rFonts w:hint="default" w:ascii="宋体" w:hAnsi="宋体"/>
          <w:color w:val="auto"/>
          <w:sz w:val="24"/>
          <w:highlight w:val="none"/>
          <w:u w:val="single"/>
          <w:lang w:eastAsia="zh-CN"/>
        </w:rPr>
        <w:t>为在</w:t>
      </w:r>
      <w:r>
        <w:rPr>
          <w:rFonts w:hint="eastAsia" w:hAnsi="宋体"/>
          <w:color w:val="auto"/>
          <w:sz w:val="24"/>
          <w:highlight w:val="none"/>
          <w:u w:val="single"/>
          <w:lang w:eastAsia="zh-CN"/>
        </w:rPr>
        <w:t>余杭区</w:t>
      </w:r>
      <w:r>
        <w:rPr>
          <w:rFonts w:hint="default" w:ascii="宋体" w:hAnsi="宋体"/>
          <w:color w:val="auto"/>
          <w:sz w:val="24"/>
          <w:highlight w:val="none"/>
          <w:u w:val="single"/>
          <w:lang w:eastAsia="zh-CN"/>
        </w:rPr>
        <w:t>范围内拥有农村土地承包经营权或宅基地使用权且拥有自建合法住房的余杭户籍居民提供政策性农村住房保险和室内财产保险服务</w:t>
      </w:r>
      <w:r>
        <w:rPr>
          <w:rFonts w:hint="eastAsia" w:hAnsi="宋体"/>
          <w:color w:val="auto"/>
          <w:sz w:val="24"/>
          <w:highlight w:val="none"/>
          <w:u w:val="single"/>
          <w:lang w:eastAsia="zh-CN"/>
        </w:rPr>
        <w:t>。</w:t>
      </w:r>
    </w:p>
    <w:p w14:paraId="68EDC95E">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（二）预算金额（元）：</w:t>
      </w:r>
      <w:r>
        <w:rPr>
          <w:rFonts w:hint="eastAsia" w:ascii="宋体" w:hAnsi="宋体"/>
          <w:color w:val="auto"/>
          <w:sz w:val="24"/>
          <w:highlight w:val="none"/>
          <w:u w:val="single"/>
          <w:lang w:val="en-US" w:eastAsia="zh-CN"/>
        </w:rPr>
        <w:t>900000</w:t>
      </w:r>
    </w:p>
    <w:p w14:paraId="6BD53411">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（三）需满足的政府采购政策目标和具体支持对象</w:t>
      </w:r>
    </w:p>
    <w:p w14:paraId="7326BA59">
      <w:pPr>
        <w:spacing w:line="360" w:lineRule="auto"/>
        <w:ind w:firstLine="420"/>
        <w:jc w:val="left"/>
        <w:rPr>
          <w:rFonts w:ascii="宋体" w:hAnsi="宋体" w:eastAsia="宋体" w:cs="仿宋_GB2312"/>
          <w:color w:val="auto"/>
          <w:sz w:val="24"/>
          <w:highlight w:val="none"/>
        </w:rPr>
      </w:pPr>
      <w:r>
        <w:rPr>
          <w:rFonts w:ascii="宋体" w:hAnsi="宋体" w:eastAsia="宋体" w:cs="仿宋_GB2312"/>
          <w:color w:val="auto"/>
          <w:sz w:val="24"/>
          <w:highlight w:val="none"/>
        </w:rPr>
        <w:sym w:font="Wingdings 2" w:char="00A3"/>
      </w:r>
      <w:r>
        <w:rPr>
          <w:rFonts w:hint="eastAsia" w:ascii="宋体" w:hAnsi="宋体" w:eastAsia="宋体" w:cs="仿宋_GB2312"/>
          <w:color w:val="auto"/>
          <w:sz w:val="24"/>
          <w:highlight w:val="none"/>
        </w:rPr>
        <w:t>扶持中小企业</w:t>
      </w:r>
      <w:r>
        <w:rPr>
          <w:rFonts w:ascii="宋体" w:hAnsi="宋体" w:eastAsia="宋体" w:cs="仿宋_GB2312"/>
          <w:color w:val="auto"/>
          <w:sz w:val="24"/>
          <w:highlight w:val="none"/>
        </w:rPr>
        <w:t xml:space="preserve"> </w:t>
      </w:r>
      <w:r>
        <w:rPr>
          <w:rFonts w:ascii="宋体" w:hAnsi="宋体" w:eastAsia="宋体" w:cs="仿宋_GB2312"/>
          <w:color w:val="auto"/>
          <w:sz w:val="24"/>
          <w:highlight w:val="none"/>
        </w:rPr>
        <w:sym w:font="Wingdings 2" w:char="00A3"/>
      </w:r>
      <w:r>
        <w:rPr>
          <w:rFonts w:hint="eastAsia" w:ascii="宋体" w:hAnsi="宋体" w:eastAsia="宋体" w:cs="仿宋_GB2312"/>
          <w:color w:val="auto"/>
          <w:sz w:val="24"/>
          <w:highlight w:val="none"/>
        </w:rPr>
        <w:t>节能环保</w:t>
      </w:r>
      <w:r>
        <w:rPr>
          <w:rFonts w:ascii="宋体" w:hAnsi="宋体" w:eastAsia="宋体" w:cs="仿宋_GB2312"/>
          <w:color w:val="auto"/>
          <w:sz w:val="24"/>
          <w:highlight w:val="none"/>
        </w:rPr>
        <w:t xml:space="preserve"> </w:t>
      </w:r>
      <w:r>
        <w:rPr>
          <w:rFonts w:ascii="宋体" w:hAnsi="宋体" w:eastAsia="宋体" w:cs="仿宋_GB2312"/>
          <w:color w:val="auto"/>
          <w:sz w:val="24"/>
          <w:highlight w:val="none"/>
        </w:rPr>
        <w:sym w:font="Wingdings 2" w:char="0052"/>
      </w:r>
      <w:r>
        <w:rPr>
          <w:rFonts w:hint="eastAsia" w:ascii="宋体" w:hAnsi="宋体" w:eastAsia="宋体" w:cs="仿宋_GB2312"/>
          <w:color w:val="auto"/>
          <w:sz w:val="24"/>
          <w:highlight w:val="none"/>
        </w:rPr>
        <w:t>其他（</w:t>
      </w:r>
      <w:r>
        <w:rPr>
          <w:rFonts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u w:val="single"/>
          <w:lang w:val="en-US" w:eastAsia="zh-CN"/>
        </w:rPr>
        <w:t>无</w:t>
      </w:r>
      <w:r>
        <w:rPr>
          <w:rFonts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w:t>
      </w:r>
    </w:p>
    <w:p w14:paraId="4822E43F">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（四）采购标的是否进口产品：</w:t>
      </w:r>
      <w:r>
        <w:rPr>
          <w:rFonts w:ascii="宋体" w:hAnsi="宋体" w:eastAsia="宋体" w:cs="仿宋_GB2312"/>
          <w:color w:val="auto"/>
          <w:sz w:val="24"/>
          <w:highlight w:val="none"/>
        </w:rPr>
        <w:t xml:space="preserve"> </w:t>
      </w:r>
      <w:r>
        <w:rPr>
          <w:rFonts w:ascii="宋体" w:hAnsi="宋体" w:eastAsia="宋体" w:cs="仿宋_GB2312"/>
          <w:color w:val="auto"/>
          <w:sz w:val="24"/>
          <w:highlight w:val="none"/>
        </w:rPr>
        <w:sym w:font="Wingdings 2" w:char="00A3"/>
      </w:r>
      <w:r>
        <w:rPr>
          <w:rFonts w:hint="eastAsia" w:ascii="宋体" w:hAnsi="宋体" w:eastAsia="宋体" w:cs="仿宋_GB2312"/>
          <w:color w:val="auto"/>
          <w:sz w:val="24"/>
          <w:highlight w:val="none"/>
        </w:rPr>
        <w:t>进口</w:t>
      </w:r>
      <w:r>
        <w:rPr>
          <w:rFonts w:ascii="宋体" w:hAnsi="宋体" w:eastAsia="宋体" w:cs="仿宋_GB2312"/>
          <w:color w:val="auto"/>
          <w:sz w:val="24"/>
          <w:highlight w:val="none"/>
        </w:rPr>
        <w:t xml:space="preserve"> </w:t>
      </w:r>
      <w:r>
        <w:rPr>
          <w:rFonts w:ascii="宋体" w:hAnsi="宋体" w:eastAsia="宋体" w:cs="仿宋_GB2312"/>
          <w:color w:val="auto"/>
          <w:sz w:val="24"/>
          <w:highlight w:val="none"/>
        </w:rPr>
        <w:sym w:font="Wingdings 2" w:char="F052"/>
      </w:r>
      <w:r>
        <w:rPr>
          <w:rFonts w:hint="eastAsia" w:ascii="宋体" w:hAnsi="宋体" w:eastAsia="宋体" w:cs="仿宋_GB2312"/>
          <w:color w:val="auto"/>
          <w:sz w:val="24"/>
          <w:highlight w:val="none"/>
        </w:rPr>
        <w:t>国产</w:t>
      </w:r>
    </w:p>
    <w:p w14:paraId="07B67BB0">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（五）拟采购标的的技术要求</w:t>
      </w:r>
    </w:p>
    <w:p w14:paraId="3CD3B830">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拟采购标的（1）</w:t>
      </w:r>
    </w:p>
    <w:tbl>
      <w:tblPr>
        <w:tblStyle w:val="13"/>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798C18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3915692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6804" w:type="dxa"/>
            <w:gridSpan w:val="3"/>
            <w:vAlign w:val="center"/>
          </w:tcPr>
          <w:p w14:paraId="2FF7CF9C">
            <w:pPr>
              <w:spacing w:line="360" w:lineRule="auto"/>
              <w:jc w:val="center"/>
              <w:rPr>
                <w:rFonts w:ascii="宋体" w:hAnsi="宋体" w:cs="仿宋_GB2312"/>
                <w:color w:val="auto"/>
                <w:sz w:val="24"/>
                <w:highlight w:val="none"/>
              </w:rPr>
            </w:pPr>
            <w:r>
              <w:rPr>
                <w:rFonts w:hint="eastAsia" w:ascii="宋体" w:hAnsi="宋体"/>
                <w:color w:val="auto"/>
                <w:sz w:val="24"/>
                <w:highlight w:val="none"/>
                <w:lang w:eastAsia="zh-CN"/>
              </w:rPr>
              <w:t>余杭区政策性农房保险及室内财产扩展保险项目</w:t>
            </w:r>
          </w:p>
        </w:tc>
      </w:tr>
      <w:tr w14:paraId="5136367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39BDB3DD">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2409" w:type="dxa"/>
            <w:vAlign w:val="center"/>
          </w:tcPr>
          <w:p w14:paraId="53FC7CBC">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1360" w:type="dxa"/>
            <w:vAlign w:val="center"/>
          </w:tcPr>
          <w:p w14:paraId="21B614A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3035" w:type="dxa"/>
            <w:vAlign w:val="center"/>
          </w:tcPr>
          <w:p w14:paraId="31E5026E">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w:t>
            </w:r>
          </w:p>
        </w:tc>
      </w:tr>
      <w:tr w14:paraId="3A5ED5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467D6535">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功能和质量</w:t>
            </w:r>
          </w:p>
          <w:p w14:paraId="1FE2CE2A">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vAlign w:val="top"/>
          </w:tcPr>
          <w:p w14:paraId="40257D7D">
            <w:pPr>
              <w:spacing w:line="360" w:lineRule="auto"/>
              <w:jc w:val="left"/>
              <w:rPr>
                <w:rFonts w:ascii="宋体" w:hAnsi="宋体" w:cs="仿宋_GB2312"/>
                <w:color w:val="auto"/>
                <w:sz w:val="24"/>
                <w:highlight w:val="none"/>
              </w:rPr>
            </w:pPr>
            <w:r>
              <w:rPr>
                <w:rFonts w:hint="default" w:ascii="宋体" w:hAnsi="宋体"/>
                <w:color w:val="auto"/>
                <w:sz w:val="24"/>
                <w:highlight w:val="none"/>
                <w:lang w:eastAsia="zh-CN"/>
              </w:rPr>
              <w:t>为在</w:t>
            </w:r>
            <w:r>
              <w:rPr>
                <w:rFonts w:hint="eastAsia" w:hAnsi="宋体"/>
                <w:color w:val="auto"/>
                <w:sz w:val="24"/>
                <w:highlight w:val="none"/>
                <w:lang w:eastAsia="zh-CN"/>
              </w:rPr>
              <w:t>余杭区</w:t>
            </w:r>
            <w:r>
              <w:rPr>
                <w:rFonts w:hint="default" w:ascii="宋体" w:hAnsi="宋体"/>
                <w:color w:val="auto"/>
                <w:sz w:val="24"/>
                <w:highlight w:val="none"/>
                <w:lang w:eastAsia="zh-CN"/>
              </w:rPr>
              <w:t>范围内拥有农村土地承包经营权或宅基地使用权且拥有自建合法住房的余杭户籍居民提供政策性农村住房保险和室内财产保险服务</w:t>
            </w:r>
            <w:r>
              <w:rPr>
                <w:rFonts w:hint="eastAsia" w:hAnsi="宋体"/>
                <w:color w:val="auto"/>
                <w:sz w:val="24"/>
                <w:highlight w:val="none"/>
                <w:lang w:eastAsia="zh-CN"/>
              </w:rPr>
              <w:t>。</w:t>
            </w:r>
          </w:p>
        </w:tc>
      </w:tr>
    </w:tbl>
    <w:p w14:paraId="02801C86">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（六）拟采购标的的商务要求</w:t>
      </w:r>
    </w:p>
    <w:p w14:paraId="406C4FA3">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1.交付（实施）的时间（期限）：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一年</w:t>
      </w:r>
      <w:r>
        <w:rPr>
          <w:rFonts w:hint="eastAsia" w:ascii="宋体" w:hAnsi="宋体"/>
          <w:color w:val="auto"/>
          <w:sz w:val="24"/>
          <w:highlight w:val="none"/>
          <w:u w:val="single"/>
        </w:rPr>
        <w:t xml:space="preserve">                                 </w:t>
      </w:r>
    </w:p>
    <w:p w14:paraId="2728CBD7">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2.交付（实施）的地点（范围）：</w:t>
      </w:r>
      <w:r>
        <w:rPr>
          <w:rFonts w:hint="eastAsia" w:ascii="宋体" w:hAnsi="宋体" w:cs="仿宋_GB2312"/>
          <w:color w:val="auto"/>
          <w:sz w:val="24"/>
          <w:highlight w:val="none"/>
          <w:u w:val="single"/>
          <w:lang w:val="en-US" w:eastAsia="zh-CN"/>
        </w:rPr>
        <w:t>杭州市余杭区</w:t>
      </w:r>
      <w:r>
        <w:rPr>
          <w:rFonts w:hint="eastAsia" w:ascii="宋体" w:hAnsi="宋体"/>
          <w:color w:val="auto"/>
          <w:sz w:val="24"/>
          <w:highlight w:val="none"/>
          <w:u w:val="single"/>
        </w:rPr>
        <w:t xml:space="preserve">                          </w:t>
      </w:r>
    </w:p>
    <w:p w14:paraId="1C53715D">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p>
    <w:tbl>
      <w:tblPr>
        <w:tblStyle w:val="13"/>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14:paraId="02F8B5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411CBBEA">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977" w:type="dxa"/>
            <w:vAlign w:val="center"/>
          </w:tcPr>
          <w:p w14:paraId="272B604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4161" w:type="dxa"/>
            <w:vAlign w:val="center"/>
          </w:tcPr>
          <w:p w14:paraId="248CC4E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36055E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vAlign w:val="top"/>
          </w:tcPr>
          <w:p w14:paraId="433350EB">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2977" w:type="dxa"/>
            <w:vAlign w:val="top"/>
          </w:tcPr>
          <w:p w14:paraId="2D908B99">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70%</w:t>
            </w:r>
          </w:p>
        </w:tc>
        <w:tc>
          <w:tcPr>
            <w:tcW w:w="4161" w:type="dxa"/>
            <w:vAlign w:val="top"/>
          </w:tcPr>
          <w:p w14:paraId="794B8E6E">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合同</w:t>
            </w:r>
            <w:r>
              <w:rPr>
                <w:rFonts w:hint="eastAsia" w:ascii="宋体" w:hAnsi="宋体" w:cs="仿宋_GB2312"/>
                <w:color w:val="auto"/>
                <w:sz w:val="24"/>
                <w:highlight w:val="none"/>
                <w:lang w:val="en-US" w:eastAsia="zh-CN"/>
              </w:rPr>
              <w:t>签订之日起，具备支付条件5个工作日内甲方向乙方支付预算金额的70%作为预付款</w:t>
            </w:r>
            <w:r>
              <w:rPr>
                <w:rFonts w:hint="eastAsia" w:ascii="宋体" w:hAnsi="宋体" w:cs="仿宋_GB2312"/>
                <w:color w:val="auto"/>
                <w:sz w:val="24"/>
                <w:highlight w:val="none"/>
              </w:rPr>
              <w:t>；</w:t>
            </w:r>
          </w:p>
        </w:tc>
      </w:tr>
      <w:tr w14:paraId="328181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vAlign w:val="top"/>
          </w:tcPr>
          <w:p w14:paraId="0A9CE26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2977" w:type="dxa"/>
            <w:vAlign w:val="top"/>
          </w:tcPr>
          <w:p w14:paraId="06938AEA">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30%</w:t>
            </w:r>
          </w:p>
        </w:tc>
        <w:tc>
          <w:tcPr>
            <w:tcW w:w="4161" w:type="dxa"/>
            <w:vAlign w:val="top"/>
          </w:tcPr>
          <w:p w14:paraId="01C400AB">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项目验收通过后具备支付条件5个工作日内甲方向乙方支付合同剩余款项。</w:t>
            </w:r>
          </w:p>
        </w:tc>
      </w:tr>
    </w:tbl>
    <w:p w14:paraId="1D8D8A40">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4.售后服务要求</w:t>
      </w:r>
    </w:p>
    <w:p w14:paraId="1C0895E9">
      <w:pPr>
        <w:snapToGrid w:val="0"/>
        <w:spacing w:line="360" w:lineRule="auto"/>
        <w:ind w:firstLine="480" w:firstLineChars="200"/>
        <w:rPr>
          <w:rFonts w:ascii="宋体" w:hAnsi="宋体" w:eastAsia="宋体"/>
          <w:snapToGrid w:val="0"/>
          <w:color w:val="auto"/>
          <w:kern w:val="0"/>
          <w:sz w:val="24"/>
          <w:highlight w:val="none"/>
          <w:u w:val="single"/>
        </w:rPr>
      </w:pPr>
      <w:r>
        <w:rPr>
          <w:rFonts w:hint="eastAsia" w:ascii="宋体" w:hAnsi="宋体" w:eastAsia="宋体"/>
          <w:snapToGrid w:val="0"/>
          <w:color w:val="auto"/>
          <w:kern w:val="0"/>
          <w:sz w:val="24"/>
          <w:highlight w:val="none"/>
          <w:u w:val="single"/>
        </w:rPr>
        <w:t>无</w:t>
      </w:r>
      <w:r>
        <w:rPr>
          <w:rFonts w:ascii="宋体" w:hAnsi="宋体" w:eastAsia="宋体"/>
          <w:snapToGrid w:val="0"/>
          <w:color w:val="auto"/>
          <w:kern w:val="0"/>
          <w:sz w:val="24"/>
          <w:highlight w:val="none"/>
          <w:u w:val="single"/>
        </w:rPr>
        <w:t>。</w:t>
      </w:r>
    </w:p>
    <w:p w14:paraId="1821C309">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7FCA4F24">
      <w:pPr>
        <w:snapToGrid w:val="0"/>
        <w:spacing w:line="360" w:lineRule="auto"/>
        <w:ind w:firstLine="480" w:firstLineChars="200"/>
        <w:rPr>
          <w:rFonts w:ascii="宋体" w:hAnsi="宋体" w:eastAsia="宋体"/>
          <w:snapToGrid w:val="0"/>
          <w:color w:val="auto"/>
          <w:kern w:val="0"/>
          <w:sz w:val="24"/>
          <w:highlight w:val="none"/>
          <w:u w:val="single"/>
        </w:rPr>
      </w:pPr>
      <w:r>
        <w:rPr>
          <w:rFonts w:hint="eastAsia" w:ascii="宋体" w:hAnsi="宋体" w:eastAsia="宋体"/>
          <w:snapToGrid w:val="0"/>
          <w:color w:val="auto"/>
          <w:kern w:val="0"/>
          <w:sz w:val="24"/>
          <w:highlight w:val="none"/>
          <w:u w:val="single"/>
        </w:rPr>
        <w:t>无</w:t>
      </w:r>
      <w:r>
        <w:rPr>
          <w:rFonts w:ascii="宋体" w:hAnsi="宋体" w:eastAsia="宋体"/>
          <w:snapToGrid w:val="0"/>
          <w:color w:val="auto"/>
          <w:kern w:val="0"/>
          <w:sz w:val="24"/>
          <w:highlight w:val="none"/>
          <w:u w:val="single"/>
        </w:rPr>
        <w:t>。</w:t>
      </w:r>
    </w:p>
    <w:p w14:paraId="534EB088">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（七）采购项目的其他要求</w:t>
      </w:r>
    </w:p>
    <w:bookmarkEnd w:id="0"/>
    <w:p w14:paraId="5DF54B68">
      <w:pPr>
        <w:numPr>
          <w:ilvl w:val="0"/>
          <w:numId w:val="1"/>
        </w:num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项目概述</w:t>
      </w:r>
    </w:p>
    <w:p w14:paraId="51600EC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近年来，农村</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建房</w:t>
      </w:r>
      <w:r>
        <w:rPr>
          <w:rFonts w:hint="eastAsia" w:ascii="宋体" w:hAnsi="宋体" w:eastAsia="宋体" w:cs="宋体"/>
          <w:color w:val="auto"/>
          <w:sz w:val="24"/>
          <w:szCs w:val="24"/>
          <w:highlight w:val="none"/>
          <w:lang w:val="en-US" w:eastAsia="zh-CN"/>
        </w:rPr>
        <w:t>倒塌</w:t>
      </w:r>
      <w:r>
        <w:rPr>
          <w:rFonts w:hint="eastAsia" w:ascii="宋体" w:hAnsi="宋体" w:eastAsia="宋体" w:cs="宋体"/>
          <w:color w:val="auto"/>
          <w:sz w:val="24"/>
          <w:szCs w:val="24"/>
          <w:highlight w:val="none"/>
        </w:rPr>
        <w:t>事故时有发生，造成人民群众财产损失，为加强农建房</w:t>
      </w:r>
      <w:r>
        <w:rPr>
          <w:rFonts w:hint="eastAsia" w:ascii="宋体" w:hAnsi="宋体" w:eastAsia="宋体" w:cs="宋体"/>
          <w:color w:val="auto"/>
          <w:sz w:val="24"/>
          <w:szCs w:val="24"/>
          <w:highlight w:val="none"/>
          <w:lang w:val="en-US" w:eastAsia="zh-CN"/>
        </w:rPr>
        <w:t>风险保障</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none"/>
        </w:rPr>
        <w:t>余农房办《关于继续做好政策性农村住房及室内财产保险工作的通知》（余农房办〔2017〕1号）</w:t>
      </w:r>
      <w:r>
        <w:rPr>
          <w:rFonts w:hint="eastAsia" w:ascii="宋体" w:hAnsi="宋体" w:eastAsia="宋体" w:cs="宋体"/>
          <w:color w:val="auto"/>
          <w:sz w:val="24"/>
          <w:szCs w:val="24"/>
          <w:highlight w:val="none"/>
        </w:rPr>
        <w:t>有关规定，鼓励购买</w:t>
      </w:r>
      <w:r>
        <w:rPr>
          <w:rFonts w:hint="eastAsia" w:ascii="宋体" w:hAnsi="宋体" w:eastAsia="宋体" w:cs="宋体"/>
          <w:color w:val="auto"/>
          <w:sz w:val="24"/>
          <w:szCs w:val="24"/>
          <w:highlight w:val="none"/>
          <w:lang w:val="en-US" w:eastAsia="zh-CN"/>
        </w:rPr>
        <w:t>政策性农村住房保险和</w:t>
      </w:r>
      <w:r>
        <w:rPr>
          <w:rFonts w:hint="eastAsia" w:ascii="宋体" w:hAnsi="宋体" w:eastAsia="宋体" w:cs="宋体"/>
          <w:color w:val="auto"/>
          <w:sz w:val="24"/>
          <w:szCs w:val="24"/>
          <w:highlight w:val="none"/>
          <w:lang w:eastAsia="zh-CN"/>
        </w:rPr>
        <w:t>室内财产保险</w:t>
      </w:r>
      <w:r>
        <w:rPr>
          <w:rFonts w:hint="eastAsia" w:ascii="宋体" w:hAnsi="宋体" w:eastAsia="宋体" w:cs="宋体"/>
          <w:color w:val="auto"/>
          <w:sz w:val="24"/>
          <w:szCs w:val="24"/>
          <w:highlight w:val="none"/>
        </w:rPr>
        <w:t>，确保人民群众</w:t>
      </w:r>
      <w:r>
        <w:rPr>
          <w:rFonts w:hint="eastAsia" w:ascii="宋体" w:hAnsi="宋体" w:eastAsia="宋体" w:cs="宋体"/>
          <w:color w:val="auto"/>
          <w:sz w:val="24"/>
          <w:szCs w:val="24"/>
          <w:highlight w:val="none"/>
          <w:lang w:val="en-US" w:eastAsia="zh-CN"/>
        </w:rPr>
        <w:t>财产利益</w:t>
      </w:r>
      <w:r>
        <w:rPr>
          <w:rFonts w:hint="eastAsia" w:ascii="宋体" w:hAnsi="宋体" w:eastAsia="宋体" w:cs="宋体"/>
          <w:color w:val="auto"/>
          <w:sz w:val="24"/>
          <w:szCs w:val="24"/>
          <w:highlight w:val="none"/>
        </w:rPr>
        <w:t>。根据相关文件要求，现以公开招投标方式确定一家保险公司，统一为全</w:t>
      </w:r>
      <w:r>
        <w:rPr>
          <w:rFonts w:hint="eastAsia" w:ascii="宋体" w:hAnsi="宋体" w:eastAsia="宋体" w:cs="宋体"/>
          <w:color w:val="auto"/>
          <w:sz w:val="24"/>
          <w:szCs w:val="24"/>
          <w:highlight w:val="none"/>
          <w:lang w:val="en-US" w:eastAsia="zh-CN"/>
        </w:rPr>
        <w:t>区农村自建房</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财产</w:t>
      </w:r>
      <w:r>
        <w:rPr>
          <w:rFonts w:hint="eastAsia" w:ascii="宋体" w:hAnsi="宋体" w:eastAsia="宋体" w:cs="宋体"/>
          <w:color w:val="auto"/>
          <w:sz w:val="24"/>
          <w:szCs w:val="24"/>
          <w:highlight w:val="none"/>
        </w:rPr>
        <w:t>保险服务，具体</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如下：</w:t>
      </w:r>
    </w:p>
    <w:p w14:paraId="41D121A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保险主体</w:t>
      </w:r>
    </w:p>
    <w:p w14:paraId="4680B7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在余杭区范围内拥有农村土地承包经营权或宅基地使用权且拥有自建合法住房的余杭户籍居民（约78354人）</w:t>
      </w:r>
    </w:p>
    <w:p w14:paraId="63680298">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保险险种</w:t>
      </w:r>
    </w:p>
    <w:p w14:paraId="00C6F42D">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投保险种为</w:t>
      </w:r>
      <w:r>
        <w:rPr>
          <w:rFonts w:hint="eastAsia" w:ascii="宋体" w:hAnsi="宋体" w:eastAsia="宋体" w:cs="宋体"/>
          <w:color w:val="auto"/>
          <w:sz w:val="24"/>
          <w:szCs w:val="24"/>
          <w:highlight w:val="none"/>
          <w:lang w:val="en-US" w:eastAsia="zh-CN"/>
        </w:rPr>
        <w:t>政策性农村住房保险及室内财产保险。</w:t>
      </w:r>
    </w:p>
    <w:p w14:paraId="68F9AEC2">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、保险方案</w:t>
      </w:r>
    </w:p>
    <w:p w14:paraId="4676EF9E">
      <w:pPr>
        <w:pStyle w:val="22"/>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政策性农村住房保险及</w:t>
      </w:r>
      <w:r>
        <w:rPr>
          <w:rFonts w:hint="eastAsia" w:ascii="宋体" w:hAnsi="宋体" w:eastAsia="宋体" w:cs="宋体"/>
          <w:color w:val="auto"/>
          <w:sz w:val="24"/>
          <w:szCs w:val="24"/>
          <w:highlight w:val="none"/>
          <w:lang w:val="en-US" w:eastAsia="zh-CN"/>
        </w:rPr>
        <w:t>室内财产保险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具体内容如下：</w:t>
      </w:r>
    </w:p>
    <w:tbl>
      <w:tblPr>
        <w:tblStyle w:val="13"/>
        <w:tblW w:w="8963"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66"/>
        <w:gridCol w:w="4017"/>
        <w:gridCol w:w="750"/>
        <w:gridCol w:w="1480"/>
      </w:tblGrid>
      <w:tr w14:paraId="119D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50" w:type="dxa"/>
            <w:vAlign w:val="center"/>
          </w:tcPr>
          <w:p w14:paraId="213FA00A">
            <w:pPr>
              <w:pStyle w:val="22"/>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保险责任</w:t>
            </w:r>
          </w:p>
        </w:tc>
        <w:tc>
          <w:tcPr>
            <w:tcW w:w="1366" w:type="dxa"/>
            <w:vAlign w:val="center"/>
          </w:tcPr>
          <w:p w14:paraId="6CDBC5DF">
            <w:pPr>
              <w:pStyle w:val="22"/>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保险金额</w:t>
            </w:r>
          </w:p>
        </w:tc>
        <w:tc>
          <w:tcPr>
            <w:tcW w:w="4017" w:type="dxa"/>
            <w:vAlign w:val="center"/>
          </w:tcPr>
          <w:p w14:paraId="3152C4CB">
            <w:pPr>
              <w:pStyle w:val="22"/>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保险利益</w:t>
            </w:r>
          </w:p>
        </w:tc>
        <w:tc>
          <w:tcPr>
            <w:tcW w:w="750" w:type="dxa"/>
            <w:vAlign w:val="center"/>
          </w:tcPr>
          <w:p w14:paraId="480F598E">
            <w:pPr>
              <w:pStyle w:val="22"/>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保险期限</w:t>
            </w:r>
          </w:p>
        </w:tc>
        <w:tc>
          <w:tcPr>
            <w:tcW w:w="1480" w:type="dxa"/>
            <w:vAlign w:val="center"/>
          </w:tcPr>
          <w:p w14:paraId="3E5EEF46">
            <w:pPr>
              <w:pStyle w:val="22"/>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预算单价</w:t>
            </w:r>
          </w:p>
        </w:tc>
      </w:tr>
      <w:tr w14:paraId="7869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350" w:type="dxa"/>
            <w:vAlign w:val="center"/>
          </w:tcPr>
          <w:p w14:paraId="2BD2CA4F">
            <w:pPr>
              <w:pStyle w:val="22"/>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政策性农村住房保险</w:t>
            </w:r>
          </w:p>
        </w:tc>
        <w:tc>
          <w:tcPr>
            <w:tcW w:w="1366" w:type="dxa"/>
            <w:vAlign w:val="center"/>
          </w:tcPr>
          <w:p w14:paraId="310046A2">
            <w:pPr>
              <w:pStyle w:val="22"/>
              <w:spacing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80000元/户</w:t>
            </w:r>
          </w:p>
        </w:tc>
        <w:tc>
          <w:tcPr>
            <w:tcW w:w="4017" w:type="dxa"/>
            <w:vAlign w:val="center"/>
          </w:tcPr>
          <w:p w14:paraId="754C0BC9">
            <w:pPr>
              <w:pStyle w:val="22"/>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每户房屋保险金额最高为80000元，其中每间房屋保险金额最高为16000元</w:t>
            </w:r>
          </w:p>
        </w:tc>
        <w:tc>
          <w:tcPr>
            <w:tcW w:w="750" w:type="dxa"/>
            <w:vMerge w:val="restart"/>
            <w:vAlign w:val="center"/>
          </w:tcPr>
          <w:p w14:paraId="2D7FAC50">
            <w:pPr>
              <w:pStyle w:val="2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1年</w:t>
            </w:r>
          </w:p>
        </w:tc>
        <w:tc>
          <w:tcPr>
            <w:tcW w:w="1480" w:type="dxa"/>
            <w:vAlign w:val="center"/>
          </w:tcPr>
          <w:p w14:paraId="7967D698">
            <w:pPr>
              <w:pStyle w:val="2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8元/户</w:t>
            </w:r>
          </w:p>
        </w:tc>
      </w:tr>
      <w:tr w14:paraId="100A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350" w:type="dxa"/>
            <w:vAlign w:val="center"/>
          </w:tcPr>
          <w:p w14:paraId="6D59E57E">
            <w:pPr>
              <w:pStyle w:val="22"/>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室内财产</w:t>
            </w:r>
            <w:r>
              <w:rPr>
                <w:rFonts w:hint="eastAsia" w:ascii="宋体" w:hAnsi="宋体" w:eastAsia="宋体" w:cs="宋体"/>
                <w:color w:val="auto"/>
                <w:sz w:val="24"/>
                <w:szCs w:val="24"/>
                <w:highlight w:val="none"/>
              </w:rPr>
              <w:t>保险</w:t>
            </w:r>
          </w:p>
        </w:tc>
        <w:tc>
          <w:tcPr>
            <w:tcW w:w="1366" w:type="dxa"/>
            <w:vAlign w:val="center"/>
          </w:tcPr>
          <w:p w14:paraId="121FCE84">
            <w:pPr>
              <w:pStyle w:val="22"/>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22500元/户</w:t>
            </w:r>
          </w:p>
        </w:tc>
        <w:tc>
          <w:tcPr>
            <w:tcW w:w="4017" w:type="dxa"/>
            <w:vAlign w:val="center"/>
          </w:tcPr>
          <w:p w14:paraId="6A19A32A">
            <w:pPr>
              <w:pStyle w:val="22"/>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每户居民室内财产保险金额最高为22500元，其中：家用电器保险金额最高9000元/户，衣物及床上用品最高6750元/户，家具及其它生产生活用具最高6750元/户</w:t>
            </w:r>
          </w:p>
        </w:tc>
        <w:tc>
          <w:tcPr>
            <w:tcW w:w="750" w:type="dxa"/>
            <w:vMerge w:val="continue"/>
            <w:vAlign w:val="center"/>
          </w:tcPr>
          <w:p w14:paraId="1DA2A493">
            <w:pPr>
              <w:pStyle w:val="22"/>
              <w:ind w:firstLine="0" w:firstLineChars="0"/>
              <w:jc w:val="center"/>
              <w:rPr>
                <w:rFonts w:hint="eastAsia" w:ascii="宋体" w:hAnsi="宋体" w:eastAsia="宋体" w:cs="宋体"/>
                <w:color w:val="auto"/>
                <w:sz w:val="24"/>
                <w:szCs w:val="24"/>
                <w:highlight w:val="none"/>
                <w:lang w:val="en-US" w:eastAsia="zh-CN"/>
              </w:rPr>
            </w:pPr>
          </w:p>
        </w:tc>
        <w:tc>
          <w:tcPr>
            <w:tcW w:w="1480" w:type="dxa"/>
            <w:vAlign w:val="center"/>
          </w:tcPr>
          <w:p w14:paraId="2A252739">
            <w:pPr>
              <w:pStyle w:val="2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4元/户</w:t>
            </w:r>
          </w:p>
        </w:tc>
      </w:tr>
    </w:tbl>
    <w:p w14:paraId="247B787B">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政策性农村住房保险</w:t>
      </w:r>
      <w:r>
        <w:rPr>
          <w:rFonts w:hint="eastAsia" w:ascii="宋体" w:hAnsi="宋体" w:eastAsia="宋体" w:cs="宋体"/>
          <w:b/>
          <w:bCs/>
          <w:color w:val="auto"/>
          <w:sz w:val="24"/>
          <w:szCs w:val="24"/>
          <w:highlight w:val="none"/>
          <w:lang w:eastAsia="zh-CN"/>
        </w:rPr>
        <w:t>保费标准</w:t>
      </w:r>
      <w:r>
        <w:rPr>
          <w:rFonts w:hint="eastAsia" w:ascii="宋体" w:hAnsi="宋体" w:eastAsia="宋体" w:cs="宋体"/>
          <w:color w:val="auto"/>
          <w:sz w:val="24"/>
          <w:szCs w:val="24"/>
          <w:highlight w:val="none"/>
          <w:lang w:eastAsia="zh-CN"/>
        </w:rPr>
        <w:t>：每户每年10元，其中普通居民自交2元</w:t>
      </w:r>
      <w:r>
        <w:rPr>
          <w:rFonts w:hint="eastAsia" w:ascii="宋体" w:hAnsi="宋体" w:cs="宋体"/>
          <w:color w:val="auto"/>
          <w:sz w:val="24"/>
          <w:szCs w:val="24"/>
          <w:highlight w:val="none"/>
          <w:lang w:eastAsia="zh-CN"/>
        </w:rPr>
        <w:t>，低保户自交</w:t>
      </w:r>
      <w:r>
        <w:rPr>
          <w:rFonts w:hint="eastAsia" w:ascii="宋体" w:hAnsi="宋体" w:cs="宋体"/>
          <w:color w:val="auto"/>
          <w:sz w:val="24"/>
          <w:szCs w:val="24"/>
          <w:highlight w:val="none"/>
          <w:lang w:val="en-US" w:eastAsia="zh-CN"/>
        </w:rPr>
        <w:t>0元，投保中如遇低保户情况，按中标金额加2元/户执行</w:t>
      </w:r>
      <w:r>
        <w:rPr>
          <w:rFonts w:hint="eastAsia" w:ascii="宋体" w:hAnsi="宋体" w:eastAsia="宋体" w:cs="宋体"/>
          <w:color w:val="auto"/>
          <w:sz w:val="24"/>
          <w:szCs w:val="24"/>
          <w:highlight w:val="none"/>
          <w:lang w:eastAsia="zh-CN"/>
        </w:rPr>
        <w:t>。</w:t>
      </w:r>
    </w:p>
    <w:p w14:paraId="36ED274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室内财产</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kern w:val="2"/>
          <w:sz w:val="24"/>
          <w:szCs w:val="24"/>
          <w:highlight w:val="none"/>
          <w:lang w:val="en-US" w:eastAsia="zh-CN" w:bidi="ar-SA"/>
        </w:rPr>
        <w:t>保费标准</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eastAsia="zh-CN"/>
        </w:rPr>
        <w:t>每户每年10元</w:t>
      </w:r>
      <w:r>
        <w:rPr>
          <w:rFonts w:hint="eastAsia" w:ascii="宋体" w:hAnsi="宋体" w:eastAsia="宋体" w:cs="宋体"/>
          <w:color w:val="auto"/>
          <w:kern w:val="2"/>
          <w:sz w:val="24"/>
          <w:szCs w:val="24"/>
          <w:highlight w:val="none"/>
          <w:lang w:val="en-US" w:eastAsia="zh-CN" w:bidi="ar-SA"/>
        </w:rPr>
        <w:t>，其中镇街财政补助4元</w:t>
      </w:r>
      <w:r>
        <w:rPr>
          <w:rFonts w:hint="eastAsia"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普通居民自交2元</w:t>
      </w:r>
      <w:r>
        <w:rPr>
          <w:rFonts w:hint="eastAsia" w:hAnsi="宋体" w:cs="宋体"/>
          <w:color w:val="auto"/>
          <w:kern w:val="2"/>
          <w:sz w:val="24"/>
          <w:szCs w:val="24"/>
          <w:highlight w:val="none"/>
          <w:lang w:val="en-US" w:eastAsia="zh-CN" w:bidi="ar-SA"/>
        </w:rPr>
        <w:t>，低保户自交0元，</w:t>
      </w:r>
      <w:r>
        <w:rPr>
          <w:rFonts w:hint="eastAsia" w:ascii="宋体" w:hAnsi="宋体" w:cs="宋体"/>
          <w:color w:val="auto"/>
          <w:sz w:val="24"/>
          <w:szCs w:val="24"/>
          <w:highlight w:val="none"/>
          <w:lang w:val="en-US" w:eastAsia="zh-CN"/>
        </w:rPr>
        <w:t>投保中如遇低保户情况，按中标金额加2元/户执行</w:t>
      </w:r>
      <w:r>
        <w:rPr>
          <w:rFonts w:hint="eastAsia" w:ascii="宋体" w:hAnsi="宋体" w:eastAsia="宋体" w:cs="宋体"/>
          <w:color w:val="auto"/>
          <w:kern w:val="2"/>
          <w:sz w:val="24"/>
          <w:szCs w:val="24"/>
          <w:highlight w:val="none"/>
          <w:lang w:val="en-US" w:eastAsia="zh-CN" w:bidi="ar-SA"/>
        </w:rPr>
        <w:t>。</w:t>
      </w:r>
    </w:p>
    <w:p w14:paraId="15A4726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注：本项目预算不包含居民自交部分及镇街财政补助部分。</w:t>
      </w:r>
    </w:p>
    <w:p w14:paraId="48F75538">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、保险责任</w:t>
      </w:r>
    </w:p>
    <w:p w14:paraId="2BFAB134">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政策性农村住房保险责任</w:t>
      </w:r>
    </w:p>
    <w:p w14:paraId="659DD04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在保险期间内，保险房屋遭受自然灾害或意外事故造成以下情形之一的倒塌或损坏，保险人按照本保险合同的约定进行赔偿：</w:t>
      </w:r>
    </w:p>
    <w:p w14:paraId="7AF2EE6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（一）房屋两面以上（含）墙壁倒塌；</w:t>
      </w:r>
    </w:p>
    <w:p w14:paraId="3FB041B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（二）房屋屋顶坍塌；</w:t>
      </w:r>
    </w:p>
    <w:p w14:paraId="394EEF2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（三）楼板坍塌；</w:t>
      </w:r>
    </w:p>
    <w:p w14:paraId="2BC991C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（四）房屋主体结构毁坏；</w:t>
      </w:r>
    </w:p>
    <w:p w14:paraId="7F87158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（五）墙基冲毁，难以修复；</w:t>
      </w:r>
    </w:p>
    <w:p w14:paraId="6835C56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（六）因洪涝长期浸泡造成墙体损毁；</w:t>
      </w:r>
    </w:p>
    <w:p w14:paraId="19F98D3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（七）无显性损毁，经建设部门鉴定应当整体拆除重建。</w:t>
      </w:r>
    </w:p>
    <w:p w14:paraId="07C31F9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室内财产保险</w:t>
      </w:r>
    </w:p>
    <w:p w14:paraId="73FC3E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在保险期间内，由于下列原因造成保险标的的损失，保险人按照本保险合同的约定负责赔偿：</w:t>
      </w:r>
    </w:p>
    <w:p w14:paraId="03F345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（一）火灾</w:t>
      </w:r>
    </w:p>
    <w:p w14:paraId="5A489A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在时间或空间上失去控制的燃烧所造成的灾害。构成本保险的火灾责任必须同时具备以下三个条件：</w:t>
      </w:r>
    </w:p>
    <w:p w14:paraId="462B3D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（1）有燃烧现象，即有热有光有火焰；</w:t>
      </w:r>
    </w:p>
    <w:p w14:paraId="36DA50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（2）偶然、意外发生的燃烧；</w:t>
      </w:r>
    </w:p>
    <w:p w14:paraId="36AF39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（3）燃烧失去控制并有蔓延扩大的趋势。</w:t>
      </w:r>
    </w:p>
    <w:p w14:paraId="621602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（二）爆炸</w:t>
      </w:r>
    </w:p>
    <w:p w14:paraId="17FEB3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爆炸分为物理性爆炸和化学性爆炸。</w:t>
      </w:r>
    </w:p>
    <w:p w14:paraId="47277D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（1）物理性爆炸：由于液体变为蒸汽或气体膨胀，压力急剧增加并大大超过容器所能承受的极限压力，因而发生爆炸。</w:t>
      </w:r>
    </w:p>
    <w:p w14:paraId="4B7615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化学性爆炸：物体在瞬息分解或燃烧时排出大量的热和气体，并以很大的压力向四周扩散的现象，如火药爆炸，可燃性粉尘纤维爆炸，可燃气体爆炸及各种化学物品的爆炸等。前款原因造成的保险事故发生时，为抢救保险标的或防止灾害蔓延，采取必要的、合理的措施而造成保险标的的损失，保险人按照本保险合同的约定也负责赔偿。</w:t>
      </w:r>
    </w:p>
    <w:p w14:paraId="4873B4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保险事故发生后，被保险人为防止或减少保险标的的损失所支付的必要的、合理的费用，保险人按照本保险合同的约定也负责赔偿。</w:t>
      </w:r>
    </w:p>
    <w:p w14:paraId="1BC55F14">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、承保服务</w:t>
      </w:r>
    </w:p>
    <w:p w14:paraId="53025A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1、保证投保人获得优先服务的权利，根据投保人的通知及时签订保险单。</w:t>
      </w:r>
    </w:p>
    <w:p w14:paraId="79EBCB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2、应设有24小时全天报案服务电话，并设专人受理索赔接、报案。</w:t>
      </w:r>
    </w:p>
    <w:p w14:paraId="004A56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3、在接到投保人的发生意外事故报案后，理赔人员应于60分钟内赶到报案现场办理相关的索赔手续。</w:t>
      </w:r>
    </w:p>
    <w:p w14:paraId="06413C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4、协助投保人做好对投保经办人的廉政工作，不得以任何形式向投保人的经办人提供回扣。</w:t>
      </w:r>
    </w:p>
    <w:p w14:paraId="4821B191">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、理赔服务</w:t>
      </w:r>
    </w:p>
    <w:p w14:paraId="11BEF3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1、投保方的人员发生意外害事故后，中标人应根据服务承诺，对发生意外事故</w:t>
      </w:r>
      <w:r>
        <w:rPr>
          <w:rFonts w:hint="eastAsia" w:ascii="宋体" w:hAnsi="宋体" w:eastAsia="宋体" w:cs="宋体"/>
          <w:color w:val="auto"/>
          <w:sz w:val="24"/>
          <w:szCs w:val="24"/>
          <w:highlight w:val="none"/>
          <w:lang w:val="en-US" w:eastAsia="zh-CN"/>
        </w:rPr>
        <w:t>的住户</w:t>
      </w:r>
      <w:r>
        <w:rPr>
          <w:rFonts w:hint="eastAsia" w:ascii="宋体" w:hAnsi="宋体" w:eastAsia="宋体" w:cs="宋体"/>
          <w:color w:val="auto"/>
          <w:sz w:val="24"/>
          <w:szCs w:val="24"/>
          <w:highlight w:val="none"/>
        </w:rPr>
        <w:t>及时提出处理意见，在理赔时必须以真实价格为基数进行计算，并及时支付赔款。</w:t>
      </w:r>
    </w:p>
    <w:p w14:paraId="35D71E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2、赔偿处理按</w:t>
      </w:r>
      <w:r>
        <w:rPr>
          <w:rFonts w:hint="eastAsia" w:ascii="宋体" w:hAnsi="宋体" w:eastAsia="宋体" w:cs="宋体"/>
          <w:color w:val="auto"/>
          <w:sz w:val="24"/>
          <w:szCs w:val="24"/>
          <w:highlight w:val="none"/>
          <w:lang w:val="en-US" w:eastAsia="zh-CN"/>
        </w:rPr>
        <w:t>保单签订时所用相</w:t>
      </w:r>
      <w:r>
        <w:rPr>
          <w:rFonts w:hint="eastAsia" w:ascii="宋体" w:hAnsi="宋体" w:eastAsia="宋体" w:cs="宋体"/>
          <w:color w:val="auto"/>
          <w:sz w:val="24"/>
          <w:szCs w:val="24"/>
          <w:highlight w:val="none"/>
        </w:rPr>
        <w:t>关条款处理，赔偿标准按照投标书有关承诺及保险金额与实际受</w:t>
      </w:r>
      <w:r>
        <w:rPr>
          <w:rFonts w:hint="eastAsia" w:ascii="宋体" w:hAnsi="宋体" w:eastAsia="宋体" w:cs="宋体"/>
          <w:color w:val="auto"/>
          <w:sz w:val="24"/>
          <w:szCs w:val="24"/>
          <w:highlight w:val="none"/>
          <w:lang w:val="en-US" w:eastAsia="zh-CN"/>
        </w:rPr>
        <w:t>损</w:t>
      </w:r>
      <w:r>
        <w:rPr>
          <w:rFonts w:hint="eastAsia" w:ascii="宋体" w:hAnsi="宋体" w:eastAsia="宋体" w:cs="宋体"/>
          <w:color w:val="auto"/>
          <w:sz w:val="24"/>
          <w:szCs w:val="24"/>
          <w:highlight w:val="none"/>
        </w:rPr>
        <w:t>程度处理，中标人必须主动及时协助投保方处理赔款事宜。</w:t>
      </w:r>
    </w:p>
    <w:p w14:paraId="45E3DF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3、投保方在保险期内的一切事故赔款事宜，直接与中标人办理。</w:t>
      </w:r>
    </w:p>
    <w:p w14:paraId="45D092A4">
      <w:pPr>
        <w:pStyle w:val="3"/>
        <w:tabs>
          <w:tab w:val="left" w:pos="706"/>
          <w:tab w:val="left" w:pos="1110"/>
          <w:tab w:val="clear" w:pos="432"/>
        </w:tabs>
        <w:ind w:left="0" w:firstLine="482" w:firstLineChars="200"/>
        <w:rPr>
          <w:rFonts w:hint="eastAsia" w:ascii="宋体" w:hAnsi="宋体" w:eastAsia="宋体" w:cs="宋体"/>
          <w:bCs w:val="0"/>
          <w:color w:val="auto"/>
          <w:kern w:val="0"/>
          <w:sz w:val="24"/>
          <w:szCs w:val="24"/>
          <w:highlight w:val="none"/>
          <w:lang w:val="en-US" w:eastAsia="zh-CN"/>
        </w:rPr>
      </w:pPr>
      <w:r>
        <w:rPr>
          <w:rFonts w:hint="eastAsia" w:ascii="宋体" w:hAnsi="宋体" w:eastAsia="宋体" w:cs="宋体"/>
          <w:bCs w:val="0"/>
          <w:color w:val="auto"/>
          <w:kern w:val="0"/>
          <w:sz w:val="24"/>
          <w:szCs w:val="24"/>
          <w:highlight w:val="none"/>
          <w:lang w:val="en-US"/>
        </w:rPr>
        <w:t>八</w:t>
      </w:r>
      <w:r>
        <w:rPr>
          <w:rFonts w:hint="eastAsia" w:ascii="宋体" w:hAnsi="宋体" w:eastAsia="宋体" w:cs="宋体"/>
          <w:bCs w:val="0"/>
          <w:color w:val="auto"/>
          <w:kern w:val="0"/>
          <w:sz w:val="24"/>
          <w:szCs w:val="24"/>
          <w:highlight w:val="none"/>
        </w:rPr>
        <w:t>、</w:t>
      </w:r>
      <w:r>
        <w:rPr>
          <w:rFonts w:hint="eastAsia" w:ascii="宋体" w:hAnsi="宋体" w:eastAsia="宋体" w:cs="宋体"/>
          <w:bCs w:val="0"/>
          <w:color w:val="auto"/>
          <w:kern w:val="0"/>
          <w:sz w:val="24"/>
          <w:szCs w:val="24"/>
          <w:highlight w:val="none"/>
          <w:lang w:val="en-US" w:eastAsia="zh-CN"/>
        </w:rPr>
        <w:t>付款方式</w:t>
      </w:r>
    </w:p>
    <w:p w14:paraId="35913411">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合同签订之日起，具备支付条件5个工作日内甲方向乙方支付预算金额的70%作为预付款；项目验收通过后具备支付条件5个工作日内甲方向乙方支付合同剩余款项。</w:t>
      </w:r>
    </w:p>
    <w:p w14:paraId="0E4B490E">
      <w:pPr>
        <w:pStyle w:val="3"/>
        <w:tabs>
          <w:tab w:val="left" w:pos="706"/>
          <w:tab w:val="left" w:pos="1110"/>
          <w:tab w:val="clear" w:pos="432"/>
        </w:tabs>
        <w:ind w:left="0" w:firstLine="482" w:firstLineChars="200"/>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lang w:val="en-US" w:eastAsia="zh-CN"/>
        </w:rPr>
        <w:t>九、</w:t>
      </w:r>
      <w:r>
        <w:rPr>
          <w:rFonts w:hint="eastAsia" w:ascii="宋体" w:hAnsi="宋体" w:eastAsia="宋体" w:cs="宋体"/>
          <w:bCs w:val="0"/>
          <w:color w:val="auto"/>
          <w:kern w:val="0"/>
          <w:sz w:val="24"/>
          <w:szCs w:val="24"/>
          <w:highlight w:val="none"/>
        </w:rPr>
        <w:t>验收</w:t>
      </w:r>
    </w:p>
    <w:p w14:paraId="2ED216E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ECB6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采购人可以邀请参加本项目的其他投标人或者第三方机构参与验收。参与验收的投标人或者第三方机构的意见作为验收书的参考资料一并存档。</w:t>
      </w:r>
    </w:p>
    <w:p w14:paraId="3C68B6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D1DAD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970E41">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FF2E807">
      <w:pPr>
        <w:pStyle w:val="3"/>
        <w:tabs>
          <w:tab w:val="left" w:pos="706"/>
          <w:tab w:val="left" w:pos="1110"/>
          <w:tab w:val="clear" w:pos="432"/>
        </w:tabs>
        <w:ind w:left="0" w:firstLine="482" w:firstLineChars="200"/>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lang w:val="en-US" w:eastAsia="zh-CN"/>
        </w:rPr>
        <w:t>十</w:t>
      </w:r>
      <w:r>
        <w:rPr>
          <w:rFonts w:hint="eastAsia" w:ascii="宋体" w:hAnsi="宋体" w:eastAsia="宋体" w:cs="宋体"/>
          <w:bCs w:val="0"/>
          <w:color w:val="auto"/>
          <w:kern w:val="0"/>
          <w:sz w:val="24"/>
          <w:szCs w:val="24"/>
          <w:highlight w:val="none"/>
        </w:rPr>
        <w:t>、服务标准</w:t>
      </w:r>
    </w:p>
    <w:p w14:paraId="7A967582">
      <w:pPr>
        <w:numPr>
          <w:ilvl w:val="0"/>
          <w:numId w:val="2"/>
        </w:numPr>
        <w:spacing w:line="360" w:lineRule="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79946E7B">
      <w:pPr>
        <w:numPr>
          <w:ilvl w:val="0"/>
          <w:numId w:val="2"/>
        </w:numPr>
        <w:spacing w:line="360" w:lineRule="auto"/>
        <w:rPr>
          <w:rFonts w:hint="eastAsia" w:ascii="宋体" w:hAnsi="宋体" w:eastAsia="宋体" w:cs="宋体"/>
          <w:b w:val="0"/>
          <w:bCs w:val="0"/>
          <w:color w:val="auto"/>
          <w:sz w:val="24"/>
          <w:szCs w:val="24"/>
          <w:highlight w:val="none"/>
          <w:lang w:eastAsia="zh-Hans"/>
        </w:rPr>
      </w:pPr>
      <w:r>
        <w:rPr>
          <w:rFonts w:hint="eastAsia" w:ascii="宋体" w:hAnsi="宋体" w:eastAsia="宋体" w:cs="宋体"/>
          <w:color w:val="auto"/>
          <w:sz w:val="24"/>
          <w:szCs w:val="24"/>
          <w:highlight w:val="none"/>
          <w:lang w:eastAsia="zh-Hans"/>
        </w:rPr>
        <w:t>中国国家标准及其它被普遍认可的标准，由招标人认可的其他国家的其他权</w:t>
      </w:r>
      <w:r>
        <w:rPr>
          <w:rFonts w:hint="eastAsia" w:ascii="宋体" w:hAnsi="宋体" w:eastAsia="宋体" w:cs="宋体"/>
          <w:b w:val="0"/>
          <w:bCs w:val="0"/>
          <w:color w:val="auto"/>
          <w:sz w:val="24"/>
          <w:szCs w:val="24"/>
          <w:highlight w:val="none"/>
          <w:lang w:eastAsia="zh-Hans"/>
        </w:rPr>
        <w:t>威标准；原有规范若已被废弃，则以相应的新规范为准。</w:t>
      </w:r>
    </w:p>
    <w:p w14:paraId="259FEDF1">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供应商提供的产品必须满足采购文件中提出的相关技术要求。</w:t>
      </w:r>
    </w:p>
    <w:p w14:paraId="1B650EE6">
      <w:pPr>
        <w:spacing w:before="312"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三、合同订立安排</w:t>
      </w:r>
    </w:p>
    <w:p w14:paraId="0DC0FC7E">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（一）采购项目预（概）算（元）：</w:t>
      </w:r>
      <w:r>
        <w:rPr>
          <w:rFonts w:hint="eastAsia" w:ascii="宋体" w:hAnsi="宋体" w:cs="仿宋_GB2312"/>
          <w:color w:val="auto"/>
          <w:sz w:val="24"/>
          <w:highlight w:val="none"/>
          <w:u w:val="single"/>
          <w:lang w:val="en-US" w:eastAsia="zh-CN"/>
        </w:rPr>
        <w:t>900000</w:t>
      </w:r>
      <w:r>
        <w:rPr>
          <w:rFonts w:hint="eastAsia" w:ascii="宋体" w:hAnsi="宋体" w:cs="仿宋_GB2312"/>
          <w:color w:val="auto"/>
          <w:sz w:val="24"/>
          <w:highlight w:val="none"/>
        </w:rPr>
        <w:t>，最高限价（元）：</w:t>
      </w:r>
      <w:r>
        <w:rPr>
          <w:rFonts w:hint="eastAsia" w:ascii="宋体" w:hAnsi="宋体" w:cs="仿宋_GB2312"/>
          <w:color w:val="auto"/>
          <w:sz w:val="24"/>
          <w:highlight w:val="none"/>
          <w:u w:val="single"/>
          <w:lang w:val="en-US" w:eastAsia="zh-CN"/>
        </w:rPr>
        <w:t>900000</w:t>
      </w:r>
    </w:p>
    <w:p w14:paraId="48E5499E">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（二）开展采购活动的时间安排：</w:t>
      </w:r>
      <w:r>
        <w:rPr>
          <w:rFonts w:hint="eastAsia" w:ascii="宋体" w:hAnsi="宋体" w:cs="仿宋_GB2312"/>
          <w:color w:val="auto"/>
          <w:sz w:val="24"/>
          <w:highlight w:val="none"/>
          <w:u w:val="single"/>
          <w:lang w:val="en-US" w:eastAsia="zh-CN"/>
        </w:rPr>
        <w:t>2024年12月</w:t>
      </w:r>
      <w:r>
        <w:rPr>
          <w:rFonts w:hint="eastAsia" w:ascii="宋体" w:hAnsi="宋体" w:cs="仿宋_GB2312"/>
          <w:color w:val="auto"/>
          <w:sz w:val="24"/>
          <w:highlight w:val="none"/>
          <w:u w:val="single"/>
        </w:rPr>
        <w:t xml:space="preserve"> </w:t>
      </w:r>
    </w:p>
    <w:p w14:paraId="0500A03D">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（三）采购组织形式：</w:t>
      </w:r>
      <w:r>
        <w:rPr>
          <w:rFonts w:ascii="宋体" w:hAnsi="宋体" w:eastAsia="宋体" w:cs="仿宋_GB2312"/>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s="仿宋_GB2312"/>
          <w:color w:val="auto"/>
          <w:sz w:val="24"/>
          <w:highlight w:val="none"/>
        </w:rPr>
        <w:t>集中采购</w:t>
      </w:r>
      <w:r>
        <w:rPr>
          <w:rFonts w:ascii="宋体" w:hAnsi="宋体" w:eastAsia="宋体" w:cs="仿宋_GB2312"/>
          <w:color w:val="auto"/>
          <w:sz w:val="24"/>
          <w:highlight w:val="none"/>
        </w:rPr>
        <w:tab/>
      </w:r>
      <w:r>
        <w:rPr>
          <w:rFonts w:ascii="宋体" w:hAnsi="宋体" w:eastAsia="宋体" w:cs="仿宋_GB2312"/>
          <w:color w:val="auto"/>
          <w:sz w:val="24"/>
          <w:highlight w:val="none"/>
        </w:rPr>
        <w:tab/>
      </w:r>
      <w:r>
        <w:rPr>
          <w:rFonts w:ascii="宋体" w:hAnsi="宋体" w:eastAsia="宋体" w:cs="仿宋_GB2312"/>
          <w:color w:val="auto"/>
          <w:sz w:val="24"/>
          <w:highlight w:val="none"/>
        </w:rPr>
        <w:sym w:font="Wingdings 2" w:char="F052"/>
      </w:r>
      <w:r>
        <w:rPr>
          <w:rFonts w:hint="eastAsia" w:ascii="宋体" w:hAnsi="宋体" w:eastAsia="宋体" w:cs="仿宋_GB2312"/>
          <w:color w:val="auto"/>
          <w:sz w:val="24"/>
          <w:highlight w:val="none"/>
        </w:rPr>
        <w:t>分散采购</w:t>
      </w:r>
      <w:r>
        <w:rPr>
          <w:rFonts w:ascii="宋体" w:hAnsi="宋体" w:eastAsia="宋体" w:cs="仿宋_GB2312"/>
          <w:color w:val="auto"/>
          <w:sz w:val="24"/>
          <w:highlight w:val="none"/>
        </w:rPr>
        <w:t xml:space="preserve"> </w:t>
      </w:r>
    </w:p>
    <w:p w14:paraId="0E794FD2">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（四）委托代理安排</w:t>
      </w:r>
    </w:p>
    <w:p w14:paraId="447E2FA3">
      <w:pPr>
        <w:spacing w:line="360" w:lineRule="auto"/>
        <w:ind w:firstLine="420"/>
        <w:jc w:val="left"/>
        <w:rPr>
          <w:rFonts w:ascii="宋体" w:hAnsi="宋体" w:eastAsia="宋体" w:cs="仿宋_GB2312"/>
          <w:color w:val="auto"/>
          <w:sz w:val="24"/>
          <w:highlight w:val="none"/>
        </w:rPr>
      </w:pPr>
      <w:r>
        <w:rPr>
          <w:rFonts w:ascii="宋体" w:hAnsi="宋体" w:eastAsia="宋体" w:cs="仿宋_GB2312"/>
          <w:color w:val="auto"/>
          <w:sz w:val="24"/>
          <w:highlight w:val="none"/>
        </w:rPr>
        <w:sym w:font="Wingdings 2" w:char="00A3"/>
      </w:r>
      <w:r>
        <w:rPr>
          <w:rFonts w:hint="eastAsia" w:ascii="宋体" w:hAnsi="宋体" w:eastAsia="宋体" w:cs="仿宋_GB2312"/>
          <w:color w:val="auto"/>
          <w:sz w:val="24"/>
          <w:highlight w:val="none"/>
        </w:rPr>
        <w:t>集中采购机构</w:t>
      </w:r>
      <w:r>
        <w:rPr>
          <w:rFonts w:ascii="宋体" w:hAnsi="宋体" w:eastAsia="宋体" w:cs="仿宋_GB2312"/>
          <w:color w:val="auto"/>
          <w:sz w:val="24"/>
          <w:highlight w:val="none"/>
        </w:rPr>
        <w:tab/>
      </w:r>
      <w:r>
        <w:rPr>
          <w:rFonts w:ascii="宋体" w:hAnsi="宋体" w:eastAsia="宋体" w:cs="仿宋_GB2312"/>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s="仿宋_GB2312"/>
          <w:color w:val="auto"/>
          <w:sz w:val="24"/>
          <w:highlight w:val="none"/>
        </w:rPr>
        <w:t>部门集中采购机构</w:t>
      </w:r>
    </w:p>
    <w:p w14:paraId="7E3993FE">
      <w:pPr>
        <w:spacing w:line="360" w:lineRule="auto"/>
        <w:ind w:firstLine="420"/>
        <w:jc w:val="left"/>
        <w:rPr>
          <w:rFonts w:ascii="宋体" w:hAnsi="宋体" w:eastAsia="宋体" w:cs="仿宋_GB2312"/>
          <w:color w:val="auto"/>
          <w:sz w:val="24"/>
          <w:highlight w:val="none"/>
        </w:rPr>
      </w:pPr>
      <w:r>
        <w:rPr>
          <w:rFonts w:ascii="宋体" w:hAnsi="宋体" w:eastAsia="宋体" w:cs="仿宋_GB2312"/>
          <w:color w:val="auto"/>
          <w:sz w:val="24"/>
          <w:highlight w:val="none"/>
        </w:rPr>
        <w:sym w:font="Wingdings 2" w:char="F052"/>
      </w:r>
      <w:r>
        <w:rPr>
          <w:rFonts w:hint="eastAsia" w:ascii="宋体" w:hAnsi="宋体" w:eastAsia="宋体" w:cs="仿宋_GB2312"/>
          <w:color w:val="auto"/>
          <w:sz w:val="24"/>
          <w:highlight w:val="none"/>
        </w:rPr>
        <w:t>采购代理机构</w:t>
      </w:r>
      <w:r>
        <w:rPr>
          <w:rFonts w:ascii="宋体" w:hAnsi="宋体" w:eastAsia="宋体" w:cs="仿宋_GB2312"/>
          <w:color w:val="auto"/>
          <w:sz w:val="24"/>
          <w:highlight w:val="none"/>
        </w:rPr>
        <w:tab/>
      </w:r>
      <w:r>
        <w:rPr>
          <w:rFonts w:ascii="宋体" w:hAnsi="宋体" w:eastAsia="宋体" w:cs="仿宋_GB2312"/>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s="仿宋_GB2312"/>
          <w:color w:val="auto"/>
          <w:sz w:val="24"/>
          <w:highlight w:val="none"/>
        </w:rPr>
        <w:t>自行采购（含电子卖场）</w:t>
      </w:r>
    </w:p>
    <w:p w14:paraId="481D896A">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（五）采购包划分：</w:t>
      </w:r>
      <w:r>
        <w:rPr>
          <w:rFonts w:ascii="宋体" w:hAnsi="宋体" w:eastAsia="宋体" w:cs="仿宋_GB2312"/>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s="仿宋_GB2312"/>
          <w:color w:val="auto"/>
          <w:sz w:val="24"/>
          <w:highlight w:val="none"/>
        </w:rPr>
        <w:t>分标项</w:t>
      </w:r>
      <w:r>
        <w:rPr>
          <w:rFonts w:ascii="宋体" w:hAnsi="宋体" w:eastAsia="宋体" w:cs="仿宋_GB2312"/>
          <w:color w:val="auto"/>
          <w:sz w:val="24"/>
          <w:highlight w:val="none"/>
        </w:rPr>
        <w:tab/>
      </w:r>
      <w:r>
        <w:rPr>
          <w:rFonts w:ascii="宋体" w:hAnsi="宋体" w:eastAsia="宋体" w:cs="仿宋_GB2312"/>
          <w:color w:val="auto"/>
          <w:sz w:val="24"/>
          <w:highlight w:val="none"/>
        </w:rPr>
        <w:tab/>
      </w:r>
      <w:r>
        <w:rPr>
          <w:rFonts w:ascii="宋体" w:hAnsi="宋体" w:eastAsia="宋体" w:cs="仿宋_GB2312"/>
          <w:color w:val="auto"/>
          <w:sz w:val="24"/>
          <w:highlight w:val="none"/>
        </w:rPr>
        <w:sym w:font="Wingdings 2" w:char="F052"/>
      </w:r>
      <w:r>
        <w:rPr>
          <w:rFonts w:hint="eastAsia" w:ascii="宋体" w:hAnsi="宋体" w:eastAsia="宋体" w:cs="仿宋_GB2312"/>
          <w:color w:val="auto"/>
          <w:sz w:val="24"/>
          <w:highlight w:val="none"/>
        </w:rPr>
        <w:t>不分标项</w:t>
      </w:r>
      <w:r>
        <w:rPr>
          <w:rFonts w:ascii="宋体" w:hAnsi="宋体" w:eastAsia="宋体" w:cs="仿宋_GB2312"/>
          <w:color w:val="auto"/>
          <w:sz w:val="24"/>
          <w:highlight w:val="none"/>
        </w:rPr>
        <w:t xml:space="preserve"> </w:t>
      </w:r>
    </w:p>
    <w:p w14:paraId="229A0376">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（六）合同分包：</w:t>
      </w:r>
      <w:r>
        <w:rPr>
          <w:rFonts w:ascii="宋体" w:hAnsi="宋体" w:eastAsia="宋体" w:cs="仿宋_GB2312"/>
          <w:color w:val="auto"/>
          <w:sz w:val="24"/>
          <w:highlight w:val="none"/>
        </w:rPr>
        <w:tab/>
      </w:r>
      <w:r>
        <w:rPr>
          <w:rFonts w:ascii="宋体" w:hAnsi="宋体" w:eastAsia="宋体" w:cs="仿宋_GB2312"/>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s="仿宋_GB2312"/>
          <w:color w:val="auto"/>
          <w:sz w:val="24"/>
          <w:highlight w:val="none"/>
        </w:rPr>
        <w:t>允许分包</w:t>
      </w:r>
      <w:r>
        <w:rPr>
          <w:rFonts w:ascii="宋体" w:hAnsi="宋体" w:eastAsia="宋体" w:cs="仿宋_GB2312"/>
          <w:color w:val="auto"/>
          <w:sz w:val="24"/>
          <w:highlight w:val="none"/>
        </w:rPr>
        <w:t xml:space="preserve">    </w:t>
      </w:r>
      <w:r>
        <w:rPr>
          <w:rFonts w:ascii="宋体" w:hAnsi="宋体" w:eastAsia="宋体" w:cs="仿宋_GB2312"/>
          <w:color w:val="auto"/>
          <w:sz w:val="24"/>
          <w:highlight w:val="none"/>
        </w:rPr>
        <w:sym w:font="Wingdings 2" w:char="0052"/>
      </w:r>
      <w:r>
        <w:rPr>
          <w:rFonts w:hint="eastAsia" w:ascii="宋体" w:hAnsi="宋体" w:eastAsia="宋体" w:cs="仿宋_GB2312"/>
          <w:color w:val="auto"/>
          <w:sz w:val="24"/>
          <w:highlight w:val="none"/>
        </w:rPr>
        <w:t>不允许分包</w:t>
      </w:r>
    </w:p>
    <w:p w14:paraId="3263BC40">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（七）供应商资格条件</w:t>
      </w:r>
    </w:p>
    <w:p w14:paraId="015AB16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263FC3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3E01302">
      <w:pPr>
        <w:spacing w:line="360" w:lineRule="auto"/>
        <w:ind w:firstLine="480" w:firstLineChars="200"/>
        <w:rPr>
          <w:rFonts w:ascii="宋体" w:hAnsi="宋体" w:cs="宋体"/>
          <w:color w:val="auto"/>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r>
        <w:rPr>
          <w:rFonts w:hint="eastAsia" w:ascii="宋体" w:hAnsi="宋体" w:cs="宋体"/>
          <w:snapToGrid w:val="0"/>
          <w:color w:val="auto"/>
          <w:kern w:val="28"/>
          <w:sz w:val="24"/>
          <w:szCs w:val="20"/>
          <w:highlight w:val="none"/>
        </w:rPr>
        <w:t>；</w:t>
      </w:r>
    </w:p>
    <w:p w14:paraId="50B2B45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001963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029085">
      <w:pPr>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（八）采购方式</w:t>
      </w:r>
    </w:p>
    <w:p w14:paraId="45C5E00E">
      <w:pPr>
        <w:spacing w:line="360" w:lineRule="auto"/>
        <w:ind w:firstLine="480"/>
        <w:jc w:val="left"/>
        <w:rPr>
          <w:rFonts w:ascii="宋体" w:hAnsi="宋体" w:eastAsia="宋体"/>
          <w:color w:val="auto"/>
          <w:sz w:val="24"/>
          <w:highlight w:val="none"/>
        </w:rPr>
      </w:pPr>
      <w:r>
        <w:rPr>
          <w:rFonts w:ascii="宋体" w:hAnsi="宋体" w:eastAsia="宋体"/>
          <w:color w:val="auto"/>
          <w:sz w:val="24"/>
          <w:highlight w:val="none"/>
        </w:rPr>
        <w:sym w:font="Wingdings 2" w:char="0052"/>
      </w:r>
      <w:r>
        <w:rPr>
          <w:rFonts w:hint="eastAsia" w:ascii="宋体" w:hAnsi="宋体" w:eastAsia="宋体"/>
          <w:color w:val="auto"/>
          <w:sz w:val="24"/>
          <w:highlight w:val="none"/>
        </w:rPr>
        <w:t>公开招标</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t>□邀请招标</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t>□竞争性谈判</w:t>
      </w:r>
    </w:p>
    <w:p w14:paraId="30688588">
      <w:pPr>
        <w:spacing w:line="360" w:lineRule="auto"/>
        <w:ind w:firstLine="480"/>
        <w:jc w:val="left"/>
        <w:rPr>
          <w:rFonts w:ascii="宋体" w:hAnsi="宋体" w:eastAsia="宋体"/>
          <w:color w:val="auto"/>
          <w:sz w:val="24"/>
          <w:highlight w:val="none"/>
        </w:rPr>
      </w:pPr>
      <w:r>
        <w:rPr>
          <w:rFonts w:ascii="宋体" w:hAnsi="宋体" w:eastAsia="宋体"/>
          <w:color w:val="auto"/>
          <w:sz w:val="24"/>
          <w:highlight w:val="none"/>
        </w:rPr>
        <w:sym w:font="Wingdings 2" w:char="00A3"/>
      </w:r>
      <w:r>
        <w:rPr>
          <w:rFonts w:hint="eastAsia" w:ascii="宋体" w:hAnsi="宋体" w:eastAsia="宋体"/>
          <w:color w:val="auto"/>
          <w:sz w:val="24"/>
          <w:highlight w:val="none"/>
        </w:rPr>
        <w:t>竞争性磋商</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sym w:font="Wingdings 2" w:char="00A3"/>
      </w:r>
      <w:r>
        <w:rPr>
          <w:rFonts w:hint="eastAsia" w:ascii="宋体" w:hAnsi="宋体" w:eastAsia="宋体"/>
          <w:color w:val="auto"/>
          <w:sz w:val="24"/>
          <w:highlight w:val="none"/>
        </w:rPr>
        <w:t>询价</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sym w:font="Wingdings 2" w:char="00A3"/>
      </w:r>
      <w:r>
        <w:rPr>
          <w:rFonts w:hint="eastAsia" w:ascii="宋体" w:hAnsi="宋体" w:eastAsia="宋体"/>
          <w:color w:val="auto"/>
          <w:sz w:val="24"/>
          <w:highlight w:val="none"/>
        </w:rPr>
        <w:t>单一来源采购</w:t>
      </w:r>
    </w:p>
    <w:p w14:paraId="61E41FD7">
      <w:pPr>
        <w:spacing w:line="360" w:lineRule="auto"/>
        <w:ind w:firstLine="480"/>
        <w:jc w:val="left"/>
        <w:rPr>
          <w:rFonts w:ascii="宋体" w:hAnsi="宋体" w:eastAsia="宋体"/>
          <w:color w:val="auto"/>
          <w:sz w:val="24"/>
          <w:highlight w:val="none"/>
        </w:rPr>
      </w:pPr>
      <w:r>
        <w:rPr>
          <w:rFonts w:hint="eastAsia" w:ascii="宋体" w:hAnsi="宋体" w:eastAsia="宋体"/>
          <w:color w:val="auto"/>
          <w:sz w:val="24"/>
          <w:highlight w:val="none"/>
        </w:rPr>
        <w:t>□电子卖场</w:t>
      </w:r>
      <w:r>
        <w:rPr>
          <w:rFonts w:ascii="宋体" w:hAnsi="宋体" w:eastAsia="宋体"/>
          <w:color w:val="auto"/>
          <w:sz w:val="24"/>
          <w:highlight w:val="none"/>
        </w:rPr>
        <w:tab/>
      </w:r>
      <w:r>
        <w:rPr>
          <w:rFonts w:ascii="宋体" w:hAnsi="宋体" w:eastAsia="宋体"/>
          <w:color w:val="auto"/>
          <w:sz w:val="24"/>
          <w:highlight w:val="none"/>
        </w:rPr>
        <w:tab/>
      </w:r>
      <w:r>
        <w:rPr>
          <w:rFonts w:hint="eastAsia" w:ascii="宋体" w:hAnsi="宋体" w:eastAsia="宋体"/>
          <w:color w:val="auto"/>
          <w:sz w:val="24"/>
          <w:highlight w:val="none"/>
        </w:rPr>
        <w:t>□其他采购方式</w:t>
      </w:r>
      <w:r>
        <w:rPr>
          <w:rFonts w:ascii="宋体" w:hAnsi="宋体" w:eastAsia="宋体"/>
          <w:color w:val="auto"/>
          <w:sz w:val="24"/>
          <w:highlight w:val="none"/>
        </w:rPr>
        <w:t xml:space="preserve"> </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6170A5B9">
      <w:pPr>
        <w:spacing w:line="360" w:lineRule="auto"/>
        <w:jc w:val="left"/>
        <w:rPr>
          <w:rFonts w:ascii="宋体" w:hAnsi="宋体"/>
          <w:color w:val="auto"/>
          <w:sz w:val="24"/>
          <w:highlight w:val="none"/>
        </w:rPr>
      </w:pPr>
      <w:r>
        <w:rPr>
          <w:rFonts w:hint="eastAsia" w:ascii="宋体" w:hAnsi="宋体" w:cs="仿宋_GB2312"/>
          <w:color w:val="auto"/>
          <w:sz w:val="24"/>
          <w:highlight w:val="none"/>
        </w:rPr>
        <w:t>（九）</w:t>
      </w:r>
      <w:r>
        <w:rPr>
          <w:rFonts w:hint="eastAsia" w:ascii="宋体" w:hAnsi="宋体"/>
          <w:color w:val="auto"/>
          <w:sz w:val="24"/>
          <w:highlight w:val="none"/>
        </w:rPr>
        <w:t>选择采购方式的理由</w:t>
      </w:r>
    </w:p>
    <w:p w14:paraId="3074A5FC">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lang w:val="en-US" w:eastAsia="zh-CN"/>
        </w:rPr>
        <w:t>按照政府采购规定 。</w:t>
      </w:r>
      <w:r>
        <w:rPr>
          <w:rFonts w:hint="eastAsia" w:ascii="宋体" w:hAnsi="宋体"/>
          <w:color w:val="auto"/>
          <w:sz w:val="24"/>
          <w:highlight w:val="none"/>
          <w:u w:val="single"/>
        </w:rPr>
        <w:t xml:space="preserve"> </w:t>
      </w:r>
    </w:p>
    <w:p w14:paraId="4EBD2BB7">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（十）竞争范围：</w:t>
      </w:r>
      <w:r>
        <w:rPr>
          <w:rFonts w:ascii="宋体" w:hAnsi="宋体" w:eastAsia="宋体"/>
          <w:color w:val="auto"/>
          <w:sz w:val="24"/>
          <w:highlight w:val="none"/>
        </w:rPr>
        <w:tab/>
      </w:r>
      <w:r>
        <w:rPr>
          <w:rFonts w:ascii="宋体" w:hAnsi="宋体" w:eastAsia="宋体"/>
          <w:color w:val="auto"/>
          <w:sz w:val="24"/>
          <w:highlight w:val="none"/>
        </w:rPr>
        <w:sym w:font="Wingdings 2" w:char="F052"/>
      </w:r>
      <w:r>
        <w:rPr>
          <w:rFonts w:hint="eastAsia" w:ascii="宋体" w:hAnsi="宋体" w:eastAsia="宋体"/>
          <w:color w:val="auto"/>
          <w:sz w:val="24"/>
          <w:highlight w:val="none"/>
        </w:rPr>
        <w:t>公开发布</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olor w:val="auto"/>
          <w:sz w:val="24"/>
          <w:highlight w:val="none"/>
        </w:rPr>
        <w:t>电子卖场</w:t>
      </w:r>
    </w:p>
    <w:p w14:paraId="1D172179">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（十一）评审规则：</w:t>
      </w:r>
      <w:r>
        <w:rPr>
          <w:rFonts w:ascii="宋体" w:hAnsi="宋体" w:eastAsia="宋体"/>
          <w:color w:val="auto"/>
          <w:sz w:val="24"/>
          <w:highlight w:val="none"/>
        </w:rPr>
        <w:t xml:space="preserve"> </w:t>
      </w:r>
      <w:r>
        <w:rPr>
          <w:rFonts w:ascii="宋体" w:hAnsi="宋体" w:eastAsia="宋体"/>
          <w:color w:val="auto"/>
          <w:sz w:val="24"/>
          <w:highlight w:val="none"/>
        </w:rPr>
        <w:tab/>
      </w:r>
      <w:r>
        <w:rPr>
          <w:rFonts w:ascii="宋体" w:hAnsi="宋体" w:eastAsia="宋体"/>
          <w:color w:val="auto"/>
          <w:sz w:val="24"/>
          <w:highlight w:val="none"/>
        </w:rPr>
        <w:sym w:font="Wingdings 2" w:char="0052"/>
      </w:r>
      <w:r>
        <w:rPr>
          <w:rFonts w:hint="eastAsia" w:ascii="宋体" w:hAnsi="宋体" w:eastAsia="宋体"/>
          <w:color w:val="auto"/>
          <w:sz w:val="24"/>
          <w:highlight w:val="none"/>
        </w:rPr>
        <w:t>综合评分</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olor w:val="auto"/>
          <w:sz w:val="24"/>
          <w:highlight w:val="none"/>
        </w:rPr>
        <w:t>最低价中标</w:t>
      </w:r>
      <w:r>
        <w:rPr>
          <w:rFonts w:ascii="宋体" w:hAnsi="宋体" w:eastAsia="宋体"/>
          <w:color w:val="auto"/>
          <w:sz w:val="24"/>
          <w:highlight w:val="none"/>
        </w:rPr>
        <w:tab/>
      </w:r>
      <w:r>
        <w:rPr>
          <w:rFonts w:ascii="宋体" w:hAnsi="宋体" w:eastAsia="宋体"/>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olor w:val="auto"/>
          <w:sz w:val="24"/>
          <w:highlight w:val="none"/>
        </w:rPr>
        <w:t>其他（</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r>
        <w:rPr>
          <w:rFonts w:ascii="宋体" w:hAnsi="宋体" w:eastAsia="宋体"/>
          <w:color w:val="auto"/>
          <w:sz w:val="24"/>
          <w:highlight w:val="none"/>
        </w:rPr>
        <w:t xml:space="preserve"> </w:t>
      </w:r>
    </w:p>
    <w:p w14:paraId="1E49BDD9">
      <w:pPr>
        <w:spacing w:before="312"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二、合同管理安排</w:t>
      </w:r>
    </w:p>
    <w:p w14:paraId="6ADE3F9C">
      <w:pPr>
        <w:spacing w:line="360" w:lineRule="auto"/>
        <w:jc w:val="left"/>
        <w:rPr>
          <w:rFonts w:ascii="宋体" w:hAnsi="宋体"/>
          <w:color w:val="auto"/>
          <w:sz w:val="24"/>
          <w:highlight w:val="none"/>
        </w:rPr>
      </w:pPr>
      <w:r>
        <w:rPr>
          <w:rFonts w:hint="eastAsia" w:ascii="宋体" w:hAnsi="宋体"/>
          <w:color w:val="auto"/>
          <w:sz w:val="24"/>
          <w:highlight w:val="none"/>
        </w:rPr>
        <w:t>（一）合同类型</w:t>
      </w:r>
    </w:p>
    <w:p w14:paraId="30FD9F08">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 xml:space="preserve">货物合同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sym w:font="Wingdings 2" w:char="0052"/>
      </w:r>
      <w:r>
        <w:rPr>
          <w:rFonts w:hint="eastAsia" w:ascii="宋体" w:hAnsi="宋体"/>
          <w:color w:val="auto"/>
          <w:sz w:val="24"/>
          <w:highlight w:val="none"/>
        </w:rPr>
        <w:t>服务合同</w:t>
      </w:r>
    </w:p>
    <w:p w14:paraId="73CD096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建设工程合同</w:t>
      </w:r>
      <w:r>
        <w:rPr>
          <w:rFonts w:hint="eastAsia" w:ascii="宋体" w:hAnsi="宋体"/>
          <w:color w:val="auto"/>
          <w:sz w:val="24"/>
          <w:highlight w:val="none"/>
        </w:rPr>
        <w:tab/>
      </w:r>
      <w:r>
        <w:rPr>
          <w:rFonts w:hint="eastAsia" w:ascii="宋体" w:hAnsi="宋体"/>
          <w:color w:val="auto"/>
          <w:sz w:val="24"/>
          <w:highlight w:val="none"/>
        </w:rPr>
        <w:t>□其他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7BDA72B">
      <w:pPr>
        <w:spacing w:line="360" w:lineRule="auto"/>
        <w:jc w:val="left"/>
        <w:rPr>
          <w:rFonts w:ascii="宋体" w:hAnsi="宋体"/>
          <w:color w:val="auto"/>
          <w:sz w:val="24"/>
          <w:highlight w:val="none"/>
        </w:rPr>
      </w:pPr>
      <w:r>
        <w:rPr>
          <w:rFonts w:hint="eastAsia" w:ascii="宋体" w:hAnsi="宋体"/>
          <w:color w:val="auto"/>
          <w:sz w:val="24"/>
          <w:highlight w:val="none"/>
        </w:rPr>
        <w:t>（二）定价方式</w:t>
      </w:r>
    </w:p>
    <w:p w14:paraId="72D7F968">
      <w:pPr>
        <w:spacing w:line="360" w:lineRule="auto"/>
        <w:ind w:firstLine="42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固定总价</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sym w:font="Wingdings 2" w:char="0052"/>
      </w:r>
      <w:r>
        <w:rPr>
          <w:rFonts w:hint="eastAsia" w:ascii="宋体" w:hAnsi="宋体"/>
          <w:color w:val="auto"/>
          <w:sz w:val="24"/>
          <w:highlight w:val="none"/>
        </w:rPr>
        <w:t>固定单价</w:t>
      </w:r>
    </w:p>
    <w:p w14:paraId="3C0B807F">
      <w:pPr>
        <w:spacing w:line="360" w:lineRule="auto"/>
        <w:ind w:firstLine="42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成本补偿</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sym w:font="Wingdings 2" w:char="00A3"/>
      </w:r>
      <w:r>
        <w:rPr>
          <w:rFonts w:hint="eastAsia" w:ascii="宋体" w:hAnsi="宋体"/>
          <w:color w:val="auto"/>
          <w:sz w:val="24"/>
          <w:highlight w:val="none"/>
        </w:rPr>
        <w:t>绩效激励</w:t>
      </w:r>
    </w:p>
    <w:p w14:paraId="56D564FF">
      <w:pPr>
        <w:spacing w:line="360" w:lineRule="auto"/>
        <w:jc w:val="left"/>
        <w:rPr>
          <w:rFonts w:ascii="宋体" w:hAnsi="宋体"/>
          <w:color w:val="auto"/>
          <w:sz w:val="24"/>
          <w:highlight w:val="none"/>
        </w:rPr>
      </w:pPr>
      <w:r>
        <w:rPr>
          <w:rFonts w:hint="eastAsia" w:ascii="宋体" w:hAnsi="宋体"/>
          <w:color w:val="auto"/>
          <w:sz w:val="24"/>
          <w:highlight w:val="none"/>
        </w:rPr>
        <w:t>（三）合同文本的主要条款</w:t>
      </w:r>
    </w:p>
    <w:p w14:paraId="08C6E7C8">
      <w:pPr>
        <w:spacing w:line="360" w:lineRule="auto"/>
        <w:ind w:firstLine="420"/>
        <w:jc w:val="left"/>
        <w:rPr>
          <w:rFonts w:ascii="宋体" w:hAnsi="宋体"/>
          <w:color w:val="auto"/>
          <w:sz w:val="24"/>
          <w:highlight w:val="none"/>
        </w:rPr>
      </w:pPr>
      <w:r>
        <w:rPr>
          <w:rFonts w:hint="eastAsia" w:ascii="宋体" w:hAnsi="宋体"/>
          <w:color w:val="auto"/>
          <w:sz w:val="24"/>
          <w:highlight w:val="none"/>
        </w:rPr>
        <w:t>1.合同主要标的</w:t>
      </w:r>
    </w:p>
    <w:tbl>
      <w:tblPr>
        <w:tblStyle w:val="13"/>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118C16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68348689">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6804" w:type="dxa"/>
            <w:gridSpan w:val="3"/>
            <w:vAlign w:val="center"/>
          </w:tcPr>
          <w:p w14:paraId="2FF34F9E">
            <w:pPr>
              <w:spacing w:line="360" w:lineRule="auto"/>
              <w:jc w:val="center"/>
              <w:rPr>
                <w:rFonts w:ascii="宋体" w:hAnsi="宋体" w:cs="仿宋_GB2312"/>
                <w:color w:val="auto"/>
                <w:sz w:val="24"/>
                <w:highlight w:val="none"/>
              </w:rPr>
            </w:pPr>
            <w:r>
              <w:rPr>
                <w:rFonts w:hint="eastAsia" w:ascii="宋体" w:hAnsi="宋体"/>
                <w:color w:val="auto"/>
                <w:sz w:val="24"/>
                <w:highlight w:val="none"/>
                <w:lang w:eastAsia="zh-CN"/>
              </w:rPr>
              <w:t>余杭区政策性农房保险及室内财产扩展保险项目</w:t>
            </w:r>
          </w:p>
        </w:tc>
      </w:tr>
      <w:tr w14:paraId="3611B94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23F43B7D">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2409" w:type="dxa"/>
            <w:vAlign w:val="center"/>
          </w:tcPr>
          <w:p w14:paraId="317290D4">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1360" w:type="dxa"/>
            <w:vAlign w:val="center"/>
          </w:tcPr>
          <w:p w14:paraId="7606D44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3035" w:type="dxa"/>
            <w:vAlign w:val="center"/>
          </w:tcPr>
          <w:p w14:paraId="544FE382">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w:t>
            </w:r>
          </w:p>
        </w:tc>
      </w:tr>
      <w:tr w14:paraId="4AE4A5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178C76DD">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功能和质量</w:t>
            </w:r>
          </w:p>
          <w:p w14:paraId="708ED53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vAlign w:val="top"/>
          </w:tcPr>
          <w:p w14:paraId="502693E0">
            <w:pPr>
              <w:spacing w:line="360" w:lineRule="auto"/>
              <w:jc w:val="left"/>
              <w:rPr>
                <w:rFonts w:ascii="宋体" w:hAnsi="宋体" w:cs="仿宋_GB2312"/>
                <w:color w:val="auto"/>
                <w:sz w:val="24"/>
                <w:highlight w:val="none"/>
              </w:rPr>
            </w:pPr>
            <w:r>
              <w:rPr>
                <w:rFonts w:hint="default" w:ascii="宋体" w:hAnsi="宋体"/>
                <w:color w:val="auto"/>
                <w:sz w:val="24"/>
                <w:highlight w:val="none"/>
                <w:lang w:eastAsia="zh-CN"/>
              </w:rPr>
              <w:t>为在</w:t>
            </w:r>
            <w:r>
              <w:rPr>
                <w:rFonts w:hint="eastAsia" w:hAnsi="宋体"/>
                <w:color w:val="auto"/>
                <w:sz w:val="24"/>
                <w:highlight w:val="none"/>
                <w:lang w:eastAsia="zh-CN"/>
              </w:rPr>
              <w:t>余杭区</w:t>
            </w:r>
            <w:r>
              <w:rPr>
                <w:rFonts w:hint="default" w:ascii="宋体" w:hAnsi="宋体"/>
                <w:color w:val="auto"/>
                <w:sz w:val="24"/>
                <w:highlight w:val="none"/>
                <w:lang w:eastAsia="zh-CN"/>
              </w:rPr>
              <w:t>范围内拥有农村土地承包经营权或宅基地使用权且拥有自建合法住房的余杭户籍居民提供政策性农村住房保险和室内财产保险服务</w:t>
            </w:r>
            <w:r>
              <w:rPr>
                <w:rFonts w:hint="eastAsia" w:hAnsi="宋体"/>
                <w:color w:val="auto"/>
                <w:sz w:val="24"/>
                <w:highlight w:val="none"/>
                <w:lang w:eastAsia="zh-CN"/>
              </w:rPr>
              <w:t>。</w:t>
            </w:r>
          </w:p>
        </w:tc>
      </w:tr>
    </w:tbl>
    <w:p w14:paraId="72ADF2BD">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2.履行时间（期限）：</w:t>
      </w:r>
      <w:r>
        <w:rPr>
          <w:rFonts w:hint="eastAsia" w:ascii="宋体" w:hAnsi="宋体"/>
          <w:iCs/>
          <w:color w:val="auto"/>
          <w:sz w:val="24"/>
          <w:highlight w:val="none"/>
          <w:u w:val="single"/>
        </w:rPr>
        <w:t xml:space="preserve"> </w:t>
      </w:r>
      <w:r>
        <w:rPr>
          <w:rFonts w:hint="eastAsia" w:ascii="宋体" w:hAnsi="宋体"/>
          <w:iCs/>
          <w:color w:val="auto"/>
          <w:sz w:val="24"/>
          <w:highlight w:val="none"/>
          <w:u w:val="single"/>
          <w:lang w:val="en-US" w:eastAsia="zh-CN"/>
        </w:rPr>
        <w:t>一年</w:t>
      </w:r>
      <w:r>
        <w:rPr>
          <w:rFonts w:hint="eastAsia" w:ascii="宋体" w:hAnsi="宋体"/>
          <w:iCs/>
          <w:color w:val="auto"/>
          <w:sz w:val="24"/>
          <w:highlight w:val="none"/>
          <w:u w:val="single"/>
        </w:rPr>
        <w:t xml:space="preserve">                   </w:t>
      </w:r>
    </w:p>
    <w:p w14:paraId="4D88F22D">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3.履约地点和方式：</w:t>
      </w:r>
      <w:r>
        <w:rPr>
          <w:rFonts w:hint="eastAsia" w:ascii="宋体" w:hAnsi="宋体"/>
          <w:iCs/>
          <w:color w:val="auto"/>
          <w:sz w:val="24"/>
          <w:highlight w:val="none"/>
          <w:u w:val="single"/>
          <w:lang w:val="en-US" w:eastAsia="zh-CN"/>
        </w:rPr>
        <w:t>杭州市余杭区</w:t>
      </w:r>
      <w:r>
        <w:rPr>
          <w:rFonts w:hint="eastAsia" w:ascii="宋体" w:hAnsi="宋体"/>
          <w:iCs/>
          <w:color w:val="auto"/>
          <w:sz w:val="24"/>
          <w:highlight w:val="none"/>
          <w:u w:val="single"/>
        </w:rPr>
        <w:t xml:space="preserve">             </w:t>
      </w:r>
    </w:p>
    <w:p w14:paraId="70748527">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4.价款或者报酬：</w:t>
      </w:r>
      <w:r>
        <w:rPr>
          <w:rFonts w:hint="eastAsia" w:ascii="宋体" w:hAnsi="宋体"/>
          <w:iCs/>
          <w:color w:val="auto"/>
          <w:sz w:val="24"/>
          <w:highlight w:val="none"/>
          <w:u w:val="single"/>
        </w:rPr>
        <w:t xml:space="preserve"> </w:t>
      </w:r>
      <w:r>
        <w:rPr>
          <w:rFonts w:hint="eastAsia" w:ascii="宋体" w:hAnsi="宋体"/>
          <w:iCs/>
          <w:color w:val="auto"/>
          <w:sz w:val="24"/>
          <w:highlight w:val="none"/>
          <w:u w:val="single"/>
          <w:lang w:val="en-US" w:eastAsia="zh-CN"/>
        </w:rPr>
        <w:t>/</w:t>
      </w:r>
      <w:r>
        <w:rPr>
          <w:rFonts w:hint="eastAsia" w:ascii="宋体" w:hAnsi="宋体"/>
          <w:iCs/>
          <w:color w:val="auto"/>
          <w:sz w:val="24"/>
          <w:highlight w:val="none"/>
          <w:u w:val="single"/>
        </w:rPr>
        <w:t xml:space="preserve">                         </w:t>
      </w:r>
    </w:p>
    <w:p w14:paraId="4679285F">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5.考核要求和付款进度安排</w:t>
      </w:r>
    </w:p>
    <w:tbl>
      <w:tblPr>
        <w:tblStyle w:val="13"/>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1701"/>
        <w:gridCol w:w="5720"/>
      </w:tblGrid>
      <w:tr w14:paraId="76C1F4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vAlign w:val="center"/>
          </w:tcPr>
          <w:p w14:paraId="3D4BBB64">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701" w:type="dxa"/>
            <w:vAlign w:val="center"/>
          </w:tcPr>
          <w:p w14:paraId="7815CF7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720" w:type="dxa"/>
            <w:vAlign w:val="center"/>
          </w:tcPr>
          <w:p w14:paraId="5E8E95F5">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6E7A87E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top"/>
          </w:tcPr>
          <w:p w14:paraId="1DF691D0">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701" w:type="dxa"/>
            <w:vAlign w:val="top"/>
          </w:tcPr>
          <w:p w14:paraId="0698B0EB">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70%</w:t>
            </w:r>
          </w:p>
        </w:tc>
        <w:tc>
          <w:tcPr>
            <w:tcW w:w="5720" w:type="dxa"/>
            <w:vAlign w:val="top"/>
          </w:tcPr>
          <w:p w14:paraId="73DAFE55">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合同</w:t>
            </w:r>
            <w:r>
              <w:rPr>
                <w:rFonts w:hint="eastAsia" w:ascii="宋体" w:hAnsi="宋体" w:cs="仿宋_GB2312"/>
                <w:color w:val="auto"/>
                <w:sz w:val="24"/>
                <w:highlight w:val="none"/>
                <w:lang w:val="en-US" w:eastAsia="zh-CN"/>
              </w:rPr>
              <w:t>签订之日起，具备支付条件5个工作日内甲方向乙方支付预算金额的70%作为预付款</w:t>
            </w:r>
            <w:r>
              <w:rPr>
                <w:rFonts w:hint="eastAsia" w:ascii="宋体" w:hAnsi="宋体" w:cs="仿宋_GB2312"/>
                <w:color w:val="auto"/>
                <w:sz w:val="24"/>
                <w:highlight w:val="none"/>
              </w:rPr>
              <w:t>；</w:t>
            </w:r>
          </w:p>
        </w:tc>
      </w:tr>
      <w:tr w14:paraId="7A28A6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top"/>
          </w:tcPr>
          <w:p w14:paraId="52483CDE">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701" w:type="dxa"/>
            <w:vAlign w:val="top"/>
          </w:tcPr>
          <w:p w14:paraId="0EEF1055">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30%</w:t>
            </w:r>
          </w:p>
        </w:tc>
        <w:tc>
          <w:tcPr>
            <w:tcW w:w="5720" w:type="dxa"/>
            <w:vAlign w:val="top"/>
          </w:tcPr>
          <w:p w14:paraId="16F1942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项目验收通过后具备支付条件5个工作日内甲方向乙方支付合同剩余款项。</w:t>
            </w:r>
          </w:p>
        </w:tc>
      </w:tr>
    </w:tbl>
    <w:p w14:paraId="3AFBEBA2">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6.资金支付方式：</w:t>
      </w:r>
      <w:r>
        <w:rPr>
          <w:rFonts w:ascii="宋体" w:hAnsi="宋体" w:eastAsia="宋体"/>
          <w:iCs/>
          <w:color w:val="auto"/>
          <w:sz w:val="24"/>
          <w:highlight w:val="none"/>
          <w:u w:val="single"/>
        </w:rPr>
        <w:t xml:space="preserve">  银行转账         </w:t>
      </w:r>
    </w:p>
    <w:p w14:paraId="11708976">
      <w:pPr>
        <w:spacing w:line="360" w:lineRule="auto"/>
        <w:ind w:firstLine="480" w:firstLineChars="200"/>
        <w:jc w:val="left"/>
        <w:rPr>
          <w:rFonts w:ascii="宋体" w:hAnsi="宋体"/>
          <w:iCs/>
          <w:color w:val="auto"/>
          <w:sz w:val="24"/>
          <w:highlight w:val="none"/>
        </w:rPr>
      </w:pPr>
      <w:r>
        <w:rPr>
          <w:rFonts w:hint="eastAsia" w:ascii="宋体" w:hAnsi="宋体"/>
          <w:iCs/>
          <w:color w:val="auto"/>
          <w:sz w:val="24"/>
          <w:highlight w:val="none"/>
        </w:rPr>
        <w:t>7.验收、交付标准和方法</w:t>
      </w:r>
    </w:p>
    <w:p w14:paraId="40BE7D39">
      <w:pPr>
        <w:pStyle w:val="18"/>
        <w:ind w:firstLine="480"/>
        <w:rPr>
          <w:rFonts w:ascii="宋体" w:hAnsi="宋体" w:eastAsia="宋体" w:cs="仿宋"/>
          <w:color w:val="auto"/>
          <w:highlight w:val="none"/>
          <w:u w:val="single"/>
        </w:rPr>
      </w:pPr>
      <w:bookmarkStart w:id="1" w:name="_Hlk103202290"/>
      <w:r>
        <w:rPr>
          <w:rFonts w:ascii="宋体" w:hAnsi="宋体" w:eastAsia="宋体" w:cs="仿宋"/>
          <w:color w:val="auto"/>
          <w:highlight w:val="none"/>
          <w:u w:val="single"/>
        </w:rPr>
        <w:t>1.</w:t>
      </w:r>
      <w:r>
        <w:rPr>
          <w:rFonts w:hint="eastAsia" w:ascii="宋体" w:hAnsi="宋体" w:eastAsia="宋体" w:cs="仿宋"/>
          <w:color w:val="auto"/>
          <w:highlight w:val="none"/>
          <w:u w:val="single"/>
        </w:rPr>
        <w:t>验收组织和程序</w:t>
      </w:r>
    </w:p>
    <w:p w14:paraId="6872844A">
      <w:pPr>
        <w:pStyle w:val="18"/>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1）根据《中华人民共和国政府采购法》、《中华人民共和国民法典》、《中华</w:t>
      </w:r>
      <w:r>
        <w:rPr>
          <w:rFonts w:hint="eastAsia" w:ascii="宋体" w:hAnsi="宋体" w:eastAsia="宋体" w:cs="仿宋"/>
          <w:color w:val="auto"/>
          <w:highlight w:val="none"/>
          <w:u w:val="single"/>
        </w:rPr>
        <w:t>人民共和国政府采购法实施条例》、财政部《财政部关于进一步加强政府采购需求和履约验收管理的指导意见》（财库</w:t>
      </w:r>
      <w:r>
        <w:rPr>
          <w:rFonts w:ascii="宋体" w:hAnsi="宋体" w:eastAsia="宋体" w:cs="仿宋"/>
          <w:color w:val="auto"/>
          <w:highlight w:val="none"/>
          <w:u w:val="single"/>
        </w:rPr>
        <w:t>[2016]205号）、杭州市财政局《杭州市政府采购履约验收暂行办法》（</w:t>
      </w:r>
      <w:r>
        <w:rPr>
          <w:rFonts w:hint="eastAsia" w:ascii="宋体" w:hAnsi="宋体" w:eastAsia="宋体" w:cs="仿宋"/>
          <w:color w:val="auto"/>
          <w:highlight w:val="none"/>
          <w:u w:val="single"/>
        </w:rPr>
        <w:t>杭财采监</w:t>
      </w:r>
      <w:r>
        <w:rPr>
          <w:rFonts w:ascii="宋体" w:hAnsi="宋体" w:eastAsia="宋体" w:cs="仿宋"/>
          <w:color w:val="auto"/>
          <w:highlight w:val="none"/>
          <w:u w:val="single"/>
        </w:rPr>
        <w:t>[2019]10号）等相关法律、法规、规范性文件要求组织验收。</w:t>
      </w:r>
    </w:p>
    <w:p w14:paraId="0F4EF054">
      <w:pPr>
        <w:pStyle w:val="18"/>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2）验收方法：验收小组验收。</w:t>
      </w:r>
    </w:p>
    <w:p w14:paraId="40EC1274">
      <w:pPr>
        <w:pStyle w:val="18"/>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3）验收小组组建方式：</w:t>
      </w:r>
      <w:r>
        <w:rPr>
          <w:rFonts w:hint="eastAsia" w:ascii="宋体" w:hAnsi="宋体" w:eastAsia="宋体" w:cs="仿宋"/>
          <w:color w:val="auto"/>
          <w:highlight w:val="none"/>
          <w:u w:val="single"/>
        </w:rPr>
        <w:t>项目验收负责人组织</w:t>
      </w:r>
      <w:r>
        <w:rPr>
          <w:rFonts w:ascii="宋体" w:hAnsi="宋体" w:eastAsia="宋体" w:cs="仿宋"/>
          <w:color w:val="auto"/>
          <w:highlight w:val="none"/>
          <w:u w:val="single"/>
        </w:rPr>
        <w:t>验收小组，验收小组由</w:t>
      </w:r>
      <w:r>
        <w:rPr>
          <w:rFonts w:hint="eastAsia" w:ascii="宋体" w:hAnsi="宋体" w:eastAsia="宋体" w:cs="仿宋"/>
          <w:color w:val="auto"/>
          <w:highlight w:val="none"/>
          <w:u w:val="single"/>
        </w:rPr>
        <w:t>相关</w:t>
      </w:r>
      <w:r>
        <w:rPr>
          <w:rFonts w:ascii="宋体" w:hAnsi="宋体" w:eastAsia="宋体" w:cs="仿宋"/>
          <w:color w:val="auto"/>
          <w:highlight w:val="none"/>
          <w:u w:val="single"/>
        </w:rPr>
        <w:t>专家和用户代表</w:t>
      </w:r>
      <w:r>
        <w:rPr>
          <w:rFonts w:hint="eastAsia" w:ascii="宋体" w:hAnsi="宋体" w:eastAsia="宋体" w:cs="仿宋"/>
          <w:color w:val="auto"/>
          <w:highlight w:val="none"/>
          <w:u w:val="single"/>
        </w:rPr>
        <w:t>按相关规定</w:t>
      </w:r>
      <w:r>
        <w:rPr>
          <w:rFonts w:ascii="宋体" w:hAnsi="宋体" w:eastAsia="宋体" w:cs="仿宋"/>
          <w:color w:val="auto"/>
          <w:highlight w:val="none"/>
          <w:u w:val="single"/>
        </w:rPr>
        <w:t>组成。验收小组负责实施具体的验收活动。甲方可以邀请其他单位的相关专业人员参加验收小组。验收小组推选一名组长，主持验收小组的工作。</w:t>
      </w:r>
    </w:p>
    <w:p w14:paraId="629BB0FD">
      <w:pPr>
        <w:pStyle w:val="18"/>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4）验收流程：</w:t>
      </w:r>
    </w:p>
    <w:p w14:paraId="3D7D746D">
      <w:pPr>
        <w:pStyle w:val="18"/>
        <w:ind w:firstLine="480"/>
        <w:rPr>
          <w:rFonts w:ascii="宋体" w:hAnsi="宋体" w:eastAsia="宋体" w:cs="仿宋"/>
          <w:color w:val="auto"/>
          <w:highlight w:val="none"/>
          <w:u w:val="single"/>
        </w:rPr>
      </w:pPr>
      <w:r>
        <w:rPr>
          <w:rFonts w:ascii="宋体" w:hAnsi="宋体" w:eastAsia="宋体" w:cs="仿宋"/>
          <w:color w:val="auto"/>
          <w:highlight w:val="none"/>
          <w:u w:val="single"/>
        </w:rPr>
        <w:t>1）</w:t>
      </w:r>
      <w:r>
        <w:rPr>
          <w:rFonts w:hint="eastAsia" w:ascii="宋体" w:hAnsi="宋体" w:eastAsia="宋体" w:cs="仿宋"/>
          <w:color w:val="auto"/>
          <w:highlight w:val="none"/>
          <w:u w:val="single"/>
        </w:rPr>
        <w:t>项目验收负责人</w:t>
      </w:r>
      <w:r>
        <w:rPr>
          <w:rFonts w:ascii="宋体" w:hAnsi="宋体" w:eastAsia="宋体" w:cs="仿宋"/>
          <w:color w:val="auto"/>
          <w:highlight w:val="none"/>
          <w:u w:val="single"/>
        </w:rPr>
        <w:t>根据验收方案组织验收小组现场验收，并准备验收材料并通知各验收参与方在指定时间指定地点联合验收，包括甲方、乙方、验收小组、其他验收参与方等。</w:t>
      </w:r>
    </w:p>
    <w:p w14:paraId="63EAFD8F">
      <w:pPr>
        <w:pStyle w:val="18"/>
        <w:ind w:firstLine="480"/>
        <w:rPr>
          <w:rFonts w:ascii="宋体" w:hAnsi="宋体" w:eastAsia="宋体" w:cs="仿宋"/>
          <w:color w:val="auto"/>
          <w:highlight w:val="none"/>
          <w:u w:val="single"/>
        </w:rPr>
      </w:pPr>
      <w:r>
        <w:rPr>
          <w:rFonts w:ascii="宋体" w:hAnsi="宋体" w:eastAsia="宋体" w:cs="仿宋"/>
          <w:color w:val="auto"/>
          <w:highlight w:val="none"/>
          <w:u w:val="single"/>
        </w:rPr>
        <w:t>2）验收小组应当按照验收方案独立开展验收，对乙方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eastAsia="宋体" w:cs="仿宋"/>
          <w:color w:val="auto"/>
          <w:highlight w:val="none"/>
          <w:u w:val="single"/>
        </w:rPr>
        <w:t>作出实质性修改的，应当报经甲方同意。</w:t>
      </w:r>
    </w:p>
    <w:p w14:paraId="3FC952E2">
      <w:pPr>
        <w:pStyle w:val="18"/>
        <w:ind w:firstLine="480"/>
        <w:rPr>
          <w:rFonts w:ascii="宋体" w:hAnsi="宋体" w:eastAsia="宋体" w:cs="仿宋"/>
          <w:color w:val="auto"/>
          <w:highlight w:val="none"/>
          <w:u w:val="single"/>
        </w:rPr>
      </w:pPr>
      <w:r>
        <w:rPr>
          <w:rFonts w:ascii="宋体" w:hAnsi="宋体" w:eastAsia="宋体" w:cs="仿宋"/>
          <w:color w:val="auto"/>
          <w:highlight w:val="none"/>
          <w:u w:val="single"/>
        </w:rPr>
        <w:t>3）乙方配合验收工作，并就验收实施过程中的疑问进行解答和澄清。项目验收过程中，乙方不认可验收意见的，按照合同的约定的方式解决，合同未作约定的，按照《中华人民共和国民法典》等相关规定处理。</w:t>
      </w:r>
    </w:p>
    <w:p w14:paraId="60827738">
      <w:pPr>
        <w:pStyle w:val="18"/>
        <w:ind w:firstLine="480"/>
        <w:rPr>
          <w:rFonts w:ascii="宋体" w:hAnsi="宋体" w:eastAsia="宋体" w:cs="仿宋"/>
          <w:color w:val="auto"/>
          <w:highlight w:val="none"/>
          <w:u w:val="single"/>
        </w:rPr>
      </w:pPr>
      <w:r>
        <w:rPr>
          <w:rFonts w:ascii="宋体" w:hAnsi="宋体" w:eastAsia="宋体" w:cs="仿宋"/>
          <w:color w:val="auto"/>
          <w:highlight w:val="none"/>
          <w:u w:val="single"/>
        </w:rPr>
        <w:t>4）出具验收报告。验收结束后，验收小组应当出具验收报告，报告甲方。验收报告应当根据验收方案制作，以书面形式</w:t>
      </w:r>
      <w:r>
        <w:rPr>
          <w:rFonts w:hint="eastAsia" w:ascii="宋体" w:hAnsi="宋体" w:eastAsia="宋体" w:cs="仿宋"/>
          <w:color w:val="auto"/>
          <w:highlight w:val="none"/>
          <w:u w:val="single"/>
        </w:rPr>
        <w:t>作出结论性意见，并经验收小组全体成员签字。验收小组成员对验收报告载明的结论有异议的，应当在验收报告上签署不同意并说明理由，否则视为同意验收结论。</w:t>
      </w:r>
    </w:p>
    <w:p w14:paraId="4E4796B5">
      <w:pPr>
        <w:pStyle w:val="18"/>
        <w:ind w:firstLine="480"/>
        <w:rPr>
          <w:rFonts w:ascii="宋体" w:hAnsi="宋体" w:eastAsia="宋体" w:cs="仿宋"/>
          <w:color w:val="auto"/>
          <w:highlight w:val="none"/>
          <w:u w:val="single"/>
        </w:rPr>
      </w:pPr>
      <w:r>
        <w:rPr>
          <w:rFonts w:ascii="宋体" w:hAnsi="宋体" w:eastAsia="宋体" w:cs="仿宋"/>
          <w:color w:val="auto"/>
          <w:highlight w:val="none"/>
          <w:u w:val="single"/>
        </w:rPr>
        <w:t>5）验收不合格的，甲方应责令乙方采取补救措施，向乙方发出整改通知书，并依法及时处理。整改结束后，由乙方通知甲方或其委托的验收组织机构重新验收。</w:t>
      </w:r>
    </w:p>
    <w:p w14:paraId="201FAB11">
      <w:pPr>
        <w:pStyle w:val="8"/>
        <w:spacing w:line="360" w:lineRule="auto"/>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rPr>
        <w:t>履约验收内容</w:t>
      </w:r>
    </w:p>
    <w:p w14:paraId="6979BD96">
      <w:pPr>
        <w:pStyle w:val="18"/>
        <w:ind w:firstLine="439" w:firstLineChars="183"/>
        <w:rPr>
          <w:rFonts w:ascii="宋体" w:hAnsi="宋体" w:eastAsia="宋体" w:cs="仿宋"/>
          <w:color w:val="auto"/>
          <w:highlight w:val="none"/>
          <w:u w:val="single"/>
        </w:rPr>
      </w:pPr>
      <w:r>
        <w:rPr>
          <w:rFonts w:ascii="宋体" w:hAnsi="宋体" w:eastAsia="宋体" w:cs="仿宋"/>
          <w:color w:val="auto"/>
          <w:highlight w:val="none"/>
          <w:u w:val="single"/>
        </w:rPr>
        <w:t>1.</w:t>
      </w:r>
      <w:r>
        <w:rPr>
          <w:rFonts w:hint="eastAsia" w:ascii="宋体" w:hAnsi="宋体" w:eastAsia="宋体" w:cs="仿宋"/>
          <w:color w:val="auto"/>
          <w:highlight w:val="none"/>
          <w:u w:val="single"/>
        </w:rPr>
        <w:t>技术履约内容</w:t>
      </w:r>
    </w:p>
    <w:p w14:paraId="30D58BF4">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）满足所有采购需求及响应文件承诺；</w:t>
      </w:r>
    </w:p>
    <w:p w14:paraId="0A3C4D06">
      <w:pPr>
        <w:pStyle w:val="8"/>
        <w:spacing w:after="120" w:line="360" w:lineRule="auto"/>
        <w:rPr>
          <w:rFonts w:ascii="宋体" w:hAnsi="宋体" w:eastAsia="宋体" w:cs="仿宋"/>
          <w:color w:val="auto"/>
          <w:sz w:val="24"/>
          <w:szCs w:val="24"/>
          <w:highlight w:val="none"/>
          <w:u w:val="single"/>
        </w:rPr>
      </w:pPr>
      <w:bookmarkStart w:id="2" w:name="_Hlk104128754"/>
      <w:r>
        <w:rPr>
          <w:rFonts w:ascii="宋体" w:hAnsi="宋体" w:eastAsia="宋体" w:cs="仿宋"/>
          <w:color w:val="auto"/>
          <w:sz w:val="24"/>
          <w:szCs w:val="24"/>
          <w:highlight w:val="none"/>
          <w:u w:val="single"/>
        </w:rPr>
        <w:t>2）拟投服务团队人员全部到位，与</w:t>
      </w:r>
      <w:r>
        <w:rPr>
          <w:rFonts w:hint="eastAsia" w:ascii="宋体" w:hAnsi="宋体" w:eastAsia="宋体" w:cs="仿宋"/>
          <w:color w:val="auto"/>
          <w:sz w:val="24"/>
          <w:szCs w:val="24"/>
          <w:highlight w:val="none"/>
          <w:u w:val="single"/>
        </w:rPr>
        <w:t>响应</w:t>
      </w:r>
      <w:r>
        <w:rPr>
          <w:rFonts w:ascii="宋体" w:hAnsi="宋体" w:eastAsia="宋体" w:cs="仿宋"/>
          <w:color w:val="auto"/>
          <w:sz w:val="24"/>
          <w:szCs w:val="24"/>
          <w:highlight w:val="none"/>
          <w:u w:val="single"/>
        </w:rPr>
        <w:t>文件人员信息清单一致</w:t>
      </w:r>
      <w:bookmarkEnd w:id="2"/>
      <w:r>
        <w:rPr>
          <w:rFonts w:hint="eastAsia" w:ascii="宋体" w:hAnsi="宋体" w:eastAsia="宋体" w:cs="仿宋"/>
          <w:color w:val="auto"/>
          <w:sz w:val="24"/>
          <w:szCs w:val="24"/>
          <w:highlight w:val="none"/>
          <w:u w:val="single"/>
        </w:rPr>
        <w:t>。</w:t>
      </w:r>
    </w:p>
    <w:p w14:paraId="32A35805">
      <w:pPr>
        <w:pStyle w:val="18"/>
        <w:ind w:firstLine="439" w:firstLineChars="183"/>
        <w:rPr>
          <w:rFonts w:ascii="宋体" w:hAnsi="宋体" w:eastAsia="宋体" w:cs="仿宋"/>
          <w:color w:val="auto"/>
          <w:highlight w:val="none"/>
          <w:u w:val="single"/>
        </w:rPr>
      </w:pPr>
      <w:r>
        <w:rPr>
          <w:rFonts w:ascii="宋体" w:hAnsi="宋体" w:eastAsia="宋体" w:cs="仿宋"/>
          <w:color w:val="auto"/>
          <w:highlight w:val="none"/>
          <w:u w:val="single"/>
        </w:rPr>
        <w:t>2.商务履约内容</w:t>
      </w:r>
    </w:p>
    <w:p w14:paraId="3E17CFA9">
      <w:pPr>
        <w:pStyle w:val="19"/>
        <w:spacing w:line="360" w:lineRule="auto"/>
        <w:ind w:firstLine="480"/>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）服务周期满足采购要求。</w:t>
      </w:r>
    </w:p>
    <w:p w14:paraId="3F96884C">
      <w:pPr>
        <w:pStyle w:val="19"/>
        <w:spacing w:after="157" w:line="360" w:lineRule="auto"/>
        <w:ind w:firstLine="480"/>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3.</w:t>
      </w:r>
      <w:r>
        <w:rPr>
          <w:rFonts w:hint="eastAsia" w:ascii="宋体" w:hAnsi="宋体" w:eastAsia="宋体" w:cs="仿宋"/>
          <w:color w:val="auto"/>
          <w:sz w:val="24"/>
          <w:szCs w:val="24"/>
          <w:highlight w:val="none"/>
          <w:u w:val="single"/>
        </w:rPr>
        <w:t>验收标准</w:t>
      </w:r>
    </w:p>
    <w:p w14:paraId="592E6BE3">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）满足所有采购需求及响应文件承诺；</w:t>
      </w:r>
    </w:p>
    <w:p w14:paraId="3280E313">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2）拟投服务团队人员全部到位，与</w:t>
      </w:r>
      <w:r>
        <w:rPr>
          <w:rFonts w:hint="eastAsia" w:ascii="宋体" w:hAnsi="宋体" w:eastAsia="宋体" w:cs="仿宋"/>
          <w:color w:val="auto"/>
          <w:sz w:val="24"/>
          <w:szCs w:val="24"/>
          <w:highlight w:val="none"/>
          <w:u w:val="single"/>
        </w:rPr>
        <w:t>响应</w:t>
      </w:r>
      <w:r>
        <w:rPr>
          <w:rFonts w:ascii="宋体" w:hAnsi="宋体" w:eastAsia="宋体" w:cs="仿宋"/>
          <w:color w:val="auto"/>
          <w:sz w:val="24"/>
          <w:szCs w:val="24"/>
          <w:highlight w:val="none"/>
          <w:u w:val="single"/>
        </w:rPr>
        <w:t>文件人员信息清单一致；</w:t>
      </w:r>
    </w:p>
    <w:p w14:paraId="7FBB9F75">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3</w:t>
      </w:r>
      <w:r>
        <w:rPr>
          <w:rFonts w:hint="eastAsia" w:ascii="宋体" w:hAnsi="宋体" w:eastAsia="宋体" w:cs="仿宋"/>
          <w:color w:val="auto"/>
          <w:sz w:val="24"/>
          <w:szCs w:val="24"/>
          <w:highlight w:val="none"/>
          <w:u w:val="single"/>
        </w:rPr>
        <w:t>）项目验收资料齐全；</w:t>
      </w:r>
    </w:p>
    <w:p w14:paraId="1E3AE0E6">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4</w:t>
      </w:r>
      <w:r>
        <w:rPr>
          <w:rFonts w:hint="eastAsia" w:ascii="宋体" w:hAnsi="宋体" w:eastAsia="宋体" w:cs="仿宋"/>
          <w:color w:val="auto"/>
          <w:sz w:val="24"/>
          <w:szCs w:val="24"/>
          <w:highlight w:val="none"/>
          <w:u w:val="single"/>
        </w:rPr>
        <w:t>）年度考核。</w:t>
      </w:r>
    </w:p>
    <w:p w14:paraId="557C5714">
      <w:pPr>
        <w:spacing w:line="360" w:lineRule="auto"/>
        <w:ind w:firstLine="480" w:firstLineChars="200"/>
        <w:jc w:val="left"/>
        <w:rPr>
          <w:rFonts w:ascii="宋体" w:hAnsi="宋体" w:eastAsia="宋体" w:cs="仿宋"/>
          <w:color w:val="auto"/>
          <w:sz w:val="24"/>
          <w:highlight w:val="none"/>
          <w:u w:val="single"/>
        </w:rPr>
      </w:pPr>
      <w:r>
        <w:rPr>
          <w:rFonts w:ascii="宋体" w:hAnsi="宋体" w:eastAsia="宋体" w:cs="仿宋"/>
          <w:color w:val="auto"/>
          <w:sz w:val="24"/>
          <w:highlight w:val="none"/>
          <w:u w:val="single"/>
        </w:rPr>
        <w:t>4.</w:t>
      </w:r>
      <w:r>
        <w:rPr>
          <w:rFonts w:hint="eastAsia" w:ascii="宋体" w:hAnsi="宋体" w:eastAsia="宋体" w:cs="仿宋"/>
          <w:color w:val="auto"/>
          <w:sz w:val="24"/>
          <w:highlight w:val="none"/>
          <w:u w:val="single"/>
        </w:rPr>
        <w:t>履约验收其他事项</w:t>
      </w:r>
    </w:p>
    <w:p w14:paraId="1D3E8703">
      <w:pPr>
        <w:pStyle w:val="19"/>
        <w:spacing w:after="157" w:line="360" w:lineRule="auto"/>
        <w:ind w:firstLine="48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u w:val="single"/>
        </w:rPr>
        <w:t>（</w:t>
      </w:r>
      <w:r>
        <w:rPr>
          <w:rFonts w:ascii="宋体" w:hAnsi="宋体" w:eastAsia="宋体" w:cs="仿宋"/>
          <w:color w:val="auto"/>
          <w:sz w:val="24"/>
          <w:szCs w:val="24"/>
          <w:highlight w:val="none"/>
          <w:u w:val="single"/>
        </w:rPr>
        <w:t>1）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p w14:paraId="5C580F3F">
      <w:pPr>
        <w:pStyle w:val="19"/>
        <w:spacing w:after="157" w:line="360" w:lineRule="auto"/>
        <w:ind w:firstLine="48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u w:val="single"/>
        </w:rPr>
        <w:t>（</w:t>
      </w:r>
      <w:r>
        <w:rPr>
          <w:rFonts w:ascii="宋体" w:hAnsi="宋体" w:eastAsia="宋体" w:cs="仿宋"/>
          <w:color w:val="auto"/>
          <w:sz w:val="24"/>
          <w:szCs w:val="24"/>
          <w:highlight w:val="none"/>
          <w:u w:val="single"/>
        </w:rPr>
        <w:t>2）乙方服务成果未通过甲方验收，甲方有权要求乙方进行整改，相关费用</w:t>
      </w:r>
      <w:r>
        <w:rPr>
          <w:rFonts w:hint="eastAsia" w:ascii="宋体" w:hAnsi="宋体" w:eastAsia="宋体" w:cs="仿宋"/>
          <w:color w:val="auto"/>
          <w:sz w:val="24"/>
          <w:szCs w:val="24"/>
          <w:highlight w:val="none"/>
          <w:u w:val="single"/>
        </w:rPr>
        <w:t>（包括但不限于重新组织验收等费用）</w:t>
      </w:r>
      <w:r>
        <w:rPr>
          <w:rFonts w:ascii="宋体" w:hAnsi="宋体" w:eastAsia="宋体" w:cs="仿宋"/>
          <w:color w:val="auto"/>
          <w:sz w:val="24"/>
          <w:szCs w:val="24"/>
          <w:highlight w:val="none"/>
          <w:u w:val="single"/>
        </w:rPr>
        <w:t>由乙方承担；如乙方</w:t>
      </w:r>
      <w:r>
        <w:rPr>
          <w:rFonts w:hint="eastAsia" w:ascii="宋体" w:hAnsi="宋体" w:eastAsia="宋体" w:cs="仿宋"/>
          <w:color w:val="auto"/>
          <w:sz w:val="24"/>
          <w:szCs w:val="24"/>
          <w:highlight w:val="none"/>
          <w:u w:val="single"/>
        </w:rPr>
        <w:t>未在甲方要求期限内整改或整改后仍不合格或已经无法整改的，甲方有权要求乙方承担相应的违约责任。</w:t>
      </w:r>
    </w:p>
    <w:bookmarkEnd w:id="1"/>
    <w:p w14:paraId="2E34909A">
      <w:pPr>
        <w:spacing w:line="360" w:lineRule="auto"/>
        <w:ind w:firstLine="480" w:firstLineChars="200"/>
        <w:jc w:val="left"/>
        <w:rPr>
          <w:rFonts w:ascii="宋体" w:hAnsi="宋体" w:eastAsia="宋体"/>
          <w:color w:val="auto"/>
          <w:sz w:val="24"/>
          <w:highlight w:val="none"/>
          <w:u w:val="single"/>
        </w:rPr>
      </w:pPr>
      <w:r>
        <w:rPr>
          <w:rFonts w:ascii="宋体" w:hAnsi="宋体" w:eastAsia="宋体"/>
          <w:iCs/>
          <w:color w:val="auto"/>
          <w:sz w:val="24"/>
          <w:highlight w:val="none"/>
        </w:rPr>
        <w:t>8.质量保修范围和保修期：</w:t>
      </w:r>
      <w:r>
        <w:rPr>
          <w:rFonts w:hint="eastAsia" w:ascii="宋体" w:hAnsi="宋体" w:eastAsia="宋体"/>
          <w:color w:val="auto"/>
          <w:sz w:val="24"/>
          <w:highlight w:val="none"/>
          <w:u w:val="single"/>
        </w:rPr>
        <w:t>本项目不涉及。</w:t>
      </w:r>
    </w:p>
    <w:p w14:paraId="6A660746">
      <w:pPr>
        <w:spacing w:line="360" w:lineRule="auto"/>
        <w:ind w:firstLine="480" w:firstLineChars="200"/>
        <w:jc w:val="left"/>
        <w:rPr>
          <w:rFonts w:ascii="宋体" w:hAnsi="宋体" w:eastAsia="宋体"/>
          <w:iCs/>
          <w:color w:val="auto"/>
          <w:sz w:val="24"/>
          <w:highlight w:val="none"/>
          <w:u w:val="single"/>
        </w:rPr>
      </w:pPr>
      <w:r>
        <w:rPr>
          <w:rFonts w:ascii="宋体" w:hAnsi="宋体" w:eastAsia="宋体"/>
          <w:iCs/>
          <w:color w:val="auto"/>
          <w:sz w:val="24"/>
          <w:highlight w:val="none"/>
        </w:rPr>
        <w:t>9.知识产权归属、处理方式：</w:t>
      </w:r>
      <w:r>
        <w:rPr>
          <w:rFonts w:hint="eastAsia" w:ascii="宋体" w:hAnsi="宋体" w:eastAsia="宋体"/>
          <w:color w:val="auto"/>
          <w:sz w:val="24"/>
          <w:highlight w:val="none"/>
          <w:u w:val="single"/>
        </w:rPr>
        <w:t>归采购人所有。</w:t>
      </w:r>
    </w:p>
    <w:p w14:paraId="11DAE7F0">
      <w:pPr>
        <w:spacing w:line="360" w:lineRule="auto"/>
        <w:ind w:firstLine="480" w:firstLineChars="200"/>
        <w:jc w:val="left"/>
        <w:rPr>
          <w:rFonts w:ascii="宋体" w:hAnsi="宋体" w:eastAsia="宋体"/>
          <w:iCs/>
          <w:color w:val="auto"/>
          <w:sz w:val="24"/>
          <w:highlight w:val="none"/>
        </w:rPr>
      </w:pPr>
      <w:r>
        <w:rPr>
          <w:rFonts w:ascii="宋体" w:hAnsi="宋体" w:eastAsia="宋体"/>
          <w:iCs/>
          <w:color w:val="auto"/>
          <w:sz w:val="24"/>
          <w:highlight w:val="none"/>
        </w:rPr>
        <w:t>10.成本补偿、风险分担约定</w:t>
      </w:r>
    </w:p>
    <w:p w14:paraId="2E96E4B9">
      <w:pPr>
        <w:spacing w:line="360" w:lineRule="auto"/>
        <w:ind w:firstLine="480" w:firstLineChars="200"/>
        <w:jc w:val="left"/>
        <w:rPr>
          <w:rFonts w:ascii="宋体" w:hAnsi="宋体" w:eastAsia="宋体"/>
          <w:color w:val="auto"/>
          <w:sz w:val="24"/>
          <w:highlight w:val="none"/>
          <w:u w:val="single"/>
        </w:rPr>
      </w:pPr>
      <w:r>
        <w:rPr>
          <w:rFonts w:hint="eastAsia" w:ascii="宋体" w:hAnsi="宋体" w:eastAsia="宋体"/>
          <w:color w:val="auto"/>
          <w:sz w:val="24"/>
          <w:highlight w:val="none"/>
          <w:u w:val="single"/>
        </w:rPr>
        <w:t>本项目不涉及。</w:t>
      </w:r>
    </w:p>
    <w:p w14:paraId="73363E85">
      <w:pPr>
        <w:spacing w:line="360" w:lineRule="auto"/>
        <w:ind w:firstLine="480" w:firstLineChars="200"/>
        <w:jc w:val="left"/>
        <w:rPr>
          <w:rFonts w:ascii="宋体" w:hAnsi="宋体" w:eastAsia="宋体"/>
          <w:iCs/>
          <w:color w:val="auto"/>
          <w:sz w:val="24"/>
          <w:highlight w:val="none"/>
        </w:rPr>
      </w:pPr>
      <w:r>
        <w:rPr>
          <w:rFonts w:ascii="宋体" w:hAnsi="宋体" w:eastAsia="宋体"/>
          <w:iCs/>
          <w:color w:val="auto"/>
          <w:sz w:val="24"/>
          <w:highlight w:val="none"/>
        </w:rPr>
        <w:t>11.违约责任与解决争议的方法：</w:t>
      </w:r>
    </w:p>
    <w:p w14:paraId="000B4CB7">
      <w:pPr>
        <w:spacing w:line="360" w:lineRule="auto"/>
        <w:ind w:firstLine="480" w:firstLineChars="200"/>
        <w:jc w:val="left"/>
        <w:rPr>
          <w:rFonts w:ascii="宋体" w:hAnsi="宋体" w:eastAsia="宋体" w:cs="Arial"/>
          <w:color w:val="auto"/>
          <w:sz w:val="24"/>
          <w:highlight w:val="none"/>
          <w:u w:val="single"/>
          <w:lang w:val="zh-CN"/>
        </w:rPr>
      </w:pPr>
      <w:r>
        <w:rPr>
          <w:rFonts w:ascii="宋体" w:hAnsi="宋体" w:eastAsia="宋体" w:cs="Arial"/>
          <w:color w:val="auto"/>
          <w:sz w:val="24"/>
          <w:highlight w:val="none"/>
          <w:u w:val="single"/>
          <w:lang w:val="zh-CN"/>
        </w:rPr>
        <w:t>凡因执行本协议产生的一切争议，双方应协商解决</w:t>
      </w:r>
      <w:r>
        <w:rPr>
          <w:rFonts w:ascii="宋体" w:hAnsi="宋体" w:eastAsia="宋体" w:cs="Arial"/>
          <w:color w:val="auto"/>
          <w:sz w:val="24"/>
          <w:highlight w:val="none"/>
          <w:u w:val="single"/>
        </w:rPr>
        <w:t>,</w:t>
      </w:r>
      <w:r>
        <w:rPr>
          <w:rFonts w:hint="eastAsia" w:ascii="宋体" w:hAnsi="宋体" w:eastAsia="宋体" w:cs="Arial"/>
          <w:color w:val="auto"/>
          <w:sz w:val="24"/>
          <w:highlight w:val="none"/>
          <w:u w:val="single"/>
        </w:rPr>
        <w:t>协商不成的提交采购人所在地人民法院诉讼解决</w:t>
      </w:r>
      <w:r>
        <w:rPr>
          <w:rFonts w:ascii="宋体" w:hAnsi="宋体" w:eastAsia="宋体" w:cs="Arial"/>
          <w:color w:val="auto"/>
          <w:sz w:val="24"/>
          <w:highlight w:val="none"/>
          <w:u w:val="single"/>
          <w:lang w:val="zh-CN"/>
        </w:rPr>
        <w:t>。</w:t>
      </w:r>
    </w:p>
    <w:p w14:paraId="5BCE3FE8">
      <w:pPr>
        <w:spacing w:line="360" w:lineRule="auto"/>
        <w:ind w:firstLine="480" w:firstLineChars="200"/>
        <w:jc w:val="left"/>
        <w:rPr>
          <w:rFonts w:ascii="宋体" w:hAnsi="宋体" w:eastAsia="宋体"/>
          <w:iCs/>
          <w:color w:val="auto"/>
          <w:sz w:val="24"/>
          <w:highlight w:val="none"/>
        </w:rPr>
      </w:pPr>
      <w:r>
        <w:rPr>
          <w:rFonts w:ascii="宋体" w:hAnsi="宋体" w:eastAsia="宋体"/>
          <w:iCs/>
          <w:color w:val="auto"/>
          <w:sz w:val="24"/>
          <w:highlight w:val="none"/>
        </w:rPr>
        <w:t>12.其他条款</w:t>
      </w:r>
    </w:p>
    <w:p w14:paraId="78850FE3">
      <w:pPr>
        <w:spacing w:line="360" w:lineRule="auto"/>
        <w:ind w:firstLine="480" w:firstLineChars="200"/>
        <w:jc w:val="left"/>
        <w:rPr>
          <w:rFonts w:ascii="宋体" w:hAnsi="宋体" w:eastAsia="宋体" w:cs="Arial"/>
          <w:color w:val="auto"/>
          <w:sz w:val="24"/>
          <w:highlight w:val="none"/>
          <w:u w:val="single"/>
          <w:lang w:val="zh-CN"/>
        </w:rPr>
      </w:pPr>
      <w:r>
        <w:rPr>
          <w:rFonts w:ascii="宋体" w:hAnsi="宋体" w:eastAsia="宋体" w:cs="Arial"/>
          <w:color w:val="auto"/>
          <w:sz w:val="24"/>
          <w:highlight w:val="none"/>
          <w:u w:val="single"/>
          <w:lang w:val="zh-CN"/>
        </w:rPr>
        <w:t>1、本协议经双方代表人签字或盖章，并加盖公章或合同专用章后方为生效。</w:t>
      </w:r>
    </w:p>
    <w:p w14:paraId="74BDCD21">
      <w:pPr>
        <w:spacing w:line="360" w:lineRule="auto"/>
        <w:ind w:firstLine="480" w:firstLineChars="200"/>
        <w:jc w:val="left"/>
        <w:rPr>
          <w:rFonts w:ascii="宋体" w:hAnsi="宋体" w:eastAsia="宋体" w:cs="Arial"/>
          <w:color w:val="auto"/>
          <w:sz w:val="24"/>
          <w:highlight w:val="none"/>
          <w:u w:val="single"/>
          <w:lang w:val="zh-CN"/>
        </w:rPr>
      </w:pPr>
      <w:r>
        <w:rPr>
          <w:rFonts w:ascii="宋体" w:hAnsi="宋体" w:eastAsia="宋体" w:cs="Arial"/>
          <w:color w:val="auto"/>
          <w:sz w:val="24"/>
          <w:highlight w:val="none"/>
          <w:u w:val="single"/>
          <w:lang w:val="zh-CN"/>
        </w:rPr>
        <w:t>2、双方均应保守对方的商业秘密，非经对方同意不得将有关资料、信息泄露给</w:t>
      </w:r>
      <w:r>
        <w:rPr>
          <w:rFonts w:hint="eastAsia" w:ascii="宋体" w:hAnsi="宋体" w:eastAsia="宋体" w:cs="Arial"/>
          <w:color w:val="auto"/>
          <w:sz w:val="24"/>
          <w:highlight w:val="none"/>
          <w:u w:val="single"/>
          <w:lang w:val="zh-CN"/>
        </w:rPr>
        <w:t>第</w:t>
      </w:r>
      <w:r>
        <w:rPr>
          <w:rFonts w:ascii="宋体" w:hAnsi="宋体" w:eastAsia="宋体" w:cs="Arial"/>
          <w:color w:val="auto"/>
          <w:sz w:val="24"/>
          <w:highlight w:val="none"/>
          <w:u w:val="single"/>
          <w:lang w:val="zh-CN"/>
        </w:rPr>
        <w:t>三方或在对外宣传中使用。</w:t>
      </w:r>
    </w:p>
    <w:p w14:paraId="5BDA2F43">
      <w:pPr>
        <w:spacing w:line="360" w:lineRule="auto"/>
        <w:ind w:firstLine="480" w:firstLineChars="200"/>
        <w:jc w:val="left"/>
        <w:rPr>
          <w:rFonts w:ascii="宋体" w:hAnsi="宋体" w:eastAsia="宋体" w:cs="Arial"/>
          <w:color w:val="auto"/>
          <w:sz w:val="24"/>
          <w:highlight w:val="none"/>
          <w:u w:val="single"/>
          <w:lang w:val="zh-CN"/>
        </w:rPr>
      </w:pPr>
      <w:r>
        <w:rPr>
          <w:rFonts w:ascii="宋体" w:hAnsi="宋体" w:eastAsia="宋体" w:cs="Arial"/>
          <w:color w:val="auto"/>
          <w:sz w:val="24"/>
          <w:highlight w:val="none"/>
          <w:u w:val="single"/>
          <w:lang w:val="zh-CN"/>
        </w:rPr>
        <w:t>3、凡因执行本协议产生的一切争议，双方应协商解决</w:t>
      </w:r>
      <w:r>
        <w:rPr>
          <w:rFonts w:ascii="宋体" w:hAnsi="宋体" w:eastAsia="宋体" w:cs="Arial"/>
          <w:color w:val="auto"/>
          <w:sz w:val="24"/>
          <w:highlight w:val="none"/>
          <w:u w:val="single"/>
        </w:rPr>
        <w:t>,</w:t>
      </w:r>
      <w:r>
        <w:rPr>
          <w:rFonts w:hint="eastAsia" w:ascii="宋体" w:hAnsi="宋体" w:eastAsia="宋体" w:cs="Arial"/>
          <w:color w:val="auto"/>
          <w:sz w:val="24"/>
          <w:highlight w:val="none"/>
          <w:u w:val="single"/>
        </w:rPr>
        <w:t>协商不成的提交采购人所在地人民法院诉讼解决</w:t>
      </w:r>
      <w:r>
        <w:rPr>
          <w:rFonts w:ascii="宋体" w:hAnsi="宋体" w:eastAsia="宋体" w:cs="Arial"/>
          <w:color w:val="auto"/>
          <w:sz w:val="24"/>
          <w:highlight w:val="none"/>
          <w:u w:val="single"/>
          <w:lang w:val="zh-CN"/>
        </w:rPr>
        <w:t>。</w:t>
      </w:r>
    </w:p>
    <w:p w14:paraId="6D2E2110">
      <w:pPr>
        <w:spacing w:line="360" w:lineRule="auto"/>
        <w:ind w:firstLine="480" w:firstLineChars="200"/>
        <w:jc w:val="left"/>
        <w:rPr>
          <w:rFonts w:ascii="宋体" w:hAnsi="宋体" w:eastAsia="宋体" w:cs="Arial"/>
          <w:color w:val="auto"/>
          <w:sz w:val="24"/>
          <w:highlight w:val="none"/>
          <w:u w:val="single"/>
          <w:lang w:val="zh-CN"/>
        </w:rPr>
      </w:pPr>
      <w:r>
        <w:rPr>
          <w:rFonts w:ascii="宋体" w:hAnsi="宋体" w:eastAsia="宋体" w:cs="Arial"/>
          <w:color w:val="auto"/>
          <w:sz w:val="24"/>
          <w:highlight w:val="none"/>
          <w:u w:val="single"/>
          <w:lang w:val="zh-CN"/>
        </w:rPr>
        <w:t>4</w:t>
      </w:r>
      <w:r>
        <w:rPr>
          <w:rFonts w:hint="eastAsia" w:ascii="宋体" w:hAnsi="宋体" w:eastAsia="宋体" w:cs="Arial"/>
          <w:color w:val="auto"/>
          <w:sz w:val="24"/>
          <w:highlight w:val="none"/>
          <w:u w:val="single"/>
          <w:lang w:val="zh-CN"/>
        </w:rPr>
        <w:t>、</w:t>
      </w:r>
      <w:r>
        <w:rPr>
          <w:rFonts w:hint="eastAsia" w:ascii="宋体" w:hAnsi="宋体" w:eastAsia="宋体" w:cs="Arial"/>
          <w:color w:val="auto"/>
          <w:sz w:val="24"/>
          <w:highlight w:val="none"/>
          <w:u w:val="single"/>
        </w:rPr>
        <w:t>供应商与采购人的合作不具有排他性，采购人有权同时与其它相关单位进行合作。</w:t>
      </w:r>
    </w:p>
    <w:p w14:paraId="6B9A274A">
      <w:pPr>
        <w:snapToGrid w:val="0"/>
        <w:spacing w:line="360" w:lineRule="auto"/>
        <w:ind w:firstLine="480" w:firstLineChars="200"/>
        <w:rPr>
          <w:rFonts w:ascii="宋体" w:hAnsi="宋体" w:eastAsia="宋体"/>
          <w:snapToGrid w:val="0"/>
          <w:color w:val="auto"/>
          <w:kern w:val="0"/>
          <w:sz w:val="24"/>
          <w:highlight w:val="none"/>
          <w:u w:val="single"/>
        </w:rPr>
      </w:pPr>
      <w:r>
        <w:rPr>
          <w:rFonts w:ascii="宋体" w:hAnsi="宋体" w:eastAsia="宋体"/>
          <w:snapToGrid w:val="0"/>
          <w:color w:val="auto"/>
          <w:kern w:val="0"/>
          <w:sz w:val="24"/>
          <w:highlight w:val="none"/>
          <w:u w:val="single"/>
        </w:rPr>
        <w:t>5</w:t>
      </w:r>
      <w:r>
        <w:rPr>
          <w:rFonts w:hint="eastAsia" w:ascii="宋体" w:hAnsi="宋体" w:eastAsia="宋体"/>
          <w:snapToGrid w:val="0"/>
          <w:color w:val="auto"/>
          <w:kern w:val="0"/>
          <w:sz w:val="24"/>
          <w:highlight w:val="none"/>
          <w:u w:val="single"/>
        </w:rPr>
        <w:t>、合同执行中涉及采购资金和采购内容修改或补充的，须经财政部门审批，并签书面补充协议报政府采购监督管理部门备案，方可作为主合同不可分割的一部分。</w:t>
      </w:r>
    </w:p>
    <w:p w14:paraId="5671DFBE">
      <w:pPr>
        <w:snapToGrid w:val="0"/>
        <w:spacing w:line="360" w:lineRule="auto"/>
        <w:ind w:firstLine="480" w:firstLineChars="200"/>
        <w:rPr>
          <w:rFonts w:ascii="宋体" w:hAnsi="宋体" w:eastAsia="宋体"/>
          <w:snapToGrid w:val="0"/>
          <w:color w:val="auto"/>
          <w:kern w:val="0"/>
          <w:sz w:val="24"/>
          <w:highlight w:val="none"/>
          <w:u w:val="single"/>
        </w:rPr>
      </w:pPr>
      <w:r>
        <w:rPr>
          <w:rFonts w:ascii="宋体" w:hAnsi="宋体" w:eastAsia="宋体"/>
          <w:snapToGrid w:val="0"/>
          <w:color w:val="auto"/>
          <w:kern w:val="0"/>
          <w:sz w:val="24"/>
          <w:highlight w:val="none"/>
          <w:u w:val="single"/>
        </w:rPr>
        <w:t>6</w:t>
      </w:r>
      <w:r>
        <w:rPr>
          <w:rFonts w:hint="eastAsia" w:ascii="宋体" w:hAnsi="宋体" w:eastAsia="宋体"/>
          <w:snapToGrid w:val="0"/>
          <w:color w:val="auto"/>
          <w:kern w:val="0"/>
          <w:sz w:val="24"/>
          <w:highlight w:val="none"/>
          <w:u w:val="single"/>
        </w:rPr>
        <w:t>、招标文件、投标文件及评标过程中形成的文字资料、询标纪要均作为本合同的组成部分，具有同等效力。本合同未尽事宜，遵照《民法典》有关条文执行。</w:t>
      </w:r>
    </w:p>
    <w:p w14:paraId="23D2D395">
      <w:pPr>
        <w:autoSpaceDE w:val="0"/>
        <w:autoSpaceDN w:val="0"/>
        <w:snapToGrid w:val="0"/>
        <w:spacing w:line="360" w:lineRule="auto"/>
        <w:ind w:firstLine="480" w:firstLineChars="200"/>
        <w:jc w:val="left"/>
        <w:rPr>
          <w:rFonts w:ascii="宋体" w:hAnsi="宋体" w:eastAsia="宋体"/>
          <w:color w:val="auto"/>
          <w:kern w:val="0"/>
          <w:sz w:val="24"/>
          <w:highlight w:val="none"/>
          <w:u w:val="single"/>
          <w:lang w:val="zh-CN"/>
        </w:rPr>
      </w:pPr>
      <w:r>
        <w:rPr>
          <w:rFonts w:ascii="宋体" w:hAnsi="宋体" w:eastAsia="宋体"/>
          <w:snapToGrid w:val="0"/>
          <w:color w:val="auto"/>
          <w:kern w:val="0"/>
          <w:sz w:val="24"/>
          <w:highlight w:val="none"/>
          <w:u w:val="single"/>
        </w:rPr>
        <w:t>7</w:t>
      </w:r>
      <w:r>
        <w:rPr>
          <w:rFonts w:hint="eastAsia" w:ascii="宋体" w:hAnsi="宋体" w:eastAsia="宋体"/>
          <w:snapToGrid w:val="0"/>
          <w:color w:val="auto"/>
          <w:kern w:val="0"/>
          <w:sz w:val="24"/>
          <w:highlight w:val="none"/>
          <w:u w:val="single"/>
        </w:rPr>
        <w:t>、本合同一式四份，具有同等法律效力，甲乙双方各执两份。</w:t>
      </w:r>
    </w:p>
    <w:p w14:paraId="04BF71BD">
      <w:pPr>
        <w:spacing w:before="312"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三、履约验收方案</w:t>
      </w:r>
    </w:p>
    <w:p w14:paraId="4012A9F6">
      <w:pPr>
        <w:spacing w:line="360" w:lineRule="auto"/>
        <w:jc w:val="left"/>
        <w:rPr>
          <w:rFonts w:ascii="宋体" w:hAnsi="宋体"/>
          <w:color w:val="auto"/>
          <w:sz w:val="24"/>
          <w:highlight w:val="none"/>
        </w:rPr>
      </w:pPr>
      <w:r>
        <w:rPr>
          <w:rFonts w:hint="eastAsia" w:ascii="宋体" w:hAnsi="宋体"/>
          <w:color w:val="auto"/>
          <w:sz w:val="24"/>
          <w:highlight w:val="none"/>
        </w:rPr>
        <w:t>（一）履约验收主体</w:t>
      </w:r>
    </w:p>
    <w:p w14:paraId="3BB47733">
      <w:pPr>
        <w:spacing w:line="360" w:lineRule="auto"/>
        <w:ind w:left="420" w:leftChars="200"/>
        <w:jc w:val="left"/>
        <w:rPr>
          <w:rFonts w:ascii="宋体" w:hAnsi="宋体"/>
          <w:color w:val="auto"/>
          <w:sz w:val="24"/>
          <w:highlight w:val="none"/>
          <w:u w:val="single"/>
        </w:rPr>
      </w:pPr>
      <w:r>
        <w:rPr>
          <w:rFonts w:hint="eastAsia" w:ascii="宋体" w:hAnsi="宋体"/>
          <w:color w:val="auto"/>
          <w:sz w:val="24"/>
          <w:highlight w:val="none"/>
        </w:rPr>
        <w:t>1.采购单位：杭州市</w:t>
      </w:r>
      <w:r>
        <w:rPr>
          <w:rFonts w:hint="eastAsia" w:ascii="宋体" w:hAnsi="宋体"/>
          <w:color w:val="auto"/>
          <w:sz w:val="24"/>
          <w:highlight w:val="none"/>
          <w:lang w:eastAsia="zh-CN"/>
        </w:rPr>
        <w:t>余杭区</w:t>
      </w:r>
      <w:r>
        <w:rPr>
          <w:rFonts w:hint="eastAsia" w:ascii="宋体" w:hAnsi="宋体"/>
          <w:color w:val="auto"/>
          <w:sz w:val="24"/>
          <w:highlight w:val="none"/>
        </w:rPr>
        <w:t>发展和改革局</w:t>
      </w:r>
    </w:p>
    <w:p w14:paraId="3643992F">
      <w:pPr>
        <w:spacing w:line="360" w:lineRule="auto"/>
        <w:ind w:left="420" w:leftChars="200"/>
        <w:jc w:val="left"/>
        <w:rPr>
          <w:rFonts w:ascii="宋体" w:hAnsi="宋体" w:eastAsia="宋体"/>
          <w:color w:val="auto"/>
          <w:sz w:val="24"/>
          <w:highlight w:val="none"/>
          <w:u w:val="single"/>
        </w:rPr>
      </w:pPr>
      <w:r>
        <w:rPr>
          <w:rFonts w:ascii="宋体" w:hAnsi="宋体" w:eastAsia="宋体"/>
          <w:color w:val="auto"/>
          <w:sz w:val="24"/>
          <w:highlight w:val="none"/>
        </w:rPr>
        <w:t>2.是否选择代理机构：</w:t>
      </w:r>
      <w:r>
        <w:rPr>
          <w:rFonts w:ascii="宋体" w:hAnsi="宋体" w:eastAsia="宋体"/>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olor w:val="auto"/>
          <w:sz w:val="24"/>
          <w:highlight w:val="none"/>
        </w:rPr>
        <w:t>是</w:t>
      </w:r>
      <w:r>
        <w:rPr>
          <w:rFonts w:ascii="宋体" w:hAnsi="宋体" w:eastAsia="宋体"/>
          <w:color w:val="auto"/>
          <w:sz w:val="24"/>
          <w:highlight w:val="none"/>
        </w:rPr>
        <w:tab/>
      </w:r>
      <w:r>
        <w:rPr>
          <w:rFonts w:ascii="宋体" w:hAnsi="宋体" w:eastAsia="宋体" w:cs="仿宋_GB2312"/>
          <w:color w:val="auto"/>
          <w:sz w:val="24"/>
          <w:highlight w:val="none"/>
        </w:rPr>
        <w:sym w:font="Wingdings 2" w:char="0052"/>
      </w:r>
      <w:r>
        <w:rPr>
          <w:rFonts w:hint="eastAsia" w:ascii="宋体" w:hAnsi="宋体" w:eastAsia="宋体"/>
          <w:color w:val="auto"/>
          <w:sz w:val="24"/>
          <w:highlight w:val="none"/>
        </w:rPr>
        <w:t>否</w:t>
      </w:r>
    </w:p>
    <w:p w14:paraId="4A0E76A4">
      <w:pPr>
        <w:spacing w:line="360" w:lineRule="auto"/>
        <w:ind w:left="420" w:leftChars="200"/>
        <w:jc w:val="left"/>
        <w:rPr>
          <w:rFonts w:ascii="宋体" w:hAnsi="宋体" w:eastAsia="宋体"/>
          <w:color w:val="auto"/>
          <w:sz w:val="24"/>
          <w:highlight w:val="none"/>
          <w:u w:val="single"/>
        </w:rPr>
      </w:pPr>
      <w:r>
        <w:rPr>
          <w:rFonts w:ascii="宋体" w:hAnsi="宋体" w:eastAsia="宋体"/>
          <w:color w:val="auto"/>
          <w:sz w:val="24"/>
          <w:highlight w:val="none"/>
        </w:rPr>
        <w:t>3.是否邀请本项目的其他供应商：</w:t>
      </w:r>
      <w:r>
        <w:rPr>
          <w:rFonts w:ascii="宋体" w:hAnsi="宋体" w:eastAsia="宋体"/>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olor w:val="auto"/>
          <w:sz w:val="24"/>
          <w:highlight w:val="none"/>
        </w:rPr>
        <w:t>是</w:t>
      </w:r>
      <w:r>
        <w:rPr>
          <w:rFonts w:ascii="宋体" w:hAnsi="宋体" w:eastAsia="宋体"/>
          <w:color w:val="auto"/>
          <w:sz w:val="24"/>
          <w:highlight w:val="none"/>
        </w:rPr>
        <w:tab/>
      </w:r>
      <w:r>
        <w:rPr>
          <w:rFonts w:ascii="宋体" w:hAnsi="宋体" w:eastAsia="宋体" w:cs="仿宋_GB2312"/>
          <w:color w:val="auto"/>
          <w:sz w:val="24"/>
          <w:highlight w:val="none"/>
        </w:rPr>
        <w:sym w:font="Wingdings 2" w:char="F052"/>
      </w:r>
      <w:r>
        <w:rPr>
          <w:rFonts w:hint="eastAsia" w:ascii="宋体" w:hAnsi="宋体" w:eastAsia="宋体"/>
          <w:color w:val="auto"/>
          <w:sz w:val="24"/>
          <w:highlight w:val="none"/>
        </w:rPr>
        <w:t>否</w:t>
      </w:r>
    </w:p>
    <w:p w14:paraId="77DEEDCB">
      <w:pPr>
        <w:spacing w:line="360" w:lineRule="auto"/>
        <w:ind w:left="420" w:leftChars="200"/>
        <w:jc w:val="left"/>
        <w:rPr>
          <w:rFonts w:ascii="宋体" w:hAnsi="宋体" w:eastAsia="宋体"/>
          <w:color w:val="auto"/>
          <w:sz w:val="24"/>
          <w:highlight w:val="none"/>
        </w:rPr>
      </w:pPr>
      <w:r>
        <w:rPr>
          <w:rFonts w:ascii="宋体" w:hAnsi="宋体" w:eastAsia="宋体"/>
          <w:color w:val="auto"/>
          <w:sz w:val="24"/>
          <w:highlight w:val="none"/>
        </w:rPr>
        <w:t>4.是否邀请专家：</w:t>
      </w:r>
      <w:r>
        <w:rPr>
          <w:rFonts w:ascii="宋体" w:hAnsi="宋体" w:eastAsia="宋体"/>
          <w:color w:val="auto"/>
          <w:sz w:val="24"/>
          <w:highlight w:val="none"/>
        </w:rPr>
        <w:tab/>
      </w:r>
      <w:r>
        <w:rPr>
          <w:rFonts w:ascii="宋体" w:hAnsi="宋体" w:eastAsia="宋体" w:cs="仿宋_GB2312"/>
          <w:color w:val="auto"/>
          <w:sz w:val="24"/>
          <w:highlight w:val="none"/>
        </w:rPr>
        <w:sym w:font="Wingdings 2" w:char="F052"/>
      </w:r>
      <w:r>
        <w:rPr>
          <w:rFonts w:hint="eastAsia" w:ascii="宋体" w:hAnsi="宋体" w:eastAsia="宋体"/>
          <w:color w:val="auto"/>
          <w:sz w:val="24"/>
          <w:highlight w:val="none"/>
        </w:rPr>
        <w:t>是</w:t>
      </w:r>
      <w:r>
        <w:rPr>
          <w:rFonts w:ascii="宋体" w:hAnsi="宋体" w:eastAsia="宋体"/>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olor w:val="auto"/>
          <w:sz w:val="24"/>
          <w:highlight w:val="none"/>
        </w:rPr>
        <w:t>否</w:t>
      </w:r>
    </w:p>
    <w:p w14:paraId="225EEB29">
      <w:pPr>
        <w:spacing w:line="360" w:lineRule="auto"/>
        <w:ind w:left="420" w:leftChars="200"/>
        <w:jc w:val="left"/>
        <w:rPr>
          <w:rFonts w:ascii="宋体" w:hAnsi="宋体" w:eastAsia="宋体"/>
          <w:color w:val="auto"/>
          <w:sz w:val="24"/>
          <w:highlight w:val="none"/>
        </w:rPr>
      </w:pPr>
      <w:r>
        <w:rPr>
          <w:rFonts w:ascii="宋体" w:hAnsi="宋体" w:eastAsia="宋体"/>
          <w:color w:val="auto"/>
          <w:sz w:val="24"/>
          <w:highlight w:val="none"/>
        </w:rPr>
        <w:t>5.是否邀请服务对象：</w:t>
      </w:r>
      <w:r>
        <w:rPr>
          <w:rFonts w:ascii="宋体" w:hAnsi="宋体" w:eastAsia="宋体"/>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olor w:val="auto"/>
          <w:sz w:val="24"/>
          <w:highlight w:val="none"/>
        </w:rPr>
        <w:t>是</w:t>
      </w:r>
      <w:r>
        <w:rPr>
          <w:rFonts w:ascii="宋体" w:hAnsi="宋体" w:eastAsia="宋体"/>
          <w:color w:val="auto"/>
          <w:sz w:val="24"/>
          <w:highlight w:val="none"/>
        </w:rPr>
        <w:tab/>
      </w:r>
      <w:r>
        <w:rPr>
          <w:rFonts w:ascii="宋体" w:hAnsi="宋体" w:eastAsia="宋体" w:cs="仿宋_GB2312"/>
          <w:color w:val="auto"/>
          <w:sz w:val="24"/>
          <w:highlight w:val="none"/>
        </w:rPr>
        <w:sym w:font="Wingdings 2" w:char="F052"/>
      </w:r>
      <w:r>
        <w:rPr>
          <w:rFonts w:hint="eastAsia" w:ascii="宋体" w:hAnsi="宋体" w:eastAsia="宋体"/>
          <w:color w:val="auto"/>
          <w:sz w:val="24"/>
          <w:highlight w:val="none"/>
        </w:rPr>
        <w:t>否</w:t>
      </w:r>
    </w:p>
    <w:p w14:paraId="158F2AD8">
      <w:pPr>
        <w:spacing w:line="360" w:lineRule="auto"/>
        <w:ind w:firstLine="420"/>
        <w:jc w:val="left"/>
        <w:rPr>
          <w:rFonts w:ascii="宋体" w:hAnsi="宋体"/>
          <w:color w:val="auto"/>
          <w:sz w:val="24"/>
          <w:highlight w:val="none"/>
        </w:rPr>
      </w:pPr>
      <w:r>
        <w:rPr>
          <w:rFonts w:hint="eastAsia" w:ascii="宋体" w:hAnsi="宋体"/>
          <w:color w:val="auto"/>
          <w:sz w:val="24"/>
          <w:highlight w:val="none"/>
        </w:rPr>
        <w:t>6.其他</w:t>
      </w:r>
    </w:p>
    <w:p w14:paraId="51EB2186">
      <w:pPr>
        <w:spacing w:line="360" w:lineRule="auto"/>
        <w:jc w:val="left"/>
        <w:rPr>
          <w:rFonts w:ascii="宋体" w:hAnsi="宋体"/>
          <w:color w:val="auto"/>
          <w:sz w:val="24"/>
          <w:highlight w:val="none"/>
          <w:u w:val="single"/>
        </w:rPr>
      </w:pPr>
      <w:r>
        <w:rPr>
          <w:rFonts w:hint="eastAsia" w:ascii="宋体" w:hAnsi="宋体"/>
          <w:color w:val="auto"/>
          <w:sz w:val="24"/>
          <w:highlight w:val="none"/>
          <w:u w:val="single"/>
          <w:lang w:val="en-US" w:eastAsia="zh-CN"/>
        </w:rPr>
        <w:t>无。</w:t>
      </w:r>
      <w:r>
        <w:rPr>
          <w:rFonts w:hint="eastAsia" w:ascii="宋体" w:hAnsi="宋体"/>
          <w:color w:val="auto"/>
          <w:sz w:val="24"/>
          <w:highlight w:val="none"/>
          <w:u w:val="single"/>
        </w:rPr>
        <w:t xml:space="preserve">               </w:t>
      </w:r>
    </w:p>
    <w:p w14:paraId="200462FC">
      <w:pPr>
        <w:numPr>
          <w:ilvl w:val="0"/>
          <w:numId w:val="3"/>
        </w:numPr>
        <w:spacing w:line="360" w:lineRule="auto"/>
        <w:jc w:val="left"/>
        <w:rPr>
          <w:rFonts w:ascii="宋体" w:hAnsi="宋体" w:eastAsia="宋体"/>
          <w:color w:val="auto"/>
          <w:sz w:val="24"/>
          <w:highlight w:val="none"/>
          <w:u w:val="single"/>
        </w:rPr>
      </w:pPr>
      <w:r>
        <w:rPr>
          <w:rFonts w:hint="eastAsia" w:ascii="宋体" w:hAnsi="宋体"/>
          <w:color w:val="auto"/>
          <w:sz w:val="24"/>
          <w:highlight w:val="none"/>
        </w:rPr>
        <w:t>履约验收时间：</w:t>
      </w:r>
      <w:r>
        <w:rPr>
          <w:rFonts w:ascii="宋体" w:hAnsi="宋体" w:eastAsia="宋体"/>
          <w:color w:val="auto"/>
          <w:sz w:val="24"/>
          <w:highlight w:val="none"/>
          <w:u w:val="single"/>
        </w:rPr>
        <w:t xml:space="preserve"> 项目服务期结束</w:t>
      </w:r>
      <w:r>
        <w:rPr>
          <w:rFonts w:hint="eastAsia" w:ascii="宋体" w:hAnsi="宋体" w:eastAsia="宋体"/>
          <w:color w:val="auto"/>
          <w:sz w:val="24"/>
          <w:highlight w:val="none"/>
          <w:u w:val="single"/>
          <w:lang w:eastAsia="zh-CN"/>
        </w:rPr>
        <w:t>。</w:t>
      </w:r>
    </w:p>
    <w:p w14:paraId="724CE4A8">
      <w:pPr>
        <w:numPr>
          <w:ilvl w:val="0"/>
          <w:numId w:val="3"/>
        </w:numPr>
        <w:spacing w:line="360" w:lineRule="auto"/>
        <w:jc w:val="left"/>
        <w:rPr>
          <w:rFonts w:ascii="宋体" w:hAnsi="宋体"/>
          <w:color w:val="auto"/>
          <w:sz w:val="24"/>
          <w:highlight w:val="none"/>
        </w:rPr>
      </w:pPr>
      <w:r>
        <w:rPr>
          <w:rFonts w:hint="eastAsia" w:ascii="宋体" w:hAnsi="宋体"/>
          <w:color w:val="auto"/>
          <w:sz w:val="24"/>
          <w:highlight w:val="none"/>
        </w:rPr>
        <w:t>履约验收方式：</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简易程序</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s="仿宋_GB2312"/>
          <w:color w:val="auto"/>
          <w:sz w:val="24"/>
          <w:highlight w:val="none"/>
        </w:rPr>
        <w:sym w:font="Wingdings 2" w:char="0052"/>
      </w:r>
      <w:r>
        <w:rPr>
          <w:rFonts w:hint="eastAsia" w:ascii="宋体" w:hAnsi="宋体"/>
          <w:color w:val="auto"/>
          <w:sz w:val="24"/>
          <w:highlight w:val="none"/>
        </w:rPr>
        <w:t>一般程序</w:t>
      </w:r>
    </w:p>
    <w:p w14:paraId="06542A9B">
      <w:pPr>
        <w:spacing w:line="360" w:lineRule="auto"/>
        <w:jc w:val="left"/>
        <w:rPr>
          <w:rFonts w:ascii="宋体" w:hAnsi="宋体"/>
          <w:color w:val="auto"/>
          <w:sz w:val="24"/>
          <w:highlight w:val="none"/>
        </w:rPr>
      </w:pPr>
      <w:r>
        <w:rPr>
          <w:rFonts w:hint="eastAsia" w:ascii="宋体" w:hAnsi="宋体"/>
          <w:color w:val="auto"/>
          <w:sz w:val="24"/>
          <w:highlight w:val="none"/>
        </w:rPr>
        <w:t>（四）履约验收程序：</w:t>
      </w:r>
      <w:r>
        <w:rPr>
          <w:rFonts w:hint="eastAsia" w:ascii="宋体" w:hAnsi="宋体"/>
          <w:color w:val="auto"/>
          <w:sz w:val="24"/>
          <w:highlight w:val="none"/>
        </w:rPr>
        <w:tab/>
      </w:r>
      <w:r>
        <w:rPr>
          <w:rFonts w:hint="eastAsia" w:ascii="宋体" w:hAnsi="宋体" w:cs="仿宋_GB2312"/>
          <w:color w:val="auto"/>
          <w:sz w:val="24"/>
          <w:highlight w:val="none"/>
        </w:rPr>
        <w:sym w:font="Wingdings 2" w:char="0052"/>
      </w:r>
      <w:r>
        <w:rPr>
          <w:rFonts w:hint="eastAsia" w:ascii="宋体" w:hAnsi="宋体"/>
          <w:color w:val="auto"/>
          <w:sz w:val="24"/>
          <w:highlight w:val="none"/>
        </w:rPr>
        <w:t>一次性验收</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分段验收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分期验收</w:t>
      </w:r>
    </w:p>
    <w:p w14:paraId="13894147">
      <w:pPr>
        <w:spacing w:line="360" w:lineRule="auto"/>
        <w:jc w:val="left"/>
        <w:rPr>
          <w:rFonts w:ascii="宋体" w:hAnsi="宋体"/>
          <w:color w:val="auto"/>
          <w:sz w:val="24"/>
          <w:highlight w:val="none"/>
        </w:rPr>
      </w:pPr>
      <w:r>
        <w:rPr>
          <w:rFonts w:hint="eastAsia" w:ascii="宋体" w:hAnsi="宋体"/>
          <w:color w:val="auto"/>
          <w:sz w:val="24"/>
          <w:highlight w:val="none"/>
        </w:rPr>
        <w:t>（五）履约验收内容</w:t>
      </w:r>
    </w:p>
    <w:p w14:paraId="59E021A0">
      <w:pPr>
        <w:pStyle w:val="18"/>
        <w:ind w:firstLine="480"/>
        <w:rPr>
          <w:rFonts w:ascii="宋体" w:hAnsi="宋体" w:eastAsia="宋体" w:cs="仿宋"/>
          <w:color w:val="auto"/>
          <w:highlight w:val="none"/>
          <w:u w:val="single"/>
        </w:rPr>
      </w:pPr>
      <w:bookmarkStart w:id="3" w:name="_Toc9028"/>
      <w:bookmarkStart w:id="4" w:name="_Hlk102914293"/>
      <w:r>
        <w:rPr>
          <w:rFonts w:ascii="宋体" w:hAnsi="宋体" w:eastAsia="宋体" w:cs="仿宋"/>
          <w:color w:val="auto"/>
          <w:highlight w:val="none"/>
          <w:u w:val="single"/>
        </w:rPr>
        <w:t>1.</w:t>
      </w:r>
      <w:r>
        <w:rPr>
          <w:rFonts w:hint="eastAsia" w:ascii="宋体" w:hAnsi="宋体" w:eastAsia="宋体" w:cs="仿宋"/>
          <w:color w:val="auto"/>
          <w:highlight w:val="none"/>
          <w:u w:val="single"/>
        </w:rPr>
        <w:t>验收组织和程序</w:t>
      </w:r>
      <w:bookmarkEnd w:id="3"/>
    </w:p>
    <w:p w14:paraId="4DD88C4D">
      <w:pPr>
        <w:pStyle w:val="18"/>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1）根据《中华人民共和国政府采购法》、《中华人民共和国民法典》、《中华</w:t>
      </w:r>
      <w:r>
        <w:rPr>
          <w:rFonts w:hint="eastAsia" w:ascii="宋体" w:hAnsi="宋体" w:eastAsia="宋体" w:cs="仿宋"/>
          <w:color w:val="auto"/>
          <w:highlight w:val="none"/>
          <w:u w:val="single"/>
        </w:rPr>
        <w:t>人民共和国政府采购法实施条例》、财政部《财政部关于进一步加强政府采购需求和履约验收管理的指导意见》（财库</w:t>
      </w:r>
      <w:r>
        <w:rPr>
          <w:rFonts w:ascii="宋体" w:hAnsi="宋体" w:eastAsia="宋体" w:cs="仿宋"/>
          <w:color w:val="auto"/>
          <w:highlight w:val="none"/>
          <w:u w:val="single"/>
        </w:rPr>
        <w:t>[2016]205号）、杭州市财政局《杭州市政府采购履约验收暂行办法》（</w:t>
      </w:r>
      <w:r>
        <w:rPr>
          <w:rFonts w:hint="eastAsia" w:ascii="宋体" w:hAnsi="宋体" w:eastAsia="宋体" w:cs="仿宋"/>
          <w:color w:val="auto"/>
          <w:highlight w:val="none"/>
          <w:u w:val="single"/>
        </w:rPr>
        <w:t>杭财采监</w:t>
      </w:r>
      <w:r>
        <w:rPr>
          <w:rFonts w:ascii="宋体" w:hAnsi="宋体" w:eastAsia="宋体" w:cs="仿宋"/>
          <w:color w:val="auto"/>
          <w:highlight w:val="none"/>
          <w:u w:val="single"/>
        </w:rPr>
        <w:t>[2019]10号）等</w:t>
      </w:r>
      <w:bookmarkStart w:id="18" w:name="_GoBack"/>
      <w:bookmarkEnd w:id="18"/>
      <w:r>
        <w:rPr>
          <w:rFonts w:ascii="宋体" w:hAnsi="宋体" w:eastAsia="宋体" w:cs="仿宋"/>
          <w:color w:val="auto"/>
          <w:highlight w:val="none"/>
          <w:u w:val="single"/>
        </w:rPr>
        <w:t>相关法律、法规、规范性文件要求组织验收。</w:t>
      </w:r>
    </w:p>
    <w:p w14:paraId="75AA88D7">
      <w:pPr>
        <w:pStyle w:val="18"/>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2）验收方法：验收小组验收。</w:t>
      </w:r>
    </w:p>
    <w:p w14:paraId="677A6C6C">
      <w:pPr>
        <w:pStyle w:val="18"/>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3）验收小组组建方式：</w:t>
      </w:r>
      <w:r>
        <w:rPr>
          <w:rFonts w:hint="eastAsia" w:ascii="宋体" w:hAnsi="宋体" w:eastAsia="宋体" w:cs="仿宋"/>
          <w:color w:val="auto"/>
          <w:highlight w:val="none"/>
          <w:u w:val="single"/>
        </w:rPr>
        <w:t>项目验收负责人组织</w:t>
      </w:r>
      <w:r>
        <w:rPr>
          <w:rFonts w:ascii="宋体" w:hAnsi="宋体" w:eastAsia="宋体" w:cs="仿宋"/>
          <w:color w:val="auto"/>
          <w:highlight w:val="none"/>
          <w:u w:val="single"/>
        </w:rPr>
        <w:t>验收小组，验收小组由</w:t>
      </w:r>
      <w:r>
        <w:rPr>
          <w:rFonts w:hint="eastAsia" w:ascii="宋体" w:hAnsi="宋体" w:eastAsia="宋体" w:cs="仿宋"/>
          <w:color w:val="auto"/>
          <w:highlight w:val="none"/>
          <w:u w:val="single"/>
        </w:rPr>
        <w:t>相关</w:t>
      </w:r>
      <w:r>
        <w:rPr>
          <w:rFonts w:ascii="宋体" w:hAnsi="宋体" w:eastAsia="宋体" w:cs="仿宋"/>
          <w:color w:val="auto"/>
          <w:highlight w:val="none"/>
          <w:u w:val="single"/>
        </w:rPr>
        <w:t>专家和用户代表</w:t>
      </w:r>
      <w:r>
        <w:rPr>
          <w:rFonts w:hint="eastAsia" w:ascii="宋体" w:hAnsi="宋体" w:eastAsia="宋体" w:cs="仿宋"/>
          <w:color w:val="auto"/>
          <w:highlight w:val="none"/>
          <w:u w:val="single"/>
        </w:rPr>
        <w:t>按相关规定</w:t>
      </w:r>
      <w:r>
        <w:rPr>
          <w:rFonts w:ascii="宋体" w:hAnsi="宋体" w:eastAsia="宋体" w:cs="仿宋"/>
          <w:color w:val="auto"/>
          <w:highlight w:val="none"/>
          <w:u w:val="single"/>
        </w:rPr>
        <w:t>组成。验收小组负责实施具体的验收活动。采购人可以邀请其他单位的相关专业人员参加验收小组。验收小组推选一名组长，主持验收小组的工作。</w:t>
      </w:r>
    </w:p>
    <w:p w14:paraId="2E1EC206">
      <w:pPr>
        <w:pStyle w:val="18"/>
        <w:ind w:firstLine="480"/>
        <w:rPr>
          <w:rFonts w:ascii="宋体" w:hAnsi="宋体" w:eastAsia="宋体" w:cs="仿宋"/>
          <w:color w:val="auto"/>
          <w:highlight w:val="none"/>
          <w:u w:val="single"/>
        </w:rPr>
      </w:pPr>
      <w:r>
        <w:rPr>
          <w:rFonts w:hint="eastAsia" w:ascii="宋体" w:hAnsi="宋体" w:eastAsia="宋体" w:cs="仿宋"/>
          <w:color w:val="auto"/>
          <w:highlight w:val="none"/>
          <w:u w:val="single"/>
        </w:rPr>
        <w:t>（</w:t>
      </w:r>
      <w:r>
        <w:rPr>
          <w:rFonts w:ascii="宋体" w:hAnsi="宋体" w:eastAsia="宋体" w:cs="仿宋"/>
          <w:color w:val="auto"/>
          <w:highlight w:val="none"/>
          <w:u w:val="single"/>
        </w:rPr>
        <w:t>4）验收流程：</w:t>
      </w:r>
    </w:p>
    <w:p w14:paraId="51A6540B">
      <w:pPr>
        <w:pStyle w:val="18"/>
        <w:ind w:firstLine="480"/>
        <w:rPr>
          <w:rFonts w:ascii="宋体" w:hAnsi="宋体" w:eastAsia="宋体" w:cs="仿宋"/>
          <w:color w:val="auto"/>
          <w:highlight w:val="none"/>
          <w:u w:val="single"/>
        </w:rPr>
      </w:pPr>
      <w:r>
        <w:rPr>
          <w:rFonts w:ascii="宋体" w:hAnsi="宋体" w:eastAsia="宋体" w:cs="仿宋"/>
          <w:color w:val="auto"/>
          <w:highlight w:val="none"/>
          <w:u w:val="single"/>
        </w:rPr>
        <w:t>1）</w:t>
      </w:r>
      <w:r>
        <w:rPr>
          <w:rFonts w:hint="eastAsia" w:ascii="宋体" w:hAnsi="宋体" w:eastAsia="宋体" w:cs="仿宋"/>
          <w:color w:val="auto"/>
          <w:highlight w:val="none"/>
          <w:u w:val="single"/>
        </w:rPr>
        <w:t>项目验收负责人</w:t>
      </w:r>
      <w:r>
        <w:rPr>
          <w:rFonts w:ascii="宋体" w:hAnsi="宋体" w:eastAsia="宋体" w:cs="仿宋"/>
          <w:color w:val="auto"/>
          <w:highlight w:val="none"/>
          <w:u w:val="single"/>
        </w:rPr>
        <w:t>根据验收方案组织验收小组现场验收，并准备验收材料并通知各验收参与方在指定时间指定地点联合验收，包括采购人、供应商、验收小组、其他验收参与方等。</w:t>
      </w:r>
    </w:p>
    <w:p w14:paraId="11381C04">
      <w:pPr>
        <w:pStyle w:val="18"/>
        <w:ind w:firstLine="480"/>
        <w:rPr>
          <w:rFonts w:ascii="宋体" w:hAnsi="宋体" w:eastAsia="宋体" w:cs="仿宋"/>
          <w:color w:val="auto"/>
          <w:highlight w:val="none"/>
          <w:u w:val="single"/>
        </w:rPr>
      </w:pPr>
      <w:r>
        <w:rPr>
          <w:rFonts w:ascii="宋体" w:hAnsi="宋体" w:eastAsia="宋体" w:cs="仿宋"/>
          <w:color w:val="auto"/>
          <w:highlight w:val="none"/>
          <w:u w:val="singl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eastAsia="宋体" w:cs="仿宋"/>
          <w:color w:val="auto"/>
          <w:highlight w:val="none"/>
          <w:u w:val="single"/>
        </w:rPr>
        <w:t>作出实质性修改的，应当报经采购人同意。</w:t>
      </w:r>
    </w:p>
    <w:p w14:paraId="2A3FE25A">
      <w:pPr>
        <w:pStyle w:val="18"/>
        <w:ind w:firstLine="480"/>
        <w:rPr>
          <w:rFonts w:ascii="宋体" w:hAnsi="宋体" w:eastAsia="宋体" w:cs="仿宋"/>
          <w:color w:val="auto"/>
          <w:highlight w:val="none"/>
          <w:u w:val="single"/>
        </w:rPr>
      </w:pPr>
      <w:r>
        <w:rPr>
          <w:rFonts w:ascii="宋体" w:hAnsi="宋体" w:eastAsia="宋体" w:cs="仿宋"/>
          <w:color w:val="auto"/>
          <w:highlight w:val="none"/>
          <w:u w:val="single"/>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1D02F0FA">
      <w:pPr>
        <w:pStyle w:val="18"/>
        <w:ind w:firstLine="480"/>
        <w:rPr>
          <w:rFonts w:ascii="宋体" w:hAnsi="宋体" w:eastAsia="宋体" w:cs="仿宋"/>
          <w:color w:val="auto"/>
          <w:highlight w:val="none"/>
          <w:u w:val="single"/>
        </w:rPr>
      </w:pPr>
      <w:r>
        <w:rPr>
          <w:rFonts w:ascii="宋体" w:hAnsi="宋体" w:eastAsia="宋体" w:cs="仿宋"/>
          <w:color w:val="auto"/>
          <w:highlight w:val="none"/>
          <w:u w:val="single"/>
        </w:rPr>
        <w:t>4）出具验收报告。验收结束后，验收小组应当出具验收报告，报告采购人。验收报告应当根据验收方案制作，以书面形式</w:t>
      </w:r>
      <w:r>
        <w:rPr>
          <w:rFonts w:hint="eastAsia" w:ascii="宋体" w:hAnsi="宋体" w:eastAsia="宋体" w:cs="仿宋"/>
          <w:color w:val="auto"/>
          <w:highlight w:val="none"/>
          <w:u w:val="single"/>
        </w:rPr>
        <w:t>作出结论性意见，并经验收小组全体成员签字。验收小组成员对验收报告载明的结论有异议的，应当在验收报告上签署不同意并说明理由，否则视为同意验收结论。</w:t>
      </w:r>
    </w:p>
    <w:p w14:paraId="25B5CC5E">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5）验收不合格的，采购人应责令供应商采取补救措施，向供应商发出整改通知书，并依法及时处理。整改结束后，由供应商通知采购人或其委托的验收组织机构重新验收。</w:t>
      </w:r>
    </w:p>
    <w:p w14:paraId="23DF47C6">
      <w:pPr>
        <w:pStyle w:val="8"/>
        <w:spacing w:after="120" w:line="360" w:lineRule="auto"/>
        <w:rPr>
          <w:rFonts w:ascii="宋体" w:hAnsi="宋体" w:eastAsia="宋体" w:cs="仿宋"/>
          <w:color w:val="auto"/>
          <w:sz w:val="24"/>
          <w:szCs w:val="24"/>
          <w:highlight w:val="none"/>
          <w:u w:val="single"/>
        </w:rPr>
      </w:pPr>
      <w:bookmarkStart w:id="5" w:name="_Toc8526"/>
      <w:r>
        <w:rPr>
          <w:rFonts w:ascii="宋体" w:hAnsi="宋体" w:eastAsia="宋体" w:cs="仿宋"/>
          <w:color w:val="auto"/>
          <w:sz w:val="24"/>
          <w:szCs w:val="24"/>
          <w:highlight w:val="none"/>
          <w:u w:val="single"/>
        </w:rPr>
        <w:t>2.</w:t>
      </w:r>
      <w:r>
        <w:rPr>
          <w:rFonts w:hint="eastAsia" w:ascii="宋体" w:hAnsi="宋体" w:eastAsia="宋体" w:cs="仿宋"/>
          <w:color w:val="auto"/>
          <w:sz w:val="24"/>
          <w:szCs w:val="24"/>
          <w:highlight w:val="none"/>
          <w:u w:val="single"/>
        </w:rPr>
        <w:t>履约验收内容</w:t>
      </w:r>
      <w:bookmarkEnd w:id="5"/>
    </w:p>
    <w:p w14:paraId="0B91639A">
      <w:pPr>
        <w:pStyle w:val="8"/>
        <w:spacing w:after="120" w:line="360" w:lineRule="auto"/>
        <w:rPr>
          <w:rFonts w:ascii="宋体" w:hAnsi="宋体" w:eastAsia="宋体" w:cs="仿宋"/>
          <w:color w:val="auto"/>
          <w:sz w:val="24"/>
          <w:szCs w:val="24"/>
          <w:highlight w:val="none"/>
          <w:u w:val="single"/>
        </w:rPr>
      </w:pPr>
      <w:bookmarkStart w:id="6" w:name="_Toc354"/>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技术履约内容</w:t>
      </w:r>
    </w:p>
    <w:p w14:paraId="6A97B5B2">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）满足所有采购需求及响应文件承诺；</w:t>
      </w:r>
    </w:p>
    <w:p w14:paraId="5B3074DF">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2）拟投服务团队人员全部到位，与</w:t>
      </w:r>
      <w:r>
        <w:rPr>
          <w:rFonts w:hint="eastAsia" w:ascii="宋体" w:hAnsi="宋体" w:eastAsia="宋体" w:cs="仿宋"/>
          <w:color w:val="auto"/>
          <w:sz w:val="24"/>
          <w:szCs w:val="24"/>
          <w:highlight w:val="none"/>
          <w:u w:val="single"/>
        </w:rPr>
        <w:t>响应</w:t>
      </w:r>
      <w:r>
        <w:rPr>
          <w:rFonts w:ascii="宋体" w:hAnsi="宋体" w:eastAsia="宋体" w:cs="仿宋"/>
          <w:color w:val="auto"/>
          <w:sz w:val="24"/>
          <w:szCs w:val="24"/>
          <w:highlight w:val="none"/>
          <w:u w:val="single"/>
        </w:rPr>
        <w:t>文件人员信息清单一致</w:t>
      </w:r>
      <w:r>
        <w:rPr>
          <w:rFonts w:hint="eastAsia" w:ascii="宋体" w:hAnsi="宋体" w:eastAsia="宋体" w:cs="仿宋"/>
          <w:color w:val="auto"/>
          <w:sz w:val="24"/>
          <w:szCs w:val="24"/>
          <w:highlight w:val="none"/>
          <w:u w:val="single"/>
        </w:rPr>
        <w:t>。</w:t>
      </w:r>
    </w:p>
    <w:p w14:paraId="64EF15C6">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2.商务履约内容</w:t>
      </w:r>
    </w:p>
    <w:p w14:paraId="302C57F0">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）服务周期满足采购要求。</w:t>
      </w:r>
    </w:p>
    <w:p w14:paraId="1E305476">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3.</w:t>
      </w:r>
      <w:r>
        <w:rPr>
          <w:rFonts w:hint="eastAsia" w:ascii="宋体" w:hAnsi="宋体" w:eastAsia="宋体" w:cs="仿宋"/>
          <w:color w:val="auto"/>
          <w:sz w:val="24"/>
          <w:szCs w:val="24"/>
          <w:highlight w:val="none"/>
          <w:u w:val="single"/>
        </w:rPr>
        <w:t>验收标准</w:t>
      </w:r>
      <w:bookmarkEnd w:id="6"/>
    </w:p>
    <w:p w14:paraId="4D36DE95">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1</w:t>
      </w:r>
      <w:r>
        <w:rPr>
          <w:rFonts w:hint="eastAsia" w:ascii="宋体" w:hAnsi="宋体" w:eastAsia="宋体" w:cs="仿宋"/>
          <w:color w:val="auto"/>
          <w:sz w:val="24"/>
          <w:szCs w:val="24"/>
          <w:highlight w:val="none"/>
          <w:u w:val="single"/>
        </w:rPr>
        <w:t>）满足所有采购需求及响应文件承诺；</w:t>
      </w:r>
    </w:p>
    <w:p w14:paraId="167FB6A2">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2）拟投服务团队人员全部到位，与</w:t>
      </w:r>
      <w:r>
        <w:rPr>
          <w:rFonts w:hint="eastAsia" w:ascii="宋体" w:hAnsi="宋体" w:eastAsia="宋体" w:cs="仿宋"/>
          <w:color w:val="auto"/>
          <w:sz w:val="24"/>
          <w:szCs w:val="24"/>
          <w:highlight w:val="none"/>
          <w:u w:val="single"/>
        </w:rPr>
        <w:t>响应</w:t>
      </w:r>
      <w:r>
        <w:rPr>
          <w:rFonts w:ascii="宋体" w:hAnsi="宋体" w:eastAsia="宋体" w:cs="仿宋"/>
          <w:color w:val="auto"/>
          <w:sz w:val="24"/>
          <w:szCs w:val="24"/>
          <w:highlight w:val="none"/>
          <w:u w:val="single"/>
        </w:rPr>
        <w:t>文件人员信息清单一致；</w:t>
      </w:r>
    </w:p>
    <w:p w14:paraId="141A4844">
      <w:pPr>
        <w:pStyle w:val="8"/>
        <w:spacing w:after="120"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3</w:t>
      </w:r>
      <w:r>
        <w:rPr>
          <w:rFonts w:hint="eastAsia" w:ascii="宋体" w:hAnsi="宋体" w:eastAsia="宋体" w:cs="仿宋"/>
          <w:color w:val="auto"/>
          <w:sz w:val="24"/>
          <w:szCs w:val="24"/>
          <w:highlight w:val="none"/>
          <w:u w:val="single"/>
        </w:rPr>
        <w:t>）项目验收资料齐全；</w:t>
      </w:r>
    </w:p>
    <w:p w14:paraId="0F69C134">
      <w:pPr>
        <w:spacing w:line="360" w:lineRule="auto"/>
        <w:ind w:firstLine="480" w:firstLineChars="200"/>
        <w:jc w:val="left"/>
        <w:rPr>
          <w:rFonts w:ascii="宋体" w:hAnsi="宋体" w:eastAsia="宋体" w:cs="仿宋"/>
          <w:color w:val="auto"/>
          <w:sz w:val="24"/>
          <w:highlight w:val="none"/>
          <w:u w:val="single"/>
        </w:rPr>
      </w:pPr>
      <w:bookmarkStart w:id="7" w:name="_Toc24191"/>
      <w:bookmarkStart w:id="8" w:name="_Toc100838239"/>
      <w:r>
        <w:rPr>
          <w:rFonts w:ascii="宋体" w:hAnsi="宋体" w:eastAsia="宋体" w:cs="仿宋"/>
          <w:color w:val="auto"/>
          <w:sz w:val="24"/>
          <w:highlight w:val="none"/>
          <w:u w:val="single"/>
        </w:rPr>
        <w:t>4.</w:t>
      </w:r>
      <w:r>
        <w:rPr>
          <w:rFonts w:hint="eastAsia" w:ascii="宋体" w:hAnsi="宋体" w:eastAsia="宋体" w:cs="仿宋"/>
          <w:color w:val="auto"/>
          <w:sz w:val="24"/>
          <w:highlight w:val="none"/>
          <w:u w:val="single"/>
        </w:rPr>
        <w:t>履约验收其他事项</w:t>
      </w:r>
      <w:bookmarkEnd w:id="7"/>
      <w:bookmarkEnd w:id="8"/>
    </w:p>
    <w:p w14:paraId="146AA79A">
      <w:pPr>
        <w:pStyle w:val="19"/>
        <w:spacing w:after="120" w:line="360" w:lineRule="auto"/>
        <w:ind w:firstLine="48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u w:val="single"/>
        </w:rPr>
        <w:t>（</w:t>
      </w:r>
      <w:r>
        <w:rPr>
          <w:rFonts w:ascii="宋体" w:hAnsi="宋体" w:eastAsia="宋体" w:cs="仿宋"/>
          <w:color w:val="auto"/>
          <w:sz w:val="24"/>
          <w:szCs w:val="24"/>
          <w:highlight w:val="none"/>
          <w:u w:val="single"/>
        </w:rPr>
        <w:t>1）采购人在供应商提供相关服务的过程中，有权不定期对服务内容和质量进行考核。供应商提供相关服务过程中有违反合同约定、不达约定标准情况</w:t>
      </w:r>
      <w:r>
        <w:rPr>
          <w:rFonts w:hint="eastAsia" w:ascii="宋体" w:hAnsi="宋体" w:eastAsia="宋体" w:cs="仿宋"/>
          <w:color w:val="auto"/>
          <w:sz w:val="24"/>
          <w:szCs w:val="24"/>
          <w:highlight w:val="none"/>
          <w:u w:val="single"/>
        </w:rPr>
        <w:t>的，采购人有权要求供应商限期整改，供应商未按采购人</w:t>
      </w:r>
      <w:r>
        <w:rPr>
          <w:rFonts w:ascii="宋体" w:hAnsi="宋体" w:eastAsia="宋体" w:cs="仿宋"/>
          <w:color w:val="auto"/>
          <w:sz w:val="24"/>
          <w:szCs w:val="24"/>
          <w:highlight w:val="none"/>
          <w:u w:val="single"/>
        </w:rPr>
        <w:t>要求整改的，采购人有权拒绝验收，供应商应承担相应的违约责任。</w:t>
      </w:r>
    </w:p>
    <w:p w14:paraId="0A3DB450">
      <w:pPr>
        <w:pStyle w:val="19"/>
        <w:spacing w:after="120" w:line="360" w:lineRule="auto"/>
        <w:ind w:firstLine="48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u w:val="single"/>
        </w:rPr>
        <w:t>（</w:t>
      </w:r>
      <w:r>
        <w:rPr>
          <w:rFonts w:ascii="宋体" w:hAnsi="宋体" w:eastAsia="宋体" w:cs="仿宋"/>
          <w:color w:val="auto"/>
          <w:sz w:val="24"/>
          <w:szCs w:val="24"/>
          <w:highlight w:val="none"/>
          <w:u w:val="single"/>
        </w:rPr>
        <w:t>2）供应商服务成果未通过采购人验收，采购人有权要求供应商进行整改，相关费用</w:t>
      </w:r>
      <w:r>
        <w:rPr>
          <w:rFonts w:hint="eastAsia" w:ascii="宋体" w:hAnsi="宋体" w:eastAsia="宋体" w:cs="仿宋"/>
          <w:color w:val="auto"/>
          <w:sz w:val="24"/>
          <w:szCs w:val="24"/>
          <w:highlight w:val="none"/>
          <w:u w:val="single"/>
        </w:rPr>
        <w:t>（包括但不限于重新组织验收等费用）</w:t>
      </w:r>
      <w:r>
        <w:rPr>
          <w:rFonts w:ascii="宋体" w:hAnsi="宋体" w:eastAsia="宋体" w:cs="仿宋"/>
          <w:color w:val="auto"/>
          <w:sz w:val="24"/>
          <w:szCs w:val="24"/>
          <w:highlight w:val="none"/>
          <w:u w:val="single"/>
        </w:rPr>
        <w:t>由供应商承担；如供应商</w:t>
      </w:r>
      <w:r>
        <w:rPr>
          <w:rFonts w:hint="eastAsia" w:ascii="宋体" w:hAnsi="宋体" w:eastAsia="宋体" w:cs="仿宋"/>
          <w:color w:val="auto"/>
          <w:sz w:val="24"/>
          <w:szCs w:val="24"/>
          <w:highlight w:val="none"/>
          <w:u w:val="single"/>
        </w:rPr>
        <w:t>未在采购人要求期限内整改或整改后仍不合格或已经无法整改的，采购人有权要求供应商承担相应的违约责任。</w:t>
      </w:r>
    </w:p>
    <w:bookmarkEnd w:id="4"/>
    <w:p w14:paraId="58F0354E">
      <w:pPr>
        <w:spacing w:before="312"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四、风险控制措施和替代方案</w:t>
      </w:r>
    </w:p>
    <w:p w14:paraId="38667C32">
      <w:pPr>
        <w:spacing w:line="360" w:lineRule="auto"/>
        <w:ind w:firstLine="420"/>
        <w:jc w:val="left"/>
        <w:rPr>
          <w:rFonts w:ascii="宋体" w:hAnsi="宋体" w:eastAsia="宋体"/>
          <w:color w:val="auto"/>
          <w:sz w:val="24"/>
          <w:highlight w:val="none"/>
        </w:rPr>
      </w:pPr>
      <w:r>
        <w:rPr>
          <w:rFonts w:hint="eastAsia" w:ascii="宋体" w:hAnsi="宋体" w:eastAsia="宋体"/>
          <w:color w:val="auto"/>
          <w:sz w:val="24"/>
          <w:highlight w:val="none"/>
        </w:rPr>
        <w:t>该采购项目按照《政府采购需求管理办法》第二十五条规定，是否需要组织风险判断、提出处置措施和替代方案：</w:t>
      </w:r>
      <w:r>
        <w:rPr>
          <w:rFonts w:ascii="宋体" w:hAnsi="宋体" w:eastAsia="宋体"/>
          <w:color w:val="auto"/>
          <w:sz w:val="24"/>
          <w:highlight w:val="none"/>
        </w:rPr>
        <w:tab/>
      </w:r>
      <w:r>
        <w:rPr>
          <w:rFonts w:ascii="宋体" w:hAnsi="宋体" w:eastAsia="宋体"/>
          <w:color w:val="auto"/>
          <w:sz w:val="24"/>
          <w:highlight w:val="none"/>
        </w:rPr>
        <w:sym w:font="Wingdings 2" w:char="F052"/>
      </w:r>
      <w:r>
        <w:rPr>
          <w:rFonts w:hint="eastAsia" w:ascii="宋体" w:hAnsi="宋体" w:eastAsia="宋体"/>
          <w:color w:val="auto"/>
          <w:sz w:val="24"/>
          <w:highlight w:val="none"/>
        </w:rPr>
        <w:t>是</w:t>
      </w:r>
      <w:r>
        <w:rPr>
          <w:rFonts w:ascii="宋体" w:hAnsi="宋体" w:eastAsia="宋体"/>
          <w:color w:val="auto"/>
          <w:sz w:val="24"/>
          <w:highlight w:val="none"/>
        </w:rPr>
        <w:tab/>
      </w:r>
      <w:r>
        <w:rPr>
          <w:rFonts w:ascii="宋体" w:hAnsi="宋体" w:eastAsia="宋体" w:cs="仿宋_GB2312"/>
          <w:color w:val="auto"/>
          <w:sz w:val="24"/>
          <w:highlight w:val="none"/>
        </w:rPr>
        <w:sym w:font="Wingdings 2" w:char="00A3"/>
      </w:r>
      <w:r>
        <w:rPr>
          <w:rFonts w:hint="eastAsia" w:ascii="宋体" w:hAnsi="宋体" w:eastAsia="宋体"/>
          <w:color w:val="auto"/>
          <w:sz w:val="24"/>
          <w:highlight w:val="none"/>
        </w:rPr>
        <w:t>否</w:t>
      </w:r>
    </w:p>
    <w:p w14:paraId="0DEDC0F0">
      <w:pPr>
        <w:spacing w:line="360" w:lineRule="auto"/>
        <w:jc w:val="left"/>
        <w:outlineLvl w:val="1"/>
        <w:rPr>
          <w:rFonts w:ascii="宋体" w:hAnsi="宋体" w:eastAsia="宋体"/>
          <w:color w:val="auto"/>
          <w:sz w:val="24"/>
          <w:highlight w:val="none"/>
        </w:rPr>
      </w:pPr>
      <w:bookmarkStart w:id="9" w:name="_Toc29357"/>
      <w:r>
        <w:rPr>
          <w:rFonts w:hint="eastAsia" w:ascii="宋体" w:hAnsi="宋体" w:eastAsia="宋体"/>
          <w:color w:val="auto"/>
          <w:sz w:val="24"/>
          <w:highlight w:val="none"/>
        </w:rPr>
        <w:t>（一）国家政策变化应对措施</w:t>
      </w:r>
      <w:bookmarkEnd w:id="9"/>
    </w:p>
    <w:p w14:paraId="3709F884">
      <w:pPr>
        <w:spacing w:line="360" w:lineRule="auto"/>
        <w:ind w:firstLine="420"/>
        <w:jc w:val="left"/>
        <w:rPr>
          <w:rFonts w:ascii="宋体" w:hAnsi="宋体" w:eastAsia="宋体"/>
          <w:color w:val="auto"/>
          <w:sz w:val="24"/>
          <w:highlight w:val="none"/>
          <w:u w:val="single"/>
        </w:rPr>
      </w:pPr>
      <w:r>
        <w:rPr>
          <w:rFonts w:hint="eastAsia" w:ascii="宋体" w:hAnsi="宋体" w:eastAsia="宋体"/>
          <w:color w:val="auto"/>
          <w:sz w:val="24"/>
          <w:highlight w:val="none"/>
          <w:u w:val="single"/>
        </w:rPr>
        <w:t>如遇到国家政策发生变化，根据新的政策进行采购需求调整。</w:t>
      </w:r>
      <w:r>
        <w:rPr>
          <w:rFonts w:ascii="宋体" w:hAnsi="宋体" w:eastAsia="宋体"/>
          <w:color w:val="auto"/>
          <w:sz w:val="24"/>
          <w:highlight w:val="none"/>
          <w:u w:val="single"/>
        </w:rPr>
        <w:t xml:space="preserve">                            </w:t>
      </w:r>
    </w:p>
    <w:p w14:paraId="6FCCCDFE">
      <w:pPr>
        <w:spacing w:line="360" w:lineRule="auto"/>
        <w:jc w:val="left"/>
        <w:outlineLvl w:val="1"/>
        <w:rPr>
          <w:rFonts w:ascii="宋体" w:hAnsi="宋体" w:eastAsia="宋体"/>
          <w:color w:val="auto"/>
          <w:sz w:val="24"/>
          <w:highlight w:val="none"/>
        </w:rPr>
      </w:pPr>
      <w:bookmarkStart w:id="10" w:name="_Toc516"/>
      <w:r>
        <w:rPr>
          <w:rFonts w:hint="eastAsia" w:ascii="宋体" w:hAnsi="宋体" w:eastAsia="宋体"/>
          <w:color w:val="auto"/>
          <w:sz w:val="24"/>
          <w:highlight w:val="none"/>
        </w:rPr>
        <w:t>（二）实施环境变化应对措施</w:t>
      </w:r>
      <w:bookmarkEnd w:id="10"/>
    </w:p>
    <w:p w14:paraId="4C56A7A5">
      <w:pPr>
        <w:spacing w:line="360" w:lineRule="auto"/>
        <w:ind w:firstLine="420"/>
        <w:jc w:val="left"/>
        <w:rPr>
          <w:rFonts w:ascii="宋体" w:hAnsi="宋体" w:eastAsia="宋体"/>
          <w:color w:val="auto"/>
          <w:sz w:val="24"/>
          <w:highlight w:val="none"/>
          <w:u w:val="single"/>
        </w:rPr>
      </w:pPr>
      <w:r>
        <w:rPr>
          <w:rFonts w:hint="eastAsia" w:ascii="宋体" w:hAnsi="宋体" w:eastAsia="宋体"/>
          <w:color w:val="auto"/>
          <w:sz w:val="24"/>
          <w:highlight w:val="none"/>
          <w:u w:val="single"/>
        </w:rPr>
        <w:t>如遇到实施环境发生变化，根据新的实施环境进行采购需求调整。</w:t>
      </w:r>
      <w:r>
        <w:rPr>
          <w:rFonts w:ascii="宋体" w:hAnsi="宋体" w:eastAsia="宋体"/>
          <w:color w:val="auto"/>
          <w:sz w:val="24"/>
          <w:highlight w:val="none"/>
          <w:u w:val="single"/>
        </w:rPr>
        <w:t xml:space="preserve">                                                                 </w:t>
      </w:r>
    </w:p>
    <w:p w14:paraId="0E1F9229">
      <w:pPr>
        <w:spacing w:line="360" w:lineRule="auto"/>
        <w:jc w:val="left"/>
        <w:outlineLvl w:val="1"/>
        <w:rPr>
          <w:rFonts w:ascii="宋体" w:hAnsi="宋体" w:eastAsia="宋体"/>
          <w:color w:val="auto"/>
          <w:sz w:val="24"/>
          <w:highlight w:val="none"/>
        </w:rPr>
      </w:pPr>
      <w:bookmarkStart w:id="11" w:name="_Toc9608"/>
      <w:r>
        <w:rPr>
          <w:rFonts w:hint="eastAsia" w:ascii="宋体" w:hAnsi="宋体" w:eastAsia="宋体"/>
          <w:color w:val="auto"/>
          <w:sz w:val="24"/>
          <w:highlight w:val="none"/>
        </w:rPr>
        <w:t>（三）重大技术变化应对措施</w:t>
      </w:r>
      <w:bookmarkEnd w:id="11"/>
    </w:p>
    <w:p w14:paraId="70043D26">
      <w:pPr>
        <w:spacing w:line="360" w:lineRule="auto"/>
        <w:ind w:firstLine="420"/>
        <w:jc w:val="left"/>
        <w:rPr>
          <w:rFonts w:ascii="宋体" w:hAnsi="宋体" w:eastAsia="宋体"/>
          <w:color w:val="auto"/>
          <w:sz w:val="24"/>
          <w:highlight w:val="none"/>
          <w:u w:val="single"/>
        </w:rPr>
      </w:pPr>
      <w:r>
        <w:rPr>
          <w:rFonts w:hint="eastAsia" w:ascii="宋体" w:hAnsi="宋体" w:eastAsia="宋体"/>
          <w:color w:val="auto"/>
          <w:sz w:val="24"/>
          <w:highlight w:val="none"/>
          <w:u w:val="single"/>
        </w:rPr>
        <w:t>如遇到重大技术变化，根据变化情况进行适当调整。</w:t>
      </w:r>
      <w:r>
        <w:rPr>
          <w:rFonts w:ascii="宋体" w:hAnsi="宋体" w:eastAsia="宋体"/>
          <w:color w:val="auto"/>
          <w:sz w:val="24"/>
          <w:highlight w:val="none"/>
          <w:u w:val="single"/>
        </w:rPr>
        <w:t xml:space="preserve">                                                                </w:t>
      </w:r>
    </w:p>
    <w:p w14:paraId="03E8B886">
      <w:pPr>
        <w:spacing w:line="360" w:lineRule="auto"/>
        <w:jc w:val="left"/>
        <w:outlineLvl w:val="1"/>
        <w:rPr>
          <w:rFonts w:ascii="宋体" w:hAnsi="宋体" w:eastAsia="宋体"/>
          <w:color w:val="auto"/>
          <w:sz w:val="24"/>
          <w:highlight w:val="none"/>
        </w:rPr>
      </w:pPr>
      <w:bookmarkStart w:id="12" w:name="_Toc1490"/>
      <w:r>
        <w:rPr>
          <w:rFonts w:hint="eastAsia" w:ascii="宋体" w:hAnsi="宋体" w:eastAsia="宋体"/>
          <w:color w:val="auto"/>
          <w:sz w:val="24"/>
          <w:highlight w:val="none"/>
        </w:rPr>
        <w:t>（四）预算项目调整应对措施</w:t>
      </w:r>
      <w:bookmarkEnd w:id="12"/>
    </w:p>
    <w:p w14:paraId="167E2D6C">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根据调整后的项目预算更新采购需求。                                                              </w:t>
      </w:r>
    </w:p>
    <w:p w14:paraId="454F6F55">
      <w:pPr>
        <w:spacing w:line="360" w:lineRule="auto"/>
        <w:jc w:val="left"/>
        <w:outlineLvl w:val="1"/>
        <w:rPr>
          <w:rFonts w:ascii="宋体" w:hAnsi="宋体" w:eastAsia="宋体"/>
          <w:color w:val="auto"/>
          <w:sz w:val="24"/>
          <w:highlight w:val="none"/>
        </w:rPr>
      </w:pPr>
      <w:bookmarkStart w:id="13" w:name="_Toc1573"/>
      <w:r>
        <w:rPr>
          <w:rFonts w:hint="eastAsia" w:ascii="宋体" w:hAnsi="宋体" w:eastAsia="宋体"/>
          <w:color w:val="auto"/>
          <w:sz w:val="24"/>
          <w:highlight w:val="none"/>
        </w:rPr>
        <w:t>（五）因质疑投诉影响采购进度应对措施</w:t>
      </w:r>
      <w:bookmarkEnd w:id="13"/>
    </w:p>
    <w:p w14:paraId="0E43545C">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hint="eastAsia" w:ascii="宋体" w:hAnsi="宋体" w:eastAsia="宋体"/>
          <w:color w:val="auto"/>
          <w:sz w:val="24"/>
          <w:highlight w:val="none"/>
          <w:u w:val="single"/>
        </w:rPr>
        <w:t>如必要，采用其他采购方式进行采购。</w:t>
      </w:r>
      <w:r>
        <w:rPr>
          <w:rFonts w:ascii="宋体" w:hAnsi="宋体" w:eastAsia="宋体"/>
          <w:color w:val="auto"/>
          <w:sz w:val="24"/>
          <w:highlight w:val="none"/>
          <w:u w:val="single"/>
        </w:rPr>
        <w:t xml:space="preserve">                                                               </w:t>
      </w:r>
    </w:p>
    <w:p w14:paraId="5F3272F9">
      <w:pPr>
        <w:spacing w:line="360" w:lineRule="auto"/>
        <w:jc w:val="left"/>
        <w:outlineLvl w:val="1"/>
        <w:rPr>
          <w:rFonts w:ascii="宋体" w:hAnsi="宋体" w:eastAsia="宋体"/>
          <w:color w:val="auto"/>
          <w:sz w:val="24"/>
          <w:highlight w:val="none"/>
        </w:rPr>
      </w:pPr>
      <w:bookmarkStart w:id="14" w:name="_Toc23686"/>
      <w:r>
        <w:rPr>
          <w:rFonts w:hint="eastAsia" w:ascii="宋体" w:hAnsi="宋体" w:eastAsia="宋体"/>
          <w:color w:val="auto"/>
          <w:sz w:val="24"/>
          <w:highlight w:val="none"/>
        </w:rPr>
        <w:t>（六）采购失败应对措施</w:t>
      </w:r>
      <w:bookmarkEnd w:id="14"/>
    </w:p>
    <w:p w14:paraId="2A48EB78">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hint="eastAsia" w:ascii="宋体" w:hAnsi="宋体" w:eastAsia="宋体"/>
          <w:color w:val="auto"/>
          <w:sz w:val="24"/>
          <w:highlight w:val="none"/>
          <w:u w:val="single"/>
        </w:rPr>
        <w:t>调查取证和重新组织专家复审、认证，重新启动采购程序。</w:t>
      </w:r>
      <w:r>
        <w:rPr>
          <w:rFonts w:ascii="宋体" w:hAnsi="宋体" w:eastAsia="宋体"/>
          <w:color w:val="auto"/>
          <w:sz w:val="24"/>
          <w:highlight w:val="none"/>
          <w:u w:val="single"/>
        </w:rPr>
        <w:t xml:space="preserve">                                                               </w:t>
      </w:r>
    </w:p>
    <w:p w14:paraId="09F4D50C">
      <w:pPr>
        <w:spacing w:line="360" w:lineRule="auto"/>
        <w:jc w:val="left"/>
        <w:outlineLvl w:val="1"/>
        <w:rPr>
          <w:rFonts w:ascii="宋体" w:hAnsi="宋体" w:eastAsia="宋体"/>
          <w:color w:val="auto"/>
          <w:sz w:val="24"/>
          <w:highlight w:val="none"/>
        </w:rPr>
      </w:pPr>
      <w:bookmarkStart w:id="15" w:name="_Toc25221"/>
      <w:r>
        <w:rPr>
          <w:rFonts w:hint="eastAsia" w:ascii="宋体" w:hAnsi="宋体" w:eastAsia="宋体"/>
          <w:color w:val="auto"/>
          <w:sz w:val="24"/>
          <w:highlight w:val="none"/>
        </w:rPr>
        <w:t>（七）不按规定签订或者履行合同应对措施</w:t>
      </w:r>
      <w:bookmarkEnd w:id="15"/>
    </w:p>
    <w:p w14:paraId="7729D5B6">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hint="eastAsia" w:ascii="宋体" w:hAnsi="宋体" w:eastAsia="宋体"/>
          <w:color w:val="auto"/>
          <w:sz w:val="24"/>
          <w:highlight w:val="none"/>
          <w:u w:val="single"/>
        </w:rPr>
        <w:t>要求承担继续履行、采取补救措施或者赔偿损失等违约责任</w:t>
      </w:r>
      <w:r>
        <w:rPr>
          <w:rFonts w:ascii="宋体" w:hAnsi="宋体" w:eastAsia="宋体"/>
          <w:color w:val="auto"/>
          <w:sz w:val="24"/>
          <w:highlight w:val="none"/>
          <w:u w:val="single"/>
        </w:rPr>
        <w:t xml:space="preserve"> 。                                                               </w:t>
      </w:r>
    </w:p>
    <w:p w14:paraId="5FFB1FC9">
      <w:pPr>
        <w:spacing w:line="360" w:lineRule="auto"/>
        <w:jc w:val="left"/>
        <w:rPr>
          <w:rFonts w:ascii="宋体" w:hAnsi="宋体" w:eastAsia="宋体"/>
          <w:color w:val="auto"/>
          <w:sz w:val="24"/>
          <w:highlight w:val="none"/>
        </w:rPr>
      </w:pPr>
      <w:r>
        <w:rPr>
          <w:rFonts w:ascii="宋体" w:hAnsi="宋体" w:eastAsia="宋体"/>
          <w:color w:val="auto"/>
          <w:sz w:val="24"/>
          <w:highlight w:val="none"/>
        </w:rPr>
        <w:t xml:space="preserve">                                                                     </w:t>
      </w:r>
    </w:p>
    <w:p w14:paraId="541C17D2">
      <w:pPr>
        <w:spacing w:line="360" w:lineRule="auto"/>
        <w:jc w:val="left"/>
        <w:outlineLvl w:val="1"/>
        <w:rPr>
          <w:rFonts w:ascii="宋体" w:hAnsi="宋体" w:eastAsia="宋体"/>
          <w:color w:val="auto"/>
          <w:sz w:val="24"/>
          <w:highlight w:val="none"/>
        </w:rPr>
      </w:pPr>
      <w:bookmarkStart w:id="16" w:name="_Toc18321"/>
      <w:r>
        <w:rPr>
          <w:rFonts w:hint="eastAsia" w:ascii="宋体" w:hAnsi="宋体" w:eastAsia="宋体"/>
          <w:color w:val="auto"/>
          <w:sz w:val="24"/>
          <w:highlight w:val="none"/>
        </w:rPr>
        <w:t>（八）出现损害国家利益和社会公共利益情形应对措施</w:t>
      </w:r>
      <w:bookmarkEnd w:id="16"/>
    </w:p>
    <w:p w14:paraId="59DA339E">
      <w:pPr>
        <w:spacing w:line="360" w:lineRule="auto"/>
        <w:ind w:firstLine="420"/>
        <w:jc w:val="left"/>
        <w:rPr>
          <w:rFonts w:ascii="宋体" w:hAnsi="宋体" w:eastAsia="宋体"/>
          <w:color w:val="auto"/>
          <w:sz w:val="24"/>
          <w:highlight w:val="none"/>
          <w:u w:val="single"/>
        </w:rPr>
      </w:pP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变更、解除合同。                                                                </w:t>
      </w:r>
    </w:p>
    <w:p w14:paraId="10AD0F22">
      <w:pPr>
        <w:spacing w:line="360" w:lineRule="auto"/>
        <w:jc w:val="left"/>
        <w:outlineLvl w:val="1"/>
        <w:rPr>
          <w:rFonts w:ascii="宋体" w:hAnsi="宋体" w:eastAsia="宋体"/>
          <w:color w:val="auto"/>
          <w:sz w:val="24"/>
          <w:highlight w:val="none"/>
        </w:rPr>
      </w:pPr>
      <w:bookmarkStart w:id="17" w:name="_Toc15359"/>
      <w:r>
        <w:rPr>
          <w:rFonts w:hint="eastAsia" w:ascii="宋体" w:hAnsi="宋体" w:eastAsia="宋体"/>
          <w:color w:val="auto"/>
          <w:sz w:val="24"/>
          <w:highlight w:val="none"/>
        </w:rPr>
        <w:t>（九）其他采购和合同履行过程的风险及应对措施</w:t>
      </w:r>
      <w:bookmarkEnd w:id="17"/>
      <w:r>
        <w:rPr>
          <w:rFonts w:hint="eastAsia" w:ascii="宋体" w:hAnsi="宋体" w:eastAsia="宋体"/>
          <w:color w:val="auto"/>
          <w:sz w:val="24"/>
          <w:highlight w:val="none"/>
        </w:rPr>
        <w:t>。</w:t>
      </w:r>
    </w:p>
    <w:p w14:paraId="4D61BE82">
      <w:pPr>
        <w:spacing w:line="360" w:lineRule="auto"/>
        <w:jc w:val="left"/>
        <w:outlineLvl w:val="1"/>
        <w:rPr>
          <w:rFonts w:ascii="宋体" w:hAnsi="宋体" w:eastAsia="宋体"/>
          <w:color w:val="auto"/>
          <w:sz w:val="24"/>
          <w:highlight w:val="none"/>
        </w:rPr>
      </w:pPr>
      <w:r>
        <w:rPr>
          <w:rFonts w:ascii="宋体" w:hAnsi="宋体" w:eastAsia="宋体"/>
          <w:color w:val="auto"/>
          <w:sz w:val="24"/>
          <w:highlight w:val="none"/>
        </w:rPr>
        <w:t xml:space="preserve">     </w:t>
      </w:r>
      <w:r>
        <w:rPr>
          <w:rFonts w:hint="eastAsia" w:ascii="宋体" w:hAnsi="宋体" w:eastAsia="宋体"/>
          <w:color w:val="auto"/>
          <w:sz w:val="24"/>
          <w:highlight w:val="none"/>
          <w:u w:val="single"/>
        </w:rPr>
        <w:t>无</w:t>
      </w:r>
      <w:r>
        <w:rPr>
          <w:rFonts w:ascii="宋体" w:hAnsi="宋体" w:eastAsia="宋体"/>
          <w:color w:val="auto"/>
          <w:sz w:val="24"/>
          <w:highlight w:val="none"/>
          <w:u w:val="single"/>
        </w:rPr>
        <w:t xml:space="preserve">                                                                   </w:t>
      </w:r>
    </w:p>
    <w:p w14:paraId="04FD015B">
      <w:pPr>
        <w:spacing w:line="360" w:lineRule="auto"/>
        <w:jc w:val="both"/>
        <w:rPr>
          <w:rFonts w:hint="eastAsia" w:ascii="宋体" w:hAnsi="宋体" w:eastAsia="宋体"/>
          <w:color w:val="auto"/>
          <w:sz w:val="24"/>
          <w:highlight w:val="none"/>
          <w:lang w:val="en-US" w:eastAsia="zh-CN"/>
        </w:rPr>
      </w:pPr>
    </w:p>
    <w:p w14:paraId="3FB98450">
      <w:pPr>
        <w:pStyle w:val="5"/>
        <w:rPr>
          <w:rFonts w:hint="eastAsia" w:ascii="宋体" w:hAnsi="宋体" w:eastAsia="宋体"/>
          <w:color w:val="auto"/>
          <w:sz w:val="24"/>
          <w:highlight w:val="none"/>
          <w:lang w:val="en-US" w:eastAsia="zh-CN"/>
        </w:rPr>
      </w:pPr>
    </w:p>
    <w:p w14:paraId="0167FFC0">
      <w:pPr>
        <w:pStyle w:val="6"/>
        <w:rPr>
          <w:rFonts w:hint="eastAsia" w:ascii="宋体" w:hAnsi="宋体" w:eastAsia="宋体"/>
          <w:color w:val="auto"/>
          <w:sz w:val="24"/>
          <w:highlight w:val="none"/>
          <w:lang w:val="en-US" w:eastAsia="zh-CN"/>
        </w:rPr>
      </w:pPr>
    </w:p>
    <w:p w14:paraId="4E4941C2">
      <w:pPr>
        <w:rPr>
          <w:rFonts w:hint="eastAsia" w:ascii="宋体" w:hAnsi="宋体" w:eastAsia="宋体"/>
          <w:color w:val="auto"/>
          <w:sz w:val="24"/>
          <w:highlight w:val="none"/>
          <w:lang w:val="en-US" w:eastAsia="zh-CN"/>
        </w:rPr>
      </w:pPr>
    </w:p>
    <w:p w14:paraId="05D33CE8">
      <w:pPr>
        <w:pStyle w:val="5"/>
        <w:rPr>
          <w:rFonts w:hint="eastAsia" w:ascii="宋体" w:hAnsi="宋体" w:eastAsia="宋体"/>
          <w:color w:val="auto"/>
          <w:sz w:val="24"/>
          <w:highlight w:val="none"/>
          <w:lang w:val="en-US" w:eastAsia="zh-CN"/>
        </w:rPr>
      </w:pPr>
    </w:p>
    <w:p w14:paraId="3843331B">
      <w:pPr>
        <w:pStyle w:val="6"/>
        <w:rPr>
          <w:rFonts w:hint="eastAsia" w:ascii="宋体" w:hAnsi="宋体" w:eastAsia="宋体"/>
          <w:color w:val="auto"/>
          <w:sz w:val="24"/>
          <w:highlight w:val="none"/>
          <w:lang w:val="en-US" w:eastAsia="zh-CN"/>
        </w:rPr>
      </w:pPr>
    </w:p>
    <w:p w14:paraId="00DD7DB6">
      <w:pPr>
        <w:pStyle w:val="6"/>
        <w:ind w:left="0" w:leftChars="0" w:firstLine="0" w:firstLineChars="0"/>
        <w:rPr>
          <w:rFonts w:hint="eastAsia"/>
          <w:color w:val="auto"/>
          <w:highlight w:val="none"/>
          <w:lang w:val="en-US" w:eastAsia="zh-CN"/>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C365">
    <w:pPr>
      <w:pStyle w:val="1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D81C">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F7390"/>
    <w:multiLevelType w:val="singleLevel"/>
    <w:tmpl w:val="A85F7390"/>
    <w:lvl w:ilvl="0" w:tentative="0">
      <w:start w:val="1"/>
      <w:numFmt w:val="decimal"/>
      <w:suff w:val="nothing"/>
      <w:lvlText w:val="%1．"/>
      <w:lvlJc w:val="left"/>
      <w:pPr>
        <w:ind w:left="0" w:firstLine="400"/>
      </w:pPr>
      <w:rPr>
        <w:rFonts w:hint="default"/>
      </w:rPr>
    </w:lvl>
  </w:abstractNum>
  <w:abstractNum w:abstractNumId="1">
    <w:nsid w:val="2687D64E"/>
    <w:multiLevelType w:val="singleLevel"/>
    <w:tmpl w:val="2687D64E"/>
    <w:lvl w:ilvl="0" w:tentative="0">
      <w:start w:val="1"/>
      <w:numFmt w:val="chineseCounting"/>
      <w:suff w:val="nothing"/>
      <w:lvlText w:val="%1、"/>
      <w:lvlJc w:val="left"/>
      <w:pPr>
        <w:ind w:left="0" w:firstLine="0"/>
      </w:pPr>
      <w:rPr>
        <w:rFonts w:hint="eastAsia"/>
      </w:rPr>
    </w:lvl>
  </w:abstractNum>
  <w:abstractNum w:abstractNumId="2">
    <w:nsid w:val="69E6A171"/>
    <w:multiLevelType w:val="singleLevel"/>
    <w:tmpl w:val="69E6A171"/>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jNhMTQyZTBmYWEwMGI0OWI5YTYxODM0NWU1ZmJhMzkifQ=="/>
  </w:docVars>
  <w:rsids>
    <w:rsidRoot w:val="006F0877"/>
    <w:rsid w:val="00021224"/>
    <w:rsid w:val="000311FD"/>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84070E3"/>
    <w:rsid w:val="0ACB174A"/>
    <w:rsid w:val="0FFAA126"/>
    <w:rsid w:val="11097A95"/>
    <w:rsid w:val="156D314B"/>
    <w:rsid w:val="19B43CA8"/>
    <w:rsid w:val="1B5D1966"/>
    <w:rsid w:val="1D187AA4"/>
    <w:rsid w:val="1FBF5987"/>
    <w:rsid w:val="2657705E"/>
    <w:rsid w:val="2CFDEC3D"/>
    <w:rsid w:val="2FF78ACD"/>
    <w:rsid w:val="37135FE5"/>
    <w:rsid w:val="3FFFE3D5"/>
    <w:rsid w:val="44161541"/>
    <w:rsid w:val="44307371"/>
    <w:rsid w:val="4FB77C3C"/>
    <w:rsid w:val="5BBF1A8D"/>
    <w:rsid w:val="5D9F79E0"/>
    <w:rsid w:val="5DBFE6CB"/>
    <w:rsid w:val="5EDC11F7"/>
    <w:rsid w:val="5EFB6B15"/>
    <w:rsid w:val="5F5DEEF0"/>
    <w:rsid w:val="5F7B0613"/>
    <w:rsid w:val="63DA09E0"/>
    <w:rsid w:val="663B1454"/>
    <w:rsid w:val="67F5AD5B"/>
    <w:rsid w:val="6BC749A9"/>
    <w:rsid w:val="6BFFC72E"/>
    <w:rsid w:val="6C7FD9C9"/>
    <w:rsid w:val="6FC9F4BB"/>
    <w:rsid w:val="6FEF5868"/>
    <w:rsid w:val="74BFF378"/>
    <w:rsid w:val="75FB23CF"/>
    <w:rsid w:val="7747C58A"/>
    <w:rsid w:val="7775E090"/>
    <w:rsid w:val="77FDC161"/>
    <w:rsid w:val="788A7D09"/>
    <w:rsid w:val="79F006D6"/>
    <w:rsid w:val="7A7F1594"/>
    <w:rsid w:val="7B67674B"/>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annotation text"/>
    <w:basedOn w:val="1"/>
    <w:unhideWhenUsed/>
    <w:qFormat/>
    <w:uiPriority w:val="0"/>
    <w:pPr>
      <w:jc w:val="left"/>
    </w:pPr>
  </w:style>
  <w:style w:type="paragraph" w:styleId="5">
    <w:name w:val="Body Text"/>
    <w:basedOn w:val="1"/>
    <w:next w:val="6"/>
    <w:qFormat/>
    <w:uiPriority w:val="0"/>
    <w:pPr>
      <w:autoSpaceDE w:val="0"/>
      <w:autoSpaceDN w:val="0"/>
      <w:adjustRightInd w:val="0"/>
      <w:spacing w:line="360" w:lineRule="auto"/>
    </w:pPr>
    <w:rPr>
      <w:rFonts w:ascii="宋体" w:hAnsi="Arial" w:eastAsia="宋体" w:cs="Times New Roman"/>
      <w:sz w:val="24"/>
      <w:szCs w:val="21"/>
      <w:lang w:val="zh-CN"/>
    </w:rPr>
  </w:style>
  <w:style w:type="paragraph" w:styleId="6">
    <w:name w:val="Body Text First Indent"/>
    <w:basedOn w:val="5"/>
    <w:next w:val="7"/>
    <w:qFormat/>
    <w:uiPriority w:val="0"/>
    <w:pPr>
      <w:adjustRightInd/>
      <w:spacing w:after="120" w:line="240" w:lineRule="auto"/>
      <w:ind w:firstLine="420" w:firstLineChars="100"/>
    </w:pPr>
    <w:rPr>
      <w:rFonts w:ascii="Times New Roman" w:hAnsi="Calibri" w:eastAsia="宋体" w:cs="Times New Roman"/>
      <w:szCs w:val="20"/>
    </w:rPr>
  </w:style>
  <w:style w:type="paragraph" w:styleId="7">
    <w:name w:val="toc 6"/>
    <w:basedOn w:val="1"/>
    <w:next w:val="1"/>
    <w:qFormat/>
    <w:uiPriority w:val="0"/>
    <w:pPr>
      <w:ind w:left="2100" w:leftChars="1000"/>
    </w:pPr>
  </w:style>
  <w:style w:type="paragraph" w:styleId="8">
    <w:name w:val="Body Text Indent"/>
    <w:basedOn w:val="1"/>
    <w:next w:val="1"/>
    <w:qFormat/>
    <w:uiPriority w:val="0"/>
    <w:pPr>
      <w:spacing w:line="480" w:lineRule="atLeast"/>
      <w:ind w:firstLine="570"/>
    </w:pPr>
    <w:rPr>
      <w:rFonts w:ascii="??" w:hAnsi="??" w:eastAsia="??"/>
      <w:sz w:val="28"/>
      <w:szCs w:val="28"/>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qFormat/>
    <w:uiPriority w:val="0"/>
  </w:style>
  <w:style w:type="paragraph" w:customStyle="1" w:styleId="17">
    <w:name w:val="正文1"/>
    <w:qFormat/>
    <w:uiPriority w:val="0"/>
    <w:rPr>
      <w:rFonts w:hint="eastAsia" w:ascii="Arial Unicode MS" w:hAnsi="Arial Unicode MS" w:eastAsia="Arial Unicode MS" w:cs="Arial Unicode MS"/>
      <w:color w:val="000000"/>
      <w:sz w:val="22"/>
      <w:szCs w:val="22"/>
      <w:u w:val="none" w:color="000000"/>
      <w:lang w:val="zh-TW" w:eastAsia="zh-TW" w:bidi="ar-SA"/>
    </w:rPr>
  </w:style>
  <w:style w:type="paragraph" w:customStyle="1" w:styleId="18">
    <w:name w:val="_正文"/>
    <w:basedOn w:val="1"/>
    <w:qFormat/>
    <w:uiPriority w:val="0"/>
    <w:pPr>
      <w:tabs>
        <w:tab w:val="left" w:pos="840"/>
      </w:tabs>
      <w:spacing w:line="360" w:lineRule="auto"/>
      <w:ind w:firstLine="200" w:firstLineChars="200"/>
    </w:pPr>
    <w:rPr>
      <w:sz w:val="24"/>
    </w:rPr>
  </w:style>
  <w:style w:type="paragraph" w:customStyle="1" w:styleId="19">
    <w:name w:val="正文（上会）"/>
    <w:basedOn w:val="1"/>
    <w:qFormat/>
    <w:uiPriority w:val="0"/>
    <w:pPr>
      <w:spacing w:line="336" w:lineRule="auto"/>
      <w:ind w:firstLine="200" w:firstLineChars="200"/>
    </w:pPr>
    <w:rPr>
      <w:rFonts w:ascii="仿宋_GB2312" w:hAnsi="仿宋_GB2312" w:eastAsia="仿宋_GB2312" w:cs="仿宋_GB2312"/>
      <w:sz w:val="32"/>
      <w:szCs w:val="32"/>
    </w:rPr>
  </w:style>
  <w:style w:type="character" w:customStyle="1" w:styleId="20">
    <w:name w:val="页脚 Char1"/>
    <w:link w:val="11"/>
    <w:qFormat/>
    <w:uiPriority w:val="99"/>
    <w:rPr>
      <w:kern w:val="2"/>
      <w:sz w:val="18"/>
      <w:szCs w:val="18"/>
    </w:rPr>
  </w:style>
  <w:style w:type="character" w:customStyle="1" w:styleId="21">
    <w:name w:val="页脚 Char"/>
    <w:qFormat/>
    <w:uiPriority w:val="99"/>
    <w:rPr>
      <w:rFonts w:eastAsia="Calibri"/>
      <w:sz w:val="21"/>
    </w:rPr>
  </w:style>
  <w:style w:type="paragraph" w:styleId="22">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TotalTime>
  <Pages>16</Pages>
  <Words>7557</Words>
  <Characters>7787</Characters>
  <DocSecurity>0</DocSecurity>
  <Lines>68</Lines>
  <Paragraphs>19</Paragraphs>
  <ScaleCrop>false</ScaleCrop>
  <LinksUpToDate>false</LinksUpToDate>
  <CharactersWithSpaces>8749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2021-07-26T01:17:00Z</cp:lastPrinted>
  <dcterms:created xsi:type="dcterms:W3CDTF">2021-09-08T14:10:00Z</dcterms:created>
  <dcterms:modified xsi:type="dcterms:W3CDTF">2024-12-04T08:07:10Z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86B72201EDF04D949AE09089F3E34E06</vt:lpwstr>
  </property>
</Properties>
</file>