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0EEB23">
      <w:pPr>
        <w:spacing w:line="360" w:lineRule="auto"/>
        <w:jc w:val="center"/>
        <w:rPr>
          <w:rFonts w:ascii="宋体" w:hAnsi="宋体" w:cs="宋体"/>
          <w:color w:val="000000" w:themeColor="text1"/>
          <w:sz w:val="24"/>
          <w:highlight w:val="none"/>
          <w:u w:val="single"/>
          <w14:textFill>
            <w14:solidFill>
              <w14:schemeClr w14:val="tx1"/>
            </w14:solidFill>
          </w14:textFill>
        </w:rPr>
      </w:pPr>
      <w:bookmarkStart w:id="0" w:name="_Toc20384570"/>
    </w:p>
    <w:p w14:paraId="215887EB">
      <w:pPr>
        <w:spacing w:line="360" w:lineRule="auto"/>
        <w:jc w:val="center"/>
        <w:rPr>
          <w:rFonts w:ascii="宋体" w:hAnsi="宋体" w:cs="宋体"/>
          <w:color w:val="000000" w:themeColor="text1"/>
          <w:sz w:val="24"/>
          <w:highlight w:val="none"/>
          <w14:textFill>
            <w14:solidFill>
              <w14:schemeClr w14:val="tx1"/>
            </w14:solidFill>
          </w14:textFill>
        </w:rPr>
      </w:pPr>
    </w:p>
    <w:p w14:paraId="1A36ABAB">
      <w:pPr>
        <w:spacing w:line="360" w:lineRule="auto"/>
        <w:jc w:val="center"/>
        <w:rPr>
          <w:rFonts w:ascii="宋体" w:hAnsi="宋体" w:cs="宋体"/>
          <w:color w:val="000000" w:themeColor="text1"/>
          <w:sz w:val="24"/>
          <w:highlight w:val="none"/>
          <w14:textFill>
            <w14:solidFill>
              <w14:schemeClr w14:val="tx1"/>
            </w14:solidFill>
          </w14:textFill>
        </w:rPr>
      </w:pPr>
    </w:p>
    <w:p w14:paraId="711F520E">
      <w:pPr>
        <w:spacing w:line="360" w:lineRule="auto"/>
        <w:jc w:val="center"/>
        <w:rPr>
          <w:rFonts w:ascii="宋体" w:hAnsi="宋体" w:cs="宋体"/>
          <w:color w:val="000000" w:themeColor="text1"/>
          <w:sz w:val="44"/>
          <w:szCs w:val="44"/>
          <w:highlight w:val="none"/>
          <w14:textFill>
            <w14:solidFill>
              <w14:schemeClr w14:val="tx1"/>
            </w14:solidFill>
          </w14:textFill>
        </w:rPr>
      </w:pPr>
      <w:r>
        <w:rPr>
          <w:rFonts w:hint="eastAsia" w:ascii="宋体" w:hAnsi="宋体" w:cs="宋体"/>
          <w:color w:val="000000" w:themeColor="text1"/>
          <w:sz w:val="44"/>
          <w:szCs w:val="44"/>
          <w:highlight w:val="none"/>
          <w14:textFill>
            <w14:solidFill>
              <w14:schemeClr w14:val="tx1"/>
            </w14:solidFill>
          </w14:textFill>
        </w:rPr>
        <w:t>杭州市政府采购项目</w:t>
      </w:r>
    </w:p>
    <w:p w14:paraId="7B8F6900">
      <w:pPr>
        <w:spacing w:line="360" w:lineRule="auto"/>
        <w:jc w:val="center"/>
        <w:rPr>
          <w:rFonts w:ascii="宋体" w:hAnsi="宋体" w:cs="宋体"/>
          <w:color w:val="000000" w:themeColor="text1"/>
          <w:sz w:val="44"/>
          <w:szCs w:val="44"/>
          <w:highlight w:val="none"/>
          <w14:textFill>
            <w14:solidFill>
              <w14:schemeClr w14:val="tx1"/>
            </w14:solidFill>
          </w14:textFill>
        </w:rPr>
      </w:pPr>
      <w:r>
        <w:rPr>
          <w:rFonts w:hint="eastAsia" w:ascii="宋体" w:hAnsi="宋体" w:cs="宋体"/>
          <w:color w:val="000000" w:themeColor="text1"/>
          <w:sz w:val="44"/>
          <w:szCs w:val="44"/>
          <w:highlight w:val="none"/>
          <w14:textFill>
            <w14:solidFill>
              <w14:schemeClr w14:val="tx1"/>
            </w14:solidFill>
          </w14:textFill>
        </w:rPr>
        <w:t>采购需求</w:t>
      </w:r>
    </w:p>
    <w:p w14:paraId="63564530">
      <w:pPr>
        <w:spacing w:line="360" w:lineRule="auto"/>
        <w:jc w:val="center"/>
        <w:rPr>
          <w:rFonts w:ascii="宋体" w:hAnsi="宋体" w:cs="仿宋_GB2312"/>
          <w:color w:val="000000" w:themeColor="text1"/>
          <w:sz w:val="24"/>
          <w:highlight w:val="none"/>
          <w14:textFill>
            <w14:solidFill>
              <w14:schemeClr w14:val="tx1"/>
            </w14:solidFill>
          </w14:textFill>
        </w:rPr>
      </w:pPr>
    </w:p>
    <w:p w14:paraId="15F8A1B6">
      <w:pPr>
        <w:spacing w:line="360" w:lineRule="auto"/>
        <w:jc w:val="center"/>
        <w:rPr>
          <w:rFonts w:ascii="宋体" w:hAnsi="宋体"/>
          <w:color w:val="000000" w:themeColor="text1"/>
          <w:sz w:val="24"/>
          <w:highlight w:val="none"/>
          <w14:textFill>
            <w14:solidFill>
              <w14:schemeClr w14:val="tx1"/>
            </w14:solidFill>
          </w14:textFill>
        </w:rPr>
      </w:pPr>
    </w:p>
    <w:p w14:paraId="3E0A269D">
      <w:pPr>
        <w:spacing w:line="360" w:lineRule="auto"/>
        <w:jc w:val="center"/>
        <w:rPr>
          <w:rFonts w:ascii="宋体" w:hAnsi="宋体"/>
          <w:color w:val="000000" w:themeColor="text1"/>
          <w:sz w:val="24"/>
          <w:highlight w:val="none"/>
          <w14:textFill>
            <w14:solidFill>
              <w14:schemeClr w14:val="tx1"/>
            </w14:solidFill>
          </w14:textFill>
        </w:rPr>
      </w:pPr>
    </w:p>
    <w:p w14:paraId="7238D745">
      <w:pPr>
        <w:spacing w:line="360" w:lineRule="auto"/>
        <w:jc w:val="center"/>
        <w:rPr>
          <w:rFonts w:ascii="宋体" w:hAnsi="宋体"/>
          <w:color w:val="000000" w:themeColor="text1"/>
          <w:sz w:val="24"/>
          <w:highlight w:val="none"/>
          <w14:textFill>
            <w14:solidFill>
              <w14:schemeClr w14:val="tx1"/>
            </w14:solidFill>
          </w14:textFill>
        </w:rPr>
      </w:pPr>
    </w:p>
    <w:p w14:paraId="0E143605">
      <w:pPr>
        <w:spacing w:line="360" w:lineRule="auto"/>
        <w:ind w:firstLine="1920" w:firstLineChars="8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采购单位：</w:t>
      </w:r>
      <w:r>
        <w:rPr>
          <w:rFonts w:hint="eastAsia" w:ascii="宋体" w:hAnsi="宋体"/>
          <w:color w:val="000000" w:themeColor="text1"/>
          <w:sz w:val="24"/>
          <w:highlight w:val="none"/>
          <w:u w:val="single"/>
          <w:lang w:eastAsia="zh-CN"/>
          <w14:textFill>
            <w14:solidFill>
              <w14:schemeClr w14:val="tx1"/>
            </w14:solidFill>
          </w14:textFill>
        </w:rPr>
        <w:t>杭州市余杭区人民政府仁和街道办事处</w:t>
      </w:r>
      <w:r>
        <w:rPr>
          <w:rFonts w:ascii="宋体" w:hAnsi="宋体"/>
          <w:color w:val="000000" w:themeColor="text1"/>
          <w:sz w:val="24"/>
          <w:highlight w:val="none"/>
          <w14:textFill>
            <w14:solidFill>
              <w14:schemeClr w14:val="tx1"/>
            </w14:solidFill>
          </w14:textFill>
        </w:rPr>
        <w:t xml:space="preserve">                              </w:t>
      </w:r>
    </w:p>
    <w:p w14:paraId="5F8BD645">
      <w:pPr>
        <w:spacing w:line="360" w:lineRule="auto"/>
        <w:ind w:firstLine="1920" w:firstLineChars="8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项目名称</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lang w:val="en-US" w:eastAsia="zh-CN"/>
          <w14:textFill>
            <w14:solidFill>
              <w14:schemeClr w14:val="tx1"/>
            </w14:solidFill>
          </w14:textFill>
        </w:rPr>
        <w:t>2024年仁和街道网络视频监控智慧安防服务采购项目</w:t>
      </w:r>
      <w:r>
        <w:rPr>
          <w:rFonts w:ascii="宋体" w:hAnsi="宋体"/>
          <w:color w:val="000000" w:themeColor="text1"/>
          <w:sz w:val="24"/>
          <w:highlight w:val="none"/>
          <w14:textFill>
            <w14:solidFill>
              <w14:schemeClr w14:val="tx1"/>
            </w14:solidFill>
          </w14:textFill>
        </w:rPr>
        <w:t xml:space="preserve">                                       </w:t>
      </w:r>
    </w:p>
    <w:p w14:paraId="0F7F76A3">
      <w:pPr>
        <w:spacing w:line="360" w:lineRule="auto"/>
        <w:ind w:firstLine="1920" w:firstLineChars="8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编制单位：</w:t>
      </w:r>
      <w:r>
        <w:rPr>
          <w:rFonts w:hint="eastAsia" w:ascii="宋体" w:hAnsi="宋体"/>
          <w:color w:val="000000" w:themeColor="text1"/>
          <w:sz w:val="24"/>
          <w:highlight w:val="none"/>
          <w:u w:val="single"/>
          <w:lang w:eastAsia="zh-CN"/>
          <w14:textFill>
            <w14:solidFill>
              <w14:schemeClr w14:val="tx1"/>
            </w14:solidFill>
          </w14:textFill>
        </w:rPr>
        <w:t>杭州市余杭区人民政府仁和街道办事处</w:t>
      </w:r>
      <w:r>
        <w:rPr>
          <w:rFonts w:ascii="宋体" w:hAnsi="宋体"/>
          <w:color w:val="000000" w:themeColor="text1"/>
          <w:sz w:val="24"/>
          <w:highlight w:val="none"/>
          <w14:textFill>
            <w14:solidFill>
              <w14:schemeClr w14:val="tx1"/>
            </w14:solidFill>
          </w14:textFill>
        </w:rPr>
        <w:t xml:space="preserve">                                            </w:t>
      </w:r>
    </w:p>
    <w:p w14:paraId="32DF3546">
      <w:pPr>
        <w:spacing w:line="360" w:lineRule="auto"/>
        <w:ind w:firstLine="1920" w:firstLineChars="8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编制时间：</w:t>
      </w:r>
      <w:r>
        <w:rPr>
          <w:rFonts w:ascii="宋体" w:hAnsi="宋体"/>
          <w:color w:val="000000" w:themeColor="text1"/>
          <w:sz w:val="24"/>
          <w:highlight w:val="none"/>
          <w:u w:val="single"/>
          <w14:textFill>
            <w14:solidFill>
              <w14:schemeClr w14:val="tx1"/>
            </w14:solidFill>
          </w14:textFill>
        </w:rPr>
        <w:t>202</w:t>
      </w:r>
      <w:r>
        <w:rPr>
          <w:rFonts w:hint="eastAsia" w:ascii="宋体" w:hAnsi="宋体"/>
          <w:color w:val="000000" w:themeColor="text1"/>
          <w:sz w:val="24"/>
          <w:highlight w:val="none"/>
          <w:u w:val="single"/>
          <w:lang w:val="en-US" w:eastAsia="zh-CN"/>
          <w14:textFill>
            <w14:solidFill>
              <w14:schemeClr w14:val="tx1"/>
            </w14:solidFill>
          </w14:textFill>
        </w:rPr>
        <w:t>4</w:t>
      </w:r>
      <w:r>
        <w:rPr>
          <w:rFonts w:hint="eastAsia" w:ascii="宋体" w:hAnsi="宋体"/>
          <w:color w:val="000000" w:themeColor="text1"/>
          <w:sz w:val="24"/>
          <w:highlight w:val="none"/>
          <w:u w:val="single"/>
          <w14:textFill>
            <w14:solidFill>
              <w14:schemeClr w14:val="tx1"/>
            </w14:solidFill>
          </w14:textFill>
        </w:rPr>
        <w:t>年</w:t>
      </w:r>
      <w:r>
        <w:rPr>
          <w:rFonts w:hint="eastAsia" w:ascii="宋体" w:hAnsi="宋体"/>
          <w:color w:val="000000" w:themeColor="text1"/>
          <w:sz w:val="24"/>
          <w:highlight w:val="none"/>
          <w:u w:val="single"/>
          <w:lang w:val="en-US" w:eastAsia="zh-CN"/>
          <w14:textFill>
            <w14:solidFill>
              <w14:schemeClr w14:val="tx1"/>
            </w14:solidFill>
          </w14:textFill>
        </w:rPr>
        <w:t>11</w:t>
      </w:r>
      <w:r>
        <w:rPr>
          <w:rFonts w:hint="eastAsia" w:ascii="宋体" w:hAnsi="宋体"/>
          <w:color w:val="000000" w:themeColor="text1"/>
          <w:sz w:val="24"/>
          <w:highlight w:val="none"/>
          <w:u w:val="single"/>
          <w14:textFill>
            <w14:solidFill>
              <w14:schemeClr w14:val="tx1"/>
            </w14:solidFill>
          </w14:textFill>
        </w:rPr>
        <w:t>月</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                            </w:t>
      </w:r>
    </w:p>
    <w:p w14:paraId="0376ABFF">
      <w:pPr>
        <w:spacing w:line="360" w:lineRule="auto"/>
        <w:jc w:val="left"/>
        <w:rPr>
          <w:rFonts w:ascii="宋体" w:hAnsi="宋体"/>
          <w:b/>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一、需求调查情况</w:t>
      </w:r>
    </w:p>
    <w:p w14:paraId="60E63C70">
      <w:pPr>
        <w:spacing w:line="360" w:lineRule="auto"/>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（一）本项目是否需要开展需求调查：</w:t>
      </w:r>
      <w:r>
        <w:rPr>
          <w:rFonts w:ascii="宋体" w:hAnsi="宋体" w:cs="仿宋_GB2312"/>
          <w:color w:val="000000" w:themeColor="text1"/>
          <w:sz w:val="24"/>
          <w:highlight w:val="none"/>
          <w14:textFill>
            <w14:solidFill>
              <w14:schemeClr w14:val="tx1"/>
            </w14:solidFill>
          </w14:textFill>
        </w:rPr>
        <w:sym w:font="Wingdings 2" w:char="F052"/>
      </w:r>
      <w:r>
        <w:rPr>
          <w:rFonts w:hint="eastAsia" w:ascii="宋体" w:hAnsi="宋体" w:cs="仿宋_GB2312"/>
          <w:color w:val="000000" w:themeColor="text1"/>
          <w:sz w:val="24"/>
          <w:highlight w:val="none"/>
          <w14:textFill>
            <w14:solidFill>
              <w14:schemeClr w14:val="tx1"/>
            </w14:solidFill>
          </w14:textFill>
        </w:rPr>
        <w:t>是</w:t>
      </w:r>
      <w:r>
        <w:rPr>
          <w:rFonts w:ascii="宋体" w:hAnsi="宋体" w:cs="仿宋_GB2312"/>
          <w:color w:val="000000" w:themeColor="text1"/>
          <w:sz w:val="24"/>
          <w:highlight w:val="none"/>
          <w14:textFill>
            <w14:solidFill>
              <w14:schemeClr w14:val="tx1"/>
            </w14:solidFill>
          </w14:textFill>
        </w:rPr>
        <w:t xml:space="preserve"> </w:t>
      </w:r>
      <w:r>
        <w:rPr>
          <w:rFonts w:ascii="宋体" w:hAnsi="宋体" w:cs="仿宋_GB2312"/>
          <w:color w:val="000000" w:themeColor="text1"/>
          <w:sz w:val="24"/>
          <w:highlight w:val="none"/>
          <w14:textFill>
            <w14:solidFill>
              <w14:schemeClr w14:val="tx1"/>
            </w14:solidFill>
          </w14:textFill>
        </w:rPr>
        <w:sym w:font="Wingdings 2" w:char="00A3"/>
      </w:r>
      <w:r>
        <w:rPr>
          <w:rFonts w:hint="eastAsia" w:ascii="宋体" w:hAnsi="宋体" w:cs="仿宋_GB2312"/>
          <w:color w:val="000000" w:themeColor="text1"/>
          <w:sz w:val="24"/>
          <w:highlight w:val="none"/>
          <w14:textFill>
            <w14:solidFill>
              <w14:schemeClr w14:val="tx1"/>
            </w14:solidFill>
          </w14:textFill>
        </w:rPr>
        <w:t>否</w:t>
      </w:r>
    </w:p>
    <w:p w14:paraId="6DCA0BDB">
      <w:pPr>
        <w:spacing w:line="360" w:lineRule="auto"/>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（二）本项目是否属于可以不再重复开展需求调查情形：</w:t>
      </w:r>
      <w:r>
        <w:rPr>
          <w:rFonts w:ascii="宋体" w:hAnsi="宋体" w:cs="仿宋_GB2312"/>
          <w:color w:val="000000" w:themeColor="text1"/>
          <w:sz w:val="24"/>
          <w:highlight w:val="none"/>
          <w14:textFill>
            <w14:solidFill>
              <w14:schemeClr w14:val="tx1"/>
            </w14:solidFill>
          </w14:textFill>
        </w:rPr>
        <w:sym w:font="Wingdings 2" w:char="00A3"/>
      </w:r>
      <w:r>
        <w:rPr>
          <w:rFonts w:hint="eastAsia" w:ascii="宋体" w:hAnsi="宋体" w:cs="仿宋_GB2312"/>
          <w:color w:val="000000" w:themeColor="text1"/>
          <w:sz w:val="24"/>
          <w:highlight w:val="none"/>
          <w14:textFill>
            <w14:solidFill>
              <w14:schemeClr w14:val="tx1"/>
            </w14:solidFill>
          </w14:textFill>
        </w:rPr>
        <w:t>是</w:t>
      </w:r>
      <w:r>
        <w:rPr>
          <w:rFonts w:ascii="宋体" w:hAnsi="宋体" w:cs="仿宋_GB2312"/>
          <w:color w:val="000000" w:themeColor="text1"/>
          <w:sz w:val="24"/>
          <w:highlight w:val="none"/>
          <w14:textFill>
            <w14:solidFill>
              <w14:schemeClr w14:val="tx1"/>
            </w14:solidFill>
          </w14:textFill>
        </w:rPr>
        <w:t xml:space="preserve">  </w:t>
      </w:r>
      <w:r>
        <w:rPr>
          <w:rFonts w:ascii="宋体" w:hAnsi="宋体" w:cs="仿宋_GB2312"/>
          <w:color w:val="000000" w:themeColor="text1"/>
          <w:sz w:val="24"/>
          <w:highlight w:val="none"/>
          <w14:textFill>
            <w14:solidFill>
              <w14:schemeClr w14:val="tx1"/>
            </w14:solidFill>
          </w14:textFill>
        </w:rPr>
        <w:sym w:font="Wingdings 2" w:char="F052"/>
      </w:r>
      <w:r>
        <w:rPr>
          <w:rFonts w:hint="eastAsia" w:ascii="宋体" w:hAnsi="宋体" w:cs="仿宋_GB2312"/>
          <w:color w:val="000000" w:themeColor="text1"/>
          <w:sz w:val="24"/>
          <w:highlight w:val="none"/>
          <w14:textFill>
            <w14:solidFill>
              <w14:schemeClr w14:val="tx1"/>
            </w14:solidFill>
          </w14:textFill>
        </w:rPr>
        <w:t>否</w:t>
      </w:r>
    </w:p>
    <w:p w14:paraId="24CDF7D1">
      <w:pPr>
        <w:spacing w:line="360" w:lineRule="auto"/>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（三）需求调查方式</w:t>
      </w:r>
    </w:p>
    <w:p w14:paraId="68DE28CA">
      <w:pPr>
        <w:spacing w:line="360" w:lineRule="auto"/>
        <w:ind w:firstLine="420"/>
        <w:jc w:val="left"/>
        <w:rPr>
          <w:rFonts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sym w:font="Wingdings 2" w:char="F052"/>
      </w:r>
      <w:r>
        <w:rPr>
          <w:rFonts w:hint="eastAsia" w:ascii="宋体" w:hAnsi="宋体" w:cs="仿宋_GB2312"/>
          <w:color w:val="000000" w:themeColor="text1"/>
          <w:sz w:val="24"/>
          <w:highlight w:val="none"/>
          <w14:textFill>
            <w14:solidFill>
              <w14:schemeClr w14:val="tx1"/>
            </w14:solidFill>
          </w14:textFill>
        </w:rPr>
        <w:t>咨询</w:t>
      </w:r>
      <w:r>
        <w:rPr>
          <w:rFonts w:ascii="宋体" w:hAnsi="宋体" w:cs="仿宋_GB2312"/>
          <w:color w:val="000000" w:themeColor="text1"/>
          <w:sz w:val="24"/>
          <w:highlight w:val="none"/>
          <w14:textFill>
            <w14:solidFill>
              <w14:schemeClr w14:val="tx1"/>
            </w14:solidFill>
          </w14:textFill>
        </w:rPr>
        <w:t xml:space="preserve"> </w:t>
      </w:r>
      <w:r>
        <w:rPr>
          <w:rFonts w:ascii="宋体" w:hAnsi="宋体" w:cs="仿宋_GB2312"/>
          <w:color w:val="000000" w:themeColor="text1"/>
          <w:sz w:val="24"/>
          <w:highlight w:val="none"/>
          <w14:textFill>
            <w14:solidFill>
              <w14:schemeClr w14:val="tx1"/>
            </w14:solidFill>
          </w14:textFill>
        </w:rPr>
        <w:sym w:font="Wingdings 2" w:char="00A3"/>
      </w:r>
      <w:r>
        <w:rPr>
          <w:rFonts w:hint="eastAsia" w:ascii="宋体" w:hAnsi="宋体" w:cs="仿宋_GB2312"/>
          <w:color w:val="000000" w:themeColor="text1"/>
          <w:sz w:val="24"/>
          <w:highlight w:val="none"/>
          <w14:textFill>
            <w14:solidFill>
              <w14:schemeClr w14:val="tx1"/>
            </w14:solidFill>
          </w14:textFill>
        </w:rPr>
        <w:t>论证</w:t>
      </w:r>
      <w:r>
        <w:rPr>
          <w:rFonts w:ascii="宋体" w:hAnsi="宋体" w:cs="仿宋_GB2312"/>
          <w:color w:val="000000" w:themeColor="text1"/>
          <w:sz w:val="24"/>
          <w:highlight w:val="none"/>
          <w14:textFill>
            <w14:solidFill>
              <w14:schemeClr w14:val="tx1"/>
            </w14:solidFill>
          </w14:textFill>
        </w:rPr>
        <w:t xml:space="preserve"> </w:t>
      </w:r>
      <w:r>
        <w:rPr>
          <w:rFonts w:ascii="宋体" w:hAnsi="宋体" w:cs="仿宋_GB2312"/>
          <w:color w:val="000000" w:themeColor="text1"/>
          <w:sz w:val="24"/>
          <w:highlight w:val="none"/>
          <w14:textFill>
            <w14:solidFill>
              <w14:schemeClr w14:val="tx1"/>
            </w14:solidFill>
          </w14:textFill>
        </w:rPr>
        <w:sym w:font="Wingdings 2" w:char="00A3"/>
      </w:r>
      <w:r>
        <w:rPr>
          <w:rFonts w:hint="eastAsia" w:ascii="宋体" w:hAnsi="宋体" w:cs="仿宋_GB2312"/>
          <w:color w:val="000000" w:themeColor="text1"/>
          <w:sz w:val="24"/>
          <w:highlight w:val="none"/>
          <w14:textFill>
            <w14:solidFill>
              <w14:schemeClr w14:val="tx1"/>
            </w14:solidFill>
          </w14:textFill>
        </w:rPr>
        <w:t>问卷调查</w:t>
      </w:r>
      <w:r>
        <w:rPr>
          <w:rFonts w:ascii="宋体" w:hAnsi="宋体" w:cs="仿宋_GB2312"/>
          <w:color w:val="000000" w:themeColor="text1"/>
          <w:sz w:val="24"/>
          <w:highlight w:val="none"/>
          <w14:textFill>
            <w14:solidFill>
              <w14:schemeClr w14:val="tx1"/>
            </w14:solidFill>
          </w14:textFill>
        </w:rPr>
        <w:t xml:space="preserve"> </w:t>
      </w:r>
      <w:r>
        <w:rPr>
          <w:rFonts w:ascii="宋体" w:hAnsi="宋体" w:cs="仿宋_GB2312"/>
          <w:color w:val="000000" w:themeColor="text1"/>
          <w:sz w:val="24"/>
          <w:highlight w:val="none"/>
          <w14:textFill>
            <w14:solidFill>
              <w14:schemeClr w14:val="tx1"/>
            </w14:solidFill>
          </w14:textFill>
        </w:rPr>
        <w:sym w:font="Wingdings 2" w:char="00A3"/>
      </w:r>
      <w:r>
        <w:rPr>
          <w:rFonts w:hint="eastAsia" w:ascii="宋体" w:hAnsi="宋体" w:cs="仿宋_GB2312"/>
          <w:color w:val="000000" w:themeColor="text1"/>
          <w:sz w:val="24"/>
          <w:highlight w:val="none"/>
          <w14:textFill>
            <w14:solidFill>
              <w14:schemeClr w14:val="tx1"/>
            </w14:solidFill>
          </w14:textFill>
        </w:rPr>
        <w:t>其他方式（</w:t>
      </w:r>
      <w:r>
        <w:rPr>
          <w:rFonts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w:t>
      </w:r>
      <w:r>
        <w:rPr>
          <w:rFonts w:ascii="宋体" w:hAnsi="宋体" w:cs="仿宋_GB2312"/>
          <w:color w:val="000000" w:themeColor="text1"/>
          <w:sz w:val="24"/>
          <w:highlight w:val="non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（四）需求调查对象</w:t>
      </w:r>
    </w:p>
    <w:p w14:paraId="7F301901">
      <w:pPr>
        <w:pStyle w:val="51"/>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360" w:lineRule="auto"/>
        <w:ind w:firstLine="480" w:firstLineChars="200"/>
        <w:rPr>
          <w:rFonts w:ascii="宋体" w:hAnsi="宋体" w:eastAsia="宋体"/>
          <w:color w:val="0A0303"/>
          <w:highlight w:val="none"/>
        </w:rPr>
      </w:pPr>
      <w:r>
        <w:rPr>
          <w:rFonts w:hint="eastAsia" w:ascii="宋体" w:hAnsi="宋体" w:eastAsia="宋体" w:cs="Times New Roman"/>
          <w:color w:val="000000" w:themeColor="text1"/>
          <w:sz w:val="24"/>
          <w:szCs w:val="24"/>
          <w:highlight w:val="none"/>
          <w:u w:val="single"/>
          <w:lang w:val="en-US" w:eastAsia="zh-CN"/>
          <w14:textFill>
            <w14:solidFill>
              <w14:schemeClr w14:val="tx1"/>
            </w14:solidFill>
          </w14:textFill>
        </w:rPr>
        <w:t>同类型相关服务单位</w:t>
      </w:r>
      <w:r>
        <w:rPr>
          <w:rFonts w:ascii="宋体" w:hAnsi="宋体" w:eastAsia="宋体" w:cs="Times New Roman"/>
          <w:color w:val="000000" w:themeColor="text1"/>
          <w:sz w:val="24"/>
          <w:szCs w:val="24"/>
          <w:highlight w:val="none"/>
          <w:u w:val="single"/>
          <w14:textFill>
            <w14:solidFill>
              <w14:schemeClr w14:val="tx1"/>
            </w14:solidFill>
          </w14:textFill>
        </w:rPr>
        <w:t xml:space="preserve">。  </w:t>
      </w:r>
    </w:p>
    <w:p w14:paraId="208EBF7E">
      <w:pPr>
        <w:spacing w:line="360" w:lineRule="auto"/>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（五）需求调查结果</w:t>
      </w:r>
    </w:p>
    <w:p w14:paraId="08A522C3">
      <w:pPr>
        <w:spacing w:line="360" w:lineRule="auto"/>
        <w:ind w:firstLine="42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1.相关产业发展情况</w:t>
      </w:r>
    </w:p>
    <w:p w14:paraId="6EB6EDF7">
      <w:pPr>
        <w:spacing w:line="360" w:lineRule="auto"/>
        <w:ind w:firstLine="420"/>
        <w:jc w:val="left"/>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良好</w:t>
      </w:r>
      <w:r>
        <w:rPr>
          <w:rFonts w:hint="eastAsia" w:ascii="宋体" w:hAnsi="宋体" w:eastAsia="宋体" w:cs="宋体"/>
          <w:b w:val="0"/>
          <w:bCs w:val="0"/>
          <w:color w:val="auto"/>
          <w:sz w:val="24"/>
          <w:highlight w:val="none"/>
          <w:lang w:val="en-US" w:eastAsia="zh-CN"/>
        </w:rPr>
        <w:t>。</w:t>
      </w:r>
    </w:p>
    <w:p w14:paraId="6E286BDF">
      <w:pPr>
        <w:spacing w:line="360" w:lineRule="auto"/>
        <w:ind w:firstLine="42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2.市场供给情况</w:t>
      </w:r>
    </w:p>
    <w:p w14:paraId="0848DF08">
      <w:pPr>
        <w:spacing w:line="360" w:lineRule="auto"/>
        <w:ind w:firstLine="420"/>
        <w:jc w:val="left"/>
        <w:rPr>
          <w:rFonts w:hint="eastAsia" w:ascii="宋体" w:hAnsi="宋体" w:cs="Times New Roman"/>
          <w:color w:val="000000" w:themeColor="text1"/>
          <w:sz w:val="24"/>
          <w:szCs w:val="24"/>
          <w:highlight w:val="none"/>
          <w:u w:val="none"/>
          <w:lang w:val="en-US" w:eastAsia="zh-CN"/>
          <w14:textFill>
            <w14:solidFill>
              <w14:schemeClr w14:val="tx1"/>
            </w14:solidFill>
          </w14:textFill>
        </w:rPr>
      </w:pPr>
      <w:r>
        <w:rPr>
          <w:rFonts w:hint="eastAsia" w:ascii="宋体" w:hAnsi="宋体" w:cs="Times New Roman"/>
          <w:color w:val="000000" w:themeColor="text1"/>
          <w:sz w:val="24"/>
          <w:szCs w:val="24"/>
          <w:highlight w:val="none"/>
          <w:u w:val="none"/>
          <w:lang w:val="en-US" w:eastAsia="zh-CN"/>
          <w14:textFill>
            <w14:solidFill>
              <w14:schemeClr w14:val="tx1"/>
            </w14:solidFill>
          </w14:textFill>
        </w:rPr>
        <w:t>良好。</w:t>
      </w:r>
    </w:p>
    <w:p w14:paraId="3C4129A9">
      <w:pPr>
        <w:spacing w:line="360" w:lineRule="auto"/>
        <w:ind w:firstLine="42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3.同类采购项目历史成交信息情况</w:t>
      </w:r>
    </w:p>
    <w:p w14:paraId="76D91046">
      <w:pPr>
        <w:spacing w:line="360" w:lineRule="auto"/>
        <w:ind w:firstLine="420"/>
        <w:jc w:val="left"/>
        <w:rPr>
          <w:rFonts w:ascii="宋体" w:hAnsi="宋体" w:eastAsia="宋体" w:cs="宋体"/>
          <w:sz w:val="24"/>
          <w:szCs w:val="24"/>
          <w:highlight w:val="none"/>
        </w:rPr>
      </w:pPr>
      <w:r>
        <w:rPr>
          <w:rFonts w:hint="eastAsia" w:ascii="宋体" w:hAnsi="宋体" w:cs="宋体"/>
          <w:sz w:val="24"/>
          <w:szCs w:val="24"/>
          <w:highlight w:val="none"/>
          <w:lang w:val="en-US" w:eastAsia="zh-CN"/>
        </w:rPr>
        <w:t>详见浙江政府采购网。</w:t>
      </w:r>
      <w:r>
        <w:rPr>
          <w:rFonts w:ascii="宋体" w:hAnsi="宋体" w:eastAsia="宋体" w:cs="宋体"/>
          <w:sz w:val="24"/>
          <w:szCs w:val="24"/>
          <w:highlight w:val="none"/>
        </w:rPr>
        <w:t xml:space="preserve"> </w:t>
      </w:r>
    </w:p>
    <w:p w14:paraId="1FE650C3">
      <w:pPr>
        <w:spacing w:line="360" w:lineRule="auto"/>
        <w:ind w:firstLine="42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4.可能涉及的运行维护、升级更新、备品备件、耗材等后续采购情况</w:t>
      </w:r>
    </w:p>
    <w:p w14:paraId="124DF5DF">
      <w:pPr>
        <w:spacing w:line="360" w:lineRule="auto"/>
        <w:ind w:firstLine="420"/>
        <w:jc w:val="left"/>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本项目</w:t>
      </w:r>
      <w:r>
        <w:rPr>
          <w:rFonts w:hint="eastAsia" w:ascii="宋体" w:hAnsi="宋体"/>
          <w:color w:val="000000" w:themeColor="text1"/>
          <w:sz w:val="24"/>
          <w:highlight w:val="none"/>
          <w:u w:val="single"/>
          <w:lang w:val="en-US" w:eastAsia="zh-CN"/>
          <w14:textFill>
            <w14:solidFill>
              <w14:schemeClr w14:val="tx1"/>
            </w14:solidFill>
          </w14:textFill>
        </w:rPr>
        <w:t>相关设备及软件。</w:t>
      </w:r>
      <w:r>
        <w:rPr>
          <w:rFonts w:ascii="宋体" w:hAnsi="宋体"/>
          <w:color w:val="000000" w:themeColor="text1"/>
          <w:sz w:val="24"/>
          <w:highlight w:val="none"/>
          <w:u w:val="single"/>
          <w14:textFill>
            <w14:solidFill>
              <w14:schemeClr w14:val="tx1"/>
            </w14:solidFill>
          </w14:textFill>
        </w:rPr>
        <w:t xml:space="preserve">                                                                  </w:t>
      </w:r>
    </w:p>
    <w:p w14:paraId="581D4778">
      <w:pPr>
        <w:spacing w:line="360" w:lineRule="auto"/>
        <w:ind w:firstLine="42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5.其他相关情况</w:t>
      </w:r>
    </w:p>
    <w:p w14:paraId="6A825DF0">
      <w:pPr>
        <w:spacing w:line="360" w:lineRule="auto"/>
        <w:ind w:firstLine="420"/>
        <w:jc w:val="left"/>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无</w:t>
      </w:r>
      <w:r>
        <w:rPr>
          <w:rFonts w:ascii="宋体" w:hAnsi="宋体"/>
          <w:color w:val="000000" w:themeColor="text1"/>
          <w:sz w:val="24"/>
          <w:highlight w:val="none"/>
          <w:u w:val="single"/>
          <w14:textFill>
            <w14:solidFill>
              <w14:schemeClr w14:val="tx1"/>
            </w14:solidFill>
          </w14:textFill>
        </w:rPr>
        <w:t xml:space="preserve">                                                                 </w:t>
      </w:r>
    </w:p>
    <w:p w14:paraId="2951BC73">
      <w:pPr>
        <w:spacing w:before="312" w:beforeLines="100" w:line="360" w:lineRule="auto"/>
        <w:jc w:val="left"/>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二</w:t>
      </w:r>
      <w:r>
        <w:rPr>
          <w:rFonts w:hint="eastAsia" w:ascii="宋体" w:hAnsi="宋体"/>
          <w:b/>
          <w:color w:val="000000" w:themeColor="text1"/>
          <w:sz w:val="24"/>
          <w:highlight w:val="none"/>
          <w14:textFill>
            <w14:solidFill>
              <w14:schemeClr w14:val="tx1"/>
            </w14:solidFill>
          </w14:textFill>
        </w:rPr>
        <w:t>、采购需求内容</w:t>
      </w:r>
    </w:p>
    <w:p w14:paraId="14799EFF">
      <w:pPr>
        <w:spacing w:line="360" w:lineRule="auto"/>
        <w:jc w:val="left"/>
        <w:rPr>
          <w:rFonts w:ascii="宋体" w:hAnsi="宋体" w:cs="仿宋_GB2312"/>
          <w:color w:val="000000" w:themeColor="text1"/>
          <w:sz w:val="24"/>
          <w:highlight w:val="none"/>
          <w14:textFill>
            <w14:solidFill>
              <w14:schemeClr w14:val="tx1"/>
            </w14:solidFill>
          </w14:textFill>
        </w:rPr>
      </w:pPr>
      <w:bookmarkStart w:id="1" w:name="_Hlk98153383"/>
      <w:r>
        <w:rPr>
          <w:rFonts w:hint="eastAsia" w:ascii="宋体" w:hAnsi="宋体" w:cs="仿宋_GB2312"/>
          <w:color w:val="000000" w:themeColor="text1"/>
          <w:sz w:val="24"/>
          <w:highlight w:val="none"/>
          <w14:textFill>
            <w14:solidFill>
              <w14:schemeClr w14:val="tx1"/>
            </w14:solidFill>
          </w14:textFill>
        </w:rPr>
        <w:t>（一）项目概况</w:t>
      </w:r>
    </w:p>
    <w:bookmarkEnd w:id="1"/>
    <w:p w14:paraId="678C8C33">
      <w:pPr>
        <w:spacing w:line="360" w:lineRule="auto"/>
        <w:ind w:firstLine="480" w:firstLineChars="200"/>
        <w:jc w:val="left"/>
        <w:rPr>
          <w:rFonts w:hint="eastAsia" w:ascii="宋体" w:hAnsi="宋体" w:eastAsia="宋体" w:cs="宋体"/>
          <w:b w:val="0"/>
          <w:bCs w:val="0"/>
          <w:color w:val="auto"/>
          <w:sz w:val="24"/>
          <w:highlight w:val="none"/>
          <w:lang w:val="en-US" w:eastAsia="zh-CN"/>
        </w:rPr>
      </w:pPr>
      <w:r>
        <w:rPr>
          <w:rFonts w:hint="eastAsia" w:ascii="宋体" w:hAnsi="宋体" w:cs="仿宋"/>
          <w:sz w:val="24"/>
        </w:rPr>
        <w:t>本项目采购内容为</w:t>
      </w:r>
      <w:r>
        <w:rPr>
          <w:rFonts w:hint="eastAsia" w:ascii="宋体" w:hAnsi="宋体" w:cs="仿宋"/>
          <w:sz w:val="24"/>
          <w:lang w:val="en-US" w:eastAsia="zh-CN"/>
        </w:rPr>
        <w:t>2024年仁和街道网络视频监控智慧安防服务采购项目</w:t>
      </w:r>
      <w:r>
        <w:rPr>
          <w:rFonts w:hint="eastAsia" w:ascii="宋体" w:hAnsi="宋体" w:cs="仿宋"/>
          <w:sz w:val="24"/>
        </w:rPr>
        <w:t>采购、运输、安装、调试、整理和维护等。</w:t>
      </w:r>
    </w:p>
    <w:p w14:paraId="0893FAFA">
      <w:pPr>
        <w:spacing w:line="360" w:lineRule="auto"/>
        <w:jc w:val="left"/>
        <w:rPr>
          <w:rFonts w:ascii="宋体" w:hAnsi="宋体"/>
          <w:b/>
          <w:color w:val="000000"/>
          <w:sz w:val="24"/>
          <w:highlight w:val="none"/>
          <w:u w:val="single"/>
        </w:rPr>
      </w:pPr>
      <w:r>
        <w:rPr>
          <w:rFonts w:hint="eastAsia" w:ascii="宋体" w:hAnsi="宋体" w:cs="仿宋_GB2312"/>
          <w:color w:val="000000" w:themeColor="text1"/>
          <w:sz w:val="24"/>
          <w:highlight w:val="none"/>
          <w14:textFill>
            <w14:solidFill>
              <w14:schemeClr w14:val="tx1"/>
            </w14:solidFill>
          </w14:textFill>
        </w:rPr>
        <w:t>（二）预算金额（元）：</w:t>
      </w:r>
      <w:r>
        <w:rPr>
          <w:rFonts w:hint="eastAsia" w:ascii="宋体" w:hAnsi="宋体" w:cs="宋体"/>
          <w:b/>
          <w:color w:val="000000" w:themeColor="text1"/>
          <w:sz w:val="24"/>
          <w:u w:val="single"/>
          <w:lang w:val="en-US" w:eastAsia="zh-CN"/>
          <w14:textFill>
            <w14:solidFill>
              <w14:schemeClr w14:val="tx1"/>
            </w14:solidFill>
          </w14:textFill>
        </w:rPr>
        <w:t>1682640</w:t>
      </w:r>
      <w:r>
        <w:rPr>
          <w:rFonts w:hint="eastAsia" w:ascii="宋体" w:hAnsi="宋体"/>
          <w:b/>
          <w:color w:val="000000"/>
          <w:sz w:val="24"/>
          <w:highlight w:val="none"/>
          <w:u w:val="single"/>
          <w:lang w:val="en-US" w:eastAsia="zh-CN"/>
        </w:rPr>
        <w:t>元</w:t>
      </w:r>
      <w:r>
        <w:rPr>
          <w:rFonts w:hint="eastAsia" w:ascii="宋体" w:hAnsi="宋体"/>
          <w:b/>
          <w:color w:val="000000"/>
          <w:sz w:val="24"/>
          <w:highlight w:val="none"/>
          <w:u w:val="single"/>
        </w:rPr>
        <w:t>。</w:t>
      </w:r>
      <w:r>
        <w:rPr>
          <w:rFonts w:ascii="宋体" w:hAnsi="宋体"/>
          <w:b/>
          <w:color w:val="000000"/>
          <w:sz w:val="24"/>
          <w:highlight w:val="none"/>
          <w:u w:val="single"/>
        </w:rPr>
        <w:t xml:space="preserve"> </w:t>
      </w:r>
    </w:p>
    <w:p w14:paraId="166111F4">
      <w:pPr>
        <w:spacing w:line="360" w:lineRule="auto"/>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（三）需满足的政府采购政策目标和具体支持对象</w:t>
      </w:r>
    </w:p>
    <w:p w14:paraId="44504B5A">
      <w:pPr>
        <w:spacing w:line="360" w:lineRule="auto"/>
        <w:ind w:firstLine="420"/>
        <w:jc w:val="left"/>
        <w:rPr>
          <w:rFonts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sym w:font="Wingdings 2" w:char="00A3"/>
      </w:r>
      <w:r>
        <w:rPr>
          <w:rFonts w:hint="eastAsia" w:ascii="宋体" w:hAnsi="宋体" w:cs="仿宋_GB2312"/>
          <w:color w:val="000000" w:themeColor="text1"/>
          <w:sz w:val="24"/>
          <w:highlight w:val="none"/>
          <w14:textFill>
            <w14:solidFill>
              <w14:schemeClr w14:val="tx1"/>
            </w14:solidFill>
          </w14:textFill>
        </w:rPr>
        <w:t>扶持中小企业</w:t>
      </w:r>
      <w:r>
        <w:rPr>
          <w:rFonts w:ascii="宋体" w:hAnsi="宋体" w:cs="仿宋_GB2312"/>
          <w:color w:val="000000" w:themeColor="text1"/>
          <w:sz w:val="24"/>
          <w:highlight w:val="none"/>
          <w14:textFill>
            <w14:solidFill>
              <w14:schemeClr w14:val="tx1"/>
            </w14:solidFill>
          </w14:textFill>
        </w:rPr>
        <w:t xml:space="preserve"> </w:t>
      </w:r>
      <w:r>
        <w:rPr>
          <w:rFonts w:ascii="宋体" w:hAnsi="宋体" w:cs="仿宋_GB2312"/>
          <w:color w:val="000000" w:themeColor="text1"/>
          <w:sz w:val="24"/>
          <w:highlight w:val="none"/>
          <w14:textFill>
            <w14:solidFill>
              <w14:schemeClr w14:val="tx1"/>
            </w14:solidFill>
          </w14:textFill>
        </w:rPr>
        <w:sym w:font="Wingdings 2" w:char="00A3"/>
      </w:r>
      <w:r>
        <w:rPr>
          <w:rFonts w:hint="eastAsia" w:ascii="宋体" w:hAnsi="宋体" w:cs="仿宋_GB2312"/>
          <w:color w:val="000000" w:themeColor="text1"/>
          <w:sz w:val="24"/>
          <w:highlight w:val="none"/>
          <w14:textFill>
            <w14:solidFill>
              <w14:schemeClr w14:val="tx1"/>
            </w14:solidFill>
          </w14:textFill>
        </w:rPr>
        <w:t>节能环保</w:t>
      </w:r>
      <w:r>
        <w:rPr>
          <w:rFonts w:ascii="宋体" w:hAnsi="宋体" w:cs="仿宋_GB2312"/>
          <w:color w:val="000000" w:themeColor="text1"/>
          <w:sz w:val="24"/>
          <w:highlight w:val="none"/>
          <w14:textFill>
            <w14:solidFill>
              <w14:schemeClr w14:val="tx1"/>
            </w14:solidFill>
          </w14:textFill>
        </w:rPr>
        <w:t xml:space="preserve"> </w:t>
      </w:r>
      <w:r>
        <w:rPr>
          <w:rFonts w:ascii="宋体" w:hAnsi="宋体" w:cs="仿宋_GB2312"/>
          <w:color w:val="000000" w:themeColor="text1"/>
          <w:sz w:val="24"/>
          <w:highlight w:val="none"/>
          <w14:textFill>
            <w14:solidFill>
              <w14:schemeClr w14:val="tx1"/>
            </w14:solidFill>
          </w14:textFill>
        </w:rPr>
        <w:sym w:font="Wingdings 2" w:char="00A3"/>
      </w:r>
      <w:r>
        <w:rPr>
          <w:rFonts w:hint="eastAsia" w:ascii="宋体" w:hAnsi="宋体" w:cs="仿宋_GB2312"/>
          <w:color w:val="000000" w:themeColor="text1"/>
          <w:sz w:val="24"/>
          <w:highlight w:val="none"/>
          <w14:textFill>
            <w14:solidFill>
              <w14:schemeClr w14:val="tx1"/>
            </w14:solidFill>
          </w14:textFill>
        </w:rPr>
        <w:t>其他（</w:t>
      </w:r>
      <w:r>
        <w:rPr>
          <w:rFonts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w:t>
      </w:r>
    </w:p>
    <w:p w14:paraId="04F148F5">
      <w:pPr>
        <w:spacing w:line="360" w:lineRule="auto"/>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（四）采购标的是否进口产品：</w:t>
      </w:r>
      <w:r>
        <w:rPr>
          <w:rFonts w:ascii="宋体" w:hAnsi="宋体" w:cs="仿宋_GB2312"/>
          <w:color w:val="000000" w:themeColor="text1"/>
          <w:sz w:val="24"/>
          <w:highlight w:val="none"/>
          <w14:textFill>
            <w14:solidFill>
              <w14:schemeClr w14:val="tx1"/>
            </w14:solidFill>
          </w14:textFill>
        </w:rPr>
        <w:t xml:space="preserve"> </w:t>
      </w:r>
      <w:r>
        <w:rPr>
          <w:rFonts w:ascii="宋体" w:hAnsi="宋体" w:cs="仿宋_GB2312"/>
          <w:color w:val="000000" w:themeColor="text1"/>
          <w:sz w:val="24"/>
          <w:highlight w:val="none"/>
          <w14:textFill>
            <w14:solidFill>
              <w14:schemeClr w14:val="tx1"/>
            </w14:solidFill>
          </w14:textFill>
        </w:rPr>
        <w:sym w:font="Wingdings 2" w:char="00A3"/>
      </w:r>
      <w:r>
        <w:rPr>
          <w:rFonts w:hint="eastAsia" w:ascii="宋体" w:hAnsi="宋体" w:cs="仿宋_GB2312"/>
          <w:color w:val="000000" w:themeColor="text1"/>
          <w:sz w:val="24"/>
          <w:highlight w:val="none"/>
          <w14:textFill>
            <w14:solidFill>
              <w14:schemeClr w14:val="tx1"/>
            </w14:solidFill>
          </w14:textFill>
        </w:rPr>
        <w:t>进口</w:t>
      </w:r>
      <w:r>
        <w:rPr>
          <w:rFonts w:ascii="宋体" w:hAnsi="宋体" w:cs="仿宋_GB2312"/>
          <w:color w:val="000000" w:themeColor="text1"/>
          <w:sz w:val="24"/>
          <w:highlight w:val="none"/>
          <w14:textFill>
            <w14:solidFill>
              <w14:schemeClr w14:val="tx1"/>
            </w14:solidFill>
          </w14:textFill>
        </w:rPr>
        <w:t xml:space="preserve"> </w:t>
      </w:r>
      <w:r>
        <w:rPr>
          <w:rFonts w:ascii="宋体" w:hAnsi="宋体" w:cs="仿宋_GB2312"/>
          <w:color w:val="000000" w:themeColor="text1"/>
          <w:sz w:val="24"/>
          <w:highlight w:val="none"/>
          <w14:textFill>
            <w14:solidFill>
              <w14:schemeClr w14:val="tx1"/>
            </w14:solidFill>
          </w14:textFill>
        </w:rPr>
        <w:sym w:font="Wingdings 2" w:char="F052"/>
      </w:r>
      <w:r>
        <w:rPr>
          <w:rFonts w:hint="eastAsia" w:ascii="宋体" w:hAnsi="宋体" w:cs="仿宋_GB2312"/>
          <w:color w:val="000000" w:themeColor="text1"/>
          <w:sz w:val="24"/>
          <w:highlight w:val="none"/>
          <w14:textFill>
            <w14:solidFill>
              <w14:schemeClr w14:val="tx1"/>
            </w14:solidFill>
          </w14:textFill>
        </w:rPr>
        <w:t>国产</w:t>
      </w:r>
    </w:p>
    <w:p w14:paraId="3E098D33">
      <w:pPr>
        <w:spacing w:line="360" w:lineRule="auto"/>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（五）拟采购标的的技术要求</w:t>
      </w:r>
    </w:p>
    <w:p w14:paraId="53639137">
      <w:pPr>
        <w:spacing w:line="360" w:lineRule="auto"/>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拟采购标的1</w:t>
      </w:r>
    </w:p>
    <w:tbl>
      <w:tblPr>
        <w:tblStyle w:val="19"/>
        <w:tblW w:w="0" w:type="auto"/>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458"/>
        <w:gridCol w:w="2409"/>
        <w:gridCol w:w="1360"/>
        <w:gridCol w:w="3035"/>
      </w:tblGrid>
      <w:tr w14:paraId="044CBFA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shd w:val="clear" w:color="auto" w:fill="auto"/>
            <w:vAlign w:val="center"/>
          </w:tcPr>
          <w:p w14:paraId="37450664">
            <w:pPr>
              <w:spacing w:line="360" w:lineRule="auto"/>
              <w:jc w:val="center"/>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标的内容</w:t>
            </w:r>
          </w:p>
        </w:tc>
        <w:tc>
          <w:tcPr>
            <w:tcW w:w="6804" w:type="dxa"/>
            <w:gridSpan w:val="3"/>
            <w:shd w:val="clear" w:color="auto" w:fill="auto"/>
            <w:vAlign w:val="center"/>
          </w:tcPr>
          <w:p w14:paraId="796F5B34">
            <w:pPr>
              <w:spacing w:line="360" w:lineRule="auto"/>
              <w:jc w:val="center"/>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lang w:val="en-US" w:eastAsia="zh-CN"/>
                <w14:textFill>
                  <w14:solidFill>
                    <w14:schemeClr w14:val="tx1"/>
                  </w14:solidFill>
                </w14:textFill>
              </w:rPr>
              <w:t>2024年仁和街道网络视频监控智慧安防服务采购项目</w:t>
            </w:r>
          </w:p>
        </w:tc>
      </w:tr>
      <w:tr w14:paraId="48D2115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shd w:val="clear" w:color="auto" w:fill="auto"/>
            <w:vAlign w:val="center"/>
          </w:tcPr>
          <w:p w14:paraId="4E1D193C">
            <w:pPr>
              <w:spacing w:line="360" w:lineRule="auto"/>
              <w:jc w:val="center"/>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数量</w:t>
            </w:r>
          </w:p>
        </w:tc>
        <w:tc>
          <w:tcPr>
            <w:tcW w:w="2409" w:type="dxa"/>
            <w:shd w:val="clear" w:color="auto" w:fill="auto"/>
            <w:vAlign w:val="center"/>
          </w:tcPr>
          <w:p w14:paraId="3BA6809C">
            <w:pPr>
              <w:spacing w:line="360" w:lineRule="auto"/>
              <w:jc w:val="center"/>
              <w:rPr>
                <w:rFonts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1</w:t>
            </w:r>
          </w:p>
        </w:tc>
        <w:tc>
          <w:tcPr>
            <w:tcW w:w="1360" w:type="dxa"/>
            <w:shd w:val="clear" w:color="auto" w:fill="auto"/>
            <w:vAlign w:val="center"/>
          </w:tcPr>
          <w:p w14:paraId="2D9F5E57">
            <w:pPr>
              <w:spacing w:line="360" w:lineRule="auto"/>
              <w:jc w:val="center"/>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单位</w:t>
            </w:r>
          </w:p>
        </w:tc>
        <w:tc>
          <w:tcPr>
            <w:tcW w:w="3035" w:type="dxa"/>
            <w:shd w:val="clear" w:color="auto" w:fill="auto"/>
            <w:vAlign w:val="center"/>
          </w:tcPr>
          <w:p w14:paraId="7DB1F1D3">
            <w:pPr>
              <w:spacing w:line="360" w:lineRule="auto"/>
              <w:jc w:val="center"/>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项</w:t>
            </w:r>
          </w:p>
        </w:tc>
      </w:tr>
      <w:tr w14:paraId="4284FE3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458" w:type="dxa"/>
            <w:shd w:val="clear" w:color="auto" w:fill="auto"/>
          </w:tcPr>
          <w:p w14:paraId="5A9D3B62">
            <w:pPr>
              <w:spacing w:line="360" w:lineRule="auto"/>
              <w:jc w:val="center"/>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功能和质量</w:t>
            </w:r>
          </w:p>
          <w:p w14:paraId="4B3D4DEE">
            <w:pPr>
              <w:spacing w:line="360" w:lineRule="auto"/>
              <w:jc w:val="center"/>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要求</w:t>
            </w:r>
          </w:p>
        </w:tc>
        <w:tc>
          <w:tcPr>
            <w:tcW w:w="6804" w:type="dxa"/>
            <w:gridSpan w:val="3"/>
            <w:shd w:val="clear" w:color="auto" w:fill="auto"/>
          </w:tcPr>
          <w:p w14:paraId="3EE668B6">
            <w:pPr>
              <w:spacing w:line="360" w:lineRule="auto"/>
              <w:jc w:val="left"/>
              <w:rPr>
                <w:rFonts w:ascii="宋体" w:hAnsi="宋体" w:cs="Arial"/>
                <w:color w:val="000000" w:themeColor="text1"/>
                <w:sz w:val="24"/>
                <w:highlight w:val="none"/>
                <w14:textFill>
                  <w14:solidFill>
                    <w14:schemeClr w14:val="tx1"/>
                  </w14:solidFill>
                </w14:textFill>
              </w:rPr>
            </w:pPr>
            <w:r>
              <w:rPr>
                <w:rFonts w:hint="eastAsia" w:ascii="宋体" w:hAnsi="宋体" w:cs="仿宋"/>
                <w:sz w:val="24"/>
              </w:rPr>
              <w:t>本项目采购内容为</w:t>
            </w:r>
            <w:r>
              <w:rPr>
                <w:rFonts w:hint="eastAsia" w:ascii="宋体" w:hAnsi="宋体" w:cs="仿宋_GB2312"/>
                <w:color w:val="000000" w:themeColor="text1"/>
                <w:sz w:val="24"/>
                <w:highlight w:val="none"/>
                <w:lang w:val="en-US" w:eastAsia="zh-CN"/>
                <w14:textFill>
                  <w14:solidFill>
                    <w14:schemeClr w14:val="tx1"/>
                  </w14:solidFill>
                </w14:textFill>
              </w:rPr>
              <w:t>2024年仁和街道网络视频监控智慧安防服务采购项目</w:t>
            </w:r>
            <w:r>
              <w:rPr>
                <w:rFonts w:hint="eastAsia" w:ascii="宋体" w:hAnsi="宋体" w:cs="仿宋"/>
                <w:sz w:val="24"/>
              </w:rPr>
              <w:t>采购、运输、安装、调试、整理和维护等。</w:t>
            </w:r>
          </w:p>
        </w:tc>
      </w:tr>
    </w:tbl>
    <w:p w14:paraId="38C082AE">
      <w:pPr>
        <w:spacing w:line="360" w:lineRule="auto"/>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（六）拟采购标的的商务要求</w:t>
      </w:r>
    </w:p>
    <w:p w14:paraId="26829139">
      <w:pPr>
        <w:spacing w:line="360" w:lineRule="auto"/>
        <w:ind w:left="210" w:leftChars="100"/>
        <w:jc w:val="left"/>
        <w:rPr>
          <w:rFonts w:ascii="宋体" w:hAnsi="宋体" w:cs="仿宋_GB2312"/>
          <w:color w:val="000000" w:themeColor="text1"/>
          <w:sz w:val="24"/>
          <w:highlight w:val="none"/>
          <w:u w:val="singl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1.交付（实施）的时间（期限）：</w:t>
      </w:r>
      <w:r>
        <w:rPr>
          <w:rFonts w:hint="eastAsia" w:ascii="宋体" w:hAnsi="宋体" w:cs="仿宋_GB2312"/>
          <w:color w:val="000000" w:themeColor="text1"/>
          <w:sz w:val="24"/>
          <w:highlight w:val="none"/>
          <w:u w:val="single"/>
          <w14:textFill>
            <w14:solidFill>
              <w14:schemeClr w14:val="tx1"/>
            </w14:solidFill>
          </w14:textFill>
        </w:rPr>
        <w:t>合同签订之日起</w:t>
      </w:r>
      <w:r>
        <w:rPr>
          <w:rFonts w:hint="eastAsia" w:ascii="宋体" w:hAnsi="宋体" w:cs="仿宋_GB2312"/>
          <w:color w:val="000000" w:themeColor="text1"/>
          <w:sz w:val="24"/>
          <w:highlight w:val="none"/>
          <w:u w:val="single"/>
          <w:lang w:val="en-US" w:eastAsia="zh-CN"/>
          <w14:textFill>
            <w14:solidFill>
              <w14:schemeClr w14:val="tx1"/>
            </w14:solidFill>
          </w14:textFill>
        </w:rPr>
        <w:t>三</w:t>
      </w:r>
      <w:r>
        <w:rPr>
          <w:rFonts w:hint="eastAsia" w:ascii="宋体" w:hAnsi="宋体" w:cs="仿宋_GB2312"/>
          <w:color w:val="000000" w:themeColor="text1"/>
          <w:sz w:val="24"/>
          <w:highlight w:val="none"/>
          <w:u w:val="single"/>
          <w:lang w:eastAsia="zh-CN"/>
          <w14:textFill>
            <w14:solidFill>
              <w14:schemeClr w14:val="tx1"/>
            </w14:solidFill>
          </w14:textFill>
        </w:rPr>
        <w:t>年</w:t>
      </w:r>
      <w:r>
        <w:rPr>
          <w:rFonts w:hint="eastAsia" w:ascii="宋体" w:hAnsi="宋体" w:cs="仿宋_GB2312"/>
          <w:color w:val="000000" w:themeColor="text1"/>
          <w:sz w:val="24"/>
          <w:highlight w:val="none"/>
          <w:u w:val="single"/>
          <w:lang w:val="en-US" w:eastAsia="zh-CN"/>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p>
    <w:p w14:paraId="77262738">
      <w:pPr>
        <w:spacing w:line="360" w:lineRule="auto"/>
        <w:ind w:left="210" w:leftChars="100"/>
        <w:jc w:val="left"/>
        <w:rPr>
          <w:rFonts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2.交付（实施）的地点（范围）：</w:t>
      </w:r>
      <w:r>
        <w:rPr>
          <w:rFonts w:hint="eastAsia" w:ascii="宋体" w:hAnsi="宋体" w:cs="仿宋_GB2312"/>
          <w:color w:val="000000" w:themeColor="text1"/>
          <w:sz w:val="24"/>
          <w:highlight w:val="none"/>
          <w:u w:val="single"/>
          <w:lang w:val="en-US" w:eastAsia="zh-CN"/>
          <w14:textFill>
            <w14:solidFill>
              <w14:schemeClr w14:val="tx1"/>
            </w14:solidFill>
          </w14:textFill>
        </w:rPr>
        <w:t>余杭区仁和</w:t>
      </w:r>
      <w:r>
        <w:rPr>
          <w:rFonts w:hint="eastAsia" w:ascii="宋体" w:hAnsi="宋体" w:cs="仿宋_GB2312"/>
          <w:color w:val="000000" w:themeColor="text1"/>
          <w:sz w:val="24"/>
          <w:highlight w:val="none"/>
          <w:u w:val="single"/>
          <w14:textFill>
            <w14:solidFill>
              <w14:schemeClr w14:val="tx1"/>
            </w14:solidFill>
          </w14:textFill>
        </w:rPr>
        <w:t>街道</w:t>
      </w:r>
      <w:r>
        <w:rPr>
          <w:rFonts w:ascii="宋体" w:hAnsi="宋体"/>
          <w:color w:val="000000" w:themeColor="text1"/>
          <w:sz w:val="24"/>
          <w:highlight w:val="none"/>
          <w:u w:val="single"/>
          <w14:textFill>
            <w14:solidFill>
              <w14:schemeClr w14:val="tx1"/>
            </w14:solidFill>
          </w14:textFill>
        </w:rPr>
        <w:t xml:space="preserve">   </w:t>
      </w:r>
    </w:p>
    <w:p w14:paraId="2FC156D5">
      <w:pPr>
        <w:spacing w:line="360" w:lineRule="auto"/>
        <w:ind w:left="210" w:leftChars="100"/>
        <w:jc w:val="left"/>
        <w:rPr>
          <w:rFonts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3.付款条件（进度和方式）</w:t>
      </w:r>
    </w:p>
    <w:p w14:paraId="092FD83F">
      <w:pPr>
        <w:spacing w:line="360" w:lineRule="auto"/>
        <w:ind w:left="210" w:leftChars="100" w:firstLine="480" w:firstLineChars="200"/>
        <w:jc w:val="left"/>
        <w:rPr>
          <w:rFonts w:hint="eastAsia" w:ascii="宋体" w:hAnsi="宋体" w:eastAsia="宋体"/>
          <w:sz w:val="24"/>
          <w:lang w:eastAsia="zh-CN"/>
        </w:rPr>
      </w:pPr>
      <w:r>
        <w:rPr>
          <w:rFonts w:ascii="宋体" w:hAnsi="宋体"/>
          <w:sz w:val="24"/>
        </w:rPr>
        <w:t>项目分年安排</w:t>
      </w:r>
      <w:r>
        <w:rPr>
          <w:rFonts w:hint="eastAsia" w:ascii="宋体" w:hAnsi="宋体" w:eastAsia="宋体" w:cs="宋体"/>
          <w:sz w:val="24"/>
          <w:lang w:val="en-US" w:eastAsia="zh-CN"/>
        </w:rPr>
        <w:t>运维服务费</w:t>
      </w:r>
      <w:r>
        <w:rPr>
          <w:rFonts w:hint="eastAsia" w:ascii="宋体" w:hAnsi="宋体"/>
          <w:sz w:val="24"/>
          <w:lang w:eastAsia="zh-CN"/>
        </w:rPr>
        <w:t>，</w:t>
      </w:r>
      <w:r>
        <w:rPr>
          <w:rFonts w:hint="eastAsia" w:ascii="宋体" w:hAnsi="宋体" w:cs="宋体"/>
          <w:b w:val="0"/>
          <w:bCs w:val="0"/>
          <w:color w:val="auto"/>
          <w:sz w:val="24"/>
          <w:highlight w:val="none"/>
          <w:lang w:val="en-US" w:eastAsia="zh-CN"/>
        </w:rPr>
        <w:t>每年项目服务完成并经甲方考核合格后，具备支付条件的甲方向乙方支付合同</w:t>
      </w:r>
      <w:r>
        <w:rPr>
          <w:rFonts w:hint="eastAsia" w:ascii="宋体" w:hAnsi="宋体" w:eastAsia="宋体" w:cs="宋体"/>
          <w:sz w:val="24"/>
          <w:lang w:val="en-US" w:eastAsia="zh-CN"/>
        </w:rPr>
        <w:t>年运维费用</w:t>
      </w:r>
      <w:r>
        <w:rPr>
          <w:rFonts w:hint="eastAsia" w:ascii="宋体" w:hAnsi="宋体" w:cs="宋体"/>
          <w:b w:val="0"/>
          <w:bCs w:val="0"/>
          <w:color w:val="auto"/>
          <w:sz w:val="24"/>
          <w:highlight w:val="none"/>
          <w:lang w:val="en-US" w:eastAsia="zh-CN"/>
        </w:rPr>
        <w:t>。</w:t>
      </w:r>
    </w:p>
    <w:p w14:paraId="6C9D5BCE">
      <w:pPr>
        <w:spacing w:line="360" w:lineRule="auto"/>
        <w:ind w:left="210" w:leftChars="100"/>
        <w:jc w:val="left"/>
        <w:rPr>
          <w:rFonts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4.</w:t>
      </w:r>
      <w:r>
        <w:rPr>
          <w:rFonts w:hint="eastAsia" w:ascii="宋体" w:hAnsi="宋体" w:cs="仿宋_GB2312"/>
          <w:color w:val="000000" w:themeColor="text1"/>
          <w:sz w:val="24"/>
          <w:highlight w:val="none"/>
          <w14:textFill>
            <w14:solidFill>
              <w14:schemeClr w14:val="tx1"/>
            </w14:solidFill>
          </w14:textFill>
        </w:rPr>
        <w:t>售后服务要求</w:t>
      </w:r>
    </w:p>
    <w:p w14:paraId="1D134501">
      <w:pPr>
        <w:snapToGrid w:val="0"/>
        <w:spacing w:line="360" w:lineRule="auto"/>
        <w:ind w:firstLine="480" w:firstLineChars="200"/>
        <w:rPr>
          <w:rFonts w:ascii="宋体" w:hAnsi="宋体"/>
          <w:snapToGrid w:val="0"/>
          <w:color w:val="000000" w:themeColor="text1"/>
          <w:kern w:val="0"/>
          <w:sz w:val="24"/>
          <w:highlight w:val="none"/>
          <w:u w:val="single"/>
          <w14:textFill>
            <w14:solidFill>
              <w14:schemeClr w14:val="tx1"/>
            </w14:solidFill>
          </w14:textFill>
        </w:rPr>
      </w:pPr>
      <w:r>
        <w:rPr>
          <w:rFonts w:hint="eastAsia" w:ascii="宋体" w:hAnsi="宋体"/>
          <w:snapToGrid w:val="0"/>
          <w:color w:val="000000" w:themeColor="text1"/>
          <w:kern w:val="0"/>
          <w:sz w:val="24"/>
          <w:highlight w:val="none"/>
          <w:u w:val="single"/>
          <w14:textFill>
            <w14:solidFill>
              <w14:schemeClr w14:val="tx1"/>
            </w14:solidFill>
          </w14:textFill>
        </w:rPr>
        <w:t>无</w:t>
      </w:r>
      <w:r>
        <w:rPr>
          <w:rFonts w:ascii="宋体" w:hAnsi="宋体"/>
          <w:snapToGrid w:val="0"/>
          <w:color w:val="000000" w:themeColor="text1"/>
          <w:kern w:val="0"/>
          <w:sz w:val="24"/>
          <w:highlight w:val="none"/>
          <w:u w:val="single"/>
          <w14:textFill>
            <w14:solidFill>
              <w14:schemeClr w14:val="tx1"/>
            </w14:solidFill>
          </w14:textFill>
        </w:rPr>
        <w:t>。</w:t>
      </w:r>
    </w:p>
    <w:p w14:paraId="6174435A">
      <w:pPr>
        <w:spacing w:line="360" w:lineRule="auto"/>
        <w:ind w:left="210" w:leftChars="100"/>
        <w:jc w:val="left"/>
        <w:rPr>
          <w:rFonts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5.其他商务要求（包装和运输、保险等）</w:t>
      </w:r>
    </w:p>
    <w:p w14:paraId="3C285B4B">
      <w:pPr>
        <w:spacing w:line="360" w:lineRule="auto"/>
        <w:ind w:left="210" w:leftChars="100" w:firstLine="240" w:firstLineChars="100"/>
        <w:jc w:val="left"/>
        <w:rPr>
          <w:rFonts w:ascii="宋体" w:hAnsi="宋体" w:cs="仿宋_GB2312"/>
          <w:color w:val="000000" w:themeColor="text1"/>
          <w:sz w:val="24"/>
          <w:highlight w:val="none"/>
          <w:u w:val="single"/>
          <w14:textFill>
            <w14:solidFill>
              <w14:schemeClr w14:val="tx1"/>
            </w14:solidFill>
          </w14:textFill>
        </w:rPr>
      </w:pPr>
      <w:r>
        <w:rPr>
          <w:rFonts w:hint="eastAsia" w:ascii="宋体" w:hAnsi="宋体" w:cs="仿宋_GB2312"/>
          <w:color w:val="000000" w:themeColor="text1"/>
          <w:sz w:val="24"/>
          <w:highlight w:val="none"/>
          <w:u w:val="single"/>
          <w14:textFill>
            <w14:solidFill>
              <w14:schemeClr w14:val="tx1"/>
            </w14:solidFill>
          </w14:textFill>
        </w:rPr>
        <w:t>无。</w:t>
      </w:r>
    </w:p>
    <w:p w14:paraId="27C07688">
      <w:pPr>
        <w:numPr>
          <w:ilvl w:val="0"/>
          <w:numId w:val="4"/>
        </w:numPr>
        <w:spacing w:line="360" w:lineRule="auto"/>
        <w:jc w:val="left"/>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采购项目的其他要求</w:t>
      </w:r>
    </w:p>
    <w:bookmarkEnd w:id="0"/>
    <w:p w14:paraId="0E598CC0">
      <w:pPr>
        <w:spacing w:line="360" w:lineRule="auto"/>
        <w:ind w:firstLine="480" w:firstLineChars="200"/>
        <w:jc w:val="left"/>
        <w:rPr>
          <w:rFonts w:hint="eastAsia" w:ascii="宋体" w:hAnsi="宋体" w:cs="宋体"/>
          <w:sz w:val="24"/>
          <w:lang w:val="en-US" w:eastAsia="zh-CN"/>
        </w:rPr>
      </w:pPr>
      <w:r>
        <w:rPr>
          <w:rFonts w:hint="eastAsia" w:ascii="宋体" w:hAnsi="宋体" w:cs="宋体"/>
          <w:sz w:val="24"/>
          <w:lang w:val="en-US" w:eastAsia="zh-CN"/>
        </w:rPr>
        <w:t>满足辖区监控“无盲区”覆盖要求，采购123个点位监控设备的运维服务，要求保障日常运行。</w:t>
      </w:r>
    </w:p>
    <w:p w14:paraId="5E0A02C4">
      <w:pPr>
        <w:spacing w:line="360" w:lineRule="auto"/>
        <w:ind w:firstLine="480" w:firstLineChars="200"/>
        <w:jc w:val="left"/>
        <w:rPr>
          <w:rFonts w:hint="default" w:ascii="宋体" w:hAnsi="宋体" w:cs="宋体"/>
          <w:sz w:val="24"/>
          <w:lang w:val="en-US" w:eastAsia="zh-CN"/>
        </w:rPr>
      </w:pPr>
    </w:p>
    <w:p w14:paraId="081CDC0F">
      <w:pPr>
        <w:spacing w:line="360" w:lineRule="auto"/>
        <w:ind w:firstLine="480" w:firstLineChars="200"/>
        <w:jc w:val="left"/>
        <w:rPr>
          <w:rFonts w:hint="default" w:ascii="宋体" w:hAnsi="宋体" w:cs="宋体"/>
          <w:sz w:val="24"/>
          <w:lang w:val="en-US" w:eastAsia="zh-CN"/>
        </w:rPr>
      </w:pPr>
    </w:p>
    <w:p w14:paraId="32B9080C">
      <w:pPr>
        <w:spacing w:line="360" w:lineRule="auto"/>
        <w:ind w:firstLine="480" w:firstLineChars="200"/>
        <w:jc w:val="left"/>
        <w:rPr>
          <w:rFonts w:hint="default" w:ascii="宋体" w:hAnsi="宋体" w:cs="宋体"/>
          <w:sz w:val="24"/>
          <w:lang w:val="en-US" w:eastAsia="zh-CN"/>
        </w:rPr>
      </w:pPr>
    </w:p>
    <w:p w14:paraId="7FFD54BF">
      <w:pPr>
        <w:spacing w:line="360" w:lineRule="auto"/>
        <w:ind w:firstLine="480" w:firstLineChars="200"/>
        <w:jc w:val="left"/>
        <w:rPr>
          <w:rFonts w:hint="default" w:ascii="宋体" w:hAnsi="宋体" w:cs="宋体"/>
          <w:sz w:val="24"/>
          <w:lang w:val="en-US" w:eastAsia="zh-CN"/>
        </w:rPr>
      </w:pPr>
    </w:p>
    <w:p w14:paraId="595B32F0">
      <w:pPr>
        <w:spacing w:line="360" w:lineRule="auto"/>
        <w:ind w:firstLine="480" w:firstLineChars="200"/>
        <w:jc w:val="left"/>
        <w:rPr>
          <w:rFonts w:hint="default" w:ascii="宋体" w:hAnsi="宋体" w:cs="宋体"/>
          <w:sz w:val="24"/>
          <w:lang w:val="en-US" w:eastAsia="zh-CN"/>
        </w:rPr>
      </w:pPr>
    </w:p>
    <w:p w14:paraId="7ADA7E49">
      <w:pPr>
        <w:spacing w:line="360" w:lineRule="auto"/>
        <w:ind w:firstLine="480" w:firstLineChars="200"/>
        <w:jc w:val="left"/>
        <w:rPr>
          <w:rFonts w:hint="default" w:ascii="宋体" w:hAnsi="宋体" w:cs="宋体"/>
          <w:sz w:val="24"/>
          <w:lang w:val="en-US" w:eastAsia="zh-CN"/>
        </w:rPr>
      </w:pPr>
    </w:p>
    <w:p w14:paraId="4A71D96C">
      <w:pPr>
        <w:pStyle w:val="16"/>
        <w:rPr>
          <w:rFonts w:hint="default"/>
          <w:lang w:val="en-US" w:eastAsia="zh-CN"/>
        </w:rPr>
      </w:pPr>
    </w:p>
    <w:p w14:paraId="3C821182">
      <w:pPr>
        <w:spacing w:line="360" w:lineRule="auto"/>
        <w:jc w:val="left"/>
        <w:rPr>
          <w:rFonts w:hint="eastAsia" w:ascii="宋体" w:hAnsi="宋体" w:cs="宋体"/>
          <w:b/>
          <w:kern w:val="0"/>
          <w:sz w:val="24"/>
          <w:lang w:val="en-US" w:eastAsia="zh-CN"/>
        </w:rPr>
      </w:pPr>
      <w:r>
        <w:rPr>
          <w:rFonts w:hint="eastAsia" w:ascii="宋体" w:hAnsi="宋体" w:cs="宋体"/>
          <w:b/>
          <w:kern w:val="0"/>
          <w:sz w:val="24"/>
          <w:lang w:val="en-US" w:eastAsia="zh-CN"/>
        </w:rPr>
        <w:t>设备参数及要求：</w:t>
      </w:r>
    </w:p>
    <w:tbl>
      <w:tblPr>
        <w:tblStyle w:val="19"/>
        <w:tblW w:w="9031" w:type="dxa"/>
        <w:tblInd w:w="-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5"/>
        <w:gridCol w:w="678"/>
        <w:gridCol w:w="577"/>
        <w:gridCol w:w="5908"/>
        <w:gridCol w:w="636"/>
        <w:gridCol w:w="667"/>
      </w:tblGrid>
      <w:tr w14:paraId="17E40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565" w:type="dxa"/>
            <w:tcBorders>
              <w:top w:val="single" w:color="000000" w:sz="4" w:space="0"/>
              <w:left w:val="single" w:color="000000" w:sz="4" w:space="0"/>
              <w:bottom w:val="single" w:color="000000" w:sz="4" w:space="0"/>
              <w:right w:val="single" w:color="000000" w:sz="4" w:space="0"/>
            </w:tcBorders>
            <w:noWrap w:val="0"/>
            <w:vAlign w:val="center"/>
          </w:tcPr>
          <w:p w14:paraId="136EEF0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482A5899">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产品名称</w:t>
            </w:r>
          </w:p>
        </w:tc>
        <w:tc>
          <w:tcPr>
            <w:tcW w:w="577" w:type="dxa"/>
            <w:tcBorders>
              <w:top w:val="single" w:color="000000" w:sz="4" w:space="0"/>
              <w:left w:val="single" w:color="000000" w:sz="4" w:space="0"/>
              <w:bottom w:val="single" w:color="000000" w:sz="4" w:space="0"/>
              <w:right w:val="single" w:color="000000" w:sz="4" w:space="0"/>
            </w:tcBorders>
            <w:noWrap w:val="0"/>
            <w:vAlign w:val="center"/>
          </w:tcPr>
          <w:p w14:paraId="72D3ACB4">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5908" w:type="dxa"/>
            <w:tcBorders>
              <w:top w:val="single" w:color="000000" w:sz="4" w:space="0"/>
              <w:left w:val="single" w:color="000000" w:sz="4" w:space="0"/>
              <w:bottom w:val="single" w:color="000000" w:sz="4" w:space="0"/>
              <w:right w:val="single" w:color="000000" w:sz="4" w:space="0"/>
            </w:tcBorders>
            <w:noWrap w:val="0"/>
            <w:vAlign w:val="center"/>
          </w:tcPr>
          <w:p w14:paraId="682D9DD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参数要求</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14:paraId="61C8E612">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BFB417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62CBF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565" w:type="dxa"/>
            <w:tcBorders>
              <w:top w:val="single" w:color="000000" w:sz="4" w:space="0"/>
              <w:left w:val="single" w:color="000000" w:sz="4" w:space="0"/>
              <w:bottom w:val="single" w:color="000000" w:sz="4" w:space="0"/>
              <w:right w:val="single" w:color="000000" w:sz="4" w:space="0"/>
            </w:tcBorders>
            <w:noWrap w:val="0"/>
            <w:vAlign w:val="center"/>
          </w:tcPr>
          <w:p w14:paraId="795F05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31EA247B">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400万黑光球机（一）</w:t>
            </w:r>
          </w:p>
        </w:tc>
        <w:tc>
          <w:tcPr>
            <w:tcW w:w="577" w:type="dxa"/>
            <w:tcBorders>
              <w:top w:val="single" w:color="000000" w:sz="4" w:space="0"/>
              <w:left w:val="single" w:color="000000" w:sz="4" w:space="0"/>
              <w:bottom w:val="single" w:color="000000" w:sz="4" w:space="0"/>
              <w:right w:val="single" w:color="000000" w:sz="4" w:space="0"/>
            </w:tcBorders>
            <w:noWrap w:val="0"/>
            <w:vAlign w:val="center"/>
          </w:tcPr>
          <w:p w14:paraId="64A3CCC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908" w:type="dxa"/>
            <w:tcBorders>
              <w:top w:val="single" w:color="000000" w:sz="4" w:space="0"/>
              <w:left w:val="single" w:color="000000" w:sz="4" w:space="0"/>
              <w:bottom w:val="single" w:color="000000" w:sz="4" w:space="0"/>
              <w:right w:val="single" w:color="000000" w:sz="4" w:space="0"/>
            </w:tcBorders>
            <w:noWrap w:val="0"/>
            <w:vAlign w:val="center"/>
          </w:tcPr>
          <w:p w14:paraId="6EB54E06">
            <w:pPr>
              <w:keepNext w:val="0"/>
              <w:keepLines w:val="0"/>
              <w:widowControl/>
              <w:suppressLineNumbers w:val="0"/>
              <w:jc w:val="left"/>
              <w:textAlignment w:val="center"/>
              <w:rPr>
                <w:rFonts w:hint="eastAsia"/>
              </w:rPr>
            </w:pPr>
            <w:r>
              <w:rPr>
                <w:rFonts w:hint="eastAsia"/>
              </w:rPr>
              <w:t>1、400W黑光结构化球机，不低于22倍光学变倍，内置8GB eMMC存储芯片；</w:t>
            </w:r>
          </w:p>
          <w:p w14:paraId="34F97ECC">
            <w:pPr>
              <w:keepNext w:val="0"/>
              <w:keepLines w:val="0"/>
              <w:widowControl/>
              <w:suppressLineNumbers w:val="0"/>
              <w:jc w:val="left"/>
              <w:textAlignment w:val="center"/>
              <w:rPr>
                <w:rFonts w:hint="eastAsia"/>
              </w:rPr>
            </w:pPr>
            <w:r>
              <w:rPr>
                <w:rFonts w:hint="eastAsia"/>
              </w:rPr>
              <w:t>2、最低照度0.0003lux(AGC ON，彩色)；0.0001lux (AGC ON，黑白)；</w:t>
            </w:r>
          </w:p>
          <w:p w14:paraId="2FAD0AA4">
            <w:pPr>
              <w:keepNext w:val="0"/>
              <w:keepLines w:val="0"/>
              <w:widowControl/>
              <w:suppressLineNumbers w:val="0"/>
              <w:jc w:val="left"/>
              <w:textAlignment w:val="center"/>
              <w:rPr>
                <w:rFonts w:hint="eastAsia"/>
              </w:rPr>
            </w:pPr>
            <w:r>
              <w:rPr>
                <w:rFonts w:hint="eastAsia"/>
              </w:rPr>
              <w:t>3、支持1路R485串口，1个100M/1000M光口，1个RJ45 10M/100M自适应以太网电口，1路BNC接口，支持光电串接；</w:t>
            </w:r>
          </w:p>
          <w:p w14:paraId="6B549BFE">
            <w:pPr>
              <w:keepNext w:val="0"/>
              <w:keepLines w:val="0"/>
              <w:widowControl/>
              <w:suppressLineNumbers w:val="0"/>
              <w:jc w:val="left"/>
              <w:textAlignment w:val="center"/>
              <w:rPr>
                <w:rFonts w:hint="eastAsia"/>
              </w:rPr>
            </w:pPr>
            <w:r>
              <w:rPr>
                <w:rFonts w:hint="eastAsia"/>
              </w:rPr>
              <w:t>4、当电源电压在AC24V或C24V±25%范围内变化时，摄像机应能正常工作；</w:t>
            </w:r>
          </w:p>
          <w:p w14:paraId="0729DBFA">
            <w:pPr>
              <w:keepNext w:val="0"/>
              <w:keepLines w:val="0"/>
              <w:widowControl/>
              <w:suppressLineNumbers w:val="0"/>
              <w:jc w:val="left"/>
              <w:textAlignment w:val="center"/>
              <w:rPr>
                <w:rFonts w:hint="eastAsia"/>
              </w:rPr>
            </w:pPr>
            <w:r>
              <w:rPr>
                <w:rFonts w:hint="eastAsia"/>
              </w:rPr>
              <w:t>5、摄像机可将视频图像存储至SD卡或客户端，支持SD卡热插拔，最大支持400GB SD卡，可显示存储卡的容量信息和状态信息；</w:t>
            </w:r>
          </w:p>
          <w:p w14:paraId="040618B8">
            <w:pPr>
              <w:keepNext w:val="0"/>
              <w:keepLines w:val="0"/>
              <w:widowControl/>
              <w:suppressLineNumbers w:val="0"/>
              <w:jc w:val="left"/>
              <w:textAlignment w:val="center"/>
              <w:rPr>
                <w:rFonts w:hint="eastAsia"/>
              </w:rPr>
            </w:pPr>
            <w:r>
              <w:rPr>
                <w:rFonts w:hint="eastAsia"/>
              </w:rPr>
              <w:t>6、摄像机应支持TCP/IP、IPv4/IPv6、HTTP、HTTPS、FTP、DNS、DDNS、RTSP、PPPoE、UDP、SIP、UPnP、DHCP、SMTP、NTP、SNMPV3、802.1X、Onvif等网络协议；</w:t>
            </w:r>
          </w:p>
          <w:p w14:paraId="57AD9A03">
            <w:pPr>
              <w:keepNext w:val="0"/>
              <w:keepLines w:val="0"/>
              <w:widowControl/>
              <w:suppressLineNumbers w:val="0"/>
              <w:jc w:val="left"/>
              <w:textAlignment w:val="center"/>
              <w:rPr>
                <w:rFonts w:hint="eastAsia"/>
              </w:rPr>
            </w:pPr>
            <w:r>
              <w:rPr>
                <w:rFonts w:hint="eastAsia"/>
              </w:rPr>
              <w:t>7、在丢包率为≤25%，网络延时≤50ms的网络环境下，摄像机应支持正常显示监视画面；</w:t>
            </w:r>
          </w:p>
          <w:p w14:paraId="7E46A2C2">
            <w:pPr>
              <w:keepNext w:val="0"/>
              <w:keepLines w:val="0"/>
              <w:widowControl/>
              <w:suppressLineNumbers w:val="0"/>
              <w:jc w:val="left"/>
              <w:textAlignment w:val="center"/>
              <w:rPr>
                <w:rFonts w:hint="eastAsia"/>
              </w:rPr>
            </w:pPr>
            <w:r>
              <w:rPr>
                <w:rFonts w:hint="eastAsia"/>
              </w:rPr>
              <w:t>8、★摄像机应支持越界检测、进入区域、离开区域、区域入侵检测，并支持对画面中的机动车、非机动车、行人目标进行检测并分类追踪；（提供公安部检测报告复印件或国家其他认可的检测报告复印件证明）</w:t>
            </w:r>
          </w:p>
          <w:p w14:paraId="212B2450">
            <w:pPr>
              <w:keepNext w:val="0"/>
              <w:keepLines w:val="0"/>
              <w:widowControl/>
              <w:suppressLineNumbers w:val="0"/>
              <w:jc w:val="left"/>
              <w:textAlignment w:val="center"/>
              <w:rPr>
                <w:rFonts w:hint="eastAsia"/>
              </w:rPr>
            </w:pPr>
            <w:r>
              <w:rPr>
                <w:rFonts w:hint="eastAsia"/>
              </w:rPr>
              <w:t>9、摄像机应支持停车检测、人员聚集、快速移动、物品搬移、物品遗留、徘徊检测并能在达到阈值之后报警，同时可支持18*22个区域移动侦测；</w:t>
            </w:r>
          </w:p>
          <w:p w14:paraId="17FCEC86">
            <w:pPr>
              <w:keepNext w:val="0"/>
              <w:keepLines w:val="0"/>
              <w:widowControl/>
              <w:suppressLineNumbers w:val="0"/>
              <w:jc w:val="left"/>
              <w:textAlignment w:val="center"/>
              <w:rPr>
                <w:rFonts w:hint="eastAsia"/>
              </w:rPr>
            </w:pPr>
            <w:r>
              <w:rPr>
                <w:rFonts w:hint="eastAsia"/>
              </w:rPr>
              <w:t>10、摄像机应支持串口数据的透明传输，数字变倍≥30倍；</w:t>
            </w:r>
          </w:p>
          <w:p w14:paraId="6E0085D1">
            <w:pPr>
              <w:keepNext w:val="0"/>
              <w:keepLines w:val="0"/>
              <w:widowControl/>
              <w:suppressLineNumbers w:val="0"/>
              <w:jc w:val="left"/>
              <w:textAlignment w:val="center"/>
              <w:rPr>
                <w:rFonts w:hint="eastAsia"/>
              </w:rPr>
            </w:pPr>
            <w:r>
              <w:rPr>
                <w:rFonts w:hint="eastAsia"/>
              </w:rPr>
              <w:t>11、★摄像机支持行人属性识别，可识别行人性别、年龄段、衣服颜色款式、戴眼镜等特征，识别准确率≥95%；（提供公安部检测报告复印件或国家其他认可的检测报告复印件证明）</w:t>
            </w:r>
          </w:p>
          <w:p w14:paraId="4F793497">
            <w:pPr>
              <w:keepNext w:val="0"/>
              <w:keepLines w:val="0"/>
              <w:widowControl/>
              <w:suppressLineNumbers w:val="0"/>
              <w:jc w:val="left"/>
              <w:textAlignment w:val="center"/>
              <w:rPr>
                <w:rFonts w:hint="eastAsia"/>
              </w:rPr>
            </w:pPr>
            <w:r>
              <w:rPr>
                <w:rFonts w:hint="eastAsia"/>
              </w:rPr>
              <w:t>12、★摄像机支持机动车属性识别，可识别车牌颜色、号码、类型，准确率≥99%；（提供公安部检测报告复印件或国家其他认可的检测报告复印件证明）</w:t>
            </w:r>
          </w:p>
          <w:p w14:paraId="239C3B28">
            <w:pPr>
              <w:keepNext w:val="0"/>
              <w:keepLines w:val="0"/>
              <w:widowControl/>
              <w:suppressLineNumbers w:val="0"/>
              <w:jc w:val="left"/>
              <w:textAlignment w:val="center"/>
              <w:rPr>
                <w:rFonts w:hint="eastAsia"/>
              </w:rPr>
            </w:pPr>
            <w:r>
              <w:rPr>
                <w:rFonts w:hint="eastAsia"/>
              </w:rPr>
              <w:t>13、★摄像机应支持人流量统计、人员密度检测，并支持人员密度三级报警，人数统计准确率≥99%；（提供公安部检测报告复印件或国家其他认可的检测报告复印件证明）</w:t>
            </w:r>
          </w:p>
          <w:p w14:paraId="273416AE">
            <w:pPr>
              <w:keepNext w:val="0"/>
              <w:keepLines w:val="0"/>
              <w:widowControl/>
              <w:suppressLineNumbers w:val="0"/>
              <w:jc w:val="left"/>
              <w:textAlignment w:val="center"/>
              <w:rPr>
                <w:rFonts w:hint="eastAsia"/>
              </w:rPr>
            </w:pPr>
            <w:r>
              <w:rPr>
                <w:rFonts w:hint="eastAsia"/>
              </w:rPr>
              <w:t>14、支持光学透雾功能，透雾等级1~9可调，当雾的浓度达到设定的阈值时，可自动在数字透雾和光学透雾之间进行切换；</w:t>
            </w:r>
          </w:p>
          <w:p w14:paraId="64A28C44">
            <w:pPr>
              <w:keepNext w:val="0"/>
              <w:keepLines w:val="0"/>
              <w:widowControl/>
              <w:suppressLineNumbers w:val="0"/>
              <w:jc w:val="left"/>
              <w:textAlignment w:val="center"/>
              <w:rPr>
                <w:rFonts w:hint="eastAsia"/>
              </w:rPr>
            </w:pPr>
            <w:r>
              <w:rPr>
                <w:rFonts w:hint="eastAsia"/>
              </w:rPr>
              <w:t>15、★摄像机应支持视频内容保护功能，只有经过授权的用户才可以正常播放、回放、下载和拷贝视频，摄像机开启视频内容保护功能后，视频的整体延时增加应≤10ms；（提供公安部检测报告复印件或国家其他认可的检测报告复印件证明）</w:t>
            </w:r>
          </w:p>
          <w:p w14:paraId="7D31F0DD">
            <w:pPr>
              <w:keepNext w:val="0"/>
              <w:keepLines w:val="0"/>
              <w:widowControl/>
              <w:suppressLineNumbers w:val="0"/>
              <w:jc w:val="left"/>
              <w:textAlignment w:val="center"/>
              <w:rPr>
                <w:rFonts w:hint="eastAsia"/>
              </w:rPr>
            </w:pPr>
            <w:r>
              <w:rPr>
                <w:rFonts w:hint="eastAsia"/>
              </w:rPr>
              <w:t>16、摄像机内置加热器和风扇，能在低温环境下，能自动进行预加热，能及时散热；</w:t>
            </w:r>
          </w:p>
          <w:p w14:paraId="791830F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rPr>
              <w:t>17、摄像机适用温度为（-50±2）℃~（80±2）℃，防护等级IP68。</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14:paraId="52B79D13">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40</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E7B957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r>
      <w:tr w14:paraId="67921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565" w:type="dxa"/>
            <w:tcBorders>
              <w:top w:val="single" w:color="000000" w:sz="4" w:space="0"/>
              <w:left w:val="single" w:color="000000" w:sz="4" w:space="0"/>
              <w:bottom w:val="single" w:color="000000" w:sz="4" w:space="0"/>
              <w:right w:val="single" w:color="000000" w:sz="4" w:space="0"/>
            </w:tcBorders>
            <w:noWrap w:val="0"/>
            <w:vAlign w:val="center"/>
          </w:tcPr>
          <w:p w14:paraId="4409A0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25DB3AF7">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400万黑光球机（二）</w:t>
            </w:r>
          </w:p>
        </w:tc>
        <w:tc>
          <w:tcPr>
            <w:tcW w:w="577" w:type="dxa"/>
            <w:tcBorders>
              <w:top w:val="single" w:color="000000" w:sz="4" w:space="0"/>
              <w:left w:val="single" w:color="000000" w:sz="4" w:space="0"/>
              <w:bottom w:val="single" w:color="000000" w:sz="4" w:space="0"/>
              <w:right w:val="single" w:color="000000" w:sz="4" w:space="0"/>
            </w:tcBorders>
            <w:noWrap w:val="0"/>
            <w:vAlign w:val="center"/>
          </w:tcPr>
          <w:p w14:paraId="1519790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908" w:type="dxa"/>
            <w:tcBorders>
              <w:top w:val="single" w:color="000000" w:sz="4" w:space="0"/>
              <w:left w:val="single" w:color="000000" w:sz="4" w:space="0"/>
              <w:bottom w:val="single" w:color="000000" w:sz="4" w:space="0"/>
              <w:right w:val="single" w:color="000000" w:sz="4" w:space="0"/>
            </w:tcBorders>
            <w:noWrap w:val="0"/>
            <w:vAlign w:val="center"/>
          </w:tcPr>
          <w:p w14:paraId="429B414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1、400万7寸24倍臻全彩双眸球机；</w:t>
            </w:r>
          </w:p>
          <w:p w14:paraId="1AE56DB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2、★具有不小于1/1.8"靶面尺寸，内置1颗GPU芯片；（提供公安部检测报告复印件或国家其他认可的检测报告复印件证明）</w:t>
            </w:r>
          </w:p>
          <w:p w14:paraId="4C0776B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3、★设置支持双镜头从最小倍率至最大倍率或最大倍率至最小倍率的变倍过程中视频图像不间断；（提供公安部检测报告复印件或国家其他认可的检测报告复印件证明）</w:t>
            </w:r>
          </w:p>
          <w:p w14:paraId="6765312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4、★在单路和双路模式下，设备水平视场角均应≥90°；（提供公安部检测报告复印件或国家其他认可的检测报告复印件证明）</w:t>
            </w:r>
          </w:p>
          <w:p w14:paraId="7445CC0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5、采用全景细节倍率拼接设计，实现大光圈大视场角；</w:t>
            </w:r>
          </w:p>
          <w:p w14:paraId="059E557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6、全景和细节镜头均采用背照式传感器，相比传统摄像机前照式传感器，增加的进光量对图像质量有明显的改善作用；</w:t>
            </w:r>
          </w:p>
          <w:p w14:paraId="75FEBA5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7、适用于交通道路，广场、公园、出入口、园区周界等场景；</w:t>
            </w:r>
          </w:p>
          <w:p w14:paraId="11D4C36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8、支持深度学习区域入侵、人车分类侦测、人脸抓拍等轻智能功能，更好的助力平安城市管理；</w:t>
            </w:r>
          </w:p>
          <w:p w14:paraId="5C1E965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9、支持双摄双模：默认单路模式输出倍率拼接画面，可选双路模式输出广角画面+特写画面，可支持画中画展示（需展示端支持）；</w:t>
            </w:r>
          </w:p>
          <w:p w14:paraId="2DC1075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10、支持多级变倍功能，广角~24倍光学变倍，16倍数字变倍；</w:t>
            </w:r>
          </w:p>
          <w:p w14:paraId="683EF77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11、支持区域入侵侦测、越界侦测、进入区域侦测和离开区域侦等智能侦测；</w:t>
            </w:r>
          </w:p>
          <w:p w14:paraId="3F442E6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12、支持深度学习算法，提供精准的人车分类侦测、报警；</w:t>
            </w:r>
          </w:p>
          <w:p w14:paraId="70A2E66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13、支持混合补光，可见光补光30m，同时高效红外阵列照射距离最远可达200m；</w:t>
            </w:r>
          </w:p>
          <w:p w14:paraId="60CE8F7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14、支持切换为人脸抓拍模式，最多可同时抓拍5张人脸；</w:t>
            </w:r>
          </w:p>
          <w:p w14:paraId="615B034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15、支持超低照度，【广角】彩色0.0005 Lux @（F1.0，AGC ON），0 Lux with light；【变焦】彩色0.005 Lux @（F1.6，AGC ON），黑白0.001 Lux @（F1.6，AGC ON），0 Lux with IR；</w:t>
            </w:r>
          </w:p>
          <w:p w14:paraId="5658B21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16、内置加热玻璃，有效除雾；</w:t>
            </w:r>
          </w:p>
          <w:p w14:paraId="3573329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17、支持定时任务、一键守望、一键巡航功能；</w:t>
            </w:r>
          </w:p>
          <w:p w14:paraId="47010CE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18、传感器类型：广角：1/1.8＂progressive scan CMOS；</w:t>
            </w:r>
          </w:p>
          <w:p w14:paraId="4A9B0C5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19、变焦：1/2.8＂progressive scan CMOS；</w:t>
            </w:r>
          </w:p>
          <w:p w14:paraId="22B3774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20、最低照度：广角：彩色：0.0005 Lux @（F1.0，AGC ON）；0 Lux with light；</w:t>
            </w:r>
          </w:p>
          <w:p w14:paraId="7E4D97F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21、变焦：彩色：0.005 Lux @（F1.6，AGC ON）；黑白：0.001 Lux @（F1.6，AGC ON）；0 Lux with IR；</w:t>
            </w:r>
          </w:p>
          <w:p w14:paraId="5036095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22、宽动态：数字宽动态 ；</w:t>
            </w:r>
          </w:p>
          <w:p w14:paraId="33BB602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23、焦距：广角：4 mm；</w:t>
            </w:r>
          </w:p>
          <w:p w14:paraId="6722F9B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24、变焦：4.5~108 mm，24倍光学变倍；</w:t>
            </w:r>
          </w:p>
          <w:p w14:paraId="578A137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25、视场角：水平视场角：90°~3.3°（广角~望远）；</w:t>
            </w:r>
          </w:p>
          <w:p w14:paraId="1673616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26、其中广角：90°；变焦：56.9°~3.3°；</w:t>
            </w:r>
          </w:p>
          <w:p w14:paraId="54F98D7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27、白光照射距离：30 m；</w:t>
            </w:r>
          </w:p>
          <w:p w14:paraId="6DD1DF4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28、红外照射距离：200 m ；</w:t>
            </w:r>
          </w:p>
          <w:p w14:paraId="317B90A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29、水平范围：360°；</w:t>
            </w:r>
          </w:p>
          <w:p w14:paraId="3C8DD1F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30、垂直范围：-15°-90°(自动翻转)；</w:t>
            </w:r>
          </w:p>
          <w:p w14:paraId="26AE12E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31、水平速度：水平键控速度：0.1°-160°/s,速度可设;水平预置点速度：240°/s；</w:t>
            </w:r>
          </w:p>
          <w:p w14:paraId="5F77666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32、垂直速度：垂直键控速度：0.1°-120°/s,速度可设;垂直预置点速度：200°/s ；</w:t>
            </w:r>
          </w:p>
          <w:p w14:paraId="37355D5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33、主码流帧率分辨率：50 Hz：25 fps（2560 × 1440，1920 × 1080，1280 × 960，1280 × 720）；60Hz：20 fps（2560 × 1440，1920 × 1080，1280 × 960，1280 × 720）；</w:t>
            </w:r>
          </w:p>
          <w:p w14:paraId="0867824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34、视频压缩标准：H.265;H.264;MJPEG ；</w:t>
            </w:r>
          </w:p>
          <w:p w14:paraId="02B31E0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35、网络接口：RJ45网口，自适应10M/100M网络数据 ；</w:t>
            </w:r>
          </w:p>
          <w:p w14:paraId="1F82576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36、SD卡扩展：内置Micro SD卡插槽，支持Micro SD/Micro SDHC/Micro SDXC卡（最大支持256 GB）；</w:t>
            </w:r>
          </w:p>
          <w:p w14:paraId="7D1CF37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37、报警输入：2路报警输入；</w:t>
            </w:r>
          </w:p>
          <w:p w14:paraId="3969047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38、报警输出：1路报警输出；</w:t>
            </w:r>
          </w:p>
          <w:p w14:paraId="460C732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39、音频输入：1路音频输入，音频峰值：2-2.4V[p-p]，输入阻抗：1 kΩ±10；</w:t>
            </w:r>
          </w:p>
          <w:p w14:paraId="271B84C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40、音频输出：1路音频输出，线性电平，阻抗:600Ω ；</w:t>
            </w:r>
          </w:p>
          <w:p w14:paraId="22BA35C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41、供电方式：AC24V,Hi-PoE；</w:t>
            </w:r>
          </w:p>
          <w:p w14:paraId="6C27CA3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42、电源接口类型：甩线；</w:t>
            </w:r>
          </w:p>
          <w:p w14:paraId="68B3536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43、设备功耗：最大功耗：42 W（其中补光灯最大功耗：15 W ）；</w:t>
            </w:r>
          </w:p>
          <w:p w14:paraId="48FB1C8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44、工作温湿度：-30℃-65℃;湿度小于90%；</w:t>
            </w:r>
          </w:p>
          <w:p w14:paraId="30DF029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45、恢复出厂设置：支持；</w:t>
            </w:r>
          </w:p>
          <w:p w14:paraId="4552AF6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46、除雾：加热玻璃除雾；</w:t>
            </w:r>
          </w:p>
          <w:p w14:paraId="179A932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47、防护：IP66；抗干扰能力强，适用于严酷的电磁环境，符合GB/T17626.2/3/4/5/6四级标准。</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14:paraId="5F612CD2">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83</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65FA50E">
            <w:pPr>
              <w:rPr>
                <w:rFonts w:hint="eastAsia" w:ascii="宋体" w:hAnsi="宋体" w:eastAsia="宋体" w:cs="宋体"/>
                <w:i w:val="0"/>
                <w:iCs w:val="0"/>
                <w:color w:val="000000"/>
                <w:sz w:val="21"/>
                <w:szCs w:val="21"/>
                <w:u w:val="none"/>
              </w:rPr>
            </w:pPr>
          </w:p>
        </w:tc>
      </w:tr>
      <w:tr w14:paraId="14D55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5" w:type="dxa"/>
            <w:tcBorders>
              <w:top w:val="single" w:color="000000" w:sz="4" w:space="0"/>
              <w:left w:val="single" w:color="000000" w:sz="4" w:space="0"/>
              <w:bottom w:val="single" w:color="000000" w:sz="4" w:space="0"/>
              <w:right w:val="single" w:color="000000" w:sz="4" w:space="0"/>
            </w:tcBorders>
            <w:noWrap w:val="0"/>
            <w:vAlign w:val="center"/>
          </w:tcPr>
          <w:p w14:paraId="3FDB69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59ACEE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77" w:type="dxa"/>
            <w:tcBorders>
              <w:top w:val="single" w:color="000000" w:sz="4" w:space="0"/>
              <w:left w:val="single" w:color="000000" w:sz="4" w:space="0"/>
              <w:bottom w:val="single" w:color="000000" w:sz="4" w:space="0"/>
              <w:right w:val="single" w:color="000000" w:sz="4" w:space="0"/>
            </w:tcBorders>
            <w:noWrap w:val="0"/>
            <w:vAlign w:val="center"/>
          </w:tcPr>
          <w:p w14:paraId="53752CB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p>
        </w:tc>
        <w:tc>
          <w:tcPr>
            <w:tcW w:w="5908" w:type="dxa"/>
            <w:tcBorders>
              <w:top w:val="single" w:color="000000" w:sz="4" w:space="0"/>
              <w:left w:val="single" w:color="000000" w:sz="4" w:space="0"/>
              <w:bottom w:val="single" w:color="000000" w:sz="4" w:space="0"/>
              <w:right w:val="single" w:color="000000" w:sz="4" w:space="0"/>
            </w:tcBorders>
            <w:noWrap w:val="0"/>
            <w:vAlign w:val="center"/>
          </w:tcPr>
          <w:p w14:paraId="0BA99C08">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noWrap w:val="0"/>
            <w:vAlign w:val="center"/>
          </w:tcPr>
          <w:p w14:paraId="39C38E7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42796A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p>
        </w:tc>
      </w:tr>
    </w:tbl>
    <w:p w14:paraId="234ECC82">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b/>
          <w:bCs/>
          <w:color w:val="auto"/>
          <w:sz w:val="24"/>
          <w:szCs w:val="24"/>
          <w:highlight w:val="none"/>
          <w:lang w:val="en-US" w:eastAsia="zh-CN"/>
        </w:rPr>
      </w:pPr>
    </w:p>
    <w:p w14:paraId="1BC39E8D">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b/>
          <w:bCs/>
          <w:color w:val="auto"/>
          <w:sz w:val="24"/>
          <w:szCs w:val="24"/>
          <w:highlight w:val="none"/>
          <w:lang w:val="en-US" w:eastAsia="zh-CN"/>
        </w:rPr>
      </w:pPr>
    </w:p>
    <w:p w14:paraId="010F5FD3">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维护服务要求</w:t>
      </w:r>
      <w:r>
        <w:rPr>
          <w:rFonts w:hint="eastAsia" w:ascii="宋体" w:hAnsi="宋体" w:cs="宋体"/>
          <w:b/>
          <w:bCs/>
          <w:color w:val="auto"/>
          <w:sz w:val="24"/>
          <w:szCs w:val="24"/>
          <w:highlight w:val="none"/>
          <w:lang w:val="en-US" w:eastAsia="zh-CN"/>
        </w:rPr>
        <w:t>：</w:t>
      </w:r>
    </w:p>
    <w:p w14:paraId="5F42551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1、运维期间所有设备、链路、存储都由乙方负责维护，如遇设备损坏、链路不符合要求等均由乙方负责维修及更换。</w:t>
      </w:r>
    </w:p>
    <w:p w14:paraId="556B7B4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合同签订之日起，乙方必须派专人定期（每月不少于一次）对设备和系统进行维护（包括清洗监控探头及清理监控遮挡物）；接到建设方的报修指令（包括：口头、电话、传真、邮件等形式）时，乙方必须在30分钟内响应，1小时内到达现场，一般故障在2小时内排除；不能在2小时除的，必须先用备件替换损坏的设备，在4小时内恢复系统，确保正常运行，并以联系单方式提交采购方确认（载明故障设备、原因、修复时间和方案）；摄像机、工控机（硬盘录像机）、系统中的主要部件，乙方都应提供备件。</w:t>
      </w:r>
    </w:p>
    <w:p w14:paraId="11F511A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3、甲方在发出报修指令后，乙方不得以某种特殊原因（如：接电、光路、设备等问题）而延长修复时间，如乙方在甲方报修之时起48小时内仍未修复，甲方有权可直接扣除该损坏监控点位的当月租赁费用。</w:t>
      </w:r>
    </w:p>
    <w:p w14:paraId="5DAE653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4、因乙方原因对长期无法修复的监控点位（连续1个月以上未修复），甲方有权直接扣除相应监控点位3个月的租赁费用。同时3个月以上未修复的直接扣除该监控点位当年的所有租赁费用。具体故障点位数、故障时间结算以公安监控维护平台实时数据为准。</w:t>
      </w:r>
    </w:p>
    <w:p w14:paraId="1F125C0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5、在重大突发事件或公安调取重要证据时发现监控系统损坏时，甲方或公安机关有权追究乙方相应的刑事责任及民事赔偿。</w:t>
      </w:r>
    </w:p>
    <w:p w14:paraId="4582FEF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6、乙方在每季度，季节交替时需对前端摄像机周边影响照射视线的树枝进行修剪，确保每台摄像机照射视线不受任何影响。</w:t>
      </w:r>
    </w:p>
    <w:p w14:paraId="781BEC8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7、 监控探头、存储设备老化需更换标准：当监控探头画面一旦出现色差、长期模糊得不到解决（30天），或红外补光失效等情况下，不论探头使用年限标准，乙方无条件进行及时更换，如遇双方因更换标准不一致时，以公安部门的标准为准；</w:t>
      </w:r>
    </w:p>
    <w:p w14:paraId="48A0BAA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8、因甲方要求对已建监控点位进行移位时，甲方需支付每个监控点位的移位费用：</w:t>
      </w:r>
      <w:r>
        <w:rPr>
          <w:rFonts w:hint="eastAsia" w:ascii="宋体" w:hAnsi="宋体" w:cs="宋体"/>
          <w:color w:val="000000" w:themeColor="text1"/>
          <w:sz w:val="24"/>
          <w:szCs w:val="21"/>
          <w:highlight w:val="none"/>
          <w:lang w:val="en-US" w:eastAsia="zh-CN"/>
          <w14:textFill>
            <w14:solidFill>
              <w14:schemeClr w14:val="tx1"/>
            </w14:solidFill>
          </w14:textFill>
        </w:rPr>
        <w:t>4000</w:t>
      </w:r>
      <w:r>
        <w:rPr>
          <w:rFonts w:hint="eastAsia" w:ascii="宋体" w:hAnsi="宋体" w:eastAsia="宋体" w:cs="宋体"/>
          <w:color w:val="000000" w:themeColor="text1"/>
          <w:sz w:val="24"/>
          <w:szCs w:val="21"/>
          <w:highlight w:val="none"/>
          <w14:textFill>
            <w14:solidFill>
              <w14:schemeClr w14:val="tx1"/>
            </w14:solidFill>
          </w14:textFill>
        </w:rPr>
        <w:t>元/每个点(含所有软硬件费用，直到重新开通可使用)。</w:t>
      </w:r>
    </w:p>
    <w:p w14:paraId="66A58B5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9、如因网络割接、系统升级、线路调整等原因必须中断服务，乙方应提前24小时通知甲方。因乙方原因造成甲方服务缺失的，乙方需根据具体缺失情形由甲方予以扣除相应费用。</w:t>
      </w:r>
    </w:p>
    <w:p w14:paraId="7399F6ED">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其他要求</w:t>
      </w:r>
      <w:r>
        <w:rPr>
          <w:rFonts w:hint="eastAsia" w:ascii="宋体" w:hAnsi="宋体" w:cs="宋体"/>
          <w:b/>
          <w:bCs/>
          <w:color w:val="auto"/>
          <w:sz w:val="24"/>
          <w:szCs w:val="24"/>
          <w:highlight w:val="none"/>
          <w:lang w:val="en-US" w:eastAsia="zh-CN"/>
        </w:rPr>
        <w:t>：</w:t>
      </w:r>
    </w:p>
    <w:p w14:paraId="7234BD42">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ind w:right="0" w:rightChars="0" w:firstLine="482" w:firstLineChars="200"/>
        <w:textAlignment w:val="auto"/>
        <w:outlineLvl w:val="9"/>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工期要求：合同签订后30天内所有设备正常使用。</w:t>
      </w:r>
    </w:p>
    <w:p w14:paraId="6BF163B2">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ind w:right="0" w:rightChars="0" w:firstLine="482" w:firstLineChars="20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存储要求：</w:t>
      </w:r>
      <w:r>
        <w:rPr>
          <w:rFonts w:hint="eastAsia" w:ascii="宋体" w:hAnsi="宋体" w:eastAsia="宋体" w:cs="宋体"/>
          <w:b w:val="0"/>
          <w:bCs w:val="0"/>
          <w:color w:val="auto"/>
          <w:sz w:val="24"/>
          <w:szCs w:val="24"/>
          <w:highlight w:val="none"/>
          <w:lang w:val="en-US" w:eastAsia="zh-CN"/>
        </w:rPr>
        <w:t>本项目监控视频存储时间要求在30天以上（24小时运行），存储码流不得低于该前端设备正常存储码流。</w:t>
      </w:r>
    </w:p>
    <w:p w14:paraId="73250933">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ind w:right="0" w:rightChars="0" w:firstLine="482"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推送要求：</w:t>
      </w:r>
      <w:r>
        <w:rPr>
          <w:rFonts w:hint="eastAsia" w:ascii="宋体" w:hAnsi="宋体" w:eastAsia="宋体" w:cs="宋体"/>
          <w:b w:val="0"/>
          <w:bCs w:val="0"/>
          <w:color w:val="auto"/>
          <w:sz w:val="24"/>
          <w:szCs w:val="24"/>
          <w:highlight w:val="none"/>
          <w:lang w:val="en-US" w:eastAsia="zh-CN"/>
        </w:rPr>
        <w:t>监控建设完成后需将视频资源同步推送</w:t>
      </w:r>
      <w:r>
        <w:rPr>
          <w:rFonts w:hint="eastAsia" w:ascii="宋体" w:hAnsi="宋体" w:cs="宋体"/>
          <w:b w:val="0"/>
          <w:bCs w:val="0"/>
          <w:color w:val="auto"/>
          <w:sz w:val="24"/>
          <w:szCs w:val="24"/>
          <w:highlight w:val="none"/>
          <w:lang w:val="en-US" w:eastAsia="zh-CN"/>
        </w:rPr>
        <w:t>仁和</w:t>
      </w:r>
      <w:r>
        <w:rPr>
          <w:rFonts w:hint="eastAsia" w:ascii="宋体" w:hAnsi="宋体" w:eastAsia="宋体" w:cs="宋体"/>
          <w:b w:val="0"/>
          <w:bCs w:val="0"/>
          <w:color w:val="auto"/>
          <w:sz w:val="24"/>
          <w:szCs w:val="24"/>
          <w:highlight w:val="none"/>
          <w:lang w:val="en-US" w:eastAsia="zh-CN"/>
        </w:rPr>
        <w:t>街道和</w:t>
      </w:r>
      <w:r>
        <w:rPr>
          <w:rFonts w:hint="eastAsia" w:ascii="宋体" w:hAnsi="宋体" w:cs="宋体"/>
          <w:b w:val="0"/>
          <w:bCs w:val="0"/>
          <w:color w:val="auto"/>
          <w:sz w:val="24"/>
          <w:szCs w:val="24"/>
          <w:highlight w:val="none"/>
          <w:lang w:val="en-US" w:eastAsia="zh-CN"/>
        </w:rPr>
        <w:t>余杭</w:t>
      </w:r>
      <w:r>
        <w:rPr>
          <w:rFonts w:hint="eastAsia" w:ascii="宋体" w:hAnsi="宋体" w:eastAsia="宋体" w:cs="宋体"/>
          <w:b w:val="0"/>
          <w:bCs w:val="0"/>
          <w:color w:val="auto"/>
          <w:sz w:val="24"/>
          <w:szCs w:val="24"/>
          <w:highlight w:val="none"/>
          <w:lang w:val="en-US" w:eastAsia="zh-CN"/>
        </w:rPr>
        <w:t>区公安分局。</w:t>
      </w:r>
    </w:p>
    <w:p w14:paraId="73DE2617">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ind w:right="0" w:rightChars="0" w:firstLine="482"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链路要求：</w:t>
      </w:r>
      <w:r>
        <w:rPr>
          <w:rFonts w:hint="eastAsia" w:ascii="宋体" w:hAnsi="宋体" w:eastAsia="宋体" w:cs="宋体"/>
          <w:b w:val="0"/>
          <w:bCs w:val="0"/>
          <w:color w:val="auto"/>
          <w:sz w:val="24"/>
          <w:szCs w:val="24"/>
          <w:highlight w:val="none"/>
          <w:lang w:val="en-US" w:eastAsia="zh-CN"/>
        </w:rPr>
        <w:t>所有视频监控均使用不小于100M专线VPN网络链路（采购人有权委托第三方机构对中标方提供的链路进行带宽检测，不满足标书要求，采购人可以终止合同，并进行追责）。</w:t>
      </w:r>
    </w:p>
    <w:p w14:paraId="7A3C9E89">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ind w:right="0" w:rightChars="0" w:firstLine="482"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验收标准：</w:t>
      </w:r>
      <w:r>
        <w:rPr>
          <w:rFonts w:hint="eastAsia" w:ascii="宋体" w:hAnsi="宋体" w:eastAsia="宋体" w:cs="宋体"/>
          <w:b w:val="0"/>
          <w:bCs w:val="0"/>
          <w:color w:val="auto"/>
          <w:sz w:val="24"/>
          <w:szCs w:val="24"/>
          <w:highlight w:val="none"/>
          <w:lang w:val="en-US" w:eastAsia="zh-CN"/>
        </w:rPr>
        <w:t>所有点位的验收以公安分局可视化指挥平台及街道政务网数据为准，要求视频清晰不卡顿无丢包，录像检索高清，卡口抓拍数据清晰无拖影。</w:t>
      </w:r>
    </w:p>
    <w:p w14:paraId="635B40B5">
      <w:pPr>
        <w:snapToGrid w:val="0"/>
        <w:spacing w:line="360" w:lineRule="auto"/>
        <w:ind w:firstLine="482" w:firstLineChars="200"/>
        <w:rPr>
          <w:rFonts w:ascii="宋体" w:hAnsi="宋体" w:cs="仿宋"/>
          <w:sz w:val="24"/>
        </w:rPr>
      </w:pPr>
      <w:r>
        <w:rPr>
          <w:rFonts w:hint="eastAsia" w:ascii="宋体" w:hAnsi="宋体" w:eastAsia="宋体" w:cs="宋体"/>
          <w:b/>
          <w:bCs/>
          <w:color w:val="auto"/>
          <w:sz w:val="24"/>
          <w:szCs w:val="24"/>
          <w:highlight w:val="none"/>
          <w:lang w:val="en-US" w:eastAsia="zh-CN"/>
        </w:rPr>
        <w:t>报警坐标：</w:t>
      </w:r>
      <w:r>
        <w:rPr>
          <w:rFonts w:hint="eastAsia" w:ascii="宋体" w:hAnsi="宋体" w:eastAsia="宋体" w:cs="宋体"/>
          <w:b w:val="0"/>
          <w:bCs w:val="0"/>
          <w:color w:val="auto"/>
          <w:sz w:val="24"/>
          <w:szCs w:val="24"/>
          <w:highlight w:val="none"/>
          <w:lang w:val="en-US" w:eastAsia="zh-CN"/>
        </w:rPr>
        <w:t>报警坐标的更换，以派出所的为准，投标总价中已含每路监控的报警坐标制作、更换费用。</w:t>
      </w:r>
    </w:p>
    <w:p w14:paraId="5DE62544">
      <w:pPr>
        <w:spacing w:line="360" w:lineRule="auto"/>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三、合同订立安排</w:t>
      </w:r>
    </w:p>
    <w:p w14:paraId="3887D4B9">
      <w:pPr>
        <w:spacing w:line="360" w:lineRule="auto"/>
        <w:jc w:val="left"/>
        <w:rPr>
          <w:rFonts w:hint="default" w:ascii="宋体" w:hAnsi="宋体" w:eastAsia="宋体" w:cs="仿宋_GB2312"/>
          <w:color w:val="000000" w:themeColor="text1"/>
          <w:sz w:val="24"/>
          <w:highlight w:val="none"/>
          <w:u w:val="single"/>
          <w:lang w:val="en-US" w:eastAsia="zh-CN"/>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（一）采购项目预（概）算（元）：</w:t>
      </w:r>
      <w:r>
        <w:rPr>
          <w:rFonts w:hint="eastAsia" w:ascii="宋体" w:hAnsi="宋体" w:cs="宋体"/>
          <w:b/>
          <w:color w:val="000000" w:themeColor="text1"/>
          <w:sz w:val="24"/>
          <w:u w:val="single"/>
          <w:lang w:val="en-US" w:eastAsia="zh-CN"/>
          <w14:textFill>
            <w14:solidFill>
              <w14:schemeClr w14:val="tx1"/>
            </w14:solidFill>
          </w14:textFill>
        </w:rPr>
        <w:t>1682640</w:t>
      </w:r>
      <w:r>
        <w:rPr>
          <w:rFonts w:hint="eastAsia" w:ascii="宋体" w:hAnsi="宋体"/>
          <w:b/>
          <w:color w:val="000000"/>
          <w:sz w:val="24"/>
          <w:highlight w:val="none"/>
          <w:u w:val="single"/>
          <w:lang w:val="en-US" w:eastAsia="zh-CN"/>
        </w:rPr>
        <w:t>元</w:t>
      </w:r>
    </w:p>
    <w:p w14:paraId="0F6D58B9">
      <w:pPr>
        <w:spacing w:line="360" w:lineRule="auto"/>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（二）开展采购活动的时间安排：</w:t>
      </w:r>
      <w:r>
        <w:rPr>
          <w:rFonts w:ascii="宋体" w:hAnsi="宋体" w:cs="仿宋_GB2312"/>
          <w:color w:val="000000" w:themeColor="text1"/>
          <w:sz w:val="24"/>
          <w:highlight w:val="none"/>
          <w:u w:val="single"/>
          <w14:textFill>
            <w14:solidFill>
              <w14:schemeClr w14:val="tx1"/>
            </w14:solidFill>
          </w14:textFill>
        </w:rPr>
        <w:t xml:space="preserve"> 202</w:t>
      </w:r>
      <w:r>
        <w:rPr>
          <w:rFonts w:hint="eastAsia" w:ascii="宋体" w:hAnsi="宋体" w:cs="仿宋_GB2312"/>
          <w:color w:val="000000" w:themeColor="text1"/>
          <w:sz w:val="24"/>
          <w:highlight w:val="none"/>
          <w:u w:val="single"/>
          <w:lang w:val="en-US" w:eastAsia="zh-CN"/>
          <w14:textFill>
            <w14:solidFill>
              <w14:schemeClr w14:val="tx1"/>
            </w14:solidFill>
          </w14:textFill>
        </w:rPr>
        <w:t>4</w:t>
      </w:r>
      <w:r>
        <w:rPr>
          <w:rFonts w:ascii="宋体" w:hAnsi="宋体" w:cs="仿宋_GB2312"/>
          <w:color w:val="000000" w:themeColor="text1"/>
          <w:sz w:val="24"/>
          <w:highlight w:val="none"/>
          <w:u w:val="single"/>
          <w14:textFill>
            <w14:solidFill>
              <w14:schemeClr w14:val="tx1"/>
            </w14:solidFill>
          </w14:textFill>
        </w:rPr>
        <w:t>年</w:t>
      </w:r>
      <w:r>
        <w:rPr>
          <w:rFonts w:hint="eastAsia" w:ascii="宋体" w:hAnsi="宋体" w:cs="仿宋_GB2312"/>
          <w:color w:val="000000" w:themeColor="text1"/>
          <w:sz w:val="24"/>
          <w:highlight w:val="none"/>
          <w:u w:val="single"/>
          <w:lang w:val="en-US" w:eastAsia="zh-CN"/>
          <w14:textFill>
            <w14:solidFill>
              <w14:schemeClr w14:val="tx1"/>
            </w14:solidFill>
          </w14:textFill>
        </w:rPr>
        <w:t>11</w:t>
      </w:r>
      <w:r>
        <w:rPr>
          <w:rFonts w:hint="eastAsia" w:ascii="宋体" w:hAnsi="宋体" w:cs="仿宋_GB2312"/>
          <w:color w:val="000000" w:themeColor="text1"/>
          <w:sz w:val="24"/>
          <w:highlight w:val="none"/>
          <w:u w:val="single"/>
          <w14:textFill>
            <w14:solidFill>
              <w14:schemeClr w14:val="tx1"/>
            </w14:solidFill>
          </w14:textFill>
        </w:rPr>
        <w:t>月</w:t>
      </w:r>
      <w:r>
        <w:rPr>
          <w:rFonts w:ascii="宋体" w:hAnsi="宋体" w:cs="仿宋_GB2312"/>
          <w:color w:val="000000" w:themeColor="text1"/>
          <w:sz w:val="24"/>
          <w:highlight w:val="none"/>
          <w:u w:val="single"/>
          <w14:textFill>
            <w14:solidFill>
              <w14:schemeClr w14:val="tx1"/>
            </w14:solidFill>
          </w14:textFill>
        </w:rPr>
        <w:t xml:space="preserve"> </w:t>
      </w:r>
    </w:p>
    <w:p w14:paraId="4E7E27D3">
      <w:pPr>
        <w:spacing w:line="360" w:lineRule="auto"/>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（三）采购组织形式：</w:t>
      </w:r>
      <w:r>
        <w:rPr>
          <w:rFonts w:ascii="宋体" w:hAnsi="宋体" w:cs="仿宋_GB2312"/>
          <w:color w:val="000000" w:themeColor="text1"/>
          <w:sz w:val="24"/>
          <w:highlight w:val="none"/>
          <w14:textFill>
            <w14:solidFill>
              <w14:schemeClr w14:val="tx1"/>
            </w14:solidFill>
          </w14:textFill>
        </w:rPr>
        <w:tab/>
      </w:r>
      <w:r>
        <w:rPr>
          <w:rFonts w:ascii="宋体" w:hAnsi="宋体" w:cs="仿宋_GB2312"/>
          <w:color w:val="000000" w:themeColor="text1"/>
          <w:sz w:val="24"/>
          <w:highlight w:val="none"/>
          <w14:textFill>
            <w14:solidFill>
              <w14:schemeClr w14:val="tx1"/>
            </w14:solidFill>
          </w14:textFill>
        </w:rPr>
        <w:sym w:font="Wingdings 2" w:char="00A3"/>
      </w:r>
      <w:r>
        <w:rPr>
          <w:rFonts w:hint="eastAsia" w:ascii="宋体" w:hAnsi="宋体" w:cs="仿宋_GB2312"/>
          <w:color w:val="000000" w:themeColor="text1"/>
          <w:sz w:val="24"/>
          <w:highlight w:val="none"/>
          <w14:textFill>
            <w14:solidFill>
              <w14:schemeClr w14:val="tx1"/>
            </w14:solidFill>
          </w14:textFill>
        </w:rPr>
        <w:t>集中采购</w:t>
      </w:r>
      <w:r>
        <w:rPr>
          <w:rFonts w:ascii="宋体" w:hAnsi="宋体" w:cs="仿宋_GB2312"/>
          <w:color w:val="000000" w:themeColor="text1"/>
          <w:sz w:val="24"/>
          <w:highlight w:val="none"/>
          <w14:textFill>
            <w14:solidFill>
              <w14:schemeClr w14:val="tx1"/>
            </w14:solidFill>
          </w14:textFill>
        </w:rPr>
        <w:tab/>
      </w:r>
      <w:r>
        <w:rPr>
          <w:rFonts w:ascii="宋体" w:hAnsi="宋体" w:cs="仿宋_GB2312"/>
          <w:color w:val="000000" w:themeColor="text1"/>
          <w:sz w:val="24"/>
          <w:highlight w:val="none"/>
          <w14:textFill>
            <w14:solidFill>
              <w14:schemeClr w14:val="tx1"/>
            </w14:solidFill>
          </w14:textFill>
        </w:rPr>
        <w:tab/>
      </w:r>
      <w:r>
        <w:rPr>
          <w:rFonts w:ascii="宋体" w:hAnsi="宋体" w:cs="仿宋_GB2312"/>
          <w:color w:val="000000" w:themeColor="text1"/>
          <w:sz w:val="24"/>
          <w:highlight w:val="none"/>
          <w14:textFill>
            <w14:solidFill>
              <w14:schemeClr w14:val="tx1"/>
            </w14:solidFill>
          </w14:textFill>
        </w:rPr>
        <w:sym w:font="Wingdings 2" w:char="F052"/>
      </w:r>
      <w:r>
        <w:rPr>
          <w:rFonts w:hint="eastAsia" w:ascii="宋体" w:hAnsi="宋体" w:cs="仿宋_GB2312"/>
          <w:color w:val="000000" w:themeColor="text1"/>
          <w:sz w:val="24"/>
          <w:highlight w:val="none"/>
          <w14:textFill>
            <w14:solidFill>
              <w14:schemeClr w14:val="tx1"/>
            </w14:solidFill>
          </w14:textFill>
        </w:rPr>
        <w:t>分散采购</w:t>
      </w:r>
      <w:r>
        <w:rPr>
          <w:rFonts w:ascii="宋体" w:hAnsi="宋体" w:cs="仿宋_GB2312"/>
          <w:color w:val="000000" w:themeColor="text1"/>
          <w:sz w:val="24"/>
          <w:highlight w:val="none"/>
          <w14:textFill>
            <w14:solidFill>
              <w14:schemeClr w14:val="tx1"/>
            </w14:solidFill>
          </w14:textFill>
        </w:rPr>
        <w:t xml:space="preserve"> </w:t>
      </w:r>
    </w:p>
    <w:p w14:paraId="161F412C">
      <w:pPr>
        <w:spacing w:line="360" w:lineRule="auto"/>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（四）委托代理安排</w:t>
      </w:r>
    </w:p>
    <w:p w14:paraId="72E7DDDD">
      <w:pPr>
        <w:spacing w:line="360" w:lineRule="auto"/>
        <w:ind w:firstLine="420"/>
        <w:jc w:val="left"/>
        <w:rPr>
          <w:rFonts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sym w:font="Wingdings 2" w:char="00A3"/>
      </w:r>
      <w:r>
        <w:rPr>
          <w:rFonts w:hint="eastAsia" w:ascii="宋体" w:hAnsi="宋体" w:cs="仿宋_GB2312"/>
          <w:color w:val="000000" w:themeColor="text1"/>
          <w:sz w:val="24"/>
          <w:highlight w:val="none"/>
          <w14:textFill>
            <w14:solidFill>
              <w14:schemeClr w14:val="tx1"/>
            </w14:solidFill>
          </w14:textFill>
        </w:rPr>
        <w:t>集中采购机构</w:t>
      </w:r>
      <w:r>
        <w:rPr>
          <w:rFonts w:ascii="宋体" w:hAnsi="宋体" w:cs="仿宋_GB2312"/>
          <w:color w:val="000000" w:themeColor="text1"/>
          <w:sz w:val="24"/>
          <w:highlight w:val="none"/>
          <w14:textFill>
            <w14:solidFill>
              <w14:schemeClr w14:val="tx1"/>
            </w14:solidFill>
          </w14:textFill>
        </w:rPr>
        <w:tab/>
      </w:r>
      <w:r>
        <w:rPr>
          <w:rFonts w:ascii="宋体" w:hAnsi="宋体" w:cs="仿宋_GB2312"/>
          <w:color w:val="000000" w:themeColor="text1"/>
          <w:sz w:val="24"/>
          <w:highlight w:val="none"/>
          <w14:textFill>
            <w14:solidFill>
              <w14:schemeClr w14:val="tx1"/>
            </w14:solidFill>
          </w14:textFill>
        </w:rPr>
        <w:tab/>
      </w:r>
      <w:r>
        <w:rPr>
          <w:rFonts w:ascii="宋体" w:hAnsi="宋体" w:cs="仿宋_GB2312"/>
          <w:color w:val="000000" w:themeColor="text1"/>
          <w:sz w:val="24"/>
          <w:highlight w:val="none"/>
          <w14:textFill>
            <w14:solidFill>
              <w14:schemeClr w14:val="tx1"/>
            </w14:solidFill>
          </w14:textFill>
        </w:rPr>
        <w:sym w:font="Wingdings 2" w:char="00A3"/>
      </w:r>
      <w:r>
        <w:rPr>
          <w:rFonts w:hint="eastAsia" w:ascii="宋体" w:hAnsi="宋体" w:cs="仿宋_GB2312"/>
          <w:color w:val="000000" w:themeColor="text1"/>
          <w:sz w:val="24"/>
          <w:highlight w:val="none"/>
          <w14:textFill>
            <w14:solidFill>
              <w14:schemeClr w14:val="tx1"/>
            </w14:solidFill>
          </w14:textFill>
        </w:rPr>
        <w:t>部门集中采购机构</w:t>
      </w:r>
    </w:p>
    <w:p w14:paraId="594D4C65">
      <w:pPr>
        <w:spacing w:line="360" w:lineRule="auto"/>
        <w:ind w:firstLine="420"/>
        <w:jc w:val="left"/>
        <w:rPr>
          <w:rFonts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sym w:font="Wingdings 2" w:char="F052"/>
      </w:r>
      <w:r>
        <w:rPr>
          <w:rFonts w:hint="eastAsia" w:ascii="宋体" w:hAnsi="宋体" w:cs="仿宋_GB2312"/>
          <w:color w:val="000000" w:themeColor="text1"/>
          <w:sz w:val="24"/>
          <w:highlight w:val="none"/>
          <w14:textFill>
            <w14:solidFill>
              <w14:schemeClr w14:val="tx1"/>
            </w14:solidFill>
          </w14:textFill>
        </w:rPr>
        <w:t>采购代理机构</w:t>
      </w:r>
      <w:r>
        <w:rPr>
          <w:rFonts w:ascii="宋体" w:hAnsi="宋体" w:cs="仿宋_GB2312"/>
          <w:color w:val="000000" w:themeColor="text1"/>
          <w:sz w:val="24"/>
          <w:highlight w:val="none"/>
          <w14:textFill>
            <w14:solidFill>
              <w14:schemeClr w14:val="tx1"/>
            </w14:solidFill>
          </w14:textFill>
        </w:rPr>
        <w:tab/>
      </w:r>
      <w:r>
        <w:rPr>
          <w:rFonts w:ascii="宋体" w:hAnsi="宋体" w:cs="仿宋_GB2312"/>
          <w:color w:val="000000" w:themeColor="text1"/>
          <w:sz w:val="24"/>
          <w:highlight w:val="none"/>
          <w14:textFill>
            <w14:solidFill>
              <w14:schemeClr w14:val="tx1"/>
            </w14:solidFill>
          </w14:textFill>
        </w:rPr>
        <w:tab/>
      </w:r>
      <w:r>
        <w:rPr>
          <w:rFonts w:ascii="宋体" w:hAnsi="宋体" w:cs="仿宋_GB2312"/>
          <w:color w:val="000000" w:themeColor="text1"/>
          <w:sz w:val="24"/>
          <w:highlight w:val="none"/>
          <w14:textFill>
            <w14:solidFill>
              <w14:schemeClr w14:val="tx1"/>
            </w14:solidFill>
          </w14:textFill>
        </w:rPr>
        <w:sym w:font="Wingdings 2" w:char="00A3"/>
      </w:r>
      <w:r>
        <w:rPr>
          <w:rFonts w:hint="eastAsia" w:ascii="宋体" w:hAnsi="宋体" w:cs="仿宋_GB2312"/>
          <w:color w:val="000000" w:themeColor="text1"/>
          <w:sz w:val="24"/>
          <w:highlight w:val="none"/>
          <w14:textFill>
            <w14:solidFill>
              <w14:schemeClr w14:val="tx1"/>
            </w14:solidFill>
          </w14:textFill>
        </w:rPr>
        <w:t>自行采购（含电子卖场）</w:t>
      </w:r>
    </w:p>
    <w:p w14:paraId="39E78CBF">
      <w:pPr>
        <w:spacing w:line="360" w:lineRule="auto"/>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（五）采购包划分：</w:t>
      </w:r>
      <w:r>
        <w:rPr>
          <w:rFonts w:ascii="宋体" w:hAnsi="宋体" w:cs="仿宋_GB2312"/>
          <w:color w:val="000000" w:themeColor="text1"/>
          <w:sz w:val="24"/>
          <w:highlight w:val="none"/>
          <w14:textFill>
            <w14:solidFill>
              <w14:schemeClr w14:val="tx1"/>
            </w14:solidFill>
          </w14:textFill>
        </w:rPr>
        <w:tab/>
      </w:r>
      <w:r>
        <w:rPr>
          <w:rFonts w:ascii="宋体" w:hAnsi="宋体" w:cs="仿宋_GB2312"/>
          <w:color w:val="000000" w:themeColor="text1"/>
          <w:sz w:val="24"/>
          <w:highlight w:val="none"/>
          <w14:textFill>
            <w14:solidFill>
              <w14:schemeClr w14:val="tx1"/>
            </w14:solidFill>
          </w14:textFill>
        </w:rPr>
        <w:sym w:font="Wingdings 2" w:char="00A3"/>
      </w:r>
      <w:r>
        <w:rPr>
          <w:rFonts w:hint="eastAsia" w:ascii="宋体" w:hAnsi="宋体" w:cs="仿宋_GB2312"/>
          <w:color w:val="000000" w:themeColor="text1"/>
          <w:sz w:val="24"/>
          <w:highlight w:val="none"/>
          <w14:textFill>
            <w14:solidFill>
              <w14:schemeClr w14:val="tx1"/>
            </w14:solidFill>
          </w14:textFill>
        </w:rPr>
        <w:t>分标项</w:t>
      </w:r>
      <w:r>
        <w:rPr>
          <w:rFonts w:ascii="宋体" w:hAnsi="宋体" w:cs="仿宋_GB2312"/>
          <w:color w:val="000000" w:themeColor="text1"/>
          <w:sz w:val="24"/>
          <w:highlight w:val="none"/>
          <w14:textFill>
            <w14:solidFill>
              <w14:schemeClr w14:val="tx1"/>
            </w14:solidFill>
          </w14:textFill>
        </w:rPr>
        <w:tab/>
      </w:r>
      <w:r>
        <w:rPr>
          <w:rFonts w:ascii="宋体" w:hAnsi="宋体" w:cs="仿宋_GB2312"/>
          <w:color w:val="000000" w:themeColor="text1"/>
          <w:sz w:val="24"/>
          <w:highlight w:val="none"/>
          <w14:textFill>
            <w14:solidFill>
              <w14:schemeClr w14:val="tx1"/>
            </w14:solidFill>
          </w14:textFill>
        </w:rPr>
        <w:tab/>
      </w:r>
      <w:r>
        <w:rPr>
          <w:rFonts w:ascii="宋体" w:hAnsi="宋体" w:cs="仿宋_GB2312"/>
          <w:color w:val="000000" w:themeColor="text1"/>
          <w:sz w:val="24"/>
          <w:highlight w:val="none"/>
          <w14:textFill>
            <w14:solidFill>
              <w14:schemeClr w14:val="tx1"/>
            </w14:solidFill>
          </w14:textFill>
        </w:rPr>
        <w:sym w:font="Wingdings 2" w:char="F052"/>
      </w:r>
      <w:r>
        <w:rPr>
          <w:rFonts w:hint="eastAsia" w:ascii="宋体" w:hAnsi="宋体" w:cs="仿宋_GB2312"/>
          <w:color w:val="000000" w:themeColor="text1"/>
          <w:sz w:val="24"/>
          <w:highlight w:val="none"/>
          <w14:textFill>
            <w14:solidFill>
              <w14:schemeClr w14:val="tx1"/>
            </w14:solidFill>
          </w14:textFill>
        </w:rPr>
        <w:t>不分标项</w:t>
      </w:r>
      <w:r>
        <w:rPr>
          <w:rFonts w:ascii="宋体" w:hAnsi="宋体" w:cs="仿宋_GB2312"/>
          <w:color w:val="000000" w:themeColor="text1"/>
          <w:sz w:val="24"/>
          <w:highlight w:val="none"/>
          <w14:textFill>
            <w14:solidFill>
              <w14:schemeClr w14:val="tx1"/>
            </w14:solidFill>
          </w14:textFill>
        </w:rPr>
        <w:t xml:space="preserve"> </w:t>
      </w:r>
    </w:p>
    <w:p w14:paraId="2D34B8E4">
      <w:pPr>
        <w:spacing w:line="360" w:lineRule="auto"/>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（六）合同分包：</w:t>
      </w:r>
      <w:r>
        <w:rPr>
          <w:rFonts w:ascii="宋体" w:hAnsi="宋体" w:cs="仿宋_GB2312"/>
          <w:color w:val="000000" w:themeColor="text1"/>
          <w:sz w:val="24"/>
          <w:highlight w:val="none"/>
          <w14:textFill>
            <w14:solidFill>
              <w14:schemeClr w14:val="tx1"/>
            </w14:solidFill>
          </w14:textFill>
        </w:rPr>
        <w:tab/>
      </w:r>
      <w:r>
        <w:rPr>
          <w:rFonts w:ascii="宋体" w:hAnsi="宋体" w:cs="仿宋_GB2312"/>
          <w:color w:val="000000" w:themeColor="text1"/>
          <w:sz w:val="24"/>
          <w:highlight w:val="none"/>
          <w14:textFill>
            <w14:solidFill>
              <w14:schemeClr w14:val="tx1"/>
            </w14:solidFill>
          </w14:textFill>
        </w:rPr>
        <w:tab/>
      </w:r>
      <w:r>
        <w:rPr>
          <w:rFonts w:ascii="宋体" w:hAnsi="宋体" w:cs="仿宋_GB2312"/>
          <w:color w:val="000000" w:themeColor="text1"/>
          <w:sz w:val="24"/>
          <w:highlight w:val="none"/>
          <w14:textFill>
            <w14:solidFill>
              <w14:schemeClr w14:val="tx1"/>
            </w14:solidFill>
          </w14:textFill>
        </w:rPr>
        <w:sym w:font="Wingdings 2" w:char="00A3"/>
      </w:r>
      <w:r>
        <w:rPr>
          <w:rFonts w:hint="eastAsia" w:ascii="宋体" w:hAnsi="宋体" w:cs="仿宋_GB2312"/>
          <w:color w:val="000000" w:themeColor="text1"/>
          <w:sz w:val="24"/>
          <w:highlight w:val="none"/>
          <w14:textFill>
            <w14:solidFill>
              <w14:schemeClr w14:val="tx1"/>
            </w14:solidFill>
          </w14:textFill>
        </w:rPr>
        <w:t>允许分包</w:t>
      </w:r>
      <w:r>
        <w:rPr>
          <w:rFonts w:ascii="宋体" w:hAnsi="宋体" w:cs="仿宋_GB2312"/>
          <w:color w:val="000000" w:themeColor="text1"/>
          <w:sz w:val="24"/>
          <w:highlight w:val="none"/>
          <w14:textFill>
            <w14:solidFill>
              <w14:schemeClr w14:val="tx1"/>
            </w14:solidFill>
          </w14:textFill>
        </w:rPr>
        <w:t xml:space="preserve">    </w:t>
      </w:r>
      <w:r>
        <w:rPr>
          <w:rFonts w:ascii="宋体" w:hAnsi="宋体" w:cs="仿宋_GB2312"/>
          <w:color w:val="000000" w:themeColor="text1"/>
          <w:sz w:val="24"/>
          <w:highlight w:val="none"/>
          <w14:textFill>
            <w14:solidFill>
              <w14:schemeClr w14:val="tx1"/>
            </w14:solidFill>
          </w14:textFill>
        </w:rPr>
        <w:sym w:font="Wingdings 2" w:char="0052"/>
      </w:r>
      <w:r>
        <w:rPr>
          <w:rFonts w:hint="eastAsia" w:ascii="宋体" w:hAnsi="宋体" w:cs="仿宋_GB2312"/>
          <w:color w:val="000000" w:themeColor="text1"/>
          <w:sz w:val="24"/>
          <w:highlight w:val="none"/>
          <w14:textFill>
            <w14:solidFill>
              <w14:schemeClr w14:val="tx1"/>
            </w14:solidFill>
          </w14:textFill>
        </w:rPr>
        <w:t>不允许分包</w:t>
      </w:r>
    </w:p>
    <w:p w14:paraId="17B3D438">
      <w:pPr>
        <w:spacing w:line="360" w:lineRule="auto"/>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（七）供应商资格条件</w:t>
      </w:r>
    </w:p>
    <w:p w14:paraId="6590E46C">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0F47B69">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453B5D9">
      <w:pPr>
        <w:spacing w:line="360" w:lineRule="auto"/>
        <w:ind w:firstLine="480" w:firstLineChars="200"/>
        <w:rPr>
          <w:rFonts w:hint="eastAsia" w:ascii="宋体" w:hAnsi="宋体" w:cs="宋体"/>
          <w:color w:val="auto"/>
          <w:kern w:val="0"/>
          <w:sz w:val="24"/>
          <w:highlight w:val="none"/>
          <w:lang w:val="en-US" w:eastAsia="zh-CN"/>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lang w:val="en-US" w:eastAsia="zh-CN"/>
        </w:rPr>
        <w:t>35</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lang w:eastAsia="zh-CN"/>
        </w:rPr>
        <w:t>；</w:t>
      </w:r>
    </w:p>
    <w:p w14:paraId="36FF0095">
      <w:pPr>
        <w:spacing w:line="360" w:lineRule="auto"/>
        <w:ind w:firstLine="480" w:firstLineChars="200"/>
        <w:rPr>
          <w:rFonts w:hint="eastAsia" w:ascii="宋体" w:hAnsi="宋体" w:eastAsia="宋体" w:cs="宋体"/>
          <w:color w:val="auto"/>
          <w:sz w:val="24"/>
          <w:highlight w:val="none"/>
          <w:lang w:eastAsia="zh-CN"/>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lang w:val="en-US" w:eastAsia="zh-CN"/>
        </w:rPr>
        <w:t>无</w:t>
      </w:r>
      <w:r>
        <w:rPr>
          <w:rFonts w:hint="eastAsia" w:ascii="宋体" w:hAnsi="宋体" w:cs="宋体"/>
          <w:color w:val="auto"/>
          <w:sz w:val="24"/>
          <w:highlight w:val="none"/>
          <w:lang w:eastAsia="zh-CN"/>
        </w:rPr>
        <w:t>；</w:t>
      </w:r>
    </w:p>
    <w:p w14:paraId="243EC510">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EA7248C">
      <w:pPr>
        <w:spacing w:line="360" w:lineRule="auto"/>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（八）采购方式</w:t>
      </w:r>
    </w:p>
    <w:p w14:paraId="55C1534B">
      <w:pPr>
        <w:spacing w:line="360" w:lineRule="auto"/>
        <w:ind w:firstLine="48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sym w:font="Wingdings 2" w:char="F052"/>
      </w:r>
      <w:r>
        <w:rPr>
          <w:rFonts w:hint="eastAsia" w:ascii="宋体" w:hAnsi="宋体"/>
          <w:color w:val="000000" w:themeColor="text1"/>
          <w:sz w:val="24"/>
          <w:highlight w:val="none"/>
          <w14:textFill>
            <w14:solidFill>
              <w14:schemeClr w14:val="tx1"/>
            </w14:solidFill>
          </w14:textFill>
        </w:rPr>
        <w:t>公开招标</w:t>
      </w:r>
      <w:r>
        <w:rPr>
          <w:rFonts w:ascii="宋体" w:hAnsi="宋体"/>
          <w:color w:val="000000" w:themeColor="text1"/>
          <w:sz w:val="24"/>
          <w:highlight w:val="none"/>
          <w14:textFill>
            <w14:solidFill>
              <w14:schemeClr w14:val="tx1"/>
            </w14:solidFill>
          </w14:textFill>
        </w:rPr>
        <w:tab/>
      </w:r>
      <w:r>
        <w:rPr>
          <w:rFonts w:ascii="宋体" w:hAnsi="宋体"/>
          <w:color w:val="000000" w:themeColor="text1"/>
          <w:sz w:val="24"/>
          <w:highlight w:val="none"/>
          <w14:textFill>
            <w14:solidFill>
              <w14:schemeClr w14:val="tx1"/>
            </w14:solidFill>
          </w14:textFill>
        </w:rPr>
        <w:tab/>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□邀请招标</w:t>
      </w:r>
      <w:r>
        <w:rPr>
          <w:rFonts w:ascii="宋体" w:hAnsi="宋体"/>
          <w:color w:val="000000" w:themeColor="text1"/>
          <w:sz w:val="24"/>
          <w:highlight w:val="none"/>
          <w14:textFill>
            <w14:solidFill>
              <w14:schemeClr w14:val="tx1"/>
            </w14:solidFill>
          </w14:textFill>
        </w:rPr>
        <w:tab/>
      </w:r>
      <w:r>
        <w:rPr>
          <w:rFonts w:ascii="宋体" w:hAnsi="宋体"/>
          <w:color w:val="000000" w:themeColor="text1"/>
          <w:sz w:val="24"/>
          <w:highlight w:val="none"/>
          <w14:textFill>
            <w14:solidFill>
              <w14:schemeClr w14:val="tx1"/>
            </w14:solidFill>
          </w14:textFill>
        </w:rPr>
        <w:tab/>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□竞争性谈判</w:t>
      </w:r>
    </w:p>
    <w:p w14:paraId="5171EA1F">
      <w:pPr>
        <w:spacing w:line="360" w:lineRule="auto"/>
        <w:ind w:firstLine="48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sym w:font="Wingdings 2" w:char="00A3"/>
      </w:r>
      <w:r>
        <w:rPr>
          <w:rFonts w:hint="eastAsia" w:ascii="宋体" w:hAnsi="宋体"/>
          <w:color w:val="000000" w:themeColor="text1"/>
          <w:sz w:val="24"/>
          <w:highlight w:val="none"/>
          <w14:textFill>
            <w14:solidFill>
              <w14:schemeClr w14:val="tx1"/>
            </w14:solidFill>
          </w14:textFill>
        </w:rPr>
        <w:t>竞争性磋商</w:t>
      </w:r>
      <w:r>
        <w:rPr>
          <w:rFonts w:ascii="宋体" w:hAnsi="宋体"/>
          <w:color w:val="000000" w:themeColor="text1"/>
          <w:sz w:val="24"/>
          <w:highlight w:val="none"/>
          <w14:textFill>
            <w14:solidFill>
              <w14:schemeClr w14:val="tx1"/>
            </w14:solidFill>
          </w14:textFill>
        </w:rPr>
        <w:tab/>
      </w:r>
      <w:r>
        <w:rPr>
          <w:rFonts w:ascii="宋体" w:hAnsi="宋体"/>
          <w:color w:val="000000" w:themeColor="text1"/>
          <w:sz w:val="24"/>
          <w:highlight w:val="none"/>
          <w14:textFill>
            <w14:solidFill>
              <w14:schemeClr w14:val="tx1"/>
            </w14:solidFill>
          </w14:textFill>
        </w:rPr>
        <w:tab/>
      </w:r>
      <w:r>
        <w:rPr>
          <w:rFonts w:ascii="宋体" w:hAnsi="宋体"/>
          <w:color w:val="000000" w:themeColor="text1"/>
          <w:sz w:val="24"/>
          <w:highlight w:val="none"/>
          <w14:textFill>
            <w14:solidFill>
              <w14:schemeClr w14:val="tx1"/>
            </w14:solidFill>
          </w14:textFill>
        </w:rPr>
        <w:sym w:font="Wingdings 2" w:char="00A3"/>
      </w:r>
      <w:r>
        <w:rPr>
          <w:rFonts w:hint="eastAsia" w:ascii="宋体" w:hAnsi="宋体"/>
          <w:color w:val="000000" w:themeColor="text1"/>
          <w:sz w:val="24"/>
          <w:highlight w:val="none"/>
          <w14:textFill>
            <w14:solidFill>
              <w14:schemeClr w14:val="tx1"/>
            </w14:solidFill>
          </w14:textFill>
        </w:rPr>
        <w:t>询价</w:t>
      </w:r>
      <w:r>
        <w:rPr>
          <w:rFonts w:ascii="宋体" w:hAnsi="宋体"/>
          <w:color w:val="000000" w:themeColor="text1"/>
          <w:sz w:val="24"/>
          <w:highlight w:val="none"/>
          <w14:textFill>
            <w14:solidFill>
              <w14:schemeClr w14:val="tx1"/>
            </w14:solidFill>
          </w14:textFill>
        </w:rPr>
        <w:tab/>
      </w:r>
      <w:r>
        <w:rPr>
          <w:rFonts w:ascii="宋体" w:hAnsi="宋体"/>
          <w:color w:val="000000" w:themeColor="text1"/>
          <w:sz w:val="24"/>
          <w:highlight w:val="none"/>
          <w14:textFill>
            <w14:solidFill>
              <w14:schemeClr w14:val="tx1"/>
            </w14:solidFill>
          </w14:textFill>
        </w:rPr>
        <w:tab/>
      </w:r>
      <w:r>
        <w:rPr>
          <w:rFonts w:ascii="宋体" w:hAnsi="宋体"/>
          <w:color w:val="000000" w:themeColor="text1"/>
          <w:sz w:val="24"/>
          <w:highlight w:val="none"/>
          <w14:textFill>
            <w14:solidFill>
              <w14:schemeClr w14:val="tx1"/>
            </w14:solidFill>
          </w14:textFill>
        </w:rPr>
        <w:tab/>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□单一来源采购</w:t>
      </w:r>
    </w:p>
    <w:p w14:paraId="05B4C382">
      <w:pPr>
        <w:spacing w:line="360" w:lineRule="auto"/>
        <w:ind w:firstLine="48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□电子卖场</w:t>
      </w:r>
      <w:r>
        <w:rPr>
          <w:rFonts w:ascii="宋体" w:hAnsi="宋体"/>
          <w:color w:val="000000" w:themeColor="text1"/>
          <w:sz w:val="24"/>
          <w:highlight w:val="none"/>
          <w14:textFill>
            <w14:solidFill>
              <w14:schemeClr w14:val="tx1"/>
            </w14:solidFill>
          </w14:textFill>
        </w:rPr>
        <w:tab/>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□其他采购方式</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14:paraId="3A479445">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（九）</w:t>
      </w:r>
      <w:r>
        <w:rPr>
          <w:rFonts w:hint="eastAsia" w:ascii="宋体" w:hAnsi="宋体"/>
          <w:color w:val="000000" w:themeColor="text1"/>
          <w:sz w:val="24"/>
          <w:highlight w:val="none"/>
          <w14:textFill>
            <w14:solidFill>
              <w14:schemeClr w14:val="tx1"/>
            </w14:solidFill>
          </w14:textFill>
        </w:rPr>
        <w:t>选择采购方式的理由</w:t>
      </w:r>
    </w:p>
    <w:p w14:paraId="7A41F1E6">
      <w:pPr>
        <w:spacing w:line="360" w:lineRule="auto"/>
        <w:ind w:firstLine="420"/>
        <w:jc w:val="left"/>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按政府采购相关要求</w:t>
      </w:r>
      <w:r>
        <w:rPr>
          <w:rFonts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lang w:val="en-US" w:eastAsia="zh-CN"/>
          <w14:textFill>
            <w14:solidFill>
              <w14:schemeClr w14:val="tx1"/>
            </w14:solidFill>
          </w14:textFill>
        </w:rPr>
        <w:t>采用</w:t>
      </w:r>
      <w:r>
        <w:rPr>
          <w:rFonts w:hint="eastAsia" w:ascii="宋体" w:hAnsi="宋体"/>
          <w:color w:val="000000" w:themeColor="text1"/>
          <w:sz w:val="24"/>
          <w:highlight w:val="none"/>
          <w:u w:val="single"/>
          <w14:textFill>
            <w14:solidFill>
              <w14:schemeClr w14:val="tx1"/>
            </w14:solidFill>
          </w14:textFill>
        </w:rPr>
        <w:t>公开招标。</w:t>
      </w:r>
      <w:r>
        <w:rPr>
          <w:rFonts w:ascii="宋体" w:hAnsi="宋体"/>
          <w:color w:val="000000" w:themeColor="text1"/>
          <w:sz w:val="24"/>
          <w:highlight w:val="none"/>
          <w:u w:val="single"/>
          <w14:textFill>
            <w14:solidFill>
              <w14:schemeClr w14:val="tx1"/>
            </w14:solidFill>
          </w14:textFill>
        </w:rPr>
        <w:t xml:space="preserve">                    </w:t>
      </w:r>
    </w:p>
    <w:p w14:paraId="5241C143">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（十）竞争范围：</w:t>
      </w:r>
      <w:r>
        <w:rPr>
          <w:rFonts w:ascii="宋体" w:hAnsi="宋体"/>
          <w:color w:val="000000" w:themeColor="text1"/>
          <w:sz w:val="24"/>
          <w:highlight w:val="none"/>
          <w14:textFill>
            <w14:solidFill>
              <w14:schemeClr w14:val="tx1"/>
            </w14:solidFill>
          </w14:textFill>
        </w:rPr>
        <w:tab/>
      </w:r>
      <w:r>
        <w:rPr>
          <w:rFonts w:ascii="宋体" w:hAnsi="宋体"/>
          <w:color w:val="000000" w:themeColor="text1"/>
          <w:sz w:val="24"/>
          <w:highlight w:val="none"/>
          <w14:textFill>
            <w14:solidFill>
              <w14:schemeClr w14:val="tx1"/>
            </w14:solidFill>
          </w14:textFill>
        </w:rPr>
        <w:sym w:font="Wingdings 2" w:char="F052"/>
      </w:r>
      <w:r>
        <w:rPr>
          <w:rFonts w:hint="eastAsia" w:ascii="宋体" w:hAnsi="宋体"/>
          <w:color w:val="000000" w:themeColor="text1"/>
          <w:sz w:val="24"/>
          <w:highlight w:val="none"/>
          <w14:textFill>
            <w14:solidFill>
              <w14:schemeClr w14:val="tx1"/>
            </w14:solidFill>
          </w14:textFill>
        </w:rPr>
        <w:t>公开发布</w:t>
      </w:r>
      <w:r>
        <w:rPr>
          <w:rFonts w:ascii="宋体" w:hAnsi="宋体"/>
          <w:color w:val="000000" w:themeColor="text1"/>
          <w:sz w:val="24"/>
          <w:highlight w:val="none"/>
          <w14:textFill>
            <w14:solidFill>
              <w14:schemeClr w14:val="tx1"/>
            </w14:solidFill>
          </w14:textFill>
        </w:rPr>
        <w:tab/>
      </w:r>
      <w:r>
        <w:rPr>
          <w:rFonts w:ascii="宋体" w:hAnsi="宋体"/>
          <w:color w:val="000000" w:themeColor="text1"/>
          <w:sz w:val="24"/>
          <w:highlight w:val="none"/>
          <w14:textFill>
            <w14:solidFill>
              <w14:schemeClr w14:val="tx1"/>
            </w14:solidFill>
          </w14:textFill>
        </w:rPr>
        <w:tab/>
      </w:r>
      <w:r>
        <w:rPr>
          <w:rFonts w:ascii="宋体" w:hAnsi="宋体" w:cs="仿宋_GB2312"/>
          <w:color w:val="000000" w:themeColor="text1"/>
          <w:sz w:val="24"/>
          <w:highlight w:val="none"/>
          <w14:textFill>
            <w14:solidFill>
              <w14:schemeClr w14:val="tx1"/>
            </w14:solidFill>
          </w14:textFill>
        </w:rPr>
        <w:sym w:font="Wingdings 2" w:char="00A3"/>
      </w:r>
      <w:r>
        <w:rPr>
          <w:rFonts w:hint="eastAsia" w:ascii="宋体" w:hAnsi="宋体"/>
          <w:color w:val="000000" w:themeColor="text1"/>
          <w:sz w:val="24"/>
          <w:highlight w:val="none"/>
          <w14:textFill>
            <w14:solidFill>
              <w14:schemeClr w14:val="tx1"/>
            </w14:solidFill>
          </w14:textFill>
        </w:rPr>
        <w:t>电子卖场</w:t>
      </w:r>
    </w:p>
    <w:p w14:paraId="322CCC40">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（十一）评审规则：</w:t>
      </w:r>
      <w:r>
        <w:rPr>
          <w:rFonts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ab/>
      </w:r>
      <w:r>
        <w:rPr>
          <w:rFonts w:ascii="宋体" w:hAnsi="宋体"/>
          <w:color w:val="000000" w:themeColor="text1"/>
          <w:sz w:val="24"/>
          <w:highlight w:val="none"/>
          <w14:textFill>
            <w14:solidFill>
              <w14:schemeClr w14:val="tx1"/>
            </w14:solidFill>
          </w14:textFill>
        </w:rPr>
        <w:sym w:font="Wingdings 2" w:char="F052"/>
      </w:r>
      <w:r>
        <w:rPr>
          <w:rFonts w:hint="eastAsia" w:ascii="宋体" w:hAnsi="宋体"/>
          <w:color w:val="000000" w:themeColor="text1"/>
          <w:sz w:val="24"/>
          <w:highlight w:val="none"/>
          <w14:textFill>
            <w14:solidFill>
              <w14:schemeClr w14:val="tx1"/>
            </w14:solidFill>
          </w14:textFill>
        </w:rPr>
        <w:t>综合评分</w:t>
      </w:r>
      <w:r>
        <w:rPr>
          <w:rFonts w:ascii="宋体" w:hAnsi="宋体"/>
          <w:color w:val="000000" w:themeColor="text1"/>
          <w:sz w:val="24"/>
          <w:highlight w:val="none"/>
          <w14:textFill>
            <w14:solidFill>
              <w14:schemeClr w14:val="tx1"/>
            </w14:solidFill>
          </w14:textFill>
        </w:rPr>
        <w:tab/>
      </w:r>
      <w:r>
        <w:rPr>
          <w:rFonts w:ascii="宋体" w:hAnsi="宋体"/>
          <w:color w:val="000000" w:themeColor="text1"/>
          <w:sz w:val="24"/>
          <w:highlight w:val="none"/>
          <w14:textFill>
            <w14:solidFill>
              <w14:schemeClr w14:val="tx1"/>
            </w14:solidFill>
          </w14:textFill>
        </w:rPr>
        <w:tab/>
      </w:r>
      <w:r>
        <w:rPr>
          <w:rFonts w:ascii="宋体" w:hAnsi="宋体" w:cs="仿宋_GB2312"/>
          <w:color w:val="000000" w:themeColor="text1"/>
          <w:sz w:val="24"/>
          <w:highlight w:val="none"/>
          <w14:textFill>
            <w14:solidFill>
              <w14:schemeClr w14:val="tx1"/>
            </w14:solidFill>
          </w14:textFill>
        </w:rPr>
        <w:sym w:font="Wingdings 2" w:char="00A3"/>
      </w:r>
      <w:r>
        <w:rPr>
          <w:rFonts w:hint="eastAsia" w:ascii="宋体" w:hAnsi="宋体"/>
          <w:color w:val="000000" w:themeColor="text1"/>
          <w:sz w:val="24"/>
          <w:highlight w:val="none"/>
          <w14:textFill>
            <w14:solidFill>
              <w14:schemeClr w14:val="tx1"/>
            </w14:solidFill>
          </w14:textFill>
        </w:rPr>
        <w:t>最低价中标</w:t>
      </w:r>
      <w:r>
        <w:rPr>
          <w:rFonts w:ascii="宋体" w:hAnsi="宋体"/>
          <w:color w:val="000000" w:themeColor="text1"/>
          <w:sz w:val="24"/>
          <w:highlight w:val="none"/>
          <w14:textFill>
            <w14:solidFill>
              <w14:schemeClr w14:val="tx1"/>
            </w14:solidFill>
          </w14:textFill>
        </w:rPr>
        <w:tab/>
      </w:r>
      <w:r>
        <w:rPr>
          <w:rFonts w:ascii="宋体" w:hAnsi="宋体"/>
          <w:color w:val="000000" w:themeColor="text1"/>
          <w:sz w:val="24"/>
          <w:highlight w:val="none"/>
          <w14:textFill>
            <w14:solidFill>
              <w14:schemeClr w14:val="tx1"/>
            </w14:solidFill>
          </w14:textFill>
        </w:rPr>
        <w:tab/>
      </w:r>
      <w:r>
        <w:rPr>
          <w:rFonts w:ascii="宋体" w:hAnsi="宋体" w:cs="仿宋_GB2312"/>
          <w:color w:val="000000" w:themeColor="text1"/>
          <w:sz w:val="24"/>
          <w:highlight w:val="none"/>
          <w14:textFill>
            <w14:solidFill>
              <w14:schemeClr w14:val="tx1"/>
            </w14:solidFill>
          </w14:textFill>
        </w:rPr>
        <w:sym w:font="Wingdings 2" w:char="00A3"/>
      </w:r>
      <w:r>
        <w:rPr>
          <w:rFonts w:hint="eastAsia" w:ascii="宋体" w:hAnsi="宋体"/>
          <w:color w:val="000000" w:themeColor="text1"/>
          <w:sz w:val="24"/>
          <w:highlight w:val="none"/>
          <w14:textFill>
            <w14:solidFill>
              <w14:schemeClr w14:val="tx1"/>
            </w14:solidFill>
          </w14:textFill>
        </w:rPr>
        <w:t>其他（</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 xml:space="preserve"> </w:t>
      </w:r>
    </w:p>
    <w:p w14:paraId="7B5C6792">
      <w:pPr>
        <w:spacing w:before="312" w:beforeLines="100" w:line="360" w:lineRule="auto"/>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二、合同管理安排</w:t>
      </w:r>
    </w:p>
    <w:p w14:paraId="6902B7CC">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（一）合同类型</w:t>
      </w:r>
    </w:p>
    <w:p w14:paraId="4AADC97E">
      <w:pPr>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sym w:font="Wingdings 2" w:char="00A3"/>
      </w:r>
      <w:r>
        <w:rPr>
          <w:rFonts w:hint="eastAsia" w:ascii="宋体" w:hAnsi="宋体"/>
          <w:color w:val="000000" w:themeColor="text1"/>
          <w:sz w:val="24"/>
          <w:highlight w:val="none"/>
          <w14:textFill>
            <w14:solidFill>
              <w14:schemeClr w14:val="tx1"/>
            </w14:solidFill>
          </w14:textFill>
        </w:rPr>
        <w:t>货物合同</w:t>
      </w:r>
      <w:r>
        <w:rPr>
          <w:rFonts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ab/>
      </w:r>
      <w:r>
        <w:rPr>
          <w:rFonts w:ascii="宋体" w:hAnsi="宋体"/>
          <w:color w:val="000000" w:themeColor="text1"/>
          <w:sz w:val="24"/>
          <w:highlight w:val="none"/>
          <w14:textFill>
            <w14:solidFill>
              <w14:schemeClr w14:val="tx1"/>
            </w14:solidFill>
          </w14:textFill>
        </w:rPr>
        <w:tab/>
      </w:r>
      <w:r>
        <w:rPr>
          <w:rFonts w:ascii="宋体" w:hAnsi="宋体"/>
          <w:color w:val="000000" w:themeColor="text1"/>
          <w:sz w:val="24"/>
          <w:highlight w:val="none"/>
          <w14:textFill>
            <w14:solidFill>
              <w14:schemeClr w14:val="tx1"/>
            </w14:solidFill>
          </w14:textFill>
        </w:rPr>
        <w:sym w:font="Wingdings 2" w:char="F052"/>
      </w:r>
      <w:r>
        <w:rPr>
          <w:rFonts w:hint="eastAsia" w:ascii="宋体" w:hAnsi="宋体"/>
          <w:color w:val="000000" w:themeColor="text1"/>
          <w:sz w:val="24"/>
          <w:highlight w:val="none"/>
          <w14:textFill>
            <w14:solidFill>
              <w14:schemeClr w14:val="tx1"/>
            </w14:solidFill>
          </w14:textFill>
        </w:rPr>
        <w:t>服务合同</w:t>
      </w:r>
    </w:p>
    <w:p w14:paraId="6EA31C85">
      <w:pPr>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sym w:font="Wingdings 2" w:char="00A3"/>
      </w:r>
      <w:r>
        <w:rPr>
          <w:rFonts w:hint="eastAsia" w:ascii="宋体" w:hAnsi="宋体"/>
          <w:color w:val="000000" w:themeColor="text1"/>
          <w:sz w:val="24"/>
          <w:highlight w:val="none"/>
          <w14:textFill>
            <w14:solidFill>
              <w14:schemeClr w14:val="tx1"/>
            </w14:solidFill>
          </w14:textFill>
        </w:rPr>
        <w:t>建设工程合同</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□其他</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14:paraId="1592AE3F">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（二）定价方式</w:t>
      </w:r>
    </w:p>
    <w:p w14:paraId="6589B5CE">
      <w:pPr>
        <w:spacing w:line="360" w:lineRule="auto"/>
        <w:ind w:firstLine="42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sym w:font="Wingdings 2" w:char="0052"/>
      </w:r>
      <w:r>
        <w:rPr>
          <w:rFonts w:hint="eastAsia" w:ascii="宋体" w:hAnsi="宋体"/>
          <w:color w:val="000000" w:themeColor="text1"/>
          <w:sz w:val="24"/>
          <w:highlight w:val="none"/>
          <w14:textFill>
            <w14:solidFill>
              <w14:schemeClr w14:val="tx1"/>
            </w14:solidFill>
          </w14:textFill>
        </w:rPr>
        <w:t>固定总价</w:t>
      </w:r>
      <w:r>
        <w:rPr>
          <w:rFonts w:ascii="宋体" w:hAnsi="宋体"/>
          <w:color w:val="000000" w:themeColor="text1"/>
          <w:sz w:val="24"/>
          <w:highlight w:val="none"/>
          <w14:textFill>
            <w14:solidFill>
              <w14:schemeClr w14:val="tx1"/>
            </w14:solidFill>
          </w14:textFill>
        </w:rPr>
        <w:tab/>
      </w:r>
      <w:r>
        <w:rPr>
          <w:rFonts w:ascii="宋体" w:hAnsi="宋体"/>
          <w:color w:val="000000" w:themeColor="text1"/>
          <w:sz w:val="24"/>
          <w:highlight w:val="none"/>
          <w14:textFill>
            <w14:solidFill>
              <w14:schemeClr w14:val="tx1"/>
            </w14:solidFill>
          </w14:textFill>
        </w:rPr>
        <w:tab/>
      </w:r>
      <w:r>
        <w:rPr>
          <w:rFonts w:ascii="宋体" w:hAnsi="宋体"/>
          <w:color w:val="000000" w:themeColor="text1"/>
          <w:sz w:val="24"/>
          <w:highlight w:val="none"/>
          <w14:textFill>
            <w14:solidFill>
              <w14:schemeClr w14:val="tx1"/>
            </w14:solidFill>
          </w14:textFill>
        </w:rPr>
        <w:tab/>
      </w:r>
      <w:r>
        <w:rPr>
          <w:rFonts w:ascii="宋体" w:hAnsi="宋体"/>
          <w:color w:val="000000" w:themeColor="text1"/>
          <w:sz w:val="24"/>
          <w:highlight w:val="none"/>
          <w14:textFill>
            <w14:solidFill>
              <w14:schemeClr w14:val="tx1"/>
            </w14:solidFill>
          </w14:textFill>
        </w:rPr>
        <w:sym w:font="Wingdings 2" w:char="00A3"/>
      </w:r>
      <w:r>
        <w:rPr>
          <w:rFonts w:hint="eastAsia" w:ascii="宋体" w:hAnsi="宋体"/>
          <w:color w:val="000000" w:themeColor="text1"/>
          <w:sz w:val="24"/>
          <w:highlight w:val="none"/>
          <w14:textFill>
            <w14:solidFill>
              <w14:schemeClr w14:val="tx1"/>
            </w14:solidFill>
          </w14:textFill>
        </w:rPr>
        <w:t>固定单价</w:t>
      </w:r>
    </w:p>
    <w:p w14:paraId="02798412">
      <w:pPr>
        <w:spacing w:line="360" w:lineRule="auto"/>
        <w:ind w:firstLine="42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sym w:font="Wingdings 2" w:char="00A3"/>
      </w:r>
      <w:r>
        <w:rPr>
          <w:rFonts w:hint="eastAsia" w:ascii="宋体" w:hAnsi="宋体"/>
          <w:color w:val="000000" w:themeColor="text1"/>
          <w:sz w:val="24"/>
          <w:highlight w:val="none"/>
          <w14:textFill>
            <w14:solidFill>
              <w14:schemeClr w14:val="tx1"/>
            </w14:solidFill>
          </w14:textFill>
        </w:rPr>
        <w:t>成本补偿</w:t>
      </w:r>
      <w:r>
        <w:rPr>
          <w:rFonts w:ascii="宋体" w:hAnsi="宋体"/>
          <w:color w:val="000000" w:themeColor="text1"/>
          <w:sz w:val="24"/>
          <w:highlight w:val="none"/>
          <w14:textFill>
            <w14:solidFill>
              <w14:schemeClr w14:val="tx1"/>
            </w14:solidFill>
          </w14:textFill>
        </w:rPr>
        <w:tab/>
      </w:r>
      <w:r>
        <w:rPr>
          <w:rFonts w:ascii="宋体" w:hAnsi="宋体"/>
          <w:color w:val="000000" w:themeColor="text1"/>
          <w:sz w:val="24"/>
          <w:highlight w:val="none"/>
          <w14:textFill>
            <w14:solidFill>
              <w14:schemeClr w14:val="tx1"/>
            </w14:solidFill>
          </w14:textFill>
        </w:rPr>
        <w:tab/>
      </w:r>
      <w:r>
        <w:rPr>
          <w:rFonts w:ascii="宋体" w:hAnsi="宋体"/>
          <w:color w:val="000000" w:themeColor="text1"/>
          <w:sz w:val="24"/>
          <w:highlight w:val="none"/>
          <w14:textFill>
            <w14:solidFill>
              <w14:schemeClr w14:val="tx1"/>
            </w14:solidFill>
          </w14:textFill>
        </w:rPr>
        <w:tab/>
      </w:r>
      <w:r>
        <w:rPr>
          <w:rFonts w:ascii="宋体" w:hAnsi="宋体"/>
          <w:color w:val="000000" w:themeColor="text1"/>
          <w:sz w:val="24"/>
          <w:highlight w:val="none"/>
          <w14:textFill>
            <w14:solidFill>
              <w14:schemeClr w14:val="tx1"/>
            </w14:solidFill>
          </w14:textFill>
        </w:rPr>
        <w:sym w:font="Wingdings 2" w:char="00A3"/>
      </w:r>
      <w:r>
        <w:rPr>
          <w:rFonts w:hint="eastAsia" w:ascii="宋体" w:hAnsi="宋体"/>
          <w:color w:val="000000" w:themeColor="text1"/>
          <w:sz w:val="24"/>
          <w:highlight w:val="none"/>
          <w14:textFill>
            <w14:solidFill>
              <w14:schemeClr w14:val="tx1"/>
            </w14:solidFill>
          </w14:textFill>
        </w:rPr>
        <w:t>绩效激励</w:t>
      </w:r>
    </w:p>
    <w:p w14:paraId="6C5D0B3A">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（三）合同文本的主要条款</w:t>
      </w:r>
    </w:p>
    <w:p w14:paraId="735D45C6">
      <w:pPr>
        <w:spacing w:line="360" w:lineRule="auto"/>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拟采购标的1</w:t>
      </w:r>
    </w:p>
    <w:tbl>
      <w:tblPr>
        <w:tblStyle w:val="19"/>
        <w:tblW w:w="0" w:type="auto"/>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458"/>
        <w:gridCol w:w="2409"/>
        <w:gridCol w:w="1360"/>
        <w:gridCol w:w="3035"/>
      </w:tblGrid>
      <w:tr w14:paraId="36E1C62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shd w:val="clear" w:color="auto" w:fill="auto"/>
            <w:vAlign w:val="center"/>
          </w:tcPr>
          <w:p w14:paraId="2CA47E5D">
            <w:pPr>
              <w:spacing w:line="360" w:lineRule="auto"/>
              <w:jc w:val="center"/>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标的内容</w:t>
            </w:r>
          </w:p>
        </w:tc>
        <w:tc>
          <w:tcPr>
            <w:tcW w:w="6804" w:type="dxa"/>
            <w:gridSpan w:val="3"/>
            <w:shd w:val="clear" w:color="auto" w:fill="auto"/>
            <w:vAlign w:val="center"/>
          </w:tcPr>
          <w:p w14:paraId="23D0FE43">
            <w:pPr>
              <w:spacing w:line="360" w:lineRule="auto"/>
              <w:jc w:val="center"/>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lang w:val="en-US" w:eastAsia="zh-CN"/>
                <w14:textFill>
                  <w14:solidFill>
                    <w14:schemeClr w14:val="tx1"/>
                  </w14:solidFill>
                </w14:textFill>
              </w:rPr>
              <w:t>2024年仁和街道网络视频监控智慧安防服务采购项目</w:t>
            </w:r>
          </w:p>
        </w:tc>
      </w:tr>
      <w:tr w14:paraId="0695256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shd w:val="clear" w:color="auto" w:fill="auto"/>
            <w:vAlign w:val="center"/>
          </w:tcPr>
          <w:p w14:paraId="73EE92D3">
            <w:pPr>
              <w:spacing w:line="360" w:lineRule="auto"/>
              <w:jc w:val="center"/>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数量</w:t>
            </w:r>
          </w:p>
        </w:tc>
        <w:tc>
          <w:tcPr>
            <w:tcW w:w="2409" w:type="dxa"/>
            <w:shd w:val="clear" w:color="auto" w:fill="auto"/>
            <w:vAlign w:val="center"/>
          </w:tcPr>
          <w:p w14:paraId="67C6250E">
            <w:pPr>
              <w:spacing w:line="360" w:lineRule="auto"/>
              <w:jc w:val="center"/>
              <w:rPr>
                <w:rFonts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1</w:t>
            </w:r>
          </w:p>
        </w:tc>
        <w:tc>
          <w:tcPr>
            <w:tcW w:w="1360" w:type="dxa"/>
            <w:shd w:val="clear" w:color="auto" w:fill="auto"/>
            <w:vAlign w:val="center"/>
          </w:tcPr>
          <w:p w14:paraId="5EB009B3">
            <w:pPr>
              <w:spacing w:line="360" w:lineRule="auto"/>
              <w:jc w:val="center"/>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单位</w:t>
            </w:r>
          </w:p>
        </w:tc>
        <w:tc>
          <w:tcPr>
            <w:tcW w:w="3035" w:type="dxa"/>
            <w:shd w:val="clear" w:color="auto" w:fill="auto"/>
            <w:vAlign w:val="center"/>
          </w:tcPr>
          <w:p w14:paraId="251303BE">
            <w:pPr>
              <w:spacing w:line="360" w:lineRule="auto"/>
              <w:jc w:val="center"/>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项</w:t>
            </w:r>
          </w:p>
        </w:tc>
      </w:tr>
      <w:tr w14:paraId="5D831B6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458" w:type="dxa"/>
            <w:shd w:val="clear" w:color="auto" w:fill="auto"/>
          </w:tcPr>
          <w:p w14:paraId="4E89F937">
            <w:pPr>
              <w:spacing w:line="360" w:lineRule="auto"/>
              <w:jc w:val="center"/>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功能和质量</w:t>
            </w:r>
          </w:p>
          <w:p w14:paraId="5539A434">
            <w:pPr>
              <w:spacing w:line="360" w:lineRule="auto"/>
              <w:jc w:val="center"/>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要求</w:t>
            </w:r>
          </w:p>
        </w:tc>
        <w:tc>
          <w:tcPr>
            <w:tcW w:w="6804" w:type="dxa"/>
            <w:gridSpan w:val="3"/>
            <w:shd w:val="clear" w:color="auto" w:fill="auto"/>
          </w:tcPr>
          <w:p w14:paraId="6D1633CA">
            <w:pPr>
              <w:spacing w:line="360" w:lineRule="auto"/>
              <w:rPr>
                <w:rFonts w:ascii="宋体" w:hAnsi="宋体" w:cs="Arial"/>
                <w:color w:val="000000" w:themeColor="text1"/>
                <w:sz w:val="24"/>
                <w:highlight w:val="none"/>
                <w14:textFill>
                  <w14:solidFill>
                    <w14:schemeClr w14:val="tx1"/>
                  </w14:solidFill>
                </w14:textFill>
              </w:rPr>
            </w:pPr>
            <w:r>
              <w:rPr>
                <w:rFonts w:hint="eastAsia" w:ascii="宋体" w:hAnsi="宋体" w:cs="仿宋"/>
                <w:sz w:val="24"/>
              </w:rPr>
              <w:t>本项目采购内容为</w:t>
            </w:r>
            <w:r>
              <w:rPr>
                <w:rFonts w:hint="eastAsia" w:ascii="宋体" w:hAnsi="宋体" w:cs="仿宋_GB2312"/>
                <w:color w:val="000000" w:themeColor="text1"/>
                <w:sz w:val="24"/>
                <w:highlight w:val="none"/>
                <w:lang w:val="en-US" w:eastAsia="zh-CN"/>
                <w14:textFill>
                  <w14:solidFill>
                    <w14:schemeClr w14:val="tx1"/>
                  </w14:solidFill>
                </w14:textFill>
              </w:rPr>
              <w:t>2024年仁和街道网络视频监控智慧安防服务采购项目</w:t>
            </w:r>
            <w:r>
              <w:rPr>
                <w:rFonts w:hint="eastAsia" w:ascii="宋体" w:hAnsi="宋体" w:cs="仿宋"/>
                <w:sz w:val="24"/>
              </w:rPr>
              <w:t>采购、运输、安装、调试、整理和维护等。</w:t>
            </w:r>
          </w:p>
        </w:tc>
      </w:tr>
    </w:tbl>
    <w:p w14:paraId="0036022A">
      <w:pPr>
        <w:spacing w:line="360" w:lineRule="auto"/>
        <w:ind w:firstLine="480" w:firstLineChars="200"/>
        <w:jc w:val="left"/>
        <w:rPr>
          <w:rFonts w:ascii="宋体" w:hAnsi="宋体"/>
          <w:iCs/>
          <w:color w:val="000000" w:themeColor="text1"/>
          <w:sz w:val="24"/>
          <w:highlight w:val="none"/>
          <w:u w:val="single"/>
          <w14:textFill>
            <w14:solidFill>
              <w14:schemeClr w14:val="tx1"/>
            </w14:solidFill>
          </w14:textFill>
        </w:rPr>
      </w:pPr>
      <w:r>
        <w:rPr>
          <w:rFonts w:ascii="宋体" w:hAnsi="宋体"/>
          <w:iCs/>
          <w:color w:val="000000" w:themeColor="text1"/>
          <w:sz w:val="24"/>
          <w:highlight w:val="none"/>
          <w14:textFill>
            <w14:solidFill>
              <w14:schemeClr w14:val="tx1"/>
            </w14:solidFill>
          </w14:textFill>
        </w:rPr>
        <w:t>2.履行时间（期限）：</w:t>
      </w:r>
      <w:r>
        <w:rPr>
          <w:rFonts w:hint="eastAsia" w:ascii="宋体" w:hAnsi="宋体" w:cs="仿宋_GB2312"/>
          <w:color w:val="000000" w:themeColor="text1"/>
          <w:sz w:val="24"/>
          <w:highlight w:val="none"/>
          <w:u w:val="single"/>
          <w14:textFill>
            <w14:solidFill>
              <w14:schemeClr w14:val="tx1"/>
            </w14:solidFill>
          </w14:textFill>
        </w:rPr>
        <w:t>合同签订之日起</w:t>
      </w:r>
      <w:r>
        <w:rPr>
          <w:rFonts w:hint="eastAsia" w:ascii="宋体" w:hAnsi="宋体" w:cs="仿宋_GB2312"/>
          <w:color w:val="000000" w:themeColor="text1"/>
          <w:sz w:val="24"/>
          <w:highlight w:val="none"/>
          <w:u w:val="single"/>
          <w:lang w:val="en-US" w:eastAsia="zh-CN"/>
          <w14:textFill>
            <w14:solidFill>
              <w14:schemeClr w14:val="tx1"/>
            </w14:solidFill>
          </w14:textFill>
        </w:rPr>
        <w:t>三年。</w:t>
      </w:r>
    </w:p>
    <w:p w14:paraId="62B700A7">
      <w:pPr>
        <w:spacing w:line="360" w:lineRule="auto"/>
        <w:ind w:firstLine="480" w:firstLineChars="200"/>
        <w:jc w:val="left"/>
        <w:rPr>
          <w:rFonts w:ascii="宋体" w:hAnsi="宋体"/>
          <w:iCs/>
          <w:color w:val="000000" w:themeColor="text1"/>
          <w:sz w:val="24"/>
          <w:highlight w:val="none"/>
          <w:u w:val="single"/>
          <w14:textFill>
            <w14:solidFill>
              <w14:schemeClr w14:val="tx1"/>
            </w14:solidFill>
          </w14:textFill>
        </w:rPr>
      </w:pPr>
      <w:r>
        <w:rPr>
          <w:rFonts w:ascii="宋体" w:hAnsi="宋体"/>
          <w:iCs/>
          <w:color w:val="000000" w:themeColor="text1"/>
          <w:sz w:val="24"/>
          <w:highlight w:val="none"/>
          <w14:textFill>
            <w14:solidFill>
              <w14:schemeClr w14:val="tx1"/>
            </w14:solidFill>
          </w14:textFill>
        </w:rPr>
        <w:t>3.履约地点和方式：</w:t>
      </w:r>
      <w:r>
        <w:rPr>
          <w:rFonts w:hint="eastAsia" w:ascii="宋体" w:hAnsi="宋体"/>
          <w:iCs/>
          <w:color w:val="000000" w:themeColor="text1"/>
          <w:sz w:val="24"/>
          <w:highlight w:val="none"/>
          <w:u w:val="single"/>
          <w:lang w:val="en-US" w:eastAsia="zh-CN"/>
          <w14:textFill>
            <w14:solidFill>
              <w14:schemeClr w14:val="tx1"/>
            </w14:solidFill>
          </w14:textFill>
        </w:rPr>
        <w:t>余杭</w:t>
      </w:r>
      <w:r>
        <w:rPr>
          <w:rFonts w:hint="eastAsia" w:ascii="宋体" w:hAnsi="宋体"/>
          <w:iCs/>
          <w:color w:val="000000" w:themeColor="text1"/>
          <w:sz w:val="24"/>
          <w:highlight w:val="none"/>
          <w:u w:val="single"/>
          <w14:textFill>
            <w14:solidFill>
              <w14:schemeClr w14:val="tx1"/>
            </w14:solidFill>
          </w14:textFill>
        </w:rPr>
        <w:t>区</w:t>
      </w:r>
      <w:r>
        <w:rPr>
          <w:rFonts w:hint="eastAsia" w:ascii="宋体" w:hAnsi="宋体"/>
          <w:iCs/>
          <w:color w:val="000000" w:themeColor="text1"/>
          <w:sz w:val="24"/>
          <w:highlight w:val="none"/>
          <w:u w:val="single"/>
          <w:lang w:val="en-US" w:eastAsia="zh-CN"/>
          <w14:textFill>
            <w14:solidFill>
              <w14:schemeClr w14:val="tx1"/>
            </w14:solidFill>
          </w14:textFill>
        </w:rPr>
        <w:t>仁和</w:t>
      </w:r>
      <w:r>
        <w:rPr>
          <w:rFonts w:hint="eastAsia" w:ascii="宋体" w:hAnsi="宋体"/>
          <w:iCs/>
          <w:color w:val="000000" w:themeColor="text1"/>
          <w:sz w:val="24"/>
          <w:highlight w:val="none"/>
          <w:u w:val="single"/>
          <w14:textFill>
            <w14:solidFill>
              <w14:schemeClr w14:val="tx1"/>
            </w14:solidFill>
          </w14:textFill>
        </w:rPr>
        <w:t>街道。</w:t>
      </w:r>
    </w:p>
    <w:p w14:paraId="0846AD31">
      <w:pPr>
        <w:spacing w:line="360" w:lineRule="auto"/>
        <w:ind w:firstLine="480" w:firstLineChars="200"/>
        <w:jc w:val="left"/>
        <w:rPr>
          <w:rFonts w:ascii="宋体" w:hAnsi="宋体"/>
          <w:iCs/>
          <w:color w:val="000000" w:themeColor="text1"/>
          <w:sz w:val="24"/>
          <w:highlight w:val="none"/>
          <w:u w:val="single"/>
          <w14:textFill>
            <w14:solidFill>
              <w14:schemeClr w14:val="tx1"/>
            </w14:solidFill>
          </w14:textFill>
        </w:rPr>
      </w:pPr>
      <w:r>
        <w:rPr>
          <w:rFonts w:ascii="宋体" w:hAnsi="宋体"/>
          <w:iCs/>
          <w:color w:val="000000" w:themeColor="text1"/>
          <w:sz w:val="24"/>
          <w:highlight w:val="none"/>
          <w14:textFill>
            <w14:solidFill>
              <w14:schemeClr w14:val="tx1"/>
            </w14:solidFill>
          </w14:textFill>
        </w:rPr>
        <w:t>4.价款或者报酬：</w:t>
      </w:r>
      <w:r>
        <w:rPr>
          <w:rFonts w:ascii="宋体" w:hAnsi="宋体"/>
          <w:iCs/>
          <w:color w:val="000000" w:themeColor="text1"/>
          <w:sz w:val="24"/>
          <w:highlight w:val="none"/>
          <w:u w:val="single"/>
          <w14:textFill>
            <w14:solidFill>
              <w14:schemeClr w14:val="tx1"/>
            </w14:solidFill>
          </w14:textFill>
        </w:rPr>
        <w:t xml:space="preserve">/             </w:t>
      </w:r>
    </w:p>
    <w:p w14:paraId="3C3F77B4">
      <w:pPr>
        <w:spacing w:line="360" w:lineRule="auto"/>
        <w:ind w:firstLine="480" w:firstLineChars="200"/>
        <w:jc w:val="left"/>
        <w:rPr>
          <w:rFonts w:ascii="宋体" w:hAnsi="宋体"/>
          <w:iCs/>
          <w:color w:val="000000" w:themeColor="text1"/>
          <w:sz w:val="24"/>
          <w:highlight w:val="none"/>
          <w14:textFill>
            <w14:solidFill>
              <w14:schemeClr w14:val="tx1"/>
            </w14:solidFill>
          </w14:textFill>
        </w:rPr>
      </w:pPr>
      <w:r>
        <w:rPr>
          <w:rFonts w:ascii="宋体" w:hAnsi="宋体"/>
          <w:iCs/>
          <w:color w:val="000000" w:themeColor="text1"/>
          <w:sz w:val="24"/>
          <w:highlight w:val="none"/>
          <w14:textFill>
            <w14:solidFill>
              <w14:schemeClr w14:val="tx1"/>
            </w14:solidFill>
          </w14:textFill>
        </w:rPr>
        <w:t>5.考核要求和付款进度安排</w:t>
      </w:r>
    </w:p>
    <w:p w14:paraId="316EA55D">
      <w:pPr>
        <w:spacing w:line="360" w:lineRule="auto"/>
        <w:ind w:left="210" w:leftChars="100" w:firstLine="480" w:firstLineChars="200"/>
        <w:jc w:val="left"/>
        <w:rPr>
          <w:rFonts w:ascii="宋体" w:hAnsi="宋体"/>
          <w:iCs/>
          <w:color w:val="000000" w:themeColor="text1"/>
          <w:sz w:val="24"/>
          <w:highlight w:val="none"/>
          <w14:textFill>
            <w14:solidFill>
              <w14:schemeClr w14:val="tx1"/>
            </w14:solidFill>
          </w14:textFill>
        </w:rPr>
      </w:pPr>
      <w:r>
        <w:rPr>
          <w:rFonts w:ascii="宋体" w:hAnsi="宋体"/>
          <w:sz w:val="24"/>
        </w:rPr>
        <w:t>项目分年安排</w:t>
      </w:r>
      <w:r>
        <w:rPr>
          <w:rFonts w:hint="eastAsia" w:ascii="宋体" w:hAnsi="宋体" w:eastAsia="宋体" w:cs="宋体"/>
          <w:sz w:val="24"/>
          <w:lang w:val="en-US" w:eastAsia="zh-CN"/>
        </w:rPr>
        <w:t>运维服务费</w:t>
      </w:r>
      <w:r>
        <w:rPr>
          <w:rFonts w:hint="eastAsia" w:ascii="宋体" w:hAnsi="宋体"/>
          <w:sz w:val="24"/>
          <w:lang w:eastAsia="zh-CN"/>
        </w:rPr>
        <w:t>，</w:t>
      </w:r>
      <w:r>
        <w:rPr>
          <w:rFonts w:hint="eastAsia" w:ascii="宋体" w:hAnsi="宋体" w:cs="宋体"/>
          <w:b w:val="0"/>
          <w:bCs w:val="0"/>
          <w:color w:val="auto"/>
          <w:sz w:val="24"/>
          <w:highlight w:val="none"/>
          <w:lang w:val="en-US" w:eastAsia="zh-CN"/>
        </w:rPr>
        <w:t>每年项目服务完成并经甲方考核合格后，具备支付条件的甲方向乙方支付合同</w:t>
      </w:r>
      <w:r>
        <w:rPr>
          <w:rFonts w:hint="eastAsia" w:ascii="宋体" w:hAnsi="宋体" w:eastAsia="宋体" w:cs="宋体"/>
          <w:sz w:val="24"/>
          <w:lang w:val="en-US" w:eastAsia="zh-CN"/>
        </w:rPr>
        <w:t>年运维费用</w:t>
      </w:r>
      <w:r>
        <w:rPr>
          <w:rFonts w:hint="eastAsia" w:ascii="宋体" w:hAnsi="宋体" w:cs="宋体"/>
          <w:b w:val="0"/>
          <w:bCs w:val="0"/>
          <w:color w:val="auto"/>
          <w:sz w:val="24"/>
          <w:highlight w:val="none"/>
          <w:lang w:val="en-US" w:eastAsia="zh-CN"/>
        </w:rPr>
        <w:t>。</w:t>
      </w:r>
    </w:p>
    <w:p w14:paraId="2D16A0AA">
      <w:pPr>
        <w:spacing w:line="360" w:lineRule="auto"/>
        <w:ind w:firstLine="480" w:firstLineChars="200"/>
        <w:jc w:val="left"/>
        <w:rPr>
          <w:rFonts w:ascii="宋体" w:hAnsi="宋体"/>
          <w:iCs/>
          <w:color w:val="000000" w:themeColor="text1"/>
          <w:sz w:val="24"/>
          <w:highlight w:val="none"/>
          <w:u w:val="single"/>
          <w14:textFill>
            <w14:solidFill>
              <w14:schemeClr w14:val="tx1"/>
            </w14:solidFill>
          </w14:textFill>
        </w:rPr>
      </w:pPr>
      <w:r>
        <w:rPr>
          <w:rFonts w:ascii="宋体" w:hAnsi="宋体"/>
          <w:iCs/>
          <w:color w:val="000000" w:themeColor="text1"/>
          <w:sz w:val="24"/>
          <w:highlight w:val="none"/>
          <w14:textFill>
            <w14:solidFill>
              <w14:schemeClr w14:val="tx1"/>
            </w14:solidFill>
          </w14:textFill>
        </w:rPr>
        <w:t>6.</w:t>
      </w:r>
      <w:r>
        <w:rPr>
          <w:rFonts w:hint="eastAsia" w:ascii="宋体" w:hAnsi="宋体"/>
          <w:iCs/>
          <w:color w:val="000000" w:themeColor="text1"/>
          <w:sz w:val="24"/>
          <w:highlight w:val="none"/>
          <w14:textFill>
            <w14:solidFill>
              <w14:schemeClr w14:val="tx1"/>
            </w14:solidFill>
          </w14:textFill>
        </w:rPr>
        <w:t>资金支付方式：</w:t>
      </w:r>
      <w:r>
        <w:rPr>
          <w:rFonts w:ascii="宋体" w:hAnsi="宋体"/>
          <w:iCs/>
          <w:color w:val="000000" w:themeColor="text1"/>
          <w:sz w:val="24"/>
          <w:highlight w:val="none"/>
          <w:u w:val="single"/>
          <w14:textFill>
            <w14:solidFill>
              <w14:schemeClr w14:val="tx1"/>
            </w14:solidFill>
          </w14:textFill>
        </w:rPr>
        <w:t xml:space="preserve">  银行转账         </w:t>
      </w:r>
    </w:p>
    <w:p w14:paraId="35F407D8">
      <w:pPr>
        <w:spacing w:line="360" w:lineRule="auto"/>
        <w:ind w:firstLine="480" w:firstLineChars="200"/>
        <w:jc w:val="left"/>
        <w:rPr>
          <w:rFonts w:hint="default" w:ascii="宋体" w:hAnsi="宋体" w:eastAsia="宋体"/>
          <w:iCs/>
          <w:color w:val="000000" w:themeColor="text1"/>
          <w:sz w:val="24"/>
          <w:highlight w:val="none"/>
          <w:u w:val="single"/>
          <w:lang w:val="en-US" w:eastAsia="zh-CN"/>
          <w14:textFill>
            <w14:solidFill>
              <w14:schemeClr w14:val="tx1"/>
            </w14:solidFill>
          </w14:textFill>
        </w:rPr>
      </w:pPr>
      <w:r>
        <w:rPr>
          <w:rFonts w:ascii="宋体" w:hAnsi="宋体"/>
          <w:iCs/>
          <w:color w:val="000000" w:themeColor="text1"/>
          <w:sz w:val="24"/>
          <w:highlight w:val="none"/>
          <w14:textFill>
            <w14:solidFill>
              <w14:schemeClr w14:val="tx1"/>
            </w14:solidFill>
          </w14:textFill>
        </w:rPr>
        <w:t>7.验收、交付标准和方法</w:t>
      </w:r>
      <w:r>
        <w:rPr>
          <w:rFonts w:hint="eastAsia" w:ascii="宋体" w:hAnsi="宋体"/>
          <w:iCs/>
          <w:color w:val="000000" w:themeColor="text1"/>
          <w:sz w:val="24"/>
          <w:highlight w:val="none"/>
          <w:lang w:eastAsia="zh-CN"/>
          <w14:textFill>
            <w14:solidFill>
              <w14:schemeClr w14:val="tx1"/>
            </w14:solidFill>
          </w14:textFill>
        </w:rPr>
        <w:t>：</w:t>
      </w:r>
      <w:r>
        <w:rPr>
          <w:rFonts w:hint="eastAsia" w:ascii="宋体" w:hAnsi="宋体"/>
          <w:iCs/>
          <w:color w:val="000000" w:themeColor="text1"/>
          <w:sz w:val="24"/>
          <w:highlight w:val="none"/>
          <w:u w:val="single"/>
          <w:lang w:val="en-US" w:eastAsia="zh-CN"/>
          <w14:textFill>
            <w14:solidFill>
              <w14:schemeClr w14:val="tx1"/>
            </w14:solidFill>
          </w14:textFill>
        </w:rPr>
        <w:t>按招标文件及相关要求规定。</w:t>
      </w:r>
    </w:p>
    <w:p w14:paraId="7C3CFE24">
      <w:pPr>
        <w:spacing w:line="360" w:lineRule="auto"/>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三、履约验收方案</w:t>
      </w:r>
    </w:p>
    <w:p w14:paraId="1F59174C">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（一）履约验收主体</w:t>
      </w:r>
    </w:p>
    <w:p w14:paraId="4D7F7772">
      <w:pPr>
        <w:spacing w:line="360" w:lineRule="auto"/>
        <w:ind w:left="420" w:leftChars="200"/>
        <w:jc w:val="left"/>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1.采购单位：</w:t>
      </w:r>
      <w:r>
        <w:rPr>
          <w:rFonts w:hint="eastAsia" w:ascii="宋体" w:hAnsi="宋体"/>
          <w:color w:val="000000" w:themeColor="text1"/>
          <w:sz w:val="24"/>
          <w:highlight w:val="none"/>
          <w:lang w:eastAsia="zh-CN"/>
          <w14:textFill>
            <w14:solidFill>
              <w14:schemeClr w14:val="tx1"/>
            </w14:solidFill>
          </w14:textFill>
        </w:rPr>
        <w:t>杭州市余杭区人民政府仁和街道办事处</w:t>
      </w:r>
    </w:p>
    <w:p w14:paraId="2C5FFCEB">
      <w:pPr>
        <w:spacing w:line="360" w:lineRule="auto"/>
        <w:ind w:left="420" w:leftChars="200"/>
        <w:jc w:val="left"/>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2.是否选择代理机构：</w:t>
      </w:r>
      <w:r>
        <w:rPr>
          <w:rFonts w:ascii="宋体" w:hAnsi="宋体" w:cs="仿宋_GB2312"/>
          <w:color w:val="000000" w:themeColor="text1"/>
          <w:sz w:val="24"/>
          <w:highlight w:val="none"/>
          <w14:textFill>
            <w14:solidFill>
              <w14:schemeClr w14:val="tx1"/>
            </w14:solidFill>
          </w14:textFill>
        </w:rPr>
        <w:sym w:font="Wingdings 2" w:char="00A3"/>
      </w:r>
      <w:r>
        <w:rPr>
          <w:rFonts w:hint="eastAsia" w:ascii="宋体" w:hAnsi="宋体"/>
          <w:color w:val="000000" w:themeColor="text1"/>
          <w:sz w:val="24"/>
          <w:highlight w:val="none"/>
          <w14:textFill>
            <w14:solidFill>
              <w14:schemeClr w14:val="tx1"/>
            </w14:solidFill>
          </w14:textFill>
        </w:rPr>
        <w:t>是</w:t>
      </w:r>
      <w:r>
        <w:rPr>
          <w:rFonts w:ascii="宋体" w:hAnsi="宋体"/>
          <w:color w:val="000000" w:themeColor="text1"/>
          <w:sz w:val="24"/>
          <w:highlight w:val="none"/>
          <w14:textFill>
            <w14:solidFill>
              <w14:schemeClr w14:val="tx1"/>
            </w14:solidFill>
          </w14:textFill>
        </w:rPr>
        <w:tab/>
      </w:r>
      <w:r>
        <w:rPr>
          <w:rFonts w:ascii="宋体" w:hAnsi="宋体" w:cs="仿宋_GB2312"/>
          <w:color w:val="000000" w:themeColor="text1"/>
          <w:sz w:val="24"/>
          <w:highlight w:val="none"/>
          <w14:textFill>
            <w14:solidFill>
              <w14:schemeClr w14:val="tx1"/>
            </w14:solidFill>
          </w14:textFill>
        </w:rPr>
        <w:sym w:font="Wingdings 2" w:char="0052"/>
      </w:r>
      <w:r>
        <w:rPr>
          <w:rFonts w:hint="eastAsia" w:ascii="宋体" w:hAnsi="宋体"/>
          <w:color w:val="000000" w:themeColor="text1"/>
          <w:sz w:val="24"/>
          <w:highlight w:val="none"/>
          <w14:textFill>
            <w14:solidFill>
              <w14:schemeClr w14:val="tx1"/>
            </w14:solidFill>
          </w14:textFill>
        </w:rPr>
        <w:t>否</w:t>
      </w:r>
    </w:p>
    <w:p w14:paraId="0C1CDD9E">
      <w:pPr>
        <w:spacing w:line="360" w:lineRule="auto"/>
        <w:ind w:left="420" w:leftChars="200"/>
        <w:jc w:val="left"/>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3.是否邀请本项目的其他供应商：</w:t>
      </w:r>
      <w:r>
        <w:rPr>
          <w:rFonts w:ascii="宋体" w:hAnsi="宋体"/>
          <w:color w:val="000000" w:themeColor="text1"/>
          <w:sz w:val="24"/>
          <w:highlight w:val="none"/>
          <w14:textFill>
            <w14:solidFill>
              <w14:schemeClr w14:val="tx1"/>
            </w14:solidFill>
          </w14:textFill>
        </w:rPr>
        <w:tab/>
      </w:r>
      <w:r>
        <w:rPr>
          <w:rFonts w:ascii="宋体" w:hAnsi="宋体" w:cs="仿宋_GB2312"/>
          <w:color w:val="000000" w:themeColor="text1"/>
          <w:sz w:val="24"/>
          <w:highlight w:val="none"/>
          <w14:textFill>
            <w14:solidFill>
              <w14:schemeClr w14:val="tx1"/>
            </w14:solidFill>
          </w14:textFill>
        </w:rPr>
        <w:sym w:font="Wingdings 2" w:char="00A3"/>
      </w:r>
      <w:r>
        <w:rPr>
          <w:rFonts w:hint="eastAsia" w:ascii="宋体" w:hAnsi="宋体"/>
          <w:color w:val="000000" w:themeColor="text1"/>
          <w:sz w:val="24"/>
          <w:highlight w:val="none"/>
          <w14:textFill>
            <w14:solidFill>
              <w14:schemeClr w14:val="tx1"/>
            </w14:solidFill>
          </w14:textFill>
        </w:rPr>
        <w:t>是</w:t>
      </w:r>
      <w:r>
        <w:rPr>
          <w:rFonts w:ascii="宋体" w:hAnsi="宋体"/>
          <w:color w:val="000000" w:themeColor="text1"/>
          <w:sz w:val="24"/>
          <w:highlight w:val="none"/>
          <w14:textFill>
            <w14:solidFill>
              <w14:schemeClr w14:val="tx1"/>
            </w14:solidFill>
          </w14:textFill>
        </w:rPr>
        <w:tab/>
      </w:r>
      <w:r>
        <w:rPr>
          <w:rFonts w:ascii="宋体" w:hAnsi="宋体" w:cs="仿宋_GB2312"/>
          <w:color w:val="000000" w:themeColor="text1"/>
          <w:sz w:val="24"/>
          <w:highlight w:val="none"/>
          <w14:textFill>
            <w14:solidFill>
              <w14:schemeClr w14:val="tx1"/>
            </w14:solidFill>
          </w14:textFill>
        </w:rPr>
        <w:sym w:font="Wingdings 2" w:char="F052"/>
      </w:r>
      <w:r>
        <w:rPr>
          <w:rFonts w:hint="eastAsia" w:ascii="宋体" w:hAnsi="宋体"/>
          <w:color w:val="000000" w:themeColor="text1"/>
          <w:sz w:val="24"/>
          <w:highlight w:val="none"/>
          <w14:textFill>
            <w14:solidFill>
              <w14:schemeClr w14:val="tx1"/>
            </w14:solidFill>
          </w14:textFill>
        </w:rPr>
        <w:t>否</w:t>
      </w:r>
    </w:p>
    <w:p w14:paraId="556B673E">
      <w:pPr>
        <w:spacing w:line="360" w:lineRule="auto"/>
        <w:ind w:left="420" w:left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4.是否邀请专家：</w:t>
      </w:r>
      <w:r>
        <w:rPr>
          <w:rFonts w:ascii="宋体" w:hAnsi="宋体"/>
          <w:color w:val="000000" w:themeColor="text1"/>
          <w:sz w:val="24"/>
          <w:highlight w:val="none"/>
          <w14:textFill>
            <w14:solidFill>
              <w14:schemeClr w14:val="tx1"/>
            </w14:solidFill>
          </w14:textFill>
        </w:rPr>
        <w:tab/>
      </w:r>
      <w:r>
        <w:rPr>
          <w:rFonts w:ascii="宋体" w:hAnsi="宋体" w:cs="仿宋_GB2312"/>
          <w:color w:val="000000" w:themeColor="text1"/>
          <w:sz w:val="24"/>
          <w:highlight w:val="none"/>
          <w14:textFill>
            <w14:solidFill>
              <w14:schemeClr w14:val="tx1"/>
            </w14:solidFill>
          </w14:textFill>
        </w:rPr>
        <w:sym w:font="Wingdings 2" w:char="F052"/>
      </w:r>
      <w:r>
        <w:rPr>
          <w:rFonts w:hint="eastAsia" w:ascii="宋体" w:hAnsi="宋体"/>
          <w:color w:val="000000" w:themeColor="text1"/>
          <w:sz w:val="24"/>
          <w:highlight w:val="none"/>
          <w14:textFill>
            <w14:solidFill>
              <w14:schemeClr w14:val="tx1"/>
            </w14:solidFill>
          </w14:textFill>
        </w:rPr>
        <w:t>是</w:t>
      </w:r>
      <w:r>
        <w:rPr>
          <w:rFonts w:ascii="宋体" w:hAnsi="宋体"/>
          <w:color w:val="000000" w:themeColor="text1"/>
          <w:sz w:val="24"/>
          <w:highlight w:val="none"/>
          <w14:textFill>
            <w14:solidFill>
              <w14:schemeClr w14:val="tx1"/>
            </w14:solidFill>
          </w14:textFill>
        </w:rPr>
        <w:tab/>
      </w:r>
      <w:r>
        <w:rPr>
          <w:rFonts w:ascii="宋体" w:hAnsi="宋体" w:cs="仿宋_GB2312"/>
          <w:color w:val="000000" w:themeColor="text1"/>
          <w:sz w:val="24"/>
          <w:highlight w:val="none"/>
          <w14:textFill>
            <w14:solidFill>
              <w14:schemeClr w14:val="tx1"/>
            </w14:solidFill>
          </w14:textFill>
        </w:rPr>
        <w:sym w:font="Wingdings 2" w:char="00A3"/>
      </w:r>
      <w:r>
        <w:rPr>
          <w:rFonts w:hint="eastAsia" w:ascii="宋体" w:hAnsi="宋体"/>
          <w:color w:val="000000" w:themeColor="text1"/>
          <w:sz w:val="24"/>
          <w:highlight w:val="none"/>
          <w14:textFill>
            <w14:solidFill>
              <w14:schemeClr w14:val="tx1"/>
            </w14:solidFill>
          </w14:textFill>
        </w:rPr>
        <w:t>否</w:t>
      </w:r>
    </w:p>
    <w:p w14:paraId="025EDE49">
      <w:pPr>
        <w:spacing w:line="360" w:lineRule="auto"/>
        <w:ind w:left="420" w:left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5.是否邀请服务对象：</w:t>
      </w:r>
      <w:r>
        <w:rPr>
          <w:rFonts w:ascii="宋体" w:hAnsi="宋体"/>
          <w:color w:val="000000" w:themeColor="text1"/>
          <w:sz w:val="24"/>
          <w:highlight w:val="none"/>
          <w14:textFill>
            <w14:solidFill>
              <w14:schemeClr w14:val="tx1"/>
            </w14:solidFill>
          </w14:textFill>
        </w:rPr>
        <w:tab/>
      </w:r>
      <w:r>
        <w:rPr>
          <w:rFonts w:ascii="宋体" w:hAnsi="宋体" w:cs="仿宋_GB2312"/>
          <w:color w:val="000000" w:themeColor="text1"/>
          <w:sz w:val="24"/>
          <w:highlight w:val="none"/>
          <w14:textFill>
            <w14:solidFill>
              <w14:schemeClr w14:val="tx1"/>
            </w14:solidFill>
          </w14:textFill>
        </w:rPr>
        <w:sym w:font="Wingdings 2" w:char="00A3"/>
      </w:r>
      <w:r>
        <w:rPr>
          <w:rFonts w:hint="eastAsia" w:ascii="宋体" w:hAnsi="宋体"/>
          <w:color w:val="000000" w:themeColor="text1"/>
          <w:sz w:val="24"/>
          <w:highlight w:val="none"/>
          <w14:textFill>
            <w14:solidFill>
              <w14:schemeClr w14:val="tx1"/>
            </w14:solidFill>
          </w14:textFill>
        </w:rPr>
        <w:t>是</w:t>
      </w:r>
      <w:r>
        <w:rPr>
          <w:rFonts w:ascii="宋体" w:hAnsi="宋体"/>
          <w:color w:val="000000" w:themeColor="text1"/>
          <w:sz w:val="24"/>
          <w:highlight w:val="none"/>
          <w14:textFill>
            <w14:solidFill>
              <w14:schemeClr w14:val="tx1"/>
            </w14:solidFill>
          </w14:textFill>
        </w:rPr>
        <w:tab/>
      </w:r>
      <w:r>
        <w:rPr>
          <w:rFonts w:ascii="宋体" w:hAnsi="宋体" w:cs="仿宋_GB2312"/>
          <w:color w:val="000000" w:themeColor="text1"/>
          <w:sz w:val="24"/>
          <w:highlight w:val="none"/>
          <w14:textFill>
            <w14:solidFill>
              <w14:schemeClr w14:val="tx1"/>
            </w14:solidFill>
          </w14:textFill>
        </w:rPr>
        <w:sym w:font="Wingdings 2" w:char="F052"/>
      </w:r>
      <w:r>
        <w:rPr>
          <w:rFonts w:hint="eastAsia" w:ascii="宋体" w:hAnsi="宋体"/>
          <w:color w:val="000000" w:themeColor="text1"/>
          <w:sz w:val="24"/>
          <w:highlight w:val="none"/>
          <w14:textFill>
            <w14:solidFill>
              <w14:schemeClr w14:val="tx1"/>
            </w14:solidFill>
          </w14:textFill>
        </w:rPr>
        <w:t>否</w:t>
      </w:r>
    </w:p>
    <w:p w14:paraId="41592AE4">
      <w:pPr>
        <w:spacing w:line="360" w:lineRule="auto"/>
        <w:ind w:firstLine="42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6.其他</w:t>
      </w:r>
    </w:p>
    <w:p w14:paraId="15BC7993">
      <w:pPr>
        <w:spacing w:line="360" w:lineRule="auto"/>
        <w:ind w:firstLine="420"/>
        <w:jc w:val="left"/>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u w:val="single"/>
          <w14:textFill>
            <w14:solidFill>
              <w14:schemeClr w14:val="tx1"/>
            </w14:solidFill>
          </w14:textFill>
        </w:rPr>
        <w:t xml:space="preserve"> 无。                                                               </w:t>
      </w:r>
    </w:p>
    <w:p w14:paraId="4D9C1D21">
      <w:pPr>
        <w:spacing w:line="360" w:lineRule="auto"/>
        <w:jc w:val="left"/>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（二）履约验收时间：</w:t>
      </w:r>
      <w:r>
        <w:rPr>
          <w:rFonts w:ascii="宋体" w:hAnsi="宋体"/>
          <w:color w:val="000000" w:themeColor="text1"/>
          <w:sz w:val="24"/>
          <w:highlight w:val="none"/>
          <w:u w:val="single"/>
          <w14:textFill>
            <w14:solidFill>
              <w14:schemeClr w14:val="tx1"/>
            </w14:solidFill>
          </w14:textFill>
        </w:rPr>
        <w:t xml:space="preserve"> 项目服务期结束。 </w:t>
      </w:r>
    </w:p>
    <w:p w14:paraId="24C201F7">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（三）履约验收方式：</w:t>
      </w:r>
      <w:r>
        <w:rPr>
          <w:rFonts w:ascii="宋体" w:hAnsi="宋体"/>
          <w:color w:val="000000" w:themeColor="text1"/>
          <w:sz w:val="24"/>
          <w:highlight w:val="none"/>
          <w14:textFill>
            <w14:solidFill>
              <w14:schemeClr w14:val="tx1"/>
            </w14:solidFill>
          </w14:textFill>
        </w:rPr>
        <w:tab/>
      </w:r>
      <w:r>
        <w:rPr>
          <w:rFonts w:ascii="宋体" w:hAnsi="宋体" w:cs="仿宋_GB2312"/>
          <w:color w:val="000000" w:themeColor="text1"/>
          <w:sz w:val="24"/>
          <w:highlight w:val="none"/>
          <w14:textFill>
            <w14:solidFill>
              <w14:schemeClr w14:val="tx1"/>
            </w14:solidFill>
          </w14:textFill>
        </w:rPr>
        <w:sym w:font="Wingdings 2" w:char="00A3"/>
      </w:r>
      <w:r>
        <w:rPr>
          <w:rFonts w:hint="eastAsia" w:ascii="宋体" w:hAnsi="宋体"/>
          <w:color w:val="000000" w:themeColor="text1"/>
          <w:sz w:val="24"/>
          <w:highlight w:val="none"/>
          <w14:textFill>
            <w14:solidFill>
              <w14:schemeClr w14:val="tx1"/>
            </w14:solidFill>
          </w14:textFill>
        </w:rPr>
        <w:t>简易程序</w:t>
      </w:r>
      <w:r>
        <w:rPr>
          <w:rFonts w:ascii="宋体" w:hAnsi="宋体"/>
          <w:color w:val="000000" w:themeColor="text1"/>
          <w:sz w:val="24"/>
          <w:highlight w:val="none"/>
          <w14:textFill>
            <w14:solidFill>
              <w14:schemeClr w14:val="tx1"/>
            </w14:solidFill>
          </w14:textFill>
        </w:rPr>
        <w:tab/>
      </w:r>
      <w:r>
        <w:rPr>
          <w:rFonts w:ascii="宋体" w:hAnsi="宋体"/>
          <w:color w:val="000000" w:themeColor="text1"/>
          <w:sz w:val="24"/>
          <w:highlight w:val="none"/>
          <w14:textFill>
            <w14:solidFill>
              <w14:schemeClr w14:val="tx1"/>
            </w14:solidFill>
          </w14:textFill>
        </w:rPr>
        <w:tab/>
      </w:r>
      <w:r>
        <w:rPr>
          <w:rFonts w:ascii="宋体" w:hAnsi="宋体" w:cs="仿宋_GB2312"/>
          <w:color w:val="000000" w:themeColor="text1"/>
          <w:sz w:val="24"/>
          <w:highlight w:val="none"/>
          <w14:textFill>
            <w14:solidFill>
              <w14:schemeClr w14:val="tx1"/>
            </w14:solidFill>
          </w14:textFill>
        </w:rPr>
        <w:sym w:font="Wingdings 2" w:char="F052"/>
      </w:r>
      <w:r>
        <w:rPr>
          <w:rFonts w:hint="eastAsia" w:ascii="宋体" w:hAnsi="宋体"/>
          <w:color w:val="000000" w:themeColor="text1"/>
          <w:sz w:val="24"/>
          <w:highlight w:val="none"/>
          <w14:textFill>
            <w14:solidFill>
              <w14:schemeClr w14:val="tx1"/>
            </w14:solidFill>
          </w14:textFill>
        </w:rPr>
        <w:t>一般程序</w:t>
      </w:r>
    </w:p>
    <w:p w14:paraId="047B7738">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（四）履约验收程序：</w:t>
      </w:r>
      <w:r>
        <w:rPr>
          <w:rFonts w:ascii="宋体" w:hAnsi="宋体"/>
          <w:color w:val="000000" w:themeColor="text1"/>
          <w:sz w:val="24"/>
          <w:highlight w:val="none"/>
          <w14:textFill>
            <w14:solidFill>
              <w14:schemeClr w14:val="tx1"/>
            </w14:solidFill>
          </w14:textFill>
        </w:rPr>
        <w:tab/>
      </w:r>
      <w:r>
        <w:rPr>
          <w:rFonts w:ascii="宋体" w:hAnsi="宋体" w:cs="仿宋_GB2312"/>
          <w:color w:val="000000" w:themeColor="text1"/>
          <w:sz w:val="24"/>
          <w:highlight w:val="none"/>
          <w14:textFill>
            <w14:solidFill>
              <w14:schemeClr w14:val="tx1"/>
            </w14:solidFill>
          </w14:textFill>
        </w:rPr>
        <w:sym w:font="Wingdings 2" w:char="0052"/>
      </w:r>
      <w:r>
        <w:rPr>
          <w:rFonts w:hint="eastAsia" w:ascii="宋体" w:hAnsi="宋体"/>
          <w:color w:val="000000" w:themeColor="text1"/>
          <w:sz w:val="24"/>
          <w:highlight w:val="none"/>
          <w14:textFill>
            <w14:solidFill>
              <w14:schemeClr w14:val="tx1"/>
            </w14:solidFill>
          </w14:textFill>
        </w:rPr>
        <w:t>一次性验收</w:t>
      </w:r>
      <w:r>
        <w:rPr>
          <w:rFonts w:ascii="宋体" w:hAnsi="宋体"/>
          <w:color w:val="000000" w:themeColor="text1"/>
          <w:sz w:val="24"/>
          <w:highlight w:val="none"/>
          <w14:textFill>
            <w14:solidFill>
              <w14:schemeClr w14:val="tx1"/>
            </w14:solidFill>
          </w14:textFill>
        </w:rPr>
        <w:tab/>
      </w:r>
      <w:r>
        <w:rPr>
          <w:rFonts w:ascii="宋体" w:hAnsi="宋体" w:cs="仿宋_GB2312"/>
          <w:color w:val="000000" w:themeColor="text1"/>
          <w:sz w:val="24"/>
          <w:highlight w:val="none"/>
          <w14:textFill>
            <w14:solidFill>
              <w14:schemeClr w14:val="tx1"/>
            </w14:solidFill>
          </w14:textFill>
        </w:rPr>
        <w:sym w:font="Wingdings 2" w:char="00A3"/>
      </w:r>
      <w:r>
        <w:rPr>
          <w:rFonts w:hint="eastAsia" w:ascii="宋体" w:hAnsi="宋体"/>
          <w:color w:val="000000" w:themeColor="text1"/>
          <w:sz w:val="24"/>
          <w:highlight w:val="none"/>
          <w14:textFill>
            <w14:solidFill>
              <w14:schemeClr w14:val="tx1"/>
            </w14:solidFill>
          </w14:textFill>
        </w:rPr>
        <w:t>分段验收</w:t>
      </w:r>
      <w:r>
        <w:rPr>
          <w:rFonts w:ascii="宋体" w:hAnsi="宋体"/>
          <w:color w:val="000000" w:themeColor="text1"/>
          <w:sz w:val="24"/>
          <w:highlight w:val="none"/>
          <w14:textFill>
            <w14:solidFill>
              <w14:schemeClr w14:val="tx1"/>
            </w14:solidFill>
          </w14:textFill>
        </w:rPr>
        <w:tab/>
      </w:r>
      <w:r>
        <w:rPr>
          <w:rFonts w:ascii="宋体" w:hAnsi="宋体"/>
          <w:color w:val="000000" w:themeColor="text1"/>
          <w:sz w:val="24"/>
          <w:highlight w:val="none"/>
          <w14:textFill>
            <w14:solidFill>
              <w14:schemeClr w14:val="tx1"/>
            </w14:solidFill>
          </w14:textFill>
        </w:rPr>
        <w:tab/>
      </w:r>
      <w:r>
        <w:rPr>
          <w:rFonts w:ascii="宋体" w:hAnsi="宋体" w:cs="仿宋_GB2312"/>
          <w:color w:val="000000" w:themeColor="text1"/>
          <w:sz w:val="24"/>
          <w:highlight w:val="none"/>
          <w14:textFill>
            <w14:solidFill>
              <w14:schemeClr w14:val="tx1"/>
            </w14:solidFill>
          </w14:textFill>
        </w:rPr>
        <w:sym w:font="Wingdings 2" w:char="00A3"/>
      </w:r>
      <w:r>
        <w:rPr>
          <w:rFonts w:hint="eastAsia" w:ascii="宋体" w:hAnsi="宋体"/>
          <w:color w:val="000000" w:themeColor="text1"/>
          <w:sz w:val="24"/>
          <w:highlight w:val="none"/>
          <w14:textFill>
            <w14:solidFill>
              <w14:schemeClr w14:val="tx1"/>
            </w14:solidFill>
          </w14:textFill>
        </w:rPr>
        <w:t>分期验收</w:t>
      </w:r>
    </w:p>
    <w:p w14:paraId="33ED53E6">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（五）履约验收内容</w:t>
      </w:r>
    </w:p>
    <w:p w14:paraId="0E0665D5">
      <w:pPr>
        <w:pStyle w:val="33"/>
        <w:ind w:firstLine="480"/>
        <w:rPr>
          <w:rFonts w:ascii="宋体" w:hAnsi="宋体" w:cs="仿宋"/>
          <w:color w:val="000000"/>
          <w:highlight w:val="none"/>
          <w:u w:val="single"/>
        </w:rPr>
      </w:pPr>
      <w:bookmarkStart w:id="2" w:name="_Toc9028"/>
      <w:bookmarkStart w:id="3" w:name="_Hlk102914293"/>
      <w:r>
        <w:rPr>
          <w:rFonts w:ascii="宋体" w:hAnsi="宋体" w:cs="仿宋"/>
          <w:color w:val="000000"/>
          <w:highlight w:val="none"/>
          <w:u w:val="single"/>
        </w:rPr>
        <w:t>1.</w:t>
      </w:r>
      <w:r>
        <w:rPr>
          <w:rFonts w:hint="eastAsia" w:ascii="宋体" w:hAnsi="宋体" w:cs="仿宋"/>
          <w:color w:val="000000"/>
          <w:highlight w:val="none"/>
          <w:u w:val="single"/>
        </w:rPr>
        <w:t>验收组织和程序</w:t>
      </w:r>
      <w:bookmarkEnd w:id="2"/>
    </w:p>
    <w:p w14:paraId="0E5909BC">
      <w:pPr>
        <w:pStyle w:val="33"/>
        <w:ind w:firstLine="480"/>
        <w:rPr>
          <w:rFonts w:ascii="宋体" w:hAnsi="宋体" w:cs="仿宋"/>
          <w:color w:val="000000"/>
          <w:highlight w:val="none"/>
          <w:u w:val="single"/>
        </w:rPr>
      </w:pPr>
      <w:r>
        <w:rPr>
          <w:rFonts w:hint="eastAsia" w:ascii="宋体" w:hAnsi="宋体" w:cs="仿宋"/>
          <w:color w:val="000000"/>
          <w:highlight w:val="none"/>
          <w:u w:val="single"/>
        </w:rPr>
        <w:t>（</w:t>
      </w:r>
      <w:r>
        <w:rPr>
          <w:rFonts w:ascii="宋体" w:hAnsi="宋体" w:cs="仿宋"/>
          <w:color w:val="000000"/>
          <w:highlight w:val="none"/>
          <w:u w:val="single"/>
        </w:rPr>
        <w:t>1）根据《中华人民共和国政府采购法》、《中华人民共和国民法典》、《中华</w:t>
      </w:r>
      <w:r>
        <w:rPr>
          <w:rFonts w:hint="eastAsia" w:ascii="宋体" w:hAnsi="宋体" w:cs="仿宋"/>
          <w:color w:val="000000"/>
          <w:highlight w:val="none"/>
          <w:u w:val="single"/>
        </w:rPr>
        <w:t>人民共和国政府采购法实施条例》、财政部《财政部关于进一步加强政府采购需求和履约验收管理的指导意见》（财库</w:t>
      </w:r>
      <w:r>
        <w:rPr>
          <w:rFonts w:ascii="宋体" w:hAnsi="宋体" w:cs="仿宋"/>
          <w:color w:val="000000"/>
          <w:highlight w:val="none"/>
          <w:u w:val="single"/>
        </w:rPr>
        <w:t>[2016]205号）、杭州市财政局《杭州市政府采购履约验收暂行办法》（</w:t>
      </w:r>
      <w:r>
        <w:rPr>
          <w:rFonts w:hint="eastAsia" w:ascii="宋体" w:hAnsi="宋体" w:cs="仿宋"/>
          <w:color w:val="000000"/>
          <w:highlight w:val="none"/>
          <w:u w:val="single"/>
        </w:rPr>
        <w:t>杭财采监</w:t>
      </w:r>
      <w:r>
        <w:rPr>
          <w:rFonts w:ascii="宋体" w:hAnsi="宋体" w:cs="仿宋"/>
          <w:color w:val="000000"/>
          <w:highlight w:val="none"/>
          <w:u w:val="single"/>
        </w:rPr>
        <w:t>[2019]10号）等相关法律、法规、规范性文件要求组织验收。</w:t>
      </w:r>
    </w:p>
    <w:p w14:paraId="629161E5">
      <w:pPr>
        <w:pStyle w:val="33"/>
        <w:ind w:firstLine="480"/>
        <w:rPr>
          <w:rFonts w:ascii="宋体" w:hAnsi="宋体" w:cs="仿宋"/>
          <w:color w:val="000000"/>
          <w:highlight w:val="none"/>
          <w:u w:val="single"/>
        </w:rPr>
      </w:pPr>
      <w:r>
        <w:rPr>
          <w:rFonts w:hint="eastAsia" w:ascii="宋体" w:hAnsi="宋体" w:cs="仿宋"/>
          <w:color w:val="000000"/>
          <w:highlight w:val="none"/>
          <w:u w:val="single"/>
        </w:rPr>
        <w:t>（</w:t>
      </w:r>
      <w:r>
        <w:rPr>
          <w:rFonts w:ascii="宋体" w:hAnsi="宋体" w:cs="仿宋"/>
          <w:color w:val="000000"/>
          <w:highlight w:val="none"/>
          <w:u w:val="single"/>
        </w:rPr>
        <w:t>2）验收方法：验收小组验收。</w:t>
      </w:r>
    </w:p>
    <w:p w14:paraId="1E09A814">
      <w:pPr>
        <w:pStyle w:val="33"/>
        <w:ind w:firstLine="480"/>
        <w:rPr>
          <w:rFonts w:ascii="宋体" w:hAnsi="宋体" w:cs="仿宋"/>
          <w:color w:val="000000"/>
          <w:highlight w:val="none"/>
          <w:u w:val="single"/>
        </w:rPr>
      </w:pPr>
      <w:r>
        <w:rPr>
          <w:rFonts w:hint="eastAsia" w:ascii="宋体" w:hAnsi="宋体" w:cs="仿宋"/>
          <w:color w:val="000000"/>
          <w:highlight w:val="none"/>
          <w:u w:val="single"/>
        </w:rPr>
        <w:t>（</w:t>
      </w:r>
      <w:r>
        <w:rPr>
          <w:rFonts w:ascii="宋体" w:hAnsi="宋体" w:cs="仿宋"/>
          <w:color w:val="000000"/>
          <w:highlight w:val="none"/>
          <w:u w:val="single"/>
        </w:rPr>
        <w:t>3）验收小组组建方式：</w:t>
      </w:r>
      <w:r>
        <w:rPr>
          <w:rFonts w:hint="eastAsia" w:ascii="宋体" w:hAnsi="宋体" w:cs="仿宋"/>
          <w:color w:val="000000"/>
          <w:highlight w:val="none"/>
          <w:u w:val="single"/>
        </w:rPr>
        <w:t>项目验收负责人组织</w:t>
      </w:r>
      <w:r>
        <w:rPr>
          <w:rFonts w:ascii="宋体" w:hAnsi="宋体" w:cs="仿宋"/>
          <w:color w:val="000000"/>
          <w:highlight w:val="none"/>
          <w:u w:val="single"/>
        </w:rPr>
        <w:t>验收小组，验收小组由</w:t>
      </w:r>
      <w:r>
        <w:rPr>
          <w:rFonts w:hint="eastAsia" w:ascii="宋体" w:hAnsi="宋体" w:cs="仿宋"/>
          <w:color w:val="000000"/>
          <w:highlight w:val="none"/>
          <w:u w:val="single"/>
        </w:rPr>
        <w:t>相关</w:t>
      </w:r>
      <w:r>
        <w:rPr>
          <w:rFonts w:ascii="宋体" w:hAnsi="宋体" w:cs="仿宋"/>
          <w:color w:val="000000"/>
          <w:highlight w:val="none"/>
          <w:u w:val="single"/>
        </w:rPr>
        <w:t>专家和用户代表</w:t>
      </w:r>
      <w:r>
        <w:rPr>
          <w:rFonts w:hint="eastAsia" w:ascii="宋体" w:hAnsi="宋体" w:cs="仿宋"/>
          <w:color w:val="000000"/>
          <w:highlight w:val="none"/>
          <w:u w:val="single"/>
        </w:rPr>
        <w:t>按相关规定</w:t>
      </w:r>
      <w:r>
        <w:rPr>
          <w:rFonts w:ascii="宋体" w:hAnsi="宋体" w:cs="仿宋"/>
          <w:color w:val="000000"/>
          <w:highlight w:val="none"/>
          <w:u w:val="single"/>
        </w:rPr>
        <w:t>组成。验收小组负责实施具体的验收活动。采购人可以邀请其他单位的相关专业人员参加验收小组。验收小组推选一名组长，主持验收小组的工作。</w:t>
      </w:r>
    </w:p>
    <w:p w14:paraId="18E3E6F3">
      <w:pPr>
        <w:pStyle w:val="33"/>
        <w:ind w:firstLine="480"/>
        <w:rPr>
          <w:rFonts w:ascii="宋体" w:hAnsi="宋体" w:cs="仿宋"/>
          <w:color w:val="000000"/>
          <w:highlight w:val="none"/>
          <w:u w:val="single"/>
        </w:rPr>
      </w:pPr>
      <w:r>
        <w:rPr>
          <w:rFonts w:hint="eastAsia" w:ascii="宋体" w:hAnsi="宋体" w:cs="仿宋"/>
          <w:color w:val="000000"/>
          <w:highlight w:val="none"/>
          <w:u w:val="single"/>
        </w:rPr>
        <w:t>（</w:t>
      </w:r>
      <w:r>
        <w:rPr>
          <w:rFonts w:ascii="宋体" w:hAnsi="宋体" w:cs="仿宋"/>
          <w:color w:val="000000"/>
          <w:highlight w:val="none"/>
          <w:u w:val="single"/>
        </w:rPr>
        <w:t>4）验收流程：</w:t>
      </w:r>
    </w:p>
    <w:p w14:paraId="3A6A2C88">
      <w:pPr>
        <w:pStyle w:val="33"/>
        <w:ind w:firstLine="480"/>
        <w:rPr>
          <w:rFonts w:ascii="宋体" w:hAnsi="宋体" w:cs="仿宋"/>
          <w:color w:val="000000"/>
          <w:highlight w:val="none"/>
          <w:u w:val="single"/>
        </w:rPr>
      </w:pPr>
      <w:r>
        <w:rPr>
          <w:rFonts w:ascii="宋体" w:hAnsi="宋体" w:cs="仿宋"/>
          <w:color w:val="000000"/>
          <w:highlight w:val="none"/>
          <w:u w:val="single"/>
        </w:rPr>
        <w:t>1）</w:t>
      </w:r>
      <w:r>
        <w:rPr>
          <w:rFonts w:hint="eastAsia" w:ascii="宋体" w:hAnsi="宋体" w:cs="仿宋"/>
          <w:color w:val="000000"/>
          <w:highlight w:val="none"/>
          <w:u w:val="single"/>
        </w:rPr>
        <w:t>项目验收负责人</w:t>
      </w:r>
      <w:r>
        <w:rPr>
          <w:rFonts w:ascii="宋体" w:hAnsi="宋体" w:cs="仿宋"/>
          <w:color w:val="000000"/>
          <w:highlight w:val="none"/>
          <w:u w:val="single"/>
        </w:rPr>
        <w:t>根据验收方案组织验收小组现场验收，并准备验收材料并通知各验收参与方在指定时间指定地点联合验收，包括采购人、供应商、验收小组、其他验收参与方等。</w:t>
      </w:r>
    </w:p>
    <w:p w14:paraId="386D3675">
      <w:pPr>
        <w:pStyle w:val="33"/>
        <w:ind w:firstLine="480"/>
        <w:rPr>
          <w:rFonts w:ascii="宋体" w:hAnsi="宋体" w:cs="仿宋"/>
          <w:color w:val="000000"/>
          <w:highlight w:val="none"/>
          <w:u w:val="single"/>
        </w:rPr>
      </w:pPr>
      <w:r>
        <w:rPr>
          <w:rFonts w:ascii="宋体" w:hAnsi="宋体" w:cs="仿宋"/>
          <w:color w:val="000000"/>
          <w:highlight w:val="none"/>
          <w:u w:val="single"/>
        </w:rPr>
        <w:t>2）验收小组应当按照验收方案独立开展验收，对供应商提供的服务按照采购文件、投标文件、政府采购合同进行核对、验收，并做好验收记录。在验收过程中，验收小组成员不得擅自公开验收信息。验收小组可以对验收方案进行必要的修改。验收小组对验收方案</w:t>
      </w:r>
      <w:r>
        <w:rPr>
          <w:rFonts w:hint="eastAsia" w:ascii="宋体" w:hAnsi="宋体" w:cs="仿宋"/>
          <w:color w:val="000000"/>
          <w:highlight w:val="none"/>
          <w:u w:val="single"/>
        </w:rPr>
        <w:t>作出实质性修改的，应当报经采购人同意。</w:t>
      </w:r>
    </w:p>
    <w:p w14:paraId="53F2F6A9">
      <w:pPr>
        <w:pStyle w:val="33"/>
        <w:ind w:firstLine="480"/>
        <w:rPr>
          <w:rFonts w:ascii="宋体" w:hAnsi="宋体" w:cs="仿宋"/>
          <w:color w:val="000000"/>
          <w:highlight w:val="none"/>
          <w:u w:val="single"/>
        </w:rPr>
      </w:pPr>
      <w:r>
        <w:rPr>
          <w:rFonts w:ascii="宋体" w:hAnsi="宋体" w:cs="仿宋"/>
          <w:color w:val="000000"/>
          <w:highlight w:val="none"/>
          <w:u w:val="single"/>
        </w:rPr>
        <w:t>3）供应商配合验收工作，并就验收实施过程中的疑问进行解答和澄清。项目验收过程中，供应商不认可验收意见的，按照合同的约定的方式解决，合同未作约定的，按照《中华人民共和国民法典》等相关规定处理。</w:t>
      </w:r>
    </w:p>
    <w:p w14:paraId="522A3D99">
      <w:pPr>
        <w:pStyle w:val="33"/>
        <w:ind w:firstLine="480"/>
        <w:rPr>
          <w:rFonts w:ascii="宋体" w:hAnsi="宋体" w:cs="仿宋"/>
          <w:color w:val="000000"/>
          <w:highlight w:val="none"/>
          <w:u w:val="single"/>
        </w:rPr>
      </w:pPr>
      <w:r>
        <w:rPr>
          <w:rFonts w:ascii="宋体" w:hAnsi="宋体" w:cs="仿宋"/>
          <w:color w:val="000000"/>
          <w:highlight w:val="none"/>
          <w:u w:val="single"/>
        </w:rPr>
        <w:t>4）出具验收报告。验收结束后，验收小组应当出具验收报告，报告采购人。验收报告应当根据验收方案制作，以书面形式</w:t>
      </w:r>
      <w:r>
        <w:rPr>
          <w:rFonts w:hint="eastAsia" w:ascii="宋体" w:hAnsi="宋体" w:cs="仿宋"/>
          <w:color w:val="000000"/>
          <w:highlight w:val="none"/>
          <w:u w:val="single"/>
        </w:rPr>
        <w:t>作出结论性意见，并经验收小组全体成员签字。验收小组成员对验收报告载明的结论有异议的，应当在验收报告上签署不同意并说明理由，否则视为同意验收结论。</w:t>
      </w:r>
    </w:p>
    <w:p w14:paraId="60536A5B">
      <w:pPr>
        <w:pStyle w:val="10"/>
        <w:spacing w:after="120" w:line="360" w:lineRule="auto"/>
        <w:rPr>
          <w:rFonts w:ascii="宋体" w:hAnsi="宋体" w:eastAsia="宋体" w:cs="仿宋"/>
          <w:color w:val="000000"/>
          <w:sz w:val="24"/>
          <w:szCs w:val="24"/>
          <w:highlight w:val="none"/>
          <w:u w:val="single"/>
        </w:rPr>
      </w:pPr>
      <w:r>
        <w:rPr>
          <w:rFonts w:ascii="宋体" w:hAnsi="宋体" w:eastAsia="宋体" w:cs="仿宋"/>
          <w:color w:val="000000"/>
          <w:sz w:val="24"/>
          <w:szCs w:val="24"/>
          <w:highlight w:val="none"/>
          <w:u w:val="single"/>
        </w:rPr>
        <w:t>5）验收不合格的，采购人应责令供应商采取补救措施，向供应商发出整改通知书，并依法及时处理。整改结束后，由供应商通知采购人或其委托的验收组织机构重新验收。</w:t>
      </w:r>
    </w:p>
    <w:p w14:paraId="304C0897">
      <w:pPr>
        <w:pStyle w:val="10"/>
        <w:spacing w:after="120" w:line="360" w:lineRule="auto"/>
        <w:rPr>
          <w:rFonts w:ascii="宋体" w:hAnsi="宋体" w:eastAsia="宋体" w:cs="仿宋"/>
          <w:color w:val="000000"/>
          <w:sz w:val="24"/>
          <w:szCs w:val="24"/>
          <w:highlight w:val="none"/>
          <w:u w:val="single"/>
        </w:rPr>
      </w:pPr>
      <w:bookmarkStart w:id="4" w:name="_Toc8526"/>
      <w:r>
        <w:rPr>
          <w:rFonts w:ascii="宋体" w:hAnsi="宋体" w:eastAsia="宋体" w:cs="仿宋"/>
          <w:color w:val="000000"/>
          <w:sz w:val="24"/>
          <w:szCs w:val="24"/>
          <w:highlight w:val="none"/>
          <w:u w:val="single"/>
        </w:rPr>
        <w:t>2.</w:t>
      </w:r>
      <w:r>
        <w:rPr>
          <w:rFonts w:hint="eastAsia" w:ascii="宋体" w:hAnsi="宋体" w:eastAsia="宋体" w:cs="仿宋"/>
          <w:color w:val="000000"/>
          <w:sz w:val="24"/>
          <w:szCs w:val="24"/>
          <w:highlight w:val="none"/>
          <w:u w:val="single"/>
        </w:rPr>
        <w:t>履约验收内容</w:t>
      </w:r>
      <w:bookmarkEnd w:id="4"/>
    </w:p>
    <w:p w14:paraId="06EA995A">
      <w:pPr>
        <w:pStyle w:val="10"/>
        <w:spacing w:after="120" w:line="360" w:lineRule="auto"/>
        <w:rPr>
          <w:rFonts w:ascii="宋体" w:hAnsi="宋体" w:eastAsia="宋体" w:cs="仿宋"/>
          <w:color w:val="000000"/>
          <w:sz w:val="24"/>
          <w:szCs w:val="24"/>
          <w:highlight w:val="none"/>
          <w:u w:val="single"/>
        </w:rPr>
      </w:pPr>
      <w:bookmarkStart w:id="5" w:name="_Toc354"/>
      <w:r>
        <w:rPr>
          <w:rFonts w:ascii="宋体" w:hAnsi="宋体" w:eastAsia="宋体" w:cs="仿宋"/>
          <w:color w:val="000000"/>
          <w:sz w:val="24"/>
          <w:szCs w:val="24"/>
          <w:highlight w:val="none"/>
          <w:u w:val="single"/>
        </w:rPr>
        <w:t>1.</w:t>
      </w:r>
      <w:r>
        <w:rPr>
          <w:rFonts w:hint="eastAsia" w:ascii="宋体" w:hAnsi="宋体" w:eastAsia="宋体" w:cs="仿宋"/>
          <w:color w:val="000000"/>
          <w:sz w:val="24"/>
          <w:szCs w:val="24"/>
          <w:highlight w:val="none"/>
          <w:u w:val="single"/>
        </w:rPr>
        <w:t>技术履约内容</w:t>
      </w:r>
    </w:p>
    <w:p w14:paraId="70ADED7C">
      <w:pPr>
        <w:pStyle w:val="10"/>
        <w:spacing w:after="120" w:line="360" w:lineRule="auto"/>
        <w:rPr>
          <w:rFonts w:ascii="宋体" w:hAnsi="宋体" w:eastAsia="宋体" w:cs="仿宋"/>
          <w:color w:val="000000"/>
          <w:sz w:val="24"/>
          <w:szCs w:val="24"/>
          <w:highlight w:val="none"/>
          <w:u w:val="single"/>
        </w:rPr>
      </w:pPr>
      <w:r>
        <w:rPr>
          <w:rFonts w:ascii="宋体" w:hAnsi="宋体" w:eastAsia="宋体" w:cs="仿宋"/>
          <w:color w:val="000000"/>
          <w:sz w:val="24"/>
          <w:szCs w:val="24"/>
          <w:highlight w:val="none"/>
          <w:u w:val="single"/>
        </w:rPr>
        <w:t>1</w:t>
      </w:r>
      <w:r>
        <w:rPr>
          <w:rFonts w:hint="eastAsia" w:ascii="宋体" w:hAnsi="宋体" w:eastAsia="宋体" w:cs="仿宋"/>
          <w:color w:val="000000"/>
          <w:sz w:val="24"/>
          <w:szCs w:val="24"/>
          <w:highlight w:val="none"/>
          <w:u w:val="single"/>
        </w:rPr>
        <w:t>）满足所有采购需求及响应文件承诺；</w:t>
      </w:r>
    </w:p>
    <w:p w14:paraId="36A3C1B5">
      <w:pPr>
        <w:pStyle w:val="10"/>
        <w:spacing w:after="120" w:line="360" w:lineRule="auto"/>
        <w:rPr>
          <w:rFonts w:ascii="宋体" w:hAnsi="宋体" w:eastAsia="宋体" w:cs="仿宋"/>
          <w:color w:val="000000"/>
          <w:sz w:val="24"/>
          <w:szCs w:val="24"/>
          <w:highlight w:val="none"/>
          <w:u w:val="single"/>
        </w:rPr>
      </w:pPr>
      <w:r>
        <w:rPr>
          <w:rFonts w:ascii="宋体" w:hAnsi="宋体" w:eastAsia="宋体" w:cs="仿宋"/>
          <w:color w:val="000000"/>
          <w:sz w:val="24"/>
          <w:szCs w:val="24"/>
          <w:highlight w:val="none"/>
          <w:u w:val="single"/>
        </w:rPr>
        <w:t>2）拟投服务团队人员全部到位，与</w:t>
      </w:r>
      <w:r>
        <w:rPr>
          <w:rFonts w:hint="eastAsia" w:ascii="宋体" w:hAnsi="宋体" w:eastAsia="宋体" w:cs="仿宋"/>
          <w:color w:val="000000"/>
          <w:sz w:val="24"/>
          <w:szCs w:val="24"/>
          <w:highlight w:val="none"/>
          <w:u w:val="single"/>
        </w:rPr>
        <w:t>响应</w:t>
      </w:r>
      <w:r>
        <w:rPr>
          <w:rFonts w:ascii="宋体" w:hAnsi="宋体" w:eastAsia="宋体" w:cs="仿宋"/>
          <w:color w:val="000000"/>
          <w:sz w:val="24"/>
          <w:szCs w:val="24"/>
          <w:highlight w:val="none"/>
          <w:u w:val="single"/>
        </w:rPr>
        <w:t>文件人员信息清单一致</w:t>
      </w:r>
      <w:r>
        <w:rPr>
          <w:rFonts w:hint="eastAsia" w:ascii="宋体" w:hAnsi="宋体" w:eastAsia="宋体" w:cs="仿宋"/>
          <w:color w:val="000000"/>
          <w:sz w:val="24"/>
          <w:szCs w:val="24"/>
          <w:highlight w:val="none"/>
          <w:u w:val="single"/>
        </w:rPr>
        <w:t>。</w:t>
      </w:r>
    </w:p>
    <w:p w14:paraId="50B58536">
      <w:pPr>
        <w:pStyle w:val="10"/>
        <w:spacing w:after="120" w:line="360" w:lineRule="auto"/>
        <w:rPr>
          <w:rFonts w:ascii="宋体" w:hAnsi="宋体" w:eastAsia="宋体" w:cs="仿宋"/>
          <w:color w:val="000000"/>
          <w:sz w:val="24"/>
          <w:szCs w:val="24"/>
          <w:highlight w:val="none"/>
          <w:u w:val="single"/>
        </w:rPr>
      </w:pPr>
      <w:r>
        <w:rPr>
          <w:rFonts w:ascii="宋体" w:hAnsi="宋体" w:eastAsia="宋体" w:cs="仿宋"/>
          <w:color w:val="000000"/>
          <w:sz w:val="24"/>
          <w:szCs w:val="24"/>
          <w:highlight w:val="none"/>
          <w:u w:val="single"/>
        </w:rPr>
        <w:t>2.商务履约内容</w:t>
      </w:r>
    </w:p>
    <w:p w14:paraId="0A886B0B">
      <w:pPr>
        <w:pStyle w:val="10"/>
        <w:spacing w:after="120" w:line="360" w:lineRule="auto"/>
        <w:rPr>
          <w:rFonts w:ascii="宋体" w:hAnsi="宋体" w:eastAsia="宋体" w:cs="仿宋"/>
          <w:color w:val="000000"/>
          <w:sz w:val="24"/>
          <w:szCs w:val="24"/>
          <w:highlight w:val="none"/>
          <w:u w:val="single"/>
        </w:rPr>
      </w:pPr>
      <w:r>
        <w:rPr>
          <w:rFonts w:ascii="宋体" w:hAnsi="宋体" w:eastAsia="宋体" w:cs="仿宋"/>
          <w:color w:val="000000"/>
          <w:sz w:val="24"/>
          <w:szCs w:val="24"/>
          <w:highlight w:val="none"/>
          <w:u w:val="single"/>
        </w:rPr>
        <w:t>1</w:t>
      </w:r>
      <w:r>
        <w:rPr>
          <w:rFonts w:hint="eastAsia" w:ascii="宋体" w:hAnsi="宋体" w:eastAsia="宋体" w:cs="仿宋"/>
          <w:color w:val="000000"/>
          <w:sz w:val="24"/>
          <w:szCs w:val="24"/>
          <w:highlight w:val="none"/>
          <w:u w:val="single"/>
        </w:rPr>
        <w:t>）服务周期满足采购要求。</w:t>
      </w:r>
    </w:p>
    <w:p w14:paraId="2D1E9606">
      <w:pPr>
        <w:pStyle w:val="10"/>
        <w:spacing w:after="120" w:line="360" w:lineRule="auto"/>
        <w:rPr>
          <w:rFonts w:ascii="宋体" w:hAnsi="宋体" w:eastAsia="宋体" w:cs="仿宋"/>
          <w:color w:val="000000"/>
          <w:sz w:val="24"/>
          <w:szCs w:val="24"/>
          <w:highlight w:val="none"/>
          <w:u w:val="single"/>
        </w:rPr>
      </w:pPr>
      <w:r>
        <w:rPr>
          <w:rFonts w:ascii="宋体" w:hAnsi="宋体" w:eastAsia="宋体" w:cs="仿宋"/>
          <w:color w:val="000000"/>
          <w:sz w:val="24"/>
          <w:szCs w:val="24"/>
          <w:highlight w:val="none"/>
          <w:u w:val="single"/>
        </w:rPr>
        <w:t>3.</w:t>
      </w:r>
      <w:r>
        <w:rPr>
          <w:rFonts w:hint="eastAsia" w:ascii="宋体" w:hAnsi="宋体" w:eastAsia="宋体" w:cs="仿宋"/>
          <w:color w:val="000000"/>
          <w:sz w:val="24"/>
          <w:szCs w:val="24"/>
          <w:highlight w:val="none"/>
          <w:u w:val="single"/>
        </w:rPr>
        <w:t>验收标准</w:t>
      </w:r>
      <w:bookmarkEnd w:id="5"/>
    </w:p>
    <w:p w14:paraId="5AD8EA23">
      <w:pPr>
        <w:pStyle w:val="10"/>
        <w:spacing w:after="120" w:line="360" w:lineRule="auto"/>
        <w:rPr>
          <w:rFonts w:ascii="宋体" w:hAnsi="宋体" w:eastAsia="宋体" w:cs="仿宋"/>
          <w:color w:val="000000"/>
          <w:sz w:val="24"/>
          <w:szCs w:val="24"/>
          <w:highlight w:val="none"/>
          <w:u w:val="single"/>
        </w:rPr>
      </w:pPr>
      <w:r>
        <w:rPr>
          <w:rFonts w:ascii="宋体" w:hAnsi="宋体" w:eastAsia="宋体" w:cs="仿宋"/>
          <w:color w:val="000000"/>
          <w:sz w:val="24"/>
          <w:szCs w:val="24"/>
          <w:highlight w:val="none"/>
          <w:u w:val="single"/>
        </w:rPr>
        <w:t>1</w:t>
      </w:r>
      <w:r>
        <w:rPr>
          <w:rFonts w:hint="eastAsia" w:ascii="宋体" w:hAnsi="宋体" w:eastAsia="宋体" w:cs="仿宋"/>
          <w:color w:val="000000"/>
          <w:sz w:val="24"/>
          <w:szCs w:val="24"/>
          <w:highlight w:val="none"/>
          <w:u w:val="single"/>
        </w:rPr>
        <w:t>）满足所有采购需求及响应文件承诺；</w:t>
      </w:r>
    </w:p>
    <w:p w14:paraId="55D2F948">
      <w:pPr>
        <w:pStyle w:val="10"/>
        <w:spacing w:after="120" w:line="360" w:lineRule="auto"/>
        <w:rPr>
          <w:rFonts w:ascii="宋体" w:hAnsi="宋体" w:eastAsia="宋体" w:cs="仿宋"/>
          <w:color w:val="000000"/>
          <w:sz w:val="24"/>
          <w:szCs w:val="24"/>
          <w:highlight w:val="none"/>
          <w:u w:val="single"/>
        </w:rPr>
      </w:pPr>
      <w:r>
        <w:rPr>
          <w:rFonts w:ascii="宋体" w:hAnsi="宋体" w:eastAsia="宋体" w:cs="仿宋"/>
          <w:color w:val="000000"/>
          <w:sz w:val="24"/>
          <w:szCs w:val="24"/>
          <w:highlight w:val="none"/>
          <w:u w:val="single"/>
        </w:rPr>
        <w:t>2）拟投服务团队人员全部到位，与</w:t>
      </w:r>
      <w:r>
        <w:rPr>
          <w:rFonts w:hint="eastAsia" w:ascii="宋体" w:hAnsi="宋体" w:eastAsia="宋体" w:cs="仿宋"/>
          <w:color w:val="000000"/>
          <w:sz w:val="24"/>
          <w:szCs w:val="24"/>
          <w:highlight w:val="none"/>
          <w:u w:val="single"/>
        </w:rPr>
        <w:t>响应</w:t>
      </w:r>
      <w:r>
        <w:rPr>
          <w:rFonts w:ascii="宋体" w:hAnsi="宋体" w:eastAsia="宋体" w:cs="仿宋"/>
          <w:color w:val="000000"/>
          <w:sz w:val="24"/>
          <w:szCs w:val="24"/>
          <w:highlight w:val="none"/>
          <w:u w:val="single"/>
        </w:rPr>
        <w:t>文件人员信息清单一致；</w:t>
      </w:r>
    </w:p>
    <w:p w14:paraId="1E019D81">
      <w:pPr>
        <w:pStyle w:val="10"/>
        <w:spacing w:after="120" w:line="360" w:lineRule="auto"/>
        <w:rPr>
          <w:rFonts w:ascii="宋体" w:hAnsi="宋体" w:eastAsia="宋体" w:cs="仿宋"/>
          <w:color w:val="000000"/>
          <w:sz w:val="24"/>
          <w:szCs w:val="24"/>
          <w:highlight w:val="none"/>
          <w:u w:val="single"/>
        </w:rPr>
      </w:pPr>
      <w:r>
        <w:rPr>
          <w:rFonts w:ascii="宋体" w:hAnsi="宋体" w:eastAsia="宋体" w:cs="仿宋"/>
          <w:color w:val="000000"/>
          <w:sz w:val="24"/>
          <w:szCs w:val="24"/>
          <w:highlight w:val="none"/>
          <w:u w:val="single"/>
        </w:rPr>
        <w:t>3</w:t>
      </w:r>
      <w:r>
        <w:rPr>
          <w:rFonts w:hint="eastAsia" w:ascii="宋体" w:hAnsi="宋体" w:eastAsia="宋体" w:cs="仿宋"/>
          <w:color w:val="000000"/>
          <w:sz w:val="24"/>
          <w:szCs w:val="24"/>
          <w:highlight w:val="none"/>
          <w:u w:val="single"/>
        </w:rPr>
        <w:t>）项目验收资料齐全；</w:t>
      </w:r>
    </w:p>
    <w:p w14:paraId="3DBE34BF">
      <w:pPr>
        <w:spacing w:line="360" w:lineRule="auto"/>
        <w:ind w:firstLine="480" w:firstLineChars="200"/>
        <w:jc w:val="left"/>
        <w:rPr>
          <w:rFonts w:ascii="宋体" w:hAnsi="宋体" w:cs="仿宋"/>
          <w:sz w:val="24"/>
          <w:highlight w:val="none"/>
          <w:u w:val="single"/>
        </w:rPr>
      </w:pPr>
      <w:bookmarkStart w:id="6" w:name="_Toc100838239"/>
      <w:bookmarkStart w:id="7" w:name="_Toc24191"/>
      <w:r>
        <w:rPr>
          <w:rFonts w:ascii="宋体" w:hAnsi="宋体" w:cs="仿宋"/>
          <w:sz w:val="24"/>
          <w:highlight w:val="none"/>
          <w:u w:val="single"/>
        </w:rPr>
        <w:t>4.</w:t>
      </w:r>
      <w:r>
        <w:rPr>
          <w:rFonts w:hint="eastAsia" w:ascii="宋体" w:hAnsi="宋体" w:cs="仿宋"/>
          <w:sz w:val="24"/>
          <w:highlight w:val="none"/>
          <w:u w:val="single"/>
        </w:rPr>
        <w:t>履约验收其他事项</w:t>
      </w:r>
      <w:bookmarkEnd w:id="6"/>
      <w:bookmarkEnd w:id="7"/>
    </w:p>
    <w:p w14:paraId="16E16BED">
      <w:pPr>
        <w:pStyle w:val="36"/>
        <w:spacing w:after="120" w:line="360" w:lineRule="auto"/>
        <w:ind w:firstLine="480"/>
        <w:rPr>
          <w:rFonts w:ascii="宋体" w:hAnsi="宋体" w:eastAsia="宋体" w:cs="仿宋"/>
          <w:sz w:val="24"/>
          <w:szCs w:val="24"/>
          <w:highlight w:val="none"/>
          <w:u w:val="single"/>
        </w:rPr>
      </w:pPr>
      <w:r>
        <w:rPr>
          <w:rFonts w:hint="eastAsia" w:ascii="宋体" w:hAnsi="宋体" w:eastAsia="宋体" w:cs="仿宋"/>
          <w:sz w:val="24"/>
          <w:szCs w:val="24"/>
          <w:highlight w:val="none"/>
          <w:u w:val="single"/>
        </w:rPr>
        <w:t>（</w:t>
      </w:r>
      <w:r>
        <w:rPr>
          <w:rFonts w:ascii="宋体" w:hAnsi="宋体" w:eastAsia="宋体" w:cs="仿宋"/>
          <w:sz w:val="24"/>
          <w:szCs w:val="24"/>
          <w:highlight w:val="none"/>
          <w:u w:val="single"/>
        </w:rPr>
        <w:t>1）采购人在供应商提供相关服务的过程中，有权不定期对服务内容和质量进行考核。供应商提供相关服务过程中有违反合同约定、不达约定标准情况</w:t>
      </w:r>
      <w:r>
        <w:rPr>
          <w:rFonts w:hint="eastAsia" w:ascii="宋体" w:hAnsi="宋体" w:eastAsia="宋体" w:cs="仿宋"/>
          <w:sz w:val="24"/>
          <w:szCs w:val="24"/>
          <w:highlight w:val="none"/>
          <w:u w:val="single"/>
        </w:rPr>
        <w:t>的，采购人有权要求供应商限期整改，供应商未按采购人</w:t>
      </w:r>
      <w:r>
        <w:rPr>
          <w:rFonts w:ascii="宋体" w:hAnsi="宋体" w:eastAsia="宋体" w:cs="仿宋"/>
          <w:sz w:val="24"/>
          <w:szCs w:val="24"/>
          <w:highlight w:val="none"/>
          <w:u w:val="single"/>
        </w:rPr>
        <w:t>要求整改的，采购人有权拒绝验收，供应商应承担相应的违约责任。</w:t>
      </w:r>
    </w:p>
    <w:p w14:paraId="633D0BE2">
      <w:pPr>
        <w:pStyle w:val="36"/>
        <w:spacing w:after="120" w:line="360" w:lineRule="auto"/>
        <w:ind w:firstLine="480"/>
        <w:rPr>
          <w:rFonts w:ascii="宋体" w:hAnsi="宋体" w:eastAsia="宋体" w:cs="仿宋"/>
          <w:sz w:val="24"/>
          <w:szCs w:val="24"/>
          <w:highlight w:val="none"/>
          <w:u w:val="single"/>
        </w:rPr>
      </w:pPr>
      <w:r>
        <w:rPr>
          <w:rFonts w:hint="eastAsia" w:ascii="宋体" w:hAnsi="宋体" w:eastAsia="宋体" w:cs="仿宋"/>
          <w:sz w:val="24"/>
          <w:szCs w:val="24"/>
          <w:highlight w:val="none"/>
          <w:u w:val="single"/>
        </w:rPr>
        <w:t>（</w:t>
      </w:r>
      <w:r>
        <w:rPr>
          <w:rFonts w:ascii="宋体" w:hAnsi="宋体" w:eastAsia="宋体" w:cs="仿宋"/>
          <w:sz w:val="24"/>
          <w:szCs w:val="24"/>
          <w:highlight w:val="none"/>
          <w:u w:val="single"/>
        </w:rPr>
        <w:t>2）供应商服务成果未通过采购人验收，采购人有权要求供应商进行整改，相关费用</w:t>
      </w:r>
      <w:r>
        <w:rPr>
          <w:rFonts w:hint="eastAsia" w:ascii="宋体" w:hAnsi="宋体" w:eastAsia="宋体" w:cs="仿宋"/>
          <w:sz w:val="24"/>
          <w:szCs w:val="24"/>
          <w:highlight w:val="none"/>
          <w:u w:val="single"/>
        </w:rPr>
        <w:t>（包括但不限于重新组织验收等费用）</w:t>
      </w:r>
      <w:r>
        <w:rPr>
          <w:rFonts w:ascii="宋体" w:hAnsi="宋体" w:eastAsia="宋体" w:cs="仿宋"/>
          <w:sz w:val="24"/>
          <w:szCs w:val="24"/>
          <w:highlight w:val="none"/>
          <w:u w:val="single"/>
        </w:rPr>
        <w:t>由供应商承担；如供应商</w:t>
      </w:r>
      <w:r>
        <w:rPr>
          <w:rFonts w:hint="eastAsia" w:ascii="宋体" w:hAnsi="宋体" w:eastAsia="宋体" w:cs="仿宋"/>
          <w:sz w:val="24"/>
          <w:szCs w:val="24"/>
          <w:highlight w:val="none"/>
          <w:u w:val="single"/>
        </w:rPr>
        <w:t>未在采购人要求期限内整改或整改后仍不合格或已经无法整改的，采购人有权要求供应商承担相应的违约责任。</w:t>
      </w:r>
    </w:p>
    <w:bookmarkEnd w:id="3"/>
    <w:p w14:paraId="0FC1DB1F">
      <w:pPr>
        <w:spacing w:before="312" w:beforeLines="100" w:line="360" w:lineRule="auto"/>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四、风险控制措施和替代方案</w:t>
      </w:r>
    </w:p>
    <w:p w14:paraId="11A758BF">
      <w:pPr>
        <w:spacing w:line="360" w:lineRule="auto"/>
        <w:ind w:firstLine="42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该采购项目按照《政府采购需求管理办法》第二十五条规定，是否需要组织风险判断、提出处置措施和替代方案：</w:t>
      </w:r>
      <w:r>
        <w:rPr>
          <w:rFonts w:ascii="宋体" w:hAnsi="宋体"/>
          <w:color w:val="000000" w:themeColor="text1"/>
          <w:sz w:val="24"/>
          <w:highlight w:val="none"/>
          <w14:textFill>
            <w14:solidFill>
              <w14:schemeClr w14:val="tx1"/>
            </w14:solidFill>
          </w14:textFill>
        </w:rPr>
        <w:tab/>
      </w:r>
      <w:r>
        <w:rPr>
          <w:rFonts w:ascii="宋体" w:hAnsi="宋体"/>
          <w:color w:val="000000" w:themeColor="text1"/>
          <w:sz w:val="24"/>
          <w:highlight w:val="none"/>
          <w14:textFill>
            <w14:solidFill>
              <w14:schemeClr w14:val="tx1"/>
            </w14:solidFill>
          </w14:textFill>
        </w:rPr>
        <w:sym w:font="Wingdings 2" w:char="F052"/>
      </w:r>
      <w:r>
        <w:rPr>
          <w:rFonts w:hint="eastAsia" w:ascii="宋体" w:hAnsi="宋体"/>
          <w:color w:val="000000" w:themeColor="text1"/>
          <w:sz w:val="24"/>
          <w:highlight w:val="none"/>
          <w14:textFill>
            <w14:solidFill>
              <w14:schemeClr w14:val="tx1"/>
            </w14:solidFill>
          </w14:textFill>
        </w:rPr>
        <w:t>是</w:t>
      </w:r>
      <w:r>
        <w:rPr>
          <w:rFonts w:ascii="宋体" w:hAnsi="宋体"/>
          <w:color w:val="000000" w:themeColor="text1"/>
          <w:sz w:val="24"/>
          <w:highlight w:val="none"/>
          <w14:textFill>
            <w14:solidFill>
              <w14:schemeClr w14:val="tx1"/>
            </w14:solidFill>
          </w14:textFill>
        </w:rPr>
        <w:tab/>
      </w:r>
      <w:r>
        <w:rPr>
          <w:rFonts w:ascii="宋体" w:hAnsi="宋体" w:cs="仿宋_GB2312"/>
          <w:color w:val="000000" w:themeColor="text1"/>
          <w:sz w:val="24"/>
          <w:highlight w:val="none"/>
          <w14:textFill>
            <w14:solidFill>
              <w14:schemeClr w14:val="tx1"/>
            </w14:solidFill>
          </w14:textFill>
        </w:rPr>
        <w:sym w:font="Wingdings 2" w:char="00A3"/>
      </w:r>
      <w:r>
        <w:rPr>
          <w:rFonts w:hint="eastAsia" w:ascii="宋体" w:hAnsi="宋体"/>
          <w:color w:val="000000" w:themeColor="text1"/>
          <w:sz w:val="24"/>
          <w:highlight w:val="none"/>
          <w14:textFill>
            <w14:solidFill>
              <w14:schemeClr w14:val="tx1"/>
            </w14:solidFill>
          </w14:textFill>
        </w:rPr>
        <w:t>否</w:t>
      </w:r>
    </w:p>
    <w:p w14:paraId="3444B6F4">
      <w:pPr>
        <w:spacing w:line="360" w:lineRule="auto"/>
        <w:jc w:val="left"/>
        <w:outlineLvl w:val="1"/>
        <w:rPr>
          <w:rFonts w:ascii="宋体" w:hAnsi="宋体"/>
          <w:color w:val="000000" w:themeColor="text1"/>
          <w:sz w:val="24"/>
          <w:highlight w:val="none"/>
          <w14:textFill>
            <w14:solidFill>
              <w14:schemeClr w14:val="tx1"/>
            </w14:solidFill>
          </w14:textFill>
        </w:rPr>
      </w:pPr>
      <w:bookmarkStart w:id="8" w:name="_Toc29357"/>
      <w:r>
        <w:rPr>
          <w:rFonts w:hint="eastAsia" w:ascii="宋体" w:hAnsi="宋体"/>
          <w:color w:val="000000" w:themeColor="text1"/>
          <w:sz w:val="24"/>
          <w:highlight w:val="none"/>
          <w14:textFill>
            <w14:solidFill>
              <w14:schemeClr w14:val="tx1"/>
            </w14:solidFill>
          </w14:textFill>
        </w:rPr>
        <w:t>（一）国家政策变化应对措施</w:t>
      </w:r>
      <w:bookmarkEnd w:id="8"/>
    </w:p>
    <w:p w14:paraId="42A16583">
      <w:pPr>
        <w:spacing w:line="360" w:lineRule="auto"/>
        <w:ind w:firstLine="420"/>
        <w:jc w:val="left"/>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如遇到国家政策发生变化，根据新的政策进行采购需求调整。</w:t>
      </w:r>
      <w:r>
        <w:rPr>
          <w:rFonts w:ascii="宋体" w:hAnsi="宋体"/>
          <w:color w:val="000000" w:themeColor="text1"/>
          <w:sz w:val="24"/>
          <w:highlight w:val="none"/>
          <w:u w:val="single"/>
          <w14:textFill>
            <w14:solidFill>
              <w14:schemeClr w14:val="tx1"/>
            </w14:solidFill>
          </w14:textFill>
        </w:rPr>
        <w:t xml:space="preserve">                            </w:t>
      </w:r>
    </w:p>
    <w:p w14:paraId="45BE96B6">
      <w:pPr>
        <w:spacing w:line="360" w:lineRule="auto"/>
        <w:jc w:val="left"/>
        <w:outlineLvl w:val="1"/>
        <w:rPr>
          <w:rFonts w:ascii="宋体" w:hAnsi="宋体"/>
          <w:color w:val="000000" w:themeColor="text1"/>
          <w:sz w:val="24"/>
          <w:highlight w:val="none"/>
          <w14:textFill>
            <w14:solidFill>
              <w14:schemeClr w14:val="tx1"/>
            </w14:solidFill>
          </w14:textFill>
        </w:rPr>
      </w:pPr>
      <w:bookmarkStart w:id="9" w:name="_Toc516"/>
      <w:r>
        <w:rPr>
          <w:rFonts w:hint="eastAsia" w:ascii="宋体" w:hAnsi="宋体"/>
          <w:color w:val="000000" w:themeColor="text1"/>
          <w:sz w:val="24"/>
          <w:highlight w:val="none"/>
          <w14:textFill>
            <w14:solidFill>
              <w14:schemeClr w14:val="tx1"/>
            </w14:solidFill>
          </w14:textFill>
        </w:rPr>
        <w:t>（二）实施环境变化应对措施</w:t>
      </w:r>
      <w:bookmarkEnd w:id="9"/>
    </w:p>
    <w:p w14:paraId="5C2C53C6">
      <w:pPr>
        <w:spacing w:line="360" w:lineRule="auto"/>
        <w:ind w:firstLine="420"/>
        <w:jc w:val="left"/>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如遇到实施环境发生变化，根据新的实施环境进行采购需求调整。</w:t>
      </w:r>
      <w:r>
        <w:rPr>
          <w:rFonts w:ascii="宋体" w:hAnsi="宋体"/>
          <w:color w:val="000000" w:themeColor="text1"/>
          <w:sz w:val="24"/>
          <w:highlight w:val="none"/>
          <w:u w:val="single"/>
          <w14:textFill>
            <w14:solidFill>
              <w14:schemeClr w14:val="tx1"/>
            </w14:solidFill>
          </w14:textFill>
        </w:rPr>
        <w:t xml:space="preserve">                                                                 </w:t>
      </w:r>
    </w:p>
    <w:p w14:paraId="1679D4E1">
      <w:pPr>
        <w:spacing w:line="360" w:lineRule="auto"/>
        <w:jc w:val="left"/>
        <w:outlineLvl w:val="1"/>
        <w:rPr>
          <w:rFonts w:ascii="宋体" w:hAnsi="宋体"/>
          <w:color w:val="000000" w:themeColor="text1"/>
          <w:sz w:val="24"/>
          <w:highlight w:val="none"/>
          <w14:textFill>
            <w14:solidFill>
              <w14:schemeClr w14:val="tx1"/>
            </w14:solidFill>
          </w14:textFill>
        </w:rPr>
      </w:pPr>
      <w:bookmarkStart w:id="10" w:name="_Toc9608"/>
      <w:r>
        <w:rPr>
          <w:rFonts w:hint="eastAsia" w:ascii="宋体" w:hAnsi="宋体"/>
          <w:color w:val="000000" w:themeColor="text1"/>
          <w:sz w:val="24"/>
          <w:highlight w:val="none"/>
          <w14:textFill>
            <w14:solidFill>
              <w14:schemeClr w14:val="tx1"/>
            </w14:solidFill>
          </w14:textFill>
        </w:rPr>
        <w:t>（三）重大技术变化应对措施</w:t>
      </w:r>
      <w:bookmarkEnd w:id="10"/>
    </w:p>
    <w:p w14:paraId="77BF149E">
      <w:pPr>
        <w:spacing w:line="360" w:lineRule="auto"/>
        <w:ind w:firstLine="420"/>
        <w:jc w:val="left"/>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如遇到重大技术变化，根据变化情况进行适当调整。</w:t>
      </w:r>
      <w:r>
        <w:rPr>
          <w:rFonts w:ascii="宋体" w:hAnsi="宋体"/>
          <w:color w:val="000000" w:themeColor="text1"/>
          <w:sz w:val="24"/>
          <w:highlight w:val="none"/>
          <w:u w:val="single"/>
          <w14:textFill>
            <w14:solidFill>
              <w14:schemeClr w14:val="tx1"/>
            </w14:solidFill>
          </w14:textFill>
        </w:rPr>
        <w:t xml:space="preserve">                                                                </w:t>
      </w:r>
    </w:p>
    <w:p w14:paraId="08516042">
      <w:pPr>
        <w:spacing w:line="360" w:lineRule="auto"/>
        <w:jc w:val="left"/>
        <w:outlineLvl w:val="1"/>
        <w:rPr>
          <w:rFonts w:ascii="宋体" w:hAnsi="宋体"/>
          <w:color w:val="000000" w:themeColor="text1"/>
          <w:sz w:val="24"/>
          <w:highlight w:val="none"/>
          <w14:textFill>
            <w14:solidFill>
              <w14:schemeClr w14:val="tx1"/>
            </w14:solidFill>
          </w14:textFill>
        </w:rPr>
      </w:pPr>
      <w:bookmarkStart w:id="11" w:name="_Toc1490"/>
      <w:r>
        <w:rPr>
          <w:rFonts w:hint="eastAsia" w:ascii="宋体" w:hAnsi="宋体"/>
          <w:color w:val="000000" w:themeColor="text1"/>
          <w:sz w:val="24"/>
          <w:highlight w:val="none"/>
          <w14:textFill>
            <w14:solidFill>
              <w14:schemeClr w14:val="tx1"/>
            </w14:solidFill>
          </w14:textFill>
        </w:rPr>
        <w:t>（四）预算项目调整应对措施</w:t>
      </w:r>
      <w:bookmarkEnd w:id="11"/>
    </w:p>
    <w:p w14:paraId="33F9D962">
      <w:pPr>
        <w:spacing w:line="360" w:lineRule="auto"/>
        <w:ind w:firstLine="420"/>
        <w:jc w:val="left"/>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根据调整后的项目预算更新采购需求。                                                              </w:t>
      </w:r>
    </w:p>
    <w:p w14:paraId="07E0AD78">
      <w:pPr>
        <w:spacing w:line="360" w:lineRule="auto"/>
        <w:jc w:val="left"/>
        <w:outlineLvl w:val="1"/>
        <w:rPr>
          <w:rFonts w:ascii="宋体" w:hAnsi="宋体"/>
          <w:color w:val="000000" w:themeColor="text1"/>
          <w:sz w:val="24"/>
          <w:highlight w:val="none"/>
          <w14:textFill>
            <w14:solidFill>
              <w14:schemeClr w14:val="tx1"/>
            </w14:solidFill>
          </w14:textFill>
        </w:rPr>
      </w:pPr>
      <w:bookmarkStart w:id="12" w:name="_Toc1573"/>
      <w:r>
        <w:rPr>
          <w:rFonts w:hint="eastAsia" w:ascii="宋体" w:hAnsi="宋体"/>
          <w:color w:val="000000" w:themeColor="text1"/>
          <w:sz w:val="24"/>
          <w:highlight w:val="none"/>
          <w14:textFill>
            <w14:solidFill>
              <w14:schemeClr w14:val="tx1"/>
            </w14:solidFill>
          </w14:textFill>
        </w:rPr>
        <w:t>（五）因质疑投诉影响采购进度应对措施</w:t>
      </w:r>
      <w:bookmarkEnd w:id="12"/>
    </w:p>
    <w:p w14:paraId="60D7764C">
      <w:pPr>
        <w:spacing w:line="360" w:lineRule="auto"/>
        <w:ind w:firstLine="420"/>
        <w:jc w:val="left"/>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如必要，采用其他采购方式进行采购。</w:t>
      </w:r>
      <w:r>
        <w:rPr>
          <w:rFonts w:ascii="宋体" w:hAnsi="宋体"/>
          <w:color w:val="000000" w:themeColor="text1"/>
          <w:sz w:val="24"/>
          <w:highlight w:val="none"/>
          <w:u w:val="single"/>
          <w14:textFill>
            <w14:solidFill>
              <w14:schemeClr w14:val="tx1"/>
            </w14:solidFill>
          </w14:textFill>
        </w:rPr>
        <w:t xml:space="preserve">                                                               </w:t>
      </w:r>
    </w:p>
    <w:p w14:paraId="6C6D9DF9">
      <w:pPr>
        <w:spacing w:line="360" w:lineRule="auto"/>
        <w:jc w:val="left"/>
        <w:outlineLvl w:val="1"/>
        <w:rPr>
          <w:rFonts w:ascii="宋体" w:hAnsi="宋体"/>
          <w:color w:val="000000" w:themeColor="text1"/>
          <w:sz w:val="24"/>
          <w:highlight w:val="none"/>
          <w14:textFill>
            <w14:solidFill>
              <w14:schemeClr w14:val="tx1"/>
            </w14:solidFill>
          </w14:textFill>
        </w:rPr>
      </w:pPr>
      <w:bookmarkStart w:id="13" w:name="_Toc23686"/>
      <w:r>
        <w:rPr>
          <w:rFonts w:hint="eastAsia" w:ascii="宋体" w:hAnsi="宋体"/>
          <w:color w:val="000000" w:themeColor="text1"/>
          <w:sz w:val="24"/>
          <w:highlight w:val="none"/>
          <w14:textFill>
            <w14:solidFill>
              <w14:schemeClr w14:val="tx1"/>
            </w14:solidFill>
          </w14:textFill>
        </w:rPr>
        <w:t>（六）采购失败应对措施</w:t>
      </w:r>
      <w:bookmarkEnd w:id="13"/>
    </w:p>
    <w:p w14:paraId="21F917BC">
      <w:pPr>
        <w:spacing w:line="360" w:lineRule="auto"/>
        <w:ind w:firstLine="420"/>
        <w:jc w:val="left"/>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调查取证和重新组织专家复审、认证，重新启动采购程序。</w:t>
      </w:r>
      <w:r>
        <w:rPr>
          <w:rFonts w:ascii="宋体" w:hAnsi="宋体"/>
          <w:color w:val="000000" w:themeColor="text1"/>
          <w:sz w:val="24"/>
          <w:highlight w:val="none"/>
          <w:u w:val="single"/>
          <w14:textFill>
            <w14:solidFill>
              <w14:schemeClr w14:val="tx1"/>
            </w14:solidFill>
          </w14:textFill>
        </w:rPr>
        <w:t xml:space="preserve">                                                               </w:t>
      </w:r>
    </w:p>
    <w:p w14:paraId="0D6E4BB6">
      <w:pPr>
        <w:spacing w:line="360" w:lineRule="auto"/>
        <w:jc w:val="left"/>
        <w:outlineLvl w:val="1"/>
        <w:rPr>
          <w:rFonts w:ascii="宋体" w:hAnsi="宋体"/>
          <w:color w:val="000000" w:themeColor="text1"/>
          <w:sz w:val="24"/>
          <w:highlight w:val="none"/>
          <w14:textFill>
            <w14:solidFill>
              <w14:schemeClr w14:val="tx1"/>
            </w14:solidFill>
          </w14:textFill>
        </w:rPr>
      </w:pPr>
      <w:bookmarkStart w:id="14" w:name="_Toc25221"/>
      <w:r>
        <w:rPr>
          <w:rFonts w:hint="eastAsia" w:ascii="宋体" w:hAnsi="宋体"/>
          <w:color w:val="000000" w:themeColor="text1"/>
          <w:sz w:val="24"/>
          <w:highlight w:val="none"/>
          <w14:textFill>
            <w14:solidFill>
              <w14:schemeClr w14:val="tx1"/>
            </w14:solidFill>
          </w14:textFill>
        </w:rPr>
        <w:t>（七）不按规定签订或者履行合同应对措施</w:t>
      </w:r>
      <w:bookmarkEnd w:id="14"/>
    </w:p>
    <w:p w14:paraId="76FBB48A">
      <w:pPr>
        <w:spacing w:line="360" w:lineRule="auto"/>
        <w:ind w:firstLine="420"/>
        <w:jc w:val="left"/>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要求承担继续履行、采取补救措施或者赔偿损失等违约责任</w:t>
      </w:r>
      <w:r>
        <w:rPr>
          <w:rFonts w:ascii="宋体" w:hAnsi="宋体"/>
          <w:color w:val="000000" w:themeColor="text1"/>
          <w:sz w:val="24"/>
          <w:highlight w:val="none"/>
          <w:u w:val="single"/>
          <w14:textFill>
            <w14:solidFill>
              <w14:schemeClr w14:val="tx1"/>
            </w14:solidFill>
          </w14:textFill>
        </w:rPr>
        <w:t xml:space="preserve"> 。                                                               </w:t>
      </w:r>
    </w:p>
    <w:p w14:paraId="315A4F35">
      <w:pPr>
        <w:spacing w:line="360" w:lineRule="auto"/>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                                                                     </w:t>
      </w:r>
    </w:p>
    <w:p w14:paraId="4314D2C2">
      <w:pPr>
        <w:spacing w:line="360" w:lineRule="auto"/>
        <w:jc w:val="left"/>
        <w:outlineLvl w:val="1"/>
        <w:rPr>
          <w:rFonts w:ascii="宋体" w:hAnsi="宋体"/>
          <w:color w:val="000000" w:themeColor="text1"/>
          <w:sz w:val="24"/>
          <w:highlight w:val="none"/>
          <w14:textFill>
            <w14:solidFill>
              <w14:schemeClr w14:val="tx1"/>
            </w14:solidFill>
          </w14:textFill>
        </w:rPr>
      </w:pPr>
      <w:bookmarkStart w:id="15" w:name="_Toc18321"/>
      <w:r>
        <w:rPr>
          <w:rFonts w:hint="eastAsia" w:ascii="宋体" w:hAnsi="宋体"/>
          <w:color w:val="000000" w:themeColor="text1"/>
          <w:sz w:val="24"/>
          <w:highlight w:val="none"/>
          <w14:textFill>
            <w14:solidFill>
              <w14:schemeClr w14:val="tx1"/>
            </w14:solidFill>
          </w14:textFill>
        </w:rPr>
        <w:t>（八）出现损害国家利益和社会公共利益情形应对措施</w:t>
      </w:r>
      <w:bookmarkEnd w:id="15"/>
    </w:p>
    <w:p w14:paraId="72BD2A6A">
      <w:pPr>
        <w:spacing w:line="360" w:lineRule="auto"/>
        <w:ind w:firstLine="420"/>
        <w:jc w:val="left"/>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变更、解除合同。                                                                </w:t>
      </w:r>
    </w:p>
    <w:p w14:paraId="7182EADC">
      <w:pPr>
        <w:spacing w:line="360" w:lineRule="auto"/>
        <w:jc w:val="left"/>
        <w:outlineLvl w:val="1"/>
        <w:rPr>
          <w:rFonts w:ascii="宋体" w:hAnsi="宋体"/>
          <w:color w:val="000000" w:themeColor="text1"/>
          <w:sz w:val="24"/>
          <w:highlight w:val="none"/>
          <w14:textFill>
            <w14:solidFill>
              <w14:schemeClr w14:val="tx1"/>
            </w14:solidFill>
          </w14:textFill>
        </w:rPr>
      </w:pPr>
      <w:bookmarkStart w:id="16" w:name="_Toc15359"/>
      <w:r>
        <w:rPr>
          <w:rFonts w:hint="eastAsia" w:ascii="宋体" w:hAnsi="宋体"/>
          <w:color w:val="000000" w:themeColor="text1"/>
          <w:sz w:val="24"/>
          <w:highlight w:val="none"/>
          <w14:textFill>
            <w14:solidFill>
              <w14:schemeClr w14:val="tx1"/>
            </w14:solidFill>
          </w14:textFill>
        </w:rPr>
        <w:t>（九）其他采购和合同履行过程的风险及应对措施</w:t>
      </w:r>
      <w:bookmarkEnd w:id="16"/>
      <w:r>
        <w:rPr>
          <w:rFonts w:hint="eastAsia" w:ascii="宋体" w:hAnsi="宋体"/>
          <w:color w:val="000000" w:themeColor="text1"/>
          <w:sz w:val="24"/>
          <w:highlight w:val="none"/>
          <w14:textFill>
            <w14:solidFill>
              <w14:schemeClr w14:val="tx1"/>
            </w14:solidFill>
          </w14:textFill>
        </w:rPr>
        <w:t>。</w:t>
      </w:r>
    </w:p>
    <w:p w14:paraId="29BCB3F5">
      <w:pPr>
        <w:spacing w:line="360" w:lineRule="auto"/>
        <w:jc w:val="left"/>
        <w:outlineLvl w:val="1"/>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无</w:t>
      </w:r>
      <w:r>
        <w:rPr>
          <w:rFonts w:ascii="宋体" w:hAnsi="宋体"/>
          <w:color w:val="000000" w:themeColor="text1"/>
          <w:sz w:val="24"/>
          <w:highlight w:val="none"/>
          <w:u w:val="single"/>
          <w14:textFill>
            <w14:solidFill>
              <w14:schemeClr w14:val="tx1"/>
            </w14:solidFill>
          </w14:textFill>
        </w:rPr>
        <w:t xml:space="preserve">                                                                   </w:t>
      </w:r>
    </w:p>
    <w:p w14:paraId="0A4CD369">
      <w:pPr>
        <w:spacing w:line="360" w:lineRule="auto"/>
        <w:jc w:val="left"/>
        <w:outlineLvl w:val="1"/>
        <w:rPr>
          <w:rFonts w:ascii="宋体" w:hAnsi="宋体"/>
          <w:color w:val="000000" w:themeColor="text1"/>
          <w:sz w:val="24"/>
          <w:highlight w:val="none"/>
          <w:u w:val="single"/>
          <w14:textFill>
            <w14:solidFill>
              <w14:schemeClr w14:val="tx1"/>
            </w14:solidFill>
          </w14:textFill>
        </w:rPr>
      </w:pPr>
      <w:bookmarkStart w:id="17" w:name="_GoBack"/>
      <w:bookmarkEnd w:id="17"/>
    </w:p>
    <w:sectPr>
      <w:footerReference r:id="rId3" w:type="default"/>
      <w:footerReference r:id="rId4" w:type="even"/>
      <w:pgSz w:w="11906" w:h="16838"/>
      <w:pgMar w:top="2098" w:right="1474" w:bottom="1985" w:left="1588" w:header="851" w:footer="15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宋体"/>
    <w:panose1 w:val="00000000000000000000"/>
    <w:charset w:val="86"/>
    <w:family w:val="roman"/>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PingFang SC Regular">
    <w:altName w:val="Segoe Print"/>
    <w:panose1 w:val="00000000000000000000"/>
    <w:charset w:val="00"/>
    <w:family w:val="roman"/>
    <w:pitch w:val="default"/>
    <w:sig w:usb0="00000000" w:usb1="00000000" w:usb2="00000000" w:usb3="00000000" w:csb0="00000000" w:csb1="00000000"/>
  </w:font>
  <w:font w:name="Arial Unicode MS">
    <w:altName w:val="Malgun Gothic Semilight"/>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11505">
    <w:pPr>
      <w:pStyle w:val="14"/>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3</w:t>
    </w:r>
    <w:r>
      <w:rPr>
        <w:rFonts w:ascii="宋体" w:hAnsi="宋体"/>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AC5DB">
    <w:pPr>
      <w:pStyle w:val="1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B2725E"/>
    <w:multiLevelType w:val="singleLevel"/>
    <w:tmpl w:val="C7B2725E"/>
    <w:lvl w:ilvl="0" w:tentative="0">
      <w:start w:val="7"/>
      <w:numFmt w:val="chineseCounting"/>
      <w:suff w:val="nothing"/>
      <w:lvlText w:val="（%1）"/>
      <w:lvlJc w:val="left"/>
      <w:rPr>
        <w:rFonts w:hint="eastAsia"/>
      </w:rPr>
    </w:lvl>
  </w:abstractNum>
  <w:abstractNum w:abstractNumId="1">
    <w:nsid w:val="765316F3"/>
    <w:multiLevelType w:val="multilevel"/>
    <w:tmpl w:val="765316F3"/>
    <w:lvl w:ilvl="0" w:tentative="0">
      <w:start w:val="1"/>
      <w:numFmt w:val="chineseCountingThousand"/>
      <w:pStyle w:val="3"/>
      <w:lvlText w:val="%1、"/>
      <w:lvlJc w:val="left"/>
      <w:rPr>
        <w:rFonts w:hint="default" w:ascii="??" w:hAnsi="??" w:eastAsia="??"/>
        <w:b/>
        <w:i w:val="0"/>
        <w:iCs w:val="0"/>
        <w:caps w:val="0"/>
        <w:smallCaps w:val="0"/>
        <w:strike w:val="0"/>
        <w:dstrike w:val="0"/>
        <w:vanish w:val="0"/>
        <w:color w:val="000000"/>
        <w:spacing w:val="0"/>
        <w:position w:val="0"/>
        <w:sz w:val="21"/>
        <w:szCs w:val="21"/>
        <w:u w:val="none"/>
        <w:vertAlign w:val="baseline"/>
        <w14:shadow w14:blurRad="0" w14:dist="0" w14:dir="0" w14:sx="0" w14:sy="0" w14:kx="0" w14:ky="0" w14:algn="none">
          <w14:srgbClr w14:val="000000"/>
        </w14:shadow>
      </w:rPr>
    </w:lvl>
    <w:lvl w:ilvl="1" w:tentative="0">
      <w:start w:val="1"/>
      <w:numFmt w:val="lowerLetter"/>
      <w:lvlText w:val="%2)"/>
      <w:lvlJc w:val="left"/>
      <w:pPr>
        <w:tabs>
          <w:tab w:val="left" w:pos="1149"/>
        </w:tabs>
        <w:ind w:left="1149" w:hanging="420"/>
      </w:pPr>
    </w:lvl>
    <w:lvl w:ilvl="2" w:tentative="0">
      <w:start w:val="2"/>
      <w:numFmt w:val="japaneseCounting"/>
      <w:lvlText w:val="(%3)"/>
      <w:lvlJc w:val="left"/>
      <w:pPr>
        <w:tabs>
          <w:tab w:val="left" w:pos="1569"/>
        </w:tabs>
        <w:ind w:left="1569" w:hanging="420"/>
      </w:pPr>
    </w:lvl>
    <w:lvl w:ilvl="3" w:tentative="0">
      <w:start w:val="1"/>
      <w:numFmt w:val="japaneseCounting"/>
      <w:lvlText w:val="（%4）"/>
      <w:lvlJc w:val="left"/>
      <w:pPr>
        <w:tabs>
          <w:tab w:val="left" w:pos="2289"/>
        </w:tabs>
        <w:ind w:left="2289" w:hanging="720"/>
      </w:pPr>
    </w:lvl>
    <w:lvl w:ilvl="4" w:tentative="0">
      <w:start w:val="3"/>
      <w:numFmt w:val="japaneseCounting"/>
      <w:lvlText w:val="%5、"/>
      <w:lvlJc w:val="left"/>
      <w:pPr>
        <w:tabs>
          <w:tab w:val="left" w:pos="2409"/>
        </w:tabs>
        <w:ind w:left="2409" w:hanging="420"/>
      </w:pPr>
    </w:lvl>
    <w:lvl w:ilvl="5" w:tentative="0">
      <w:start w:val="1"/>
      <w:numFmt w:val="decimal"/>
      <w:lvlText w:val="%6、"/>
      <w:lvlJc w:val="left"/>
      <w:pPr>
        <w:tabs>
          <w:tab w:val="left" w:pos="3144"/>
        </w:tabs>
        <w:ind w:left="3144" w:hanging="735"/>
      </w:pPr>
      <w:rPr>
        <w:rFonts w:ascii="Times New Roman" w:hAnsi="Times New Roman" w:eastAsia="宋体" w:cs="Times New Roman"/>
      </w:rPr>
    </w:lvl>
    <w:lvl w:ilvl="6" w:tentative="0">
      <w:start w:val="1"/>
      <w:numFmt w:val="decimal"/>
      <w:lvlText w:val="%7."/>
      <w:lvlJc w:val="left"/>
      <w:pPr>
        <w:tabs>
          <w:tab w:val="left" w:pos="3249"/>
        </w:tabs>
        <w:ind w:left="3249" w:hanging="420"/>
      </w:pPr>
    </w:lvl>
    <w:lvl w:ilvl="7" w:tentative="0">
      <w:start w:val="1"/>
      <w:numFmt w:val="lowerLetter"/>
      <w:lvlText w:val="%8)"/>
      <w:lvlJc w:val="left"/>
      <w:pPr>
        <w:tabs>
          <w:tab w:val="left" w:pos="3669"/>
        </w:tabs>
        <w:ind w:left="3669" w:hanging="420"/>
      </w:pPr>
    </w:lvl>
    <w:lvl w:ilvl="8" w:tentative="0">
      <w:start w:val="1"/>
      <w:numFmt w:val="lowerRoman"/>
      <w:lvlText w:val="%9."/>
      <w:lvlJc w:val="right"/>
      <w:pPr>
        <w:tabs>
          <w:tab w:val="left" w:pos="4089"/>
        </w:tabs>
        <w:ind w:left="4089" w:hanging="420"/>
      </w:pPr>
    </w:lvl>
  </w:abstractNum>
  <w:abstractNum w:abstractNumId="2">
    <w:nsid w:val="777D415F"/>
    <w:multiLevelType w:val="multilevel"/>
    <w:tmpl w:val="777D415F"/>
    <w:lvl w:ilvl="0" w:tentative="0">
      <w:start w:val="2"/>
      <w:numFmt w:val="japaneseCounting"/>
      <w:pStyle w:val="58"/>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9EB7B22"/>
    <w:multiLevelType w:val="multilevel"/>
    <w:tmpl w:val="79EB7B22"/>
    <w:lvl w:ilvl="0" w:tentative="0">
      <w:start w:val="1"/>
      <w:numFmt w:val="bullet"/>
      <w:lvlText w:val=""/>
      <w:lvlJc w:val="left"/>
      <w:pPr>
        <w:tabs>
          <w:tab w:val="left" w:pos="700"/>
        </w:tabs>
        <w:ind w:left="700" w:hanging="420"/>
      </w:pPr>
      <w:rPr>
        <w:rFonts w:hint="default" w:ascii="Wingdings" w:hAnsi="Wingdings"/>
      </w:rPr>
    </w:lvl>
    <w:lvl w:ilvl="1" w:tentative="0">
      <w:start w:val="1"/>
      <w:numFmt w:val="bullet"/>
      <w:lvlText w:val=""/>
      <w:lvlJc w:val="left"/>
      <w:pPr>
        <w:tabs>
          <w:tab w:val="left" w:pos="1120"/>
        </w:tabs>
        <w:ind w:left="1120" w:hanging="420"/>
      </w:pPr>
      <w:rPr>
        <w:rFonts w:hint="default" w:ascii="Wingdings" w:hAnsi="Wingdings"/>
      </w:rPr>
    </w:lvl>
    <w:lvl w:ilvl="2" w:tentative="0">
      <w:start w:val="1"/>
      <w:numFmt w:val="bullet"/>
      <w:lvlText w:val=""/>
      <w:lvlJc w:val="left"/>
      <w:pPr>
        <w:tabs>
          <w:tab w:val="left" w:pos="1540"/>
        </w:tabs>
        <w:ind w:left="1540" w:hanging="420"/>
      </w:pPr>
      <w:rPr>
        <w:rFonts w:hint="default" w:ascii="Wingdings" w:hAnsi="Wingdings"/>
      </w:rPr>
    </w:lvl>
    <w:lvl w:ilvl="3" w:tentative="0">
      <w:start w:val="1"/>
      <w:numFmt w:val="bullet"/>
      <w:lvlText w:val=""/>
      <w:lvlJc w:val="left"/>
      <w:pPr>
        <w:tabs>
          <w:tab w:val="left" w:pos="1960"/>
        </w:tabs>
        <w:ind w:left="1960" w:hanging="420"/>
      </w:pPr>
      <w:rPr>
        <w:rFonts w:hint="default" w:ascii="Wingdings" w:hAnsi="Wingdings"/>
      </w:rPr>
    </w:lvl>
    <w:lvl w:ilvl="4" w:tentative="0">
      <w:start w:val="1"/>
      <w:numFmt w:val="bullet"/>
      <w:pStyle w:val="47"/>
      <w:lvlText w:val=""/>
      <w:lvlJc w:val="left"/>
      <w:pPr>
        <w:tabs>
          <w:tab w:val="left" w:pos="2380"/>
        </w:tabs>
        <w:ind w:left="2380" w:hanging="420"/>
      </w:pPr>
      <w:rPr>
        <w:rFonts w:hint="default" w:ascii="Wingdings" w:hAnsi="Wingdings"/>
      </w:rPr>
    </w:lvl>
    <w:lvl w:ilvl="5" w:tentative="0">
      <w:start w:val="1"/>
      <w:numFmt w:val="bullet"/>
      <w:lvlText w:val=""/>
      <w:lvlJc w:val="left"/>
      <w:pPr>
        <w:tabs>
          <w:tab w:val="left" w:pos="2800"/>
        </w:tabs>
        <w:ind w:left="2800" w:hanging="420"/>
      </w:pPr>
      <w:rPr>
        <w:rFonts w:hint="default" w:ascii="Wingdings" w:hAnsi="Wingdings"/>
      </w:rPr>
    </w:lvl>
    <w:lvl w:ilvl="6" w:tentative="0">
      <w:start w:val="1"/>
      <w:numFmt w:val="bullet"/>
      <w:lvlText w:val=""/>
      <w:lvlJc w:val="left"/>
      <w:pPr>
        <w:tabs>
          <w:tab w:val="left" w:pos="3220"/>
        </w:tabs>
        <w:ind w:left="3220" w:hanging="420"/>
      </w:pPr>
      <w:rPr>
        <w:rFonts w:hint="default" w:ascii="Wingdings" w:hAnsi="Wingdings"/>
      </w:rPr>
    </w:lvl>
    <w:lvl w:ilvl="7" w:tentative="0">
      <w:start w:val="1"/>
      <w:numFmt w:val="bullet"/>
      <w:lvlText w:val=""/>
      <w:lvlJc w:val="left"/>
      <w:pPr>
        <w:tabs>
          <w:tab w:val="left" w:pos="3640"/>
        </w:tabs>
        <w:ind w:left="3640" w:hanging="420"/>
      </w:pPr>
      <w:rPr>
        <w:rFonts w:hint="default" w:ascii="Wingdings" w:hAnsi="Wingdings"/>
      </w:rPr>
    </w:lvl>
    <w:lvl w:ilvl="8" w:tentative="0">
      <w:start w:val="1"/>
      <w:numFmt w:val="bullet"/>
      <w:lvlText w:val=""/>
      <w:lvlJc w:val="left"/>
      <w:pPr>
        <w:tabs>
          <w:tab w:val="left" w:pos="4060"/>
        </w:tabs>
        <w:ind w:left="4060" w:hanging="420"/>
      </w:pPr>
      <w:rPr>
        <w:rFonts w:hint="default" w:ascii="Wingdings" w:hAnsi="Wingdings"/>
      </w:rPr>
    </w:lvl>
  </w:abstractNum>
  <w:num w:numId="1">
    <w:abstractNumId w:val="1"/>
    <w:lvlOverride w:ilvl="0">
      <w:startOverride w:val="1"/>
    </w:lvlOverride>
    <w:lvlOverride w:ilvl="1">
      <w:startOverride w:val="1"/>
    </w:lvlOverride>
    <w:lvlOverride w:ilvl="2">
      <w:startOverride w:val="2"/>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iOWUxZmY5ZjUwZmRkYzUwOWNjOGI4ZTg4ZTM2NjIifQ=="/>
  </w:docVars>
  <w:rsids>
    <w:rsidRoot w:val="006F0877"/>
    <w:rsid w:val="00003821"/>
    <w:rsid w:val="00021224"/>
    <w:rsid w:val="00025074"/>
    <w:rsid w:val="00025455"/>
    <w:rsid w:val="000311FD"/>
    <w:rsid w:val="000441ED"/>
    <w:rsid w:val="000609AD"/>
    <w:rsid w:val="00064381"/>
    <w:rsid w:val="00066D41"/>
    <w:rsid w:val="00076506"/>
    <w:rsid w:val="00077C1A"/>
    <w:rsid w:val="000918DD"/>
    <w:rsid w:val="00092F4E"/>
    <w:rsid w:val="000A60DC"/>
    <w:rsid w:val="000B06FC"/>
    <w:rsid w:val="000C0F74"/>
    <w:rsid w:val="000C3D7C"/>
    <w:rsid w:val="000C6507"/>
    <w:rsid w:val="000D0C5A"/>
    <w:rsid w:val="000D661C"/>
    <w:rsid w:val="000E102E"/>
    <w:rsid w:val="000E2842"/>
    <w:rsid w:val="000F2FFD"/>
    <w:rsid w:val="000F4C91"/>
    <w:rsid w:val="000F58B1"/>
    <w:rsid w:val="001300DC"/>
    <w:rsid w:val="001364CE"/>
    <w:rsid w:val="00142180"/>
    <w:rsid w:val="001444DD"/>
    <w:rsid w:val="001509B0"/>
    <w:rsid w:val="00152AF0"/>
    <w:rsid w:val="001540ED"/>
    <w:rsid w:val="00154DF5"/>
    <w:rsid w:val="00171DEE"/>
    <w:rsid w:val="001737EA"/>
    <w:rsid w:val="00175816"/>
    <w:rsid w:val="0017709A"/>
    <w:rsid w:val="00177181"/>
    <w:rsid w:val="00181458"/>
    <w:rsid w:val="0018642F"/>
    <w:rsid w:val="00186E20"/>
    <w:rsid w:val="00192DB8"/>
    <w:rsid w:val="001965E5"/>
    <w:rsid w:val="00196835"/>
    <w:rsid w:val="00196A3F"/>
    <w:rsid w:val="001A0D54"/>
    <w:rsid w:val="001A4CEB"/>
    <w:rsid w:val="001A6F93"/>
    <w:rsid w:val="001C3C81"/>
    <w:rsid w:val="001C5914"/>
    <w:rsid w:val="001D058B"/>
    <w:rsid w:val="001D2C73"/>
    <w:rsid w:val="001D73CE"/>
    <w:rsid w:val="001E59BD"/>
    <w:rsid w:val="001F0BAE"/>
    <w:rsid w:val="001F230B"/>
    <w:rsid w:val="002009D3"/>
    <w:rsid w:val="00213440"/>
    <w:rsid w:val="0021449A"/>
    <w:rsid w:val="00222BA1"/>
    <w:rsid w:val="0024056D"/>
    <w:rsid w:val="00251D5B"/>
    <w:rsid w:val="00261674"/>
    <w:rsid w:val="00265E4D"/>
    <w:rsid w:val="0026741D"/>
    <w:rsid w:val="002678A2"/>
    <w:rsid w:val="0027642B"/>
    <w:rsid w:val="00277755"/>
    <w:rsid w:val="00280777"/>
    <w:rsid w:val="00286AAF"/>
    <w:rsid w:val="00295E38"/>
    <w:rsid w:val="002964A8"/>
    <w:rsid w:val="002A0A2F"/>
    <w:rsid w:val="002B163F"/>
    <w:rsid w:val="002C4305"/>
    <w:rsid w:val="002D75AC"/>
    <w:rsid w:val="002E34B2"/>
    <w:rsid w:val="002E35A8"/>
    <w:rsid w:val="002E3751"/>
    <w:rsid w:val="002F0942"/>
    <w:rsid w:val="002F4DC4"/>
    <w:rsid w:val="002F7B43"/>
    <w:rsid w:val="003019E1"/>
    <w:rsid w:val="00303316"/>
    <w:rsid w:val="00310CAD"/>
    <w:rsid w:val="00315D22"/>
    <w:rsid w:val="00315D6E"/>
    <w:rsid w:val="00321278"/>
    <w:rsid w:val="00322903"/>
    <w:rsid w:val="003263C8"/>
    <w:rsid w:val="0033793E"/>
    <w:rsid w:val="00340773"/>
    <w:rsid w:val="003507DB"/>
    <w:rsid w:val="0035602E"/>
    <w:rsid w:val="0036346D"/>
    <w:rsid w:val="00372722"/>
    <w:rsid w:val="003909A6"/>
    <w:rsid w:val="00392588"/>
    <w:rsid w:val="003939FE"/>
    <w:rsid w:val="0039420F"/>
    <w:rsid w:val="003A329F"/>
    <w:rsid w:val="003C77ED"/>
    <w:rsid w:val="003D0FAE"/>
    <w:rsid w:val="003D45FA"/>
    <w:rsid w:val="003D4D3F"/>
    <w:rsid w:val="003E3407"/>
    <w:rsid w:val="003F6DB7"/>
    <w:rsid w:val="004019C1"/>
    <w:rsid w:val="00402F07"/>
    <w:rsid w:val="00405CAF"/>
    <w:rsid w:val="004066EE"/>
    <w:rsid w:val="00410718"/>
    <w:rsid w:val="004141FE"/>
    <w:rsid w:val="00427428"/>
    <w:rsid w:val="00431378"/>
    <w:rsid w:val="00433A86"/>
    <w:rsid w:val="00441433"/>
    <w:rsid w:val="0046019E"/>
    <w:rsid w:val="0047248C"/>
    <w:rsid w:val="00473949"/>
    <w:rsid w:val="0047473B"/>
    <w:rsid w:val="004956AF"/>
    <w:rsid w:val="004978DB"/>
    <w:rsid w:val="004A0291"/>
    <w:rsid w:val="004A2E91"/>
    <w:rsid w:val="004A52DA"/>
    <w:rsid w:val="004B0059"/>
    <w:rsid w:val="004B0115"/>
    <w:rsid w:val="004D18D1"/>
    <w:rsid w:val="004D4E89"/>
    <w:rsid w:val="004E02FA"/>
    <w:rsid w:val="004E1E58"/>
    <w:rsid w:val="004F3CC0"/>
    <w:rsid w:val="004F3F1A"/>
    <w:rsid w:val="004F55C4"/>
    <w:rsid w:val="004F655B"/>
    <w:rsid w:val="00504F13"/>
    <w:rsid w:val="0050595D"/>
    <w:rsid w:val="00506D54"/>
    <w:rsid w:val="00516B83"/>
    <w:rsid w:val="00521FD9"/>
    <w:rsid w:val="00537974"/>
    <w:rsid w:val="005408BD"/>
    <w:rsid w:val="00552A9C"/>
    <w:rsid w:val="005545EC"/>
    <w:rsid w:val="00561A6F"/>
    <w:rsid w:val="00565F24"/>
    <w:rsid w:val="0059535D"/>
    <w:rsid w:val="005A2F80"/>
    <w:rsid w:val="005B1E45"/>
    <w:rsid w:val="005C009E"/>
    <w:rsid w:val="005C0A71"/>
    <w:rsid w:val="005C0CCF"/>
    <w:rsid w:val="005C641E"/>
    <w:rsid w:val="005D6E53"/>
    <w:rsid w:val="005D7443"/>
    <w:rsid w:val="005F18C8"/>
    <w:rsid w:val="005F50EF"/>
    <w:rsid w:val="005F622B"/>
    <w:rsid w:val="00601EDD"/>
    <w:rsid w:val="00607AAD"/>
    <w:rsid w:val="006100E1"/>
    <w:rsid w:val="00613F11"/>
    <w:rsid w:val="00616A27"/>
    <w:rsid w:val="00621454"/>
    <w:rsid w:val="00626E7E"/>
    <w:rsid w:val="00645085"/>
    <w:rsid w:val="00653690"/>
    <w:rsid w:val="00654020"/>
    <w:rsid w:val="006678D9"/>
    <w:rsid w:val="00674484"/>
    <w:rsid w:val="0068268F"/>
    <w:rsid w:val="006840A0"/>
    <w:rsid w:val="006861C3"/>
    <w:rsid w:val="00687581"/>
    <w:rsid w:val="00692769"/>
    <w:rsid w:val="006A4B8D"/>
    <w:rsid w:val="006A72B1"/>
    <w:rsid w:val="006A7A4B"/>
    <w:rsid w:val="006B4378"/>
    <w:rsid w:val="006C1C1B"/>
    <w:rsid w:val="006C1E13"/>
    <w:rsid w:val="006C3D11"/>
    <w:rsid w:val="006C53CE"/>
    <w:rsid w:val="006C6381"/>
    <w:rsid w:val="006D049B"/>
    <w:rsid w:val="006D532A"/>
    <w:rsid w:val="006D7DD7"/>
    <w:rsid w:val="006E0E56"/>
    <w:rsid w:val="006E6DC5"/>
    <w:rsid w:val="006F0877"/>
    <w:rsid w:val="00721F76"/>
    <w:rsid w:val="00725B7D"/>
    <w:rsid w:val="00725D7C"/>
    <w:rsid w:val="00742EDA"/>
    <w:rsid w:val="00755F49"/>
    <w:rsid w:val="00765A2F"/>
    <w:rsid w:val="00773C97"/>
    <w:rsid w:val="00774726"/>
    <w:rsid w:val="007865E5"/>
    <w:rsid w:val="00787410"/>
    <w:rsid w:val="00791ACE"/>
    <w:rsid w:val="007B08B6"/>
    <w:rsid w:val="007B2CBB"/>
    <w:rsid w:val="007B429E"/>
    <w:rsid w:val="007B491E"/>
    <w:rsid w:val="007D4985"/>
    <w:rsid w:val="007E1048"/>
    <w:rsid w:val="007F38B3"/>
    <w:rsid w:val="007F3C60"/>
    <w:rsid w:val="007F4BBB"/>
    <w:rsid w:val="008020B2"/>
    <w:rsid w:val="0080466B"/>
    <w:rsid w:val="00804E07"/>
    <w:rsid w:val="00812139"/>
    <w:rsid w:val="00814363"/>
    <w:rsid w:val="00814F5F"/>
    <w:rsid w:val="0081662C"/>
    <w:rsid w:val="00823618"/>
    <w:rsid w:val="0083154B"/>
    <w:rsid w:val="00837B9B"/>
    <w:rsid w:val="00840D73"/>
    <w:rsid w:val="008455BB"/>
    <w:rsid w:val="0084753C"/>
    <w:rsid w:val="008544E1"/>
    <w:rsid w:val="008666A5"/>
    <w:rsid w:val="00867FB6"/>
    <w:rsid w:val="0087065E"/>
    <w:rsid w:val="00871E99"/>
    <w:rsid w:val="00873FCE"/>
    <w:rsid w:val="0087423D"/>
    <w:rsid w:val="00880915"/>
    <w:rsid w:val="00882C84"/>
    <w:rsid w:val="008851B5"/>
    <w:rsid w:val="00891EF2"/>
    <w:rsid w:val="0089598D"/>
    <w:rsid w:val="008961A4"/>
    <w:rsid w:val="008967F7"/>
    <w:rsid w:val="00896E24"/>
    <w:rsid w:val="008C58C5"/>
    <w:rsid w:val="008E73BC"/>
    <w:rsid w:val="008F4E3B"/>
    <w:rsid w:val="00902985"/>
    <w:rsid w:val="0090340B"/>
    <w:rsid w:val="00913317"/>
    <w:rsid w:val="00917BE6"/>
    <w:rsid w:val="0092280E"/>
    <w:rsid w:val="00924EB1"/>
    <w:rsid w:val="0092766B"/>
    <w:rsid w:val="00927AE6"/>
    <w:rsid w:val="009329CA"/>
    <w:rsid w:val="00932CFC"/>
    <w:rsid w:val="00940CF8"/>
    <w:rsid w:val="00944357"/>
    <w:rsid w:val="00945456"/>
    <w:rsid w:val="009477C8"/>
    <w:rsid w:val="009521F7"/>
    <w:rsid w:val="0096287D"/>
    <w:rsid w:val="00964678"/>
    <w:rsid w:val="0096773D"/>
    <w:rsid w:val="0096786C"/>
    <w:rsid w:val="00970BA3"/>
    <w:rsid w:val="00975ECD"/>
    <w:rsid w:val="00987C9E"/>
    <w:rsid w:val="00991EC1"/>
    <w:rsid w:val="00994A11"/>
    <w:rsid w:val="009A09E5"/>
    <w:rsid w:val="009A626A"/>
    <w:rsid w:val="009C7390"/>
    <w:rsid w:val="009D0BEE"/>
    <w:rsid w:val="00A02CC7"/>
    <w:rsid w:val="00A11C59"/>
    <w:rsid w:val="00A1222D"/>
    <w:rsid w:val="00A21567"/>
    <w:rsid w:val="00A36FAB"/>
    <w:rsid w:val="00A406E9"/>
    <w:rsid w:val="00A43986"/>
    <w:rsid w:val="00A550BF"/>
    <w:rsid w:val="00A55C7D"/>
    <w:rsid w:val="00A63E98"/>
    <w:rsid w:val="00A7297B"/>
    <w:rsid w:val="00A8253E"/>
    <w:rsid w:val="00A855A9"/>
    <w:rsid w:val="00A86E50"/>
    <w:rsid w:val="00A91983"/>
    <w:rsid w:val="00A963FF"/>
    <w:rsid w:val="00AA13CF"/>
    <w:rsid w:val="00AD07A5"/>
    <w:rsid w:val="00AE007E"/>
    <w:rsid w:val="00AE11FE"/>
    <w:rsid w:val="00AE6A51"/>
    <w:rsid w:val="00AF280F"/>
    <w:rsid w:val="00AF3EC7"/>
    <w:rsid w:val="00AF4CE6"/>
    <w:rsid w:val="00AF6CC0"/>
    <w:rsid w:val="00AF71DD"/>
    <w:rsid w:val="00B01C63"/>
    <w:rsid w:val="00B12D3C"/>
    <w:rsid w:val="00B20E34"/>
    <w:rsid w:val="00B228ED"/>
    <w:rsid w:val="00B50FA3"/>
    <w:rsid w:val="00B517EC"/>
    <w:rsid w:val="00B532F2"/>
    <w:rsid w:val="00B66159"/>
    <w:rsid w:val="00B779AD"/>
    <w:rsid w:val="00B84B09"/>
    <w:rsid w:val="00B9284B"/>
    <w:rsid w:val="00B955CB"/>
    <w:rsid w:val="00BB4B73"/>
    <w:rsid w:val="00BC4821"/>
    <w:rsid w:val="00BC6338"/>
    <w:rsid w:val="00BE63D2"/>
    <w:rsid w:val="00BF2A3F"/>
    <w:rsid w:val="00C0392D"/>
    <w:rsid w:val="00C152E5"/>
    <w:rsid w:val="00C23A7F"/>
    <w:rsid w:val="00C257F5"/>
    <w:rsid w:val="00C43ED0"/>
    <w:rsid w:val="00C5094F"/>
    <w:rsid w:val="00C53676"/>
    <w:rsid w:val="00C569AC"/>
    <w:rsid w:val="00C67D36"/>
    <w:rsid w:val="00C728F5"/>
    <w:rsid w:val="00C77916"/>
    <w:rsid w:val="00C81C22"/>
    <w:rsid w:val="00C944BD"/>
    <w:rsid w:val="00C97E24"/>
    <w:rsid w:val="00CA1AD8"/>
    <w:rsid w:val="00CA4BB6"/>
    <w:rsid w:val="00CB2D28"/>
    <w:rsid w:val="00CB6081"/>
    <w:rsid w:val="00CB77BF"/>
    <w:rsid w:val="00CB7952"/>
    <w:rsid w:val="00CC1BC8"/>
    <w:rsid w:val="00CD2D8D"/>
    <w:rsid w:val="00CE2D6F"/>
    <w:rsid w:val="00CF0093"/>
    <w:rsid w:val="00CF405D"/>
    <w:rsid w:val="00CF4EA2"/>
    <w:rsid w:val="00D15600"/>
    <w:rsid w:val="00D16211"/>
    <w:rsid w:val="00D2230F"/>
    <w:rsid w:val="00D24F12"/>
    <w:rsid w:val="00D32789"/>
    <w:rsid w:val="00D3294B"/>
    <w:rsid w:val="00D35879"/>
    <w:rsid w:val="00D373A6"/>
    <w:rsid w:val="00D376B5"/>
    <w:rsid w:val="00D41BDD"/>
    <w:rsid w:val="00D55150"/>
    <w:rsid w:val="00D6434D"/>
    <w:rsid w:val="00D65E5D"/>
    <w:rsid w:val="00D71D85"/>
    <w:rsid w:val="00D73A16"/>
    <w:rsid w:val="00D73E71"/>
    <w:rsid w:val="00D84530"/>
    <w:rsid w:val="00DA1ADC"/>
    <w:rsid w:val="00DA3611"/>
    <w:rsid w:val="00DA7140"/>
    <w:rsid w:val="00DC08EA"/>
    <w:rsid w:val="00DC40DF"/>
    <w:rsid w:val="00DD464D"/>
    <w:rsid w:val="00DD4C65"/>
    <w:rsid w:val="00DD6D87"/>
    <w:rsid w:val="00DD7DD1"/>
    <w:rsid w:val="00DF3090"/>
    <w:rsid w:val="00DF4B7B"/>
    <w:rsid w:val="00E00C0D"/>
    <w:rsid w:val="00E31468"/>
    <w:rsid w:val="00E36214"/>
    <w:rsid w:val="00E375A3"/>
    <w:rsid w:val="00E44747"/>
    <w:rsid w:val="00E45CAE"/>
    <w:rsid w:val="00E51EA6"/>
    <w:rsid w:val="00E608EB"/>
    <w:rsid w:val="00E62F47"/>
    <w:rsid w:val="00E70873"/>
    <w:rsid w:val="00E725FF"/>
    <w:rsid w:val="00E826D3"/>
    <w:rsid w:val="00EA0A3D"/>
    <w:rsid w:val="00EA29CA"/>
    <w:rsid w:val="00EB34AE"/>
    <w:rsid w:val="00EC1024"/>
    <w:rsid w:val="00EC2D15"/>
    <w:rsid w:val="00ED09C0"/>
    <w:rsid w:val="00ED5383"/>
    <w:rsid w:val="00ED7534"/>
    <w:rsid w:val="00EE281D"/>
    <w:rsid w:val="00EF1A57"/>
    <w:rsid w:val="00EF6F3E"/>
    <w:rsid w:val="00F15CF5"/>
    <w:rsid w:val="00F31807"/>
    <w:rsid w:val="00F32EBD"/>
    <w:rsid w:val="00F37314"/>
    <w:rsid w:val="00F44317"/>
    <w:rsid w:val="00F53627"/>
    <w:rsid w:val="00F5458A"/>
    <w:rsid w:val="00F55DEB"/>
    <w:rsid w:val="00F560D0"/>
    <w:rsid w:val="00F61373"/>
    <w:rsid w:val="00F645A1"/>
    <w:rsid w:val="00F743F7"/>
    <w:rsid w:val="00F75DE4"/>
    <w:rsid w:val="00F80F1F"/>
    <w:rsid w:val="00F9463E"/>
    <w:rsid w:val="00F97CF8"/>
    <w:rsid w:val="00FA2D23"/>
    <w:rsid w:val="00FA5B42"/>
    <w:rsid w:val="00FA681C"/>
    <w:rsid w:val="00FA7052"/>
    <w:rsid w:val="00FB6308"/>
    <w:rsid w:val="00FC3796"/>
    <w:rsid w:val="00FC4248"/>
    <w:rsid w:val="00FC6A68"/>
    <w:rsid w:val="00FE0209"/>
    <w:rsid w:val="00FE2C0D"/>
    <w:rsid w:val="00FE46D0"/>
    <w:rsid w:val="00FF1287"/>
    <w:rsid w:val="00FF2F24"/>
    <w:rsid w:val="00FF6893"/>
    <w:rsid w:val="04AB7661"/>
    <w:rsid w:val="05D91375"/>
    <w:rsid w:val="06476776"/>
    <w:rsid w:val="08637E84"/>
    <w:rsid w:val="0ACB174A"/>
    <w:rsid w:val="0D57218E"/>
    <w:rsid w:val="0ECA274B"/>
    <w:rsid w:val="0FFAA126"/>
    <w:rsid w:val="1FBF5987"/>
    <w:rsid w:val="28147F59"/>
    <w:rsid w:val="284A4C22"/>
    <w:rsid w:val="2CFDEC3D"/>
    <w:rsid w:val="2FF78ACD"/>
    <w:rsid w:val="3074164C"/>
    <w:rsid w:val="33183594"/>
    <w:rsid w:val="34379B27"/>
    <w:rsid w:val="3AA46AC4"/>
    <w:rsid w:val="3D04425A"/>
    <w:rsid w:val="3F307BA4"/>
    <w:rsid w:val="3FD8B744"/>
    <w:rsid w:val="3FFFE3D5"/>
    <w:rsid w:val="4A9E5A8E"/>
    <w:rsid w:val="4DA93FDF"/>
    <w:rsid w:val="4FB77C3C"/>
    <w:rsid w:val="555E2925"/>
    <w:rsid w:val="56D2DA67"/>
    <w:rsid w:val="5B002F90"/>
    <w:rsid w:val="5BBF1A8D"/>
    <w:rsid w:val="5D3B0420"/>
    <w:rsid w:val="5D9F79E0"/>
    <w:rsid w:val="5DBFE6CB"/>
    <w:rsid w:val="5EFB6B15"/>
    <w:rsid w:val="5F5DEEF0"/>
    <w:rsid w:val="5F7B0613"/>
    <w:rsid w:val="67F5AD5B"/>
    <w:rsid w:val="6BC749A9"/>
    <w:rsid w:val="6BFFC72E"/>
    <w:rsid w:val="6C7FD9C9"/>
    <w:rsid w:val="6D114917"/>
    <w:rsid w:val="6E364471"/>
    <w:rsid w:val="6FC9F4BB"/>
    <w:rsid w:val="6FEF5868"/>
    <w:rsid w:val="74BFF378"/>
    <w:rsid w:val="74D967D5"/>
    <w:rsid w:val="75DE663D"/>
    <w:rsid w:val="75FB23CF"/>
    <w:rsid w:val="7747C58A"/>
    <w:rsid w:val="7775E090"/>
    <w:rsid w:val="77FDC161"/>
    <w:rsid w:val="788A7D09"/>
    <w:rsid w:val="79F006D6"/>
    <w:rsid w:val="7A7F1594"/>
    <w:rsid w:val="7BEA5002"/>
    <w:rsid w:val="7BEFA79F"/>
    <w:rsid w:val="7BF55B1A"/>
    <w:rsid w:val="7CF3DF71"/>
    <w:rsid w:val="7CF76844"/>
    <w:rsid w:val="7D2439E5"/>
    <w:rsid w:val="7D500D30"/>
    <w:rsid w:val="7DBBA619"/>
    <w:rsid w:val="7DFF8764"/>
    <w:rsid w:val="7E774BE7"/>
    <w:rsid w:val="7EFD2AA6"/>
    <w:rsid w:val="7EFEB8FD"/>
    <w:rsid w:val="7FD165D7"/>
    <w:rsid w:val="7FFF23F9"/>
    <w:rsid w:val="8DAF712B"/>
    <w:rsid w:val="8DFD7E3C"/>
    <w:rsid w:val="8FF68B1A"/>
    <w:rsid w:val="9BE7792B"/>
    <w:rsid w:val="9EDCEB3E"/>
    <w:rsid w:val="ABFD0AD8"/>
    <w:rsid w:val="AF230823"/>
    <w:rsid w:val="AFF76641"/>
    <w:rsid w:val="BEFC0781"/>
    <w:rsid w:val="BF5FE6FA"/>
    <w:rsid w:val="BF7FCB72"/>
    <w:rsid w:val="BFCBECE1"/>
    <w:rsid w:val="BFDF593B"/>
    <w:rsid w:val="BFF6B921"/>
    <w:rsid w:val="C31F63CD"/>
    <w:rsid w:val="C7FF0A76"/>
    <w:rsid w:val="CBDD2878"/>
    <w:rsid w:val="CFDD797F"/>
    <w:rsid w:val="D78F1D07"/>
    <w:rsid w:val="D7ADD1FB"/>
    <w:rsid w:val="D7F1A469"/>
    <w:rsid w:val="DBF7FA46"/>
    <w:rsid w:val="DEDF7BEB"/>
    <w:rsid w:val="DF4F7E4B"/>
    <w:rsid w:val="DFBE0F0D"/>
    <w:rsid w:val="DFDE6D44"/>
    <w:rsid w:val="E3FF6071"/>
    <w:rsid w:val="E6D70A22"/>
    <w:rsid w:val="E6E64C1F"/>
    <w:rsid w:val="E7B92E4B"/>
    <w:rsid w:val="EA66F35A"/>
    <w:rsid w:val="EDF2FCDF"/>
    <w:rsid w:val="EEFBD0D8"/>
    <w:rsid w:val="EF8E1714"/>
    <w:rsid w:val="EFAB0267"/>
    <w:rsid w:val="EFBFA9A5"/>
    <w:rsid w:val="F2F53258"/>
    <w:rsid w:val="F677CB77"/>
    <w:rsid w:val="F7FFC0E2"/>
    <w:rsid w:val="FAF78EC6"/>
    <w:rsid w:val="FB6E436B"/>
    <w:rsid w:val="FBEE60A5"/>
    <w:rsid w:val="FD5FE2C3"/>
    <w:rsid w:val="FD7FE3EB"/>
    <w:rsid w:val="FDE732DF"/>
    <w:rsid w:val="FDFD932C"/>
    <w:rsid w:val="FE9F133B"/>
    <w:rsid w:val="FEBF9A18"/>
    <w:rsid w:val="FEEE081C"/>
    <w:rsid w:val="FEFDFE82"/>
    <w:rsid w:val="FF6F38E2"/>
    <w:rsid w:val="FF8D0D1C"/>
    <w:rsid w:val="FFA31837"/>
    <w:rsid w:val="FFA7FD1E"/>
    <w:rsid w:val="FFAA6C34"/>
    <w:rsid w:val="FFAC12CF"/>
    <w:rsid w:val="FFBF1ABA"/>
    <w:rsid w:val="FFCF78C5"/>
    <w:rsid w:val="FFDB1096"/>
    <w:rsid w:val="FFEFB19B"/>
    <w:rsid w:val="FFEFF2D9"/>
    <w:rsid w:val="FFF2D8D2"/>
    <w:rsid w:val="FFFB5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link w:val="27"/>
    <w:qFormat/>
    <w:uiPriority w:val="0"/>
    <w:pPr>
      <w:keepNext/>
      <w:keepLines/>
      <w:numPr>
        <w:ilvl w:val="0"/>
        <w:numId w:val="1"/>
      </w:numPr>
      <w:tabs>
        <w:tab w:val="left" w:pos="706"/>
      </w:tabs>
      <w:spacing w:line="360" w:lineRule="auto"/>
      <w:outlineLvl w:val="1"/>
    </w:pPr>
    <w:rPr>
      <w:rFonts w:ascii="Arial" w:hAnsi="Arial" w:eastAsia="??" w:cs="Arial"/>
      <w:b/>
      <w:bCs/>
      <w:szCs w:val="32"/>
    </w:rPr>
  </w:style>
  <w:style w:type="paragraph" w:styleId="4">
    <w:name w:val="heading 3"/>
    <w:basedOn w:val="1"/>
    <w:next w:val="1"/>
    <w:link w:val="45"/>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50"/>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48"/>
    <w:autoRedefine/>
    <w:semiHidden/>
    <w:unhideWhenUsed/>
    <w:qFormat/>
    <w:uiPriority w:val="0"/>
    <w:pPr>
      <w:keepNext/>
      <w:keepLines/>
      <w:spacing w:before="280" w:after="290" w:line="376" w:lineRule="auto"/>
      <w:outlineLvl w:val="4"/>
    </w:pPr>
    <w:rPr>
      <w:b/>
      <w:bCs/>
      <w:sz w:val="28"/>
      <w:szCs w:val="28"/>
    </w:rPr>
  </w:style>
  <w:style w:type="character" w:default="1" w:styleId="21">
    <w:name w:val="Default Paragraph Font"/>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next w:val="1"/>
    <w:link w:val="44"/>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8">
    <w:name w:val="annotation text"/>
    <w:basedOn w:val="1"/>
    <w:link w:val="59"/>
    <w:unhideWhenUsed/>
    <w:qFormat/>
    <w:uiPriority w:val="0"/>
    <w:pPr>
      <w:jc w:val="left"/>
    </w:pPr>
  </w:style>
  <w:style w:type="paragraph" w:styleId="9">
    <w:name w:val="Body Text"/>
    <w:basedOn w:val="1"/>
    <w:link w:val="41"/>
    <w:semiHidden/>
    <w:unhideWhenUsed/>
    <w:qFormat/>
    <w:uiPriority w:val="0"/>
    <w:pPr>
      <w:spacing w:after="120"/>
    </w:pPr>
  </w:style>
  <w:style w:type="paragraph" w:styleId="10">
    <w:name w:val="Body Text Indent"/>
    <w:basedOn w:val="1"/>
    <w:next w:val="1"/>
    <w:link w:val="28"/>
    <w:qFormat/>
    <w:uiPriority w:val="0"/>
    <w:pPr>
      <w:spacing w:line="480" w:lineRule="atLeast"/>
      <w:ind w:firstLine="570"/>
    </w:pPr>
    <w:rPr>
      <w:rFonts w:ascii="??" w:hAnsi="??" w:eastAsia="??"/>
      <w:sz w:val="28"/>
      <w:szCs w:val="28"/>
    </w:rPr>
  </w:style>
  <w:style w:type="paragraph" w:styleId="11">
    <w:name w:val="Plain Text"/>
    <w:basedOn w:val="1"/>
    <w:link w:val="40"/>
    <w:qFormat/>
    <w:uiPriority w:val="0"/>
    <w:pPr>
      <w:adjustRightInd w:val="0"/>
    </w:pPr>
    <w:rPr>
      <w:rFonts w:ascii="宋体" w:hAnsi="Courier New" w:cs="Arial"/>
      <w:snapToGrid w:val="0"/>
      <w:szCs w:val="21"/>
    </w:rPr>
  </w:style>
  <w:style w:type="paragraph" w:styleId="12">
    <w:name w:val="Date"/>
    <w:basedOn w:val="1"/>
    <w:next w:val="1"/>
    <w:qFormat/>
    <w:uiPriority w:val="0"/>
    <w:pPr>
      <w:ind w:left="100" w:leftChars="2500"/>
    </w:pPr>
  </w:style>
  <w:style w:type="paragraph" w:styleId="13">
    <w:name w:val="Balloon Text"/>
    <w:basedOn w:val="1"/>
    <w:semiHidden/>
    <w:qFormat/>
    <w:uiPriority w:val="0"/>
    <w:rPr>
      <w:sz w:val="18"/>
      <w:szCs w:val="18"/>
    </w:rPr>
  </w:style>
  <w:style w:type="paragraph" w:styleId="14">
    <w:name w:val="footer"/>
    <w:basedOn w:val="1"/>
    <w:link w:val="25"/>
    <w:qFormat/>
    <w:uiPriority w:val="99"/>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style>
  <w:style w:type="paragraph" w:styleId="17">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8">
    <w:name w:val="Normal (Web)"/>
    <w:basedOn w:val="1"/>
    <w:qFormat/>
    <w:uiPriority w:val="99"/>
    <w:pPr>
      <w:widowControl/>
      <w:suppressAutoHyphens/>
      <w:spacing w:before="100" w:beforeAutospacing="1" w:after="100" w:afterAutospacing="1"/>
      <w:jc w:val="left"/>
    </w:pPr>
    <w:rPr>
      <w:rFonts w:ascii="??" w:hAnsi="??" w:eastAsia="??" w:cs="宋体"/>
      <w:kern w:val="0"/>
      <w:sz w:val="24"/>
    </w:rPr>
  </w:style>
  <w:style w:type="table" w:styleId="20">
    <w:name w:val="Table Grid"/>
    <w:basedOn w:val="19"/>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2">
    <w:name w:val="Strong"/>
    <w:basedOn w:val="21"/>
    <w:qFormat/>
    <w:uiPriority w:val="22"/>
    <w:rPr>
      <w:b/>
      <w:bCs/>
    </w:rPr>
  </w:style>
  <w:style w:type="character" w:styleId="23">
    <w:name w:val="page number"/>
    <w:qFormat/>
    <w:uiPriority w:val="0"/>
  </w:style>
  <w:style w:type="character" w:styleId="24">
    <w:name w:val="annotation reference"/>
    <w:basedOn w:val="21"/>
    <w:unhideWhenUsed/>
    <w:qFormat/>
    <w:uiPriority w:val="0"/>
    <w:rPr>
      <w:sz w:val="21"/>
      <w:szCs w:val="21"/>
    </w:rPr>
  </w:style>
  <w:style w:type="character" w:customStyle="1" w:styleId="25">
    <w:name w:val="页脚 字符"/>
    <w:link w:val="14"/>
    <w:qFormat/>
    <w:uiPriority w:val="99"/>
    <w:rPr>
      <w:kern w:val="2"/>
      <w:sz w:val="18"/>
      <w:szCs w:val="18"/>
    </w:rPr>
  </w:style>
  <w:style w:type="character" w:customStyle="1" w:styleId="26">
    <w:name w:val="页脚 Char"/>
    <w:qFormat/>
    <w:uiPriority w:val="99"/>
    <w:rPr>
      <w:rFonts w:eastAsia="Calibri"/>
      <w:sz w:val="21"/>
    </w:rPr>
  </w:style>
  <w:style w:type="character" w:customStyle="1" w:styleId="27">
    <w:name w:val="标题 2 字符"/>
    <w:basedOn w:val="21"/>
    <w:link w:val="3"/>
    <w:qFormat/>
    <w:uiPriority w:val="0"/>
    <w:rPr>
      <w:rFonts w:ascii="Arial" w:hAnsi="Arial" w:eastAsia="??" w:cs="Arial"/>
      <w:b/>
      <w:bCs/>
      <w:kern w:val="2"/>
      <w:sz w:val="21"/>
      <w:szCs w:val="32"/>
    </w:rPr>
  </w:style>
  <w:style w:type="character" w:customStyle="1" w:styleId="28">
    <w:name w:val="正文文本缩进 字符"/>
    <w:basedOn w:val="21"/>
    <w:link w:val="10"/>
    <w:qFormat/>
    <w:uiPriority w:val="0"/>
    <w:rPr>
      <w:rFonts w:ascii="??" w:hAnsi="??" w:eastAsia="??"/>
      <w:kern w:val="2"/>
      <w:sz w:val="28"/>
      <w:szCs w:val="28"/>
    </w:rPr>
  </w:style>
  <w:style w:type="character" w:customStyle="1" w:styleId="29">
    <w:name w:val="正文2 Char Char"/>
    <w:link w:val="30"/>
    <w:qFormat/>
    <w:uiPriority w:val="0"/>
    <w:rPr>
      <w:kern w:val="2"/>
      <w:sz w:val="24"/>
    </w:rPr>
  </w:style>
  <w:style w:type="paragraph" w:customStyle="1" w:styleId="30">
    <w:name w:val="正文2"/>
    <w:basedOn w:val="1"/>
    <w:link w:val="29"/>
    <w:qFormat/>
    <w:uiPriority w:val="0"/>
    <w:pPr>
      <w:adjustRightInd w:val="0"/>
      <w:spacing w:before="156" w:line="360" w:lineRule="auto"/>
      <w:ind w:firstLine="510" w:firstLineChars="200"/>
    </w:pPr>
    <w:rPr>
      <w:sz w:val="24"/>
      <w:szCs w:val="20"/>
    </w:rPr>
  </w:style>
  <w:style w:type="character" w:customStyle="1" w:styleId="31">
    <w:name w:val="列表段落 字符"/>
    <w:link w:val="32"/>
    <w:qFormat/>
    <w:uiPriority w:val="0"/>
  </w:style>
  <w:style w:type="paragraph" w:styleId="32">
    <w:name w:val="List Paragraph"/>
    <w:basedOn w:val="1"/>
    <w:link w:val="31"/>
    <w:qFormat/>
    <w:uiPriority w:val="0"/>
    <w:pPr>
      <w:widowControl/>
      <w:ind w:firstLine="200" w:firstLineChars="200"/>
      <w:jc w:val="left"/>
    </w:pPr>
    <w:rPr>
      <w:kern w:val="0"/>
      <w:sz w:val="20"/>
      <w:szCs w:val="20"/>
    </w:rPr>
  </w:style>
  <w:style w:type="paragraph" w:customStyle="1" w:styleId="33">
    <w:name w:val="_正文"/>
    <w:basedOn w:val="1"/>
    <w:link w:val="34"/>
    <w:qFormat/>
    <w:uiPriority w:val="0"/>
    <w:pPr>
      <w:tabs>
        <w:tab w:val="left" w:pos="840"/>
      </w:tabs>
      <w:spacing w:line="360" w:lineRule="auto"/>
      <w:ind w:firstLine="200" w:firstLineChars="200"/>
    </w:pPr>
    <w:rPr>
      <w:sz w:val="24"/>
    </w:rPr>
  </w:style>
  <w:style w:type="character" w:customStyle="1" w:styleId="34">
    <w:name w:val="_正文 Char"/>
    <w:link w:val="33"/>
    <w:qFormat/>
    <w:uiPriority w:val="0"/>
    <w:rPr>
      <w:kern w:val="2"/>
      <w:sz w:val="24"/>
      <w:szCs w:val="24"/>
    </w:rPr>
  </w:style>
  <w:style w:type="character" w:customStyle="1" w:styleId="35">
    <w:name w:val="正文（上会） 字符"/>
    <w:link w:val="36"/>
    <w:qFormat/>
    <w:uiPriority w:val="0"/>
    <w:rPr>
      <w:rFonts w:ascii="仿宋_GB2312" w:hAnsi="仿宋_GB2312" w:eastAsia="仿宋_GB2312" w:cs="仿宋_GB2312"/>
      <w:kern w:val="2"/>
      <w:sz w:val="32"/>
      <w:szCs w:val="32"/>
    </w:rPr>
  </w:style>
  <w:style w:type="paragraph" w:customStyle="1" w:styleId="36">
    <w:name w:val="正文（上会）"/>
    <w:basedOn w:val="1"/>
    <w:link w:val="35"/>
    <w:qFormat/>
    <w:uiPriority w:val="0"/>
    <w:pPr>
      <w:spacing w:line="336" w:lineRule="auto"/>
      <w:ind w:firstLine="200" w:firstLineChars="200"/>
    </w:pPr>
    <w:rPr>
      <w:rFonts w:ascii="仿宋_GB2312" w:hAnsi="仿宋_GB2312" w:eastAsia="仿宋_GB2312" w:cs="仿宋_GB2312"/>
      <w:sz w:val="32"/>
      <w:szCs w:val="32"/>
    </w:rPr>
  </w:style>
  <w:style w:type="character" w:customStyle="1" w:styleId="37">
    <w:name w:val="No Spacing Char"/>
    <w:link w:val="38"/>
    <w:qFormat/>
    <w:uiPriority w:val="1"/>
    <w:rPr>
      <w:sz w:val="22"/>
      <w:szCs w:val="22"/>
    </w:rPr>
  </w:style>
  <w:style w:type="paragraph" w:customStyle="1" w:styleId="38">
    <w:name w:val="无间隔1"/>
    <w:link w:val="37"/>
    <w:qFormat/>
    <w:uiPriority w:val="99"/>
    <w:rPr>
      <w:rFonts w:ascii="Times New Roman" w:hAnsi="Times New Roman" w:eastAsia="宋体" w:cs="Times New Roman"/>
      <w:sz w:val="22"/>
      <w:szCs w:val="22"/>
      <w:lang w:val="en-US" w:eastAsia="zh-CN" w:bidi="ar-SA"/>
    </w:rPr>
  </w:style>
  <w:style w:type="character" w:customStyle="1" w:styleId="39">
    <w:name w:val="纯文本 字符"/>
    <w:basedOn w:val="21"/>
    <w:semiHidden/>
    <w:qFormat/>
    <w:uiPriority w:val="0"/>
    <w:rPr>
      <w:rFonts w:hAnsi="Courier New" w:cs="Courier New" w:asciiTheme="minorEastAsia" w:eastAsiaTheme="minorEastAsia"/>
      <w:kern w:val="2"/>
      <w:sz w:val="21"/>
      <w:szCs w:val="24"/>
    </w:rPr>
  </w:style>
  <w:style w:type="character" w:customStyle="1" w:styleId="40">
    <w:name w:val="纯文本 字符1"/>
    <w:link w:val="11"/>
    <w:qFormat/>
    <w:uiPriority w:val="0"/>
    <w:rPr>
      <w:rFonts w:ascii="宋体" w:hAnsi="Courier New" w:cs="Arial"/>
      <w:snapToGrid w:val="0"/>
      <w:kern w:val="2"/>
      <w:sz w:val="21"/>
      <w:szCs w:val="21"/>
    </w:rPr>
  </w:style>
  <w:style w:type="character" w:customStyle="1" w:styleId="41">
    <w:name w:val="正文文本 字符"/>
    <w:basedOn w:val="21"/>
    <w:link w:val="9"/>
    <w:semiHidden/>
    <w:qFormat/>
    <w:uiPriority w:val="0"/>
    <w:rPr>
      <w:kern w:val="2"/>
      <w:sz w:val="21"/>
      <w:szCs w:val="24"/>
    </w:rPr>
  </w:style>
  <w:style w:type="paragraph" w:customStyle="1" w:styleId="42">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43">
    <w:name w:val="jd-正文1"/>
    <w:basedOn w:val="1"/>
    <w:qFormat/>
    <w:uiPriority w:val="0"/>
    <w:pPr>
      <w:widowControl/>
      <w:spacing w:line="360" w:lineRule="auto"/>
      <w:ind w:firstLine="482" w:firstLineChars="200"/>
    </w:pPr>
    <w:rPr>
      <w:rFonts w:ascii="宋体" w:hAnsi="宋体" w:cs="宋体"/>
      <w:sz w:val="24"/>
      <w:szCs w:val="20"/>
    </w:rPr>
  </w:style>
  <w:style w:type="character" w:customStyle="1" w:styleId="44">
    <w:name w:val="正文缩进 字符"/>
    <w:link w:val="7"/>
    <w:autoRedefine/>
    <w:qFormat/>
    <w:uiPriority w:val="0"/>
    <w:rPr>
      <w:rFonts w:ascii="宋体"/>
      <w:snapToGrid w:val="0"/>
      <w:color w:val="000000"/>
      <w:kern w:val="28"/>
      <w:sz w:val="28"/>
    </w:rPr>
  </w:style>
  <w:style w:type="character" w:customStyle="1" w:styleId="45">
    <w:name w:val="标题 3 字符"/>
    <w:basedOn w:val="21"/>
    <w:link w:val="4"/>
    <w:semiHidden/>
    <w:qFormat/>
    <w:uiPriority w:val="0"/>
    <w:rPr>
      <w:b/>
      <w:bCs/>
      <w:kern w:val="2"/>
      <w:sz w:val="32"/>
      <w:szCs w:val="32"/>
    </w:rPr>
  </w:style>
  <w:style w:type="paragraph" w:customStyle="1" w:styleId="46">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47">
    <w:name w:val="亚运 5级标题"/>
    <w:basedOn w:val="6"/>
    <w:qFormat/>
    <w:uiPriority w:val="0"/>
    <w:pPr>
      <w:numPr>
        <w:ilvl w:val="4"/>
        <w:numId w:val="2"/>
      </w:numPr>
      <w:tabs>
        <w:tab w:val="left" w:pos="840"/>
        <w:tab w:val="left" w:pos="2409"/>
        <w:tab w:val="clear" w:pos="2380"/>
      </w:tabs>
      <w:adjustRightInd w:val="0"/>
      <w:spacing w:before="0" w:after="0" w:line="360" w:lineRule="auto"/>
      <w:ind w:left="2409"/>
      <w:textAlignment w:val="baseline"/>
    </w:pPr>
    <w:rPr>
      <w:rFonts w:ascii="宋体" w:hAnsi="宋体"/>
      <w:color w:val="000000"/>
      <w:sz w:val="24"/>
    </w:rPr>
  </w:style>
  <w:style w:type="character" w:customStyle="1" w:styleId="48">
    <w:name w:val="标题 5 字符"/>
    <w:basedOn w:val="21"/>
    <w:link w:val="6"/>
    <w:semiHidden/>
    <w:qFormat/>
    <w:uiPriority w:val="0"/>
    <w:rPr>
      <w:b/>
      <w:bCs/>
      <w:kern w:val="2"/>
      <w:sz w:val="28"/>
      <w:szCs w:val="28"/>
    </w:rPr>
  </w:style>
  <w:style w:type="character" w:customStyle="1" w:styleId="49">
    <w:name w:val="正文2 Char"/>
    <w:qFormat/>
    <w:locked/>
    <w:uiPriority w:val="0"/>
    <w:rPr>
      <w:rFonts w:eastAsia="??"/>
      <w:kern w:val="2"/>
      <w:sz w:val="24"/>
      <w:szCs w:val="28"/>
    </w:rPr>
  </w:style>
  <w:style w:type="character" w:customStyle="1" w:styleId="50">
    <w:name w:val="标题 4 字符"/>
    <w:basedOn w:val="21"/>
    <w:link w:val="5"/>
    <w:qFormat/>
    <w:uiPriority w:val="0"/>
    <w:rPr>
      <w:rFonts w:asciiTheme="majorHAnsi" w:hAnsiTheme="majorHAnsi" w:eastAsiaTheme="majorEastAsia" w:cstheme="majorBidi"/>
      <w:b/>
      <w:bCs/>
      <w:kern w:val="2"/>
      <w:sz w:val="28"/>
      <w:szCs w:val="28"/>
    </w:rPr>
  </w:style>
  <w:style w:type="paragraph" w:customStyle="1" w:styleId="51">
    <w:name w:val="正文11"/>
    <w:autoRedefine/>
    <w:qFormat/>
    <w:uiPriority w:val="0"/>
    <w:rPr>
      <w:rFonts w:ascii="PingFang SC Regular" w:hAnsi="PingFang SC Regular" w:eastAsia="Arial Unicode MS" w:cs="Arial Unicode MS"/>
      <w:color w:val="000000"/>
      <w:sz w:val="22"/>
      <w:szCs w:val="22"/>
      <w:lang w:val="en-US" w:eastAsia="zh-CN" w:bidi="ar-SA"/>
    </w:rPr>
  </w:style>
  <w:style w:type="paragraph" w:customStyle="1" w:styleId="52">
    <w:name w:val="正文1"/>
    <w:autoRedefine/>
    <w:qFormat/>
    <w:uiPriority w:val="0"/>
    <w:rPr>
      <w:rFonts w:hint="eastAsia" w:ascii="Arial Unicode MS" w:hAnsi="Arial Unicode MS" w:eastAsia="Arial Unicode MS" w:cs="Arial Unicode MS"/>
      <w:color w:val="000000"/>
      <w:sz w:val="22"/>
      <w:szCs w:val="22"/>
      <w:u w:color="000000"/>
      <w:lang w:val="zh-TW" w:eastAsia="zh-TW" w:bidi="ar-SA"/>
    </w:rPr>
  </w:style>
  <w:style w:type="paragraph" w:customStyle="1" w:styleId="53">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54">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55">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6">
    <w:name w:val="二级条标题"/>
    <w:basedOn w:val="57"/>
    <w:next w:val="55"/>
    <w:autoRedefine/>
    <w:qFormat/>
    <w:uiPriority w:val="99"/>
    <w:pPr>
      <w:tabs>
        <w:tab w:val="left" w:pos="1260"/>
        <w:tab w:val="left" w:pos="1680"/>
        <w:tab w:val="left" w:pos="2100"/>
      </w:tabs>
      <w:ind w:left="0"/>
      <w:outlineLvl w:val="3"/>
    </w:pPr>
  </w:style>
  <w:style w:type="paragraph" w:customStyle="1" w:styleId="57">
    <w:name w:val="一级条标题"/>
    <w:basedOn w:val="1"/>
    <w:next w:val="55"/>
    <w:qFormat/>
    <w:uiPriority w:val="99"/>
    <w:pPr>
      <w:widowControl/>
      <w:tabs>
        <w:tab w:val="left" w:pos="1260"/>
        <w:tab w:val="left" w:pos="1680"/>
      </w:tabs>
      <w:ind w:left="1680" w:hanging="420"/>
      <w:outlineLvl w:val="2"/>
    </w:pPr>
    <w:rPr>
      <w:rFonts w:ascii="黑体" w:eastAsia="黑体"/>
      <w:kern w:val="0"/>
      <w:szCs w:val="20"/>
    </w:rPr>
  </w:style>
  <w:style w:type="paragraph" w:customStyle="1" w:styleId="58">
    <w:name w:val="标准小三"/>
    <w:basedOn w:val="1"/>
    <w:qFormat/>
    <w:uiPriority w:val="0"/>
    <w:pPr>
      <w:widowControl/>
      <w:numPr>
        <w:ilvl w:val="0"/>
        <w:numId w:val="3"/>
      </w:numPr>
      <w:spacing w:line="700" w:lineRule="exact"/>
      <w:ind w:left="0" w:firstLine="200" w:firstLineChars="200"/>
      <w:jc w:val="left"/>
    </w:pPr>
    <w:rPr>
      <w:rFonts w:ascii="宋体" w:hAnsi="Arial" w:eastAsia="仿宋_GB2312" w:cs="宋体"/>
      <w:snapToGrid w:val="0"/>
      <w:kern w:val="0"/>
      <w:sz w:val="30"/>
      <w:szCs w:val="32"/>
    </w:rPr>
  </w:style>
  <w:style w:type="character" w:customStyle="1" w:styleId="59">
    <w:name w:val="批注文字 字符"/>
    <w:link w:val="8"/>
    <w:qFormat/>
    <w:uiPriority w:val="0"/>
    <w:rPr>
      <w:kern w:val="2"/>
      <w:sz w:val="21"/>
      <w:szCs w:val="24"/>
    </w:rPr>
  </w:style>
  <w:style w:type="paragraph" w:customStyle="1" w:styleId="60">
    <w:name w:val="表格文字"/>
    <w:basedOn w:val="1"/>
    <w:next w:val="9"/>
    <w:qFormat/>
    <w:uiPriority w:val="0"/>
    <w:pPr>
      <w:ind w:firstLine="200" w:firstLineChars="200"/>
    </w:pPr>
    <w:rPr>
      <w:rFonts w:ascii="Arial" w:hAnsi="Arial"/>
      <w:spacing w:val="-5"/>
      <w:kern w:val="0"/>
      <w:sz w:val="24"/>
      <w:szCs w:val="20"/>
    </w:rPr>
  </w:style>
  <w:style w:type="paragraph" w:customStyle="1" w:styleId="61">
    <w:name w:val="Table Paragraph"/>
    <w:basedOn w:val="1"/>
    <w:qFormat/>
    <w:uiPriority w:val="0"/>
    <w:pPr>
      <w:adjustRightInd/>
      <w:jc w:val="left"/>
    </w:pPr>
    <w:rPr>
      <w:rFonts w:ascii="Calibri" w:hAnsi="Calibri"/>
      <w:kern w:val="0"/>
      <w:sz w:val="22"/>
      <w:szCs w:val="22"/>
      <w:lang w:eastAsia="en-US"/>
    </w:rPr>
  </w:style>
  <w:style w:type="character" w:customStyle="1" w:styleId="62">
    <w:name w:val="font01"/>
    <w:basedOn w:val="21"/>
    <w:autoRedefine/>
    <w:qFormat/>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MC SYSTEM</Company>
  <Pages>13</Pages>
  <Words>7221</Words>
  <Characters>7992</Characters>
  <Lines>139</Lines>
  <Paragraphs>39</Paragraphs>
  <TotalTime>0</TotalTime>
  <ScaleCrop>false</ScaleCrop>
  <LinksUpToDate>false</LinksUpToDate>
  <CharactersWithSpaces>9285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2022-04-18T09:11:00Z</dcterms:created>
  <dc:creator>MC SYSTEM</dc:creator>
  <cp:lastModifiedBy>王小廷</cp:lastModifiedBy>
  <cp:lastPrinted>2022-07-22T06:54:00Z</cp:lastPrinted>
  <dcterms:modified xsi:type="dcterms:W3CDTF">2024-11-18T08:48:20Z</dcterms:modified>
  <dc:title>厦财采〔2021〕9号</dc:title>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D0A3DE0EF589466D96BF32C6F52629CB_13</vt:lpwstr>
  </property>
</Properties>
</file>