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30901">
      <w:pPr>
        <w:spacing w:line="360" w:lineRule="auto"/>
        <w:jc w:val="center"/>
        <w:rPr>
          <w:rFonts w:ascii="方正小标宋简体" w:hAnsi="方正小标宋简体" w:eastAsia="方正小标宋简体" w:cs="宋体"/>
          <w:sz w:val="44"/>
          <w:szCs w:val="44"/>
          <w:u w:val="single"/>
        </w:rPr>
      </w:pPr>
      <w:bookmarkStart w:id="0" w:name="_Toc20384570"/>
      <w:r>
        <w:rPr>
          <w:rFonts w:ascii="黑体" w:hAnsi="黑体" w:eastAsia="黑体" w:cs="宋体"/>
          <w:sz w:val="32"/>
          <w:szCs w:val="32"/>
        </w:rPr>
        <w:t xml:space="preserve"> </w:t>
      </w:r>
    </w:p>
    <w:p w14:paraId="1B427210">
      <w:pPr>
        <w:spacing w:line="360" w:lineRule="auto"/>
        <w:jc w:val="center"/>
        <w:rPr>
          <w:rFonts w:ascii="方正小标宋简体" w:hAnsi="方正小标宋简体" w:eastAsia="方正小标宋简体" w:cs="宋体"/>
          <w:sz w:val="48"/>
          <w:szCs w:val="48"/>
        </w:rPr>
      </w:pPr>
    </w:p>
    <w:p w14:paraId="0822BEED">
      <w:pPr>
        <w:spacing w:line="360" w:lineRule="auto"/>
        <w:jc w:val="center"/>
        <w:rPr>
          <w:rFonts w:ascii="方正小标宋简体" w:hAnsi="方正小标宋简体" w:eastAsia="方正小标宋简体" w:cs="宋体"/>
          <w:sz w:val="48"/>
          <w:szCs w:val="48"/>
        </w:rPr>
      </w:pPr>
    </w:p>
    <w:p w14:paraId="3E7A9353">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1B09342E">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2D2EF679">
      <w:pPr>
        <w:spacing w:line="360" w:lineRule="auto"/>
        <w:jc w:val="center"/>
        <w:rPr>
          <w:rFonts w:ascii="仿宋_GB2312" w:hAnsi="仿宋_GB2312" w:eastAsia="仿宋_GB2312" w:cs="仿宋_GB2312"/>
          <w:sz w:val="32"/>
          <w:szCs w:val="32"/>
        </w:rPr>
      </w:pPr>
    </w:p>
    <w:p w14:paraId="39164CD8">
      <w:pPr>
        <w:spacing w:line="360" w:lineRule="auto"/>
        <w:jc w:val="center"/>
        <w:rPr>
          <w:rFonts w:ascii="方正小标宋简体" w:hAnsi="方正小标宋简体" w:eastAsia="方正小标宋简体"/>
          <w:sz w:val="44"/>
          <w:szCs w:val="44"/>
        </w:rPr>
      </w:pPr>
    </w:p>
    <w:p w14:paraId="7155CE8E">
      <w:pPr>
        <w:spacing w:line="360" w:lineRule="auto"/>
        <w:jc w:val="center"/>
        <w:rPr>
          <w:rFonts w:ascii="方正小标宋简体" w:hAnsi="方正小标宋简体" w:eastAsia="方正小标宋简体"/>
          <w:sz w:val="44"/>
          <w:szCs w:val="44"/>
        </w:rPr>
      </w:pPr>
    </w:p>
    <w:p w14:paraId="2782D82F">
      <w:pPr>
        <w:spacing w:line="360" w:lineRule="auto"/>
        <w:jc w:val="center"/>
        <w:rPr>
          <w:rFonts w:ascii="方正小标宋简体" w:hAnsi="方正小标宋简体" w:eastAsia="方正小标宋简体"/>
          <w:sz w:val="44"/>
          <w:szCs w:val="44"/>
        </w:rPr>
      </w:pPr>
    </w:p>
    <w:p w14:paraId="14FECBF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lang w:eastAsia="zh-CN"/>
        </w:rPr>
        <w:t>杭州市余杭区人民政府仁和街道办事处</w:t>
      </w:r>
    </w:p>
    <w:p w14:paraId="318F747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hint="eastAsia" w:ascii="方正小标宋简体" w:hAnsi="方正小标宋简体" w:eastAsia="方正小标宋简体"/>
          <w:sz w:val="28"/>
          <w:szCs w:val="28"/>
          <w:u w:val="single"/>
          <w:lang w:eastAsia="zh-CN"/>
        </w:rPr>
        <w:t>云会中学（仁和二中）新建项目电梯采购项目</w:t>
      </w:r>
    </w:p>
    <w:p w14:paraId="39CE691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lang w:eastAsia="zh-CN"/>
        </w:rPr>
        <w:t>杭州市余杭区人民政府仁和街道办事处</w:t>
      </w:r>
    </w:p>
    <w:p w14:paraId="4D5A52D8">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5月15日</w:t>
      </w:r>
    </w:p>
    <w:p w14:paraId="06880D93">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4D7E60A5">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180EA7A4">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712FFF7E">
      <w:pPr>
        <w:spacing w:line="360" w:lineRule="auto"/>
        <w:jc w:val="left"/>
        <w:rPr>
          <w:rFonts w:ascii="宋体" w:cs="仿宋_GB2312"/>
          <w:sz w:val="24"/>
        </w:rPr>
      </w:pPr>
      <w:r>
        <w:rPr>
          <w:rFonts w:hint="eastAsia" w:ascii="宋体" w:hAnsi="宋体" w:cs="仿宋_GB2312"/>
          <w:sz w:val="24"/>
        </w:rPr>
        <w:t>（三）需求调查方式</w:t>
      </w:r>
    </w:p>
    <w:p w14:paraId="462CBDD7">
      <w:pPr>
        <w:spacing w:line="360" w:lineRule="auto"/>
        <w:ind w:firstLine="420"/>
        <w:jc w:val="left"/>
        <w:rPr>
          <w:rFonts w:ascii="宋体" w:hAnsi="宋体" w:cs="仿宋_GB2312"/>
          <w:sz w:val="24"/>
        </w:rPr>
      </w:pPr>
      <w:r>
        <w:rPr>
          <w:rFonts w:hint="eastAsia" w:ascii="宋体" w:hAnsi="Wingdings 2" w:cs="仿宋_GB2312"/>
          <w:sz w:val="24"/>
        </w:rPr>
        <w:sym w:font="Wingdings 2" w:char="F0A3"/>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hint="eastAsia" w:ascii="宋体" w:hAnsi="Wingdings 2" w:cs="仿宋_GB2312"/>
          <w:sz w:val="24"/>
        </w:rPr>
        <w:sym w:font="Wingdings 2" w:char="0052"/>
      </w:r>
      <w:r>
        <w:rPr>
          <w:rFonts w:hint="eastAsia" w:ascii="宋体" w:hAnsi="宋体" w:cs="仿宋_GB2312"/>
          <w:sz w:val="24"/>
        </w:rPr>
        <w:t>其他方式（</w:t>
      </w:r>
      <w:r>
        <w:rPr>
          <w:rFonts w:hint="eastAsia" w:ascii="宋体" w:hAnsi="宋体" w:cs="仿宋_GB2312"/>
          <w:sz w:val="24"/>
          <w:u w:val="single"/>
        </w:rPr>
        <w:t>市场查询</w:t>
      </w:r>
      <w:r>
        <w:rPr>
          <w:rFonts w:hint="eastAsia" w:ascii="宋体" w:hAnsi="宋体" w:cs="仿宋_GB2312"/>
          <w:sz w:val="24"/>
        </w:rPr>
        <w:t>）</w:t>
      </w:r>
      <w:r>
        <w:rPr>
          <w:rFonts w:ascii="宋体" w:hAnsi="宋体" w:cs="仿宋_GB2312"/>
          <w:sz w:val="24"/>
        </w:rPr>
        <w:t xml:space="preserve">                        </w:t>
      </w:r>
    </w:p>
    <w:p w14:paraId="0068DF8B">
      <w:pPr>
        <w:spacing w:line="360" w:lineRule="auto"/>
        <w:ind w:firstLine="420"/>
        <w:jc w:val="left"/>
        <w:rPr>
          <w:rFonts w:ascii="宋体" w:cs="仿宋_GB2312"/>
          <w:sz w:val="24"/>
        </w:rPr>
      </w:pPr>
      <w:r>
        <w:rPr>
          <w:rFonts w:hint="eastAsia" w:ascii="宋体" w:hAnsi="宋体" w:cs="仿宋_GB2312"/>
          <w:sz w:val="24"/>
        </w:rPr>
        <w:t>（四）需求调查对象</w:t>
      </w:r>
    </w:p>
    <w:p w14:paraId="4E377E92">
      <w:pPr>
        <w:spacing w:line="360" w:lineRule="auto"/>
        <w:ind w:firstLine="480" w:firstLineChars="200"/>
        <w:jc w:val="left"/>
        <w:rPr>
          <w:rFonts w:ascii="宋体" w:hAnsi="宋体" w:cs="仿宋_GB2312"/>
          <w:sz w:val="24"/>
          <w:u w:val="single"/>
        </w:rPr>
      </w:pPr>
      <w:r>
        <w:rPr>
          <w:rFonts w:hint="eastAsia" w:ascii="宋体" w:hAnsi="宋体" w:cs="仿宋_GB2312"/>
          <w:sz w:val="24"/>
          <w:u w:val="single"/>
        </w:rPr>
        <w:t>市场咨询；政采平台已招标完成项目参数参考</w:t>
      </w:r>
    </w:p>
    <w:p w14:paraId="1532BFED">
      <w:pPr>
        <w:spacing w:line="360" w:lineRule="auto"/>
        <w:jc w:val="left"/>
        <w:rPr>
          <w:rFonts w:ascii="宋体" w:cs="仿宋_GB2312"/>
          <w:sz w:val="24"/>
        </w:rPr>
      </w:pPr>
      <w:r>
        <w:rPr>
          <w:rFonts w:hint="eastAsia" w:ascii="宋体" w:hAnsi="宋体" w:cs="仿宋_GB2312"/>
          <w:sz w:val="24"/>
        </w:rPr>
        <w:t>（五）需求调查结果</w:t>
      </w:r>
    </w:p>
    <w:p w14:paraId="430840D7">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0D4250B5">
      <w:pPr>
        <w:spacing w:line="360" w:lineRule="auto"/>
        <w:ind w:firstLine="420"/>
        <w:jc w:val="left"/>
        <w:rPr>
          <w:rFonts w:hint="eastAsia" w:ascii="宋体" w:hAnsi="宋体"/>
          <w:sz w:val="24"/>
        </w:rPr>
      </w:pPr>
      <w:r>
        <w:rPr>
          <w:rFonts w:hint="eastAsia" w:ascii="宋体" w:hAnsi="宋体"/>
          <w:sz w:val="24"/>
        </w:rPr>
        <w:t>为</w:t>
      </w:r>
      <w:r>
        <w:rPr>
          <w:rFonts w:hint="eastAsia" w:ascii="宋体" w:hAnsi="宋体"/>
          <w:sz w:val="24"/>
          <w:lang w:eastAsia="zh-CN"/>
        </w:rPr>
        <w:t>云会中学（仁和二中）新建项目电梯采购项目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3F3CC4C9">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11011DE9">
      <w:pPr>
        <w:spacing w:line="360" w:lineRule="auto"/>
        <w:ind w:firstLine="480" w:firstLineChars="200"/>
        <w:jc w:val="left"/>
        <w:rPr>
          <w:rFonts w:ascii="宋体"/>
          <w:sz w:val="24"/>
          <w:u w:val="single"/>
        </w:rPr>
      </w:pPr>
      <w:r>
        <w:rPr>
          <w:rFonts w:hint="eastAsia" w:ascii="宋体" w:hAnsi="宋体"/>
          <w:sz w:val="24"/>
          <w:u w:val="single"/>
        </w:rPr>
        <w:t>本项目为服务项目，无特殊要求，可确保项目顺利进行。</w:t>
      </w:r>
    </w:p>
    <w:p w14:paraId="117B0A2A">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39CD030F">
      <w:pPr>
        <w:spacing w:line="360" w:lineRule="auto"/>
        <w:ind w:firstLine="420"/>
        <w:jc w:val="left"/>
        <w:rPr>
          <w:rFonts w:ascii="宋体" w:hAnsi="宋体"/>
          <w:sz w:val="24"/>
          <w:highlight w:val="yellow"/>
          <w:u w:val="single"/>
        </w:rPr>
      </w:pP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）淳安县民政局关于淳安县养老服务中心二期工程电梯项目采购，预算金额：2749700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金额（元）：1735000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）星灿学校配套宿舍电梯采购项目，预算金额：1000000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金额（元）：796000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3）杭州市拱墅区部分学校电梯采购项目（重新招标）</w:t>
      </w:r>
      <w:r>
        <w:rPr>
          <w:rFonts w:hint="eastAsia" w:ascii="宋体" w:hAnsi="宋体"/>
          <w:sz w:val="24"/>
          <w:u w:val="single"/>
          <w:lang w:eastAsia="zh-CN"/>
        </w:rPr>
        <w:t>，预算金额：600000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金额（元）：485200</w:t>
      </w:r>
      <w:r>
        <w:rPr>
          <w:rFonts w:hint="eastAsia" w:ascii="宋体" w:hAnsi="宋体"/>
          <w:sz w:val="24"/>
          <w:u w:val="single"/>
          <w:lang w:val="en-US" w:eastAsia="zh-CN"/>
        </w:rPr>
        <w:t>元：</w:t>
      </w:r>
    </w:p>
    <w:p w14:paraId="2A343D70">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7B5C0240">
      <w:pPr>
        <w:spacing w:line="360" w:lineRule="auto"/>
        <w:ind w:firstLine="480" w:firstLineChars="200"/>
        <w:jc w:val="left"/>
        <w:rPr>
          <w:rFonts w:ascii="宋体"/>
          <w:sz w:val="24"/>
          <w:u w:val="single"/>
        </w:rPr>
      </w:pPr>
      <w:r>
        <w:rPr>
          <w:rFonts w:hint="eastAsia" w:ascii="宋体" w:hAnsi="宋体"/>
          <w:sz w:val="24"/>
          <w:u w:val="single"/>
        </w:rPr>
        <w:t xml:space="preserve"> / </w:t>
      </w:r>
    </w:p>
    <w:p w14:paraId="1590480D">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5AF8EBD4">
      <w:pPr>
        <w:spacing w:line="360" w:lineRule="auto"/>
        <w:ind w:firstLine="480" w:firstLineChars="200"/>
        <w:jc w:val="left"/>
        <w:rPr>
          <w:rFonts w:ascii="宋体"/>
          <w:sz w:val="24"/>
          <w:u w:val="single"/>
        </w:rPr>
      </w:pPr>
      <w:r>
        <w:rPr>
          <w:rFonts w:hint="eastAsia" w:ascii="宋体" w:hAnsi="宋体"/>
          <w:sz w:val="24"/>
          <w:u w:val="single"/>
        </w:rPr>
        <w:t>/</w:t>
      </w:r>
    </w:p>
    <w:p w14:paraId="4F173440">
      <w:pPr>
        <w:spacing w:before="312" w:beforeLines="100" w:line="360" w:lineRule="auto"/>
        <w:jc w:val="left"/>
        <w:rPr>
          <w:rFonts w:ascii="宋体"/>
          <w:b/>
          <w:sz w:val="28"/>
          <w:szCs w:val="28"/>
        </w:rPr>
      </w:pPr>
      <w:r>
        <w:rPr>
          <w:rFonts w:hint="eastAsia" w:ascii="宋体" w:hAnsi="宋体"/>
          <w:b/>
          <w:sz w:val="28"/>
          <w:szCs w:val="28"/>
        </w:rPr>
        <w:t>二、采购需求内容</w:t>
      </w:r>
    </w:p>
    <w:p w14:paraId="364EC0B0">
      <w:pPr>
        <w:spacing w:line="360" w:lineRule="auto"/>
        <w:jc w:val="left"/>
        <w:rPr>
          <w:rFonts w:hint="eastAsia" w:ascii="宋体" w:eastAsia="宋体" w:cs="仿宋_GB2312"/>
          <w:sz w:val="24"/>
          <w:lang w:eastAsia="zh-CN"/>
        </w:rPr>
      </w:pPr>
      <w:r>
        <w:rPr>
          <w:rFonts w:hint="eastAsia" w:ascii="宋体" w:hAnsi="宋体" w:cs="仿宋_GB2312"/>
          <w:sz w:val="24"/>
        </w:rPr>
        <w:t>（一）项目概况</w:t>
      </w:r>
      <w:r>
        <w:rPr>
          <w:rFonts w:hint="eastAsia" w:ascii="宋体" w:hAnsi="宋体" w:cs="仿宋_GB2312"/>
          <w:sz w:val="24"/>
          <w:lang w:eastAsia="zh-CN"/>
        </w:rPr>
        <w:t>：</w:t>
      </w:r>
      <w:r>
        <w:rPr>
          <w:rFonts w:hint="eastAsia" w:ascii="宋体" w:hAnsi="宋体"/>
          <w:sz w:val="24"/>
        </w:rPr>
        <w:t>为</w:t>
      </w:r>
      <w:r>
        <w:rPr>
          <w:rFonts w:hint="eastAsia" w:ascii="宋体" w:hAnsi="宋体"/>
          <w:sz w:val="24"/>
          <w:lang w:eastAsia="zh-CN"/>
        </w:rPr>
        <w:t>云会中学（仁和二中）新建项目电梯采购项目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50E92C6B">
      <w:pPr>
        <w:numPr>
          <w:ilvl w:val="0"/>
          <w:numId w:val="1"/>
        </w:numPr>
        <w:spacing w:line="360" w:lineRule="auto"/>
        <w:jc w:val="left"/>
        <w:rPr>
          <w:rFonts w:ascii="宋体" w:hAnsi="宋体"/>
          <w:sz w:val="24"/>
          <w:u w:val="single"/>
        </w:rPr>
      </w:pPr>
      <w:r>
        <w:rPr>
          <w:rFonts w:hint="eastAsia" w:ascii="宋体" w:hAnsi="宋体" w:cs="仿宋_GB2312"/>
          <w:sz w:val="24"/>
        </w:rPr>
        <w:t>预算金额（元）：</w:t>
      </w:r>
      <w:r>
        <w:rPr>
          <w:rFonts w:hint="eastAsia" w:ascii="宋体" w:hAnsi="宋体" w:cs="宋体"/>
          <w:b w:val="0"/>
          <w:bCs/>
          <w:color w:val="auto"/>
          <w:sz w:val="24"/>
          <w:szCs w:val="24"/>
          <w:highlight w:val="none"/>
          <w:u w:val="single"/>
          <w:lang w:val="en-US" w:eastAsia="zh-CN"/>
        </w:rPr>
        <w:t>180</w:t>
      </w:r>
      <w:r>
        <w:rPr>
          <w:rFonts w:hint="eastAsia" w:ascii="宋体" w:hAnsi="宋体"/>
          <w:sz w:val="24"/>
          <w:u w:val="single"/>
        </w:rPr>
        <w:t>万元</w:t>
      </w:r>
    </w:p>
    <w:p w14:paraId="1190374D">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59D0BE42">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09F40BAD">
      <w:pPr>
        <w:spacing w:line="360" w:lineRule="auto"/>
        <w:jc w:val="left"/>
        <w:rPr>
          <w:rFonts w:ascii="宋体" w:cs="仿宋_GB2312"/>
          <w:sz w:val="24"/>
        </w:rPr>
      </w:pPr>
      <w:r>
        <w:rPr>
          <w:rFonts w:hint="eastAsia" w:ascii="宋体" w:hAnsi="宋体" w:cs="仿宋_GB2312"/>
          <w:sz w:val="24"/>
        </w:rPr>
        <w:t>（四）采购标的是否进口产品：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进口</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国产</w:t>
      </w:r>
    </w:p>
    <w:p w14:paraId="0C9D63E3">
      <w:pPr>
        <w:spacing w:line="360" w:lineRule="auto"/>
        <w:jc w:val="left"/>
        <w:rPr>
          <w:rFonts w:hint="eastAsia" w:ascii="宋体" w:hAnsi="宋体" w:cs="仿宋_GB2312"/>
          <w:sz w:val="24"/>
        </w:rPr>
      </w:pPr>
      <w:r>
        <w:rPr>
          <w:rFonts w:hint="eastAsia" w:ascii="宋体" w:hAnsi="宋体" w:cs="仿宋_GB2312"/>
          <w:sz w:val="24"/>
        </w:rPr>
        <w:t>（五）拟采购标的的技术要求</w:t>
      </w:r>
    </w:p>
    <w:p w14:paraId="5313F52E">
      <w:pPr>
        <w:spacing w:line="360" w:lineRule="auto"/>
        <w:jc w:val="left"/>
        <w:rPr>
          <w:rFonts w:hint="eastAsia" w:ascii="宋体" w:hAnsi="宋体" w:cs="仿宋_GB2312"/>
          <w:sz w:val="24"/>
        </w:rPr>
      </w:pPr>
      <w:r>
        <w:rPr>
          <w:rFonts w:hint="eastAsia" w:ascii="宋体" w:hAnsi="宋体" w:cs="仿宋_GB2312"/>
          <w:sz w:val="24"/>
        </w:rPr>
        <w:t>拟采购标的（1）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3A3D0B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B62B441">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59E35DCB">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云会中学（仁和二中）新建项目电梯采购项目</w:t>
            </w:r>
          </w:p>
        </w:tc>
      </w:tr>
      <w:tr w14:paraId="4F7E0B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3F15AC5">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696637D1">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7F9BDFAD">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60CE8A8E">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7ED355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41A39E31">
            <w:pPr>
              <w:spacing w:line="360" w:lineRule="auto"/>
              <w:jc w:val="center"/>
              <w:rPr>
                <w:rFonts w:ascii="宋体" w:hAnsi="宋体" w:cs="仿宋_GB2312"/>
                <w:sz w:val="24"/>
              </w:rPr>
            </w:pPr>
            <w:r>
              <w:rPr>
                <w:rFonts w:hint="eastAsia" w:ascii="宋体" w:hAnsi="宋体" w:cs="仿宋_GB2312"/>
                <w:sz w:val="24"/>
              </w:rPr>
              <w:t>功能和质量</w:t>
            </w:r>
          </w:p>
          <w:p w14:paraId="1ECC971B">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77DA0F9F">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项目遵循技术先进、功能齐全、性能稳定、节约成本的原则。并综合考虑施工、维护及操作因素，将为今后的发展、扩建、改造等因素留有扩充的余地。本项目是系统的、完整的、全面的；具有科学性、合理性、可操作性；</w:t>
            </w:r>
          </w:p>
          <w:p w14:paraId="4E46A95F">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质量要求：供方所供的货物必须为全新的，符合国家标准的合格产品；</w:t>
            </w:r>
          </w:p>
        </w:tc>
      </w:tr>
    </w:tbl>
    <w:p w14:paraId="5292F3C2">
      <w:pPr>
        <w:pStyle w:val="5"/>
      </w:pPr>
    </w:p>
    <w:p w14:paraId="49E8CBA2">
      <w:pPr>
        <w:spacing w:line="360" w:lineRule="auto"/>
        <w:jc w:val="left"/>
        <w:rPr>
          <w:rFonts w:ascii="宋体" w:cs="仿宋_GB2312"/>
          <w:sz w:val="24"/>
        </w:rPr>
      </w:pPr>
      <w:r>
        <w:rPr>
          <w:rFonts w:hint="eastAsia" w:ascii="宋体" w:hAnsi="宋体" w:cs="仿宋_GB2312"/>
          <w:sz w:val="24"/>
        </w:rPr>
        <w:t>（六）拟采购标的的商务要求</w:t>
      </w:r>
    </w:p>
    <w:p w14:paraId="2A5B83F0">
      <w:pPr>
        <w:spacing w:line="360" w:lineRule="auto"/>
        <w:ind w:left="210" w:leftChars="100"/>
        <w:jc w:val="left"/>
        <w:rPr>
          <w:rFonts w:hint="default" w:ascii="宋体" w:eastAsia="宋体" w:cs="仿宋_GB2312"/>
          <w:sz w:val="24"/>
          <w:lang w:val="en-US" w:eastAsia="zh-CN"/>
        </w:rPr>
      </w:pPr>
      <w:r>
        <w:rPr>
          <w:rFonts w:ascii="宋体" w:hAnsi="宋体" w:cs="仿宋_GB2312"/>
          <w:sz w:val="24"/>
        </w:rPr>
        <w:t>1.</w:t>
      </w:r>
      <w:r>
        <w:rPr>
          <w:rFonts w:hint="eastAsia" w:ascii="宋体" w:hAnsi="宋体" w:cs="仿宋_GB2312"/>
          <w:sz w:val="24"/>
        </w:rPr>
        <w:t>交付（实施）的时间（期限）：</w:t>
      </w:r>
      <w:r>
        <w:rPr>
          <w:rFonts w:hint="eastAsia" w:ascii="宋体" w:hAnsi="宋体" w:cs="仿宋_GB2312"/>
          <w:sz w:val="24"/>
          <w:u w:val="single"/>
          <w:lang w:eastAsia="zh-CN"/>
        </w:rPr>
        <w:t>合同签订之日起</w:t>
      </w:r>
      <w:r>
        <w:rPr>
          <w:rFonts w:hint="eastAsia" w:ascii="宋体" w:hAnsi="宋体" w:cs="仿宋_GB2312"/>
          <w:sz w:val="24"/>
          <w:u w:val="single"/>
          <w:lang w:val="en-US" w:eastAsia="zh-CN"/>
        </w:rPr>
        <w:t>60日历天</w:t>
      </w:r>
      <w:r>
        <w:rPr>
          <w:rFonts w:hint="eastAsia" w:ascii="宋体" w:hAnsi="宋体" w:cs="仿宋_GB2312"/>
          <w:sz w:val="24"/>
          <w:u w:val="single"/>
          <w:lang w:eastAsia="zh-CN"/>
        </w:rPr>
        <w:t>内完成安装调试工作</w:t>
      </w:r>
    </w:p>
    <w:p w14:paraId="5A62EAC6">
      <w:pPr>
        <w:spacing w:line="360" w:lineRule="auto"/>
        <w:ind w:left="210" w:leftChars="100"/>
        <w:jc w:val="left"/>
        <w:rPr>
          <w:rFonts w:hint="default" w:ascii="宋体" w:eastAsia="宋体" w:cs="仿宋_GB2312"/>
          <w:sz w:val="24"/>
          <w:lang w:val="en-US" w:eastAsia="zh-CN"/>
        </w:rPr>
      </w:pPr>
      <w:r>
        <w:rPr>
          <w:rFonts w:ascii="宋体" w:hAnsi="宋体" w:cs="仿宋_GB2312"/>
          <w:sz w:val="24"/>
        </w:rPr>
        <w:t>2.</w:t>
      </w:r>
      <w:r>
        <w:rPr>
          <w:rFonts w:hint="eastAsia" w:ascii="宋体" w:hAnsi="宋体" w:cs="仿宋_GB2312"/>
          <w:sz w:val="24"/>
        </w:rPr>
        <w:t>交付（实施）的地点（范围）：</w:t>
      </w:r>
      <w:r>
        <w:rPr>
          <w:rFonts w:hint="eastAsia" w:ascii="宋体" w:hAnsi="宋体"/>
          <w:sz w:val="24"/>
          <w:u w:val="single"/>
        </w:rPr>
        <w:t>杭州市</w:t>
      </w:r>
      <w:r>
        <w:rPr>
          <w:rFonts w:hint="eastAsia" w:ascii="宋体" w:hAnsi="宋体"/>
          <w:sz w:val="24"/>
          <w:u w:val="single"/>
          <w:lang w:val="en-US" w:eastAsia="zh-CN"/>
        </w:rPr>
        <w:t>余杭区仁和街道</w:t>
      </w:r>
    </w:p>
    <w:p w14:paraId="0928D1A8">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p w14:paraId="15706A9E">
      <w:pPr>
        <w:spacing w:line="360" w:lineRule="auto"/>
        <w:ind w:left="210" w:leftChars="100"/>
        <w:jc w:val="left"/>
        <w:rPr>
          <w:rFonts w:hint="eastAsia"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75EABE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1174" w:type="dxa"/>
            <w:noWrap w:val="0"/>
            <w:vAlign w:val="center"/>
          </w:tcPr>
          <w:p w14:paraId="44083052">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56F27E5F">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7C403772">
            <w:pPr>
              <w:spacing w:line="360" w:lineRule="auto"/>
              <w:jc w:val="center"/>
              <w:rPr>
                <w:rFonts w:ascii="宋体" w:hAnsi="宋体" w:cs="仿宋_GB2312"/>
                <w:sz w:val="24"/>
              </w:rPr>
            </w:pPr>
            <w:r>
              <w:rPr>
                <w:rFonts w:hint="eastAsia" w:ascii="宋体" w:hAnsi="宋体" w:cs="仿宋_GB2312"/>
                <w:sz w:val="24"/>
              </w:rPr>
              <w:t>付款方式</w:t>
            </w:r>
          </w:p>
        </w:tc>
      </w:tr>
      <w:tr w14:paraId="43E9A7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2700EC6D">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5DDF44B1">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43FA5A2E">
            <w:pPr>
              <w:spacing w:line="360" w:lineRule="auto"/>
              <w:jc w:val="left"/>
              <w:rPr>
                <w:rFonts w:ascii="宋体" w:hAnsi="宋体" w:cs="仿宋_GB2312"/>
                <w:sz w:val="24"/>
              </w:rPr>
            </w:pPr>
            <w:r>
              <w:rPr>
                <w:rFonts w:hint="eastAsia" w:ascii="宋体" w:hAnsi="宋体" w:cs="仿宋_GB2312"/>
                <w:color w:val="auto"/>
                <w:sz w:val="24"/>
                <w:szCs w:val="24"/>
                <w:highlight w:val="none"/>
              </w:rPr>
              <w:t>合同签订后7个工作日内，向中标单位支付合同金额50％的预付款。</w:t>
            </w:r>
          </w:p>
        </w:tc>
      </w:tr>
      <w:tr w14:paraId="3BFF4C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03EC7CB4">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2977" w:type="dxa"/>
            <w:noWrap w:val="0"/>
            <w:vAlign w:val="top"/>
          </w:tcPr>
          <w:p w14:paraId="0110CC01">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30</w:t>
            </w:r>
          </w:p>
        </w:tc>
        <w:tc>
          <w:tcPr>
            <w:tcW w:w="4161" w:type="dxa"/>
            <w:noWrap w:val="0"/>
            <w:vAlign w:val="top"/>
          </w:tcPr>
          <w:p w14:paraId="6A837F50">
            <w:pPr>
              <w:spacing w:line="360" w:lineRule="auto"/>
              <w:jc w:val="left"/>
              <w:rPr>
                <w:rFonts w:hint="eastAsia" w:ascii="宋体" w:hAnsi="宋体" w:cs="宋体"/>
                <w:sz w:val="24"/>
                <w:highlight w:val="none"/>
                <w:lang w:val="en-US" w:eastAsia="zh-CN"/>
              </w:rPr>
            </w:pPr>
            <w:r>
              <w:rPr>
                <w:rFonts w:hint="eastAsia" w:ascii="宋体" w:hAnsi="宋体" w:cs="宋体"/>
                <w:color w:val="auto"/>
                <w:sz w:val="24"/>
                <w:highlight w:val="none"/>
              </w:rPr>
              <w:t>电梯设备</w:t>
            </w:r>
            <w:r>
              <w:rPr>
                <w:rFonts w:hint="eastAsia" w:ascii="宋体" w:hAnsi="宋体" w:cs="宋体"/>
                <w:color w:val="auto"/>
                <w:sz w:val="24"/>
                <w:highlight w:val="none"/>
                <w:lang w:val="en-US" w:eastAsia="zh-CN"/>
              </w:rPr>
              <w:t>安装调试完成后支付合同款的30%</w:t>
            </w:r>
            <w:r>
              <w:rPr>
                <w:rFonts w:hint="eastAsia" w:ascii="宋体" w:hAnsi="宋体" w:cs="仿宋_GB2312"/>
                <w:color w:val="auto"/>
                <w:sz w:val="24"/>
                <w:szCs w:val="24"/>
                <w:highlight w:val="none"/>
              </w:rPr>
              <w:t>。</w:t>
            </w:r>
          </w:p>
        </w:tc>
      </w:tr>
      <w:tr w14:paraId="6CD5BE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24BF037B">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3</w:t>
            </w:r>
          </w:p>
        </w:tc>
        <w:tc>
          <w:tcPr>
            <w:tcW w:w="2977" w:type="dxa"/>
            <w:noWrap w:val="0"/>
            <w:vAlign w:val="top"/>
          </w:tcPr>
          <w:p w14:paraId="4DD29EDE">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20</w:t>
            </w:r>
          </w:p>
        </w:tc>
        <w:tc>
          <w:tcPr>
            <w:tcW w:w="4161" w:type="dxa"/>
            <w:noWrap w:val="0"/>
            <w:vAlign w:val="top"/>
          </w:tcPr>
          <w:p w14:paraId="4FC253D4">
            <w:pPr>
              <w:spacing w:line="360" w:lineRule="auto"/>
              <w:jc w:val="left"/>
              <w:rPr>
                <w:rFonts w:hint="eastAsia" w:ascii="宋体" w:hAnsi="宋体" w:cs="仿宋_GB2312"/>
                <w:color w:val="auto"/>
                <w:sz w:val="24"/>
                <w:szCs w:val="24"/>
                <w:highlight w:val="none"/>
              </w:rPr>
            </w:pPr>
            <w:r>
              <w:rPr>
                <w:rFonts w:hint="eastAsia" w:ascii="宋体" w:hAnsi="宋体" w:cs="宋体"/>
                <w:color w:val="auto"/>
                <w:sz w:val="24"/>
                <w:highlight w:val="none"/>
              </w:rPr>
              <w:t>通过当地质量技术监督部门验收，移交招标人或招标人确定的物业公司后付</w:t>
            </w:r>
            <w:r>
              <w:rPr>
                <w:rFonts w:hint="eastAsia" w:ascii="宋体" w:hAnsi="宋体" w:cs="宋体"/>
                <w:color w:val="auto"/>
                <w:sz w:val="24"/>
                <w:highlight w:val="none"/>
                <w:lang w:val="en-US" w:eastAsia="zh-CN"/>
              </w:rPr>
              <w:t>合同剩余款项</w:t>
            </w:r>
          </w:p>
        </w:tc>
      </w:tr>
    </w:tbl>
    <w:p w14:paraId="73A7C1C1">
      <w:pPr>
        <w:spacing w:line="360" w:lineRule="auto"/>
        <w:ind w:left="210" w:leftChars="100"/>
        <w:jc w:val="left"/>
        <w:rPr>
          <w:rFonts w:hint="eastAsia" w:ascii="宋体" w:hAnsi="宋体" w:cs="仿宋_GB2312"/>
          <w:sz w:val="24"/>
        </w:rPr>
      </w:pPr>
    </w:p>
    <w:p w14:paraId="65805A21">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p>
    <w:p w14:paraId="021EBC70">
      <w:pPr>
        <w:spacing w:line="360" w:lineRule="auto"/>
        <w:ind w:left="210" w:leftChars="100"/>
        <w:jc w:val="left"/>
        <w:rPr>
          <w:rFonts w:hint="eastAsia" w:ascii="宋体" w:hAnsi="宋体" w:cs="宋体"/>
          <w:sz w:val="24"/>
          <w:u w:val="single"/>
        </w:rPr>
      </w:pPr>
      <w:r>
        <w:rPr>
          <w:rFonts w:hint="eastAsia" w:ascii="宋体" w:hAnsi="宋体" w:cs="宋体"/>
          <w:sz w:val="24"/>
          <w:u w:val="single"/>
        </w:rPr>
        <w:t>1、质保期要求：产品验收合格使用之日起，质保期</w:t>
      </w:r>
      <w:r>
        <w:rPr>
          <w:rFonts w:hint="eastAsia" w:ascii="宋体" w:hAnsi="宋体" w:cs="宋体"/>
          <w:sz w:val="24"/>
          <w:u w:val="single"/>
          <w:lang w:val="en-US" w:eastAsia="zh-CN"/>
        </w:rPr>
        <w:t>五</w:t>
      </w:r>
      <w:r>
        <w:rPr>
          <w:rFonts w:hint="eastAsia" w:ascii="宋体" w:hAnsi="宋体" w:cs="宋体"/>
          <w:sz w:val="24"/>
          <w:u w:val="single"/>
        </w:rPr>
        <w:t>年，质保期内的维修费用（包括材料）全部由中标单位负责，因人为因素出现的故障不在免费保修范围内。超过质保期的，维修时只收部件成本费。</w:t>
      </w:r>
    </w:p>
    <w:p w14:paraId="72855B8C">
      <w:pPr>
        <w:spacing w:line="360" w:lineRule="auto"/>
        <w:ind w:left="210" w:leftChars="100"/>
        <w:jc w:val="left"/>
        <w:rPr>
          <w:rFonts w:hint="eastAsia" w:ascii="宋体" w:hAnsi="宋体" w:cs="宋体"/>
          <w:sz w:val="24"/>
          <w:u w:val="single"/>
        </w:rPr>
      </w:pPr>
      <w:r>
        <w:rPr>
          <w:rFonts w:hint="eastAsia" w:ascii="宋体" w:hAnsi="宋体" w:cs="宋体"/>
          <w:sz w:val="24"/>
          <w:u w:val="single"/>
          <w:lang w:val="en-US" w:eastAsia="zh-CN"/>
        </w:rPr>
        <w:t>注：采购货物内对于部分设备因设备的特殊性，在原有质保期内予以延长，在合同中体现。</w:t>
      </w:r>
    </w:p>
    <w:p w14:paraId="363D4966">
      <w:pPr>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sz w:val="24"/>
          <w:u w:val="single"/>
        </w:rPr>
        <w:t>2、技术支持要求：</w:t>
      </w:r>
      <w:r>
        <w:rPr>
          <w:rFonts w:hint="eastAsia" w:ascii="宋体" w:hAnsi="宋体" w:cs="宋体"/>
          <w:bCs/>
          <w:color w:val="auto"/>
          <w:kern w:val="0"/>
          <w:sz w:val="24"/>
          <w:highlight w:val="none"/>
        </w:rPr>
        <w:t>提供24小时服务。维修人员接到维修电话后须在2小时内赶到现场，并在12小时内修复完毕。投标单位在投标时应明确负责此项目维修工作的售后服务公司，维修工作不得转包。此售后服务公司对此项目的维修也要作出明确承诺。</w:t>
      </w:r>
      <w:r>
        <w:rPr>
          <w:rFonts w:hint="eastAsia" w:ascii="宋体" w:hAnsi="宋体" w:cs="宋体"/>
          <w:b/>
          <w:bCs/>
          <w:color w:val="auto"/>
          <w:sz w:val="24"/>
          <w:highlight w:val="none"/>
        </w:rPr>
        <w:t>▲</w:t>
      </w:r>
      <w:r>
        <w:rPr>
          <w:rFonts w:hint="eastAsia" w:ascii="宋体" w:hAnsi="宋体" w:cs="宋体"/>
          <w:b/>
          <w:color w:val="auto"/>
          <w:kern w:val="0"/>
          <w:sz w:val="24"/>
          <w:highlight w:val="none"/>
        </w:rPr>
        <w:t xml:space="preserve">2、电梯的质量保证期为全部产品安装调试完成，经技术监督部门验收合格且合同双方共同签署电梯验收合格证书之日起 </w:t>
      </w:r>
      <w:r>
        <w:rPr>
          <w:rFonts w:hint="eastAsia" w:ascii="宋体" w:hAnsi="宋体" w:cs="宋体"/>
          <w:b/>
          <w:color w:val="auto"/>
          <w:kern w:val="0"/>
          <w:sz w:val="24"/>
          <w:highlight w:val="none"/>
          <w:u w:val="single"/>
        </w:rPr>
        <w:t xml:space="preserve"> 24 </w:t>
      </w:r>
      <w:r>
        <w:rPr>
          <w:rFonts w:hint="eastAsia" w:ascii="宋体" w:hAnsi="宋体" w:cs="宋体"/>
          <w:b/>
          <w:color w:val="auto"/>
          <w:kern w:val="0"/>
          <w:sz w:val="24"/>
          <w:highlight w:val="none"/>
        </w:rPr>
        <w:t>个月；</w:t>
      </w:r>
      <w:r>
        <w:rPr>
          <w:rFonts w:ascii="宋体" w:hAnsi="宋体" w:cs="宋体"/>
          <w:b/>
          <w:color w:val="auto"/>
          <w:kern w:val="0"/>
          <w:sz w:val="24"/>
          <w:highlight w:val="none"/>
        </w:rPr>
        <w:t xml:space="preserve"> </w:t>
      </w:r>
    </w:p>
    <w:p w14:paraId="144AD48C">
      <w:pPr>
        <w:adjustRightInd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3、在质保期内的工作应包括对所有电梯常规检查、调整和润滑。具体的操作程序和内容须在投标时说明。</w:t>
      </w:r>
    </w:p>
    <w:p w14:paraId="6EDE41FC">
      <w:pPr>
        <w:adjustRightInd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、备件供应：</w:t>
      </w:r>
    </w:p>
    <w:p w14:paraId="585665AE">
      <w:pPr>
        <w:spacing w:line="360" w:lineRule="auto"/>
        <w:ind w:left="210" w:leftChars="100"/>
        <w:jc w:val="left"/>
        <w:rPr>
          <w:rFonts w:hint="eastAsia" w:ascii="宋体" w:hAnsi="宋体" w:cs="宋体"/>
          <w:sz w:val="24"/>
          <w:u w:val="single"/>
        </w:rPr>
      </w:pPr>
      <w:r>
        <w:rPr>
          <w:rFonts w:hint="eastAsia" w:ascii="宋体" w:hAnsi="宋体" w:cs="宋体"/>
          <w:bCs/>
          <w:color w:val="auto"/>
          <w:kern w:val="0"/>
          <w:sz w:val="24"/>
          <w:highlight w:val="none"/>
        </w:rPr>
        <w:t>投标单位对各种型号的设备须提供足够的备件、附件和易损件并保证是原厂生产的产品，以满足设备正常运行的需要。</w:t>
      </w:r>
    </w:p>
    <w:p w14:paraId="68DBDBBE">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其他商务要求（包装和运输、保险等）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00B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18046BCA">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14:paraId="165A0DF9">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合同签订之日起</w:t>
            </w:r>
            <w:r>
              <w:rPr>
                <w:rFonts w:hint="eastAsia" w:ascii="仿宋_GB2312" w:hAnsi="仿宋" w:eastAsia="仿宋_GB2312" w:cs="Arial"/>
                <w:kern w:val="0"/>
                <w:sz w:val="24"/>
                <w:szCs w:val="24"/>
                <w:lang w:val="en-US" w:eastAsia="zh-CN" w:bidi="ar-SA"/>
              </w:rPr>
              <w:t>60日历天</w:t>
            </w:r>
            <w:r>
              <w:rPr>
                <w:rFonts w:hint="default" w:ascii="仿宋_GB2312" w:hAnsi="仿宋" w:eastAsia="仿宋_GB2312" w:cs="Arial"/>
                <w:kern w:val="0"/>
                <w:sz w:val="24"/>
                <w:szCs w:val="24"/>
                <w:lang w:val="en-US" w:eastAsia="zh-CN" w:bidi="ar-SA"/>
              </w:rPr>
              <w:t>内完成安装调试工作</w:t>
            </w:r>
          </w:p>
        </w:tc>
      </w:tr>
    </w:tbl>
    <w:p w14:paraId="30E773BF">
      <w:pPr>
        <w:spacing w:line="360" w:lineRule="auto"/>
        <w:jc w:val="left"/>
        <w:rPr>
          <w:rFonts w:ascii="宋体" w:cs="仿宋_GB2312"/>
          <w:sz w:val="24"/>
        </w:rPr>
      </w:pPr>
      <w:r>
        <w:rPr>
          <w:rFonts w:hint="eastAsia" w:ascii="宋体" w:hAnsi="宋体" w:cs="仿宋_GB2312"/>
          <w:sz w:val="24"/>
        </w:rPr>
        <w:t>（七）采购项目的其他要求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791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4F30E01B">
            <w:pPr>
              <w:spacing w:line="600" w:lineRule="exact"/>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培训要求</w:t>
            </w:r>
          </w:p>
        </w:tc>
        <w:tc>
          <w:tcPr>
            <w:tcW w:w="7823" w:type="dxa"/>
            <w:noWrap w:val="0"/>
            <w:vAlign w:val="center"/>
          </w:tcPr>
          <w:p w14:paraId="2C9C1721">
            <w:pPr>
              <w:tabs>
                <w:tab w:val="left" w:pos="1423"/>
                <w:tab w:val="left" w:pos="3303"/>
              </w:tabs>
              <w:spacing w:line="600" w:lineRule="exact"/>
              <w:jc w:val="both"/>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投标人须自行勘察现场，后期施工所需一切费用由投标人自行承担</w:t>
            </w:r>
          </w:p>
        </w:tc>
      </w:tr>
      <w:bookmarkEnd w:id="0"/>
    </w:tbl>
    <w:p w14:paraId="5CAFDCE1">
      <w:pPr>
        <w:spacing w:before="312" w:beforeLines="100" w:line="360" w:lineRule="auto"/>
        <w:jc w:val="left"/>
        <w:rPr>
          <w:rFonts w:ascii="宋体"/>
          <w:b/>
          <w:sz w:val="28"/>
          <w:szCs w:val="28"/>
        </w:rPr>
      </w:pPr>
      <w:r>
        <w:rPr>
          <w:rFonts w:hint="eastAsia" w:ascii="宋体" w:hAnsi="宋体"/>
          <w:b/>
          <w:sz w:val="28"/>
          <w:szCs w:val="28"/>
        </w:rPr>
        <w:t>三、合同订立安排</w:t>
      </w:r>
    </w:p>
    <w:p w14:paraId="3AD2FE80">
      <w:pPr>
        <w:spacing w:line="360" w:lineRule="auto"/>
        <w:jc w:val="left"/>
        <w:rPr>
          <w:rFonts w:hint="default" w:ascii="宋体" w:cs="仿宋_GB2312"/>
          <w:sz w:val="24"/>
          <w:lang w:val="en-US"/>
        </w:rPr>
      </w:pPr>
      <w:r>
        <w:rPr>
          <w:rFonts w:hint="eastAsia" w:ascii="宋体" w:hAnsi="宋体" w:cs="仿宋_GB2312"/>
          <w:sz w:val="24"/>
        </w:rPr>
        <w:t>（一）采购项目预（概）算（元）：</w:t>
      </w:r>
      <w:r>
        <w:rPr>
          <w:rFonts w:hint="eastAsia" w:ascii="宋体" w:hAnsi="宋体" w:cs="仿宋_GB2312"/>
          <w:sz w:val="24"/>
          <w:u w:val="single"/>
          <w:lang w:val="en-US" w:eastAsia="zh-CN"/>
        </w:rPr>
        <w:t>1800000</w:t>
      </w:r>
      <w:r>
        <w:rPr>
          <w:rFonts w:hint="eastAsia" w:ascii="宋体" w:hAnsi="宋体" w:cs="仿宋_GB2312"/>
          <w:sz w:val="24"/>
        </w:rPr>
        <w:t>，最高限价（元）：</w:t>
      </w:r>
      <w:r>
        <w:rPr>
          <w:rFonts w:hint="eastAsia" w:ascii="宋体" w:hAnsi="宋体" w:cs="宋体"/>
          <w:b w:val="0"/>
          <w:bCs/>
          <w:color w:val="auto"/>
          <w:sz w:val="24"/>
          <w:szCs w:val="24"/>
          <w:highlight w:val="none"/>
          <w:u w:val="single"/>
          <w:lang w:val="en-US" w:eastAsia="zh-CN"/>
        </w:rPr>
        <w:t>1800000</w:t>
      </w:r>
    </w:p>
    <w:p w14:paraId="5BD2F5B7">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rPr>
        <w:t>计划为202</w:t>
      </w:r>
      <w:r>
        <w:rPr>
          <w:rFonts w:hint="eastAsia" w:ascii="宋体" w:hAnsi="宋体" w:cs="仿宋_GB2312"/>
          <w:sz w:val="24"/>
          <w:u w:val="single"/>
          <w:lang w:val="en-US" w:eastAsia="zh-CN"/>
        </w:rPr>
        <w:t>5</w:t>
      </w:r>
      <w:r>
        <w:rPr>
          <w:rFonts w:hint="eastAsia" w:ascii="宋体" w:hAnsi="宋体" w:cs="仿宋_GB2312"/>
          <w:sz w:val="24"/>
          <w:u w:val="single"/>
        </w:rPr>
        <w:t>年</w:t>
      </w:r>
      <w:r>
        <w:rPr>
          <w:rFonts w:hint="eastAsia" w:ascii="宋体" w:hAnsi="宋体" w:cs="仿宋_GB2312"/>
          <w:sz w:val="24"/>
          <w:highlight w:val="yellow"/>
          <w:u w:val="single"/>
          <w:lang w:val="en-US" w:eastAsia="zh-CN"/>
        </w:rPr>
        <w:t>7</w:t>
      </w:r>
      <w:r>
        <w:rPr>
          <w:rFonts w:hint="eastAsia" w:ascii="宋体" w:hAnsi="宋体" w:cs="仿宋_GB2312"/>
          <w:sz w:val="24"/>
          <w:u w:val="single"/>
        </w:rPr>
        <w:t>月</w:t>
      </w:r>
    </w:p>
    <w:p w14:paraId="32E0DBD8">
      <w:pPr>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A3"/>
      </w:r>
      <w:r>
        <w:rPr>
          <w:rFonts w:hint="eastAsia" w:ascii="宋体" w:hAnsi="宋体" w:cs="仿宋_GB2312"/>
          <w:sz w:val="24"/>
        </w:rPr>
        <w:t>分散采购</w:t>
      </w:r>
      <w:r>
        <w:rPr>
          <w:rFonts w:ascii="宋体" w:hAnsi="宋体" w:cs="仿宋_GB2312"/>
          <w:sz w:val="24"/>
        </w:rPr>
        <w:t xml:space="preserve"> </w:t>
      </w:r>
    </w:p>
    <w:p w14:paraId="05ECFE87">
      <w:pPr>
        <w:spacing w:line="360" w:lineRule="auto"/>
        <w:jc w:val="left"/>
        <w:rPr>
          <w:rFonts w:ascii="宋体" w:cs="仿宋_GB2312"/>
          <w:sz w:val="24"/>
        </w:rPr>
      </w:pPr>
      <w:r>
        <w:rPr>
          <w:rFonts w:hint="eastAsia" w:ascii="宋体" w:hAnsi="宋体" w:cs="仿宋_GB2312"/>
          <w:sz w:val="24"/>
        </w:rPr>
        <w:t>（四）委托代理安排</w:t>
      </w:r>
    </w:p>
    <w:p w14:paraId="0883E35A">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集中采购机构</w:t>
      </w:r>
      <w:r>
        <w:rPr>
          <w:rFonts w:ascii="宋体" w:cs="仿宋_GB2312"/>
          <w:sz w:val="24"/>
        </w:rPr>
        <w:tab/>
      </w:r>
      <w:r>
        <w:rPr>
          <w:rFonts w:ascii="宋体" w:cs="仿宋_GB2312"/>
          <w:sz w:val="24"/>
        </w:rPr>
        <w:tab/>
      </w:r>
      <w:bookmarkStart w:id="2" w:name="_GoBack"/>
      <w:bookmarkEnd w:id="2"/>
      <w:r>
        <w:rPr>
          <w:rFonts w:hint="eastAsia" w:ascii="宋体" w:hAnsi="Wingdings 2" w:cs="仿宋_GB2312"/>
          <w:sz w:val="24"/>
        </w:rPr>
        <w:sym w:font="Wingdings 2" w:char="00A3"/>
      </w:r>
      <w:r>
        <w:rPr>
          <w:rFonts w:hint="eastAsia" w:ascii="宋体" w:hAnsi="宋体" w:cs="仿宋_GB2312"/>
          <w:sz w:val="24"/>
        </w:rPr>
        <w:t>部门集中采购机构</w:t>
      </w:r>
    </w:p>
    <w:p w14:paraId="58026FF0">
      <w:pPr>
        <w:spacing w:line="360" w:lineRule="auto"/>
        <w:ind w:firstLine="420"/>
        <w:jc w:val="left"/>
        <w:rPr>
          <w:rFonts w:ascii="宋体" w:cs="仿宋_GB2312"/>
          <w:sz w:val="24"/>
        </w:rPr>
      </w:pPr>
      <w:r>
        <w:rPr>
          <w:rFonts w:hint="eastAsia" w:ascii="宋体" w:hAnsi="Wingdings 2" w:cs="仿宋_GB2312"/>
          <w:sz w:val="24"/>
        </w:rPr>
        <w:sym w:font="Wingdings 2" w:char="00A3"/>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6ED72861">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3D93C557">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50008DC3">
      <w:pPr>
        <w:spacing w:line="360" w:lineRule="auto"/>
        <w:jc w:val="left"/>
        <w:rPr>
          <w:rFonts w:ascii="宋体" w:cs="仿宋_GB2312"/>
          <w:sz w:val="24"/>
        </w:rPr>
      </w:pPr>
      <w:r>
        <w:rPr>
          <w:rFonts w:hint="eastAsia" w:ascii="宋体" w:hAnsi="宋体" w:cs="仿宋_GB2312"/>
          <w:sz w:val="24"/>
        </w:rPr>
        <w:t>（七）供应商资格条件</w:t>
      </w:r>
    </w:p>
    <w:p w14:paraId="371177B1">
      <w:pPr>
        <w:spacing w:line="360" w:lineRule="auto"/>
        <w:ind w:firstLine="480" w:firstLineChars="200"/>
        <w:jc w:val="left"/>
        <w:rPr>
          <w:rFonts w:ascii="宋体" w:hAnsi="宋体" w:cs="仿宋_GB2312"/>
          <w:sz w:val="24"/>
          <w:u w:val="single"/>
        </w:rPr>
      </w:pPr>
      <w:r>
        <w:rPr>
          <w:rFonts w:ascii="宋体" w:hAnsi="宋体" w:cs="仿宋_GB2312"/>
          <w:sz w:val="24"/>
          <w:u w:val="single"/>
        </w:rPr>
        <w:t>1.</w:t>
      </w:r>
      <w:r>
        <w:rPr>
          <w:rFonts w:hint="eastAsia" w:ascii="宋体" w:hAnsi="宋体" w:cs="仿宋_GB2312"/>
          <w:sz w:val="24"/>
          <w:u w:val="singl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728F36D">
      <w:pPr>
        <w:spacing w:line="360" w:lineRule="auto"/>
        <w:ind w:firstLine="480" w:firstLineChars="200"/>
        <w:rPr>
          <w:rFonts w:ascii="宋体" w:hAnsi="宋体" w:cs="仿宋_GB2312"/>
          <w:sz w:val="24"/>
          <w:u w:val="single"/>
        </w:rPr>
      </w:pPr>
      <w:r>
        <w:rPr>
          <w:rFonts w:ascii="宋体" w:hAnsi="宋体" w:cs="仿宋_GB2312"/>
          <w:sz w:val="24"/>
          <w:u w:val="single"/>
        </w:rPr>
        <w:t xml:space="preserve"> 2.</w:t>
      </w:r>
      <w:r>
        <w:rPr>
          <w:rFonts w:hint="eastAsia" w:ascii="宋体" w:hAnsi="宋体" w:cs="仿宋_GB2312"/>
          <w:sz w:val="24"/>
          <w:u w:val="single"/>
        </w:rPr>
        <w:t>落实政府采购政策需满足的资格要求：</w:t>
      </w:r>
    </w:p>
    <w:p w14:paraId="643CE6C0">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14:paraId="47A8E6FD">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0878B946">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sz w:val="24"/>
        </w:rPr>
        <w:t>货物全部由符合政策要求的中小企业制造，提供中小企业声明函；</w:t>
      </w:r>
    </w:p>
    <w:p w14:paraId="39EF34EB">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6DF553EC">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bookmarkStart w:id="1" w:name="_Hlk101132524"/>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lang w:val="en-US" w:eastAsia="zh-CN"/>
        </w:rPr>
        <w:t>40</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
    <w:p w14:paraId="5763115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lang w:val="en-US" w:eastAsia="zh-CN"/>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lang w:val="en-US" w:eastAsia="zh-CN"/>
        </w:rPr>
        <w:t>/</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17A713E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634F6BC7">
      <w:pPr>
        <w:spacing w:line="360" w:lineRule="auto"/>
        <w:jc w:val="left"/>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0BCC1F">
      <w:pPr>
        <w:spacing w:line="360" w:lineRule="auto"/>
        <w:jc w:val="left"/>
        <w:rPr>
          <w:rFonts w:ascii="宋体" w:cs="仿宋_GB2312"/>
          <w:sz w:val="24"/>
        </w:rPr>
      </w:pPr>
      <w:r>
        <w:rPr>
          <w:rFonts w:hint="eastAsia" w:ascii="宋体" w:hAnsi="宋体" w:cs="仿宋_GB2312"/>
          <w:sz w:val="24"/>
        </w:rPr>
        <w:t>（八）采购方式</w:t>
      </w:r>
    </w:p>
    <w:p w14:paraId="55FD03C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01D083EF">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14C26469">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10E3833">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6360A2DB">
      <w:pPr>
        <w:spacing w:line="360" w:lineRule="auto"/>
        <w:ind w:firstLine="480" w:firstLineChars="200"/>
        <w:jc w:val="left"/>
        <w:rPr>
          <w:rFonts w:ascii="仿宋" w:hAnsi="仿宋" w:eastAsia="仿宋" w:cs="仿宋"/>
          <w:color w:val="000000"/>
          <w:sz w:val="27"/>
          <w:szCs w:val="27"/>
        </w:rPr>
      </w:pPr>
      <w:r>
        <w:rPr>
          <w:rFonts w:hint="eastAsia" w:ascii="宋体" w:hAnsi="宋体"/>
          <w:sz w:val="24"/>
          <w:u w:val="single"/>
        </w:rPr>
        <w:t>根据《财政部关于开展政府采购意向公开工作的通知》（财库〔2020〕10号）等有关规定，现对</w:t>
      </w:r>
      <w:r>
        <w:rPr>
          <w:rFonts w:hint="eastAsia" w:ascii="宋体" w:hAnsi="宋体"/>
          <w:sz w:val="24"/>
          <w:u w:val="single"/>
          <w:lang w:eastAsia="zh-CN"/>
        </w:rPr>
        <w:t>杭州市余杭区人民政府仁和街道办事处云会中学（仁和二中）新建项目电梯采购项目</w:t>
      </w:r>
      <w:r>
        <w:rPr>
          <w:rFonts w:hint="eastAsia" w:ascii="宋体" w:hAnsi="宋体"/>
          <w:sz w:val="24"/>
          <w:u w:val="single"/>
        </w:rPr>
        <w:t>项目进行公开采购。</w:t>
      </w:r>
    </w:p>
    <w:p w14:paraId="0B3C88ED">
      <w:pPr>
        <w:rPr>
          <w:rFonts w:ascii="宋体"/>
          <w:sz w:val="24"/>
        </w:rPr>
      </w:pPr>
      <w:r>
        <w:rPr>
          <w:rFonts w:hint="eastAsia" w:ascii="宋体" w:hAnsi="宋体"/>
          <w:sz w:val="24"/>
        </w:rPr>
        <w:t>（十）竞争范围：</w:t>
      </w:r>
      <w:r>
        <w:rPr>
          <w:rFonts w:ascii="宋体"/>
          <w:sz w:val="24"/>
        </w:rPr>
        <w:tab/>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5EE3CCE3">
      <w:pPr>
        <w:rPr>
          <w:rFonts w:ascii="宋体"/>
          <w:sz w:val="24"/>
        </w:rPr>
      </w:pPr>
      <w:r>
        <w:rPr>
          <w:rFonts w:hint="eastAsia" w:ascii="宋体" w:hAnsi="宋体"/>
          <w:sz w:val="24"/>
        </w:rPr>
        <w:t xml:space="preserve">（十一）评审规则： </w:t>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016C5AF7">
      <w:pPr>
        <w:spacing w:before="312" w:beforeLines="100" w:line="360" w:lineRule="auto"/>
        <w:jc w:val="left"/>
        <w:rPr>
          <w:rFonts w:ascii="宋体"/>
          <w:b/>
          <w:sz w:val="28"/>
          <w:szCs w:val="28"/>
        </w:rPr>
      </w:pPr>
      <w:r>
        <w:rPr>
          <w:rFonts w:hint="eastAsia" w:ascii="宋体" w:hAnsi="宋体"/>
          <w:b/>
          <w:sz w:val="28"/>
          <w:szCs w:val="28"/>
        </w:rPr>
        <w:t>二、合同管理安排</w:t>
      </w:r>
    </w:p>
    <w:p w14:paraId="61541103">
      <w:pPr>
        <w:spacing w:line="360" w:lineRule="auto"/>
        <w:jc w:val="left"/>
        <w:rPr>
          <w:rFonts w:ascii="宋体"/>
          <w:sz w:val="24"/>
        </w:rPr>
      </w:pPr>
      <w:r>
        <w:rPr>
          <w:rFonts w:hint="eastAsia" w:ascii="宋体" w:hAnsi="宋体"/>
          <w:sz w:val="24"/>
        </w:rPr>
        <w:t>（一）合同类型</w:t>
      </w:r>
    </w:p>
    <w:p w14:paraId="0D438F8D">
      <w:pPr>
        <w:spacing w:line="360" w:lineRule="auto"/>
        <w:ind w:firstLine="480" w:firstLineChars="200"/>
        <w:jc w:val="left"/>
        <w:rPr>
          <w:rFonts w:ascii="宋体"/>
          <w:sz w:val="24"/>
        </w:rPr>
      </w:pPr>
      <w:r>
        <w:rPr>
          <w:rFonts w:hint="eastAsia" w:ascii="宋体" w:hAnsi="宋体"/>
          <w:sz w:val="24"/>
          <w:lang w:eastAsia="zh-CN"/>
        </w:rPr>
        <w:t>☑</w:t>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Wingdings 2"/>
          <w:sz w:val="24"/>
        </w:rPr>
        <w:sym w:font="Wingdings 2" w:char="F0A3"/>
      </w:r>
      <w:r>
        <w:rPr>
          <w:rFonts w:hint="eastAsia" w:ascii="宋体" w:hAnsi="宋体"/>
          <w:sz w:val="24"/>
        </w:rPr>
        <w:t>服务合同</w:t>
      </w:r>
    </w:p>
    <w:p w14:paraId="26158E34">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48EB97BA">
      <w:pPr>
        <w:spacing w:line="360" w:lineRule="auto"/>
        <w:jc w:val="left"/>
        <w:rPr>
          <w:rFonts w:ascii="宋体"/>
          <w:sz w:val="24"/>
        </w:rPr>
      </w:pPr>
      <w:r>
        <w:rPr>
          <w:rFonts w:hint="eastAsia" w:ascii="宋体" w:hAnsi="宋体"/>
          <w:sz w:val="24"/>
        </w:rPr>
        <w:t>（二）定价方式</w:t>
      </w:r>
    </w:p>
    <w:p w14:paraId="6367BFF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固定单价</w:t>
      </w:r>
    </w:p>
    <w:p w14:paraId="0A96574C">
      <w:pPr>
        <w:spacing w:line="360" w:lineRule="auto"/>
        <w:ind w:firstLine="420"/>
        <w:jc w:val="left"/>
        <w:rPr>
          <w:rFonts w:asci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绩效激励</w:t>
      </w:r>
    </w:p>
    <w:p w14:paraId="47328850">
      <w:pPr>
        <w:spacing w:line="360" w:lineRule="auto"/>
        <w:jc w:val="left"/>
        <w:rPr>
          <w:rFonts w:ascii="宋体"/>
          <w:sz w:val="24"/>
        </w:rPr>
      </w:pPr>
      <w:r>
        <w:rPr>
          <w:rFonts w:hint="eastAsia" w:ascii="宋体" w:hAnsi="宋体"/>
          <w:sz w:val="24"/>
        </w:rPr>
        <w:t>（三）合同文本的主要条款</w:t>
      </w:r>
    </w:p>
    <w:p w14:paraId="654157C3">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6B60F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4BE515E3">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3208C028">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云会中学（仁和二中）新建项目电梯采购项目</w:t>
            </w:r>
          </w:p>
        </w:tc>
      </w:tr>
      <w:tr w14:paraId="0361C3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6F20EC2C">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1907B6CE">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2C790559">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2DB27367">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61EAF4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3B88ACB3">
            <w:pPr>
              <w:spacing w:line="360" w:lineRule="auto"/>
              <w:jc w:val="center"/>
              <w:rPr>
                <w:rFonts w:ascii="宋体" w:hAnsi="宋体" w:cs="仿宋_GB2312"/>
                <w:sz w:val="24"/>
              </w:rPr>
            </w:pPr>
            <w:r>
              <w:rPr>
                <w:rFonts w:hint="eastAsia" w:ascii="宋体" w:hAnsi="宋体" w:cs="仿宋_GB2312"/>
                <w:sz w:val="24"/>
              </w:rPr>
              <w:t>功能和质量</w:t>
            </w:r>
          </w:p>
          <w:p w14:paraId="10FF46DA">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4869D6BE">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项目遵循技术先进、功能齐全、性能稳定、节约成本的原则。并综合考虑施工、维护及操作因素，将为今后的发展、扩建、改造等因素留有扩充的余地。本项目是系统的、完整的、全面的；具有科学性、合理性、可操作性；</w:t>
            </w:r>
          </w:p>
          <w:p w14:paraId="7117A962">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质量要求：供方所供的货物必须为全新的，符合国家标准的合格产品；</w:t>
            </w:r>
          </w:p>
        </w:tc>
      </w:tr>
    </w:tbl>
    <w:p w14:paraId="3286C83A">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ascii="宋体" w:hAnsi="宋体"/>
          <w:iCs/>
          <w:sz w:val="24"/>
          <w:u w:val="single"/>
        </w:rPr>
        <w:t xml:space="preserve"> </w:t>
      </w:r>
      <w:r>
        <w:rPr>
          <w:rFonts w:hint="eastAsia" w:ascii="宋体" w:hAnsi="宋体"/>
          <w:iCs/>
          <w:sz w:val="24"/>
          <w:u w:val="single"/>
          <w:lang w:eastAsia="zh-CN"/>
        </w:rPr>
        <w:t>合同签订之日起</w:t>
      </w:r>
      <w:r>
        <w:rPr>
          <w:rFonts w:hint="eastAsia" w:ascii="宋体" w:hAnsi="宋体"/>
          <w:iCs/>
          <w:sz w:val="24"/>
          <w:u w:val="single"/>
          <w:lang w:val="en-US" w:eastAsia="zh-CN"/>
        </w:rPr>
        <w:t>60日历天</w:t>
      </w:r>
      <w:r>
        <w:rPr>
          <w:rFonts w:hint="eastAsia" w:ascii="宋体" w:hAnsi="宋体"/>
          <w:iCs/>
          <w:sz w:val="24"/>
          <w:u w:val="single"/>
          <w:lang w:eastAsia="zh-CN"/>
        </w:rPr>
        <w:t>内完成安装调试工作</w:t>
      </w:r>
      <w:r>
        <w:rPr>
          <w:rFonts w:ascii="宋体" w:hAnsi="宋体"/>
          <w:iCs/>
          <w:sz w:val="24"/>
          <w:u w:val="single"/>
        </w:rPr>
        <w:t xml:space="preserve">                      </w:t>
      </w:r>
    </w:p>
    <w:p w14:paraId="2D1484B2">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hint="eastAsia" w:ascii="宋体" w:hAnsi="宋体"/>
          <w:iCs/>
          <w:sz w:val="24"/>
          <w:u w:val="single"/>
        </w:rPr>
        <w:t xml:space="preserve"> 采购人指定地点</w:t>
      </w:r>
    </w:p>
    <w:p w14:paraId="27C3749F">
      <w:pPr>
        <w:spacing w:line="360" w:lineRule="auto"/>
        <w:ind w:firstLine="480" w:firstLineChars="200"/>
        <w:jc w:val="left"/>
        <w:rPr>
          <w:rFonts w:ascii="宋体"/>
          <w:iCs/>
          <w:sz w:val="24"/>
          <w:u w:val="single"/>
        </w:rPr>
      </w:pPr>
      <w:r>
        <w:rPr>
          <w:rFonts w:ascii="宋体" w:hAnsi="宋体"/>
          <w:iCs/>
          <w:sz w:val="24"/>
        </w:rPr>
        <w:t>4.</w:t>
      </w:r>
      <w:r>
        <w:rPr>
          <w:rFonts w:hint="eastAsia" w:ascii="宋体" w:hAnsi="宋体"/>
          <w:iCs/>
          <w:sz w:val="24"/>
        </w:rPr>
        <w:t>价款或者报酬：</w:t>
      </w:r>
      <w:r>
        <w:rPr>
          <w:rFonts w:hint="eastAsia" w:ascii="宋体" w:hAnsi="宋体"/>
          <w:iCs/>
          <w:sz w:val="24"/>
          <w:u w:val="single"/>
        </w:rPr>
        <w:t xml:space="preserve">   以实际中标价为准    </w:t>
      </w:r>
    </w:p>
    <w:p w14:paraId="55973162">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考核要求和付款进度安排</w:t>
      </w:r>
    </w:p>
    <w:p w14:paraId="24248FB8">
      <w:pPr>
        <w:snapToGrid w:val="0"/>
        <w:spacing w:line="360" w:lineRule="auto"/>
        <w:ind w:firstLine="482" w:firstLineChars="200"/>
        <w:rPr>
          <w:rFonts w:ascii="宋体" w:hAnsi="宋体"/>
          <w:b/>
          <w:sz w:val="24"/>
          <w:highlight w:val="none"/>
        </w:rPr>
      </w:pPr>
      <w:r>
        <w:rPr>
          <w:rFonts w:hint="eastAsia" w:ascii="宋体" w:hAnsi="宋体"/>
          <w:b/>
          <w:sz w:val="24"/>
          <w:highlight w:val="none"/>
        </w:rPr>
        <w:t>付款方式</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268164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7AD089F8">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33DA3995">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5148DE0F">
            <w:pPr>
              <w:spacing w:line="360" w:lineRule="auto"/>
              <w:jc w:val="center"/>
              <w:rPr>
                <w:rFonts w:ascii="宋体" w:hAnsi="宋体" w:cs="仿宋_GB2312"/>
                <w:sz w:val="24"/>
              </w:rPr>
            </w:pPr>
            <w:r>
              <w:rPr>
                <w:rFonts w:hint="eastAsia" w:ascii="宋体" w:hAnsi="宋体" w:cs="仿宋_GB2312"/>
                <w:sz w:val="24"/>
              </w:rPr>
              <w:t>付款方式</w:t>
            </w:r>
          </w:p>
        </w:tc>
      </w:tr>
      <w:tr w14:paraId="5C4F73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7B01DBE2">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2977511D">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64A1A388">
            <w:pPr>
              <w:spacing w:line="360" w:lineRule="auto"/>
              <w:jc w:val="left"/>
              <w:rPr>
                <w:rFonts w:ascii="宋体" w:hAnsi="宋体" w:cs="仿宋_GB2312"/>
                <w:sz w:val="24"/>
              </w:rPr>
            </w:pPr>
            <w:r>
              <w:rPr>
                <w:rFonts w:hint="eastAsia" w:ascii="宋体" w:hAnsi="宋体" w:cs="仿宋_GB2312"/>
                <w:color w:val="auto"/>
                <w:sz w:val="24"/>
                <w:szCs w:val="24"/>
                <w:highlight w:val="none"/>
              </w:rPr>
              <w:t>合同签订后7个工作日内，向中标单位支付合同金额50％的预付款。</w:t>
            </w:r>
          </w:p>
        </w:tc>
      </w:tr>
      <w:tr w14:paraId="2A16E4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400DBB31">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2977" w:type="dxa"/>
            <w:noWrap w:val="0"/>
            <w:vAlign w:val="top"/>
          </w:tcPr>
          <w:p w14:paraId="64FAD49F">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30</w:t>
            </w:r>
          </w:p>
        </w:tc>
        <w:tc>
          <w:tcPr>
            <w:tcW w:w="4161" w:type="dxa"/>
            <w:noWrap w:val="0"/>
            <w:vAlign w:val="top"/>
          </w:tcPr>
          <w:p w14:paraId="55FDEBB0">
            <w:pPr>
              <w:spacing w:line="360" w:lineRule="auto"/>
              <w:jc w:val="left"/>
              <w:rPr>
                <w:rFonts w:hint="eastAsia" w:ascii="宋体" w:hAnsi="宋体" w:cs="宋体"/>
                <w:sz w:val="24"/>
                <w:highlight w:val="none"/>
                <w:lang w:val="en-US" w:eastAsia="zh-CN"/>
              </w:rPr>
            </w:pPr>
            <w:r>
              <w:rPr>
                <w:rFonts w:hint="eastAsia" w:ascii="宋体" w:hAnsi="宋体" w:cs="宋体"/>
                <w:color w:val="auto"/>
                <w:sz w:val="24"/>
                <w:highlight w:val="none"/>
              </w:rPr>
              <w:t>电梯设备</w:t>
            </w:r>
            <w:r>
              <w:rPr>
                <w:rFonts w:hint="eastAsia" w:ascii="宋体" w:hAnsi="宋体" w:cs="宋体"/>
                <w:color w:val="auto"/>
                <w:sz w:val="24"/>
                <w:highlight w:val="none"/>
                <w:lang w:val="en-US" w:eastAsia="zh-CN"/>
              </w:rPr>
              <w:t>安装调试完成后支付合同款的30%</w:t>
            </w:r>
            <w:r>
              <w:rPr>
                <w:rFonts w:hint="eastAsia" w:ascii="宋体" w:hAnsi="宋体" w:cs="仿宋_GB2312"/>
                <w:color w:val="auto"/>
                <w:sz w:val="24"/>
                <w:szCs w:val="24"/>
                <w:highlight w:val="none"/>
              </w:rPr>
              <w:t>。</w:t>
            </w:r>
          </w:p>
        </w:tc>
      </w:tr>
      <w:tr w14:paraId="492913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0378B6D6">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3</w:t>
            </w:r>
          </w:p>
        </w:tc>
        <w:tc>
          <w:tcPr>
            <w:tcW w:w="2977" w:type="dxa"/>
            <w:noWrap w:val="0"/>
            <w:vAlign w:val="top"/>
          </w:tcPr>
          <w:p w14:paraId="0DA35FB9">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20</w:t>
            </w:r>
          </w:p>
        </w:tc>
        <w:tc>
          <w:tcPr>
            <w:tcW w:w="4161" w:type="dxa"/>
            <w:noWrap w:val="0"/>
            <w:vAlign w:val="top"/>
          </w:tcPr>
          <w:p w14:paraId="3052DB03">
            <w:pPr>
              <w:spacing w:line="360" w:lineRule="auto"/>
              <w:jc w:val="left"/>
              <w:rPr>
                <w:rFonts w:hint="eastAsia" w:ascii="宋体" w:hAnsi="宋体" w:cs="仿宋_GB2312"/>
                <w:color w:val="auto"/>
                <w:sz w:val="24"/>
                <w:szCs w:val="24"/>
                <w:highlight w:val="none"/>
              </w:rPr>
            </w:pPr>
            <w:r>
              <w:rPr>
                <w:rFonts w:hint="eastAsia" w:ascii="宋体" w:hAnsi="宋体" w:cs="宋体"/>
                <w:color w:val="auto"/>
                <w:sz w:val="24"/>
                <w:highlight w:val="none"/>
              </w:rPr>
              <w:t>通过当地质量技术监督部门验收，移交招标人或招标人确定的物业公司后付</w:t>
            </w:r>
            <w:r>
              <w:rPr>
                <w:rFonts w:hint="eastAsia" w:ascii="宋体" w:hAnsi="宋体" w:cs="宋体"/>
                <w:color w:val="auto"/>
                <w:sz w:val="24"/>
                <w:highlight w:val="none"/>
                <w:lang w:val="en-US" w:eastAsia="zh-CN"/>
              </w:rPr>
              <w:t>合同剩余款项</w:t>
            </w:r>
          </w:p>
        </w:tc>
      </w:tr>
    </w:tbl>
    <w:p w14:paraId="3D10A0C4">
      <w:pPr>
        <w:spacing w:line="360" w:lineRule="auto"/>
        <w:ind w:firstLine="480" w:firstLineChars="200"/>
        <w:jc w:val="left"/>
        <w:rPr>
          <w:rFonts w:ascii="宋体" w:hAnsi="宋体"/>
          <w:bCs/>
          <w:sz w:val="24"/>
          <w:highlight w:val="yellow"/>
        </w:rPr>
      </w:pPr>
    </w:p>
    <w:p w14:paraId="09FBE8C1">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74746000">
      <w:pPr>
        <w:spacing w:line="360" w:lineRule="auto"/>
        <w:ind w:firstLine="480" w:firstLineChars="200"/>
        <w:jc w:val="left"/>
        <w:rPr>
          <w:rFonts w:ascii="宋体"/>
          <w:iCs/>
          <w:sz w:val="24"/>
        </w:rPr>
      </w:pPr>
      <w:r>
        <w:rPr>
          <w:rFonts w:ascii="宋体" w:hAnsi="宋体"/>
          <w:iCs/>
          <w:sz w:val="24"/>
        </w:rPr>
        <w:t>7.</w:t>
      </w:r>
      <w:r>
        <w:rPr>
          <w:rFonts w:hint="eastAsia" w:ascii="宋体" w:hAnsi="宋体"/>
          <w:iCs/>
          <w:sz w:val="24"/>
        </w:rPr>
        <w:t>验收、交付标准和方法</w:t>
      </w:r>
    </w:p>
    <w:p w14:paraId="356E7987">
      <w:pPr>
        <w:spacing w:line="360" w:lineRule="auto"/>
        <w:ind w:firstLine="480" w:firstLineChars="200"/>
        <w:jc w:val="left"/>
        <w:rPr>
          <w:rFonts w:ascii="宋体"/>
          <w:sz w:val="24"/>
          <w:u w:val="single"/>
        </w:rPr>
      </w:pPr>
      <w:r>
        <w:rPr>
          <w:rFonts w:hint="eastAsia" w:ascii="宋体" w:hAnsi="宋体"/>
          <w:iCs/>
          <w:sz w:val="24"/>
          <w:u w:val="single"/>
        </w:rPr>
        <w:t xml:space="preserve">根据《杭州市政府采购履约验收暂行办法》（杭财采监〔2019〕10号）规定，采购人应当根据采购项目的具体情况，自行组织项目验收或者委托采购代理机构验收。         </w:t>
      </w:r>
      <w:r>
        <w:rPr>
          <w:rFonts w:ascii="宋体" w:hAnsi="宋体"/>
          <w:iCs/>
          <w:sz w:val="24"/>
        </w:rPr>
        <w:t>8.</w:t>
      </w:r>
      <w:r>
        <w:rPr>
          <w:rFonts w:hint="eastAsia" w:ascii="宋体" w:hAnsi="宋体"/>
          <w:iCs/>
          <w:sz w:val="24"/>
        </w:rPr>
        <w:t xml:space="preserve">质量保修范围和保修期： / </w:t>
      </w:r>
    </w:p>
    <w:p w14:paraId="5D505F7E">
      <w:pPr>
        <w:spacing w:line="360" w:lineRule="auto"/>
        <w:ind w:firstLine="480" w:firstLineChars="200"/>
        <w:jc w:val="left"/>
        <w:rPr>
          <w:rFonts w:ascii="宋体"/>
          <w:iCs/>
          <w:sz w:val="24"/>
          <w:u w:val="single"/>
        </w:rPr>
      </w:pP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iCs/>
          <w:sz w:val="24"/>
          <w:u w:val="single"/>
        </w:rPr>
        <w:t xml:space="preserve"> / </w:t>
      </w:r>
      <w:r>
        <w:rPr>
          <w:rFonts w:ascii="宋体" w:hAnsi="宋体"/>
          <w:iCs/>
          <w:sz w:val="24"/>
          <w:u w:val="single"/>
        </w:rPr>
        <w:t xml:space="preserve">   </w:t>
      </w:r>
    </w:p>
    <w:p w14:paraId="53C8B636">
      <w:pPr>
        <w:spacing w:line="360" w:lineRule="auto"/>
        <w:ind w:firstLine="480" w:firstLineChars="200"/>
        <w:jc w:val="left"/>
        <w:rPr>
          <w:rFonts w:ascii="宋体"/>
          <w:iCs/>
          <w:sz w:val="24"/>
        </w:rPr>
      </w:pPr>
      <w:r>
        <w:rPr>
          <w:rFonts w:ascii="宋体" w:hAnsi="宋体"/>
          <w:iCs/>
          <w:sz w:val="24"/>
        </w:rPr>
        <w:t>10.</w:t>
      </w:r>
      <w:r>
        <w:rPr>
          <w:rFonts w:hint="eastAsia" w:ascii="宋体" w:hAnsi="宋体"/>
          <w:iCs/>
          <w:sz w:val="24"/>
        </w:rPr>
        <w:t>成本补偿、风险分担约定</w:t>
      </w:r>
    </w:p>
    <w:p w14:paraId="53EC437F">
      <w:pPr>
        <w:spacing w:line="590" w:lineRule="exact"/>
        <w:ind w:firstLine="420"/>
        <w:jc w:val="left"/>
        <w:rPr>
          <w:rFonts w:ascii="宋体" w:hAnsi="宋体" w:eastAsia="仿宋_GB2312"/>
          <w:sz w:val="24"/>
        </w:rPr>
      </w:pPr>
      <w:r>
        <w:rPr>
          <w:rFonts w:hint="eastAsia" w:ascii="宋体" w:hAnsi="宋体"/>
          <w:sz w:val="24"/>
          <w:u w:val="single"/>
        </w:rPr>
        <w:t>无</w:t>
      </w:r>
      <w:r>
        <w:rPr>
          <w:rFonts w:hint="eastAsia" w:ascii="宋体" w:hAnsi="宋体"/>
          <w:sz w:val="24"/>
        </w:rPr>
        <w:t>。</w:t>
      </w:r>
    </w:p>
    <w:p w14:paraId="5FCC6DE9">
      <w:pPr>
        <w:spacing w:line="360" w:lineRule="auto"/>
        <w:ind w:firstLine="480" w:firstLineChars="200"/>
        <w:jc w:val="left"/>
        <w:rPr>
          <w:rFonts w:ascii="宋体"/>
          <w:iCs/>
          <w:sz w:val="24"/>
          <w:u w:val="single"/>
        </w:rPr>
      </w:pPr>
      <w:r>
        <w:rPr>
          <w:rFonts w:ascii="宋体" w:hAnsi="宋体"/>
          <w:iCs/>
          <w:sz w:val="24"/>
        </w:rPr>
        <w:t>11.</w:t>
      </w:r>
      <w:r>
        <w:rPr>
          <w:rFonts w:hint="eastAsia" w:ascii="宋体" w:hAnsi="宋体"/>
          <w:iCs/>
          <w:sz w:val="24"/>
        </w:rPr>
        <w:t>违约责任与解决争议的方法：</w:t>
      </w:r>
      <w:r>
        <w:rPr>
          <w:rFonts w:hint="eastAsia" w:ascii="宋体" w:hAnsi="宋体"/>
          <w:iCs/>
          <w:sz w:val="24"/>
          <w:u w:val="single"/>
        </w:rPr>
        <w:t>双方在执行合同中所发生的一切争议，应通过协商解决</w:t>
      </w:r>
      <w:r>
        <w:rPr>
          <w:rFonts w:hint="eastAsia" w:ascii="宋体" w:hAnsi="宋体"/>
          <w:sz w:val="24"/>
        </w:rPr>
        <w:t>。</w:t>
      </w:r>
    </w:p>
    <w:p w14:paraId="454110ED">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p>
    <w:p w14:paraId="3B3CBEDE">
      <w:pPr>
        <w:spacing w:line="360" w:lineRule="auto"/>
        <w:ind w:firstLine="480" w:firstLineChars="200"/>
        <w:jc w:val="left"/>
        <w:rPr>
          <w:rFonts w:ascii="宋体"/>
          <w:sz w:val="24"/>
          <w:u w:val="single"/>
        </w:rPr>
      </w:pPr>
      <w:r>
        <w:rPr>
          <w:rFonts w:hint="eastAsia" w:ascii="宋体" w:hAnsi="宋体"/>
          <w:sz w:val="24"/>
          <w:u w:val="single"/>
        </w:rPr>
        <w:t>以发布为准</w:t>
      </w:r>
    </w:p>
    <w:p w14:paraId="519E7F4B">
      <w:pPr>
        <w:spacing w:before="312" w:beforeLines="100" w:line="360" w:lineRule="auto"/>
        <w:jc w:val="left"/>
        <w:rPr>
          <w:rFonts w:ascii="宋体"/>
          <w:b/>
          <w:sz w:val="28"/>
          <w:szCs w:val="28"/>
        </w:rPr>
      </w:pPr>
      <w:r>
        <w:rPr>
          <w:rFonts w:hint="eastAsia" w:ascii="宋体" w:hAnsi="宋体"/>
          <w:b/>
          <w:sz w:val="28"/>
          <w:szCs w:val="28"/>
        </w:rPr>
        <w:t>三、履约验收方案</w:t>
      </w:r>
    </w:p>
    <w:p w14:paraId="1DC57AD0">
      <w:pPr>
        <w:spacing w:line="360" w:lineRule="auto"/>
        <w:jc w:val="left"/>
        <w:rPr>
          <w:rFonts w:ascii="宋体"/>
          <w:sz w:val="24"/>
        </w:rPr>
      </w:pPr>
      <w:r>
        <w:rPr>
          <w:rFonts w:hint="eastAsia" w:ascii="宋体" w:hAnsi="宋体"/>
          <w:sz w:val="24"/>
        </w:rPr>
        <w:t>（一）履约验收主体</w:t>
      </w:r>
    </w:p>
    <w:p w14:paraId="53822BA8">
      <w:pPr>
        <w:spacing w:line="360" w:lineRule="auto"/>
        <w:ind w:left="420" w:leftChars="200"/>
        <w:jc w:val="left"/>
        <w:rPr>
          <w:rFonts w:hint="eastAsia" w:ascii="宋体" w:eastAsia="宋体"/>
          <w:sz w:val="24"/>
          <w:u w:val="single"/>
          <w:lang w:eastAsia="zh-CN"/>
        </w:rPr>
      </w:pPr>
      <w:r>
        <w:rPr>
          <w:rFonts w:ascii="宋体" w:hAnsi="宋体"/>
          <w:sz w:val="24"/>
        </w:rPr>
        <w:t>1.</w:t>
      </w:r>
      <w:r>
        <w:rPr>
          <w:rFonts w:hint="eastAsia" w:ascii="宋体" w:hAnsi="宋体"/>
          <w:sz w:val="24"/>
        </w:rPr>
        <w:t>采购单位：</w:t>
      </w:r>
      <w:r>
        <w:rPr>
          <w:rFonts w:hint="eastAsia" w:ascii="宋体" w:hAnsi="宋体" w:eastAsia="宋体"/>
          <w:sz w:val="24"/>
          <w:u w:val="single"/>
          <w:lang w:eastAsia="zh-CN"/>
        </w:rPr>
        <w:t>杭州市余杭区人民政府仁和街道办事处</w:t>
      </w:r>
    </w:p>
    <w:p w14:paraId="2B1CB77B">
      <w:pPr>
        <w:ind w:firstLine="480" w:firstLineChars="200"/>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52"/>
      </w:r>
      <w:r>
        <w:rPr>
          <w:rFonts w:hint="eastAsia" w:ascii="宋体" w:hAnsi="宋体"/>
          <w:sz w:val="24"/>
        </w:rPr>
        <w:t xml:space="preserve"> 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00A3"/>
      </w:r>
      <w:r>
        <w:rPr>
          <w:rFonts w:hint="eastAsia" w:ascii="宋体" w:hAnsi="宋体"/>
          <w:sz w:val="24"/>
        </w:rPr>
        <w:t>否（自行验收）</w:t>
      </w:r>
    </w:p>
    <w:p w14:paraId="4CC3A69B">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p w14:paraId="0D730292">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00A3"/>
      </w:r>
      <w:r>
        <w:rPr>
          <w:rFonts w:hint="eastAsia" w:ascii="宋体" w:hAnsi="宋体"/>
          <w:sz w:val="24"/>
        </w:rPr>
        <w:t>否</w:t>
      </w:r>
    </w:p>
    <w:p w14:paraId="12793BAB">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A3"/>
      </w:r>
      <w:r>
        <w:rPr>
          <w:rFonts w:hint="eastAsia" w:ascii="宋体" w:hAnsi="宋体"/>
          <w:sz w:val="24"/>
        </w:rPr>
        <w:t>否</w:t>
      </w:r>
    </w:p>
    <w:p w14:paraId="06233BB7">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61F3AFCF">
      <w:pPr>
        <w:spacing w:line="360" w:lineRule="auto"/>
        <w:ind w:firstLine="480" w:firstLineChars="200"/>
        <w:jc w:val="left"/>
        <w:rPr>
          <w:rFonts w:ascii="宋体"/>
          <w:sz w:val="24"/>
          <w:u w:val="single"/>
        </w:rPr>
      </w:pPr>
      <w:r>
        <w:rPr>
          <w:rFonts w:hint="eastAsia" w:ascii="宋体" w:hAnsi="宋体"/>
          <w:sz w:val="24"/>
          <w:u w:val="single"/>
        </w:rPr>
        <w:t>无</w:t>
      </w:r>
    </w:p>
    <w:p w14:paraId="3FEC8C36">
      <w:pPr>
        <w:spacing w:line="360" w:lineRule="auto"/>
        <w:jc w:val="left"/>
        <w:rPr>
          <w:rFonts w:ascii="宋体"/>
          <w:sz w:val="24"/>
          <w:u w:val="single"/>
        </w:rPr>
      </w:pPr>
      <w:r>
        <w:rPr>
          <w:rFonts w:hint="eastAsia" w:ascii="宋体" w:hAnsi="宋体"/>
          <w:sz w:val="24"/>
        </w:rPr>
        <w:t>（二）履约验收时间：</w:t>
      </w:r>
      <w:r>
        <w:rPr>
          <w:rFonts w:hint="eastAsia" w:ascii="宋体" w:hAnsi="宋体"/>
          <w:sz w:val="24"/>
          <w:u w:val="single"/>
        </w:rPr>
        <w:t xml:space="preserve">  / </w:t>
      </w:r>
      <w:r>
        <w:rPr>
          <w:rFonts w:hint="eastAsia" w:ascii="宋体" w:hAnsi="宋体"/>
          <w:sz w:val="24"/>
        </w:rPr>
        <w:t>。</w:t>
      </w:r>
    </w:p>
    <w:p w14:paraId="6F79BE1D">
      <w:pPr>
        <w:spacing w:line="360" w:lineRule="auto"/>
        <w:jc w:val="left"/>
        <w:rPr>
          <w:rFonts w:ascii="宋体"/>
          <w:sz w:val="24"/>
        </w:rPr>
      </w:pPr>
      <w:r>
        <w:rPr>
          <w:rFonts w:hint="eastAsia" w:ascii="宋体" w:hAnsi="宋体"/>
          <w:sz w:val="24"/>
        </w:rPr>
        <w:t>（三）履约验收方式：</w:t>
      </w:r>
      <w:r>
        <w:rPr>
          <w:rFonts w:hint="eastAsia" w:ascii="宋体" w:hAnsi="宋体" w:cs="仿宋_GB2312"/>
          <w:sz w:val="24"/>
        </w:rPr>
        <w:sym w:font="Wingdings" w:char="00A8"/>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w:char="00FE"/>
      </w:r>
      <w:r>
        <w:rPr>
          <w:rFonts w:hint="eastAsia" w:ascii="宋体" w:hAnsi="宋体"/>
          <w:sz w:val="24"/>
        </w:rPr>
        <w:t>一般程序</w:t>
      </w:r>
    </w:p>
    <w:p w14:paraId="40720E25">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00A3"/>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ascii="宋体"/>
          <w:sz w:val="24"/>
        </w:rPr>
        <w:tab/>
      </w:r>
      <w:r>
        <w:rPr>
          <w:rFonts w:hint="eastAsia" w:ascii="宋体" w:hAnsi="宋体"/>
          <w:sz w:val="24"/>
        </w:rPr>
        <w:t>分期验收</w:t>
      </w:r>
    </w:p>
    <w:p w14:paraId="0D304E77">
      <w:pPr>
        <w:spacing w:line="360" w:lineRule="auto"/>
        <w:jc w:val="left"/>
        <w:rPr>
          <w:rFonts w:ascii="宋体"/>
          <w:sz w:val="24"/>
        </w:rPr>
      </w:pPr>
      <w:r>
        <w:rPr>
          <w:rFonts w:hint="eastAsia" w:ascii="宋体" w:hAnsi="宋体"/>
          <w:sz w:val="24"/>
        </w:rPr>
        <w:t>（五）履约验收内容</w:t>
      </w:r>
    </w:p>
    <w:p w14:paraId="4D141BF9">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1.技术履约内容</w:t>
      </w:r>
    </w:p>
    <w:p w14:paraId="006D5F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3550C5CD">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2.商务履约内容</w:t>
      </w:r>
    </w:p>
    <w:p w14:paraId="34DADF3A">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200161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（六）履约验收标准</w:t>
      </w:r>
    </w:p>
    <w:p w14:paraId="5B44C07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按照采购文件、响应文件及采购合同的约定对每一项技术、服务、安全标准的履约情况进 行确认。  </w:t>
      </w:r>
    </w:p>
    <w:p w14:paraId="4BFEADD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（七）履约验收其他事项</w:t>
      </w:r>
    </w:p>
    <w:p w14:paraId="3413953F">
      <w:pPr>
        <w:spacing w:line="360" w:lineRule="auto"/>
        <w:jc w:val="left"/>
        <w:rPr>
          <w:rFonts w:hint="eastAsia" w:ascii="宋体" w:hAnsi="宋体" w:eastAsia="宋体" w:cs="Times New Roman"/>
          <w:sz w:val="24"/>
          <w:highlight w:val="none"/>
        </w:rPr>
      </w:pPr>
      <w:r>
        <w:rPr>
          <w:rFonts w:hint="eastAsia" w:ascii="宋体" w:hAnsi="宋体"/>
          <w:sz w:val="24"/>
          <w:u w:val="single"/>
        </w:rPr>
        <w:t xml:space="preserve">  验收合格的项目，采购人将根据采购合同的约定及时向供应商支付采购资金、退还履约保证金。验收不合格的项目，采购人将依法及时处理。采购合同的履行、违约责任和解决争议的方式等适用《中华人民共和国民法典》。 </w:t>
      </w:r>
    </w:p>
    <w:p w14:paraId="7C0FD2CC">
      <w:pPr>
        <w:spacing w:line="360" w:lineRule="auto"/>
        <w:jc w:val="left"/>
        <w:rPr>
          <w:rFonts w:hint="eastAsia" w:ascii="宋体" w:hAnsi="宋体" w:eastAsia="宋体" w:cs="Times New Roman"/>
          <w:sz w:val="24"/>
          <w:highlight w:val="none"/>
        </w:rPr>
      </w:pPr>
    </w:p>
    <w:p w14:paraId="2DBA2FBC">
      <w:pPr>
        <w:keepNext w:val="0"/>
        <w:keepLines w:val="0"/>
        <w:pageBreakBefore w:val="0"/>
        <w:widowControl w:val="0"/>
        <w:kinsoku/>
        <w:wordWrap/>
        <w:overflowPunct/>
        <w:topLinePunct w:val="0"/>
        <w:autoSpaceDE/>
        <w:autoSpaceDN/>
        <w:bidi w:val="0"/>
        <w:adjustRightInd/>
        <w:snapToGrid/>
        <w:spacing w:before="312" w:beforeLines="100" w:line="590" w:lineRule="exact"/>
        <w:ind w:right="0" w:rightChars="0"/>
        <w:jc w:val="left"/>
        <w:textAlignment w:val="auto"/>
        <w:outlineLvl w:val="9"/>
        <w:rPr>
          <w:rFonts w:ascii="宋体" w:hAnsi="宋体"/>
          <w:b/>
          <w:sz w:val="28"/>
          <w:szCs w:val="28"/>
        </w:rPr>
      </w:pPr>
      <w:r>
        <w:rPr>
          <w:rFonts w:hint="eastAsia" w:ascii="宋体" w:hAnsi="宋体"/>
          <w:b/>
          <w:sz w:val="28"/>
          <w:szCs w:val="28"/>
        </w:rPr>
        <w:t>四、风险控制措施和替代方案</w:t>
      </w:r>
    </w:p>
    <w:p w14:paraId="620E28F1">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2762C70B">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（一）国家政策变化应对措施</w:t>
      </w:r>
    </w:p>
    <w:p w14:paraId="0A355B7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采购人有权根据国家政策或法律法规的变动等非采购人可控因素，对本项目的需求标准、 质量要求、合同总价等作出相应变更或者取消项目或者重新组织项目招标，均不视为采购人违约。采购人有权对需求进行修改。 </w:t>
      </w:r>
    </w:p>
    <w:p w14:paraId="35EBB65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（二）实施环境变化应对措施</w:t>
      </w:r>
    </w:p>
    <w:p w14:paraId="7CA958C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采购人有权根据实施环境变化等非采购人可控因素，对本项目的需求标准、质量要求、合 同总价等作出相应变更或者取消项目或者重新组织项目招标，均不视为采购人违约。采购人有权 对需求进行修改。</w:t>
      </w:r>
    </w:p>
    <w:p w14:paraId="4789E3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（三）重大技术变化应对措施</w:t>
      </w:r>
    </w:p>
    <w:p w14:paraId="1E6A69B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采购人有权根据重大技术变化等非采购人可控因素，对本项目的需求标准、质量要求、合 同总价等作出相应变更或者取消项目或者重新组织项目招标，均不视为采购人违约。采购人有权 对需求进行修改。</w:t>
      </w:r>
    </w:p>
    <w:p w14:paraId="1E42EB2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（四）预算项目调整应对措施</w:t>
      </w:r>
    </w:p>
    <w:p w14:paraId="5888B6E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采购人有权根据预算项目调整等非采购人可控因素，对本项目的需求标准、质量要求、合 同总价等作出相应变更或者取消项目或者重新组织项目招标，均不视为采购人违约。采购人有权 对需求进行修改。</w:t>
      </w:r>
    </w:p>
    <w:p w14:paraId="73AE4829">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（五）因质疑投诉影响采购进度应对措施</w:t>
      </w:r>
    </w:p>
    <w:p w14:paraId="62519F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一、依法制订采购需求，正确编制采购文件，从源头上减少质疑投诉。 二、及时处理质 疑，加强从质疑收件、调查核实、组织专家论证、向有关行业主管部门求证、与质疑供应商沟通 协调、与职能部门会商等各环节工作，确保顺利处理质疑、有效减少投诉。 三、质疑属实的，及时修改采购文件中的不合法、不合规条款后继续组织采购活动。 </w:t>
      </w:r>
    </w:p>
    <w:p w14:paraId="1BCCD2F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（六）采购失败应对措施</w:t>
      </w:r>
    </w:p>
    <w:p w14:paraId="1394762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分析采购失败原因，及时调整招标策略；改变招标方式；修改招标文件。</w:t>
      </w:r>
    </w:p>
    <w:p w14:paraId="6954A13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（七）不按规定签订或者履行合同应对措施</w:t>
      </w:r>
    </w:p>
    <w:p w14:paraId="303E431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具体详见第四部分合同管理安排中的违约责任。</w:t>
      </w:r>
    </w:p>
    <w:p w14:paraId="68666142">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（八）出现损害国家利益和社会公共利益情形应对措施</w:t>
      </w:r>
    </w:p>
    <w:p w14:paraId="2B8AF89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一旦出现政府采购合同继续履行将损害国家利益和社会公共利益的情况，采购人和投标人 双方都有义务变更、中止或者终止合同。有过错的一方应当承担赔偿责任，双方都有过错的，各 自承担相应的责任。</w:t>
      </w:r>
    </w:p>
    <w:p w14:paraId="6ED9E5C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（九）其他采购和合同履行过程的风险及应对措施</w:t>
      </w:r>
    </w:p>
    <w:p w14:paraId="5FB2D26C">
      <w:pPr>
        <w:spacing w:line="360" w:lineRule="auto"/>
        <w:jc w:val="left"/>
        <w:rPr>
          <w:rFonts w:ascii="宋体"/>
          <w:sz w:val="24"/>
        </w:rPr>
      </w:pPr>
      <w:r>
        <w:rPr>
          <w:rFonts w:hint="eastAsia" w:ascii="宋体" w:hAnsi="宋体"/>
          <w:sz w:val="24"/>
          <w:u w:val="single"/>
          <w:lang w:val="en-US" w:eastAsia="zh-CN"/>
        </w:rPr>
        <w:t>无</w:t>
      </w:r>
      <w:r>
        <w:rPr>
          <w:rFonts w:hint="eastAsia" w:ascii="宋体" w:hAnsi="宋体"/>
          <w:sz w:val="24"/>
          <w:u w:val="single"/>
        </w:rPr>
        <w:t xml:space="preserve">          </w:t>
      </w:r>
      <w:r>
        <w:rPr>
          <w:rFonts w:ascii="宋体"/>
          <w:sz w:val="24"/>
        </w:rPr>
        <w:br w:type="page"/>
      </w:r>
    </w:p>
    <w:p w14:paraId="50A82F08">
      <w:pPr>
        <w:spacing w:line="360" w:lineRule="auto"/>
        <w:jc w:val="left"/>
        <w:rPr>
          <w:rFonts w:ascii="宋体"/>
          <w:sz w:val="24"/>
        </w:rPr>
      </w:pPr>
    </w:p>
    <w:p w14:paraId="04A53EDC">
      <w:pPr>
        <w:spacing w:line="360" w:lineRule="auto"/>
        <w:jc w:val="left"/>
        <w:rPr>
          <w:rFonts w:ascii="宋体"/>
          <w:sz w:val="24"/>
        </w:rPr>
      </w:pPr>
    </w:p>
    <w:p w14:paraId="7BAB66F5">
      <w:pPr>
        <w:spacing w:line="360" w:lineRule="auto"/>
        <w:jc w:val="left"/>
        <w:rPr>
          <w:rFonts w:ascii="宋体"/>
          <w:sz w:val="24"/>
        </w:rPr>
      </w:pPr>
    </w:p>
    <w:p w14:paraId="1A8F47C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1B1C8E44">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6F84A36E">
      <w:pPr>
        <w:spacing w:line="360" w:lineRule="auto"/>
        <w:jc w:val="center"/>
        <w:rPr>
          <w:rFonts w:ascii="方正小标宋简体" w:hAnsi="方正小标宋简体" w:eastAsia="方正小标宋简体"/>
          <w:sz w:val="44"/>
          <w:szCs w:val="44"/>
        </w:rPr>
      </w:pPr>
    </w:p>
    <w:p w14:paraId="54D9A1B2">
      <w:pPr>
        <w:spacing w:line="360" w:lineRule="auto"/>
        <w:jc w:val="center"/>
        <w:rPr>
          <w:rFonts w:ascii="方正小标宋简体" w:hAnsi="方正小标宋简体" w:eastAsia="方正小标宋简体"/>
          <w:sz w:val="44"/>
          <w:szCs w:val="44"/>
        </w:rPr>
      </w:pPr>
    </w:p>
    <w:p w14:paraId="192C929B">
      <w:pPr>
        <w:spacing w:line="360" w:lineRule="auto"/>
        <w:jc w:val="center"/>
        <w:rPr>
          <w:rFonts w:ascii="方正小标宋简体" w:hAnsi="方正小标宋简体" w:eastAsia="方正小标宋简体"/>
          <w:sz w:val="44"/>
          <w:szCs w:val="44"/>
        </w:rPr>
      </w:pPr>
    </w:p>
    <w:p w14:paraId="17E3C30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杭州市余杭区人民政府仁和街道办事处</w:t>
      </w:r>
    </w:p>
    <w:p w14:paraId="2DF7A150">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云会中学（仁和二中）新建项目电梯采购项目</w:t>
      </w:r>
    </w:p>
    <w:p w14:paraId="7F6090E7">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5月15日</w:t>
      </w:r>
    </w:p>
    <w:p w14:paraId="573E3635">
      <w:pPr>
        <w:widowControl/>
        <w:jc w:val="left"/>
        <w:rPr>
          <w:rFonts w:ascii="宋体" w:cs="仿宋_GB2312"/>
          <w:sz w:val="24"/>
        </w:rPr>
      </w:pPr>
      <w:r>
        <w:rPr>
          <w:rFonts w:ascii="宋体" w:cs="仿宋_GB2312"/>
          <w:sz w:val="24"/>
        </w:rPr>
        <w:br w:type="page"/>
      </w:r>
    </w:p>
    <w:p w14:paraId="4BC03204">
      <w:pPr>
        <w:spacing w:before="312" w:beforeLines="100" w:line="360" w:lineRule="auto"/>
        <w:jc w:val="left"/>
        <w:rPr>
          <w:rFonts w:ascii="宋体"/>
          <w:b/>
          <w:sz w:val="28"/>
          <w:szCs w:val="28"/>
        </w:rPr>
      </w:pPr>
      <w:r>
        <w:rPr>
          <w:rFonts w:hint="eastAsia" w:ascii="宋体" w:hAnsi="宋体"/>
          <w:b/>
          <w:sz w:val="28"/>
          <w:szCs w:val="28"/>
        </w:rPr>
        <w:t>一、审查项目名称</w:t>
      </w:r>
    </w:p>
    <w:p w14:paraId="1DDBE121">
      <w:pPr>
        <w:spacing w:before="312" w:beforeLines="100" w:line="360" w:lineRule="auto"/>
        <w:jc w:val="left"/>
        <w:rPr>
          <w:rFonts w:hint="eastAsia" w:ascii="宋体" w:hAnsi="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云会中学（仁和二中）新建项目电梯采购项目</w:t>
      </w:r>
    </w:p>
    <w:p w14:paraId="2AC3E4E1">
      <w:pPr>
        <w:spacing w:before="312" w:beforeLines="100" w:line="360" w:lineRule="auto"/>
        <w:jc w:val="left"/>
        <w:rPr>
          <w:rFonts w:ascii="宋体"/>
          <w:b/>
          <w:sz w:val="28"/>
          <w:szCs w:val="28"/>
        </w:rPr>
      </w:pPr>
      <w:r>
        <w:rPr>
          <w:rFonts w:hint="eastAsia" w:ascii="宋体" w:hAnsi="宋体"/>
          <w:b/>
          <w:sz w:val="28"/>
          <w:szCs w:val="28"/>
        </w:rPr>
        <w:t>二、参与审查人员名单</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14:paraId="2892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0DE88A74">
            <w:pPr>
              <w:spacing w:line="360" w:lineRule="auto"/>
              <w:jc w:val="center"/>
              <w:rPr>
                <w:rFonts w:ascii="宋体"/>
                <w:sz w:val="24"/>
              </w:rPr>
            </w:pPr>
            <w:r>
              <w:rPr>
                <w:rFonts w:hint="eastAsia" w:ascii="宋体" w:hAnsi="宋体"/>
                <w:sz w:val="24"/>
              </w:rPr>
              <w:t>序号</w:t>
            </w:r>
          </w:p>
        </w:tc>
        <w:tc>
          <w:tcPr>
            <w:tcW w:w="1405" w:type="dxa"/>
            <w:tcBorders>
              <w:right w:val="single" w:color="auto" w:sz="4" w:space="0"/>
            </w:tcBorders>
            <w:vAlign w:val="center"/>
          </w:tcPr>
          <w:p w14:paraId="6272F40D">
            <w:pPr>
              <w:spacing w:line="360" w:lineRule="auto"/>
              <w:jc w:val="center"/>
              <w:rPr>
                <w:rFonts w:ascii="宋体"/>
                <w:sz w:val="24"/>
              </w:rPr>
            </w:pPr>
            <w:r>
              <w:rPr>
                <w:rFonts w:hint="eastAsia" w:ascii="宋体" w:hAnsi="宋体"/>
                <w:sz w:val="24"/>
              </w:rPr>
              <w:t>姓名</w:t>
            </w:r>
          </w:p>
        </w:tc>
        <w:tc>
          <w:tcPr>
            <w:tcW w:w="1922" w:type="dxa"/>
            <w:tcBorders>
              <w:left w:val="single" w:color="auto" w:sz="4" w:space="0"/>
            </w:tcBorders>
            <w:vAlign w:val="center"/>
          </w:tcPr>
          <w:p w14:paraId="56B60CFA">
            <w:pPr>
              <w:spacing w:line="360" w:lineRule="auto"/>
              <w:jc w:val="center"/>
              <w:rPr>
                <w:rFonts w:ascii="宋体"/>
                <w:sz w:val="24"/>
              </w:rPr>
            </w:pPr>
            <w:r>
              <w:rPr>
                <w:rFonts w:hint="eastAsia" w:ascii="宋体" w:hAnsi="宋体"/>
                <w:sz w:val="24"/>
              </w:rPr>
              <w:t>单位</w:t>
            </w:r>
          </w:p>
        </w:tc>
        <w:tc>
          <w:tcPr>
            <w:tcW w:w="1207" w:type="dxa"/>
            <w:vAlign w:val="center"/>
          </w:tcPr>
          <w:p w14:paraId="4C994DAC">
            <w:pPr>
              <w:spacing w:line="360" w:lineRule="auto"/>
              <w:jc w:val="center"/>
              <w:rPr>
                <w:rFonts w:ascii="宋体"/>
                <w:sz w:val="24"/>
              </w:rPr>
            </w:pPr>
            <w:r>
              <w:rPr>
                <w:rFonts w:hint="eastAsia" w:ascii="宋体" w:hAnsi="宋体"/>
                <w:sz w:val="24"/>
              </w:rPr>
              <w:t>内部处室</w:t>
            </w:r>
          </w:p>
        </w:tc>
        <w:tc>
          <w:tcPr>
            <w:tcW w:w="1345" w:type="dxa"/>
            <w:vAlign w:val="center"/>
          </w:tcPr>
          <w:p w14:paraId="012A1083">
            <w:pPr>
              <w:spacing w:line="360" w:lineRule="auto"/>
              <w:jc w:val="center"/>
              <w:rPr>
                <w:rFonts w:ascii="宋体"/>
                <w:sz w:val="24"/>
              </w:rPr>
            </w:pPr>
            <w:r>
              <w:rPr>
                <w:rFonts w:hint="eastAsia" w:ascii="宋体" w:hAnsi="宋体"/>
                <w:sz w:val="24"/>
              </w:rPr>
              <w:t>职务</w:t>
            </w:r>
            <w:r>
              <w:rPr>
                <w:rFonts w:ascii="宋体" w:hAnsi="宋体"/>
                <w:sz w:val="24"/>
              </w:rPr>
              <w:t>/</w:t>
            </w:r>
            <w:r>
              <w:rPr>
                <w:rFonts w:hint="eastAsia" w:ascii="宋体" w:hAnsi="宋体"/>
                <w:sz w:val="24"/>
              </w:rPr>
              <w:t>职称</w:t>
            </w:r>
          </w:p>
        </w:tc>
        <w:tc>
          <w:tcPr>
            <w:tcW w:w="1301" w:type="dxa"/>
            <w:vAlign w:val="center"/>
          </w:tcPr>
          <w:p w14:paraId="6378CDF6">
            <w:pPr>
              <w:spacing w:line="360" w:lineRule="auto"/>
              <w:jc w:val="center"/>
              <w:rPr>
                <w:rFonts w:ascii="宋体"/>
                <w:sz w:val="24"/>
              </w:rPr>
            </w:pPr>
            <w:r>
              <w:rPr>
                <w:rFonts w:hint="eastAsia" w:ascii="宋体" w:hAnsi="宋体"/>
                <w:sz w:val="24"/>
              </w:rPr>
              <w:t>联系方式</w:t>
            </w:r>
          </w:p>
        </w:tc>
        <w:tc>
          <w:tcPr>
            <w:tcW w:w="825" w:type="dxa"/>
            <w:vAlign w:val="center"/>
          </w:tcPr>
          <w:p w14:paraId="4A7766A6">
            <w:pPr>
              <w:spacing w:line="360" w:lineRule="auto"/>
              <w:jc w:val="center"/>
              <w:rPr>
                <w:rFonts w:ascii="宋体"/>
                <w:sz w:val="24"/>
              </w:rPr>
            </w:pPr>
            <w:r>
              <w:rPr>
                <w:rFonts w:hint="eastAsia" w:ascii="宋体" w:hAnsi="宋体"/>
                <w:sz w:val="24"/>
              </w:rPr>
              <w:t>备注</w:t>
            </w:r>
          </w:p>
        </w:tc>
      </w:tr>
      <w:tr w14:paraId="69E4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38A1713">
            <w:pPr>
              <w:spacing w:line="360" w:lineRule="auto"/>
              <w:jc w:val="center"/>
              <w:rPr>
                <w:rFonts w:ascii="宋体"/>
                <w:sz w:val="24"/>
              </w:rPr>
            </w:pPr>
          </w:p>
        </w:tc>
        <w:tc>
          <w:tcPr>
            <w:tcW w:w="1405" w:type="dxa"/>
            <w:tcBorders>
              <w:right w:val="single" w:color="auto" w:sz="4" w:space="0"/>
            </w:tcBorders>
            <w:vAlign w:val="center"/>
          </w:tcPr>
          <w:p w14:paraId="2C494B26">
            <w:pPr>
              <w:spacing w:line="360" w:lineRule="auto"/>
              <w:jc w:val="center"/>
              <w:rPr>
                <w:rFonts w:ascii="宋体"/>
                <w:sz w:val="24"/>
              </w:rPr>
            </w:pPr>
          </w:p>
        </w:tc>
        <w:tc>
          <w:tcPr>
            <w:tcW w:w="1922" w:type="dxa"/>
            <w:tcBorders>
              <w:left w:val="single" w:color="auto" w:sz="4" w:space="0"/>
            </w:tcBorders>
            <w:vAlign w:val="center"/>
          </w:tcPr>
          <w:p w14:paraId="65632660">
            <w:pPr>
              <w:spacing w:line="360" w:lineRule="auto"/>
              <w:jc w:val="center"/>
              <w:rPr>
                <w:rFonts w:ascii="宋体"/>
                <w:sz w:val="24"/>
              </w:rPr>
            </w:pPr>
          </w:p>
        </w:tc>
        <w:tc>
          <w:tcPr>
            <w:tcW w:w="1207" w:type="dxa"/>
            <w:vAlign w:val="center"/>
          </w:tcPr>
          <w:p w14:paraId="773BE538">
            <w:pPr>
              <w:spacing w:line="360" w:lineRule="auto"/>
              <w:jc w:val="center"/>
              <w:rPr>
                <w:rFonts w:ascii="宋体"/>
                <w:sz w:val="24"/>
              </w:rPr>
            </w:pPr>
          </w:p>
        </w:tc>
        <w:tc>
          <w:tcPr>
            <w:tcW w:w="1345" w:type="dxa"/>
            <w:vAlign w:val="center"/>
          </w:tcPr>
          <w:p w14:paraId="2DFFD490">
            <w:pPr>
              <w:spacing w:line="360" w:lineRule="auto"/>
              <w:jc w:val="center"/>
              <w:rPr>
                <w:rFonts w:ascii="宋体"/>
                <w:sz w:val="24"/>
              </w:rPr>
            </w:pPr>
          </w:p>
        </w:tc>
        <w:tc>
          <w:tcPr>
            <w:tcW w:w="1301" w:type="dxa"/>
            <w:vAlign w:val="center"/>
          </w:tcPr>
          <w:p w14:paraId="25E460DC">
            <w:pPr>
              <w:spacing w:line="360" w:lineRule="auto"/>
              <w:jc w:val="center"/>
              <w:rPr>
                <w:rFonts w:ascii="宋体"/>
                <w:sz w:val="24"/>
              </w:rPr>
            </w:pPr>
          </w:p>
        </w:tc>
        <w:tc>
          <w:tcPr>
            <w:tcW w:w="825" w:type="dxa"/>
            <w:vAlign w:val="center"/>
          </w:tcPr>
          <w:p w14:paraId="025C14C8">
            <w:pPr>
              <w:spacing w:line="360" w:lineRule="auto"/>
              <w:jc w:val="center"/>
              <w:rPr>
                <w:rFonts w:ascii="宋体"/>
                <w:sz w:val="24"/>
              </w:rPr>
            </w:pPr>
          </w:p>
        </w:tc>
      </w:tr>
      <w:tr w14:paraId="7C18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65C6CA4D">
            <w:pPr>
              <w:spacing w:line="360" w:lineRule="auto"/>
              <w:jc w:val="center"/>
              <w:rPr>
                <w:rFonts w:ascii="宋体"/>
                <w:sz w:val="24"/>
              </w:rPr>
            </w:pPr>
          </w:p>
        </w:tc>
        <w:tc>
          <w:tcPr>
            <w:tcW w:w="1405" w:type="dxa"/>
            <w:tcBorders>
              <w:right w:val="single" w:color="auto" w:sz="4" w:space="0"/>
            </w:tcBorders>
            <w:vAlign w:val="center"/>
          </w:tcPr>
          <w:p w14:paraId="4D61BA86">
            <w:pPr>
              <w:spacing w:line="360" w:lineRule="auto"/>
              <w:jc w:val="center"/>
              <w:rPr>
                <w:rFonts w:ascii="宋体"/>
                <w:sz w:val="24"/>
              </w:rPr>
            </w:pPr>
          </w:p>
        </w:tc>
        <w:tc>
          <w:tcPr>
            <w:tcW w:w="1922" w:type="dxa"/>
            <w:tcBorders>
              <w:left w:val="single" w:color="auto" w:sz="4" w:space="0"/>
            </w:tcBorders>
            <w:vAlign w:val="center"/>
          </w:tcPr>
          <w:p w14:paraId="3767988F">
            <w:pPr>
              <w:spacing w:line="360" w:lineRule="auto"/>
              <w:jc w:val="center"/>
              <w:rPr>
                <w:rFonts w:ascii="宋体"/>
                <w:sz w:val="24"/>
              </w:rPr>
            </w:pPr>
          </w:p>
        </w:tc>
        <w:tc>
          <w:tcPr>
            <w:tcW w:w="1207" w:type="dxa"/>
            <w:vAlign w:val="center"/>
          </w:tcPr>
          <w:p w14:paraId="5DCBCCED">
            <w:pPr>
              <w:spacing w:line="360" w:lineRule="auto"/>
              <w:jc w:val="center"/>
              <w:rPr>
                <w:rFonts w:ascii="宋体"/>
                <w:sz w:val="24"/>
              </w:rPr>
            </w:pPr>
          </w:p>
        </w:tc>
        <w:tc>
          <w:tcPr>
            <w:tcW w:w="1345" w:type="dxa"/>
            <w:vAlign w:val="center"/>
          </w:tcPr>
          <w:p w14:paraId="2CF15C1D">
            <w:pPr>
              <w:spacing w:line="360" w:lineRule="auto"/>
              <w:jc w:val="center"/>
              <w:rPr>
                <w:rFonts w:ascii="宋体"/>
                <w:sz w:val="24"/>
              </w:rPr>
            </w:pPr>
          </w:p>
        </w:tc>
        <w:tc>
          <w:tcPr>
            <w:tcW w:w="1301" w:type="dxa"/>
            <w:vAlign w:val="center"/>
          </w:tcPr>
          <w:p w14:paraId="6682808A">
            <w:pPr>
              <w:spacing w:line="360" w:lineRule="auto"/>
              <w:jc w:val="center"/>
              <w:rPr>
                <w:rFonts w:ascii="宋体"/>
                <w:sz w:val="24"/>
              </w:rPr>
            </w:pPr>
          </w:p>
        </w:tc>
        <w:tc>
          <w:tcPr>
            <w:tcW w:w="825" w:type="dxa"/>
            <w:vAlign w:val="center"/>
          </w:tcPr>
          <w:p w14:paraId="5CA7D391">
            <w:pPr>
              <w:spacing w:line="360" w:lineRule="auto"/>
              <w:jc w:val="center"/>
              <w:rPr>
                <w:rFonts w:ascii="宋体"/>
                <w:sz w:val="24"/>
              </w:rPr>
            </w:pPr>
          </w:p>
        </w:tc>
      </w:tr>
      <w:tr w14:paraId="2B18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19297CDA">
            <w:pPr>
              <w:spacing w:line="360" w:lineRule="auto"/>
              <w:jc w:val="center"/>
              <w:rPr>
                <w:rFonts w:ascii="宋体"/>
                <w:sz w:val="24"/>
              </w:rPr>
            </w:pPr>
          </w:p>
        </w:tc>
        <w:tc>
          <w:tcPr>
            <w:tcW w:w="1405" w:type="dxa"/>
            <w:tcBorders>
              <w:right w:val="single" w:color="auto" w:sz="4" w:space="0"/>
            </w:tcBorders>
            <w:vAlign w:val="center"/>
          </w:tcPr>
          <w:p w14:paraId="74C08D0E">
            <w:pPr>
              <w:spacing w:line="360" w:lineRule="auto"/>
              <w:jc w:val="center"/>
              <w:rPr>
                <w:rFonts w:ascii="宋体"/>
                <w:sz w:val="24"/>
              </w:rPr>
            </w:pPr>
          </w:p>
        </w:tc>
        <w:tc>
          <w:tcPr>
            <w:tcW w:w="1922" w:type="dxa"/>
            <w:tcBorders>
              <w:left w:val="single" w:color="auto" w:sz="4" w:space="0"/>
            </w:tcBorders>
            <w:vAlign w:val="center"/>
          </w:tcPr>
          <w:p w14:paraId="2F5F51DB">
            <w:pPr>
              <w:spacing w:line="360" w:lineRule="auto"/>
              <w:jc w:val="center"/>
              <w:rPr>
                <w:rFonts w:ascii="宋体"/>
                <w:sz w:val="24"/>
              </w:rPr>
            </w:pPr>
          </w:p>
        </w:tc>
        <w:tc>
          <w:tcPr>
            <w:tcW w:w="1207" w:type="dxa"/>
            <w:vAlign w:val="center"/>
          </w:tcPr>
          <w:p w14:paraId="024A90C1">
            <w:pPr>
              <w:spacing w:line="360" w:lineRule="auto"/>
              <w:jc w:val="center"/>
              <w:rPr>
                <w:rFonts w:ascii="宋体"/>
                <w:sz w:val="24"/>
              </w:rPr>
            </w:pPr>
          </w:p>
        </w:tc>
        <w:tc>
          <w:tcPr>
            <w:tcW w:w="1345" w:type="dxa"/>
            <w:vAlign w:val="center"/>
          </w:tcPr>
          <w:p w14:paraId="795C1839">
            <w:pPr>
              <w:spacing w:line="360" w:lineRule="auto"/>
              <w:jc w:val="center"/>
              <w:rPr>
                <w:rFonts w:ascii="宋体"/>
                <w:sz w:val="24"/>
              </w:rPr>
            </w:pPr>
          </w:p>
        </w:tc>
        <w:tc>
          <w:tcPr>
            <w:tcW w:w="1301" w:type="dxa"/>
            <w:vAlign w:val="center"/>
          </w:tcPr>
          <w:p w14:paraId="30361550">
            <w:pPr>
              <w:spacing w:line="360" w:lineRule="auto"/>
              <w:jc w:val="center"/>
              <w:rPr>
                <w:rFonts w:ascii="宋体"/>
                <w:sz w:val="24"/>
              </w:rPr>
            </w:pPr>
          </w:p>
        </w:tc>
        <w:tc>
          <w:tcPr>
            <w:tcW w:w="825" w:type="dxa"/>
            <w:vAlign w:val="center"/>
          </w:tcPr>
          <w:p w14:paraId="7783A38B">
            <w:pPr>
              <w:spacing w:line="360" w:lineRule="auto"/>
              <w:jc w:val="center"/>
              <w:rPr>
                <w:rFonts w:ascii="宋体"/>
                <w:sz w:val="24"/>
              </w:rPr>
            </w:pPr>
          </w:p>
        </w:tc>
      </w:tr>
      <w:tr w14:paraId="3911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AFBBF58">
            <w:pPr>
              <w:spacing w:line="360" w:lineRule="auto"/>
              <w:jc w:val="center"/>
              <w:rPr>
                <w:rFonts w:ascii="宋体"/>
                <w:sz w:val="24"/>
              </w:rPr>
            </w:pPr>
          </w:p>
        </w:tc>
        <w:tc>
          <w:tcPr>
            <w:tcW w:w="1405" w:type="dxa"/>
            <w:tcBorders>
              <w:right w:val="single" w:color="auto" w:sz="4" w:space="0"/>
            </w:tcBorders>
            <w:vAlign w:val="center"/>
          </w:tcPr>
          <w:p w14:paraId="1CB05E82">
            <w:pPr>
              <w:spacing w:line="360" w:lineRule="auto"/>
              <w:jc w:val="center"/>
              <w:rPr>
                <w:rFonts w:ascii="宋体"/>
                <w:sz w:val="24"/>
              </w:rPr>
            </w:pPr>
          </w:p>
        </w:tc>
        <w:tc>
          <w:tcPr>
            <w:tcW w:w="1922" w:type="dxa"/>
            <w:tcBorders>
              <w:left w:val="single" w:color="auto" w:sz="4" w:space="0"/>
            </w:tcBorders>
            <w:vAlign w:val="center"/>
          </w:tcPr>
          <w:p w14:paraId="3694537A">
            <w:pPr>
              <w:spacing w:line="360" w:lineRule="auto"/>
              <w:jc w:val="center"/>
              <w:rPr>
                <w:rFonts w:ascii="宋体"/>
                <w:sz w:val="24"/>
              </w:rPr>
            </w:pPr>
          </w:p>
        </w:tc>
        <w:tc>
          <w:tcPr>
            <w:tcW w:w="1207" w:type="dxa"/>
            <w:vAlign w:val="center"/>
          </w:tcPr>
          <w:p w14:paraId="159164A3">
            <w:pPr>
              <w:spacing w:line="360" w:lineRule="auto"/>
              <w:jc w:val="center"/>
              <w:rPr>
                <w:rFonts w:ascii="宋体"/>
                <w:sz w:val="24"/>
              </w:rPr>
            </w:pPr>
          </w:p>
        </w:tc>
        <w:tc>
          <w:tcPr>
            <w:tcW w:w="1345" w:type="dxa"/>
            <w:vAlign w:val="center"/>
          </w:tcPr>
          <w:p w14:paraId="1AA635C0">
            <w:pPr>
              <w:spacing w:line="360" w:lineRule="auto"/>
              <w:jc w:val="center"/>
              <w:rPr>
                <w:rFonts w:ascii="宋体"/>
                <w:sz w:val="24"/>
              </w:rPr>
            </w:pPr>
          </w:p>
        </w:tc>
        <w:tc>
          <w:tcPr>
            <w:tcW w:w="1301" w:type="dxa"/>
            <w:vAlign w:val="center"/>
          </w:tcPr>
          <w:p w14:paraId="2050B605">
            <w:pPr>
              <w:spacing w:line="360" w:lineRule="auto"/>
              <w:jc w:val="center"/>
              <w:rPr>
                <w:rFonts w:ascii="宋体"/>
                <w:sz w:val="24"/>
              </w:rPr>
            </w:pPr>
          </w:p>
        </w:tc>
        <w:tc>
          <w:tcPr>
            <w:tcW w:w="825" w:type="dxa"/>
            <w:vAlign w:val="center"/>
          </w:tcPr>
          <w:p w14:paraId="12829211">
            <w:pPr>
              <w:spacing w:line="360" w:lineRule="auto"/>
              <w:jc w:val="center"/>
              <w:rPr>
                <w:rFonts w:ascii="宋体"/>
                <w:sz w:val="24"/>
              </w:rPr>
            </w:pPr>
          </w:p>
        </w:tc>
      </w:tr>
      <w:tr w14:paraId="659DA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73ADB8E">
            <w:pPr>
              <w:spacing w:line="360" w:lineRule="auto"/>
              <w:jc w:val="center"/>
              <w:rPr>
                <w:rFonts w:ascii="宋体"/>
                <w:sz w:val="24"/>
              </w:rPr>
            </w:pPr>
          </w:p>
        </w:tc>
        <w:tc>
          <w:tcPr>
            <w:tcW w:w="1405" w:type="dxa"/>
            <w:tcBorders>
              <w:right w:val="single" w:color="auto" w:sz="4" w:space="0"/>
            </w:tcBorders>
            <w:vAlign w:val="center"/>
          </w:tcPr>
          <w:p w14:paraId="17EF7591">
            <w:pPr>
              <w:spacing w:line="360" w:lineRule="auto"/>
              <w:jc w:val="center"/>
              <w:rPr>
                <w:rFonts w:ascii="宋体"/>
                <w:sz w:val="24"/>
              </w:rPr>
            </w:pPr>
          </w:p>
        </w:tc>
        <w:tc>
          <w:tcPr>
            <w:tcW w:w="1922" w:type="dxa"/>
            <w:tcBorders>
              <w:left w:val="single" w:color="auto" w:sz="4" w:space="0"/>
            </w:tcBorders>
            <w:vAlign w:val="center"/>
          </w:tcPr>
          <w:p w14:paraId="26A0348C">
            <w:pPr>
              <w:spacing w:line="360" w:lineRule="auto"/>
              <w:jc w:val="center"/>
              <w:rPr>
                <w:rFonts w:ascii="宋体"/>
                <w:sz w:val="24"/>
              </w:rPr>
            </w:pPr>
          </w:p>
        </w:tc>
        <w:tc>
          <w:tcPr>
            <w:tcW w:w="1207" w:type="dxa"/>
            <w:vAlign w:val="center"/>
          </w:tcPr>
          <w:p w14:paraId="37B2C29F">
            <w:pPr>
              <w:spacing w:line="360" w:lineRule="auto"/>
              <w:jc w:val="center"/>
              <w:rPr>
                <w:rFonts w:ascii="宋体"/>
                <w:sz w:val="24"/>
              </w:rPr>
            </w:pPr>
          </w:p>
        </w:tc>
        <w:tc>
          <w:tcPr>
            <w:tcW w:w="1345" w:type="dxa"/>
            <w:vAlign w:val="center"/>
          </w:tcPr>
          <w:p w14:paraId="0162F3B9">
            <w:pPr>
              <w:spacing w:line="360" w:lineRule="auto"/>
              <w:jc w:val="center"/>
              <w:rPr>
                <w:rFonts w:ascii="宋体"/>
                <w:sz w:val="24"/>
              </w:rPr>
            </w:pPr>
          </w:p>
        </w:tc>
        <w:tc>
          <w:tcPr>
            <w:tcW w:w="1301" w:type="dxa"/>
            <w:vAlign w:val="center"/>
          </w:tcPr>
          <w:p w14:paraId="22905ED5">
            <w:pPr>
              <w:spacing w:line="360" w:lineRule="auto"/>
              <w:jc w:val="center"/>
              <w:rPr>
                <w:rFonts w:ascii="宋体"/>
                <w:sz w:val="24"/>
              </w:rPr>
            </w:pPr>
          </w:p>
        </w:tc>
        <w:tc>
          <w:tcPr>
            <w:tcW w:w="825" w:type="dxa"/>
            <w:vAlign w:val="center"/>
          </w:tcPr>
          <w:p w14:paraId="661D8EC7">
            <w:pPr>
              <w:spacing w:line="360" w:lineRule="auto"/>
              <w:jc w:val="center"/>
              <w:rPr>
                <w:rFonts w:ascii="宋体"/>
                <w:sz w:val="24"/>
              </w:rPr>
            </w:pPr>
          </w:p>
        </w:tc>
      </w:tr>
    </w:tbl>
    <w:p w14:paraId="625161E4">
      <w:pPr>
        <w:spacing w:before="312" w:beforeLines="100" w:line="360" w:lineRule="auto"/>
        <w:jc w:val="left"/>
        <w:rPr>
          <w:rFonts w:ascii="宋体"/>
          <w:b/>
          <w:sz w:val="28"/>
          <w:szCs w:val="28"/>
        </w:rPr>
      </w:pPr>
      <w:r>
        <w:rPr>
          <w:rFonts w:hint="eastAsia" w:ascii="宋体" w:hAnsi="宋体"/>
          <w:b/>
          <w:sz w:val="28"/>
          <w:szCs w:val="28"/>
        </w:rPr>
        <w:t>三、一般性审查情况</w:t>
      </w:r>
    </w:p>
    <w:tbl>
      <w:tblPr>
        <w:tblStyle w:val="19"/>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0C69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401725E9">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2727" w:type="dxa"/>
            <w:vAlign w:val="center"/>
          </w:tcPr>
          <w:p w14:paraId="6A191E71">
            <w:pPr>
              <w:spacing w:line="360" w:lineRule="auto"/>
              <w:jc w:val="center"/>
              <w:rPr>
                <w:rFonts w:ascii="宋体"/>
                <w:b/>
                <w:sz w:val="24"/>
              </w:rPr>
            </w:pPr>
            <w:r>
              <w:rPr>
                <w:rFonts w:hint="eastAsia" w:ascii="宋体" w:hAnsi="宋体"/>
                <w:b/>
                <w:sz w:val="24"/>
              </w:rPr>
              <w:t>审查情况</w:t>
            </w:r>
          </w:p>
        </w:tc>
      </w:tr>
      <w:tr w14:paraId="4C0E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5221706">
            <w:pPr>
              <w:spacing w:line="360" w:lineRule="auto"/>
              <w:jc w:val="center"/>
              <w:rPr>
                <w:rFonts w:ascii="宋体"/>
                <w:sz w:val="24"/>
              </w:rPr>
            </w:pPr>
            <w:r>
              <w:rPr>
                <w:rFonts w:ascii="宋体" w:hAnsi="宋体"/>
                <w:sz w:val="24"/>
              </w:rPr>
              <w:t>1</w:t>
            </w:r>
          </w:p>
        </w:tc>
        <w:tc>
          <w:tcPr>
            <w:tcW w:w="5327" w:type="dxa"/>
            <w:tcBorders>
              <w:bottom w:val="single" w:color="auto" w:sz="4" w:space="0"/>
            </w:tcBorders>
            <w:vAlign w:val="center"/>
          </w:tcPr>
          <w:p w14:paraId="10E1B5AD">
            <w:pPr>
              <w:spacing w:line="360" w:lineRule="auto"/>
              <w:rPr>
                <w:rFonts w:asci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14:paraId="595306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484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43F36C6">
            <w:pPr>
              <w:spacing w:line="360" w:lineRule="auto"/>
              <w:jc w:val="center"/>
              <w:rPr>
                <w:rFonts w:ascii="宋体"/>
                <w:sz w:val="24"/>
              </w:rPr>
            </w:pPr>
            <w:r>
              <w:rPr>
                <w:rFonts w:ascii="宋体" w:hAnsi="宋体"/>
                <w:sz w:val="24"/>
              </w:rPr>
              <w:t>2</w:t>
            </w:r>
          </w:p>
        </w:tc>
        <w:tc>
          <w:tcPr>
            <w:tcW w:w="5327" w:type="dxa"/>
            <w:tcBorders>
              <w:top w:val="single" w:color="auto" w:sz="4" w:space="0"/>
              <w:bottom w:val="single" w:color="auto" w:sz="4" w:space="0"/>
            </w:tcBorders>
            <w:vAlign w:val="center"/>
          </w:tcPr>
          <w:p w14:paraId="2381655F">
            <w:pPr>
              <w:spacing w:line="360" w:lineRule="auto"/>
              <w:rPr>
                <w:rFonts w:asci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3195F5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5A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8BAD63B">
            <w:pPr>
              <w:spacing w:line="360" w:lineRule="auto"/>
              <w:jc w:val="center"/>
              <w:rPr>
                <w:rFonts w:ascii="宋体"/>
                <w:sz w:val="24"/>
              </w:rPr>
            </w:pPr>
            <w:r>
              <w:rPr>
                <w:rFonts w:ascii="宋体" w:hAnsi="宋体"/>
                <w:sz w:val="24"/>
              </w:rPr>
              <w:t>3</w:t>
            </w:r>
          </w:p>
        </w:tc>
        <w:tc>
          <w:tcPr>
            <w:tcW w:w="5327" w:type="dxa"/>
            <w:tcBorders>
              <w:top w:val="single" w:color="auto" w:sz="4" w:space="0"/>
              <w:bottom w:val="single" w:color="auto" w:sz="4" w:space="0"/>
            </w:tcBorders>
            <w:vAlign w:val="center"/>
          </w:tcPr>
          <w:p w14:paraId="1A1D4C01">
            <w:pPr>
              <w:spacing w:line="360" w:lineRule="auto"/>
              <w:rPr>
                <w:rFonts w:asci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1CA2CBA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3B6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6C2566C">
            <w:pPr>
              <w:spacing w:line="360" w:lineRule="auto"/>
              <w:jc w:val="center"/>
              <w:rPr>
                <w:rFonts w:ascii="宋体"/>
                <w:sz w:val="24"/>
              </w:rPr>
            </w:pPr>
            <w:r>
              <w:rPr>
                <w:rFonts w:ascii="宋体" w:hAnsi="宋体"/>
                <w:sz w:val="24"/>
              </w:rPr>
              <w:t>4</w:t>
            </w:r>
          </w:p>
        </w:tc>
        <w:tc>
          <w:tcPr>
            <w:tcW w:w="5327" w:type="dxa"/>
            <w:tcBorders>
              <w:top w:val="single" w:color="auto" w:sz="4" w:space="0"/>
              <w:bottom w:val="single" w:color="auto" w:sz="4" w:space="0"/>
            </w:tcBorders>
            <w:vAlign w:val="center"/>
          </w:tcPr>
          <w:p w14:paraId="77204D64">
            <w:pPr>
              <w:spacing w:line="360" w:lineRule="auto"/>
              <w:rPr>
                <w:rFonts w:asci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14:paraId="2C31D08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103E15C2">
      <w:pPr>
        <w:spacing w:before="312" w:beforeLines="100" w:line="360" w:lineRule="auto"/>
        <w:jc w:val="left"/>
        <w:rPr>
          <w:rFonts w:ascii="宋体"/>
          <w:b/>
          <w:sz w:val="28"/>
          <w:szCs w:val="28"/>
        </w:rPr>
      </w:pPr>
      <w:r>
        <w:rPr>
          <w:rFonts w:hint="eastAsia" w:ascii="宋体" w:hAnsi="宋体"/>
          <w:b/>
          <w:sz w:val="28"/>
          <w:szCs w:val="28"/>
        </w:rPr>
        <w:t>四、重点审查情况</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3A9B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14:paraId="2BC94335">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1843" w:type="dxa"/>
            <w:vAlign w:val="center"/>
          </w:tcPr>
          <w:p w14:paraId="2FC0414C">
            <w:pPr>
              <w:spacing w:line="360" w:lineRule="auto"/>
              <w:jc w:val="center"/>
              <w:rPr>
                <w:rFonts w:ascii="宋体"/>
                <w:b/>
                <w:sz w:val="24"/>
              </w:rPr>
            </w:pPr>
            <w:r>
              <w:rPr>
                <w:rFonts w:hint="eastAsia" w:ascii="宋体" w:hAnsi="宋体"/>
                <w:b/>
                <w:sz w:val="24"/>
              </w:rPr>
              <w:t>审查情况</w:t>
            </w:r>
          </w:p>
        </w:tc>
      </w:tr>
      <w:tr w14:paraId="02A9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0C6CA1E9">
            <w:pPr>
              <w:spacing w:line="360" w:lineRule="auto"/>
              <w:rPr>
                <w:rFonts w:asci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1CD9A51E">
            <w:pPr>
              <w:spacing w:line="360" w:lineRule="auto"/>
              <w:rPr>
                <w:rFonts w:asci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4FC06B2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AA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DECEAD3">
            <w:pPr>
              <w:spacing w:line="360" w:lineRule="auto"/>
              <w:rPr>
                <w:rFonts w:ascii="宋体"/>
                <w:sz w:val="24"/>
              </w:rPr>
            </w:pPr>
          </w:p>
        </w:tc>
        <w:tc>
          <w:tcPr>
            <w:tcW w:w="4976" w:type="dxa"/>
            <w:tcBorders>
              <w:top w:val="single" w:color="auto" w:sz="4" w:space="0"/>
              <w:bottom w:val="single" w:color="auto" w:sz="4" w:space="0"/>
            </w:tcBorders>
            <w:vAlign w:val="center"/>
          </w:tcPr>
          <w:p w14:paraId="6AF59678">
            <w:pPr>
              <w:spacing w:line="360" w:lineRule="auto"/>
              <w:rPr>
                <w:rFonts w:ascii="宋体"/>
                <w:sz w:val="24"/>
              </w:rPr>
            </w:pPr>
            <w:r>
              <w:rPr>
                <w:rFonts w:hint="eastAsia" w:ascii="宋体" w:hAnsi="宋体"/>
                <w:sz w:val="24"/>
              </w:rPr>
              <w:t>要求供应商提供超过</w:t>
            </w:r>
            <w:r>
              <w:rPr>
                <w:rFonts w:ascii="宋体" w:hAnsi="宋体"/>
                <w:sz w:val="24"/>
              </w:rPr>
              <w:t>2</w:t>
            </w:r>
            <w:r>
              <w:rPr>
                <w:rFonts w:hint="eastAsia" w:ascii="宋体" w:hAnsi="宋体"/>
                <w:sz w:val="24"/>
              </w:rPr>
              <w:t>个同类业务合同的，是否具有合理性</w:t>
            </w:r>
          </w:p>
        </w:tc>
        <w:tc>
          <w:tcPr>
            <w:tcW w:w="1843" w:type="dxa"/>
            <w:tcBorders>
              <w:top w:val="single" w:color="auto" w:sz="4" w:space="0"/>
              <w:bottom w:val="single" w:color="auto" w:sz="4" w:space="0"/>
            </w:tcBorders>
            <w:vAlign w:val="center"/>
          </w:tcPr>
          <w:p w14:paraId="5ED749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F24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BAB288C">
            <w:pPr>
              <w:spacing w:line="360" w:lineRule="auto"/>
              <w:rPr>
                <w:rFonts w:ascii="宋体"/>
                <w:sz w:val="24"/>
              </w:rPr>
            </w:pPr>
          </w:p>
        </w:tc>
        <w:tc>
          <w:tcPr>
            <w:tcW w:w="4976" w:type="dxa"/>
            <w:tcBorders>
              <w:top w:val="single" w:color="auto" w:sz="4" w:space="0"/>
              <w:bottom w:val="single" w:color="auto" w:sz="4" w:space="0"/>
            </w:tcBorders>
            <w:vAlign w:val="center"/>
          </w:tcPr>
          <w:p w14:paraId="38513186">
            <w:pPr>
              <w:spacing w:line="360" w:lineRule="auto"/>
              <w:rPr>
                <w:rFonts w:asci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55E4AA95">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648A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69A8AE4">
            <w:pPr>
              <w:spacing w:line="360" w:lineRule="auto"/>
              <w:rPr>
                <w:rFonts w:ascii="宋体"/>
                <w:sz w:val="24"/>
              </w:rPr>
            </w:pPr>
          </w:p>
        </w:tc>
        <w:tc>
          <w:tcPr>
            <w:tcW w:w="4976" w:type="dxa"/>
            <w:tcBorders>
              <w:top w:val="single" w:color="auto" w:sz="4" w:space="0"/>
              <w:bottom w:val="single" w:color="auto" w:sz="4" w:space="0"/>
            </w:tcBorders>
            <w:vAlign w:val="center"/>
          </w:tcPr>
          <w:p w14:paraId="76657F30">
            <w:pPr>
              <w:spacing w:line="360" w:lineRule="auto"/>
              <w:rPr>
                <w:rFonts w:asci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2D1D58A7">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1EA0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97A7FFE">
            <w:pPr>
              <w:spacing w:line="360" w:lineRule="auto"/>
              <w:rPr>
                <w:rFonts w:ascii="宋体"/>
                <w:sz w:val="24"/>
              </w:rPr>
            </w:pPr>
          </w:p>
        </w:tc>
        <w:tc>
          <w:tcPr>
            <w:tcW w:w="4976" w:type="dxa"/>
            <w:tcBorders>
              <w:top w:val="single" w:color="auto" w:sz="4" w:space="0"/>
            </w:tcBorders>
            <w:vAlign w:val="center"/>
          </w:tcPr>
          <w:p w14:paraId="724950AF">
            <w:pPr>
              <w:spacing w:line="360" w:lineRule="auto"/>
              <w:rPr>
                <w:rFonts w:asci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6E319ED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A8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5CC57A1">
            <w:pPr>
              <w:spacing w:line="360" w:lineRule="auto"/>
              <w:rPr>
                <w:rFonts w:asci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5939F89C">
            <w:pPr>
              <w:spacing w:line="360" w:lineRule="auto"/>
              <w:rPr>
                <w:rFonts w:asci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7F679C2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704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8D5D0A8">
            <w:pPr>
              <w:spacing w:line="360" w:lineRule="auto"/>
              <w:rPr>
                <w:rFonts w:ascii="宋体"/>
                <w:sz w:val="24"/>
              </w:rPr>
            </w:pPr>
          </w:p>
        </w:tc>
        <w:tc>
          <w:tcPr>
            <w:tcW w:w="4976" w:type="dxa"/>
            <w:tcBorders>
              <w:top w:val="single" w:color="auto" w:sz="4" w:space="0"/>
              <w:bottom w:val="single" w:color="auto" w:sz="4" w:space="0"/>
            </w:tcBorders>
            <w:vAlign w:val="center"/>
          </w:tcPr>
          <w:p w14:paraId="513115D8">
            <w:pPr>
              <w:spacing w:line="360" w:lineRule="auto"/>
              <w:rPr>
                <w:rFonts w:asci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5510EAA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5A7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573C1F9">
            <w:pPr>
              <w:spacing w:line="360" w:lineRule="auto"/>
              <w:rPr>
                <w:rFonts w:ascii="宋体"/>
                <w:sz w:val="24"/>
              </w:rPr>
            </w:pPr>
          </w:p>
        </w:tc>
        <w:tc>
          <w:tcPr>
            <w:tcW w:w="4976" w:type="dxa"/>
            <w:tcBorders>
              <w:top w:val="single" w:color="auto" w:sz="4" w:space="0"/>
              <w:bottom w:val="single" w:color="auto" w:sz="4" w:space="0"/>
            </w:tcBorders>
            <w:vAlign w:val="center"/>
          </w:tcPr>
          <w:p w14:paraId="4E72C06C">
            <w:pPr>
              <w:spacing w:line="360" w:lineRule="auto"/>
              <w:rPr>
                <w:rFonts w:asci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1F7C3EF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96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2C74C50">
            <w:pPr>
              <w:spacing w:line="360" w:lineRule="auto"/>
              <w:rPr>
                <w:rFonts w:ascii="宋体"/>
                <w:sz w:val="24"/>
              </w:rPr>
            </w:pPr>
          </w:p>
        </w:tc>
        <w:tc>
          <w:tcPr>
            <w:tcW w:w="4976" w:type="dxa"/>
            <w:tcBorders>
              <w:top w:val="single" w:color="auto" w:sz="4" w:space="0"/>
              <w:bottom w:val="single" w:color="auto" w:sz="4" w:space="0"/>
            </w:tcBorders>
            <w:vAlign w:val="center"/>
          </w:tcPr>
          <w:p w14:paraId="0767BD28">
            <w:pPr>
              <w:spacing w:line="360" w:lineRule="auto"/>
              <w:rPr>
                <w:rFonts w:asci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014AC72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C3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4A981F3">
            <w:pPr>
              <w:spacing w:line="360" w:lineRule="auto"/>
              <w:rPr>
                <w:rFonts w:ascii="宋体"/>
                <w:sz w:val="24"/>
              </w:rPr>
            </w:pPr>
          </w:p>
        </w:tc>
        <w:tc>
          <w:tcPr>
            <w:tcW w:w="4976" w:type="dxa"/>
            <w:tcBorders>
              <w:top w:val="single" w:color="auto" w:sz="4" w:space="0"/>
            </w:tcBorders>
            <w:vAlign w:val="center"/>
          </w:tcPr>
          <w:p w14:paraId="58B35642">
            <w:pPr>
              <w:spacing w:line="360" w:lineRule="auto"/>
              <w:rPr>
                <w:rFonts w:asci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1022998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415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75153BB9">
            <w:pPr>
              <w:spacing w:line="360" w:lineRule="auto"/>
              <w:rPr>
                <w:rFonts w:ascii="宋体"/>
                <w:sz w:val="24"/>
              </w:rPr>
            </w:pPr>
            <w:r>
              <w:rPr>
                <w:rFonts w:hint="eastAsia" w:ascii="宋体" w:hAnsi="宋体"/>
                <w:sz w:val="24"/>
              </w:rPr>
              <w:t>（三）采购政策审查</w:t>
            </w:r>
          </w:p>
        </w:tc>
        <w:tc>
          <w:tcPr>
            <w:tcW w:w="4976" w:type="dxa"/>
            <w:tcBorders>
              <w:bottom w:val="single" w:color="auto" w:sz="4" w:space="0"/>
            </w:tcBorders>
            <w:vAlign w:val="center"/>
          </w:tcPr>
          <w:p w14:paraId="6BB802A0">
            <w:pPr>
              <w:spacing w:line="360" w:lineRule="auto"/>
              <w:rPr>
                <w:rFonts w:asci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3FC7E72B">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2701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A1B171B">
            <w:pPr>
              <w:spacing w:line="360" w:lineRule="auto"/>
              <w:rPr>
                <w:rFonts w:ascii="宋体"/>
                <w:sz w:val="24"/>
              </w:rPr>
            </w:pPr>
          </w:p>
        </w:tc>
        <w:tc>
          <w:tcPr>
            <w:tcW w:w="4976" w:type="dxa"/>
            <w:tcBorders>
              <w:bottom w:val="single" w:color="auto" w:sz="4" w:space="0"/>
            </w:tcBorders>
            <w:vAlign w:val="center"/>
          </w:tcPr>
          <w:p w14:paraId="64F39A5E">
            <w:pPr>
              <w:spacing w:line="360" w:lineRule="auto"/>
              <w:rPr>
                <w:rFonts w:asci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3EDC6B4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096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DC7355B">
            <w:pPr>
              <w:spacing w:line="360" w:lineRule="auto"/>
              <w:rPr>
                <w:rFonts w:ascii="宋体"/>
                <w:sz w:val="24"/>
              </w:rPr>
            </w:pPr>
          </w:p>
        </w:tc>
        <w:tc>
          <w:tcPr>
            <w:tcW w:w="4976" w:type="dxa"/>
            <w:tcBorders>
              <w:bottom w:val="single" w:color="auto" w:sz="4" w:space="0"/>
            </w:tcBorders>
            <w:vAlign w:val="center"/>
          </w:tcPr>
          <w:p w14:paraId="5772AC22">
            <w:pPr>
              <w:spacing w:line="360" w:lineRule="auto"/>
              <w:rPr>
                <w:rFonts w:asci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020C0EC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165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F3EBA07">
            <w:pPr>
              <w:spacing w:line="360" w:lineRule="auto"/>
              <w:rPr>
                <w:rFonts w:ascii="宋体"/>
                <w:sz w:val="24"/>
              </w:rPr>
            </w:pPr>
          </w:p>
        </w:tc>
        <w:tc>
          <w:tcPr>
            <w:tcW w:w="4976" w:type="dxa"/>
            <w:tcBorders>
              <w:bottom w:val="single" w:color="auto" w:sz="4" w:space="0"/>
            </w:tcBorders>
            <w:vAlign w:val="center"/>
          </w:tcPr>
          <w:p w14:paraId="0A604380">
            <w:pPr>
              <w:spacing w:line="360" w:lineRule="auto"/>
              <w:rPr>
                <w:rFonts w:asci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376EBE4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27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085F22D">
            <w:pPr>
              <w:spacing w:line="360" w:lineRule="auto"/>
              <w:rPr>
                <w:rFonts w:ascii="宋体"/>
                <w:sz w:val="24"/>
              </w:rPr>
            </w:pPr>
          </w:p>
        </w:tc>
        <w:tc>
          <w:tcPr>
            <w:tcW w:w="4976" w:type="dxa"/>
            <w:tcBorders>
              <w:bottom w:val="single" w:color="auto" w:sz="4" w:space="0"/>
            </w:tcBorders>
            <w:vAlign w:val="center"/>
          </w:tcPr>
          <w:p w14:paraId="5AC925E7">
            <w:pPr>
              <w:spacing w:line="360" w:lineRule="auto"/>
              <w:rPr>
                <w:rFonts w:asci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07A500C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8654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42F9AA7">
            <w:pPr>
              <w:spacing w:line="360" w:lineRule="auto"/>
              <w:rPr>
                <w:rFonts w:ascii="宋体"/>
                <w:sz w:val="24"/>
              </w:rPr>
            </w:pPr>
          </w:p>
        </w:tc>
        <w:tc>
          <w:tcPr>
            <w:tcW w:w="4976" w:type="dxa"/>
            <w:tcBorders>
              <w:top w:val="single" w:color="auto" w:sz="4" w:space="0"/>
            </w:tcBorders>
            <w:vAlign w:val="center"/>
          </w:tcPr>
          <w:p w14:paraId="64CDE06D">
            <w:pPr>
              <w:spacing w:line="360" w:lineRule="auto"/>
              <w:rPr>
                <w:rFonts w:asci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5DC93E65">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4AC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552ED15">
            <w:pPr>
              <w:spacing w:line="360" w:lineRule="auto"/>
              <w:rPr>
                <w:rFonts w:ascii="宋体"/>
                <w:sz w:val="24"/>
              </w:rPr>
            </w:pPr>
            <w:r>
              <w:rPr>
                <w:rFonts w:hint="eastAsia" w:ascii="宋体" w:hAnsi="宋体"/>
                <w:sz w:val="24"/>
              </w:rPr>
              <w:t>（四）履约风险审查</w:t>
            </w:r>
          </w:p>
        </w:tc>
        <w:tc>
          <w:tcPr>
            <w:tcW w:w="4976" w:type="dxa"/>
            <w:tcBorders>
              <w:bottom w:val="single" w:color="auto" w:sz="4" w:space="0"/>
            </w:tcBorders>
            <w:vAlign w:val="center"/>
          </w:tcPr>
          <w:p w14:paraId="3209A0B1">
            <w:pPr>
              <w:spacing w:line="360" w:lineRule="auto"/>
              <w:rPr>
                <w:rFonts w:asci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613F1FF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87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3D6B4C9">
            <w:pPr>
              <w:spacing w:line="360" w:lineRule="auto"/>
              <w:rPr>
                <w:rFonts w:ascii="宋体"/>
                <w:sz w:val="24"/>
              </w:rPr>
            </w:pPr>
          </w:p>
        </w:tc>
        <w:tc>
          <w:tcPr>
            <w:tcW w:w="4976" w:type="dxa"/>
            <w:tcBorders>
              <w:bottom w:val="single" w:color="auto" w:sz="4" w:space="0"/>
            </w:tcBorders>
            <w:vAlign w:val="center"/>
          </w:tcPr>
          <w:p w14:paraId="6A3FA800">
            <w:pPr>
              <w:spacing w:line="360" w:lineRule="auto"/>
              <w:rPr>
                <w:rFonts w:ascii="宋体"/>
                <w:sz w:val="24"/>
              </w:rPr>
            </w:pPr>
            <w:r>
              <w:rPr>
                <w:rFonts w:hint="eastAsia" w:ascii="宋体" w:hAnsi="宋体"/>
                <w:sz w:val="24"/>
              </w:rPr>
              <w:t>合同文本运用是否适当</w:t>
            </w:r>
          </w:p>
        </w:tc>
        <w:tc>
          <w:tcPr>
            <w:tcW w:w="1843" w:type="dxa"/>
            <w:tcBorders>
              <w:bottom w:val="single" w:color="auto" w:sz="4" w:space="0"/>
            </w:tcBorders>
            <w:vAlign w:val="center"/>
          </w:tcPr>
          <w:p w14:paraId="620186A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F0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C7F1758">
            <w:pPr>
              <w:spacing w:line="360" w:lineRule="auto"/>
              <w:rPr>
                <w:rFonts w:ascii="宋体"/>
                <w:sz w:val="24"/>
              </w:rPr>
            </w:pPr>
          </w:p>
        </w:tc>
        <w:tc>
          <w:tcPr>
            <w:tcW w:w="4976" w:type="dxa"/>
            <w:tcBorders>
              <w:top w:val="single" w:color="auto" w:sz="4" w:space="0"/>
              <w:bottom w:val="single" w:color="auto" w:sz="4" w:space="0"/>
            </w:tcBorders>
            <w:vAlign w:val="center"/>
          </w:tcPr>
          <w:p w14:paraId="6CE2E177">
            <w:pPr>
              <w:spacing w:line="360" w:lineRule="auto"/>
              <w:rPr>
                <w:rFonts w:asci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3149111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E6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81AD700">
            <w:pPr>
              <w:spacing w:line="360" w:lineRule="auto"/>
              <w:rPr>
                <w:rFonts w:ascii="宋体"/>
                <w:sz w:val="24"/>
              </w:rPr>
            </w:pPr>
          </w:p>
        </w:tc>
        <w:tc>
          <w:tcPr>
            <w:tcW w:w="4976" w:type="dxa"/>
            <w:tcBorders>
              <w:top w:val="single" w:color="auto" w:sz="4" w:space="0"/>
              <w:bottom w:val="single" w:color="auto" w:sz="4" w:space="0"/>
            </w:tcBorders>
            <w:vAlign w:val="center"/>
          </w:tcPr>
          <w:p w14:paraId="61ADD099">
            <w:pPr>
              <w:spacing w:line="360" w:lineRule="auto"/>
              <w:rPr>
                <w:rFonts w:asci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151F0D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19F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C94E249">
            <w:pPr>
              <w:spacing w:line="360" w:lineRule="auto"/>
              <w:rPr>
                <w:rFonts w:ascii="宋体"/>
                <w:sz w:val="24"/>
              </w:rPr>
            </w:pPr>
          </w:p>
        </w:tc>
        <w:tc>
          <w:tcPr>
            <w:tcW w:w="4976" w:type="dxa"/>
            <w:tcBorders>
              <w:top w:val="single" w:color="auto" w:sz="4" w:space="0"/>
              <w:bottom w:val="single" w:color="auto" w:sz="4" w:space="0"/>
            </w:tcBorders>
            <w:vAlign w:val="center"/>
          </w:tcPr>
          <w:p w14:paraId="4DB95080">
            <w:pPr>
              <w:spacing w:line="360" w:lineRule="auto"/>
              <w:rPr>
                <w:rFonts w:asci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5830BE22">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D53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502950D">
            <w:pPr>
              <w:spacing w:line="360" w:lineRule="auto"/>
              <w:rPr>
                <w:rFonts w:ascii="宋体"/>
                <w:sz w:val="24"/>
              </w:rPr>
            </w:pPr>
          </w:p>
        </w:tc>
        <w:tc>
          <w:tcPr>
            <w:tcW w:w="4976" w:type="dxa"/>
            <w:tcBorders>
              <w:top w:val="single" w:color="auto" w:sz="4" w:space="0"/>
            </w:tcBorders>
            <w:vAlign w:val="center"/>
          </w:tcPr>
          <w:p w14:paraId="5BD0721B">
            <w:pPr>
              <w:spacing w:line="360" w:lineRule="auto"/>
              <w:rPr>
                <w:rFonts w:asci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170164E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766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D3D23BD">
            <w:pPr>
              <w:spacing w:line="360" w:lineRule="auto"/>
              <w:rPr>
                <w:rFonts w:ascii="宋体"/>
                <w:sz w:val="24"/>
              </w:rPr>
            </w:pPr>
            <w:r>
              <w:rPr>
                <w:rFonts w:hint="eastAsia" w:ascii="宋体" w:hAnsi="宋体"/>
                <w:sz w:val="24"/>
              </w:rPr>
              <w:t>（五）采购人或者主管预算单位认为应当审查的其他内容</w:t>
            </w:r>
          </w:p>
        </w:tc>
        <w:tc>
          <w:tcPr>
            <w:tcW w:w="4976" w:type="dxa"/>
            <w:vAlign w:val="center"/>
          </w:tcPr>
          <w:p w14:paraId="24562ADC">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1</w:t>
            </w:r>
          </w:p>
        </w:tc>
        <w:tc>
          <w:tcPr>
            <w:tcW w:w="1843" w:type="dxa"/>
            <w:vAlign w:val="center"/>
          </w:tcPr>
          <w:p w14:paraId="16C38D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39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B3AD01D">
            <w:pPr>
              <w:spacing w:line="360" w:lineRule="auto"/>
              <w:rPr>
                <w:rFonts w:ascii="宋体"/>
                <w:sz w:val="24"/>
              </w:rPr>
            </w:pPr>
          </w:p>
        </w:tc>
        <w:tc>
          <w:tcPr>
            <w:tcW w:w="4976" w:type="dxa"/>
            <w:vAlign w:val="center"/>
          </w:tcPr>
          <w:p w14:paraId="2877234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2</w:t>
            </w:r>
          </w:p>
        </w:tc>
        <w:tc>
          <w:tcPr>
            <w:tcW w:w="1843" w:type="dxa"/>
            <w:vAlign w:val="center"/>
          </w:tcPr>
          <w:p w14:paraId="74DB873C">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FC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B16E5A5">
            <w:pPr>
              <w:spacing w:line="360" w:lineRule="auto"/>
              <w:rPr>
                <w:rFonts w:ascii="宋体"/>
                <w:sz w:val="24"/>
              </w:rPr>
            </w:pPr>
          </w:p>
        </w:tc>
        <w:tc>
          <w:tcPr>
            <w:tcW w:w="4976" w:type="dxa"/>
            <w:vAlign w:val="center"/>
          </w:tcPr>
          <w:p w14:paraId="441A282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3D6B79A0">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30A0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14:paraId="6FEEB127">
            <w:pPr>
              <w:spacing w:line="360" w:lineRule="auto"/>
              <w:rPr>
                <w:rFonts w:ascii="宋体"/>
                <w:sz w:val="24"/>
              </w:rPr>
            </w:pPr>
          </w:p>
        </w:tc>
        <w:tc>
          <w:tcPr>
            <w:tcW w:w="4976" w:type="dxa"/>
            <w:vAlign w:val="center"/>
          </w:tcPr>
          <w:p w14:paraId="7BD17E23">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26B976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217326E1">
      <w:pPr>
        <w:spacing w:line="360" w:lineRule="auto"/>
        <w:rPr>
          <w:rFonts w:ascii="宋体"/>
          <w:sz w:val="24"/>
        </w:rPr>
      </w:pPr>
    </w:p>
    <w:p w14:paraId="31858842">
      <w:pPr>
        <w:spacing w:line="360" w:lineRule="auto"/>
        <w:ind w:firstLine="241" w:firstLineChars="100"/>
        <w:jc w:val="left"/>
        <w:rPr>
          <w:rFonts w:ascii="宋体" w:cs="仿宋_GB2312"/>
          <w:b/>
          <w:sz w:val="24"/>
        </w:rPr>
      </w:pPr>
      <w:r>
        <w:rPr>
          <w:rFonts w:hint="eastAsia" w:ascii="宋体" w:hAnsi="宋体"/>
          <w:b/>
          <w:sz w:val="24"/>
        </w:rPr>
        <w:t>审查结果</w:t>
      </w:r>
      <w:r>
        <w:rPr>
          <w:rFonts w:ascii="宋体" w:hAnsi="宋体"/>
          <w:b/>
          <w:sz w:val="24"/>
        </w:rPr>
        <w:t xml:space="preserve">:   </w:t>
      </w:r>
      <w:r>
        <w:rPr>
          <w:rFonts w:hint="eastAsia" w:ascii="宋体" w:hAnsi="Wingdings 2" w:cs="仿宋_GB2312"/>
          <w:b/>
          <w:sz w:val="24"/>
        </w:rPr>
        <w:sym w:font="Wingdings 2" w:char="0052"/>
      </w:r>
      <w:r>
        <w:rPr>
          <w:rFonts w:hint="eastAsia" w:ascii="宋体" w:hAnsi="宋体" w:cs="仿宋_GB2312"/>
          <w:b/>
          <w:sz w:val="24"/>
        </w:rPr>
        <w:t>通过</w:t>
      </w:r>
      <w:r>
        <w:rPr>
          <w:rFonts w:ascii="宋体" w:hAnsi="宋体" w:cs="仿宋_GB2312"/>
          <w:b/>
          <w:sz w:val="24"/>
        </w:rPr>
        <w:t xml:space="preserve">    </w:t>
      </w:r>
      <w:r>
        <w:rPr>
          <w:rFonts w:hint="eastAsia" w:ascii="宋体" w:hAnsi="Wingdings 2" w:cs="仿宋_GB2312"/>
          <w:b/>
          <w:sz w:val="24"/>
        </w:rPr>
        <w:sym w:font="Wingdings 2" w:char="F0A3"/>
      </w:r>
      <w:r>
        <w:rPr>
          <w:rFonts w:hint="eastAsia" w:ascii="宋体" w:hAnsi="宋体" w:cs="仿宋_GB2312"/>
          <w:b/>
          <w:sz w:val="24"/>
        </w:rPr>
        <w:t>不通过</w:t>
      </w:r>
    </w:p>
    <w:p w14:paraId="65020293">
      <w:pPr>
        <w:spacing w:line="360" w:lineRule="auto"/>
        <w:rPr>
          <w:rFonts w:ascii="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4C89">
    <w:pPr>
      <w:pStyle w:val="15"/>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653F">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2893C"/>
    <w:multiLevelType w:val="singleLevel"/>
    <w:tmpl w:val="EA528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ZjcyNTlkYjU1MjhmZWYxYTg5ZDY3MzI4NTM0YjgifQ=="/>
  </w:docVars>
  <w:rsids>
    <w:rsidRoot w:val="006F0877"/>
    <w:rsid w:val="00021224"/>
    <w:rsid w:val="000311FD"/>
    <w:rsid w:val="00064381"/>
    <w:rsid w:val="00071FEF"/>
    <w:rsid w:val="00073752"/>
    <w:rsid w:val="000918DD"/>
    <w:rsid w:val="00092F4E"/>
    <w:rsid w:val="000C0F74"/>
    <w:rsid w:val="000C3D7C"/>
    <w:rsid w:val="000C6507"/>
    <w:rsid w:val="000D0C5A"/>
    <w:rsid w:val="000F58B1"/>
    <w:rsid w:val="00102CDB"/>
    <w:rsid w:val="001300DC"/>
    <w:rsid w:val="00136F4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14D2"/>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4B3"/>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6CF1"/>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00EA"/>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3F87"/>
    <w:rsid w:val="00F75DE4"/>
    <w:rsid w:val="00F80F1F"/>
    <w:rsid w:val="00F97CF8"/>
    <w:rsid w:val="00FA2D23"/>
    <w:rsid w:val="00FA681C"/>
    <w:rsid w:val="00FA7052"/>
    <w:rsid w:val="00FC3796"/>
    <w:rsid w:val="00FC3CDC"/>
    <w:rsid w:val="00FC4248"/>
    <w:rsid w:val="00FE2C0D"/>
    <w:rsid w:val="00FE46D0"/>
    <w:rsid w:val="00FF6893"/>
    <w:rsid w:val="095B753A"/>
    <w:rsid w:val="0ACB174A"/>
    <w:rsid w:val="0BDD333A"/>
    <w:rsid w:val="0FFAA126"/>
    <w:rsid w:val="121D2A66"/>
    <w:rsid w:val="12DC22DA"/>
    <w:rsid w:val="17356295"/>
    <w:rsid w:val="18F75537"/>
    <w:rsid w:val="192304C0"/>
    <w:rsid w:val="1DA11B7B"/>
    <w:rsid w:val="1FBF5987"/>
    <w:rsid w:val="22540169"/>
    <w:rsid w:val="23B343B6"/>
    <w:rsid w:val="2CFDEC3D"/>
    <w:rsid w:val="2FF78ACD"/>
    <w:rsid w:val="316E58C2"/>
    <w:rsid w:val="3EB87315"/>
    <w:rsid w:val="3FFFE3D5"/>
    <w:rsid w:val="462657AE"/>
    <w:rsid w:val="4AE300A8"/>
    <w:rsid w:val="4FB77C3C"/>
    <w:rsid w:val="52F9645F"/>
    <w:rsid w:val="553700F3"/>
    <w:rsid w:val="5578413E"/>
    <w:rsid w:val="57D151DE"/>
    <w:rsid w:val="585843DA"/>
    <w:rsid w:val="5BBF1A8D"/>
    <w:rsid w:val="5D9F79E0"/>
    <w:rsid w:val="5DBFE6CB"/>
    <w:rsid w:val="5E0C70AF"/>
    <w:rsid w:val="5EFB6B15"/>
    <w:rsid w:val="5F5DEEF0"/>
    <w:rsid w:val="5F7B0613"/>
    <w:rsid w:val="630F0735"/>
    <w:rsid w:val="665372BF"/>
    <w:rsid w:val="67310E46"/>
    <w:rsid w:val="67F5AD5B"/>
    <w:rsid w:val="68295B1B"/>
    <w:rsid w:val="69661154"/>
    <w:rsid w:val="6BC749A9"/>
    <w:rsid w:val="6BFFC72E"/>
    <w:rsid w:val="6C7FD9C9"/>
    <w:rsid w:val="6F833E30"/>
    <w:rsid w:val="6FC9F4BB"/>
    <w:rsid w:val="6FEF5868"/>
    <w:rsid w:val="74BFF378"/>
    <w:rsid w:val="75FB23CF"/>
    <w:rsid w:val="7747C58A"/>
    <w:rsid w:val="7775E090"/>
    <w:rsid w:val="77FDC161"/>
    <w:rsid w:val="788A7D09"/>
    <w:rsid w:val="79F006D6"/>
    <w:rsid w:val="7A7F1594"/>
    <w:rsid w:val="7AAD6D5D"/>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0"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locked/>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Body Text"/>
    <w:basedOn w:val="1"/>
    <w:next w:val="6"/>
    <w:qFormat/>
    <w:locked/>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locked/>
    <w:uiPriority w:val="0"/>
    <w:pPr>
      <w:ind w:firstLine="420"/>
    </w:pPr>
    <w:rPr>
      <w:rFonts w:hAnsi="Calibri" w:cs="Times New Roman"/>
      <w:snapToGrid/>
      <w:szCs w:val="20"/>
    </w:rPr>
  </w:style>
  <w:style w:type="paragraph" w:styleId="7">
    <w:name w:val="Body Text Indent"/>
    <w:basedOn w:val="1"/>
    <w:next w:val="8"/>
    <w:qFormat/>
    <w:locked/>
    <w:uiPriority w:val="0"/>
    <w:pPr>
      <w:spacing w:line="480" w:lineRule="exact"/>
      <w:ind w:firstLine="480" w:firstLineChars="200"/>
    </w:pPr>
    <w:rPr>
      <w:rFonts w:ascii="宋体" w:hAnsi="宋体"/>
      <w:sz w:val="24"/>
    </w:rPr>
  </w:style>
  <w:style w:type="paragraph" w:customStyle="1" w:styleId="8">
    <w:name w:val="正文文本首行缩进 2"/>
    <w:basedOn w:val="9"/>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10">
    <w:name w:val="正文1"/>
    <w:basedOn w:val="11"/>
    <w:next w:val="1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customStyle="1" w:styleId="12">
    <w:name w:val="标题 21"/>
    <w:basedOn w:val="10"/>
    <w:next w:val="10"/>
    <w:qFormat/>
    <w:uiPriority w:val="0"/>
    <w:pPr>
      <w:keepNext/>
      <w:keepLines/>
      <w:tabs>
        <w:tab w:val="left" w:pos="706"/>
        <w:tab w:val="clear" w:pos="8268"/>
      </w:tabs>
      <w:ind w:left="106" w:firstLine="454"/>
      <w:outlineLvl w:val="1"/>
    </w:pPr>
    <w:rPr>
      <w:rFonts w:ascii="Arial" w:hAnsi="Arial" w:eastAsia="??"/>
      <w:b/>
      <w:bCs/>
      <w:szCs w:val="32"/>
    </w:rPr>
  </w:style>
  <w:style w:type="paragraph" w:styleId="13">
    <w:name w:val="Date"/>
    <w:basedOn w:val="1"/>
    <w:next w:val="1"/>
    <w:link w:val="25"/>
    <w:qFormat/>
    <w:uiPriority w:val="99"/>
    <w:pPr>
      <w:ind w:left="100" w:leftChars="2500"/>
    </w:pPr>
  </w:style>
  <w:style w:type="paragraph" w:styleId="14">
    <w:name w:val="Balloon Text"/>
    <w:basedOn w:val="1"/>
    <w:link w:val="26"/>
    <w:semiHidden/>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8">
    <w:name w:val="Body Text First Indent 2"/>
    <w:basedOn w:val="7"/>
    <w:next w:val="1"/>
    <w:qFormat/>
    <w:locked/>
    <w:uiPriority w:val="0"/>
    <w:pPr>
      <w:spacing w:after="120" w:line="240" w:lineRule="auto"/>
      <w:ind w:left="420" w:leftChars="200" w:firstLine="210"/>
    </w:pPr>
    <w:rPr>
      <w:sz w:val="21"/>
    </w:rPr>
  </w:style>
  <w:style w:type="table" w:styleId="20">
    <w:name w:val="Table Grid"/>
    <w:basedOn w:val="19"/>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99"/>
    <w:rPr>
      <w:rFonts w:cs="Times New Roman"/>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正文文本首行缩进 21"/>
    <w:basedOn w:val="9"/>
    <w:qFormat/>
    <w:uiPriority w:val="99"/>
    <w:pPr>
      <w:spacing w:line="200" w:lineRule="atLeast"/>
      <w:ind w:firstLine="420"/>
    </w:pPr>
    <w:rPr>
      <w:rFonts w:ascii="宋体"/>
      <w:spacing w:val="-4"/>
      <w:sz w:val="18"/>
    </w:rPr>
  </w:style>
  <w:style w:type="character" w:customStyle="1" w:styleId="25">
    <w:name w:val="日期 字符"/>
    <w:link w:val="13"/>
    <w:semiHidden/>
    <w:qFormat/>
    <w:locked/>
    <w:uiPriority w:val="99"/>
    <w:rPr>
      <w:rFonts w:cs="Times New Roman"/>
      <w:sz w:val="24"/>
      <w:szCs w:val="24"/>
    </w:rPr>
  </w:style>
  <w:style w:type="character" w:customStyle="1" w:styleId="26">
    <w:name w:val="批注框文本 字符"/>
    <w:link w:val="14"/>
    <w:semiHidden/>
    <w:qFormat/>
    <w:locked/>
    <w:uiPriority w:val="99"/>
    <w:rPr>
      <w:rFonts w:cs="Times New Roman"/>
      <w:sz w:val="2"/>
    </w:rPr>
  </w:style>
  <w:style w:type="character" w:customStyle="1" w:styleId="27">
    <w:name w:val="页脚 字符"/>
    <w:link w:val="15"/>
    <w:qFormat/>
    <w:locked/>
    <w:uiPriority w:val="99"/>
    <w:rPr>
      <w:rFonts w:cs="Times New Roman"/>
      <w:kern w:val="2"/>
      <w:sz w:val="18"/>
    </w:rPr>
  </w:style>
  <w:style w:type="character" w:customStyle="1" w:styleId="28">
    <w:name w:val="页眉 字符"/>
    <w:link w:val="16"/>
    <w:semiHidden/>
    <w:qFormat/>
    <w:locked/>
    <w:uiPriority w:val="99"/>
    <w:rPr>
      <w:rFonts w:cs="Times New Roman"/>
      <w:sz w:val="18"/>
      <w:szCs w:val="18"/>
    </w:rPr>
  </w:style>
  <w:style w:type="character" w:customStyle="1" w:styleId="29">
    <w:name w:val="页脚 Char"/>
    <w:qFormat/>
    <w:uiPriority w:val="99"/>
    <w:rPr>
      <w:rFonts w:eastAsia="Times New Roman"/>
      <w:sz w:val="21"/>
    </w:rPr>
  </w:style>
  <w:style w:type="paragraph" w:styleId="30">
    <w:name w:val="List Paragraph"/>
    <w:basedOn w:val="1"/>
    <w:qFormat/>
    <w:uiPriority w:val="34"/>
    <w:pPr>
      <w:ind w:firstLine="420"/>
    </w:pPr>
  </w:style>
  <w:style w:type="paragraph" w:customStyle="1" w:styleId="31">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32">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14</Pages>
  <Words>5045</Words>
  <Characters>5210</Characters>
  <Lines>48</Lines>
  <Paragraphs>13</Paragraphs>
  <TotalTime>0</TotalTime>
  <ScaleCrop>false</ScaleCrop>
  <LinksUpToDate>false</LinksUpToDate>
  <CharactersWithSpaces>5577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Administrator</cp:lastModifiedBy>
  <cp:lastPrinted>2021-07-26T01:17:00Z</cp:lastPrinted>
  <dcterms:modified xsi:type="dcterms:W3CDTF">2025-05-15T02:47:33Z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6DD7916620714FBDBE474249AFCFD79E_13</vt:lpwstr>
  </property>
  <property fmtid="{D5CDD505-2E9C-101B-9397-08002B2CF9AE}" pid="4" name="KSOTemplateDocerSaveRecord">
    <vt:lpwstr>eyJoZGlkIjoiNWM3ZTA2MTdkOWE1YTdkYjFiN2ZiZDc0ZDdkZGY2YzIifQ==</vt:lpwstr>
  </property>
</Properties>
</file>