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6AF83">
      <w:pPr>
        <w:spacing w:line="360" w:lineRule="auto"/>
        <w:jc w:val="center"/>
        <w:rPr>
          <w:rFonts w:ascii="仿宋" w:hAnsi="仿宋" w:eastAsia="仿宋" w:cs="仿宋"/>
          <w:bCs/>
          <w:sz w:val="52"/>
          <w:szCs w:val="52"/>
        </w:rPr>
      </w:pPr>
      <w:r>
        <w:rPr>
          <w:rFonts w:hint="eastAsia" w:ascii="仿宋" w:hAnsi="仿宋" w:eastAsia="仿宋" w:cs="仿宋"/>
          <w:bCs/>
          <w:sz w:val="52"/>
          <w:szCs w:val="52"/>
        </w:rPr>
        <w:t>杭州市政府采购项目</w:t>
      </w:r>
    </w:p>
    <w:p w14:paraId="17C31ACF">
      <w:pPr>
        <w:spacing w:line="360" w:lineRule="auto"/>
        <w:jc w:val="center"/>
        <w:rPr>
          <w:rFonts w:ascii="仿宋" w:hAnsi="仿宋" w:eastAsia="仿宋" w:cs="仿宋"/>
          <w:bCs/>
          <w:sz w:val="52"/>
          <w:szCs w:val="52"/>
        </w:rPr>
      </w:pPr>
      <w:r>
        <w:rPr>
          <w:rFonts w:hint="eastAsia" w:ascii="仿宋" w:hAnsi="仿宋" w:eastAsia="仿宋" w:cs="仿宋"/>
          <w:bCs/>
          <w:sz w:val="52"/>
          <w:szCs w:val="52"/>
        </w:rPr>
        <w:t>采购需求</w:t>
      </w:r>
    </w:p>
    <w:p w14:paraId="1A85DF44">
      <w:pPr>
        <w:spacing w:line="360" w:lineRule="auto"/>
        <w:jc w:val="center"/>
        <w:rPr>
          <w:rFonts w:ascii="仿宋" w:hAnsi="仿宋" w:eastAsia="仿宋" w:cs="仿宋"/>
          <w:szCs w:val="32"/>
        </w:rPr>
      </w:pPr>
    </w:p>
    <w:p w14:paraId="25D15AA7">
      <w:pPr>
        <w:spacing w:line="360" w:lineRule="auto"/>
        <w:jc w:val="center"/>
        <w:rPr>
          <w:rFonts w:ascii="仿宋" w:hAnsi="仿宋" w:eastAsia="仿宋" w:cs="仿宋"/>
          <w:sz w:val="44"/>
          <w:szCs w:val="44"/>
        </w:rPr>
      </w:pPr>
    </w:p>
    <w:p w14:paraId="7C2CFEE2">
      <w:pPr>
        <w:spacing w:line="360" w:lineRule="auto"/>
        <w:jc w:val="center"/>
        <w:rPr>
          <w:rFonts w:ascii="仿宋" w:hAnsi="仿宋" w:eastAsia="仿宋" w:cs="仿宋"/>
          <w:sz w:val="44"/>
          <w:szCs w:val="44"/>
        </w:rPr>
      </w:pPr>
    </w:p>
    <w:p w14:paraId="565BDD7F">
      <w:pPr>
        <w:spacing w:line="360" w:lineRule="auto"/>
        <w:jc w:val="center"/>
        <w:rPr>
          <w:rFonts w:ascii="仿宋" w:hAnsi="仿宋" w:eastAsia="仿宋" w:cs="仿宋"/>
          <w:sz w:val="44"/>
          <w:szCs w:val="44"/>
        </w:rPr>
      </w:pPr>
    </w:p>
    <w:p w14:paraId="7FB90A90">
      <w:pPr>
        <w:spacing w:line="360" w:lineRule="auto"/>
        <w:ind w:left="616" w:leftChars="200" w:firstLine="1206" w:firstLineChars="450"/>
        <w:rPr>
          <w:rFonts w:ascii="仿宋" w:hAnsi="仿宋" w:eastAsia="仿宋" w:cs="仿宋"/>
          <w:bCs/>
          <w:sz w:val="28"/>
          <w:szCs w:val="28"/>
        </w:rPr>
      </w:pPr>
    </w:p>
    <w:p w14:paraId="5901AB53">
      <w:pPr>
        <w:spacing w:line="360" w:lineRule="auto"/>
        <w:ind w:left="616" w:leftChars="200" w:firstLine="1206" w:firstLineChars="450"/>
        <w:rPr>
          <w:rFonts w:ascii="仿宋" w:hAnsi="仿宋" w:eastAsia="仿宋" w:cs="仿宋"/>
          <w:bCs/>
          <w:sz w:val="28"/>
          <w:szCs w:val="28"/>
          <w:u w:val="single"/>
        </w:rPr>
      </w:pPr>
      <w:r>
        <w:rPr>
          <w:rFonts w:hint="eastAsia" w:ascii="仿宋" w:hAnsi="仿宋" w:eastAsia="仿宋" w:cs="仿宋"/>
          <w:bCs/>
          <w:sz w:val="28"/>
          <w:szCs w:val="28"/>
        </w:rPr>
        <w:t>采购单位：</w:t>
      </w:r>
      <w:r>
        <w:rPr>
          <w:rFonts w:hint="eastAsia" w:ascii="仿宋" w:hAnsi="仿宋" w:eastAsia="仿宋" w:cs="仿宋"/>
          <w:bCs/>
          <w:sz w:val="28"/>
          <w:szCs w:val="28"/>
          <w:u w:val="single"/>
        </w:rPr>
        <w:t>杭州市余杭区综合行政执法局</w:t>
      </w:r>
    </w:p>
    <w:p w14:paraId="57D57D66">
      <w:pPr>
        <w:spacing w:line="360" w:lineRule="auto"/>
        <w:ind w:left="616" w:leftChars="200" w:firstLine="1206" w:firstLineChars="450"/>
        <w:jc w:val="both"/>
        <w:rPr>
          <w:rFonts w:hint="eastAsia" w:ascii="仿宋" w:hAnsi="仿宋" w:eastAsia="仿宋" w:cs="仿宋"/>
          <w:bCs/>
          <w:sz w:val="28"/>
          <w:szCs w:val="28"/>
          <w:u w:val="single"/>
          <w:lang w:eastAsia="zh-CN"/>
        </w:rPr>
      </w:pPr>
      <w:r>
        <w:rPr>
          <w:rFonts w:hint="eastAsia" w:ascii="仿宋" w:hAnsi="仿宋" w:eastAsia="仿宋" w:cs="仿宋"/>
          <w:bCs/>
          <w:sz w:val="28"/>
          <w:szCs w:val="28"/>
        </w:rPr>
        <w:t>项目名称：</w:t>
      </w:r>
      <w:r>
        <w:rPr>
          <w:rFonts w:hint="eastAsia" w:ascii="仿宋" w:hAnsi="仿宋" w:eastAsia="仿宋" w:cs="仿宋"/>
          <w:bCs/>
          <w:sz w:val="28"/>
          <w:szCs w:val="28"/>
          <w:u w:val="single"/>
          <w:lang w:eastAsia="zh-CN"/>
        </w:rPr>
        <w:t>2025年余杭区区管道路路灯管养项目</w:t>
      </w:r>
    </w:p>
    <w:p w14:paraId="3E58B9CF">
      <w:pPr>
        <w:spacing w:line="360" w:lineRule="auto"/>
        <w:ind w:left="616" w:leftChars="200" w:firstLine="1206" w:firstLineChars="450"/>
        <w:rPr>
          <w:rFonts w:ascii="仿宋" w:hAnsi="仿宋" w:eastAsia="仿宋" w:cs="仿宋"/>
          <w:bCs/>
          <w:sz w:val="28"/>
          <w:szCs w:val="28"/>
          <w:u w:val="single"/>
        </w:rPr>
      </w:pPr>
      <w:r>
        <w:rPr>
          <w:rFonts w:hint="eastAsia" w:ascii="仿宋" w:hAnsi="仿宋" w:eastAsia="仿宋" w:cs="仿宋"/>
          <w:bCs/>
          <w:sz w:val="28"/>
          <w:szCs w:val="28"/>
        </w:rPr>
        <w:t>编制单位：</w:t>
      </w:r>
      <w:r>
        <w:rPr>
          <w:rFonts w:hint="eastAsia" w:ascii="仿宋" w:hAnsi="仿宋" w:eastAsia="仿宋" w:cs="仿宋"/>
          <w:bCs/>
          <w:sz w:val="28"/>
          <w:szCs w:val="28"/>
          <w:u w:val="single"/>
        </w:rPr>
        <w:t>杭州市余杭区综合行政执法局</w:t>
      </w:r>
    </w:p>
    <w:p w14:paraId="776493CE">
      <w:pPr>
        <w:spacing w:line="360" w:lineRule="auto"/>
        <w:ind w:left="616" w:leftChars="200" w:firstLine="1206" w:firstLineChars="450"/>
        <w:rPr>
          <w:rFonts w:ascii="仿宋" w:hAnsi="仿宋" w:eastAsia="仿宋" w:cs="仿宋"/>
          <w:bCs/>
          <w:sz w:val="28"/>
          <w:szCs w:val="28"/>
          <w:u w:val="single"/>
        </w:rPr>
      </w:pPr>
      <w:r>
        <w:rPr>
          <w:rFonts w:hint="eastAsia" w:ascii="仿宋" w:hAnsi="仿宋" w:eastAsia="仿宋" w:cs="仿宋"/>
          <w:bCs/>
          <w:sz w:val="28"/>
          <w:szCs w:val="28"/>
        </w:rPr>
        <w:t>编制时间：</w:t>
      </w:r>
      <w:r>
        <w:rPr>
          <w:rFonts w:hint="eastAsia" w:ascii="仿宋" w:hAnsi="仿宋" w:eastAsia="仿宋" w:cs="仿宋"/>
          <w:bCs/>
          <w:sz w:val="28"/>
          <w:szCs w:val="28"/>
          <w:u w:val="single"/>
        </w:rPr>
        <w:t>202</w:t>
      </w:r>
      <w:r>
        <w:rPr>
          <w:rFonts w:hint="eastAsia" w:ascii="仿宋" w:hAnsi="仿宋" w:eastAsia="仿宋" w:cs="仿宋"/>
          <w:bCs/>
          <w:sz w:val="28"/>
          <w:szCs w:val="28"/>
          <w:u w:val="single"/>
          <w:lang w:val="en-US" w:eastAsia="zh-CN"/>
        </w:rPr>
        <w:t>5</w:t>
      </w:r>
      <w:r>
        <w:rPr>
          <w:rFonts w:hint="eastAsia" w:ascii="仿宋" w:hAnsi="仿宋" w:eastAsia="仿宋" w:cs="仿宋"/>
          <w:bCs/>
          <w:sz w:val="28"/>
          <w:szCs w:val="28"/>
          <w:u w:val="single"/>
        </w:rPr>
        <w:t>年</w:t>
      </w:r>
      <w:r>
        <w:rPr>
          <w:rFonts w:hint="eastAsia" w:ascii="仿宋" w:hAnsi="仿宋" w:eastAsia="仿宋" w:cs="仿宋"/>
          <w:bCs/>
          <w:sz w:val="28"/>
          <w:szCs w:val="28"/>
          <w:u w:val="single"/>
          <w:lang w:val="en-US" w:eastAsia="zh-CN"/>
        </w:rPr>
        <w:t>5</w:t>
      </w:r>
      <w:r>
        <w:rPr>
          <w:rFonts w:hint="eastAsia" w:ascii="仿宋" w:hAnsi="仿宋" w:eastAsia="仿宋" w:cs="仿宋"/>
          <w:bCs/>
          <w:sz w:val="28"/>
          <w:szCs w:val="28"/>
          <w:u w:val="single"/>
        </w:rPr>
        <w:t>月</w:t>
      </w:r>
      <w:r>
        <w:rPr>
          <w:rFonts w:hint="eastAsia" w:ascii="仿宋" w:hAnsi="仿宋" w:eastAsia="仿宋" w:cs="仿宋"/>
          <w:bCs/>
          <w:sz w:val="28"/>
          <w:szCs w:val="28"/>
          <w:u w:val="single"/>
          <w:lang w:val="en-US" w:eastAsia="zh-CN"/>
        </w:rPr>
        <w:t>26</w:t>
      </w:r>
      <w:r>
        <w:rPr>
          <w:rFonts w:hint="eastAsia" w:ascii="仿宋" w:hAnsi="仿宋" w:eastAsia="仿宋" w:cs="仿宋"/>
          <w:bCs/>
          <w:sz w:val="28"/>
          <w:szCs w:val="28"/>
          <w:u w:val="single"/>
        </w:rPr>
        <w:t>日</w:t>
      </w:r>
    </w:p>
    <w:p w14:paraId="43827FBD">
      <w:pPr>
        <w:spacing w:line="360" w:lineRule="auto"/>
        <w:jc w:val="left"/>
        <w:rPr>
          <w:rFonts w:ascii="仿宋" w:hAnsi="仿宋" w:eastAsia="仿宋"/>
          <w:sz w:val="28"/>
          <w:szCs w:val="28"/>
        </w:rPr>
      </w:pPr>
      <w:r>
        <w:rPr>
          <w:rFonts w:ascii="仿宋" w:hAnsi="仿宋" w:eastAsia="仿宋"/>
          <w:szCs w:val="32"/>
        </w:rPr>
        <w:br w:type="page"/>
      </w:r>
      <w:r>
        <w:rPr>
          <w:rFonts w:hint="eastAsia" w:ascii="仿宋" w:hAnsi="仿宋" w:eastAsia="仿宋"/>
          <w:sz w:val="28"/>
          <w:szCs w:val="28"/>
        </w:rPr>
        <w:t>一、需求调查情况</w:t>
      </w:r>
    </w:p>
    <w:p w14:paraId="00FDE4C2">
      <w:pPr>
        <w:spacing w:line="360" w:lineRule="auto"/>
        <w:jc w:val="left"/>
        <w:rPr>
          <w:rFonts w:ascii="仿宋" w:hAnsi="仿宋" w:eastAsia="仿宋" w:cs="仿宋_GB2312"/>
          <w:sz w:val="24"/>
        </w:rPr>
      </w:pPr>
      <w:r>
        <w:rPr>
          <w:rFonts w:hint="eastAsia" w:ascii="仿宋" w:hAnsi="仿宋" w:eastAsia="仿宋" w:cs="仿宋_GB2312"/>
          <w:sz w:val="24"/>
        </w:rPr>
        <w:t>（一）本项目是否需要开展需求调查：</w:t>
      </w:r>
      <w:r>
        <w:rPr>
          <w:rFonts w:hint="eastAsia" w:ascii="仿宋" w:hAnsi="仿宋" w:eastAsia="仿宋" w:cs="仿宋_GB2312"/>
          <w:sz w:val="24"/>
        </w:rPr>
        <w:sym w:font="Wingdings 2" w:char="00A3"/>
      </w:r>
      <w:r>
        <w:rPr>
          <w:rFonts w:hint="eastAsia" w:ascii="仿宋" w:hAnsi="仿宋" w:eastAsia="仿宋" w:cs="仿宋_GB2312"/>
          <w:sz w:val="24"/>
        </w:rPr>
        <w:t xml:space="preserve">是  </w:t>
      </w:r>
      <w:r>
        <w:rPr>
          <w:rFonts w:hint="eastAsia" w:ascii="仿宋" w:hAnsi="仿宋" w:eastAsia="仿宋" w:cs="仿宋_GB2312"/>
          <w:sz w:val="24"/>
        </w:rPr>
        <w:sym w:font="Wingdings 2" w:char="0052"/>
      </w:r>
      <w:r>
        <w:rPr>
          <w:rFonts w:hint="eastAsia" w:ascii="仿宋" w:hAnsi="仿宋" w:eastAsia="仿宋" w:cs="仿宋_GB2312"/>
          <w:sz w:val="24"/>
        </w:rPr>
        <w:t>否</w:t>
      </w:r>
    </w:p>
    <w:p w14:paraId="7D200C9E">
      <w:pPr>
        <w:spacing w:line="360" w:lineRule="auto"/>
        <w:jc w:val="left"/>
        <w:rPr>
          <w:rFonts w:ascii="仿宋" w:hAnsi="仿宋" w:eastAsia="仿宋" w:cs="仿宋_GB2312"/>
          <w:sz w:val="24"/>
        </w:rPr>
      </w:pPr>
      <w:r>
        <w:rPr>
          <w:rFonts w:hint="eastAsia" w:ascii="仿宋" w:hAnsi="仿宋" w:eastAsia="仿宋" w:cs="仿宋_GB2312"/>
          <w:sz w:val="24"/>
        </w:rPr>
        <w:t>（二）本项目是否属于可以不再重复开展需求调查情形：</w:t>
      </w:r>
      <w:r>
        <w:rPr>
          <w:rFonts w:hint="eastAsia" w:ascii="仿宋" w:hAnsi="仿宋" w:eastAsia="仿宋" w:cs="仿宋_GB2312"/>
          <w:sz w:val="24"/>
        </w:rPr>
        <w:sym w:font="Wingdings 2" w:char="00A3"/>
      </w:r>
      <w:r>
        <w:rPr>
          <w:rFonts w:hint="eastAsia" w:ascii="仿宋" w:hAnsi="仿宋" w:eastAsia="仿宋" w:cs="仿宋_GB2312"/>
          <w:sz w:val="24"/>
        </w:rPr>
        <w:t xml:space="preserve">是  </w:t>
      </w:r>
      <w:r>
        <w:rPr>
          <w:rFonts w:hint="eastAsia" w:ascii="仿宋" w:hAnsi="仿宋" w:eastAsia="仿宋" w:cs="仿宋_GB2312"/>
          <w:sz w:val="24"/>
        </w:rPr>
        <w:sym w:font="Wingdings 2" w:char="0052"/>
      </w:r>
      <w:r>
        <w:rPr>
          <w:rFonts w:hint="eastAsia" w:ascii="仿宋" w:hAnsi="仿宋" w:eastAsia="仿宋" w:cs="仿宋_GB2312"/>
          <w:sz w:val="24"/>
        </w:rPr>
        <w:t>否</w:t>
      </w:r>
    </w:p>
    <w:p w14:paraId="30C3CFD3">
      <w:pPr>
        <w:spacing w:line="360" w:lineRule="auto"/>
        <w:jc w:val="left"/>
        <w:rPr>
          <w:rFonts w:ascii="仿宋" w:hAnsi="仿宋" w:eastAsia="仿宋" w:cs="仿宋_GB2312"/>
          <w:sz w:val="24"/>
        </w:rPr>
      </w:pPr>
      <w:r>
        <w:rPr>
          <w:rFonts w:hint="eastAsia" w:ascii="仿宋" w:hAnsi="仿宋" w:eastAsia="仿宋" w:cs="仿宋_GB2312"/>
          <w:sz w:val="24"/>
        </w:rPr>
        <w:t>（三）需求调查方式</w:t>
      </w:r>
    </w:p>
    <w:p w14:paraId="26F0C8E0">
      <w:pPr>
        <w:spacing w:line="360" w:lineRule="auto"/>
        <w:ind w:firstLine="420"/>
        <w:jc w:val="left"/>
        <w:rPr>
          <w:rFonts w:ascii="仿宋" w:hAnsi="仿宋" w:eastAsia="仿宋" w:cs="仿宋_GB2312"/>
          <w:sz w:val="24"/>
        </w:rPr>
      </w:pPr>
      <w:r>
        <w:rPr>
          <w:rFonts w:hint="eastAsia" w:ascii="仿宋" w:hAnsi="仿宋" w:eastAsia="仿宋" w:cs="仿宋_GB2312"/>
          <w:sz w:val="24"/>
        </w:rPr>
        <w:t xml:space="preserve">/                    </w:t>
      </w:r>
    </w:p>
    <w:p w14:paraId="6008E700">
      <w:pPr>
        <w:spacing w:line="360" w:lineRule="auto"/>
        <w:jc w:val="left"/>
        <w:rPr>
          <w:rFonts w:ascii="仿宋" w:hAnsi="仿宋" w:eastAsia="仿宋" w:cs="仿宋_GB2312"/>
          <w:sz w:val="24"/>
        </w:rPr>
      </w:pPr>
      <w:r>
        <w:rPr>
          <w:rFonts w:hint="eastAsia" w:ascii="仿宋" w:hAnsi="仿宋" w:eastAsia="仿宋" w:cs="仿宋_GB2312"/>
          <w:sz w:val="24"/>
        </w:rPr>
        <w:t>（四）需求调查对象</w:t>
      </w:r>
    </w:p>
    <w:p w14:paraId="2E723596">
      <w:pPr>
        <w:spacing w:line="360" w:lineRule="auto"/>
        <w:ind w:firstLine="456" w:firstLineChars="200"/>
        <w:jc w:val="left"/>
        <w:rPr>
          <w:rFonts w:ascii="仿宋" w:hAnsi="仿宋" w:eastAsia="仿宋" w:cs="仿宋_GB2312"/>
          <w:sz w:val="24"/>
          <w:u w:val="single"/>
        </w:rPr>
      </w:pPr>
      <w:r>
        <w:rPr>
          <w:rFonts w:hint="eastAsia" w:ascii="仿宋" w:hAnsi="仿宋" w:eastAsia="仿宋" w:cs="仿宋_GB2312"/>
          <w:sz w:val="24"/>
          <w:u w:val="single"/>
        </w:rPr>
        <w:t>/</w:t>
      </w:r>
    </w:p>
    <w:p w14:paraId="61933632">
      <w:pPr>
        <w:spacing w:line="360" w:lineRule="auto"/>
        <w:jc w:val="left"/>
        <w:rPr>
          <w:rFonts w:ascii="仿宋" w:hAnsi="仿宋" w:eastAsia="仿宋" w:cs="仿宋_GB2312"/>
          <w:sz w:val="24"/>
        </w:rPr>
      </w:pPr>
      <w:r>
        <w:rPr>
          <w:rFonts w:hint="eastAsia" w:ascii="仿宋" w:hAnsi="仿宋" w:eastAsia="仿宋" w:cs="仿宋_GB2312"/>
          <w:sz w:val="24"/>
        </w:rPr>
        <w:t>（五）需求调查结果</w:t>
      </w:r>
    </w:p>
    <w:p w14:paraId="1B7F5407">
      <w:pPr>
        <w:spacing w:line="360" w:lineRule="auto"/>
        <w:ind w:firstLine="456" w:firstLineChars="200"/>
        <w:jc w:val="left"/>
        <w:rPr>
          <w:rFonts w:ascii="仿宋" w:hAnsi="仿宋" w:eastAsia="仿宋"/>
          <w:sz w:val="24"/>
          <w:u w:val="single"/>
        </w:rPr>
      </w:pPr>
      <w:r>
        <w:rPr>
          <w:rFonts w:hint="eastAsia" w:ascii="仿宋" w:hAnsi="仿宋" w:eastAsia="仿宋"/>
          <w:sz w:val="24"/>
        </w:rPr>
        <w:t>/</w:t>
      </w:r>
    </w:p>
    <w:p w14:paraId="195EF321">
      <w:pPr>
        <w:spacing w:beforeLines="100" w:line="360" w:lineRule="auto"/>
        <w:jc w:val="left"/>
        <w:rPr>
          <w:rFonts w:ascii="仿宋" w:hAnsi="仿宋" w:eastAsia="仿宋"/>
          <w:sz w:val="28"/>
          <w:szCs w:val="28"/>
        </w:rPr>
      </w:pPr>
      <w:r>
        <w:rPr>
          <w:rFonts w:ascii="仿宋" w:hAnsi="仿宋" w:eastAsia="仿宋"/>
          <w:sz w:val="28"/>
          <w:szCs w:val="28"/>
        </w:rPr>
        <w:t>二</w:t>
      </w:r>
      <w:r>
        <w:rPr>
          <w:rFonts w:hint="eastAsia" w:ascii="仿宋" w:hAnsi="仿宋" w:eastAsia="仿宋"/>
          <w:sz w:val="28"/>
          <w:szCs w:val="28"/>
        </w:rPr>
        <w:t>、采购需求内容</w:t>
      </w:r>
    </w:p>
    <w:p w14:paraId="6DEBA56B">
      <w:pPr>
        <w:spacing w:line="360" w:lineRule="auto"/>
        <w:jc w:val="left"/>
        <w:rPr>
          <w:rFonts w:ascii="仿宋" w:hAnsi="仿宋" w:eastAsia="仿宋" w:cs="仿宋_GB2312"/>
          <w:sz w:val="24"/>
        </w:rPr>
      </w:pPr>
      <w:r>
        <w:rPr>
          <w:rFonts w:hint="eastAsia" w:ascii="仿宋" w:hAnsi="仿宋" w:eastAsia="仿宋" w:cs="仿宋_GB2312"/>
          <w:sz w:val="24"/>
        </w:rPr>
        <w:t>（一）项目概况</w:t>
      </w:r>
    </w:p>
    <w:p w14:paraId="555A5AA3">
      <w:pPr>
        <w:spacing w:line="360" w:lineRule="auto"/>
        <w:ind w:firstLine="456" w:firstLineChars="200"/>
        <w:jc w:val="left"/>
        <w:rPr>
          <w:rFonts w:ascii="仿宋" w:hAnsi="仿宋" w:eastAsia="仿宋"/>
          <w:sz w:val="24"/>
          <w:u w:val="single"/>
        </w:rPr>
      </w:pPr>
      <w:r>
        <w:rPr>
          <w:rFonts w:hint="eastAsia" w:ascii="仿宋" w:hAnsi="仿宋" w:eastAsia="仿宋"/>
          <w:sz w:val="24"/>
          <w:u w:val="single"/>
        </w:rPr>
        <w:t>本项目包括余杭区范围内城市道路共1</w:t>
      </w:r>
      <w:r>
        <w:rPr>
          <w:rFonts w:hint="eastAsia" w:ascii="仿宋" w:hAnsi="仿宋" w:eastAsia="仿宋"/>
          <w:sz w:val="24"/>
          <w:u w:val="single"/>
          <w:lang w:val="en-US" w:eastAsia="zh-CN"/>
        </w:rPr>
        <w:t>5</w:t>
      </w:r>
      <w:r>
        <w:rPr>
          <w:rFonts w:hint="eastAsia" w:ascii="仿宋" w:hAnsi="仿宋" w:eastAsia="仿宋"/>
          <w:sz w:val="24"/>
          <w:u w:val="single"/>
        </w:rPr>
        <w:t>条，路灯（不包括新建、改建道路未移交路灯）及其附属设施的养护服务，投标人投标报价包括日常养护费及更新改造费。</w:t>
      </w:r>
    </w:p>
    <w:p w14:paraId="691C07DB">
      <w:pPr>
        <w:spacing w:line="360" w:lineRule="auto"/>
        <w:jc w:val="left"/>
        <w:rPr>
          <w:rFonts w:ascii="仿宋" w:hAnsi="仿宋" w:eastAsia="仿宋" w:cs="仿宋_GB2312"/>
          <w:sz w:val="24"/>
        </w:rPr>
      </w:pPr>
      <w:r>
        <w:rPr>
          <w:rFonts w:hint="eastAsia" w:ascii="仿宋" w:hAnsi="仿宋" w:eastAsia="仿宋" w:cs="仿宋_GB2312"/>
          <w:sz w:val="24"/>
        </w:rPr>
        <w:t>（二）预算金额（元）：</w:t>
      </w:r>
      <w:r>
        <w:rPr>
          <w:rFonts w:hint="eastAsia" w:ascii="仿宋" w:hAnsi="仿宋" w:eastAsia="仿宋"/>
          <w:sz w:val="24"/>
          <w:u w:val="single"/>
          <w:lang w:val="en-US" w:eastAsia="zh-CN"/>
        </w:rPr>
        <w:t>165</w:t>
      </w:r>
      <w:r>
        <w:rPr>
          <w:rFonts w:hint="eastAsia" w:ascii="仿宋" w:hAnsi="仿宋" w:eastAsia="仿宋"/>
          <w:sz w:val="24"/>
          <w:u w:val="single"/>
        </w:rPr>
        <w:t>0000(1</w:t>
      </w:r>
      <w:r>
        <w:rPr>
          <w:rFonts w:hint="eastAsia" w:ascii="仿宋" w:hAnsi="仿宋" w:eastAsia="仿宋"/>
          <w:sz w:val="24"/>
          <w:u w:val="single"/>
          <w:lang w:val="en-US" w:eastAsia="zh-CN"/>
        </w:rPr>
        <w:t>2</w:t>
      </w:r>
      <w:r>
        <w:rPr>
          <w:rFonts w:hint="eastAsia" w:ascii="仿宋" w:hAnsi="仿宋" w:eastAsia="仿宋"/>
          <w:sz w:val="24"/>
          <w:u w:val="single"/>
        </w:rPr>
        <w:t>个月)</w:t>
      </w:r>
    </w:p>
    <w:p w14:paraId="5AB1C1D3">
      <w:pPr>
        <w:spacing w:line="360" w:lineRule="auto"/>
        <w:jc w:val="left"/>
        <w:rPr>
          <w:rFonts w:ascii="仿宋" w:hAnsi="仿宋" w:eastAsia="仿宋" w:cs="仿宋_GB2312"/>
          <w:sz w:val="24"/>
        </w:rPr>
      </w:pPr>
      <w:r>
        <w:rPr>
          <w:rFonts w:hint="eastAsia" w:ascii="仿宋" w:hAnsi="仿宋" w:eastAsia="仿宋" w:cs="仿宋_GB2312"/>
          <w:sz w:val="24"/>
        </w:rPr>
        <w:t>（三）需满足的政府采购政策目标和具体支持对象</w:t>
      </w:r>
    </w:p>
    <w:p w14:paraId="3802DE12">
      <w:pPr>
        <w:spacing w:line="360" w:lineRule="auto"/>
        <w:ind w:firstLine="420"/>
        <w:jc w:val="left"/>
        <w:rPr>
          <w:rFonts w:ascii="仿宋" w:hAnsi="仿宋" w:eastAsia="仿宋" w:cs="仿宋_GB2312"/>
          <w:sz w:val="24"/>
        </w:rPr>
      </w:pPr>
      <w:r>
        <w:rPr>
          <w:rFonts w:hint="eastAsia" w:ascii="仿宋" w:hAnsi="仿宋" w:eastAsia="仿宋" w:cs="仿宋_GB2312"/>
          <w:sz w:val="24"/>
        </w:rPr>
        <w:sym w:font="Wingdings 2" w:char="0052"/>
      </w:r>
      <w:r>
        <w:rPr>
          <w:rFonts w:hint="eastAsia" w:ascii="仿宋" w:hAnsi="仿宋" w:eastAsia="仿宋" w:cs="仿宋_GB2312"/>
          <w:sz w:val="24"/>
        </w:rPr>
        <w:t xml:space="preserve">扶持中小企业 </w:t>
      </w:r>
      <w:r>
        <w:rPr>
          <w:rFonts w:hint="eastAsia" w:ascii="仿宋" w:hAnsi="仿宋" w:eastAsia="仿宋" w:cs="仿宋_GB2312"/>
          <w:sz w:val="24"/>
        </w:rPr>
        <w:sym w:font="Wingdings 2" w:char="00A3"/>
      </w:r>
      <w:r>
        <w:rPr>
          <w:rFonts w:hint="eastAsia" w:ascii="仿宋" w:hAnsi="仿宋" w:eastAsia="仿宋" w:cs="仿宋_GB2312"/>
          <w:sz w:val="24"/>
        </w:rPr>
        <w:t xml:space="preserve">节能环保 </w:t>
      </w:r>
      <w:r>
        <w:rPr>
          <w:rFonts w:hint="eastAsia" w:ascii="仿宋" w:hAnsi="仿宋" w:eastAsia="仿宋" w:cs="仿宋_GB2312"/>
          <w:sz w:val="24"/>
        </w:rPr>
        <w:sym w:font="Wingdings 2" w:char="00A3"/>
      </w:r>
      <w:r>
        <w:rPr>
          <w:rFonts w:hint="eastAsia" w:ascii="仿宋" w:hAnsi="仿宋" w:eastAsia="仿宋" w:cs="仿宋_GB2312"/>
          <w:sz w:val="24"/>
        </w:rPr>
        <w:t>其他（）</w:t>
      </w:r>
    </w:p>
    <w:p w14:paraId="37A2C8EB">
      <w:pPr>
        <w:spacing w:line="360" w:lineRule="auto"/>
        <w:jc w:val="left"/>
        <w:rPr>
          <w:rFonts w:ascii="仿宋" w:hAnsi="仿宋" w:eastAsia="仿宋" w:cs="仿宋_GB2312"/>
          <w:sz w:val="24"/>
        </w:rPr>
      </w:pPr>
      <w:r>
        <w:rPr>
          <w:rFonts w:hint="eastAsia" w:ascii="仿宋" w:hAnsi="仿宋" w:eastAsia="仿宋" w:cs="仿宋_GB2312"/>
          <w:sz w:val="24"/>
        </w:rPr>
        <w:t xml:space="preserve">（四）采购标的是否进口产品： </w:t>
      </w:r>
      <w:r>
        <w:rPr>
          <w:rFonts w:hint="eastAsia" w:ascii="仿宋" w:hAnsi="仿宋" w:eastAsia="仿宋" w:cs="仿宋_GB2312"/>
          <w:sz w:val="24"/>
        </w:rPr>
        <w:sym w:font="Wingdings 2" w:char="00A3"/>
      </w:r>
      <w:r>
        <w:rPr>
          <w:rFonts w:hint="eastAsia" w:ascii="仿宋" w:hAnsi="仿宋" w:eastAsia="仿宋" w:cs="仿宋_GB2312"/>
          <w:sz w:val="24"/>
        </w:rPr>
        <w:t xml:space="preserve">进口 </w:t>
      </w:r>
      <w:r>
        <w:rPr>
          <w:rFonts w:hint="eastAsia" w:ascii="仿宋" w:hAnsi="仿宋" w:eastAsia="仿宋" w:cs="仿宋_GB2312"/>
          <w:sz w:val="24"/>
        </w:rPr>
        <w:sym w:font="Wingdings 2" w:char="0052"/>
      </w:r>
      <w:r>
        <w:rPr>
          <w:rFonts w:hint="eastAsia" w:ascii="仿宋" w:hAnsi="仿宋" w:eastAsia="仿宋" w:cs="仿宋_GB2312"/>
          <w:sz w:val="24"/>
        </w:rPr>
        <w:t>国产</w:t>
      </w:r>
    </w:p>
    <w:p w14:paraId="61097CCF">
      <w:pPr>
        <w:spacing w:line="360" w:lineRule="auto"/>
        <w:jc w:val="left"/>
        <w:rPr>
          <w:rFonts w:ascii="仿宋" w:hAnsi="仿宋" w:eastAsia="仿宋" w:cs="仿宋_GB2312"/>
          <w:sz w:val="24"/>
        </w:rPr>
      </w:pPr>
      <w:r>
        <w:rPr>
          <w:rFonts w:hint="eastAsia" w:ascii="仿宋" w:hAnsi="仿宋" w:eastAsia="仿宋" w:cs="仿宋_GB2312"/>
          <w:sz w:val="24"/>
        </w:rPr>
        <w:t>（五）拟采购标的的技术要求</w:t>
      </w:r>
    </w:p>
    <w:p w14:paraId="5EC9AAAD">
      <w:pPr>
        <w:spacing w:line="360" w:lineRule="auto"/>
        <w:jc w:val="left"/>
        <w:rPr>
          <w:rFonts w:ascii="仿宋" w:hAnsi="仿宋" w:eastAsia="仿宋" w:cs="仿宋_GB2312"/>
          <w:sz w:val="24"/>
        </w:rPr>
      </w:pPr>
      <w:r>
        <w:rPr>
          <w:rFonts w:hint="eastAsia" w:ascii="仿宋" w:hAnsi="仿宋" w:eastAsia="仿宋" w:cs="仿宋_GB2312"/>
          <w:sz w:val="24"/>
        </w:rPr>
        <w:t>1、养护范围、清单</w:t>
      </w:r>
    </w:p>
    <w:tbl>
      <w:tblPr>
        <w:tblStyle w:val="10"/>
        <w:tblW w:w="8150" w:type="dxa"/>
        <w:tblInd w:w="99" w:type="dxa"/>
        <w:tblLayout w:type="autofit"/>
        <w:tblCellMar>
          <w:top w:w="0" w:type="dxa"/>
          <w:left w:w="108" w:type="dxa"/>
          <w:bottom w:w="0" w:type="dxa"/>
          <w:right w:w="108" w:type="dxa"/>
        </w:tblCellMar>
      </w:tblPr>
      <w:tblGrid>
        <w:gridCol w:w="1251"/>
        <w:gridCol w:w="4096"/>
        <w:gridCol w:w="2803"/>
      </w:tblGrid>
      <w:tr w14:paraId="70B8C129">
        <w:tblPrEx>
          <w:tblCellMar>
            <w:top w:w="0" w:type="dxa"/>
            <w:left w:w="108" w:type="dxa"/>
            <w:bottom w:w="0" w:type="dxa"/>
            <w:right w:w="108" w:type="dxa"/>
          </w:tblCellMar>
        </w:tblPrEx>
        <w:trPr>
          <w:trHeight w:val="346" w:hRule="atLeast"/>
        </w:trPr>
        <w:tc>
          <w:tcPr>
            <w:tcW w:w="1251"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14:paraId="701E9342">
            <w:pPr>
              <w:widowControl/>
              <w:adjustRightInd/>
              <w:jc w:val="center"/>
              <w:rPr>
                <w:rFonts w:ascii="仿宋" w:hAnsi="仿宋" w:eastAsia="仿宋" w:cs="宋体"/>
                <w:sz w:val="24"/>
              </w:rPr>
            </w:pPr>
            <w:r>
              <w:rPr>
                <w:rFonts w:hint="eastAsia" w:ascii="仿宋" w:hAnsi="仿宋" w:eastAsia="仿宋" w:cs="宋体"/>
                <w:sz w:val="24"/>
              </w:rPr>
              <w:t>序号</w:t>
            </w:r>
          </w:p>
        </w:tc>
        <w:tc>
          <w:tcPr>
            <w:tcW w:w="409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3DB9649">
            <w:pPr>
              <w:widowControl/>
              <w:adjustRightInd/>
              <w:jc w:val="center"/>
              <w:rPr>
                <w:rFonts w:ascii="仿宋" w:hAnsi="仿宋" w:eastAsia="仿宋" w:cs="宋体"/>
                <w:sz w:val="24"/>
              </w:rPr>
            </w:pPr>
            <w:r>
              <w:rPr>
                <w:rFonts w:hint="eastAsia" w:ascii="仿宋" w:hAnsi="仿宋" w:eastAsia="仿宋" w:cs="宋体"/>
                <w:sz w:val="24"/>
              </w:rPr>
              <w:t>道路、巷、小区名称</w:t>
            </w:r>
          </w:p>
        </w:tc>
        <w:tc>
          <w:tcPr>
            <w:tcW w:w="2803" w:type="dxa"/>
            <w:vMerge w:val="restart"/>
            <w:tcBorders>
              <w:top w:val="single" w:color="auto" w:sz="4" w:space="0"/>
              <w:left w:val="nil"/>
              <w:right w:val="single" w:color="000000" w:sz="4" w:space="0"/>
            </w:tcBorders>
            <w:shd w:val="clear" w:color="auto" w:fill="auto"/>
            <w:noWrap/>
            <w:vAlign w:val="center"/>
          </w:tcPr>
          <w:p w14:paraId="14921792">
            <w:pPr>
              <w:jc w:val="center"/>
              <w:rPr>
                <w:rFonts w:ascii="仿宋" w:hAnsi="仿宋" w:eastAsia="仿宋" w:cs="宋体"/>
                <w:sz w:val="24"/>
              </w:rPr>
            </w:pPr>
            <w:r>
              <w:rPr>
                <w:rFonts w:hint="eastAsia" w:ascii="仿宋" w:hAnsi="仿宋" w:eastAsia="仿宋" w:cs="宋体"/>
                <w:sz w:val="24"/>
              </w:rPr>
              <w:t>总灯盏数（盏）</w:t>
            </w:r>
          </w:p>
        </w:tc>
      </w:tr>
      <w:tr w14:paraId="3166EA6F">
        <w:tblPrEx>
          <w:tblCellMar>
            <w:top w:w="0" w:type="dxa"/>
            <w:left w:w="108" w:type="dxa"/>
            <w:bottom w:w="0" w:type="dxa"/>
            <w:right w:w="108" w:type="dxa"/>
          </w:tblCellMar>
        </w:tblPrEx>
        <w:trPr>
          <w:trHeight w:val="549" w:hRule="atLeast"/>
        </w:trPr>
        <w:tc>
          <w:tcPr>
            <w:tcW w:w="1251" w:type="dxa"/>
            <w:vMerge w:val="continue"/>
            <w:tcBorders>
              <w:top w:val="single" w:color="000000" w:sz="4" w:space="0"/>
              <w:left w:val="single" w:color="000000" w:sz="4" w:space="0"/>
              <w:bottom w:val="single" w:color="000000" w:sz="4" w:space="0"/>
              <w:right w:val="single" w:color="000000" w:sz="4" w:space="0"/>
            </w:tcBorders>
            <w:vAlign w:val="center"/>
          </w:tcPr>
          <w:p w14:paraId="599408CF">
            <w:pPr>
              <w:widowControl/>
              <w:adjustRightInd/>
              <w:jc w:val="left"/>
              <w:rPr>
                <w:rFonts w:ascii="仿宋" w:hAnsi="仿宋" w:eastAsia="仿宋" w:cs="宋体"/>
                <w:sz w:val="24"/>
              </w:rPr>
            </w:pPr>
          </w:p>
        </w:tc>
        <w:tc>
          <w:tcPr>
            <w:tcW w:w="4096" w:type="dxa"/>
            <w:vMerge w:val="continue"/>
            <w:tcBorders>
              <w:top w:val="single" w:color="000000" w:sz="4" w:space="0"/>
              <w:left w:val="single" w:color="000000" w:sz="4" w:space="0"/>
              <w:bottom w:val="single" w:color="000000" w:sz="4" w:space="0"/>
              <w:right w:val="single" w:color="000000" w:sz="4" w:space="0"/>
            </w:tcBorders>
            <w:vAlign w:val="center"/>
          </w:tcPr>
          <w:p w14:paraId="0DB48983">
            <w:pPr>
              <w:widowControl/>
              <w:adjustRightInd/>
              <w:jc w:val="left"/>
              <w:rPr>
                <w:rFonts w:ascii="仿宋" w:hAnsi="仿宋" w:eastAsia="仿宋" w:cs="宋体"/>
                <w:sz w:val="24"/>
              </w:rPr>
            </w:pPr>
          </w:p>
        </w:tc>
        <w:tc>
          <w:tcPr>
            <w:tcW w:w="2803" w:type="dxa"/>
            <w:vMerge w:val="continue"/>
            <w:tcBorders>
              <w:left w:val="single" w:color="000000" w:sz="4" w:space="0"/>
              <w:bottom w:val="single" w:color="000000" w:sz="4" w:space="0"/>
              <w:right w:val="single" w:color="000000" w:sz="4" w:space="0"/>
            </w:tcBorders>
            <w:vAlign w:val="center"/>
          </w:tcPr>
          <w:p w14:paraId="425FA01D">
            <w:pPr>
              <w:widowControl/>
              <w:adjustRightInd/>
              <w:jc w:val="left"/>
              <w:rPr>
                <w:rFonts w:ascii="仿宋" w:hAnsi="仿宋" w:eastAsia="仿宋" w:cs="宋体"/>
                <w:sz w:val="24"/>
              </w:rPr>
            </w:pPr>
          </w:p>
        </w:tc>
      </w:tr>
      <w:tr w14:paraId="5B6EEB8A">
        <w:tblPrEx>
          <w:tblCellMar>
            <w:top w:w="0" w:type="dxa"/>
            <w:left w:w="108" w:type="dxa"/>
            <w:bottom w:w="0" w:type="dxa"/>
            <w:right w:w="108" w:type="dxa"/>
          </w:tblCellMar>
        </w:tblPrEx>
        <w:trPr>
          <w:trHeight w:val="255"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24B4">
            <w:pPr>
              <w:widowControl/>
              <w:adjustRightInd/>
              <w:jc w:val="center"/>
              <w:rPr>
                <w:rFonts w:ascii="仿宋" w:hAnsi="仿宋" w:eastAsia="仿宋" w:cs="宋体"/>
                <w:sz w:val="24"/>
              </w:rPr>
            </w:pPr>
            <w:r>
              <w:rPr>
                <w:rFonts w:ascii="仿宋" w:hAnsi="仿宋" w:eastAsia="仿宋" w:cs="宋体"/>
                <w:sz w:val="24"/>
              </w:rPr>
              <w:t>1</w:t>
            </w:r>
          </w:p>
        </w:tc>
        <w:tc>
          <w:tcPr>
            <w:tcW w:w="4096" w:type="dxa"/>
            <w:tcBorders>
              <w:top w:val="single" w:color="000000" w:sz="4" w:space="0"/>
              <w:left w:val="single" w:color="000000" w:sz="4" w:space="0"/>
              <w:bottom w:val="single" w:color="000000" w:sz="4" w:space="0"/>
              <w:right w:val="single" w:color="000000" w:sz="4" w:space="0"/>
            </w:tcBorders>
            <w:shd w:val="clear" w:color="auto" w:fill="auto"/>
            <w:vAlign w:val="top"/>
          </w:tcPr>
          <w:p w14:paraId="6C5DC934">
            <w:pPr>
              <w:widowControl/>
              <w:adjustRightInd/>
              <w:jc w:val="center"/>
              <w:rPr>
                <w:rFonts w:ascii="仿宋" w:hAnsi="仿宋" w:eastAsia="仿宋" w:cs="宋体"/>
                <w:sz w:val="24"/>
              </w:rPr>
            </w:pPr>
            <w:r>
              <w:rPr>
                <w:rFonts w:hint="eastAsia" w:ascii="仿宋" w:hAnsi="仿宋" w:eastAsia="仿宋" w:cs="宋体"/>
                <w:sz w:val="24"/>
                <w:lang w:val="en-US" w:eastAsia="zh-CN"/>
              </w:rPr>
              <w:t>文一西路（区界至运溪路）</w:t>
            </w:r>
          </w:p>
        </w:tc>
        <w:tc>
          <w:tcPr>
            <w:tcW w:w="2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960D">
            <w:pPr>
              <w:widowControl/>
              <w:adjustRightInd/>
              <w:jc w:val="center"/>
              <w:rPr>
                <w:rFonts w:hint="eastAsia" w:ascii="仿宋" w:hAnsi="仿宋" w:eastAsia="仿宋" w:cs="宋体"/>
                <w:sz w:val="24"/>
                <w:lang w:val="en-US" w:eastAsia="zh-CN"/>
              </w:rPr>
            </w:pPr>
            <w:r>
              <w:rPr>
                <w:rFonts w:hint="eastAsia" w:ascii="仿宋" w:hAnsi="仿宋" w:eastAsia="仿宋" w:cs="宋体"/>
                <w:sz w:val="24"/>
                <w:lang w:val="en-US" w:eastAsia="zh-CN"/>
              </w:rPr>
              <w:t>1558</w:t>
            </w:r>
          </w:p>
        </w:tc>
      </w:tr>
      <w:tr w14:paraId="33E7C512">
        <w:tblPrEx>
          <w:tblCellMar>
            <w:top w:w="0" w:type="dxa"/>
            <w:left w:w="108" w:type="dxa"/>
            <w:bottom w:w="0" w:type="dxa"/>
            <w:right w:w="108" w:type="dxa"/>
          </w:tblCellMar>
        </w:tblPrEx>
        <w:trPr>
          <w:trHeight w:val="255"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80FE">
            <w:pPr>
              <w:widowControl/>
              <w:adjustRightInd/>
              <w:jc w:val="center"/>
              <w:rPr>
                <w:rFonts w:ascii="仿宋" w:hAnsi="仿宋" w:eastAsia="仿宋" w:cs="宋体"/>
                <w:sz w:val="24"/>
              </w:rPr>
            </w:pPr>
            <w:r>
              <w:rPr>
                <w:rFonts w:ascii="仿宋" w:hAnsi="仿宋" w:eastAsia="仿宋" w:cs="宋体"/>
                <w:sz w:val="24"/>
              </w:rPr>
              <w:t>2</w:t>
            </w:r>
          </w:p>
        </w:tc>
        <w:tc>
          <w:tcPr>
            <w:tcW w:w="4096" w:type="dxa"/>
            <w:tcBorders>
              <w:top w:val="single" w:color="000000" w:sz="4" w:space="0"/>
              <w:left w:val="single" w:color="000000" w:sz="4" w:space="0"/>
              <w:bottom w:val="single" w:color="000000" w:sz="4" w:space="0"/>
              <w:right w:val="single" w:color="000000" w:sz="4" w:space="0"/>
            </w:tcBorders>
            <w:shd w:val="clear" w:color="auto" w:fill="auto"/>
            <w:vAlign w:val="top"/>
          </w:tcPr>
          <w:p w14:paraId="7CACC6D0">
            <w:pPr>
              <w:widowControl/>
              <w:adjustRightInd/>
              <w:jc w:val="center"/>
              <w:rPr>
                <w:rFonts w:ascii="仿宋" w:hAnsi="仿宋" w:eastAsia="仿宋" w:cs="宋体"/>
                <w:sz w:val="24"/>
              </w:rPr>
            </w:pPr>
            <w:r>
              <w:rPr>
                <w:rFonts w:hint="eastAsia" w:ascii="仿宋" w:hAnsi="仿宋" w:eastAsia="仿宋" w:cs="宋体"/>
                <w:sz w:val="24"/>
                <w:lang w:val="en-US" w:eastAsia="zh-CN"/>
              </w:rPr>
              <w:t>余杭塘路（运溪路至区界)</w:t>
            </w:r>
          </w:p>
        </w:tc>
        <w:tc>
          <w:tcPr>
            <w:tcW w:w="2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4EA2">
            <w:pPr>
              <w:widowControl/>
              <w:adjustRightInd/>
              <w:jc w:val="center"/>
              <w:rPr>
                <w:rFonts w:hint="eastAsia" w:ascii="仿宋" w:hAnsi="仿宋" w:eastAsia="仿宋" w:cs="宋体"/>
                <w:sz w:val="24"/>
                <w:lang w:val="en-US" w:eastAsia="zh-CN"/>
              </w:rPr>
            </w:pPr>
            <w:r>
              <w:rPr>
                <w:rFonts w:hint="eastAsia" w:ascii="仿宋" w:hAnsi="仿宋" w:eastAsia="仿宋" w:cs="宋体"/>
                <w:sz w:val="24"/>
                <w:lang w:val="en-US" w:eastAsia="zh-CN"/>
              </w:rPr>
              <w:t>1797</w:t>
            </w:r>
          </w:p>
        </w:tc>
      </w:tr>
      <w:tr w14:paraId="4F175BCE">
        <w:tblPrEx>
          <w:tblCellMar>
            <w:top w:w="0" w:type="dxa"/>
            <w:left w:w="108" w:type="dxa"/>
            <w:bottom w:w="0" w:type="dxa"/>
            <w:right w:w="108" w:type="dxa"/>
          </w:tblCellMar>
        </w:tblPrEx>
        <w:trPr>
          <w:trHeight w:val="255"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114B">
            <w:pPr>
              <w:widowControl/>
              <w:adjustRightInd/>
              <w:jc w:val="center"/>
              <w:rPr>
                <w:rFonts w:ascii="仿宋" w:hAnsi="仿宋" w:eastAsia="仿宋" w:cs="宋体"/>
                <w:sz w:val="24"/>
              </w:rPr>
            </w:pPr>
            <w:r>
              <w:rPr>
                <w:rFonts w:ascii="仿宋" w:hAnsi="仿宋" w:eastAsia="仿宋" w:cs="宋体"/>
                <w:sz w:val="24"/>
              </w:rPr>
              <w:t>3</w:t>
            </w:r>
          </w:p>
        </w:tc>
        <w:tc>
          <w:tcPr>
            <w:tcW w:w="4096" w:type="dxa"/>
            <w:tcBorders>
              <w:top w:val="single" w:color="000000" w:sz="4" w:space="0"/>
              <w:left w:val="single" w:color="000000" w:sz="4" w:space="0"/>
              <w:bottom w:val="single" w:color="000000" w:sz="4" w:space="0"/>
              <w:right w:val="single" w:color="000000" w:sz="4" w:space="0"/>
            </w:tcBorders>
            <w:shd w:val="clear" w:color="auto" w:fill="auto"/>
            <w:vAlign w:val="top"/>
          </w:tcPr>
          <w:p w14:paraId="113F2DE4">
            <w:pPr>
              <w:widowControl/>
              <w:adjustRightInd/>
              <w:jc w:val="center"/>
              <w:rPr>
                <w:rFonts w:ascii="仿宋" w:hAnsi="仿宋" w:eastAsia="仿宋" w:cs="宋体"/>
                <w:sz w:val="24"/>
              </w:rPr>
            </w:pPr>
            <w:r>
              <w:rPr>
                <w:rFonts w:hint="eastAsia" w:ascii="仿宋" w:hAnsi="仿宋" w:eastAsia="仿宋" w:cs="宋体"/>
                <w:sz w:val="24"/>
                <w:lang w:val="en-US" w:eastAsia="zh-CN"/>
              </w:rPr>
              <w:t>文二西路（运溪路至区界）</w:t>
            </w:r>
          </w:p>
        </w:tc>
        <w:tc>
          <w:tcPr>
            <w:tcW w:w="2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2BF9">
            <w:pPr>
              <w:widowControl/>
              <w:adjustRightInd/>
              <w:jc w:val="center"/>
              <w:rPr>
                <w:rFonts w:hint="eastAsia" w:ascii="仿宋" w:hAnsi="仿宋" w:eastAsia="仿宋" w:cs="宋体"/>
                <w:sz w:val="24"/>
                <w:lang w:val="en-US" w:eastAsia="zh-CN"/>
              </w:rPr>
            </w:pPr>
            <w:r>
              <w:rPr>
                <w:rFonts w:hint="eastAsia" w:ascii="仿宋" w:hAnsi="仿宋" w:eastAsia="仿宋" w:cs="宋体"/>
                <w:sz w:val="24"/>
                <w:lang w:val="en-US" w:eastAsia="zh-CN"/>
              </w:rPr>
              <w:t>1045</w:t>
            </w:r>
          </w:p>
        </w:tc>
      </w:tr>
      <w:tr w14:paraId="70915661">
        <w:tblPrEx>
          <w:tblCellMar>
            <w:top w:w="0" w:type="dxa"/>
            <w:left w:w="108" w:type="dxa"/>
            <w:bottom w:w="0" w:type="dxa"/>
            <w:right w:w="108" w:type="dxa"/>
          </w:tblCellMar>
        </w:tblPrEx>
        <w:trPr>
          <w:trHeight w:val="255"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9358">
            <w:pPr>
              <w:widowControl/>
              <w:adjustRightInd/>
              <w:jc w:val="center"/>
              <w:rPr>
                <w:rFonts w:ascii="仿宋" w:hAnsi="仿宋" w:eastAsia="仿宋" w:cs="宋体"/>
                <w:sz w:val="24"/>
              </w:rPr>
            </w:pPr>
            <w:r>
              <w:rPr>
                <w:rFonts w:ascii="仿宋" w:hAnsi="仿宋" w:eastAsia="仿宋" w:cs="宋体"/>
                <w:sz w:val="24"/>
              </w:rPr>
              <w:t>4</w:t>
            </w:r>
          </w:p>
        </w:tc>
        <w:tc>
          <w:tcPr>
            <w:tcW w:w="4096" w:type="dxa"/>
            <w:tcBorders>
              <w:top w:val="single" w:color="000000" w:sz="4" w:space="0"/>
              <w:left w:val="single" w:color="000000" w:sz="4" w:space="0"/>
              <w:bottom w:val="single" w:color="000000" w:sz="4" w:space="0"/>
              <w:right w:val="single" w:color="000000" w:sz="4" w:space="0"/>
            </w:tcBorders>
            <w:shd w:val="clear" w:color="auto" w:fill="auto"/>
            <w:vAlign w:val="top"/>
          </w:tcPr>
          <w:p w14:paraId="7240E13C">
            <w:pPr>
              <w:widowControl/>
              <w:adjustRightInd/>
              <w:jc w:val="center"/>
              <w:rPr>
                <w:rFonts w:ascii="仿宋" w:hAnsi="仿宋" w:eastAsia="仿宋" w:cs="宋体"/>
                <w:sz w:val="24"/>
              </w:rPr>
            </w:pPr>
            <w:r>
              <w:rPr>
                <w:rFonts w:hint="eastAsia" w:ascii="仿宋" w:hAnsi="仿宋" w:eastAsia="仿宋" w:cs="宋体"/>
                <w:sz w:val="24"/>
                <w:lang w:val="en-US" w:eastAsia="zh-CN"/>
              </w:rPr>
              <w:t>龙园路（余杭塘路至文一路）</w:t>
            </w:r>
          </w:p>
        </w:tc>
        <w:tc>
          <w:tcPr>
            <w:tcW w:w="2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6F1C">
            <w:pPr>
              <w:widowControl/>
              <w:adjustRightInd/>
              <w:jc w:val="center"/>
              <w:rPr>
                <w:rFonts w:hint="eastAsia" w:ascii="仿宋" w:hAnsi="仿宋" w:eastAsia="仿宋" w:cs="宋体"/>
                <w:sz w:val="24"/>
                <w:lang w:val="en-US" w:eastAsia="zh-CN"/>
              </w:rPr>
            </w:pPr>
            <w:r>
              <w:rPr>
                <w:rFonts w:hint="eastAsia" w:ascii="仿宋" w:hAnsi="仿宋" w:eastAsia="仿宋" w:cs="宋体"/>
                <w:sz w:val="24"/>
                <w:lang w:val="en-US" w:eastAsia="zh-CN"/>
              </w:rPr>
              <w:t>51</w:t>
            </w:r>
          </w:p>
        </w:tc>
      </w:tr>
      <w:tr w14:paraId="7074B453">
        <w:tblPrEx>
          <w:tblCellMar>
            <w:top w:w="0" w:type="dxa"/>
            <w:left w:w="108" w:type="dxa"/>
            <w:bottom w:w="0" w:type="dxa"/>
            <w:right w:w="108" w:type="dxa"/>
          </w:tblCellMar>
        </w:tblPrEx>
        <w:trPr>
          <w:trHeight w:val="255"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D9B5">
            <w:pPr>
              <w:widowControl/>
              <w:adjustRightInd/>
              <w:jc w:val="center"/>
              <w:rPr>
                <w:rFonts w:ascii="仿宋" w:hAnsi="仿宋" w:eastAsia="仿宋" w:cs="宋体"/>
                <w:sz w:val="24"/>
              </w:rPr>
            </w:pPr>
            <w:r>
              <w:rPr>
                <w:rFonts w:ascii="仿宋" w:hAnsi="仿宋" w:eastAsia="仿宋" w:cs="宋体"/>
                <w:sz w:val="24"/>
              </w:rPr>
              <w:t>5</w:t>
            </w:r>
          </w:p>
        </w:tc>
        <w:tc>
          <w:tcPr>
            <w:tcW w:w="4096" w:type="dxa"/>
            <w:tcBorders>
              <w:top w:val="single" w:color="000000" w:sz="4" w:space="0"/>
              <w:left w:val="single" w:color="000000" w:sz="4" w:space="0"/>
              <w:bottom w:val="single" w:color="000000" w:sz="4" w:space="0"/>
              <w:right w:val="single" w:color="000000" w:sz="4" w:space="0"/>
            </w:tcBorders>
            <w:shd w:val="clear" w:color="auto" w:fill="auto"/>
            <w:vAlign w:val="top"/>
          </w:tcPr>
          <w:p w14:paraId="316F5D7B">
            <w:pPr>
              <w:widowControl/>
              <w:adjustRightInd/>
              <w:jc w:val="center"/>
              <w:rPr>
                <w:rFonts w:ascii="仿宋" w:hAnsi="仿宋" w:eastAsia="仿宋" w:cs="宋体"/>
                <w:sz w:val="24"/>
              </w:rPr>
            </w:pPr>
            <w:r>
              <w:rPr>
                <w:rFonts w:hint="eastAsia" w:ascii="仿宋" w:hAnsi="仿宋" w:eastAsia="仿宋" w:cs="宋体"/>
                <w:sz w:val="24"/>
                <w:lang w:val="en-US" w:eastAsia="zh-CN"/>
              </w:rPr>
              <w:t>景腾路（龙泉路至文一路）</w:t>
            </w:r>
          </w:p>
        </w:tc>
        <w:tc>
          <w:tcPr>
            <w:tcW w:w="2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BC2B">
            <w:pPr>
              <w:widowControl/>
              <w:adjustRightInd/>
              <w:jc w:val="center"/>
              <w:rPr>
                <w:rFonts w:hint="eastAsia" w:ascii="仿宋" w:hAnsi="仿宋" w:eastAsia="仿宋" w:cs="宋体"/>
                <w:sz w:val="24"/>
                <w:lang w:val="en-US" w:eastAsia="zh-CN"/>
              </w:rPr>
            </w:pPr>
            <w:r>
              <w:rPr>
                <w:rFonts w:hint="eastAsia" w:ascii="仿宋" w:hAnsi="仿宋" w:eastAsia="仿宋" w:cs="宋体"/>
                <w:sz w:val="24"/>
                <w:lang w:val="en-US" w:eastAsia="zh-CN"/>
              </w:rPr>
              <w:t>140</w:t>
            </w:r>
          </w:p>
        </w:tc>
      </w:tr>
      <w:tr w14:paraId="770F237A">
        <w:tblPrEx>
          <w:tblCellMar>
            <w:top w:w="0" w:type="dxa"/>
            <w:left w:w="108" w:type="dxa"/>
            <w:bottom w:w="0" w:type="dxa"/>
            <w:right w:w="108" w:type="dxa"/>
          </w:tblCellMar>
        </w:tblPrEx>
        <w:trPr>
          <w:trHeight w:val="255" w:hRule="atLeast"/>
        </w:trPr>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8F06A">
            <w:pPr>
              <w:widowControl/>
              <w:adjustRightInd/>
              <w:jc w:val="center"/>
              <w:rPr>
                <w:rFonts w:ascii="仿宋" w:hAnsi="仿宋" w:eastAsia="仿宋" w:cs="宋体"/>
                <w:sz w:val="24"/>
              </w:rPr>
            </w:pPr>
            <w:r>
              <w:rPr>
                <w:rFonts w:ascii="仿宋" w:hAnsi="仿宋" w:eastAsia="仿宋" w:cs="宋体"/>
                <w:sz w:val="24"/>
              </w:rPr>
              <w:t>6</w:t>
            </w:r>
          </w:p>
        </w:tc>
        <w:tc>
          <w:tcPr>
            <w:tcW w:w="4096" w:type="dxa"/>
            <w:tcBorders>
              <w:top w:val="single" w:color="000000" w:sz="4" w:space="0"/>
              <w:left w:val="single" w:color="000000" w:sz="4" w:space="0"/>
              <w:bottom w:val="single" w:color="000000" w:sz="4" w:space="0"/>
              <w:right w:val="single" w:color="000000" w:sz="4" w:space="0"/>
            </w:tcBorders>
            <w:shd w:val="clear" w:color="auto" w:fill="FFFFFF"/>
            <w:vAlign w:val="top"/>
          </w:tcPr>
          <w:p w14:paraId="4AC32ECE">
            <w:pPr>
              <w:widowControl/>
              <w:adjustRightInd/>
              <w:jc w:val="center"/>
              <w:rPr>
                <w:rFonts w:ascii="仿宋" w:hAnsi="仿宋" w:eastAsia="仿宋" w:cs="宋体"/>
                <w:sz w:val="24"/>
              </w:rPr>
            </w:pPr>
            <w:r>
              <w:rPr>
                <w:rFonts w:hint="eastAsia" w:ascii="仿宋" w:hAnsi="仿宋" w:eastAsia="仿宋" w:cs="宋体"/>
                <w:sz w:val="24"/>
                <w:lang w:val="en-US" w:eastAsia="zh-CN"/>
              </w:rPr>
              <w:t>绿汀路（东莲街至荆长路）</w:t>
            </w:r>
          </w:p>
        </w:tc>
        <w:tc>
          <w:tcPr>
            <w:tcW w:w="2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2FB9B">
            <w:pPr>
              <w:widowControl/>
              <w:adjustRightInd/>
              <w:jc w:val="center"/>
              <w:rPr>
                <w:rFonts w:hint="default" w:ascii="仿宋" w:hAnsi="仿宋" w:eastAsia="仿宋" w:cs="宋体"/>
                <w:sz w:val="24"/>
                <w:lang w:val="en-US" w:eastAsia="zh-CN"/>
              </w:rPr>
            </w:pPr>
            <w:r>
              <w:rPr>
                <w:rFonts w:hint="eastAsia" w:ascii="仿宋" w:hAnsi="仿宋" w:eastAsia="仿宋" w:cs="宋体"/>
                <w:sz w:val="24"/>
                <w:lang w:val="en-US" w:eastAsia="zh-CN"/>
              </w:rPr>
              <w:t>825</w:t>
            </w:r>
          </w:p>
        </w:tc>
      </w:tr>
      <w:tr w14:paraId="114CA9CC">
        <w:tblPrEx>
          <w:tblCellMar>
            <w:top w:w="0" w:type="dxa"/>
            <w:left w:w="108" w:type="dxa"/>
            <w:bottom w:w="0" w:type="dxa"/>
            <w:right w:w="108" w:type="dxa"/>
          </w:tblCellMar>
        </w:tblPrEx>
        <w:trPr>
          <w:trHeight w:val="255" w:hRule="atLeast"/>
        </w:trPr>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4CB1F">
            <w:pPr>
              <w:widowControl/>
              <w:adjustRightInd/>
              <w:jc w:val="center"/>
              <w:rPr>
                <w:rFonts w:ascii="仿宋" w:hAnsi="仿宋" w:eastAsia="仿宋" w:cs="宋体"/>
                <w:sz w:val="24"/>
              </w:rPr>
            </w:pPr>
            <w:r>
              <w:rPr>
                <w:rFonts w:ascii="仿宋" w:hAnsi="仿宋" w:eastAsia="仿宋" w:cs="宋体"/>
                <w:sz w:val="24"/>
              </w:rPr>
              <w:t>7</w:t>
            </w:r>
          </w:p>
        </w:tc>
        <w:tc>
          <w:tcPr>
            <w:tcW w:w="4096" w:type="dxa"/>
            <w:tcBorders>
              <w:top w:val="single" w:color="000000" w:sz="4" w:space="0"/>
              <w:left w:val="single" w:color="000000" w:sz="4" w:space="0"/>
              <w:bottom w:val="single" w:color="000000" w:sz="4" w:space="0"/>
              <w:right w:val="single" w:color="000000" w:sz="4" w:space="0"/>
            </w:tcBorders>
            <w:shd w:val="clear" w:color="auto" w:fill="FFFFFF"/>
            <w:vAlign w:val="top"/>
          </w:tcPr>
          <w:p w14:paraId="23A57F36">
            <w:pPr>
              <w:widowControl/>
              <w:adjustRightInd/>
              <w:jc w:val="center"/>
              <w:rPr>
                <w:rFonts w:ascii="仿宋" w:hAnsi="仿宋" w:eastAsia="仿宋" w:cs="宋体"/>
                <w:sz w:val="24"/>
              </w:rPr>
            </w:pPr>
            <w:r>
              <w:rPr>
                <w:rFonts w:hint="eastAsia" w:ascii="仿宋" w:hAnsi="仿宋" w:eastAsia="仿宋" w:cs="宋体"/>
                <w:sz w:val="24"/>
                <w:lang w:val="en-US" w:eastAsia="zh-CN"/>
              </w:rPr>
              <w:t>良睦路（云门大街至天目山路）</w:t>
            </w:r>
          </w:p>
        </w:tc>
        <w:tc>
          <w:tcPr>
            <w:tcW w:w="2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05523">
            <w:pPr>
              <w:widowControl/>
              <w:adjustRightInd/>
              <w:jc w:val="center"/>
              <w:rPr>
                <w:rFonts w:hint="eastAsia" w:ascii="仿宋" w:hAnsi="仿宋" w:eastAsia="仿宋" w:cs="宋体"/>
                <w:sz w:val="24"/>
                <w:lang w:val="en-US" w:eastAsia="zh-CN"/>
              </w:rPr>
            </w:pPr>
            <w:r>
              <w:rPr>
                <w:rFonts w:hint="eastAsia" w:ascii="仿宋" w:hAnsi="仿宋" w:eastAsia="仿宋" w:cs="宋体"/>
                <w:sz w:val="24"/>
                <w:lang w:val="en-US" w:eastAsia="zh-CN"/>
              </w:rPr>
              <w:t>1403</w:t>
            </w:r>
          </w:p>
        </w:tc>
      </w:tr>
      <w:tr w14:paraId="15FE7393">
        <w:tblPrEx>
          <w:tblCellMar>
            <w:top w:w="0" w:type="dxa"/>
            <w:left w:w="108" w:type="dxa"/>
            <w:bottom w:w="0" w:type="dxa"/>
            <w:right w:w="108" w:type="dxa"/>
          </w:tblCellMar>
        </w:tblPrEx>
        <w:trPr>
          <w:trHeight w:val="255" w:hRule="atLeast"/>
        </w:trPr>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4ED13">
            <w:pPr>
              <w:widowControl/>
              <w:adjustRightInd/>
              <w:jc w:val="center"/>
              <w:rPr>
                <w:rFonts w:ascii="仿宋" w:hAnsi="仿宋" w:eastAsia="仿宋" w:cs="宋体"/>
                <w:sz w:val="24"/>
              </w:rPr>
            </w:pPr>
            <w:r>
              <w:rPr>
                <w:rFonts w:ascii="仿宋" w:hAnsi="仿宋" w:eastAsia="仿宋" w:cs="宋体"/>
                <w:sz w:val="24"/>
              </w:rPr>
              <w:t>8</w:t>
            </w:r>
          </w:p>
        </w:tc>
        <w:tc>
          <w:tcPr>
            <w:tcW w:w="4096" w:type="dxa"/>
            <w:tcBorders>
              <w:top w:val="single" w:color="000000" w:sz="4" w:space="0"/>
              <w:left w:val="single" w:color="000000" w:sz="4" w:space="0"/>
              <w:bottom w:val="single" w:color="000000" w:sz="4" w:space="0"/>
              <w:right w:val="single" w:color="000000" w:sz="4" w:space="0"/>
            </w:tcBorders>
            <w:shd w:val="clear" w:color="auto" w:fill="FFFFFF"/>
            <w:vAlign w:val="top"/>
          </w:tcPr>
          <w:p w14:paraId="6D00AAAC">
            <w:pPr>
              <w:widowControl/>
              <w:adjustRightInd/>
              <w:jc w:val="center"/>
              <w:rPr>
                <w:rFonts w:ascii="仿宋" w:hAnsi="仿宋" w:eastAsia="仿宋" w:cs="宋体"/>
                <w:sz w:val="24"/>
              </w:rPr>
            </w:pPr>
            <w:r>
              <w:rPr>
                <w:rFonts w:hint="eastAsia" w:ascii="仿宋" w:hAnsi="仿宋" w:eastAsia="仿宋" w:cs="宋体"/>
                <w:sz w:val="24"/>
                <w:lang w:val="en-US" w:eastAsia="zh-CN"/>
              </w:rPr>
              <w:t>景兴路（东莲街至文二西路）</w:t>
            </w:r>
          </w:p>
        </w:tc>
        <w:tc>
          <w:tcPr>
            <w:tcW w:w="2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1E839">
            <w:pPr>
              <w:widowControl/>
              <w:adjustRightInd/>
              <w:jc w:val="center"/>
              <w:rPr>
                <w:rFonts w:hint="eastAsia" w:ascii="仿宋" w:hAnsi="仿宋" w:eastAsia="仿宋" w:cs="宋体"/>
                <w:sz w:val="24"/>
                <w:lang w:val="en-US" w:eastAsia="zh-CN"/>
              </w:rPr>
            </w:pPr>
            <w:r>
              <w:rPr>
                <w:rFonts w:hint="eastAsia" w:ascii="仿宋" w:hAnsi="仿宋" w:eastAsia="仿宋" w:cs="宋体"/>
                <w:sz w:val="24"/>
                <w:lang w:val="en-US" w:eastAsia="zh-CN"/>
              </w:rPr>
              <w:t>330</w:t>
            </w:r>
          </w:p>
        </w:tc>
      </w:tr>
      <w:tr w14:paraId="70E1374F">
        <w:tblPrEx>
          <w:tblCellMar>
            <w:top w:w="0" w:type="dxa"/>
            <w:left w:w="108" w:type="dxa"/>
            <w:bottom w:w="0" w:type="dxa"/>
            <w:right w:w="108" w:type="dxa"/>
          </w:tblCellMar>
        </w:tblPrEx>
        <w:trPr>
          <w:trHeight w:val="255" w:hRule="atLeast"/>
        </w:trPr>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4E8F6">
            <w:pPr>
              <w:widowControl/>
              <w:adjustRightInd/>
              <w:jc w:val="center"/>
              <w:rPr>
                <w:rFonts w:ascii="仿宋" w:hAnsi="仿宋" w:eastAsia="仿宋" w:cs="宋体"/>
                <w:sz w:val="24"/>
              </w:rPr>
            </w:pPr>
            <w:r>
              <w:rPr>
                <w:rFonts w:ascii="仿宋" w:hAnsi="仿宋" w:eastAsia="仿宋" w:cs="宋体"/>
                <w:sz w:val="24"/>
              </w:rPr>
              <w:t>9</w:t>
            </w:r>
          </w:p>
        </w:tc>
        <w:tc>
          <w:tcPr>
            <w:tcW w:w="4096" w:type="dxa"/>
            <w:tcBorders>
              <w:top w:val="single" w:color="000000" w:sz="4" w:space="0"/>
              <w:left w:val="single" w:color="000000" w:sz="4" w:space="0"/>
              <w:bottom w:val="single" w:color="000000" w:sz="4" w:space="0"/>
              <w:right w:val="single" w:color="000000" w:sz="4" w:space="0"/>
            </w:tcBorders>
            <w:shd w:val="clear" w:color="auto" w:fill="FFFFFF"/>
            <w:vAlign w:val="top"/>
          </w:tcPr>
          <w:p w14:paraId="57D0E8B8">
            <w:pPr>
              <w:widowControl/>
              <w:adjustRightInd/>
              <w:jc w:val="center"/>
              <w:rPr>
                <w:rFonts w:ascii="仿宋" w:hAnsi="仿宋" w:eastAsia="仿宋" w:cs="宋体"/>
                <w:sz w:val="24"/>
              </w:rPr>
            </w:pPr>
            <w:r>
              <w:rPr>
                <w:rFonts w:hint="eastAsia" w:ascii="仿宋" w:hAnsi="仿宋" w:eastAsia="仿宋" w:cs="宋体"/>
                <w:sz w:val="24"/>
                <w:lang w:val="en-US" w:eastAsia="zh-CN"/>
              </w:rPr>
              <w:t>聚橙路（众成街至文二西路）</w:t>
            </w:r>
          </w:p>
        </w:tc>
        <w:tc>
          <w:tcPr>
            <w:tcW w:w="2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006EF">
            <w:pPr>
              <w:widowControl/>
              <w:adjustRightInd/>
              <w:jc w:val="center"/>
              <w:rPr>
                <w:rFonts w:hint="eastAsia" w:ascii="仿宋" w:hAnsi="仿宋" w:eastAsia="仿宋" w:cs="宋体"/>
                <w:sz w:val="24"/>
                <w:lang w:val="en-US" w:eastAsia="zh-CN"/>
              </w:rPr>
            </w:pPr>
            <w:r>
              <w:rPr>
                <w:rFonts w:hint="eastAsia" w:ascii="仿宋" w:hAnsi="仿宋" w:eastAsia="仿宋" w:cs="宋体"/>
                <w:sz w:val="24"/>
                <w:lang w:val="en-US" w:eastAsia="zh-CN"/>
              </w:rPr>
              <w:t>422</w:t>
            </w:r>
          </w:p>
        </w:tc>
      </w:tr>
      <w:tr w14:paraId="0F709F3A">
        <w:tblPrEx>
          <w:tblCellMar>
            <w:top w:w="0" w:type="dxa"/>
            <w:left w:w="108" w:type="dxa"/>
            <w:bottom w:w="0" w:type="dxa"/>
            <w:right w:w="108" w:type="dxa"/>
          </w:tblCellMar>
        </w:tblPrEx>
        <w:trPr>
          <w:trHeight w:val="255" w:hRule="atLeast"/>
        </w:trPr>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3FEB6">
            <w:pPr>
              <w:widowControl/>
              <w:adjustRightInd/>
              <w:jc w:val="center"/>
              <w:rPr>
                <w:rFonts w:ascii="仿宋" w:hAnsi="仿宋" w:eastAsia="仿宋" w:cs="宋体"/>
                <w:sz w:val="24"/>
              </w:rPr>
            </w:pPr>
            <w:r>
              <w:rPr>
                <w:rFonts w:ascii="仿宋" w:hAnsi="仿宋" w:eastAsia="仿宋" w:cs="宋体"/>
                <w:sz w:val="24"/>
              </w:rPr>
              <w:t>10</w:t>
            </w:r>
          </w:p>
        </w:tc>
        <w:tc>
          <w:tcPr>
            <w:tcW w:w="4096" w:type="dxa"/>
            <w:tcBorders>
              <w:top w:val="single" w:color="000000" w:sz="4" w:space="0"/>
              <w:left w:val="single" w:color="000000" w:sz="4" w:space="0"/>
              <w:bottom w:val="single" w:color="000000" w:sz="4" w:space="0"/>
              <w:right w:val="single" w:color="000000" w:sz="4" w:space="0"/>
            </w:tcBorders>
            <w:shd w:val="clear" w:color="auto" w:fill="FFFFFF"/>
            <w:vAlign w:val="top"/>
          </w:tcPr>
          <w:p w14:paraId="1EAF0677">
            <w:pPr>
              <w:widowControl/>
              <w:adjustRightInd/>
              <w:jc w:val="center"/>
              <w:rPr>
                <w:rFonts w:ascii="仿宋" w:hAnsi="仿宋" w:eastAsia="仿宋" w:cs="宋体"/>
                <w:sz w:val="24"/>
              </w:rPr>
            </w:pPr>
            <w:r>
              <w:rPr>
                <w:rFonts w:hint="eastAsia" w:ascii="仿宋" w:hAnsi="仿宋" w:eastAsia="仿宋" w:cs="宋体"/>
                <w:sz w:val="24"/>
                <w:lang w:val="en-US" w:eastAsia="zh-CN"/>
              </w:rPr>
              <w:t>高教路（余杭塘路至天目山路）</w:t>
            </w:r>
          </w:p>
        </w:tc>
        <w:tc>
          <w:tcPr>
            <w:tcW w:w="2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35FA9">
            <w:pPr>
              <w:widowControl/>
              <w:adjustRightInd/>
              <w:jc w:val="center"/>
              <w:rPr>
                <w:rFonts w:hint="eastAsia" w:ascii="仿宋" w:hAnsi="仿宋" w:eastAsia="仿宋" w:cs="宋体"/>
                <w:sz w:val="24"/>
                <w:lang w:val="en-US" w:eastAsia="zh-CN"/>
              </w:rPr>
            </w:pPr>
            <w:r>
              <w:rPr>
                <w:rFonts w:hint="eastAsia" w:ascii="仿宋" w:hAnsi="仿宋" w:eastAsia="仿宋" w:cs="宋体"/>
                <w:sz w:val="24"/>
                <w:lang w:val="en-US" w:eastAsia="zh-CN"/>
              </w:rPr>
              <w:t>625</w:t>
            </w:r>
          </w:p>
        </w:tc>
      </w:tr>
      <w:tr w14:paraId="4E2ADEF3">
        <w:tblPrEx>
          <w:tblCellMar>
            <w:top w:w="0" w:type="dxa"/>
            <w:left w:w="108" w:type="dxa"/>
            <w:bottom w:w="0" w:type="dxa"/>
            <w:right w:w="108" w:type="dxa"/>
          </w:tblCellMar>
        </w:tblPrEx>
        <w:trPr>
          <w:trHeight w:val="255"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E866">
            <w:pPr>
              <w:widowControl/>
              <w:adjustRightInd/>
              <w:jc w:val="center"/>
              <w:rPr>
                <w:rFonts w:ascii="仿宋" w:hAnsi="仿宋" w:eastAsia="仿宋" w:cs="宋体"/>
                <w:sz w:val="24"/>
              </w:rPr>
            </w:pPr>
            <w:r>
              <w:rPr>
                <w:rFonts w:ascii="仿宋" w:hAnsi="仿宋" w:eastAsia="仿宋" w:cs="宋体"/>
                <w:sz w:val="24"/>
              </w:rPr>
              <w:t>11</w:t>
            </w:r>
          </w:p>
        </w:tc>
        <w:tc>
          <w:tcPr>
            <w:tcW w:w="4096" w:type="dxa"/>
            <w:tcBorders>
              <w:top w:val="single" w:color="000000" w:sz="4" w:space="0"/>
              <w:left w:val="single" w:color="000000" w:sz="4" w:space="0"/>
              <w:bottom w:val="single" w:color="000000" w:sz="4" w:space="0"/>
              <w:right w:val="single" w:color="000000" w:sz="4" w:space="0"/>
            </w:tcBorders>
            <w:shd w:val="clear" w:color="auto" w:fill="auto"/>
            <w:vAlign w:val="top"/>
          </w:tcPr>
          <w:p w14:paraId="6CE0B0E4">
            <w:pPr>
              <w:widowControl/>
              <w:adjustRightInd/>
              <w:jc w:val="center"/>
              <w:rPr>
                <w:rFonts w:ascii="仿宋" w:hAnsi="仿宋" w:eastAsia="仿宋" w:cs="宋体"/>
                <w:sz w:val="24"/>
              </w:rPr>
            </w:pPr>
            <w:r>
              <w:rPr>
                <w:rFonts w:hint="eastAsia" w:ascii="仿宋" w:hAnsi="仿宋" w:eastAsia="仿宋" w:cs="宋体"/>
                <w:sz w:val="24"/>
                <w:lang w:val="en-US" w:eastAsia="zh-CN"/>
              </w:rPr>
              <w:t>荆长路（余杭塘路至天目山路）</w:t>
            </w:r>
          </w:p>
        </w:tc>
        <w:tc>
          <w:tcPr>
            <w:tcW w:w="2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1E756">
            <w:pPr>
              <w:widowControl/>
              <w:adjustRightInd/>
              <w:jc w:val="center"/>
              <w:rPr>
                <w:rFonts w:hint="default" w:ascii="仿宋" w:hAnsi="仿宋" w:eastAsia="仿宋" w:cs="宋体"/>
                <w:sz w:val="24"/>
                <w:lang w:val="en-US" w:eastAsia="zh-CN"/>
              </w:rPr>
            </w:pPr>
            <w:r>
              <w:rPr>
                <w:rFonts w:hint="eastAsia" w:ascii="仿宋" w:hAnsi="仿宋" w:eastAsia="仿宋" w:cs="宋体"/>
                <w:sz w:val="24"/>
                <w:lang w:val="en-US" w:eastAsia="zh-CN"/>
              </w:rPr>
              <w:t>694</w:t>
            </w:r>
          </w:p>
        </w:tc>
      </w:tr>
      <w:tr w14:paraId="5FEDD3EE">
        <w:tblPrEx>
          <w:tblCellMar>
            <w:top w:w="0" w:type="dxa"/>
            <w:left w:w="108" w:type="dxa"/>
            <w:bottom w:w="0" w:type="dxa"/>
            <w:right w:w="108" w:type="dxa"/>
          </w:tblCellMar>
        </w:tblPrEx>
        <w:trPr>
          <w:trHeight w:val="255"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A6F6">
            <w:pPr>
              <w:widowControl/>
              <w:adjustRightInd/>
              <w:jc w:val="center"/>
              <w:rPr>
                <w:rFonts w:hint="default" w:ascii="仿宋" w:hAnsi="仿宋" w:eastAsia="仿宋" w:cs="宋体"/>
                <w:sz w:val="24"/>
                <w:lang w:val="en-US" w:eastAsia="zh-CN"/>
              </w:rPr>
            </w:pPr>
            <w:r>
              <w:rPr>
                <w:rFonts w:hint="eastAsia" w:ascii="仿宋" w:hAnsi="仿宋" w:eastAsia="仿宋" w:cs="宋体"/>
                <w:sz w:val="24"/>
                <w:lang w:val="en-US" w:eastAsia="zh-CN"/>
              </w:rPr>
              <w:t>12</w:t>
            </w:r>
          </w:p>
        </w:tc>
        <w:tc>
          <w:tcPr>
            <w:tcW w:w="4096" w:type="dxa"/>
            <w:tcBorders>
              <w:top w:val="single" w:color="000000" w:sz="4" w:space="0"/>
              <w:left w:val="single" w:color="000000" w:sz="4" w:space="0"/>
              <w:bottom w:val="single" w:color="000000" w:sz="4" w:space="0"/>
              <w:right w:val="single" w:color="000000" w:sz="4" w:space="0"/>
            </w:tcBorders>
            <w:shd w:val="clear" w:color="auto" w:fill="auto"/>
            <w:vAlign w:val="top"/>
          </w:tcPr>
          <w:p w14:paraId="3311F126">
            <w:pPr>
              <w:widowControl/>
              <w:adjustRightInd/>
              <w:jc w:val="center"/>
              <w:rPr>
                <w:rFonts w:hint="default" w:ascii="仿宋" w:hAnsi="仿宋" w:eastAsia="仿宋" w:cs="宋体"/>
                <w:sz w:val="24"/>
                <w:lang w:val="en-US" w:eastAsia="zh-CN"/>
              </w:rPr>
            </w:pPr>
            <w:r>
              <w:rPr>
                <w:rFonts w:hint="eastAsia" w:ascii="仿宋" w:hAnsi="仿宋" w:eastAsia="仿宋" w:cs="宋体"/>
                <w:sz w:val="24"/>
                <w:lang w:val="en-US" w:eastAsia="zh-CN"/>
              </w:rPr>
              <w:t>访云街（运溪路至云门大街）</w:t>
            </w:r>
          </w:p>
        </w:tc>
        <w:tc>
          <w:tcPr>
            <w:tcW w:w="2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E8321">
            <w:pPr>
              <w:widowControl/>
              <w:adjustRightInd/>
              <w:jc w:val="center"/>
              <w:rPr>
                <w:rFonts w:hint="eastAsia" w:ascii="仿宋" w:hAnsi="仿宋" w:eastAsia="仿宋" w:cs="宋体"/>
                <w:sz w:val="24"/>
                <w:lang w:val="en-US" w:eastAsia="zh-CN"/>
              </w:rPr>
            </w:pPr>
            <w:r>
              <w:rPr>
                <w:rFonts w:hint="eastAsia" w:ascii="仿宋" w:hAnsi="仿宋" w:eastAsia="仿宋" w:cs="宋体"/>
                <w:sz w:val="24"/>
                <w:lang w:val="en-US" w:eastAsia="zh-CN"/>
              </w:rPr>
              <w:t>303</w:t>
            </w:r>
          </w:p>
        </w:tc>
      </w:tr>
      <w:tr w14:paraId="6C5327B3">
        <w:tblPrEx>
          <w:tblCellMar>
            <w:top w:w="0" w:type="dxa"/>
            <w:left w:w="108" w:type="dxa"/>
            <w:bottom w:w="0" w:type="dxa"/>
            <w:right w:w="108" w:type="dxa"/>
          </w:tblCellMar>
        </w:tblPrEx>
        <w:trPr>
          <w:trHeight w:val="255"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0159">
            <w:pPr>
              <w:widowControl/>
              <w:adjustRightInd/>
              <w:jc w:val="center"/>
              <w:rPr>
                <w:rFonts w:hint="default" w:ascii="仿宋" w:hAnsi="仿宋" w:eastAsia="仿宋" w:cs="宋体"/>
                <w:sz w:val="24"/>
                <w:lang w:val="en-US" w:eastAsia="zh-CN"/>
              </w:rPr>
            </w:pPr>
            <w:r>
              <w:rPr>
                <w:rFonts w:hint="eastAsia" w:ascii="仿宋" w:hAnsi="仿宋" w:eastAsia="仿宋" w:cs="宋体"/>
                <w:sz w:val="24"/>
                <w:lang w:val="en-US" w:eastAsia="zh-CN"/>
              </w:rPr>
              <w:t>13</w:t>
            </w:r>
          </w:p>
        </w:tc>
        <w:tc>
          <w:tcPr>
            <w:tcW w:w="4096" w:type="dxa"/>
            <w:tcBorders>
              <w:top w:val="single" w:color="000000" w:sz="4" w:space="0"/>
              <w:left w:val="single" w:color="000000" w:sz="4" w:space="0"/>
              <w:bottom w:val="single" w:color="000000" w:sz="4" w:space="0"/>
              <w:right w:val="single" w:color="000000" w:sz="4" w:space="0"/>
            </w:tcBorders>
            <w:shd w:val="clear" w:color="auto" w:fill="auto"/>
            <w:vAlign w:val="top"/>
          </w:tcPr>
          <w:p w14:paraId="53812AA6">
            <w:pPr>
              <w:widowControl/>
              <w:adjustRightInd/>
              <w:jc w:val="center"/>
              <w:rPr>
                <w:rFonts w:hint="eastAsia" w:ascii="仿宋" w:hAnsi="仿宋" w:eastAsia="仿宋" w:cs="宋体"/>
                <w:sz w:val="24"/>
              </w:rPr>
            </w:pPr>
            <w:r>
              <w:rPr>
                <w:rFonts w:hint="eastAsia" w:ascii="仿宋" w:hAnsi="仿宋" w:eastAsia="仿宋" w:cs="宋体"/>
                <w:sz w:val="24"/>
                <w:lang w:val="en-US" w:eastAsia="zh-CN"/>
              </w:rPr>
              <w:t>莫干山路（铁路桥以南至区界）</w:t>
            </w:r>
          </w:p>
        </w:tc>
        <w:tc>
          <w:tcPr>
            <w:tcW w:w="2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3F520">
            <w:pPr>
              <w:widowControl/>
              <w:adjustRightInd/>
              <w:jc w:val="center"/>
              <w:rPr>
                <w:rFonts w:hint="default" w:ascii="仿宋" w:hAnsi="仿宋" w:eastAsia="仿宋" w:cs="宋体"/>
                <w:sz w:val="24"/>
                <w:lang w:val="en-US" w:eastAsia="zh-CN"/>
              </w:rPr>
            </w:pPr>
            <w:r>
              <w:rPr>
                <w:rFonts w:hint="eastAsia" w:ascii="仿宋" w:hAnsi="仿宋" w:eastAsia="仿宋" w:cs="宋体"/>
                <w:sz w:val="24"/>
                <w:lang w:val="en-US" w:eastAsia="zh-CN"/>
              </w:rPr>
              <w:t>342</w:t>
            </w:r>
          </w:p>
        </w:tc>
      </w:tr>
      <w:tr w14:paraId="449C9DB5">
        <w:tblPrEx>
          <w:tblCellMar>
            <w:top w:w="0" w:type="dxa"/>
            <w:left w:w="108" w:type="dxa"/>
            <w:bottom w:w="0" w:type="dxa"/>
            <w:right w:w="108" w:type="dxa"/>
          </w:tblCellMar>
        </w:tblPrEx>
        <w:trPr>
          <w:trHeight w:val="255"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6604">
            <w:pPr>
              <w:widowControl/>
              <w:adjustRightInd/>
              <w:jc w:val="center"/>
              <w:rPr>
                <w:rFonts w:hint="default" w:ascii="仿宋" w:hAnsi="仿宋" w:eastAsia="仿宋" w:cs="宋体"/>
                <w:sz w:val="24"/>
                <w:lang w:val="en-US" w:eastAsia="zh-CN"/>
              </w:rPr>
            </w:pPr>
            <w:r>
              <w:rPr>
                <w:rFonts w:hint="eastAsia" w:ascii="仿宋" w:hAnsi="仿宋" w:eastAsia="仿宋" w:cs="宋体"/>
                <w:sz w:val="24"/>
                <w:lang w:val="en-US" w:eastAsia="zh-CN"/>
              </w:rPr>
              <w:t>14</w:t>
            </w:r>
          </w:p>
        </w:tc>
        <w:tc>
          <w:tcPr>
            <w:tcW w:w="4096" w:type="dxa"/>
            <w:tcBorders>
              <w:top w:val="single" w:color="000000" w:sz="4" w:space="0"/>
              <w:left w:val="single" w:color="000000" w:sz="4" w:space="0"/>
              <w:bottom w:val="single" w:color="000000" w:sz="4" w:space="0"/>
              <w:right w:val="single" w:color="000000" w:sz="4" w:space="0"/>
            </w:tcBorders>
            <w:shd w:val="clear" w:color="auto" w:fill="auto"/>
            <w:vAlign w:val="top"/>
          </w:tcPr>
          <w:p w14:paraId="0853141F">
            <w:pPr>
              <w:widowControl/>
              <w:adjustRightInd/>
              <w:jc w:val="center"/>
              <w:rPr>
                <w:rFonts w:hint="eastAsia" w:ascii="仿宋" w:hAnsi="仿宋" w:eastAsia="仿宋" w:cs="宋体"/>
                <w:sz w:val="24"/>
              </w:rPr>
            </w:pPr>
            <w:r>
              <w:rPr>
                <w:rFonts w:hint="eastAsia" w:ascii="仿宋" w:hAnsi="仿宋" w:eastAsia="仿宋" w:cs="宋体"/>
                <w:sz w:val="24"/>
                <w:lang w:val="en-US" w:eastAsia="zh-CN"/>
              </w:rPr>
              <w:t>景腾北路（龙泉路至云余大街）</w:t>
            </w:r>
          </w:p>
        </w:tc>
        <w:tc>
          <w:tcPr>
            <w:tcW w:w="2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F2A75">
            <w:pPr>
              <w:widowControl/>
              <w:adjustRightInd/>
              <w:jc w:val="center"/>
              <w:rPr>
                <w:rFonts w:hint="default" w:ascii="仿宋" w:hAnsi="仿宋" w:eastAsia="仿宋" w:cs="宋体"/>
                <w:sz w:val="24"/>
                <w:lang w:val="en-US" w:eastAsia="zh-CN"/>
              </w:rPr>
            </w:pPr>
            <w:r>
              <w:rPr>
                <w:rFonts w:hint="eastAsia" w:ascii="仿宋" w:hAnsi="仿宋" w:eastAsia="仿宋" w:cs="宋体"/>
                <w:sz w:val="24"/>
                <w:lang w:val="en-US" w:eastAsia="zh-CN"/>
              </w:rPr>
              <w:t>294</w:t>
            </w:r>
          </w:p>
        </w:tc>
      </w:tr>
      <w:tr w14:paraId="1348ADE6">
        <w:tblPrEx>
          <w:tblCellMar>
            <w:top w:w="0" w:type="dxa"/>
            <w:left w:w="108" w:type="dxa"/>
            <w:bottom w:w="0" w:type="dxa"/>
            <w:right w:w="108" w:type="dxa"/>
          </w:tblCellMar>
        </w:tblPrEx>
        <w:trPr>
          <w:trHeight w:val="255"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EF2F">
            <w:pPr>
              <w:widowControl/>
              <w:adjustRightInd/>
              <w:jc w:val="center"/>
              <w:rPr>
                <w:rFonts w:hint="default" w:ascii="仿宋" w:hAnsi="仿宋" w:eastAsia="仿宋" w:cs="宋体"/>
                <w:sz w:val="24"/>
                <w:lang w:val="en-US" w:eastAsia="zh-CN"/>
              </w:rPr>
            </w:pPr>
            <w:r>
              <w:rPr>
                <w:rFonts w:hint="eastAsia" w:ascii="仿宋" w:hAnsi="仿宋" w:eastAsia="仿宋" w:cs="宋体"/>
                <w:sz w:val="24"/>
                <w:lang w:val="en-US" w:eastAsia="zh-CN"/>
              </w:rPr>
              <w:t>15</w:t>
            </w:r>
          </w:p>
        </w:tc>
        <w:tc>
          <w:tcPr>
            <w:tcW w:w="4096" w:type="dxa"/>
            <w:tcBorders>
              <w:top w:val="single" w:color="000000" w:sz="4" w:space="0"/>
              <w:left w:val="single" w:color="000000" w:sz="4" w:space="0"/>
              <w:bottom w:val="single" w:color="000000" w:sz="4" w:space="0"/>
              <w:right w:val="single" w:color="000000" w:sz="4" w:space="0"/>
            </w:tcBorders>
            <w:shd w:val="clear" w:color="auto" w:fill="auto"/>
            <w:vAlign w:val="top"/>
          </w:tcPr>
          <w:p w14:paraId="79E0700F">
            <w:pPr>
              <w:widowControl/>
              <w:adjustRightInd/>
              <w:jc w:val="center"/>
              <w:rPr>
                <w:rFonts w:hint="eastAsia" w:ascii="仿宋" w:hAnsi="仿宋" w:eastAsia="仿宋" w:cs="宋体"/>
                <w:sz w:val="24"/>
              </w:rPr>
            </w:pPr>
            <w:r>
              <w:rPr>
                <w:rFonts w:hint="eastAsia" w:ascii="仿宋" w:hAnsi="仿宋" w:eastAsia="仿宋" w:cs="宋体"/>
                <w:sz w:val="24"/>
                <w:lang w:val="en-US" w:eastAsia="zh-CN"/>
              </w:rPr>
              <w:t>荆长路（余杭塘路至区界）</w:t>
            </w:r>
          </w:p>
        </w:tc>
        <w:tc>
          <w:tcPr>
            <w:tcW w:w="2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55C62">
            <w:pPr>
              <w:widowControl/>
              <w:adjustRightInd/>
              <w:jc w:val="center"/>
              <w:rPr>
                <w:rFonts w:hint="eastAsia" w:ascii="仿宋" w:hAnsi="仿宋" w:eastAsia="仿宋" w:cs="宋体"/>
                <w:sz w:val="24"/>
                <w:lang w:val="en-US" w:eastAsia="zh-CN"/>
              </w:rPr>
            </w:pPr>
            <w:r>
              <w:rPr>
                <w:rFonts w:hint="eastAsia" w:ascii="仿宋" w:hAnsi="仿宋" w:eastAsia="仿宋" w:cs="宋体"/>
                <w:sz w:val="24"/>
                <w:lang w:val="en-US" w:eastAsia="zh-CN"/>
              </w:rPr>
              <w:t>176</w:t>
            </w:r>
          </w:p>
        </w:tc>
      </w:tr>
      <w:tr w14:paraId="7E4CB2B8">
        <w:tblPrEx>
          <w:tblCellMar>
            <w:top w:w="0" w:type="dxa"/>
            <w:left w:w="108" w:type="dxa"/>
            <w:bottom w:w="0" w:type="dxa"/>
            <w:right w:w="108" w:type="dxa"/>
          </w:tblCellMar>
        </w:tblPrEx>
        <w:trPr>
          <w:trHeight w:val="508"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D919">
            <w:pPr>
              <w:widowControl/>
              <w:adjustRightInd/>
              <w:jc w:val="center"/>
              <w:rPr>
                <w:rFonts w:hint="eastAsia" w:ascii="仿宋" w:hAnsi="仿宋" w:eastAsia="仿宋" w:cs="宋体"/>
                <w:sz w:val="24"/>
                <w:lang w:eastAsia="zh-CN"/>
              </w:rPr>
            </w:pPr>
            <w:r>
              <w:rPr>
                <w:rFonts w:hint="eastAsia" w:ascii="仿宋" w:hAnsi="仿宋" w:eastAsia="仿宋" w:cs="宋体"/>
                <w:sz w:val="24"/>
              </w:rPr>
              <w:t>1</w:t>
            </w:r>
            <w:r>
              <w:rPr>
                <w:rFonts w:hint="eastAsia" w:ascii="仿宋" w:hAnsi="仿宋" w:eastAsia="仿宋" w:cs="宋体"/>
                <w:sz w:val="24"/>
                <w:lang w:val="en-US" w:eastAsia="zh-CN"/>
              </w:rPr>
              <w:t>6</w:t>
            </w:r>
          </w:p>
        </w:tc>
        <w:tc>
          <w:tcPr>
            <w:tcW w:w="4096" w:type="dxa"/>
            <w:tcBorders>
              <w:top w:val="single" w:color="000000" w:sz="4" w:space="0"/>
              <w:left w:val="nil"/>
              <w:bottom w:val="single" w:color="000000" w:sz="4" w:space="0"/>
              <w:right w:val="single" w:color="000000" w:sz="4" w:space="0"/>
            </w:tcBorders>
            <w:shd w:val="clear" w:color="auto" w:fill="auto"/>
            <w:vAlign w:val="center"/>
          </w:tcPr>
          <w:p w14:paraId="3A3DD3AF">
            <w:pPr>
              <w:widowControl/>
              <w:adjustRightInd/>
              <w:jc w:val="center"/>
              <w:rPr>
                <w:rFonts w:ascii="仿宋" w:hAnsi="仿宋" w:eastAsia="仿宋" w:cs="宋体"/>
                <w:sz w:val="24"/>
              </w:rPr>
            </w:pPr>
            <w:r>
              <w:rPr>
                <w:rFonts w:hint="eastAsia" w:ascii="仿宋" w:hAnsi="仿宋" w:eastAsia="仿宋" w:cs="宋体"/>
                <w:sz w:val="24"/>
              </w:rPr>
              <w:t>合计</w:t>
            </w:r>
          </w:p>
        </w:tc>
        <w:tc>
          <w:tcPr>
            <w:tcW w:w="2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1E27">
            <w:pPr>
              <w:widowControl/>
              <w:adjustRightInd/>
              <w:jc w:val="center"/>
              <w:rPr>
                <w:rFonts w:hint="default" w:ascii="仿宋" w:hAnsi="仿宋" w:eastAsia="仿宋" w:cs="宋体"/>
                <w:sz w:val="24"/>
                <w:lang w:val="en-US" w:eastAsia="zh-CN"/>
              </w:rPr>
            </w:pPr>
            <w:r>
              <w:rPr>
                <w:rFonts w:hint="eastAsia" w:ascii="仿宋" w:hAnsi="仿宋" w:eastAsia="仿宋" w:cs="宋体"/>
                <w:sz w:val="24"/>
                <w:lang w:val="en-US" w:eastAsia="zh-CN"/>
              </w:rPr>
              <w:t>10005</w:t>
            </w:r>
          </w:p>
        </w:tc>
      </w:tr>
    </w:tbl>
    <w:p w14:paraId="19C1AADF">
      <w:pPr>
        <w:pStyle w:val="8"/>
        <w:spacing w:line="360" w:lineRule="auto"/>
        <w:jc w:val="left"/>
        <w:rPr>
          <w:rFonts w:ascii="仿宋" w:hAnsi="仿宋" w:eastAsia="仿宋" w:cs="宋体"/>
          <w:b w:val="0"/>
          <w:kern w:val="2"/>
        </w:rPr>
      </w:pPr>
      <w:r>
        <w:rPr>
          <w:rFonts w:hint="eastAsia" w:ascii="仿宋" w:hAnsi="仿宋" w:eastAsia="仿宋" w:cs="宋体"/>
          <w:b w:val="0"/>
          <w:kern w:val="2"/>
        </w:rPr>
        <w:t>注：详细清单见附件；养护时间按实结算，养护数量按实结算，请投标人自行综合考虑。</w:t>
      </w:r>
    </w:p>
    <w:p w14:paraId="4CA6AE7A">
      <w:pPr>
        <w:spacing w:line="360" w:lineRule="auto"/>
        <w:ind w:firstLine="114" w:firstLineChars="50"/>
        <w:rPr>
          <w:rFonts w:ascii="仿宋" w:hAnsi="仿宋" w:eastAsia="仿宋" w:cs="宋体"/>
          <w:b/>
          <w:bCs/>
          <w:sz w:val="24"/>
        </w:rPr>
      </w:pPr>
      <w:r>
        <w:rPr>
          <w:rFonts w:hint="eastAsia" w:ascii="仿宋" w:hAnsi="仿宋" w:eastAsia="仿宋" w:cs="仿宋"/>
          <w:bCs/>
          <w:sz w:val="24"/>
        </w:rPr>
        <w:t>2、</w:t>
      </w:r>
      <w:r>
        <w:rPr>
          <w:rFonts w:hint="eastAsia" w:ascii="仿宋" w:hAnsi="仿宋" w:eastAsia="仿宋" w:cs="宋体"/>
          <w:b/>
          <w:bCs/>
          <w:sz w:val="24"/>
        </w:rPr>
        <w:t>投标报价说明</w:t>
      </w:r>
    </w:p>
    <w:p w14:paraId="5F515753">
      <w:pPr>
        <w:spacing w:line="360" w:lineRule="auto"/>
        <w:ind w:firstLine="456" w:firstLineChars="200"/>
        <w:rPr>
          <w:rFonts w:ascii="仿宋" w:hAnsi="仿宋" w:eastAsia="仿宋"/>
          <w:sz w:val="24"/>
        </w:rPr>
      </w:pPr>
      <w:r>
        <w:rPr>
          <w:rFonts w:hint="eastAsia" w:ascii="仿宋" w:hAnsi="仿宋" w:eastAsia="仿宋"/>
          <w:sz w:val="24"/>
          <w:lang w:eastAsia="zh-CN"/>
        </w:rPr>
        <w:t>（</w:t>
      </w:r>
      <w:r>
        <w:rPr>
          <w:rFonts w:hint="eastAsia" w:ascii="仿宋" w:hAnsi="仿宋" w:eastAsia="仿宋"/>
          <w:sz w:val="24"/>
          <w:lang w:val="en-US" w:eastAsia="zh-CN"/>
        </w:rPr>
        <w:t>1</w:t>
      </w:r>
      <w:r>
        <w:rPr>
          <w:rFonts w:hint="eastAsia" w:ascii="仿宋" w:hAnsi="仿宋" w:eastAsia="仿宋"/>
          <w:sz w:val="24"/>
          <w:lang w:eastAsia="zh-CN"/>
        </w:rPr>
        <w:t>）</w:t>
      </w:r>
      <w:r>
        <w:rPr>
          <w:rFonts w:ascii="仿宋" w:hAnsi="仿宋" w:eastAsia="仿宋"/>
          <w:sz w:val="24"/>
        </w:rPr>
        <w:t>本项目</w:t>
      </w:r>
      <w:r>
        <w:rPr>
          <w:rFonts w:hint="eastAsia" w:ascii="仿宋" w:hAnsi="仿宋" w:eastAsia="仿宋"/>
          <w:sz w:val="24"/>
        </w:rPr>
        <w:t>费用</w:t>
      </w:r>
      <w:r>
        <w:rPr>
          <w:rFonts w:ascii="仿宋" w:hAnsi="仿宋" w:eastAsia="仿宋"/>
          <w:sz w:val="24"/>
        </w:rPr>
        <w:t>构成</w:t>
      </w:r>
      <w:r>
        <w:rPr>
          <w:rFonts w:hint="eastAsia" w:ascii="仿宋" w:hAnsi="仿宋" w:eastAsia="仿宋"/>
          <w:sz w:val="24"/>
        </w:rPr>
        <w:t>：</w:t>
      </w:r>
    </w:p>
    <w:p w14:paraId="08A290F5">
      <w:pPr>
        <w:spacing w:line="360" w:lineRule="auto"/>
        <w:ind w:firstLine="456" w:firstLineChars="200"/>
        <w:rPr>
          <w:rFonts w:ascii="仿宋" w:hAnsi="仿宋" w:eastAsia="仿宋"/>
          <w:sz w:val="24"/>
        </w:rPr>
      </w:pPr>
      <w:r>
        <w:rPr>
          <w:rFonts w:hint="eastAsia" w:ascii="仿宋" w:hAnsi="仿宋" w:eastAsia="仿宋"/>
          <w:sz w:val="24"/>
          <w:lang w:val="en-US" w:eastAsia="zh-CN"/>
        </w:rPr>
        <w:t xml:space="preserve"> </w:t>
      </w:r>
      <w:r>
        <w:rPr>
          <w:rFonts w:hint="eastAsia" w:ascii="仿宋" w:hAnsi="仿宋" w:eastAsia="仿宋"/>
          <w:sz w:val="24"/>
        </w:rPr>
        <w:t>日常养护费：完成本项目招标文件要求的路灯及其附属设施的养护工作；主要包括：</w:t>
      </w:r>
      <w:r>
        <w:rPr>
          <w:rFonts w:hint="eastAsia" w:ascii="仿宋" w:hAnsi="仿宋" w:eastAsia="仿宋" w:cs="宋体"/>
          <w:sz w:val="24"/>
        </w:rPr>
        <w:t>人工费、材料费（包括灯具、电源、模组等所有主材费用；不包括电缆主材费用）、机械使用费、管理费、利润、规费、税金、风险费、采购需求中未提到但在实际采购过程中需要配置的各种设备、材料及其他费用等须由投标人支付的所有费用。(注:需定期更换养护范围内路灯杆上设置有公益广告布的内容)</w:t>
      </w:r>
    </w:p>
    <w:p w14:paraId="7C7EE819">
      <w:pPr>
        <w:spacing w:line="360" w:lineRule="auto"/>
        <w:ind w:firstLine="456" w:firstLineChars="200"/>
        <w:rPr>
          <w:rFonts w:ascii="仿宋" w:hAnsi="仿宋" w:eastAsia="仿宋"/>
          <w:sz w:val="24"/>
        </w:rPr>
      </w:pPr>
      <w:r>
        <w:rPr>
          <w:rFonts w:hint="eastAsia" w:ascii="仿宋" w:hAnsi="仿宋" w:eastAsia="仿宋"/>
          <w:sz w:val="24"/>
          <w:lang w:val="en-US" w:eastAsia="zh-CN"/>
        </w:rPr>
        <w:t xml:space="preserve"> </w:t>
      </w:r>
      <w:r>
        <w:rPr>
          <w:rFonts w:hint="eastAsia" w:ascii="仿宋" w:hAnsi="仿宋" w:eastAsia="仿宋"/>
          <w:sz w:val="24"/>
        </w:rPr>
        <w:t>更新改造费：根据采购人要求，在服务期限内，由中标供应商提出更新改造方案，经采购人论证同意后方可实施，如果超出更新改造费的，由中标单位自行承担。</w:t>
      </w:r>
      <w:r>
        <w:rPr>
          <w:rFonts w:hint="eastAsia" w:ascii="仿宋" w:hAnsi="仿宋" w:eastAsia="仿宋"/>
          <w:b/>
          <w:sz w:val="24"/>
          <w:highlight w:val="yellow"/>
        </w:rPr>
        <w:t>▲更新改造费：</w:t>
      </w:r>
      <w:r>
        <w:rPr>
          <w:rFonts w:hint="eastAsia" w:ascii="仿宋" w:hAnsi="仿宋" w:eastAsia="仿宋"/>
          <w:b/>
          <w:sz w:val="24"/>
          <w:highlight w:val="yellow"/>
          <w:lang w:val="en-US" w:eastAsia="zh-CN"/>
        </w:rPr>
        <w:t>20</w:t>
      </w:r>
      <w:r>
        <w:rPr>
          <w:rFonts w:hint="eastAsia" w:ascii="仿宋" w:hAnsi="仿宋" w:eastAsia="仿宋"/>
          <w:b/>
          <w:sz w:val="24"/>
          <w:highlight w:val="yellow"/>
        </w:rPr>
        <w:t>万元，报价不做竞争。</w:t>
      </w:r>
    </w:p>
    <w:p w14:paraId="3E7824B6">
      <w:pPr>
        <w:spacing w:line="360" w:lineRule="auto"/>
        <w:ind w:firstLine="343" w:firstLineChars="150"/>
        <w:rPr>
          <w:rFonts w:ascii="仿宋" w:hAnsi="仿宋" w:eastAsia="仿宋" w:cs="宋体"/>
          <w:b/>
          <w:sz w:val="24"/>
        </w:rPr>
      </w:pPr>
      <w:r>
        <w:rPr>
          <w:rFonts w:hint="eastAsia" w:ascii="仿宋" w:hAnsi="仿宋" w:eastAsia="仿宋" w:cs="宋体"/>
          <w:b/>
          <w:sz w:val="24"/>
          <w:lang w:eastAsia="zh-CN"/>
        </w:rPr>
        <w:t>（</w:t>
      </w:r>
      <w:r>
        <w:rPr>
          <w:rFonts w:hint="eastAsia" w:ascii="仿宋" w:hAnsi="仿宋" w:eastAsia="仿宋" w:cs="宋体"/>
          <w:b/>
          <w:sz w:val="24"/>
          <w:lang w:val="en-US" w:eastAsia="zh-CN"/>
        </w:rPr>
        <w:t>2</w:t>
      </w:r>
      <w:r>
        <w:rPr>
          <w:rFonts w:hint="eastAsia" w:ascii="仿宋" w:hAnsi="仿宋" w:eastAsia="仿宋" w:cs="宋体"/>
          <w:b/>
          <w:sz w:val="24"/>
          <w:lang w:eastAsia="zh-CN"/>
        </w:rPr>
        <w:t>）</w:t>
      </w:r>
      <w:r>
        <w:rPr>
          <w:rFonts w:hint="eastAsia" w:ascii="仿宋" w:hAnsi="仿宋" w:eastAsia="仿宋" w:cs="宋体"/>
          <w:b/>
          <w:sz w:val="24"/>
        </w:rPr>
        <w:t>养护期限</w:t>
      </w:r>
    </w:p>
    <w:p w14:paraId="314CB07B">
      <w:pPr>
        <w:spacing w:line="360" w:lineRule="auto"/>
        <w:ind w:firstLine="572" w:firstLineChars="250"/>
        <w:rPr>
          <w:rFonts w:ascii="仿宋" w:hAnsi="仿宋" w:eastAsia="仿宋" w:cs="宋体"/>
          <w:b/>
          <w:bCs/>
          <w:sz w:val="24"/>
        </w:rPr>
      </w:pPr>
      <w:r>
        <w:rPr>
          <w:rFonts w:hint="eastAsia" w:ascii="仿宋" w:hAnsi="仿宋" w:eastAsia="仿宋" w:cs="宋体"/>
          <w:b/>
          <w:bCs/>
          <w:sz w:val="24"/>
          <w:lang w:val="en-US" w:eastAsia="zh-CN"/>
        </w:rPr>
        <w:t>时间</w:t>
      </w:r>
      <w:r>
        <w:rPr>
          <w:rFonts w:hint="eastAsia" w:ascii="仿宋" w:hAnsi="仿宋" w:eastAsia="仿宋" w:cs="宋体"/>
          <w:b/>
          <w:bCs/>
          <w:sz w:val="24"/>
        </w:rPr>
        <w:t>一年。具体以合同签订日期为准。</w:t>
      </w:r>
    </w:p>
    <w:p w14:paraId="657D64BF">
      <w:pPr>
        <w:spacing w:line="360" w:lineRule="auto"/>
        <w:ind w:firstLine="343" w:firstLineChars="150"/>
        <w:rPr>
          <w:rFonts w:ascii="仿宋" w:hAnsi="仿宋" w:eastAsia="仿宋" w:cs="宋体"/>
          <w:b/>
          <w:bCs/>
          <w:sz w:val="24"/>
        </w:rPr>
      </w:pPr>
      <w:r>
        <w:rPr>
          <w:rFonts w:hint="eastAsia" w:ascii="仿宋" w:hAnsi="仿宋" w:eastAsia="仿宋" w:cs="宋体"/>
          <w:b/>
          <w:sz w:val="24"/>
          <w:lang w:eastAsia="zh-CN"/>
        </w:rPr>
        <w:t>（</w:t>
      </w:r>
      <w:r>
        <w:rPr>
          <w:rFonts w:hint="eastAsia" w:ascii="仿宋" w:hAnsi="仿宋" w:eastAsia="仿宋" w:cs="宋体"/>
          <w:b/>
          <w:sz w:val="24"/>
          <w:lang w:val="en-US" w:eastAsia="zh-CN"/>
        </w:rPr>
        <w:t>3</w:t>
      </w:r>
      <w:r>
        <w:rPr>
          <w:rFonts w:hint="eastAsia" w:ascii="仿宋" w:hAnsi="仿宋" w:eastAsia="仿宋" w:cs="宋体"/>
          <w:b/>
          <w:sz w:val="24"/>
          <w:lang w:eastAsia="zh-CN"/>
        </w:rPr>
        <w:t>）</w:t>
      </w:r>
      <w:r>
        <w:rPr>
          <w:rFonts w:hint="eastAsia" w:ascii="仿宋" w:hAnsi="仿宋" w:eastAsia="仿宋" w:cs="宋体"/>
          <w:b/>
          <w:bCs/>
          <w:sz w:val="24"/>
        </w:rPr>
        <w:t>日常养护费用支付</w:t>
      </w:r>
    </w:p>
    <w:p w14:paraId="0CDF237E">
      <w:pPr>
        <w:spacing w:line="360" w:lineRule="auto"/>
        <w:ind w:firstLine="114" w:firstLineChars="50"/>
        <w:rPr>
          <w:rFonts w:ascii="仿宋" w:hAnsi="仿宋" w:eastAsia="仿宋" w:cs="宋体"/>
          <w:b/>
          <w:bCs/>
          <w:sz w:val="24"/>
        </w:rPr>
      </w:pPr>
      <w:r>
        <w:rPr>
          <w:rFonts w:hint="eastAsia" w:ascii="仿宋" w:hAnsi="仿宋" w:eastAsia="仿宋" w:cs="宋体"/>
          <w:b/>
          <w:bCs/>
          <w:sz w:val="24"/>
        </w:rPr>
        <w:t xml:space="preserve">    按采购人的采购文件及其它有关规定、技术标准执行，通过随机检查、每年定期检查和年度考核三种方式评定养护管理质量。</w:t>
      </w:r>
    </w:p>
    <w:p w14:paraId="2830B18E">
      <w:pPr>
        <w:spacing w:line="360" w:lineRule="auto"/>
        <w:ind w:firstLine="451" w:firstLineChars="197"/>
        <w:rPr>
          <w:rFonts w:ascii="仿宋" w:hAnsi="仿宋" w:eastAsia="仿宋" w:cs="宋体"/>
          <w:b/>
          <w:bCs/>
          <w:sz w:val="24"/>
        </w:rPr>
      </w:pPr>
      <w:r>
        <w:rPr>
          <w:rFonts w:hint="eastAsia" w:ascii="仿宋" w:hAnsi="仿宋" w:eastAsia="仿宋" w:cs="宋体"/>
          <w:b/>
          <w:bCs/>
          <w:sz w:val="24"/>
        </w:rPr>
        <w:t>检查考核由采购人对管理质量进行综合考核评定，考核每季不少于一次，合格考核分为90分。考核分高于90分（含）视为良好，全额拨付当季度日常养护费；考核分高于85分（含）但低于90分视为合格，扣除当季度日常养护费用的10%；考核分高于80分（含）但低于85分视为基本合格，扣除当季度日常养护费用的20%；考核分低于80分视为不合格，扣除当季度日常养护费用的40%；一年内有两次考核不合格的将取消养护管理的资格。</w:t>
      </w:r>
    </w:p>
    <w:p w14:paraId="3ADFBDA2">
      <w:pPr>
        <w:spacing w:line="360" w:lineRule="auto"/>
        <w:ind w:firstLine="458" w:firstLineChars="200"/>
        <w:rPr>
          <w:rFonts w:ascii="仿宋" w:hAnsi="仿宋" w:eastAsia="仿宋" w:cs="宋体"/>
          <w:b/>
          <w:bCs/>
          <w:sz w:val="24"/>
        </w:rPr>
      </w:pPr>
      <w:r>
        <w:rPr>
          <w:rFonts w:hint="eastAsia" w:ascii="仿宋" w:hAnsi="仿宋" w:eastAsia="仿宋" w:cs="宋体"/>
          <w:b/>
          <w:bCs/>
          <w:sz w:val="24"/>
          <w:lang w:eastAsia="zh-CN"/>
        </w:rPr>
        <w:t>（</w:t>
      </w:r>
      <w:r>
        <w:rPr>
          <w:rFonts w:hint="eastAsia" w:ascii="仿宋" w:hAnsi="仿宋" w:eastAsia="仿宋" w:cs="宋体"/>
          <w:b/>
          <w:bCs/>
          <w:sz w:val="24"/>
          <w:lang w:val="en-US" w:eastAsia="zh-CN"/>
        </w:rPr>
        <w:t>4</w:t>
      </w:r>
      <w:r>
        <w:rPr>
          <w:rFonts w:hint="eastAsia" w:ascii="仿宋" w:hAnsi="仿宋" w:eastAsia="仿宋" w:cs="宋体"/>
          <w:b/>
          <w:bCs/>
          <w:sz w:val="24"/>
          <w:lang w:eastAsia="zh-CN"/>
        </w:rPr>
        <w:t>）</w:t>
      </w:r>
      <w:r>
        <w:rPr>
          <w:rFonts w:hint="eastAsia" w:ascii="仿宋" w:hAnsi="仿宋" w:eastAsia="仿宋" w:cs="宋体"/>
          <w:b/>
          <w:bCs/>
          <w:sz w:val="24"/>
        </w:rPr>
        <w:t>日常养护具体养护内容及要求：</w:t>
      </w:r>
    </w:p>
    <w:p w14:paraId="04CEB683">
      <w:pPr>
        <w:spacing w:line="360" w:lineRule="auto"/>
        <w:ind w:firstLine="458" w:firstLineChars="200"/>
        <w:rPr>
          <w:rFonts w:ascii="仿宋" w:hAnsi="仿宋" w:eastAsia="仿宋" w:cs="宋体"/>
          <w:b/>
          <w:sz w:val="24"/>
        </w:rPr>
      </w:pPr>
      <w:r>
        <w:rPr>
          <w:rFonts w:hint="eastAsia" w:ascii="仿宋" w:hAnsi="仿宋" w:eastAsia="仿宋" w:cs="宋体"/>
          <w:b/>
          <w:sz w:val="24"/>
          <w:lang w:val="en-US" w:eastAsia="zh-CN"/>
        </w:rPr>
        <w:t xml:space="preserve"> </w:t>
      </w:r>
      <w:r>
        <w:rPr>
          <w:rFonts w:hint="eastAsia" w:ascii="仿宋" w:hAnsi="仿宋" w:eastAsia="仿宋" w:cs="宋体"/>
          <w:b/>
          <w:sz w:val="24"/>
        </w:rPr>
        <w:t>必须确保路灯设备正常、安全可靠运行。提高运行质量和设备健康水平，消除故障隐患，延长设备的使用寿命，努力降低线损，确保安全用电。</w:t>
      </w:r>
    </w:p>
    <w:p w14:paraId="16F8900E">
      <w:pPr>
        <w:spacing w:line="360" w:lineRule="auto"/>
        <w:ind w:firstLine="458" w:firstLineChars="200"/>
        <w:rPr>
          <w:rFonts w:ascii="仿宋" w:hAnsi="仿宋" w:eastAsia="仿宋" w:cs="宋体"/>
          <w:b/>
          <w:sz w:val="24"/>
        </w:rPr>
      </w:pPr>
      <w:r>
        <w:rPr>
          <w:rFonts w:hint="eastAsia" w:ascii="仿宋" w:hAnsi="仿宋" w:eastAsia="仿宋" w:cs="宋体"/>
          <w:b/>
          <w:sz w:val="24"/>
          <w:lang w:val="en-US" w:eastAsia="zh-CN"/>
        </w:rPr>
        <w:t xml:space="preserve"> </w:t>
      </w:r>
      <w:r>
        <w:rPr>
          <w:rFonts w:hint="eastAsia" w:ascii="仿宋" w:hAnsi="仿宋" w:eastAsia="仿宋" w:cs="宋体"/>
          <w:b/>
          <w:sz w:val="24"/>
        </w:rPr>
        <w:t>严格遵守《电业安全规程》、《线路规程》等有关电气作业的一切规定。严格遵守交通法规，安全行驶。</w:t>
      </w:r>
    </w:p>
    <w:p w14:paraId="63F0196C">
      <w:pPr>
        <w:spacing w:line="360" w:lineRule="auto"/>
        <w:ind w:firstLine="458" w:firstLineChars="200"/>
        <w:rPr>
          <w:rFonts w:ascii="仿宋" w:hAnsi="仿宋" w:eastAsia="仿宋" w:cs="宋体"/>
          <w:b/>
          <w:sz w:val="24"/>
        </w:rPr>
      </w:pPr>
      <w:r>
        <w:rPr>
          <w:rFonts w:hint="eastAsia" w:ascii="仿宋" w:hAnsi="仿宋" w:eastAsia="仿宋" w:cs="宋体"/>
          <w:b/>
          <w:sz w:val="24"/>
          <w:lang w:val="en-US" w:eastAsia="zh-CN"/>
        </w:rPr>
        <w:t xml:space="preserve"> </w:t>
      </w:r>
      <w:r>
        <w:rPr>
          <w:rFonts w:hint="eastAsia" w:ascii="仿宋" w:hAnsi="仿宋" w:eastAsia="仿宋" w:cs="宋体"/>
          <w:b/>
          <w:sz w:val="24"/>
        </w:rPr>
        <w:t>负责本项目路灯相配套设施的维护运行，确保所有运行设备的可靠、安全。承担因维护不力引起设备、人身事故的全部安全责任。</w:t>
      </w:r>
    </w:p>
    <w:p w14:paraId="2B47CE06">
      <w:pPr>
        <w:spacing w:line="360" w:lineRule="auto"/>
        <w:ind w:firstLine="458" w:firstLineChars="200"/>
        <w:rPr>
          <w:rFonts w:ascii="仿宋" w:hAnsi="仿宋" w:eastAsia="仿宋" w:cs="宋体"/>
          <w:b/>
          <w:sz w:val="24"/>
        </w:rPr>
      </w:pPr>
      <w:r>
        <w:rPr>
          <w:rFonts w:hint="eastAsia" w:ascii="仿宋" w:hAnsi="仿宋" w:eastAsia="仿宋" w:cs="宋体"/>
          <w:b/>
          <w:sz w:val="24"/>
          <w:lang w:val="en-US" w:eastAsia="zh-CN"/>
        </w:rPr>
        <w:t xml:space="preserve"> </w:t>
      </w:r>
      <w:r>
        <w:rPr>
          <w:rFonts w:hint="eastAsia" w:ascii="仿宋" w:hAnsi="仿宋" w:eastAsia="仿宋" w:cs="宋体"/>
          <w:b/>
          <w:sz w:val="24"/>
        </w:rPr>
        <w:t>严格按规定进行操作和作业，对人身和交通负安全责任。</w:t>
      </w:r>
    </w:p>
    <w:p w14:paraId="30BBA972">
      <w:pPr>
        <w:spacing w:line="360" w:lineRule="auto"/>
        <w:ind w:firstLine="458" w:firstLineChars="200"/>
        <w:rPr>
          <w:rFonts w:ascii="仿宋" w:hAnsi="仿宋" w:eastAsia="仿宋" w:cs="宋体"/>
          <w:b/>
          <w:sz w:val="24"/>
        </w:rPr>
      </w:pPr>
      <w:r>
        <w:rPr>
          <w:rFonts w:hint="eastAsia" w:ascii="仿宋" w:hAnsi="仿宋" w:eastAsia="仿宋" w:cs="宋体"/>
          <w:b/>
          <w:sz w:val="24"/>
          <w:lang w:val="en-US" w:eastAsia="zh-CN"/>
        </w:rPr>
        <w:t xml:space="preserve"> </w:t>
      </w:r>
      <w:r>
        <w:rPr>
          <w:rFonts w:hint="eastAsia" w:ascii="仿宋" w:hAnsi="仿宋" w:eastAsia="仿宋" w:cs="宋体"/>
          <w:b/>
          <w:sz w:val="24"/>
        </w:rPr>
        <w:t>工作班人员必须经过专业培训并持证上岗，设专人负责。建立健全的安全体制和安全学习制度，不断提高工作人员的安全意识。</w:t>
      </w:r>
    </w:p>
    <w:p w14:paraId="3BD033AA">
      <w:pPr>
        <w:spacing w:line="360" w:lineRule="auto"/>
        <w:ind w:firstLine="458" w:firstLineChars="200"/>
        <w:rPr>
          <w:rFonts w:ascii="仿宋" w:hAnsi="仿宋" w:eastAsia="仿宋" w:cs="宋体"/>
          <w:b/>
          <w:sz w:val="24"/>
        </w:rPr>
      </w:pPr>
      <w:r>
        <w:rPr>
          <w:rFonts w:hint="eastAsia" w:ascii="仿宋" w:hAnsi="仿宋" w:eastAsia="仿宋" w:cs="宋体"/>
          <w:b/>
          <w:sz w:val="24"/>
          <w:lang w:val="en-US" w:eastAsia="zh-CN"/>
        </w:rPr>
        <w:t xml:space="preserve"> </w:t>
      </w:r>
      <w:r>
        <w:rPr>
          <w:rFonts w:hint="eastAsia" w:ascii="仿宋" w:hAnsi="仿宋" w:eastAsia="仿宋" w:cs="宋体"/>
          <w:b/>
          <w:sz w:val="24"/>
        </w:rPr>
        <w:t>负责办理维护过程中的所有的许可手续，并承担相应的费用。</w:t>
      </w:r>
    </w:p>
    <w:p w14:paraId="77B7C840">
      <w:pPr>
        <w:spacing w:line="360" w:lineRule="auto"/>
        <w:ind w:firstLine="458" w:firstLineChars="200"/>
        <w:rPr>
          <w:rFonts w:ascii="仿宋" w:hAnsi="仿宋" w:eastAsia="仿宋" w:cs="宋体"/>
          <w:b/>
          <w:sz w:val="24"/>
        </w:rPr>
      </w:pPr>
      <w:r>
        <w:rPr>
          <w:rFonts w:hint="eastAsia" w:ascii="仿宋" w:hAnsi="仿宋" w:eastAsia="仿宋" w:cs="宋体"/>
          <w:b/>
          <w:sz w:val="24"/>
          <w:lang w:val="en-US" w:eastAsia="zh-CN"/>
        </w:rPr>
        <w:t xml:space="preserve"> </w:t>
      </w:r>
      <w:r>
        <w:rPr>
          <w:rFonts w:hint="eastAsia" w:ascii="仿宋" w:hAnsi="仿宋" w:eastAsia="仿宋" w:cs="宋体"/>
          <w:b/>
          <w:sz w:val="24"/>
        </w:rPr>
        <w:t>严格执行工作票、低压停电工作票制度，严禁未经许可擅自给路灯开关进行通电工作。</w:t>
      </w:r>
    </w:p>
    <w:p w14:paraId="0FD65D06">
      <w:pPr>
        <w:spacing w:line="360" w:lineRule="auto"/>
        <w:ind w:firstLine="458" w:firstLineChars="200"/>
        <w:rPr>
          <w:rFonts w:ascii="仿宋" w:hAnsi="仿宋" w:eastAsia="仿宋" w:cs="宋体"/>
          <w:b/>
          <w:sz w:val="24"/>
        </w:rPr>
      </w:pPr>
      <w:r>
        <w:rPr>
          <w:rFonts w:hint="eastAsia" w:ascii="仿宋" w:hAnsi="仿宋" w:eastAsia="仿宋" w:cs="宋体"/>
          <w:b/>
          <w:sz w:val="24"/>
          <w:lang w:val="en-US" w:eastAsia="zh-CN"/>
        </w:rPr>
        <w:t xml:space="preserve"> </w:t>
      </w:r>
      <w:r>
        <w:rPr>
          <w:rFonts w:hint="eastAsia" w:ascii="仿宋" w:hAnsi="仿宋" w:eastAsia="仿宋" w:cs="宋体"/>
          <w:b/>
          <w:sz w:val="24"/>
        </w:rPr>
        <w:t>未经市政管理部门书面批准，不得随意改变线路走向及设备装置。</w:t>
      </w:r>
    </w:p>
    <w:p w14:paraId="1622F6C1">
      <w:pPr>
        <w:spacing w:line="360" w:lineRule="auto"/>
        <w:ind w:firstLine="458" w:firstLineChars="200"/>
        <w:rPr>
          <w:rFonts w:ascii="仿宋" w:hAnsi="仿宋" w:eastAsia="仿宋" w:cs="宋体"/>
          <w:b/>
          <w:sz w:val="24"/>
        </w:rPr>
      </w:pPr>
      <w:r>
        <w:rPr>
          <w:rFonts w:hint="eastAsia" w:ascii="仿宋" w:hAnsi="仿宋" w:eastAsia="仿宋" w:cs="宋体"/>
          <w:b/>
          <w:sz w:val="24"/>
          <w:lang w:val="en-US" w:eastAsia="zh-CN"/>
        </w:rPr>
        <w:t xml:space="preserve"> </w:t>
      </w:r>
      <w:r>
        <w:rPr>
          <w:rFonts w:ascii="仿宋" w:hAnsi="仿宋" w:eastAsia="仿宋" w:cs="宋体"/>
          <w:b/>
          <w:sz w:val="24"/>
        </w:rPr>
        <w:t>严格按要求使用招标文件规定的或采购人同意使用的维修材料。</w:t>
      </w:r>
    </w:p>
    <w:p w14:paraId="4128A683">
      <w:pPr>
        <w:spacing w:line="360" w:lineRule="auto"/>
        <w:ind w:firstLine="458" w:firstLineChars="200"/>
        <w:rPr>
          <w:rFonts w:ascii="仿宋" w:hAnsi="仿宋" w:eastAsia="仿宋" w:cs="宋体"/>
          <w:b/>
          <w:sz w:val="24"/>
        </w:rPr>
      </w:pPr>
      <w:r>
        <w:rPr>
          <w:rFonts w:hint="eastAsia" w:ascii="仿宋" w:hAnsi="仿宋" w:eastAsia="仿宋" w:cs="宋体"/>
          <w:b/>
          <w:sz w:val="24"/>
          <w:lang w:val="en-US" w:eastAsia="zh-CN"/>
        </w:rPr>
        <w:t xml:space="preserve"> </w:t>
      </w:r>
      <w:r>
        <w:rPr>
          <w:rFonts w:hint="eastAsia" w:ascii="仿宋" w:hAnsi="仿宋" w:eastAsia="仿宋" w:cs="宋体"/>
          <w:b/>
          <w:sz w:val="24"/>
        </w:rPr>
        <w:t>及时上报因其他原因（如电力部门系统改造）导致照明设施变更和照明设备需进行大修改造的清况。</w:t>
      </w:r>
    </w:p>
    <w:p w14:paraId="57E68138">
      <w:pPr>
        <w:spacing w:line="360" w:lineRule="auto"/>
        <w:ind w:firstLine="458" w:firstLineChars="200"/>
        <w:rPr>
          <w:rFonts w:ascii="仿宋" w:hAnsi="仿宋" w:eastAsia="仿宋" w:cs="宋体"/>
          <w:b/>
          <w:sz w:val="24"/>
        </w:rPr>
      </w:pPr>
      <w:r>
        <w:rPr>
          <w:rFonts w:hint="eastAsia" w:ascii="仿宋" w:hAnsi="仿宋" w:eastAsia="仿宋" w:cs="宋体"/>
          <w:b/>
          <w:sz w:val="24"/>
          <w:lang w:val="en-US" w:eastAsia="zh-CN"/>
        </w:rPr>
        <w:t xml:space="preserve"> </w:t>
      </w:r>
      <w:r>
        <w:rPr>
          <w:rFonts w:hint="eastAsia" w:ascii="仿宋" w:hAnsi="仿宋" w:eastAsia="仿宋" w:cs="宋体"/>
          <w:b/>
          <w:sz w:val="24"/>
        </w:rPr>
        <w:t>定期核对图纸资料。合同期生效起三个月内完成所有设备资料普查，并及时向甲方提供资料和设备清单，按月度上报资料变更资料。</w:t>
      </w:r>
    </w:p>
    <w:p w14:paraId="4782A3D2">
      <w:pPr>
        <w:spacing w:line="360" w:lineRule="auto"/>
        <w:ind w:firstLine="458" w:firstLineChars="200"/>
        <w:rPr>
          <w:rFonts w:ascii="仿宋" w:hAnsi="仿宋" w:eastAsia="仿宋" w:cs="宋体"/>
          <w:b/>
          <w:sz w:val="24"/>
        </w:rPr>
      </w:pPr>
      <w:r>
        <w:rPr>
          <w:rFonts w:hint="eastAsia" w:ascii="仿宋" w:hAnsi="仿宋" w:eastAsia="仿宋" w:cs="宋体"/>
          <w:b/>
          <w:sz w:val="24"/>
          <w:lang w:val="en-US" w:eastAsia="zh-CN"/>
        </w:rPr>
        <w:t xml:space="preserve"> </w:t>
      </w:r>
      <w:r>
        <w:rPr>
          <w:rFonts w:hint="eastAsia" w:ascii="仿宋" w:hAnsi="仿宋" w:eastAsia="仿宋" w:cs="宋体"/>
          <w:b/>
          <w:sz w:val="24"/>
        </w:rPr>
        <w:t>检修巡视周期为每周3次。对发现的灭灯、故障和缺陷进行及时修复并做好反馈工作，确保设备完好可靠，保证亮灯率达到考核指标要求。</w:t>
      </w:r>
    </w:p>
    <w:p w14:paraId="58CEB072">
      <w:pPr>
        <w:spacing w:line="360" w:lineRule="auto"/>
        <w:ind w:firstLine="458" w:firstLineChars="200"/>
        <w:rPr>
          <w:rFonts w:ascii="仿宋" w:hAnsi="仿宋" w:eastAsia="仿宋" w:cs="宋体"/>
          <w:b/>
          <w:sz w:val="24"/>
        </w:rPr>
      </w:pPr>
      <w:r>
        <w:rPr>
          <w:rFonts w:hint="eastAsia" w:ascii="仿宋" w:hAnsi="仿宋" w:eastAsia="仿宋" w:cs="宋体"/>
          <w:b/>
          <w:sz w:val="24"/>
          <w:lang w:val="en-US" w:eastAsia="zh-CN"/>
        </w:rPr>
        <w:t xml:space="preserve"> </w:t>
      </w:r>
      <w:r>
        <w:rPr>
          <w:rFonts w:hint="eastAsia" w:ascii="仿宋" w:hAnsi="仿宋" w:eastAsia="仿宋" w:cs="宋体"/>
          <w:b/>
          <w:sz w:val="24"/>
        </w:rPr>
        <w:t>保持照明设备的清洁，无明显的污垢。及时清除未经许可的任何悬挂物。</w:t>
      </w:r>
    </w:p>
    <w:p w14:paraId="3909F39C">
      <w:pPr>
        <w:spacing w:line="360" w:lineRule="auto"/>
        <w:ind w:firstLine="458" w:firstLineChars="200"/>
        <w:rPr>
          <w:rFonts w:ascii="仿宋" w:hAnsi="仿宋" w:eastAsia="仿宋" w:cs="宋体"/>
          <w:b/>
          <w:sz w:val="24"/>
        </w:rPr>
      </w:pPr>
      <w:r>
        <w:rPr>
          <w:rFonts w:hint="eastAsia" w:ascii="仿宋" w:hAnsi="仿宋" w:eastAsia="仿宋" w:cs="宋体"/>
          <w:b/>
          <w:sz w:val="24"/>
          <w:lang w:val="en-US" w:eastAsia="zh-CN"/>
        </w:rPr>
        <w:t xml:space="preserve"> </w:t>
      </w:r>
      <w:r>
        <w:rPr>
          <w:rFonts w:hint="eastAsia" w:ascii="仿宋" w:hAnsi="仿宋" w:eastAsia="仿宋" w:cs="宋体"/>
          <w:b/>
          <w:sz w:val="24"/>
        </w:rPr>
        <w:t>加强外接电器设备（经采购人同意）的安全管理。</w:t>
      </w:r>
    </w:p>
    <w:p w14:paraId="481AC198">
      <w:pPr>
        <w:spacing w:line="360" w:lineRule="auto"/>
        <w:ind w:firstLine="458" w:firstLineChars="200"/>
        <w:rPr>
          <w:rFonts w:ascii="仿宋" w:hAnsi="仿宋" w:eastAsia="仿宋" w:cs="宋体"/>
          <w:b/>
          <w:sz w:val="24"/>
        </w:rPr>
      </w:pPr>
      <w:r>
        <w:rPr>
          <w:rFonts w:hint="eastAsia" w:ascii="仿宋" w:hAnsi="仿宋" w:eastAsia="仿宋" w:cs="宋体"/>
          <w:b/>
          <w:sz w:val="24"/>
          <w:lang w:val="en-US" w:eastAsia="zh-CN"/>
        </w:rPr>
        <w:t xml:space="preserve"> </w:t>
      </w:r>
      <w:r>
        <w:rPr>
          <w:rFonts w:hint="eastAsia" w:ascii="仿宋" w:hAnsi="仿宋" w:eastAsia="仿宋" w:cs="宋体"/>
          <w:b/>
          <w:sz w:val="24"/>
        </w:rPr>
        <w:t>对外力破坏、撞杆或被盗，应立即进行制止并及时向公安机关进行报案，现场须采取必要的安全措施。</w:t>
      </w:r>
    </w:p>
    <w:p w14:paraId="2205DE04">
      <w:pPr>
        <w:spacing w:line="360" w:lineRule="auto"/>
        <w:ind w:firstLine="458" w:firstLineChars="200"/>
        <w:rPr>
          <w:rFonts w:ascii="仿宋" w:hAnsi="仿宋" w:eastAsia="仿宋" w:cs="宋体"/>
          <w:b/>
          <w:sz w:val="24"/>
        </w:rPr>
      </w:pPr>
      <w:r>
        <w:rPr>
          <w:rFonts w:hint="eastAsia" w:ascii="仿宋" w:hAnsi="仿宋" w:eastAsia="仿宋" w:cs="宋体"/>
          <w:b/>
          <w:sz w:val="24"/>
          <w:lang w:val="en-US" w:eastAsia="zh-CN"/>
        </w:rPr>
        <w:t xml:space="preserve"> </w:t>
      </w:r>
      <w:r>
        <w:rPr>
          <w:rFonts w:hint="eastAsia" w:ascii="仿宋" w:hAnsi="仿宋" w:eastAsia="仿宋" w:cs="宋体"/>
          <w:b/>
          <w:sz w:val="24"/>
        </w:rPr>
        <w:t>建立相应的运行台帐，具体包括定期或不定期的检查台帐，反映每次检查时间、检查责任人、设备运行清况，维修台帐反映维修详细情况。设备检查运行台帐要定期抄报公路管理处，台帐作为对维护工作的规定性考核内容。</w:t>
      </w:r>
    </w:p>
    <w:p w14:paraId="584CA1BB">
      <w:pPr>
        <w:spacing w:line="360" w:lineRule="auto"/>
        <w:ind w:firstLine="458" w:firstLineChars="200"/>
        <w:rPr>
          <w:rFonts w:ascii="仿宋" w:hAnsi="仿宋" w:eastAsia="仿宋" w:cs="宋体"/>
          <w:b/>
          <w:sz w:val="24"/>
        </w:rPr>
      </w:pPr>
      <w:r>
        <w:rPr>
          <w:rFonts w:hint="eastAsia" w:ascii="仿宋" w:hAnsi="仿宋" w:eastAsia="仿宋" w:cs="宋体"/>
          <w:b/>
          <w:sz w:val="24"/>
          <w:lang w:val="en-US" w:eastAsia="zh-CN"/>
        </w:rPr>
        <w:t xml:space="preserve"> </w:t>
      </w:r>
      <w:r>
        <w:rPr>
          <w:rFonts w:hint="eastAsia" w:ascii="仿宋" w:hAnsi="仿宋" w:eastAsia="仿宋" w:cs="宋体"/>
          <w:b/>
          <w:sz w:val="24"/>
        </w:rPr>
        <w:t>凡遇节日、活动以及狂风暴雨洪水等特殊情况，须安排人员值班并加强巡视，采取相应措施，及时处理各类故障，以确保安全供电和路灯正常运行。</w:t>
      </w:r>
    </w:p>
    <w:p w14:paraId="7DB7BBDF">
      <w:pPr>
        <w:spacing w:line="360" w:lineRule="auto"/>
        <w:ind w:firstLine="458" w:firstLineChars="200"/>
        <w:rPr>
          <w:rFonts w:ascii="仿宋" w:hAnsi="仿宋" w:eastAsia="仿宋" w:cs="宋体"/>
          <w:b/>
          <w:sz w:val="24"/>
        </w:rPr>
      </w:pPr>
      <w:r>
        <w:rPr>
          <w:rFonts w:hint="eastAsia" w:ascii="仿宋" w:hAnsi="仿宋" w:eastAsia="仿宋" w:cs="宋体"/>
          <w:b/>
          <w:sz w:val="24"/>
          <w:lang w:val="en-US" w:eastAsia="zh-CN"/>
        </w:rPr>
        <w:t xml:space="preserve"> </w:t>
      </w:r>
      <w:r>
        <w:rPr>
          <w:rFonts w:hint="eastAsia" w:ascii="仿宋" w:hAnsi="仿宋" w:eastAsia="仿宋" w:cs="宋体"/>
          <w:b/>
          <w:sz w:val="24"/>
        </w:rPr>
        <w:t>做好承诺服务，及时处理各类故障报修电话，树立良好的职业道德。</w:t>
      </w:r>
    </w:p>
    <w:p w14:paraId="4563230D">
      <w:pPr>
        <w:spacing w:line="360" w:lineRule="auto"/>
        <w:ind w:firstLine="458" w:firstLineChars="200"/>
        <w:rPr>
          <w:rFonts w:ascii="仿宋" w:hAnsi="仿宋" w:eastAsia="仿宋" w:cs="宋体"/>
          <w:b/>
          <w:sz w:val="24"/>
        </w:rPr>
      </w:pPr>
      <w:r>
        <w:rPr>
          <w:rFonts w:hint="eastAsia" w:ascii="仿宋" w:hAnsi="仿宋" w:eastAsia="仿宋" w:cs="宋体"/>
          <w:b/>
          <w:sz w:val="24"/>
          <w:lang w:val="en-US" w:eastAsia="zh-CN"/>
        </w:rPr>
        <w:t xml:space="preserve"> </w:t>
      </w:r>
      <w:r>
        <w:rPr>
          <w:rFonts w:hint="eastAsia" w:ascii="仿宋" w:hAnsi="仿宋" w:eastAsia="仿宋" w:cs="宋体"/>
          <w:b/>
          <w:sz w:val="24"/>
        </w:rPr>
        <w:t>对正常维修范围外的工作，需有双方指定人确认的联系单，方可进行决算。</w:t>
      </w:r>
    </w:p>
    <w:p w14:paraId="68C357A3">
      <w:pPr>
        <w:spacing w:line="360" w:lineRule="auto"/>
        <w:ind w:firstLine="458" w:firstLineChars="200"/>
        <w:rPr>
          <w:rFonts w:ascii="仿宋" w:hAnsi="仿宋" w:eastAsia="仿宋" w:cs="宋体"/>
          <w:b/>
          <w:sz w:val="24"/>
        </w:rPr>
      </w:pPr>
      <w:r>
        <w:rPr>
          <w:rFonts w:hint="eastAsia" w:ascii="仿宋" w:hAnsi="仿宋" w:eastAsia="仿宋" w:cs="宋体"/>
          <w:b/>
          <w:sz w:val="24"/>
          <w:lang w:val="en-US" w:eastAsia="zh-CN"/>
        </w:rPr>
        <w:t xml:space="preserve"> </w:t>
      </w:r>
      <w:r>
        <w:rPr>
          <w:rFonts w:hint="eastAsia" w:ascii="仿宋" w:hAnsi="仿宋" w:eastAsia="仿宋" w:cs="宋体"/>
          <w:b/>
          <w:sz w:val="24"/>
        </w:rPr>
        <w:t>所有作业人员均为投标文件中所报人员，中标人不得擅自更换，如因特殊原因确需更换，应征得采购人同意。</w:t>
      </w:r>
    </w:p>
    <w:p w14:paraId="648C6134">
      <w:pPr>
        <w:spacing w:line="360" w:lineRule="auto"/>
        <w:ind w:firstLine="458" w:firstLineChars="200"/>
        <w:rPr>
          <w:rFonts w:ascii="仿宋" w:hAnsi="仿宋" w:eastAsia="仿宋" w:cs="宋体"/>
          <w:b/>
          <w:sz w:val="24"/>
        </w:rPr>
      </w:pPr>
      <w:r>
        <w:rPr>
          <w:rFonts w:hint="eastAsia" w:ascii="仿宋" w:hAnsi="仿宋" w:eastAsia="仿宋" w:cs="宋体"/>
          <w:b/>
          <w:sz w:val="24"/>
          <w:lang w:val="en-US" w:eastAsia="zh-CN"/>
        </w:rPr>
        <w:t xml:space="preserve"> </w:t>
      </w:r>
      <w:r>
        <w:rPr>
          <w:rFonts w:hint="eastAsia" w:ascii="仿宋" w:hAnsi="仿宋" w:eastAsia="仿宋" w:cs="宋体"/>
          <w:b/>
          <w:sz w:val="24"/>
        </w:rPr>
        <w:t>中标后，路灯照明设施存在的问题（不亮、 跳闪、矫正等）均由中标单位负责更换及维修（材料费由中标单位承担），采购灯具需经采购人审核，且安装不影响路灯照明整体效果。</w:t>
      </w:r>
    </w:p>
    <w:p w14:paraId="30D44D5A">
      <w:pPr>
        <w:spacing w:line="360" w:lineRule="auto"/>
        <w:ind w:firstLine="458" w:firstLineChars="200"/>
        <w:rPr>
          <w:rFonts w:ascii="仿宋" w:hAnsi="仿宋" w:eastAsia="仿宋" w:cs="宋体"/>
          <w:b/>
          <w:sz w:val="24"/>
        </w:rPr>
      </w:pPr>
      <w:r>
        <w:rPr>
          <w:rFonts w:hint="eastAsia" w:ascii="仿宋" w:hAnsi="仿宋" w:eastAsia="仿宋" w:cs="宋体"/>
          <w:b/>
          <w:sz w:val="24"/>
          <w:lang w:val="en-US" w:eastAsia="zh-CN"/>
        </w:rPr>
        <w:t xml:space="preserve"> </w:t>
      </w:r>
      <w:r>
        <w:rPr>
          <w:rFonts w:hint="eastAsia" w:ascii="仿宋" w:hAnsi="仿宋" w:eastAsia="仿宋" w:cs="宋体"/>
          <w:b/>
          <w:sz w:val="24"/>
        </w:rPr>
        <w:t>养护期内若发生被盗事件（照明设施灯具、电力电缆等），养护单位未向公安机关报案的，则其所有损失费用由养护单位负责，并无条件复原，达到正常使用条件，报案后，根据公安机关认定的报案单中的被盗量，采购人给养护单位予以适当补偿，补偿标准为新购置费的80%，其余新购置费的20%和安装费均由养护单位承担。</w:t>
      </w:r>
    </w:p>
    <w:p w14:paraId="58DE7DA2">
      <w:pPr>
        <w:spacing w:line="360" w:lineRule="auto"/>
        <w:ind w:firstLine="458" w:firstLineChars="200"/>
        <w:rPr>
          <w:rFonts w:ascii="仿宋" w:hAnsi="仿宋" w:eastAsia="仿宋" w:cs="宋体"/>
          <w:b/>
          <w:sz w:val="24"/>
        </w:rPr>
      </w:pPr>
      <w:r>
        <w:rPr>
          <w:rFonts w:hint="eastAsia" w:ascii="仿宋" w:hAnsi="仿宋" w:eastAsia="仿宋" w:cs="宋体"/>
          <w:b/>
          <w:sz w:val="24"/>
          <w:lang w:val="en-US" w:eastAsia="zh-CN"/>
        </w:rPr>
        <w:t xml:space="preserve"> </w:t>
      </w:r>
      <w:r>
        <w:rPr>
          <w:rFonts w:hint="eastAsia" w:ascii="仿宋" w:hAnsi="仿宋" w:eastAsia="仿宋" w:cs="宋体"/>
          <w:b/>
          <w:sz w:val="24"/>
        </w:rPr>
        <w:t>在实施和完成本合同的养护作业过程中，应该遵守国家、省、市颁布的法律、法令、条例以及有关规定，遵守有关部门的规章细则等，养护操作中涉及的有关审批及协调手续由乙方办理，由于乙方违反上述有关规定而导致各种罚款和责任，则由乙方自行负责。</w:t>
      </w:r>
    </w:p>
    <w:p w14:paraId="19DAEB70">
      <w:pPr>
        <w:spacing w:line="360" w:lineRule="auto"/>
        <w:ind w:firstLine="458" w:firstLineChars="200"/>
        <w:rPr>
          <w:rFonts w:ascii="仿宋" w:hAnsi="仿宋" w:eastAsia="仿宋" w:cs="宋体"/>
          <w:b/>
          <w:sz w:val="24"/>
        </w:rPr>
      </w:pPr>
      <w:r>
        <w:rPr>
          <w:rFonts w:hint="eastAsia" w:ascii="仿宋" w:hAnsi="仿宋" w:eastAsia="仿宋" w:cs="宋体"/>
          <w:b/>
          <w:sz w:val="24"/>
          <w:lang w:val="en-US" w:eastAsia="zh-CN"/>
        </w:rPr>
        <w:t xml:space="preserve"> </w:t>
      </w:r>
      <w:r>
        <w:rPr>
          <w:rFonts w:hint="eastAsia" w:ascii="仿宋" w:hAnsi="仿宋" w:eastAsia="仿宋" w:cs="宋体"/>
          <w:b/>
          <w:sz w:val="24"/>
        </w:rPr>
        <w:t>养护的内容应按照（DB 3301/T 0165 2018）《城市照明设施养护维修服务标准》，具体如下：</w:t>
      </w:r>
    </w:p>
    <w:p w14:paraId="559D4C4A">
      <w:pPr>
        <w:spacing w:line="360" w:lineRule="auto"/>
        <w:ind w:firstLine="458" w:firstLineChars="200"/>
        <w:rPr>
          <w:rFonts w:ascii="仿宋" w:hAnsi="仿宋" w:eastAsia="仿宋" w:cs="宋体"/>
          <w:b/>
          <w:sz w:val="24"/>
        </w:rPr>
      </w:pPr>
      <w:r>
        <w:rPr>
          <w:rFonts w:hint="eastAsia" w:ascii="仿宋" w:hAnsi="仿宋" w:eastAsia="仿宋" w:cs="宋体"/>
          <w:b/>
          <w:sz w:val="24"/>
          <w:lang w:val="en-US" w:eastAsia="zh-CN"/>
        </w:rPr>
        <w:t>①</w:t>
      </w:r>
      <w:r>
        <w:rPr>
          <w:rFonts w:hint="eastAsia" w:ascii="仿宋" w:hAnsi="仿宋" w:eastAsia="仿宋" w:cs="宋体"/>
          <w:b/>
          <w:sz w:val="24"/>
        </w:rPr>
        <w:t>运行与控制：对路灯及附属设施进行日常运行与控制。</w:t>
      </w:r>
    </w:p>
    <w:p w14:paraId="27A4D449">
      <w:pPr>
        <w:spacing w:line="360" w:lineRule="auto"/>
        <w:ind w:firstLine="458" w:firstLineChars="200"/>
        <w:rPr>
          <w:rFonts w:ascii="仿宋" w:hAnsi="仿宋" w:eastAsia="仿宋" w:cs="宋体"/>
          <w:b/>
          <w:sz w:val="24"/>
        </w:rPr>
      </w:pPr>
      <w:r>
        <w:rPr>
          <w:rFonts w:hint="eastAsia" w:ascii="仿宋" w:hAnsi="仿宋" w:eastAsia="仿宋" w:cs="宋体"/>
          <w:b/>
          <w:sz w:val="24"/>
          <w:lang w:val="en-US" w:eastAsia="zh-CN"/>
        </w:rPr>
        <w:t>②</w:t>
      </w:r>
      <w:r>
        <w:rPr>
          <w:rFonts w:hint="eastAsia" w:ascii="仿宋" w:hAnsi="仿宋" w:eastAsia="仿宋" w:cs="宋体"/>
          <w:b/>
          <w:sz w:val="24"/>
        </w:rPr>
        <w:t>总体要求：照明亮灯率达到98%以上，设施完好率应达到98%以上。</w:t>
      </w:r>
    </w:p>
    <w:p w14:paraId="5E7F2EB6">
      <w:pPr>
        <w:spacing w:line="360" w:lineRule="auto"/>
        <w:ind w:firstLine="458" w:firstLineChars="200"/>
        <w:rPr>
          <w:rFonts w:ascii="仿宋" w:hAnsi="仿宋" w:eastAsia="仿宋" w:cs="宋体"/>
          <w:b/>
          <w:sz w:val="24"/>
        </w:rPr>
      </w:pPr>
      <w:r>
        <w:rPr>
          <w:rFonts w:hint="eastAsia" w:ascii="仿宋" w:hAnsi="仿宋" w:eastAsia="仿宋" w:cs="宋体"/>
          <w:b/>
          <w:sz w:val="24"/>
          <w:lang w:val="en-US" w:eastAsia="zh-CN"/>
        </w:rPr>
        <w:t>③</w:t>
      </w:r>
      <w:r>
        <w:rPr>
          <w:rFonts w:hint="eastAsia" w:ascii="仿宋" w:hAnsi="仿宋" w:eastAsia="仿宋" w:cs="宋体"/>
          <w:b/>
          <w:sz w:val="24"/>
        </w:rPr>
        <w:t>巡查及清洗</w:t>
      </w:r>
    </w:p>
    <w:p w14:paraId="3D98F163">
      <w:pPr>
        <w:spacing w:line="360" w:lineRule="auto"/>
        <w:ind w:firstLine="458" w:firstLineChars="200"/>
        <w:rPr>
          <w:rFonts w:ascii="仿宋" w:hAnsi="仿宋" w:eastAsia="仿宋" w:cs="宋体"/>
          <w:b/>
          <w:sz w:val="24"/>
        </w:rPr>
      </w:pPr>
      <w:r>
        <w:rPr>
          <w:rFonts w:hint="eastAsia" w:ascii="仿宋" w:hAnsi="仿宋" w:eastAsia="仿宋" w:cs="宋体"/>
          <w:b/>
          <w:sz w:val="24"/>
        </w:rPr>
        <w:t>对养护内容进行日常巡查，对设备的运行情况及时记录，要求对养护范围内的路灯等设施进行全方位巡查，各类灯每周不少于3次，重要保障临时通知增加巡查，安排人员每天巡查，巡查过程中将断亮缺亮等问题拍照记录编辑；变压器、配电箱(柜)每月巡检一次；架空线路每半年巡检一次；地埋电缆线路每半年巡检一次；接地(或接零)装置每年在干燥季节（冬季）巡检一次；独立的防雷装置应在每年的雷雨季节前（春季）巡检一次；漏电保护装置应每季巡检一次；灯杆、灯罩、设备等路灯设施一年清洗四次，其余灯杆、灯罩、设备等路灯设施每半年清洗一次，或设施明显积尘的,及时清除灯柱乱张贴，污染严重地段加大清洁工作频率；集中控制装置、照明节电装置或其他智慧照明装置每半年巡检一次；中、高杆照明设施的卷扬机、钢丝绳、减速箱、导向滑轮等转动系统和控制系统应每年检修一次,并添加润滑油。设施被盜频发地段应安排防盜人员每天巡查；连续高温、台风、雷雨或冰雪等特殊自然灾害性气候，应按城市照明监管机构要求进行防火、防汛、防台、防雷、抗雪等专项检查，并增加巡检次数，必要时作临时断电处理。</w:t>
      </w:r>
    </w:p>
    <w:p w14:paraId="619284AE">
      <w:pPr>
        <w:spacing w:line="360" w:lineRule="auto"/>
        <w:ind w:firstLine="458" w:firstLineChars="200"/>
        <w:rPr>
          <w:rFonts w:ascii="仿宋" w:hAnsi="仿宋" w:eastAsia="仿宋" w:cs="宋体"/>
          <w:b/>
          <w:sz w:val="24"/>
        </w:rPr>
      </w:pPr>
      <w:r>
        <w:rPr>
          <w:rFonts w:hint="eastAsia" w:ascii="仿宋" w:hAnsi="仿宋" w:eastAsia="仿宋" w:cs="宋体"/>
          <w:b/>
          <w:sz w:val="24"/>
          <w:lang w:val="en-US" w:eastAsia="zh-CN"/>
        </w:rPr>
        <w:t xml:space="preserve"> ④</w:t>
      </w:r>
      <w:r>
        <w:rPr>
          <w:rFonts w:hint="eastAsia" w:ascii="仿宋" w:hAnsi="仿宋" w:eastAsia="仿宋" w:cs="宋体"/>
          <w:b/>
          <w:sz w:val="24"/>
        </w:rPr>
        <w:t>喷漆翻新</w:t>
      </w:r>
    </w:p>
    <w:p w14:paraId="2144A982">
      <w:pPr>
        <w:spacing w:line="360" w:lineRule="auto"/>
        <w:ind w:firstLine="458" w:firstLineChars="200"/>
        <w:rPr>
          <w:rFonts w:ascii="仿宋" w:hAnsi="仿宋" w:eastAsia="仿宋" w:cs="宋体"/>
          <w:b/>
          <w:sz w:val="24"/>
        </w:rPr>
      </w:pPr>
      <w:r>
        <w:rPr>
          <w:rFonts w:hint="eastAsia" w:ascii="仿宋" w:hAnsi="仿宋" w:eastAsia="仿宋" w:cs="宋体"/>
          <w:b/>
          <w:sz w:val="24"/>
        </w:rPr>
        <w:t>灯杆、灯架和配电箱柜等锈蚀或油漆脱落面积10%以内的补漆，灯杆、箱体及其他影响观瞻的设备表面喷漆每年一次。</w:t>
      </w:r>
    </w:p>
    <w:p w14:paraId="51714ADF">
      <w:pPr>
        <w:spacing w:line="360" w:lineRule="auto"/>
        <w:ind w:firstLine="458" w:firstLineChars="200"/>
        <w:rPr>
          <w:rFonts w:ascii="仿宋" w:hAnsi="仿宋" w:eastAsia="仿宋" w:cs="宋体"/>
          <w:b/>
          <w:sz w:val="24"/>
        </w:rPr>
      </w:pPr>
      <w:r>
        <w:rPr>
          <w:rFonts w:hint="eastAsia" w:ascii="仿宋" w:hAnsi="仿宋" w:eastAsia="仿宋" w:cs="宋体"/>
          <w:b/>
          <w:sz w:val="24"/>
          <w:lang w:val="en-US" w:eastAsia="zh-CN"/>
        </w:rPr>
        <w:t>⑤</w:t>
      </w:r>
      <w:r>
        <w:rPr>
          <w:rFonts w:hint="eastAsia" w:ascii="仿宋" w:hAnsi="仿宋" w:eastAsia="仿宋" w:cs="宋体"/>
          <w:b/>
          <w:sz w:val="24"/>
        </w:rPr>
        <w:t>设备设施维护检测</w:t>
      </w:r>
    </w:p>
    <w:p w14:paraId="2482607D">
      <w:pPr>
        <w:spacing w:line="360" w:lineRule="auto"/>
        <w:ind w:firstLine="458" w:firstLineChars="200"/>
        <w:rPr>
          <w:rFonts w:ascii="仿宋" w:hAnsi="仿宋" w:eastAsia="仿宋" w:cs="宋体"/>
          <w:b/>
          <w:sz w:val="24"/>
        </w:rPr>
      </w:pPr>
      <w:r>
        <w:rPr>
          <w:rFonts w:hint="eastAsia" w:ascii="仿宋" w:hAnsi="仿宋" w:eastAsia="仿宋" w:cs="宋体"/>
          <w:b/>
          <w:sz w:val="24"/>
        </w:rPr>
        <w:t>按维护要求，乙方做好春、秋两季定期常规检查电缆、灯具、开关控制箱、箱变各一次；箱变预防性检测每年一次,主要道路应每年测量一次平均照度。上述检测由乙方委托具有检测资质的第三方单位（该单位需提供企业资质、业绩等相关材料报甲方备案）完成，并出具相应检测报告。</w:t>
      </w:r>
    </w:p>
    <w:p w14:paraId="3277D5B5">
      <w:pPr>
        <w:spacing w:line="360" w:lineRule="auto"/>
        <w:ind w:firstLine="458" w:firstLineChars="200"/>
        <w:rPr>
          <w:rFonts w:ascii="仿宋" w:hAnsi="仿宋" w:eastAsia="仿宋" w:cs="宋体"/>
          <w:b/>
          <w:sz w:val="24"/>
        </w:rPr>
      </w:pPr>
      <w:r>
        <w:rPr>
          <w:rFonts w:hint="eastAsia" w:ascii="仿宋" w:hAnsi="仿宋" w:eastAsia="仿宋" w:cs="宋体"/>
          <w:b/>
          <w:sz w:val="24"/>
          <w:lang w:val="en-US" w:eastAsia="zh-CN"/>
        </w:rPr>
        <w:t>⑥</w:t>
      </w:r>
      <w:r>
        <w:rPr>
          <w:rFonts w:hint="eastAsia" w:ascii="仿宋" w:hAnsi="仿宋" w:eastAsia="仿宋" w:cs="宋体"/>
          <w:b/>
          <w:sz w:val="24"/>
        </w:rPr>
        <w:t>照明设施故障修复时间：单灯缺亮，2个工作日内修复；电线裸露、杆线吊挂、灯具脱落、灯杆倾斜、灯杆或门盖缺失、电缆井盖缺失等，应在2个小时内进行安全预措施，并在24小时内修复；城市照明设施专用变压器(本体损坏外)、配电箱故障，2个工作日内修复；发生大面积熄灯故障，24小时内修复；因照明设施被盗或道路挖掘等引起的故障，应及时采取安全措施，并在具备修复条件后3个工作日内修复；被撞损的设施(灯杆、箱变、基础等)，应及时采取安全措施，在具备修复条件后2个工作日内修复；路灯设施标牌脱落及时恢复;集中控制装置或其他智慧照明装置损坏，或控制时间、地点出现差错的，应在24小时内修复；因特殊情况可在规定时间内提出延期申请。</w:t>
      </w:r>
    </w:p>
    <w:p w14:paraId="4CC116CE">
      <w:pPr>
        <w:spacing w:line="360" w:lineRule="auto"/>
        <w:ind w:firstLine="458" w:firstLineChars="200"/>
        <w:rPr>
          <w:rFonts w:ascii="仿宋" w:hAnsi="仿宋" w:eastAsia="仿宋" w:cs="宋体"/>
          <w:b/>
          <w:sz w:val="24"/>
        </w:rPr>
      </w:pPr>
      <w:r>
        <w:rPr>
          <w:rFonts w:hint="eastAsia" w:ascii="仿宋" w:hAnsi="仿宋" w:eastAsia="仿宋" w:cs="宋体"/>
          <w:b/>
          <w:sz w:val="24"/>
          <w:lang w:val="en-US" w:eastAsia="zh-CN"/>
        </w:rPr>
        <w:t>⑦</w:t>
      </w:r>
      <w:r>
        <w:rPr>
          <w:rFonts w:hint="eastAsia" w:ascii="仿宋" w:hAnsi="仿宋" w:eastAsia="仿宋" w:cs="宋体"/>
          <w:b/>
          <w:sz w:val="24"/>
        </w:rPr>
        <w:t>设施防腐处理：灯杆、灯架、吊线等受力受压件，以及依附其上的承重螺丝，和控制柜等附属设施，锈蚀深度不超过10%，其他非受力零部件，锈蚀深度不超过25%。锈蚀深度超过要求的零部件，应予以更换。</w:t>
      </w:r>
    </w:p>
    <w:p w14:paraId="3E9C9A00">
      <w:pPr>
        <w:spacing w:line="360" w:lineRule="auto"/>
        <w:ind w:firstLine="458" w:firstLineChars="200"/>
        <w:rPr>
          <w:rFonts w:ascii="仿宋" w:hAnsi="仿宋" w:eastAsia="仿宋" w:cs="宋体"/>
          <w:b/>
          <w:sz w:val="24"/>
        </w:rPr>
      </w:pPr>
      <w:r>
        <w:rPr>
          <w:rFonts w:hint="eastAsia" w:ascii="仿宋" w:hAnsi="仿宋" w:eastAsia="仿宋" w:cs="宋体"/>
          <w:b/>
          <w:sz w:val="24"/>
          <w:lang w:val="en-US" w:eastAsia="zh-CN"/>
        </w:rPr>
        <w:t>⑧</w:t>
      </w:r>
      <w:r>
        <w:rPr>
          <w:rFonts w:hint="eastAsia" w:ascii="仿宋" w:hAnsi="仿宋" w:eastAsia="仿宋" w:cs="宋体"/>
          <w:b/>
          <w:sz w:val="24"/>
        </w:rPr>
        <w:t>路灯照明需达到不低于原有设计标准的70%。</w:t>
      </w:r>
    </w:p>
    <w:p w14:paraId="39C45750">
      <w:pPr>
        <w:spacing w:line="360" w:lineRule="auto"/>
        <w:ind w:firstLine="458" w:firstLineChars="200"/>
        <w:rPr>
          <w:rFonts w:ascii="仿宋" w:hAnsi="仿宋" w:eastAsia="仿宋" w:cs="宋体"/>
          <w:b/>
          <w:sz w:val="24"/>
        </w:rPr>
      </w:pPr>
      <w:r>
        <w:rPr>
          <w:rFonts w:hint="eastAsia" w:ascii="仿宋" w:hAnsi="仿宋" w:eastAsia="仿宋" w:cs="宋体"/>
          <w:b/>
          <w:sz w:val="24"/>
          <w:lang w:val="en-US" w:eastAsia="zh-CN"/>
        </w:rPr>
        <w:t>⑨</w:t>
      </w:r>
      <w:r>
        <w:rPr>
          <w:rFonts w:hint="eastAsia" w:ascii="仿宋" w:hAnsi="仿宋" w:eastAsia="仿宋" w:cs="宋体"/>
          <w:b/>
          <w:sz w:val="24"/>
        </w:rPr>
        <w:t>其他日常养护工作</w:t>
      </w:r>
    </w:p>
    <w:p w14:paraId="5AC65703">
      <w:pPr>
        <w:spacing w:line="360" w:lineRule="auto"/>
        <w:ind w:firstLine="458" w:firstLineChars="200"/>
        <w:rPr>
          <w:rFonts w:ascii="仿宋" w:hAnsi="仿宋" w:eastAsia="仿宋" w:cs="宋体"/>
          <w:b/>
          <w:sz w:val="24"/>
        </w:rPr>
      </w:pPr>
      <w:r>
        <w:rPr>
          <w:rFonts w:hint="eastAsia" w:ascii="仿宋" w:hAnsi="仿宋" w:eastAsia="仿宋" w:cs="宋体"/>
          <w:b/>
          <w:sz w:val="24"/>
        </w:rPr>
        <w:t>路灯照明设施的光源、灯具及配件、灯杆、支架、配电箱、地上（地下）管道、电线（电缆）、工作井、配电室、低压配电柜、控制器、标识牌、附属设备等路灯及其附属设施进行日常维修、检测、更换（不含电缆、低压配电柜、控制器）、保洁、保养、油漆、设施巡查、防盗（看护、处理）、撞杆处理、应急保障（如防汛、抗台、抗雪、临时或重大任务保障）等处置，以保证路灯设施安全正常运行；如因乙方未按照合同要求进行保养造成的损坏</w:t>
      </w:r>
      <w:r>
        <w:rPr>
          <w:rFonts w:ascii="仿宋" w:hAnsi="仿宋" w:eastAsia="仿宋" w:cs="宋体"/>
          <w:b/>
          <w:sz w:val="24"/>
        </w:rPr>
        <w:t>,由乙方承担相应责任；招标范围内的所有设施因各种原因造成的损坏（除不可抗力因素外）均由乙方负责维修。</w:t>
      </w:r>
    </w:p>
    <w:p w14:paraId="5FA05B24">
      <w:pPr>
        <w:spacing w:line="360" w:lineRule="auto"/>
        <w:ind w:firstLine="458" w:firstLineChars="200"/>
        <w:rPr>
          <w:rFonts w:ascii="仿宋" w:hAnsi="仿宋" w:eastAsia="仿宋" w:cs="宋体"/>
          <w:b/>
          <w:sz w:val="24"/>
        </w:rPr>
      </w:pPr>
      <w:r>
        <w:rPr>
          <w:rFonts w:hint="eastAsia" w:ascii="仿宋" w:hAnsi="仿宋" w:eastAsia="仿宋" w:cs="宋体"/>
          <w:b/>
          <w:sz w:val="24"/>
        </w:rPr>
        <w:t>对政府大型活动，外事活动提供完善的保障方案和实施24小时值班制度，并确保设施完好率、亮灯率、整洁率达到100%。</w:t>
      </w:r>
    </w:p>
    <w:p w14:paraId="75ABDA6D">
      <w:pPr>
        <w:spacing w:line="360" w:lineRule="auto"/>
        <w:ind w:firstLine="458" w:firstLineChars="200"/>
        <w:rPr>
          <w:rFonts w:ascii="仿宋" w:hAnsi="仿宋" w:eastAsia="仿宋" w:cs="宋体"/>
          <w:b/>
          <w:sz w:val="24"/>
        </w:rPr>
      </w:pPr>
      <w:r>
        <w:rPr>
          <w:rFonts w:hint="eastAsia" w:ascii="仿宋" w:hAnsi="仿宋" w:eastAsia="仿宋" w:cs="宋体"/>
          <w:b/>
          <w:sz w:val="24"/>
          <w:lang w:val="en-US" w:eastAsia="zh-CN"/>
        </w:rPr>
        <w:t>⑩</w:t>
      </w:r>
      <w:r>
        <w:rPr>
          <w:rFonts w:hint="eastAsia" w:ascii="仿宋" w:hAnsi="仿宋" w:eastAsia="仿宋" w:cs="宋体"/>
          <w:b/>
          <w:sz w:val="24"/>
        </w:rPr>
        <w:t>按照甲方规定设定或调整亮灯时间；</w:t>
      </w:r>
    </w:p>
    <w:p w14:paraId="644C9807">
      <w:pPr>
        <w:spacing w:line="360" w:lineRule="auto"/>
        <w:ind w:firstLine="114" w:firstLineChars="50"/>
        <w:rPr>
          <w:rFonts w:ascii="仿宋" w:hAnsi="仿宋" w:eastAsia="仿宋" w:cs="宋体"/>
          <w:b/>
          <w:sz w:val="24"/>
        </w:rPr>
      </w:pPr>
      <w:r>
        <w:rPr>
          <w:rFonts w:hint="eastAsia" w:ascii="仿宋" w:hAnsi="仿宋" w:eastAsia="仿宋" w:cs="宋体"/>
          <w:b/>
          <w:sz w:val="24"/>
          <w:lang w:eastAsia="zh-CN"/>
        </w:rPr>
        <w:t>（</w:t>
      </w:r>
      <w:r>
        <w:rPr>
          <w:rFonts w:hint="eastAsia" w:ascii="仿宋" w:hAnsi="仿宋" w:eastAsia="仿宋" w:cs="宋体"/>
          <w:b/>
          <w:sz w:val="24"/>
          <w:lang w:val="en-US" w:eastAsia="zh-CN"/>
        </w:rPr>
        <w:t>5</w:t>
      </w:r>
      <w:r>
        <w:rPr>
          <w:rFonts w:hint="eastAsia" w:ascii="仿宋" w:hAnsi="仿宋" w:eastAsia="仿宋" w:cs="宋体"/>
          <w:b/>
          <w:sz w:val="24"/>
          <w:lang w:eastAsia="zh-CN"/>
        </w:rPr>
        <w:t>）</w:t>
      </w:r>
      <w:r>
        <w:rPr>
          <w:rFonts w:hint="eastAsia" w:ascii="仿宋" w:hAnsi="仿宋" w:eastAsia="仿宋" w:cs="宋体"/>
          <w:b/>
          <w:sz w:val="24"/>
        </w:rPr>
        <w:t>本项目更新改造（按实结算）</w:t>
      </w:r>
    </w:p>
    <w:p w14:paraId="74BDD414">
      <w:pPr>
        <w:spacing w:line="360" w:lineRule="auto"/>
        <w:ind w:firstLine="458" w:firstLineChars="200"/>
        <w:rPr>
          <w:rFonts w:ascii="仿宋" w:hAnsi="仿宋" w:eastAsia="仿宋" w:cs="宋体"/>
          <w:b/>
          <w:sz w:val="24"/>
        </w:rPr>
      </w:pPr>
      <w:r>
        <w:rPr>
          <w:rFonts w:hint="eastAsia" w:ascii="仿宋" w:hAnsi="仿宋" w:eastAsia="仿宋" w:cs="宋体"/>
          <w:b/>
          <w:sz w:val="24"/>
          <w:lang w:val="en-US" w:eastAsia="zh-CN"/>
        </w:rPr>
        <w:t xml:space="preserve"> </w:t>
      </w:r>
      <w:r>
        <w:rPr>
          <w:rFonts w:hint="eastAsia" w:ascii="仿宋" w:hAnsi="仿宋" w:eastAsia="仿宋" w:cs="宋体"/>
          <w:b/>
          <w:sz w:val="24"/>
        </w:rPr>
        <w:t>本项目主要更新改造内容包括：</w:t>
      </w:r>
      <w:r>
        <w:rPr>
          <w:rFonts w:hint="eastAsia" w:ascii="仿宋" w:hAnsi="仿宋" w:eastAsia="仿宋" w:cs="宋体"/>
          <w:b/>
          <w:sz w:val="24"/>
          <w:lang w:val="en-US" w:eastAsia="zh-CN"/>
        </w:rPr>
        <w:t>①</w:t>
      </w:r>
      <w:r>
        <w:rPr>
          <w:rFonts w:hint="eastAsia" w:ascii="仿宋" w:hAnsi="仿宋" w:eastAsia="仿宋" w:cs="宋体"/>
          <w:b/>
          <w:sz w:val="24"/>
        </w:rPr>
        <w:t>路灯电缆过路井、检查井砌井费用及井盖材料费；</w:t>
      </w:r>
      <w:r>
        <w:rPr>
          <w:rFonts w:hint="eastAsia" w:ascii="仿宋" w:hAnsi="仿宋" w:eastAsia="仿宋" w:cs="宋体"/>
          <w:b/>
          <w:sz w:val="24"/>
          <w:lang w:val="en-US" w:eastAsia="zh-CN"/>
        </w:rPr>
        <w:t>②</w:t>
      </w:r>
      <w:r>
        <w:rPr>
          <w:rFonts w:hint="eastAsia" w:ascii="仿宋" w:hAnsi="仿宋" w:eastAsia="仿宋" w:cs="宋体"/>
          <w:b/>
          <w:sz w:val="24"/>
        </w:rPr>
        <w:t>管线开挖、路面破除费用；</w:t>
      </w:r>
      <w:r>
        <w:rPr>
          <w:rFonts w:hint="eastAsia" w:ascii="仿宋" w:hAnsi="仿宋" w:eastAsia="仿宋" w:cs="宋体"/>
          <w:b/>
          <w:sz w:val="24"/>
          <w:lang w:val="en-US" w:eastAsia="zh-CN"/>
        </w:rPr>
        <w:t>③</w:t>
      </w:r>
      <w:r>
        <w:rPr>
          <w:rFonts w:hint="eastAsia" w:ascii="仿宋" w:hAnsi="仿宋" w:eastAsia="仿宋" w:cs="宋体"/>
          <w:b/>
          <w:sz w:val="24"/>
        </w:rPr>
        <w:t>绿化（灌木）开挖及恢复费用；</w:t>
      </w:r>
      <w:r>
        <w:rPr>
          <w:rFonts w:hint="eastAsia" w:ascii="仿宋" w:hAnsi="仿宋" w:eastAsia="仿宋" w:cs="宋体"/>
          <w:b/>
          <w:sz w:val="24"/>
          <w:lang w:val="en-US" w:eastAsia="zh-CN"/>
        </w:rPr>
        <w:t>④</w:t>
      </w:r>
      <w:r>
        <w:rPr>
          <w:rFonts w:hint="eastAsia" w:ascii="仿宋" w:hAnsi="仿宋" w:eastAsia="仿宋" w:cs="宋体"/>
          <w:b/>
          <w:sz w:val="24"/>
        </w:rPr>
        <w:t>保护管埋设材料费；</w:t>
      </w:r>
      <w:r>
        <w:rPr>
          <w:rFonts w:hint="eastAsia" w:ascii="仿宋" w:hAnsi="仿宋" w:eastAsia="仿宋" w:cs="宋体"/>
          <w:b/>
          <w:sz w:val="24"/>
          <w:lang w:val="en-US" w:eastAsia="zh-CN"/>
        </w:rPr>
        <w:t>⑤</w:t>
      </w:r>
      <w:r>
        <w:rPr>
          <w:rFonts w:hint="eastAsia" w:ascii="仿宋" w:hAnsi="仿宋" w:eastAsia="仿宋" w:cs="宋体"/>
          <w:b/>
          <w:sz w:val="24"/>
        </w:rPr>
        <w:t>路灯杆拆除费用；</w:t>
      </w:r>
      <w:r>
        <w:rPr>
          <w:rFonts w:hint="eastAsia" w:ascii="仿宋" w:hAnsi="仿宋" w:eastAsia="仿宋" w:cs="宋体"/>
          <w:b/>
          <w:sz w:val="24"/>
          <w:lang w:val="en-US" w:eastAsia="zh-CN"/>
        </w:rPr>
        <w:t>⑥</w:t>
      </w:r>
      <w:r>
        <w:rPr>
          <w:rFonts w:hint="eastAsia" w:ascii="仿宋" w:hAnsi="仿宋" w:eastAsia="仿宋" w:cs="宋体"/>
          <w:b/>
          <w:sz w:val="24"/>
        </w:rPr>
        <w:t>室外控制箱费用及内部品牌断路器、空开、接触器、时控；</w:t>
      </w:r>
      <w:r>
        <w:rPr>
          <w:rFonts w:hint="eastAsia" w:ascii="仿宋" w:hAnsi="仿宋" w:eastAsia="仿宋" w:cs="宋体"/>
          <w:b/>
          <w:sz w:val="24"/>
          <w:lang w:val="en-US" w:eastAsia="zh-CN"/>
        </w:rPr>
        <w:t>⑦</w:t>
      </w:r>
      <w:r>
        <w:rPr>
          <w:rFonts w:hint="eastAsia" w:ascii="仿宋" w:hAnsi="仿宋" w:eastAsia="仿宋" w:cs="宋体"/>
          <w:b/>
          <w:sz w:val="24"/>
        </w:rPr>
        <w:t>采购人要求的其他涉及路灯照明设施有关费用。</w:t>
      </w:r>
    </w:p>
    <w:p w14:paraId="79F9793E">
      <w:pPr>
        <w:pStyle w:val="9"/>
        <w:ind w:firstLine="480" w:firstLineChars="200"/>
        <w:rPr>
          <w:rFonts w:ascii="仿宋" w:hAnsi="仿宋" w:eastAsia="仿宋" w:cs="仿宋_GB2312"/>
        </w:rPr>
      </w:pPr>
      <w:r>
        <w:rPr>
          <w:rFonts w:hint="eastAsia" w:ascii="仿宋" w:hAnsi="仿宋" w:eastAsia="仿宋" w:cs="仿宋_GB2312"/>
          <w:lang w:val="en-US" w:eastAsia="zh-CN"/>
        </w:rPr>
        <w:t xml:space="preserve"> </w:t>
      </w:r>
      <w:r>
        <w:rPr>
          <w:rFonts w:hint="eastAsia" w:ascii="仿宋" w:hAnsi="仿宋" w:eastAsia="仿宋" w:cs="仿宋_GB2312"/>
        </w:rPr>
        <w:t>根据实际更新改造内容等情况计取相应更新改造费，计取规则为：按《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有关营改增及其他现行配套文件规定，与本项目相关的国家、行业等标准、规范、技术资料等有关资料；按《浙江省建设工程计价规则》（2018版）规定的各专业工程分别编制，管理费、利润均按其所属类工程的中值费率计取；规费（按项目所在地施工图预算的招标控制价编制计算口径）、税金按现行相应政策规定计取，风险费不予计取。注：若实际更新改造中不涉及的则不予计取。</w:t>
      </w:r>
    </w:p>
    <w:p w14:paraId="06A2AE53">
      <w:pPr>
        <w:spacing w:line="360" w:lineRule="auto"/>
        <w:ind w:firstLine="456" w:firstLineChars="200"/>
        <w:rPr>
          <w:rFonts w:ascii="仿宋" w:hAnsi="仿宋" w:eastAsia="仿宋" w:cs="仿宋_GB2312"/>
          <w:sz w:val="24"/>
        </w:rPr>
      </w:pPr>
      <w:r>
        <w:rPr>
          <w:rFonts w:hint="eastAsia" w:ascii="仿宋" w:hAnsi="仿宋" w:eastAsia="仿宋" w:cs="仿宋_GB2312"/>
          <w:sz w:val="24"/>
          <w:lang w:val="en-US" w:eastAsia="zh-CN"/>
        </w:rPr>
        <w:t xml:space="preserve"> </w:t>
      </w:r>
      <w:r>
        <w:rPr>
          <w:rFonts w:hint="eastAsia" w:ascii="仿宋" w:hAnsi="仿宋" w:eastAsia="仿宋" w:cs="仿宋_GB2312"/>
          <w:sz w:val="24"/>
        </w:rPr>
        <w:t>当月完成的项目（工程），需在次月进行结算送审，否则不予结算。</w:t>
      </w:r>
    </w:p>
    <w:p w14:paraId="6FF1A148">
      <w:pPr>
        <w:spacing w:line="360" w:lineRule="auto"/>
        <w:ind w:firstLine="456" w:firstLineChars="200"/>
        <w:rPr>
          <w:rFonts w:ascii="仿宋" w:hAnsi="仿宋" w:eastAsia="仿宋" w:cs="仿宋_GB2312"/>
          <w:sz w:val="24"/>
        </w:rPr>
      </w:pPr>
      <w:r>
        <w:rPr>
          <w:rFonts w:hint="eastAsia" w:ascii="仿宋" w:hAnsi="仿宋" w:eastAsia="仿宋" w:cs="仿宋_GB2312"/>
          <w:sz w:val="24"/>
          <w:lang w:val="en-US" w:eastAsia="zh-CN"/>
        </w:rPr>
        <w:t xml:space="preserve"> </w:t>
      </w:r>
      <w:r>
        <w:rPr>
          <w:rFonts w:hint="eastAsia" w:ascii="仿宋" w:hAnsi="仿宋" w:eastAsia="仿宋" w:cs="仿宋_GB2312"/>
          <w:sz w:val="24"/>
        </w:rPr>
        <w:t>审核核减率超5%以外部分的追加费由中标供应商支付。</w:t>
      </w:r>
    </w:p>
    <w:p w14:paraId="3216918A">
      <w:pPr>
        <w:spacing w:line="360" w:lineRule="auto"/>
        <w:ind w:firstLine="456" w:firstLineChars="200"/>
        <w:rPr>
          <w:rFonts w:ascii="仿宋_GB2312" w:hAnsi="仿宋" w:cs="仿宋_GB2312"/>
          <w:sz w:val="24"/>
        </w:rPr>
      </w:pPr>
      <w:r>
        <w:rPr>
          <w:rFonts w:hint="eastAsia" w:ascii="仿宋" w:hAnsi="仿宋" w:eastAsia="仿宋" w:cs="仿宋_GB2312"/>
          <w:sz w:val="24"/>
          <w:lang w:val="en-US" w:eastAsia="zh-CN"/>
        </w:rPr>
        <w:t xml:space="preserve"> </w:t>
      </w:r>
      <w:r>
        <w:rPr>
          <w:rFonts w:hint="eastAsia" w:ascii="仿宋" w:hAnsi="仿宋" w:eastAsia="仿宋" w:cs="仿宋_GB2312"/>
          <w:sz w:val="24"/>
        </w:rPr>
        <w:t>更新改造费支付：采购人送审计部门或第三方进行审计，并按最终审计价支付。</w:t>
      </w:r>
    </w:p>
    <w:p w14:paraId="262AEF9A">
      <w:pPr>
        <w:spacing w:beforeLines="100" w:line="360" w:lineRule="auto"/>
        <w:jc w:val="left"/>
        <w:rPr>
          <w:rFonts w:ascii="仿宋" w:hAnsi="仿宋" w:eastAsia="仿宋"/>
          <w:sz w:val="28"/>
          <w:szCs w:val="28"/>
        </w:rPr>
      </w:pPr>
      <w:r>
        <w:rPr>
          <w:rFonts w:hint="eastAsia" w:ascii="仿宋" w:hAnsi="仿宋" w:eastAsia="仿宋"/>
          <w:sz w:val="28"/>
          <w:szCs w:val="28"/>
        </w:rPr>
        <w:t>三、合同订立安排</w:t>
      </w:r>
    </w:p>
    <w:p w14:paraId="05C6A64B">
      <w:pPr>
        <w:spacing w:line="360" w:lineRule="auto"/>
        <w:jc w:val="left"/>
        <w:rPr>
          <w:rFonts w:ascii="仿宋" w:hAnsi="仿宋" w:eastAsia="仿宋" w:cs="仿宋_GB2312"/>
          <w:sz w:val="24"/>
        </w:rPr>
      </w:pPr>
      <w:r>
        <w:rPr>
          <w:rFonts w:hint="eastAsia" w:ascii="仿宋" w:hAnsi="仿宋" w:eastAsia="仿宋" w:cs="仿宋_GB2312"/>
          <w:sz w:val="24"/>
        </w:rPr>
        <w:t>（一）采购项目预（概）算（元）：</w:t>
      </w:r>
      <w:r>
        <w:rPr>
          <w:rFonts w:hint="eastAsia" w:ascii="仿宋" w:hAnsi="仿宋" w:eastAsia="仿宋" w:cs="仿宋_GB2312"/>
          <w:sz w:val="24"/>
          <w:u w:val="single"/>
          <w:lang w:val="en-US" w:eastAsia="zh-CN"/>
        </w:rPr>
        <w:t>165</w:t>
      </w:r>
      <w:r>
        <w:rPr>
          <w:rFonts w:hint="eastAsia" w:ascii="仿宋" w:hAnsi="仿宋" w:eastAsia="仿宋" w:cs="仿宋_GB2312"/>
          <w:sz w:val="24"/>
          <w:u w:val="single"/>
        </w:rPr>
        <w:t>0000</w:t>
      </w:r>
      <w:r>
        <w:rPr>
          <w:rFonts w:hint="eastAsia" w:ascii="仿宋" w:hAnsi="仿宋" w:eastAsia="仿宋" w:cs="仿宋_GB2312"/>
          <w:sz w:val="24"/>
        </w:rPr>
        <w:t>，最高限价（元）：</w:t>
      </w:r>
      <w:r>
        <w:rPr>
          <w:rFonts w:hint="eastAsia" w:ascii="仿宋" w:hAnsi="仿宋" w:eastAsia="仿宋" w:cs="仿宋_GB2312"/>
          <w:sz w:val="24"/>
          <w:u w:val="single"/>
          <w:lang w:val="en-US" w:eastAsia="zh-CN"/>
        </w:rPr>
        <w:t>165</w:t>
      </w:r>
      <w:r>
        <w:rPr>
          <w:rFonts w:hint="eastAsia" w:ascii="仿宋" w:hAnsi="仿宋" w:eastAsia="仿宋" w:cs="仿宋_GB2312"/>
          <w:sz w:val="24"/>
          <w:u w:val="single"/>
        </w:rPr>
        <w:t>0000</w:t>
      </w:r>
    </w:p>
    <w:p w14:paraId="756CC357">
      <w:pPr>
        <w:spacing w:line="360" w:lineRule="auto"/>
        <w:jc w:val="left"/>
        <w:rPr>
          <w:rFonts w:ascii="仿宋" w:hAnsi="仿宋" w:eastAsia="仿宋" w:cs="仿宋_GB2312"/>
          <w:sz w:val="24"/>
        </w:rPr>
      </w:pPr>
      <w:r>
        <w:rPr>
          <w:rFonts w:hint="eastAsia" w:ascii="仿宋" w:hAnsi="仿宋" w:eastAsia="仿宋" w:cs="仿宋_GB2312"/>
          <w:sz w:val="24"/>
        </w:rPr>
        <w:t>（二）开展采购活动的时间安排：</w:t>
      </w:r>
    </w:p>
    <w:p w14:paraId="59AF9646">
      <w:pPr>
        <w:spacing w:line="360" w:lineRule="auto"/>
        <w:jc w:val="left"/>
        <w:rPr>
          <w:rFonts w:ascii="仿宋" w:hAnsi="仿宋" w:eastAsia="仿宋" w:cs="仿宋_GB2312"/>
          <w:sz w:val="24"/>
        </w:rPr>
      </w:pPr>
      <w:r>
        <w:rPr>
          <w:rFonts w:hint="eastAsia" w:ascii="仿宋" w:hAnsi="仿宋" w:eastAsia="仿宋" w:cs="仿宋_GB2312"/>
          <w:sz w:val="24"/>
        </w:rPr>
        <w:t>（三）采购组织形式：</w:t>
      </w:r>
      <w:r>
        <w:rPr>
          <w:rFonts w:hint="eastAsia" w:ascii="仿宋" w:hAnsi="仿宋" w:eastAsia="仿宋" w:cs="仿宋_GB2312"/>
          <w:sz w:val="24"/>
        </w:rPr>
        <w:tab/>
      </w:r>
      <w:r>
        <w:rPr>
          <w:rFonts w:hint="eastAsia" w:ascii="仿宋" w:hAnsi="仿宋" w:eastAsia="仿宋" w:cs="仿宋_GB2312"/>
          <w:sz w:val="24"/>
        </w:rPr>
        <w:sym w:font="Wingdings 2" w:char="00A3"/>
      </w:r>
      <w:r>
        <w:rPr>
          <w:rFonts w:hint="eastAsia" w:ascii="仿宋" w:hAnsi="仿宋" w:eastAsia="仿宋" w:cs="仿宋_GB2312"/>
          <w:sz w:val="24"/>
        </w:rPr>
        <w:t>集中采购</w:t>
      </w:r>
      <w:r>
        <w:rPr>
          <w:rFonts w:hint="eastAsia" w:ascii="仿宋" w:hAnsi="仿宋" w:eastAsia="仿宋" w:cs="仿宋_GB2312"/>
          <w:sz w:val="24"/>
        </w:rPr>
        <w:tab/>
      </w:r>
      <w:r>
        <w:rPr>
          <w:rFonts w:hint="eastAsia" w:ascii="仿宋" w:hAnsi="仿宋" w:eastAsia="仿宋" w:cs="仿宋_GB2312"/>
          <w:sz w:val="24"/>
        </w:rPr>
        <w:tab/>
      </w:r>
      <w:r>
        <w:rPr>
          <w:rFonts w:hint="eastAsia" w:ascii="仿宋" w:hAnsi="仿宋" w:eastAsia="仿宋" w:cs="仿宋_GB2312"/>
          <w:sz w:val="24"/>
        </w:rPr>
        <w:sym w:font="Wingdings 2" w:char="0052"/>
      </w:r>
      <w:r>
        <w:rPr>
          <w:rFonts w:hint="eastAsia" w:ascii="仿宋" w:hAnsi="仿宋" w:eastAsia="仿宋" w:cs="仿宋_GB2312"/>
          <w:sz w:val="24"/>
        </w:rPr>
        <w:t xml:space="preserve">分散采购 </w:t>
      </w:r>
    </w:p>
    <w:p w14:paraId="2F13AA7C">
      <w:pPr>
        <w:spacing w:line="360" w:lineRule="auto"/>
        <w:jc w:val="left"/>
        <w:rPr>
          <w:rFonts w:ascii="仿宋" w:hAnsi="仿宋" w:eastAsia="仿宋" w:cs="仿宋_GB2312"/>
          <w:sz w:val="24"/>
        </w:rPr>
      </w:pPr>
      <w:r>
        <w:rPr>
          <w:rFonts w:hint="eastAsia" w:ascii="仿宋" w:hAnsi="仿宋" w:eastAsia="仿宋" w:cs="仿宋_GB2312"/>
          <w:sz w:val="24"/>
        </w:rPr>
        <w:t>（四）委托代理安排</w:t>
      </w:r>
    </w:p>
    <w:p w14:paraId="3489DEDC">
      <w:pPr>
        <w:spacing w:line="360" w:lineRule="auto"/>
        <w:ind w:firstLine="420"/>
        <w:jc w:val="left"/>
        <w:rPr>
          <w:rFonts w:ascii="仿宋" w:hAnsi="仿宋" w:eastAsia="仿宋" w:cs="仿宋_GB2312"/>
          <w:sz w:val="24"/>
        </w:rPr>
      </w:pPr>
      <w:r>
        <w:rPr>
          <w:rFonts w:hint="eastAsia" w:ascii="仿宋" w:hAnsi="仿宋" w:eastAsia="仿宋" w:cs="仿宋_GB2312"/>
          <w:sz w:val="24"/>
        </w:rPr>
        <w:sym w:font="Wingdings 2" w:char="00A3"/>
      </w:r>
      <w:r>
        <w:rPr>
          <w:rFonts w:hint="eastAsia" w:ascii="仿宋" w:hAnsi="仿宋" w:eastAsia="仿宋" w:cs="仿宋_GB2312"/>
          <w:sz w:val="24"/>
        </w:rPr>
        <w:t>集中采购机构</w:t>
      </w:r>
      <w:r>
        <w:rPr>
          <w:rFonts w:hint="eastAsia" w:ascii="仿宋" w:hAnsi="仿宋" w:eastAsia="仿宋" w:cs="仿宋_GB2312"/>
          <w:sz w:val="24"/>
        </w:rPr>
        <w:tab/>
      </w:r>
      <w:r>
        <w:rPr>
          <w:rFonts w:hint="eastAsia" w:ascii="仿宋" w:hAnsi="仿宋" w:eastAsia="仿宋" w:cs="仿宋_GB2312"/>
          <w:sz w:val="24"/>
        </w:rPr>
        <w:tab/>
      </w:r>
      <w:r>
        <w:rPr>
          <w:rFonts w:hint="eastAsia" w:ascii="仿宋" w:hAnsi="仿宋" w:eastAsia="仿宋" w:cs="仿宋_GB2312"/>
          <w:sz w:val="24"/>
        </w:rPr>
        <w:sym w:font="Wingdings 2" w:char="00A3"/>
      </w:r>
      <w:r>
        <w:rPr>
          <w:rFonts w:hint="eastAsia" w:ascii="仿宋" w:hAnsi="仿宋" w:eastAsia="仿宋" w:cs="仿宋_GB2312"/>
          <w:sz w:val="24"/>
        </w:rPr>
        <w:t>部门集中采购机构</w:t>
      </w:r>
    </w:p>
    <w:p w14:paraId="1383F53E">
      <w:pPr>
        <w:spacing w:line="360" w:lineRule="auto"/>
        <w:ind w:firstLine="420"/>
        <w:jc w:val="left"/>
        <w:rPr>
          <w:rFonts w:ascii="仿宋" w:hAnsi="仿宋" w:eastAsia="仿宋" w:cs="仿宋_GB2312"/>
          <w:sz w:val="24"/>
        </w:rPr>
      </w:pPr>
      <w:r>
        <w:rPr>
          <w:rFonts w:hint="eastAsia" w:ascii="仿宋" w:hAnsi="仿宋" w:eastAsia="仿宋" w:cs="仿宋_GB2312"/>
          <w:sz w:val="24"/>
        </w:rPr>
        <w:sym w:font="Wingdings 2" w:char="0052"/>
      </w:r>
      <w:r>
        <w:rPr>
          <w:rFonts w:hint="eastAsia" w:ascii="仿宋" w:hAnsi="仿宋" w:eastAsia="仿宋" w:cs="仿宋_GB2312"/>
          <w:sz w:val="24"/>
        </w:rPr>
        <w:t>采购代理机构</w:t>
      </w:r>
      <w:r>
        <w:rPr>
          <w:rFonts w:hint="eastAsia" w:ascii="仿宋" w:hAnsi="仿宋" w:eastAsia="仿宋" w:cs="仿宋_GB2312"/>
          <w:sz w:val="24"/>
        </w:rPr>
        <w:tab/>
      </w:r>
      <w:r>
        <w:rPr>
          <w:rFonts w:hint="eastAsia" w:ascii="仿宋" w:hAnsi="仿宋" w:eastAsia="仿宋" w:cs="仿宋_GB2312"/>
          <w:sz w:val="24"/>
        </w:rPr>
        <w:tab/>
      </w:r>
      <w:r>
        <w:rPr>
          <w:rFonts w:hint="eastAsia" w:ascii="仿宋" w:hAnsi="仿宋" w:eastAsia="仿宋" w:cs="仿宋_GB2312"/>
          <w:sz w:val="24"/>
        </w:rPr>
        <w:sym w:font="Wingdings 2" w:char="00A3"/>
      </w:r>
      <w:r>
        <w:rPr>
          <w:rFonts w:hint="eastAsia" w:ascii="仿宋" w:hAnsi="仿宋" w:eastAsia="仿宋" w:cs="仿宋_GB2312"/>
          <w:sz w:val="24"/>
        </w:rPr>
        <w:t>自行采购（含电子卖场）</w:t>
      </w:r>
    </w:p>
    <w:p w14:paraId="13EEE458">
      <w:pPr>
        <w:spacing w:line="360" w:lineRule="auto"/>
        <w:jc w:val="left"/>
        <w:rPr>
          <w:rFonts w:ascii="仿宋" w:hAnsi="仿宋" w:eastAsia="仿宋" w:cs="仿宋_GB2312"/>
          <w:sz w:val="24"/>
        </w:rPr>
      </w:pPr>
      <w:r>
        <w:rPr>
          <w:rFonts w:hint="eastAsia" w:ascii="仿宋" w:hAnsi="仿宋" w:eastAsia="仿宋" w:cs="仿宋_GB2312"/>
          <w:sz w:val="24"/>
        </w:rPr>
        <w:t>（五）采购包划分：</w:t>
      </w:r>
      <w:r>
        <w:rPr>
          <w:rFonts w:hint="eastAsia" w:ascii="仿宋" w:hAnsi="仿宋" w:eastAsia="仿宋" w:cs="仿宋_GB2312"/>
          <w:sz w:val="24"/>
        </w:rPr>
        <w:tab/>
      </w:r>
      <w:r>
        <w:rPr>
          <w:rFonts w:hint="eastAsia" w:ascii="仿宋" w:hAnsi="仿宋" w:eastAsia="仿宋" w:cs="仿宋_GB2312"/>
          <w:sz w:val="24"/>
        </w:rPr>
        <w:sym w:font="Wingdings 2" w:char="00A3"/>
      </w:r>
      <w:r>
        <w:rPr>
          <w:rFonts w:hint="eastAsia" w:ascii="仿宋" w:hAnsi="仿宋" w:eastAsia="仿宋" w:cs="仿宋_GB2312"/>
          <w:sz w:val="24"/>
        </w:rPr>
        <w:t>分标项</w:t>
      </w:r>
      <w:r>
        <w:rPr>
          <w:rFonts w:hint="eastAsia" w:ascii="仿宋" w:hAnsi="仿宋" w:eastAsia="仿宋" w:cs="仿宋_GB2312"/>
          <w:sz w:val="24"/>
        </w:rPr>
        <w:tab/>
      </w:r>
      <w:r>
        <w:rPr>
          <w:rFonts w:hint="eastAsia" w:ascii="仿宋" w:hAnsi="仿宋" w:eastAsia="仿宋" w:cs="仿宋_GB2312"/>
          <w:sz w:val="24"/>
        </w:rPr>
        <w:tab/>
      </w:r>
      <w:r>
        <w:rPr>
          <w:rFonts w:hint="eastAsia" w:ascii="仿宋" w:hAnsi="仿宋" w:eastAsia="仿宋" w:cs="仿宋_GB2312"/>
          <w:sz w:val="24"/>
        </w:rPr>
        <w:sym w:font="Wingdings 2" w:char="0052"/>
      </w:r>
      <w:r>
        <w:rPr>
          <w:rFonts w:hint="eastAsia" w:ascii="仿宋" w:hAnsi="仿宋" w:eastAsia="仿宋" w:cs="仿宋_GB2312"/>
          <w:sz w:val="24"/>
        </w:rPr>
        <w:t xml:space="preserve">不分标项 </w:t>
      </w:r>
    </w:p>
    <w:p w14:paraId="407E5D79">
      <w:pPr>
        <w:spacing w:line="360" w:lineRule="auto"/>
        <w:jc w:val="left"/>
        <w:rPr>
          <w:rFonts w:ascii="仿宋" w:hAnsi="仿宋" w:eastAsia="仿宋" w:cs="仿宋_GB2312"/>
          <w:sz w:val="24"/>
        </w:rPr>
      </w:pPr>
      <w:r>
        <w:rPr>
          <w:rFonts w:hint="eastAsia" w:ascii="仿宋" w:hAnsi="仿宋" w:eastAsia="仿宋" w:cs="仿宋_GB2312"/>
          <w:sz w:val="24"/>
        </w:rPr>
        <w:t>（六）合同分包：</w:t>
      </w:r>
      <w:r>
        <w:rPr>
          <w:rFonts w:hint="eastAsia" w:ascii="仿宋" w:hAnsi="仿宋" w:eastAsia="仿宋" w:cs="仿宋_GB2312"/>
          <w:sz w:val="24"/>
        </w:rPr>
        <w:tab/>
      </w:r>
      <w:r>
        <w:rPr>
          <w:rFonts w:hint="eastAsia" w:ascii="仿宋" w:hAnsi="仿宋" w:eastAsia="仿宋" w:cs="仿宋_GB2312"/>
          <w:sz w:val="24"/>
        </w:rPr>
        <w:tab/>
      </w:r>
      <w:r>
        <w:rPr>
          <w:rFonts w:hint="eastAsia" w:ascii="仿宋" w:hAnsi="仿宋" w:eastAsia="仿宋" w:cs="仿宋_GB2312"/>
          <w:sz w:val="24"/>
        </w:rPr>
        <w:sym w:font="Wingdings 2" w:char="00A3"/>
      </w:r>
      <w:r>
        <w:rPr>
          <w:rFonts w:hint="eastAsia" w:ascii="仿宋" w:hAnsi="仿宋" w:eastAsia="仿宋" w:cs="仿宋_GB2312"/>
          <w:sz w:val="24"/>
        </w:rPr>
        <w:t xml:space="preserve">允许分包    </w:t>
      </w:r>
      <w:r>
        <w:rPr>
          <w:rFonts w:hint="eastAsia" w:ascii="仿宋" w:hAnsi="仿宋" w:eastAsia="仿宋" w:cs="仿宋_GB2312"/>
          <w:sz w:val="24"/>
        </w:rPr>
        <w:sym w:font="Wingdings 2" w:char="0052"/>
      </w:r>
      <w:r>
        <w:rPr>
          <w:rFonts w:hint="eastAsia" w:ascii="仿宋" w:hAnsi="仿宋" w:eastAsia="仿宋" w:cs="仿宋_GB2312"/>
          <w:sz w:val="24"/>
        </w:rPr>
        <w:t>不允许分包</w:t>
      </w:r>
    </w:p>
    <w:p w14:paraId="421E37C5">
      <w:pPr>
        <w:spacing w:line="360" w:lineRule="auto"/>
        <w:jc w:val="left"/>
        <w:rPr>
          <w:rFonts w:ascii="仿宋" w:hAnsi="仿宋" w:eastAsia="仿宋" w:cs="仿宋_GB2312"/>
          <w:sz w:val="24"/>
        </w:rPr>
      </w:pPr>
      <w:r>
        <w:rPr>
          <w:rFonts w:hint="eastAsia" w:ascii="仿宋" w:hAnsi="仿宋" w:eastAsia="仿宋" w:cs="仿宋_GB2312"/>
          <w:sz w:val="24"/>
        </w:rPr>
        <w:t>（七）供应商资格条件</w:t>
      </w:r>
    </w:p>
    <w:p w14:paraId="4C16E225">
      <w:pPr>
        <w:spacing w:line="360" w:lineRule="auto"/>
        <w:ind w:firstLine="456" w:firstLineChars="200"/>
        <w:jc w:val="left"/>
        <w:rPr>
          <w:rFonts w:ascii="仿宋" w:hAnsi="仿宋" w:eastAsia="仿宋" w:cs="仿宋_GB2312"/>
          <w:sz w:val="24"/>
          <w:u w:val="single"/>
        </w:rPr>
      </w:pPr>
      <w:r>
        <w:rPr>
          <w:rFonts w:hint="eastAsia" w:ascii="仿宋" w:hAnsi="仿宋" w:eastAsia="仿宋" w:cs="仿宋_GB2312"/>
          <w:sz w:val="24"/>
          <w:u w:val="single"/>
        </w:rPr>
        <w:t>1.满足《中华人民共和国政府采购法》第二十二条规定；未被“信用中国”（www.creditchina.gov.cn)、中国政府采购网（www.ccgp.gov.cn）列入失信被执行人、重大税收违法案件当事人名单、政府采购严重违法失信行为记录名单；</w:t>
      </w:r>
    </w:p>
    <w:p w14:paraId="6A6B7299">
      <w:pPr>
        <w:spacing w:line="360" w:lineRule="auto"/>
        <w:ind w:firstLine="456" w:firstLineChars="200"/>
        <w:jc w:val="left"/>
        <w:rPr>
          <w:rFonts w:ascii="仿宋" w:hAnsi="仿宋" w:eastAsia="仿宋" w:cs="仿宋_GB2312"/>
          <w:sz w:val="24"/>
          <w:u w:val="single"/>
        </w:rPr>
      </w:pPr>
      <w:r>
        <w:rPr>
          <w:rFonts w:hint="eastAsia" w:ascii="仿宋" w:hAnsi="仿宋" w:eastAsia="仿宋" w:cs="仿宋_GB2312"/>
          <w:sz w:val="24"/>
          <w:u w:val="single"/>
        </w:rPr>
        <w:t>2.以联合体形式投标的，提供联合协议(本项目不接受联合体投标或者投标人不以联合体形式投标的，则不需要提供)；</w:t>
      </w:r>
    </w:p>
    <w:p w14:paraId="1CC37D90">
      <w:pPr>
        <w:spacing w:line="360" w:lineRule="auto"/>
        <w:ind w:firstLine="456" w:firstLineChars="200"/>
        <w:jc w:val="left"/>
        <w:rPr>
          <w:rFonts w:ascii="仿宋" w:hAnsi="仿宋" w:eastAsia="仿宋" w:cs="仿宋_GB2312"/>
          <w:sz w:val="24"/>
          <w:u w:val="single"/>
        </w:rPr>
      </w:pPr>
      <w:r>
        <w:rPr>
          <w:rFonts w:hint="eastAsia" w:ascii="仿宋" w:hAnsi="仿宋" w:eastAsia="仿宋" w:cs="仿宋_GB2312"/>
          <w:sz w:val="24"/>
          <w:u w:val="single"/>
        </w:rPr>
        <w:t>3.落实政府采购政策需满足的资格要求：服务全部由符合政策要求的中小企业承接（本条所称中小企业，是指在中华人民共和国境内依法设立，依据国务院批准的中小企业划分标准确定的中型企业、小型企业和微型企业，但与大企业的负责人为同一人，或者与大企业存在直接控股、管理关系的除外），提供中小企业声明函；符合《关于促进残疾人就业政府采购政策的通知》（财库〔2017〕141号）规定的条件并提供《残疾人福利性单位声明函》（附件1）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14:paraId="07855F93">
      <w:pPr>
        <w:spacing w:line="360" w:lineRule="auto"/>
        <w:ind w:firstLine="456" w:firstLineChars="200"/>
        <w:jc w:val="left"/>
        <w:rPr>
          <w:rFonts w:ascii="仿宋" w:hAnsi="仿宋" w:eastAsia="仿宋" w:cs="仿宋_GB2312"/>
          <w:sz w:val="24"/>
          <w:u w:val="single"/>
        </w:rPr>
      </w:pPr>
      <w:r>
        <w:rPr>
          <w:rFonts w:hint="eastAsia" w:ascii="仿宋" w:hAnsi="仿宋" w:eastAsia="仿宋" w:cs="仿宋_GB2312"/>
          <w:sz w:val="24"/>
          <w:u w:val="single"/>
        </w:rPr>
        <w:t>4.本项目的特定资格要求：具备建设行政主管部门颁发的城市及道路照明工程专业承包三级及以上且具备有效的安全生产许可证；在资格文件中提供有效的相应证书复制件；</w:t>
      </w:r>
    </w:p>
    <w:p w14:paraId="5505D1EC">
      <w:pPr>
        <w:spacing w:line="360" w:lineRule="auto"/>
        <w:ind w:firstLine="456" w:firstLineChars="200"/>
        <w:jc w:val="left"/>
        <w:rPr>
          <w:rFonts w:ascii="仿宋" w:hAnsi="仿宋" w:eastAsia="仿宋" w:cs="仿宋_GB2312"/>
          <w:sz w:val="24"/>
          <w:u w:val="single"/>
        </w:rPr>
      </w:pPr>
      <w:r>
        <w:rPr>
          <w:rFonts w:hint="eastAsia" w:ascii="仿宋" w:hAnsi="仿宋" w:eastAsia="仿宋" w:cs="仿宋_GB2312"/>
          <w:sz w:val="24"/>
          <w:u w:val="singl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381AA09">
      <w:pPr>
        <w:spacing w:line="360" w:lineRule="auto"/>
        <w:jc w:val="left"/>
        <w:rPr>
          <w:rFonts w:ascii="仿宋" w:hAnsi="仿宋" w:eastAsia="仿宋" w:cs="仿宋_GB2312"/>
          <w:sz w:val="24"/>
        </w:rPr>
      </w:pPr>
      <w:r>
        <w:rPr>
          <w:rFonts w:hint="eastAsia" w:ascii="仿宋" w:hAnsi="仿宋" w:eastAsia="仿宋" w:cs="仿宋_GB2312"/>
          <w:sz w:val="24"/>
        </w:rPr>
        <w:t>（八）采购方式</w:t>
      </w:r>
    </w:p>
    <w:p w14:paraId="035D3D7C">
      <w:pPr>
        <w:spacing w:line="360" w:lineRule="auto"/>
        <w:ind w:firstLine="480"/>
        <w:jc w:val="left"/>
        <w:rPr>
          <w:rFonts w:ascii="仿宋" w:hAnsi="仿宋" w:eastAsia="仿宋"/>
          <w:sz w:val="24"/>
        </w:rPr>
      </w:pPr>
      <w:r>
        <w:rPr>
          <w:rFonts w:hint="eastAsia" w:ascii="仿宋" w:hAnsi="仿宋" w:eastAsia="仿宋"/>
          <w:sz w:val="24"/>
        </w:rPr>
        <w:sym w:font="Wingdings 2" w:char="0052"/>
      </w:r>
      <w:r>
        <w:rPr>
          <w:rFonts w:hint="eastAsia" w:ascii="仿宋" w:hAnsi="仿宋" w:eastAsia="仿宋"/>
          <w:sz w:val="24"/>
        </w:rPr>
        <w:t>公开招标</w:t>
      </w:r>
      <w:r>
        <w:rPr>
          <w:rFonts w:hint="eastAsia" w:ascii="仿宋" w:hAnsi="仿宋" w:eastAsia="仿宋"/>
          <w:sz w:val="24"/>
        </w:rPr>
        <w:tab/>
      </w:r>
      <w:r>
        <w:rPr>
          <w:rFonts w:hint="eastAsia" w:ascii="仿宋" w:hAnsi="仿宋" w:eastAsia="仿宋"/>
          <w:sz w:val="24"/>
        </w:rPr>
        <w:tab/>
      </w:r>
      <w:r>
        <w:rPr>
          <w:rFonts w:hint="eastAsia" w:ascii="仿宋" w:hAnsi="仿宋" w:eastAsia="仿宋"/>
          <w:sz w:val="24"/>
        </w:rPr>
        <w:tab/>
      </w:r>
      <w:r>
        <w:rPr>
          <w:rFonts w:hint="eastAsia" w:ascii="仿宋" w:hAnsi="仿宋" w:eastAsia="仿宋"/>
          <w:sz w:val="24"/>
        </w:rPr>
        <w:t>□邀请招标</w:t>
      </w:r>
      <w:r>
        <w:rPr>
          <w:rFonts w:hint="eastAsia" w:ascii="仿宋" w:hAnsi="仿宋" w:eastAsia="仿宋"/>
          <w:sz w:val="24"/>
        </w:rPr>
        <w:tab/>
      </w:r>
      <w:r>
        <w:rPr>
          <w:rFonts w:hint="eastAsia" w:ascii="仿宋" w:hAnsi="仿宋" w:eastAsia="仿宋"/>
          <w:sz w:val="24"/>
        </w:rPr>
        <w:tab/>
      </w:r>
      <w:r>
        <w:rPr>
          <w:rFonts w:hint="eastAsia" w:ascii="仿宋" w:hAnsi="仿宋" w:eastAsia="仿宋"/>
          <w:sz w:val="24"/>
        </w:rPr>
        <w:tab/>
      </w:r>
      <w:r>
        <w:rPr>
          <w:rFonts w:hint="eastAsia" w:ascii="仿宋" w:hAnsi="仿宋" w:eastAsia="仿宋"/>
          <w:sz w:val="24"/>
        </w:rPr>
        <w:t>□竞争性谈判</w:t>
      </w:r>
    </w:p>
    <w:p w14:paraId="599EAD3B">
      <w:pPr>
        <w:spacing w:line="360" w:lineRule="auto"/>
        <w:ind w:firstLine="480"/>
        <w:jc w:val="left"/>
        <w:rPr>
          <w:rFonts w:ascii="仿宋" w:hAnsi="仿宋" w:eastAsia="仿宋"/>
          <w:sz w:val="24"/>
        </w:rPr>
      </w:pPr>
      <w:r>
        <w:rPr>
          <w:rFonts w:hint="eastAsia" w:ascii="仿宋" w:hAnsi="仿宋" w:eastAsia="仿宋"/>
          <w:sz w:val="24"/>
        </w:rPr>
        <w:sym w:font="Wingdings 2" w:char="00A3"/>
      </w:r>
      <w:r>
        <w:rPr>
          <w:rFonts w:hint="eastAsia" w:ascii="仿宋" w:hAnsi="仿宋" w:eastAsia="仿宋"/>
          <w:sz w:val="24"/>
        </w:rPr>
        <w:t>竞争性磋商</w:t>
      </w:r>
      <w:r>
        <w:rPr>
          <w:rFonts w:hint="eastAsia" w:ascii="仿宋" w:hAnsi="仿宋" w:eastAsia="仿宋"/>
          <w:sz w:val="24"/>
        </w:rPr>
        <w:tab/>
      </w:r>
      <w:r>
        <w:rPr>
          <w:rFonts w:hint="eastAsia" w:ascii="仿宋" w:hAnsi="仿宋" w:eastAsia="仿宋"/>
          <w:sz w:val="24"/>
        </w:rPr>
        <w:tab/>
      </w:r>
      <w:r>
        <w:rPr>
          <w:rFonts w:hint="eastAsia" w:ascii="仿宋" w:hAnsi="仿宋" w:eastAsia="仿宋"/>
          <w:sz w:val="24"/>
        </w:rPr>
        <w:sym w:font="Wingdings 2" w:char="00A3"/>
      </w:r>
      <w:r>
        <w:rPr>
          <w:rFonts w:hint="eastAsia" w:ascii="仿宋" w:hAnsi="仿宋" w:eastAsia="仿宋"/>
          <w:sz w:val="24"/>
        </w:rPr>
        <w:t>询价</w:t>
      </w:r>
      <w:r>
        <w:rPr>
          <w:rFonts w:hint="eastAsia" w:ascii="仿宋" w:hAnsi="仿宋" w:eastAsia="仿宋"/>
          <w:sz w:val="24"/>
        </w:rPr>
        <w:tab/>
      </w:r>
      <w:r>
        <w:rPr>
          <w:rFonts w:hint="eastAsia" w:ascii="仿宋" w:hAnsi="仿宋" w:eastAsia="仿宋"/>
          <w:sz w:val="24"/>
        </w:rPr>
        <w:tab/>
      </w:r>
      <w:r>
        <w:rPr>
          <w:rFonts w:hint="eastAsia" w:ascii="仿宋" w:hAnsi="仿宋" w:eastAsia="仿宋"/>
          <w:sz w:val="24"/>
        </w:rPr>
        <w:tab/>
      </w:r>
      <w:r>
        <w:rPr>
          <w:rFonts w:hint="eastAsia" w:ascii="仿宋" w:hAnsi="仿宋" w:eastAsia="仿宋"/>
          <w:sz w:val="24"/>
        </w:rPr>
        <w:tab/>
      </w:r>
      <w:r>
        <w:rPr>
          <w:rFonts w:hint="eastAsia" w:ascii="仿宋" w:hAnsi="仿宋" w:eastAsia="仿宋"/>
          <w:sz w:val="24"/>
        </w:rPr>
        <w:t>□单一来源采购</w:t>
      </w:r>
    </w:p>
    <w:p w14:paraId="1C5D01B2">
      <w:pPr>
        <w:spacing w:line="360" w:lineRule="auto"/>
        <w:ind w:firstLine="480"/>
        <w:jc w:val="left"/>
        <w:rPr>
          <w:rFonts w:ascii="仿宋" w:hAnsi="仿宋" w:eastAsia="仿宋"/>
          <w:sz w:val="24"/>
        </w:rPr>
      </w:pPr>
      <w:r>
        <w:rPr>
          <w:rFonts w:hint="eastAsia" w:ascii="仿宋" w:hAnsi="仿宋" w:eastAsia="仿宋"/>
          <w:sz w:val="24"/>
        </w:rPr>
        <w:t>□电子卖场</w:t>
      </w:r>
      <w:r>
        <w:rPr>
          <w:rFonts w:hint="eastAsia" w:ascii="仿宋" w:hAnsi="仿宋" w:eastAsia="仿宋"/>
          <w:sz w:val="24"/>
        </w:rPr>
        <w:tab/>
      </w:r>
      <w:r>
        <w:rPr>
          <w:rFonts w:hint="eastAsia" w:ascii="仿宋" w:hAnsi="仿宋" w:eastAsia="仿宋"/>
          <w:sz w:val="24"/>
        </w:rPr>
        <w:tab/>
      </w:r>
      <w:r>
        <w:rPr>
          <w:rFonts w:hint="eastAsia" w:ascii="仿宋" w:hAnsi="仿宋" w:eastAsia="仿宋"/>
          <w:sz w:val="24"/>
        </w:rPr>
        <w:t>□其他采购方式 （）</w:t>
      </w:r>
    </w:p>
    <w:p w14:paraId="2CBDC40A">
      <w:pPr>
        <w:spacing w:line="360" w:lineRule="auto"/>
        <w:jc w:val="left"/>
        <w:rPr>
          <w:rFonts w:ascii="仿宋" w:hAnsi="仿宋" w:eastAsia="仿宋"/>
          <w:sz w:val="24"/>
        </w:rPr>
      </w:pPr>
      <w:r>
        <w:rPr>
          <w:rFonts w:hint="eastAsia" w:ascii="仿宋" w:hAnsi="仿宋" w:eastAsia="仿宋" w:cs="仿宋_GB2312"/>
          <w:sz w:val="24"/>
        </w:rPr>
        <w:t>（九）</w:t>
      </w:r>
      <w:r>
        <w:rPr>
          <w:rFonts w:hint="eastAsia" w:ascii="仿宋" w:hAnsi="仿宋" w:eastAsia="仿宋"/>
          <w:sz w:val="24"/>
        </w:rPr>
        <w:t>选择采购方式的理由</w:t>
      </w:r>
    </w:p>
    <w:p w14:paraId="4274A7A0">
      <w:pPr>
        <w:spacing w:line="360" w:lineRule="auto"/>
        <w:ind w:firstLine="456" w:firstLineChars="200"/>
        <w:jc w:val="left"/>
        <w:rPr>
          <w:rFonts w:ascii="仿宋" w:hAnsi="仿宋" w:eastAsia="仿宋"/>
          <w:sz w:val="24"/>
          <w:u w:val="single"/>
        </w:rPr>
      </w:pPr>
      <w:r>
        <w:rPr>
          <w:rFonts w:hint="eastAsia" w:ascii="仿宋" w:hAnsi="仿宋" w:eastAsia="仿宋"/>
          <w:sz w:val="24"/>
          <w:u w:val="single"/>
        </w:rPr>
        <w:t xml:space="preserve">公开招标作为主要的采购方式。本项目符合公开招标要求。  </w:t>
      </w:r>
    </w:p>
    <w:p w14:paraId="6ACF573D">
      <w:pPr>
        <w:spacing w:line="360" w:lineRule="auto"/>
        <w:jc w:val="left"/>
        <w:rPr>
          <w:rFonts w:ascii="仿宋" w:hAnsi="仿宋" w:eastAsia="仿宋"/>
          <w:sz w:val="24"/>
        </w:rPr>
      </w:pPr>
      <w:r>
        <w:rPr>
          <w:rFonts w:hint="eastAsia" w:ascii="仿宋" w:hAnsi="仿宋" w:eastAsia="仿宋"/>
          <w:sz w:val="24"/>
        </w:rPr>
        <w:t>（十）竞争范围：</w:t>
      </w:r>
      <w:r>
        <w:rPr>
          <w:rFonts w:hint="eastAsia" w:ascii="仿宋" w:hAnsi="仿宋" w:eastAsia="仿宋"/>
          <w:sz w:val="24"/>
        </w:rPr>
        <w:tab/>
      </w:r>
      <w:r>
        <w:rPr>
          <w:rFonts w:hint="eastAsia" w:ascii="仿宋" w:hAnsi="仿宋" w:eastAsia="仿宋" w:cs="仿宋_GB2312"/>
          <w:sz w:val="24"/>
        </w:rPr>
        <w:sym w:font="Wingdings 2" w:char="0052"/>
      </w:r>
      <w:r>
        <w:rPr>
          <w:rFonts w:hint="eastAsia" w:ascii="仿宋" w:hAnsi="仿宋" w:eastAsia="仿宋"/>
          <w:sz w:val="24"/>
        </w:rPr>
        <w:t>公开发布</w:t>
      </w:r>
      <w:r>
        <w:rPr>
          <w:rFonts w:hint="eastAsia" w:ascii="仿宋" w:hAnsi="仿宋" w:eastAsia="仿宋"/>
          <w:sz w:val="24"/>
        </w:rPr>
        <w:tab/>
      </w:r>
      <w:r>
        <w:rPr>
          <w:rFonts w:hint="eastAsia" w:ascii="仿宋" w:hAnsi="仿宋" w:eastAsia="仿宋"/>
          <w:sz w:val="24"/>
        </w:rPr>
        <w:tab/>
      </w:r>
      <w:r>
        <w:rPr>
          <w:rFonts w:hint="eastAsia" w:ascii="仿宋" w:hAnsi="仿宋" w:eastAsia="仿宋" w:cs="仿宋_GB2312"/>
          <w:sz w:val="24"/>
        </w:rPr>
        <w:sym w:font="Wingdings 2" w:char="00A3"/>
      </w:r>
      <w:r>
        <w:rPr>
          <w:rFonts w:hint="eastAsia" w:ascii="仿宋" w:hAnsi="仿宋" w:eastAsia="仿宋"/>
          <w:sz w:val="24"/>
        </w:rPr>
        <w:t>电子卖场</w:t>
      </w:r>
    </w:p>
    <w:p w14:paraId="2FCF6784">
      <w:pPr>
        <w:spacing w:line="360" w:lineRule="auto"/>
        <w:jc w:val="left"/>
        <w:rPr>
          <w:rFonts w:ascii="仿宋" w:hAnsi="仿宋" w:eastAsia="仿宋"/>
          <w:sz w:val="24"/>
        </w:rPr>
      </w:pPr>
      <w:r>
        <w:rPr>
          <w:rFonts w:hint="eastAsia" w:ascii="仿宋" w:hAnsi="仿宋" w:eastAsia="仿宋"/>
          <w:sz w:val="24"/>
        </w:rPr>
        <w:t>（十一）评审规则：</w:t>
      </w:r>
      <w:r>
        <w:rPr>
          <w:rFonts w:hint="eastAsia" w:ascii="仿宋" w:hAnsi="仿宋" w:eastAsia="仿宋"/>
          <w:sz w:val="24"/>
        </w:rPr>
        <w:tab/>
      </w:r>
      <w:r>
        <w:rPr>
          <w:rFonts w:hint="eastAsia" w:ascii="仿宋" w:hAnsi="仿宋" w:eastAsia="仿宋" w:cs="仿宋_GB2312"/>
          <w:sz w:val="24"/>
        </w:rPr>
        <w:sym w:font="Wingdings 2" w:char="0052"/>
      </w:r>
      <w:r>
        <w:rPr>
          <w:rFonts w:hint="eastAsia" w:ascii="仿宋" w:hAnsi="仿宋" w:eastAsia="仿宋"/>
          <w:sz w:val="24"/>
        </w:rPr>
        <w:t>综合评分</w:t>
      </w:r>
      <w:r>
        <w:rPr>
          <w:rFonts w:hint="eastAsia" w:ascii="仿宋" w:hAnsi="仿宋" w:eastAsia="仿宋"/>
          <w:sz w:val="24"/>
        </w:rPr>
        <w:tab/>
      </w:r>
      <w:r>
        <w:rPr>
          <w:rFonts w:hint="eastAsia" w:ascii="仿宋" w:hAnsi="仿宋" w:eastAsia="仿宋"/>
          <w:sz w:val="24"/>
        </w:rPr>
        <w:tab/>
      </w:r>
      <w:r>
        <w:rPr>
          <w:rFonts w:hint="eastAsia" w:ascii="仿宋" w:hAnsi="仿宋" w:eastAsia="仿宋" w:cs="仿宋_GB2312"/>
          <w:sz w:val="24"/>
        </w:rPr>
        <w:sym w:font="Wingdings 2" w:char="00A3"/>
      </w:r>
      <w:r>
        <w:rPr>
          <w:rFonts w:hint="eastAsia" w:ascii="仿宋" w:hAnsi="仿宋" w:eastAsia="仿宋"/>
          <w:sz w:val="24"/>
        </w:rPr>
        <w:t>最低价中标</w:t>
      </w:r>
      <w:r>
        <w:rPr>
          <w:rFonts w:hint="eastAsia" w:ascii="仿宋" w:hAnsi="仿宋" w:eastAsia="仿宋"/>
          <w:sz w:val="24"/>
        </w:rPr>
        <w:tab/>
      </w:r>
      <w:r>
        <w:rPr>
          <w:rFonts w:hint="eastAsia" w:ascii="仿宋" w:hAnsi="仿宋" w:eastAsia="仿宋"/>
          <w:sz w:val="24"/>
        </w:rPr>
        <w:tab/>
      </w:r>
      <w:r>
        <w:rPr>
          <w:rFonts w:hint="eastAsia" w:ascii="仿宋" w:hAnsi="仿宋" w:eastAsia="仿宋" w:cs="仿宋_GB2312"/>
          <w:sz w:val="24"/>
        </w:rPr>
        <w:sym w:font="Wingdings 2" w:char="00A3"/>
      </w:r>
      <w:r>
        <w:rPr>
          <w:rFonts w:hint="eastAsia" w:ascii="仿宋" w:hAnsi="仿宋" w:eastAsia="仿宋"/>
          <w:sz w:val="24"/>
        </w:rPr>
        <w:t xml:space="preserve">其他（） </w:t>
      </w:r>
    </w:p>
    <w:p w14:paraId="61E386C9">
      <w:pPr>
        <w:spacing w:beforeLines="100" w:line="360" w:lineRule="auto"/>
        <w:jc w:val="left"/>
        <w:rPr>
          <w:rFonts w:ascii="仿宋" w:hAnsi="仿宋" w:eastAsia="仿宋"/>
          <w:sz w:val="28"/>
          <w:szCs w:val="28"/>
        </w:rPr>
      </w:pPr>
      <w:r>
        <w:rPr>
          <w:rFonts w:hint="eastAsia" w:ascii="仿宋" w:hAnsi="仿宋" w:eastAsia="仿宋"/>
          <w:sz w:val="28"/>
          <w:szCs w:val="28"/>
        </w:rPr>
        <w:t>二、合同管理安排</w:t>
      </w:r>
    </w:p>
    <w:p w14:paraId="1B7928C5">
      <w:pPr>
        <w:spacing w:line="360" w:lineRule="auto"/>
        <w:jc w:val="left"/>
        <w:rPr>
          <w:rFonts w:ascii="仿宋" w:hAnsi="仿宋" w:eastAsia="仿宋"/>
          <w:sz w:val="24"/>
        </w:rPr>
      </w:pPr>
      <w:r>
        <w:rPr>
          <w:rFonts w:hint="eastAsia" w:ascii="仿宋" w:hAnsi="仿宋" w:eastAsia="仿宋"/>
          <w:sz w:val="24"/>
        </w:rPr>
        <w:t>（一）合同类型</w:t>
      </w:r>
    </w:p>
    <w:p w14:paraId="5935A8C1">
      <w:pPr>
        <w:spacing w:line="360" w:lineRule="auto"/>
        <w:ind w:firstLine="456" w:firstLineChars="200"/>
        <w:jc w:val="left"/>
        <w:rPr>
          <w:rFonts w:ascii="仿宋" w:hAnsi="仿宋" w:eastAsia="仿宋"/>
          <w:sz w:val="24"/>
        </w:rPr>
      </w:pPr>
      <w:r>
        <w:rPr>
          <w:rFonts w:hint="eastAsia" w:ascii="仿宋" w:hAnsi="仿宋" w:eastAsia="仿宋"/>
          <w:sz w:val="24"/>
        </w:rPr>
        <w:t xml:space="preserve">□货物合同  </w:t>
      </w:r>
      <w:r>
        <w:rPr>
          <w:rFonts w:hint="eastAsia" w:ascii="仿宋" w:hAnsi="仿宋" w:eastAsia="仿宋"/>
          <w:sz w:val="24"/>
        </w:rPr>
        <w:tab/>
      </w:r>
      <w:r>
        <w:rPr>
          <w:rFonts w:hint="eastAsia" w:ascii="仿宋" w:hAnsi="仿宋" w:eastAsia="仿宋"/>
          <w:sz w:val="24"/>
        </w:rPr>
        <w:tab/>
      </w:r>
      <w:r>
        <w:rPr>
          <w:rFonts w:hint="eastAsia" w:ascii="仿宋" w:hAnsi="仿宋" w:eastAsia="仿宋"/>
          <w:sz w:val="24"/>
        </w:rPr>
        <w:sym w:font="Wingdings 2" w:char="0052"/>
      </w:r>
      <w:r>
        <w:rPr>
          <w:rFonts w:hint="eastAsia" w:ascii="仿宋" w:hAnsi="仿宋" w:eastAsia="仿宋"/>
          <w:sz w:val="24"/>
        </w:rPr>
        <w:t>服务合同</w:t>
      </w:r>
    </w:p>
    <w:p w14:paraId="2C50088D">
      <w:pPr>
        <w:spacing w:line="360" w:lineRule="auto"/>
        <w:ind w:firstLine="456" w:firstLineChars="200"/>
        <w:jc w:val="left"/>
        <w:rPr>
          <w:rFonts w:ascii="仿宋" w:hAnsi="仿宋" w:eastAsia="仿宋"/>
          <w:sz w:val="24"/>
        </w:rPr>
      </w:pPr>
      <w:r>
        <w:rPr>
          <w:rFonts w:hint="eastAsia" w:ascii="仿宋" w:hAnsi="仿宋" w:eastAsia="仿宋"/>
          <w:sz w:val="24"/>
        </w:rPr>
        <w:sym w:font="Wingdings 2" w:char="00A3"/>
      </w:r>
      <w:r>
        <w:rPr>
          <w:rFonts w:hint="eastAsia" w:ascii="仿宋" w:hAnsi="仿宋" w:eastAsia="仿宋"/>
          <w:sz w:val="24"/>
        </w:rPr>
        <w:t>建设工程合同</w:t>
      </w:r>
      <w:r>
        <w:rPr>
          <w:rFonts w:hint="eastAsia" w:ascii="仿宋" w:hAnsi="仿宋" w:eastAsia="仿宋"/>
          <w:sz w:val="24"/>
        </w:rPr>
        <w:tab/>
      </w:r>
      <w:r>
        <w:rPr>
          <w:rFonts w:hint="eastAsia" w:ascii="仿宋" w:hAnsi="仿宋" w:eastAsia="仿宋"/>
          <w:sz w:val="24"/>
        </w:rPr>
        <w:t>□其他 （）</w:t>
      </w:r>
    </w:p>
    <w:p w14:paraId="23B4A38E">
      <w:pPr>
        <w:spacing w:line="360" w:lineRule="auto"/>
        <w:jc w:val="left"/>
        <w:rPr>
          <w:rFonts w:ascii="仿宋" w:hAnsi="仿宋" w:eastAsia="仿宋"/>
          <w:sz w:val="24"/>
        </w:rPr>
      </w:pPr>
      <w:r>
        <w:rPr>
          <w:rFonts w:hint="eastAsia" w:ascii="仿宋" w:hAnsi="仿宋" w:eastAsia="仿宋"/>
          <w:sz w:val="24"/>
        </w:rPr>
        <w:t>（二）定价方式</w:t>
      </w:r>
    </w:p>
    <w:p w14:paraId="6AA17DC4">
      <w:pPr>
        <w:spacing w:line="360" w:lineRule="auto"/>
        <w:ind w:firstLine="420"/>
        <w:jc w:val="left"/>
        <w:rPr>
          <w:rFonts w:ascii="仿宋" w:hAnsi="仿宋" w:eastAsia="仿宋"/>
          <w:sz w:val="24"/>
        </w:rPr>
      </w:pPr>
      <w:r>
        <w:rPr>
          <w:rFonts w:hint="eastAsia" w:ascii="仿宋" w:hAnsi="仿宋" w:eastAsia="仿宋"/>
          <w:sz w:val="24"/>
        </w:rPr>
        <w:sym w:font="Wingdings 2" w:char="00A3"/>
      </w:r>
      <w:r>
        <w:rPr>
          <w:rFonts w:hint="eastAsia" w:ascii="仿宋" w:hAnsi="仿宋" w:eastAsia="仿宋"/>
          <w:sz w:val="24"/>
        </w:rPr>
        <w:t>固定总价</w:t>
      </w:r>
      <w:r>
        <w:rPr>
          <w:rFonts w:hint="eastAsia" w:ascii="仿宋" w:hAnsi="仿宋" w:eastAsia="仿宋"/>
          <w:sz w:val="24"/>
        </w:rPr>
        <w:tab/>
      </w:r>
      <w:r>
        <w:rPr>
          <w:rFonts w:hint="eastAsia" w:ascii="仿宋" w:hAnsi="仿宋" w:eastAsia="仿宋"/>
          <w:sz w:val="24"/>
        </w:rPr>
        <w:tab/>
      </w:r>
      <w:r>
        <w:rPr>
          <w:rFonts w:hint="eastAsia" w:ascii="仿宋" w:hAnsi="仿宋" w:eastAsia="仿宋"/>
          <w:sz w:val="24"/>
        </w:rPr>
        <w:tab/>
      </w:r>
      <w:r>
        <w:rPr>
          <w:rFonts w:hint="eastAsia" w:ascii="仿宋" w:hAnsi="仿宋" w:eastAsia="仿宋"/>
          <w:sz w:val="24"/>
        </w:rPr>
        <w:sym w:font="Wingdings 2" w:char="0052"/>
      </w:r>
      <w:r>
        <w:rPr>
          <w:rFonts w:hint="eastAsia" w:ascii="仿宋" w:hAnsi="仿宋" w:eastAsia="仿宋"/>
          <w:sz w:val="24"/>
        </w:rPr>
        <w:t>固定单价</w:t>
      </w:r>
    </w:p>
    <w:p w14:paraId="4DA2BCEB">
      <w:pPr>
        <w:spacing w:line="360" w:lineRule="auto"/>
        <w:ind w:firstLine="420"/>
        <w:jc w:val="left"/>
        <w:rPr>
          <w:rFonts w:ascii="仿宋" w:hAnsi="仿宋" w:eastAsia="仿宋"/>
          <w:sz w:val="24"/>
        </w:rPr>
      </w:pPr>
      <w:r>
        <w:rPr>
          <w:rFonts w:hint="eastAsia" w:ascii="仿宋" w:hAnsi="仿宋" w:eastAsia="仿宋"/>
          <w:sz w:val="24"/>
        </w:rPr>
        <w:sym w:font="Wingdings 2" w:char="00A3"/>
      </w:r>
      <w:r>
        <w:rPr>
          <w:rFonts w:hint="eastAsia" w:ascii="仿宋" w:hAnsi="仿宋" w:eastAsia="仿宋"/>
          <w:sz w:val="24"/>
        </w:rPr>
        <w:t>成本补偿</w:t>
      </w:r>
      <w:r>
        <w:rPr>
          <w:rFonts w:hint="eastAsia" w:ascii="仿宋" w:hAnsi="仿宋" w:eastAsia="仿宋"/>
          <w:sz w:val="24"/>
        </w:rPr>
        <w:tab/>
      </w:r>
      <w:r>
        <w:rPr>
          <w:rFonts w:hint="eastAsia" w:ascii="仿宋" w:hAnsi="仿宋" w:eastAsia="仿宋"/>
          <w:sz w:val="24"/>
        </w:rPr>
        <w:tab/>
      </w:r>
      <w:r>
        <w:rPr>
          <w:rFonts w:hint="eastAsia" w:ascii="仿宋" w:hAnsi="仿宋" w:eastAsia="仿宋"/>
          <w:sz w:val="24"/>
        </w:rPr>
        <w:tab/>
      </w:r>
      <w:r>
        <w:rPr>
          <w:rFonts w:hint="eastAsia" w:ascii="仿宋" w:hAnsi="仿宋" w:eastAsia="仿宋"/>
          <w:sz w:val="24"/>
        </w:rPr>
        <w:sym w:font="Wingdings 2" w:char="00A3"/>
      </w:r>
      <w:r>
        <w:rPr>
          <w:rFonts w:hint="eastAsia" w:ascii="仿宋" w:hAnsi="仿宋" w:eastAsia="仿宋"/>
          <w:sz w:val="24"/>
        </w:rPr>
        <w:t>绩效激励</w:t>
      </w:r>
    </w:p>
    <w:p w14:paraId="6CA96F54">
      <w:pPr>
        <w:spacing w:line="360" w:lineRule="auto"/>
        <w:jc w:val="left"/>
        <w:rPr>
          <w:rFonts w:ascii="仿宋" w:hAnsi="仿宋" w:eastAsia="仿宋"/>
          <w:sz w:val="24"/>
        </w:rPr>
      </w:pPr>
      <w:r>
        <w:rPr>
          <w:rFonts w:hint="eastAsia" w:ascii="仿宋" w:hAnsi="仿宋" w:eastAsia="仿宋"/>
          <w:sz w:val="24"/>
        </w:rPr>
        <w:t>（三）合同文本的主要条款</w:t>
      </w:r>
    </w:p>
    <w:p w14:paraId="0082EFE0">
      <w:pPr>
        <w:spacing w:line="360" w:lineRule="auto"/>
        <w:ind w:firstLine="456" w:firstLineChars="200"/>
        <w:jc w:val="left"/>
        <w:rPr>
          <w:rFonts w:hint="eastAsia" w:ascii="仿宋" w:hAnsi="仿宋" w:eastAsia="仿宋"/>
          <w:iCs/>
          <w:sz w:val="24"/>
          <w:lang w:eastAsia="zh-CN"/>
        </w:rPr>
      </w:pPr>
      <w:r>
        <w:rPr>
          <w:rFonts w:hint="eastAsia" w:ascii="仿宋" w:hAnsi="仿宋" w:eastAsia="仿宋"/>
          <w:iCs/>
          <w:sz w:val="24"/>
        </w:rPr>
        <w:t>1、采购标的：</w:t>
      </w:r>
      <w:r>
        <w:rPr>
          <w:rFonts w:hint="eastAsia" w:ascii="仿宋" w:hAnsi="仿宋" w:eastAsia="仿宋"/>
          <w:iCs/>
          <w:sz w:val="24"/>
          <w:lang w:eastAsia="zh-CN"/>
        </w:rPr>
        <w:t>2025年余杭区区管道路路灯管养项目</w:t>
      </w:r>
    </w:p>
    <w:p w14:paraId="25040253">
      <w:pPr>
        <w:spacing w:line="360" w:lineRule="auto"/>
        <w:ind w:firstLine="456" w:firstLineChars="200"/>
        <w:jc w:val="left"/>
        <w:rPr>
          <w:rFonts w:ascii="仿宋" w:hAnsi="仿宋" w:eastAsia="仿宋"/>
          <w:iCs/>
          <w:sz w:val="24"/>
          <w:u w:val="single"/>
        </w:rPr>
      </w:pPr>
      <w:r>
        <w:rPr>
          <w:rFonts w:hint="eastAsia" w:ascii="仿宋" w:hAnsi="仿宋" w:eastAsia="仿宋"/>
          <w:iCs/>
          <w:sz w:val="24"/>
        </w:rPr>
        <w:t>2.履行时间（期限）：</w:t>
      </w:r>
      <w:r>
        <w:rPr>
          <w:rFonts w:hint="eastAsia" w:ascii="仿宋" w:hAnsi="仿宋" w:eastAsia="仿宋"/>
          <w:iCs/>
          <w:sz w:val="24"/>
          <w:u w:val="single"/>
        </w:rPr>
        <w:t xml:space="preserve"> 1年 </w:t>
      </w:r>
    </w:p>
    <w:p w14:paraId="495764DC">
      <w:pPr>
        <w:spacing w:line="360" w:lineRule="auto"/>
        <w:ind w:firstLine="456" w:firstLineChars="200"/>
        <w:jc w:val="left"/>
        <w:rPr>
          <w:rFonts w:ascii="仿宋" w:hAnsi="仿宋" w:eastAsia="仿宋"/>
          <w:iCs/>
          <w:sz w:val="24"/>
          <w:u w:val="single"/>
        </w:rPr>
      </w:pPr>
      <w:r>
        <w:rPr>
          <w:rFonts w:hint="eastAsia" w:ascii="仿宋" w:hAnsi="仿宋" w:eastAsia="仿宋"/>
          <w:iCs/>
          <w:sz w:val="24"/>
        </w:rPr>
        <w:t>3.履约地点和方式：</w:t>
      </w:r>
      <w:r>
        <w:rPr>
          <w:rFonts w:hint="eastAsia" w:ascii="仿宋" w:hAnsi="仿宋" w:eastAsia="仿宋"/>
          <w:iCs/>
          <w:sz w:val="24"/>
          <w:u w:val="single"/>
        </w:rPr>
        <w:t xml:space="preserve"> 余杭区  </w:t>
      </w:r>
    </w:p>
    <w:p w14:paraId="1CC41BF8">
      <w:pPr>
        <w:spacing w:line="360" w:lineRule="auto"/>
        <w:ind w:firstLine="456" w:firstLineChars="200"/>
        <w:jc w:val="left"/>
        <w:rPr>
          <w:rFonts w:ascii="仿宋" w:hAnsi="仿宋" w:eastAsia="仿宋"/>
          <w:iCs/>
          <w:sz w:val="24"/>
          <w:u w:val="single"/>
        </w:rPr>
      </w:pPr>
      <w:r>
        <w:rPr>
          <w:rFonts w:hint="eastAsia" w:ascii="仿宋" w:hAnsi="仿宋" w:eastAsia="仿宋"/>
          <w:iCs/>
          <w:sz w:val="24"/>
        </w:rPr>
        <w:t>4.价款或者报酬：</w:t>
      </w:r>
      <w:r>
        <w:rPr>
          <w:rFonts w:hint="eastAsia" w:ascii="仿宋" w:hAnsi="仿宋" w:eastAsia="仿宋"/>
          <w:iCs/>
          <w:sz w:val="24"/>
          <w:u w:val="single"/>
        </w:rPr>
        <w:t xml:space="preserve"> 以实际中标价为准 </w:t>
      </w:r>
    </w:p>
    <w:p w14:paraId="6DDF600F">
      <w:pPr>
        <w:spacing w:line="360" w:lineRule="auto"/>
        <w:ind w:firstLine="456" w:firstLineChars="200"/>
        <w:jc w:val="left"/>
        <w:rPr>
          <w:rFonts w:ascii="仿宋" w:hAnsi="仿宋" w:eastAsia="仿宋"/>
          <w:iCs/>
          <w:sz w:val="24"/>
        </w:rPr>
      </w:pPr>
      <w:r>
        <w:rPr>
          <w:rFonts w:hint="eastAsia" w:ascii="仿宋" w:hAnsi="仿宋" w:eastAsia="仿宋"/>
          <w:iCs/>
          <w:sz w:val="24"/>
        </w:rPr>
        <w:t>5.考核要求和付款进度安排：</w:t>
      </w:r>
      <w:r>
        <w:rPr>
          <w:rFonts w:hint="eastAsia" w:ascii="仿宋" w:hAnsi="仿宋" w:eastAsia="仿宋"/>
          <w:iCs/>
          <w:sz w:val="24"/>
          <w:u w:val="single"/>
        </w:rPr>
        <w:t>以合同内容为准</w:t>
      </w:r>
    </w:p>
    <w:p w14:paraId="03564289">
      <w:pPr>
        <w:spacing w:line="360" w:lineRule="auto"/>
        <w:ind w:firstLine="456" w:firstLineChars="200"/>
        <w:jc w:val="left"/>
        <w:rPr>
          <w:rFonts w:ascii="仿宋" w:hAnsi="仿宋" w:eastAsia="仿宋"/>
          <w:iCs/>
          <w:sz w:val="24"/>
          <w:u w:val="single"/>
        </w:rPr>
      </w:pPr>
      <w:r>
        <w:rPr>
          <w:rFonts w:hint="eastAsia" w:ascii="仿宋" w:hAnsi="仿宋" w:eastAsia="仿宋"/>
          <w:iCs/>
          <w:sz w:val="24"/>
        </w:rPr>
        <w:t>6.资金支付方式：</w:t>
      </w:r>
      <w:r>
        <w:rPr>
          <w:rFonts w:hint="eastAsia" w:ascii="仿宋" w:hAnsi="仿宋" w:eastAsia="仿宋"/>
          <w:iCs/>
          <w:sz w:val="24"/>
          <w:u w:val="single"/>
        </w:rPr>
        <w:t xml:space="preserve">   见采购需求   </w:t>
      </w:r>
    </w:p>
    <w:p w14:paraId="55BAC460">
      <w:pPr>
        <w:spacing w:line="360" w:lineRule="auto"/>
        <w:ind w:firstLine="456" w:firstLineChars="200"/>
        <w:jc w:val="left"/>
        <w:rPr>
          <w:rFonts w:ascii="仿宋" w:hAnsi="仿宋" w:eastAsia="仿宋"/>
          <w:sz w:val="24"/>
          <w:u w:val="single"/>
        </w:rPr>
      </w:pPr>
      <w:r>
        <w:rPr>
          <w:rFonts w:hint="eastAsia" w:ascii="仿宋" w:hAnsi="仿宋" w:eastAsia="仿宋"/>
          <w:iCs/>
          <w:sz w:val="24"/>
        </w:rPr>
        <w:t>7.验收、交付标准和方法：</w:t>
      </w:r>
      <w:r>
        <w:rPr>
          <w:rFonts w:hint="eastAsia" w:ascii="仿宋" w:hAnsi="仿宋" w:eastAsia="仿宋" w:cs="仿宋_GB2312"/>
          <w:iCs/>
          <w:sz w:val="24"/>
          <w:u w:val="single"/>
        </w:rPr>
        <w:t>见采购需求</w:t>
      </w:r>
    </w:p>
    <w:p w14:paraId="0BE69734">
      <w:pPr>
        <w:spacing w:line="360" w:lineRule="auto"/>
        <w:ind w:firstLine="456" w:firstLineChars="200"/>
        <w:jc w:val="left"/>
        <w:rPr>
          <w:rFonts w:ascii="仿宋" w:hAnsi="仿宋" w:eastAsia="仿宋"/>
          <w:sz w:val="24"/>
          <w:u w:val="single"/>
        </w:rPr>
      </w:pPr>
      <w:r>
        <w:rPr>
          <w:rFonts w:hint="eastAsia" w:ascii="仿宋" w:hAnsi="仿宋" w:eastAsia="仿宋"/>
          <w:iCs/>
          <w:sz w:val="24"/>
        </w:rPr>
        <w:t>8.质量保修范围和保修期：</w:t>
      </w:r>
      <w:r>
        <w:rPr>
          <w:rFonts w:hint="eastAsia" w:ascii="仿宋" w:hAnsi="仿宋" w:eastAsia="仿宋" w:cs="仿宋_GB2312"/>
          <w:iCs/>
          <w:sz w:val="24"/>
          <w:u w:val="single"/>
        </w:rPr>
        <w:t>见采购需求</w:t>
      </w:r>
    </w:p>
    <w:p w14:paraId="7D6A4DE3">
      <w:pPr>
        <w:spacing w:line="360" w:lineRule="auto"/>
        <w:ind w:firstLine="456" w:firstLineChars="200"/>
        <w:jc w:val="left"/>
        <w:rPr>
          <w:rFonts w:ascii="仿宋" w:hAnsi="仿宋" w:eastAsia="仿宋"/>
          <w:iCs/>
          <w:sz w:val="24"/>
          <w:u w:val="single"/>
        </w:rPr>
      </w:pPr>
      <w:r>
        <w:rPr>
          <w:rFonts w:hint="eastAsia" w:ascii="仿宋" w:hAnsi="仿宋" w:eastAsia="仿宋"/>
          <w:iCs/>
          <w:sz w:val="24"/>
        </w:rPr>
        <w:t>9.知识产权归属、处理方式：</w:t>
      </w:r>
      <w:r>
        <w:rPr>
          <w:rFonts w:hint="eastAsia" w:ascii="仿宋" w:hAnsi="仿宋" w:eastAsia="仿宋" w:cs="仿宋_GB2312"/>
          <w:iCs/>
          <w:sz w:val="24"/>
          <w:u w:val="single"/>
        </w:rPr>
        <w:t>见采购需求</w:t>
      </w:r>
    </w:p>
    <w:p w14:paraId="1C9BF1BC">
      <w:pPr>
        <w:spacing w:line="360" w:lineRule="auto"/>
        <w:ind w:firstLine="456" w:firstLineChars="200"/>
        <w:jc w:val="left"/>
        <w:rPr>
          <w:rFonts w:ascii="仿宋" w:hAnsi="仿宋" w:eastAsia="仿宋"/>
          <w:sz w:val="24"/>
          <w:u w:val="single"/>
        </w:rPr>
      </w:pPr>
      <w:r>
        <w:rPr>
          <w:rFonts w:hint="eastAsia" w:ascii="仿宋" w:hAnsi="仿宋" w:eastAsia="仿宋"/>
          <w:iCs/>
          <w:sz w:val="24"/>
        </w:rPr>
        <w:t>10.成本补偿、风险分担约定：</w:t>
      </w:r>
      <w:r>
        <w:rPr>
          <w:rFonts w:hint="eastAsia" w:ascii="仿宋" w:hAnsi="仿宋" w:eastAsia="仿宋"/>
          <w:iCs/>
          <w:sz w:val="24"/>
          <w:u w:val="single"/>
        </w:rPr>
        <w:t>无</w:t>
      </w:r>
    </w:p>
    <w:p w14:paraId="3B922FAD">
      <w:pPr>
        <w:spacing w:line="360" w:lineRule="auto"/>
        <w:ind w:firstLine="456" w:firstLineChars="200"/>
        <w:jc w:val="left"/>
        <w:rPr>
          <w:rFonts w:ascii="仿宋" w:hAnsi="仿宋" w:eastAsia="仿宋"/>
          <w:iCs/>
          <w:sz w:val="24"/>
          <w:u w:val="single"/>
        </w:rPr>
      </w:pPr>
      <w:r>
        <w:rPr>
          <w:rFonts w:hint="eastAsia" w:ascii="仿宋" w:hAnsi="仿宋" w:eastAsia="仿宋"/>
          <w:iCs/>
          <w:sz w:val="24"/>
        </w:rPr>
        <w:t>11.违约责任与解决争议的方法：</w:t>
      </w:r>
      <w:r>
        <w:rPr>
          <w:rFonts w:hint="eastAsia" w:ascii="仿宋" w:hAnsi="仿宋" w:eastAsia="仿宋"/>
          <w:iCs/>
          <w:sz w:val="24"/>
          <w:u w:val="single"/>
        </w:rPr>
        <w:t xml:space="preserve">  以发布为准   </w:t>
      </w:r>
    </w:p>
    <w:p w14:paraId="1A13EFEA">
      <w:pPr>
        <w:spacing w:line="360" w:lineRule="auto"/>
        <w:ind w:firstLine="456" w:firstLineChars="200"/>
        <w:jc w:val="left"/>
        <w:rPr>
          <w:rFonts w:ascii="仿宋" w:hAnsi="仿宋" w:eastAsia="仿宋"/>
          <w:iCs/>
          <w:sz w:val="24"/>
        </w:rPr>
      </w:pPr>
      <w:r>
        <w:rPr>
          <w:rFonts w:hint="eastAsia" w:ascii="仿宋" w:hAnsi="仿宋" w:eastAsia="仿宋"/>
          <w:iCs/>
          <w:sz w:val="24"/>
        </w:rPr>
        <w:t>12.其他条款：</w:t>
      </w:r>
      <w:r>
        <w:rPr>
          <w:rFonts w:hint="eastAsia" w:ascii="仿宋" w:hAnsi="仿宋" w:eastAsia="仿宋" w:cs="仿宋_GB2312"/>
          <w:sz w:val="24"/>
          <w:u w:val="single"/>
        </w:rPr>
        <w:t>以发布为准</w:t>
      </w:r>
    </w:p>
    <w:p w14:paraId="57719263">
      <w:pPr>
        <w:spacing w:beforeLines="100" w:line="360" w:lineRule="auto"/>
        <w:jc w:val="left"/>
        <w:rPr>
          <w:rFonts w:ascii="仿宋" w:hAnsi="仿宋" w:eastAsia="仿宋"/>
          <w:sz w:val="28"/>
          <w:szCs w:val="28"/>
        </w:rPr>
      </w:pPr>
      <w:r>
        <w:rPr>
          <w:rFonts w:hint="eastAsia" w:ascii="仿宋" w:hAnsi="仿宋" w:eastAsia="仿宋"/>
          <w:sz w:val="28"/>
          <w:szCs w:val="28"/>
        </w:rPr>
        <w:t>三、履约验收方案</w:t>
      </w:r>
    </w:p>
    <w:p w14:paraId="2AF12F18">
      <w:pPr>
        <w:spacing w:line="360" w:lineRule="auto"/>
        <w:jc w:val="left"/>
        <w:rPr>
          <w:rFonts w:ascii="仿宋" w:hAnsi="仿宋" w:eastAsia="仿宋"/>
          <w:sz w:val="24"/>
        </w:rPr>
      </w:pPr>
      <w:r>
        <w:rPr>
          <w:rFonts w:hint="eastAsia" w:ascii="仿宋" w:hAnsi="仿宋" w:eastAsia="仿宋"/>
          <w:sz w:val="24"/>
        </w:rPr>
        <w:t>（一）履约验收主体</w:t>
      </w:r>
    </w:p>
    <w:p w14:paraId="7CF0741C">
      <w:pPr>
        <w:spacing w:line="360" w:lineRule="auto"/>
        <w:ind w:left="616" w:leftChars="200"/>
        <w:jc w:val="left"/>
        <w:rPr>
          <w:rFonts w:ascii="仿宋" w:hAnsi="仿宋" w:eastAsia="仿宋"/>
          <w:sz w:val="24"/>
          <w:u w:val="single"/>
        </w:rPr>
      </w:pPr>
      <w:r>
        <w:rPr>
          <w:rFonts w:hint="eastAsia" w:ascii="仿宋" w:hAnsi="仿宋" w:eastAsia="仿宋"/>
          <w:sz w:val="24"/>
        </w:rPr>
        <w:t>1.采购单位：</w:t>
      </w:r>
      <w:r>
        <w:rPr>
          <w:rFonts w:hint="eastAsia" w:ascii="仿宋" w:hAnsi="仿宋" w:eastAsia="仿宋"/>
          <w:sz w:val="24"/>
          <w:u w:val="single"/>
        </w:rPr>
        <w:t xml:space="preserve">   杭州市余杭区综合行政执法局  </w:t>
      </w:r>
    </w:p>
    <w:p w14:paraId="47FB17FE">
      <w:pPr>
        <w:spacing w:line="360" w:lineRule="auto"/>
        <w:ind w:left="616" w:leftChars="200"/>
        <w:jc w:val="left"/>
        <w:rPr>
          <w:rFonts w:ascii="仿宋" w:hAnsi="仿宋" w:eastAsia="仿宋"/>
          <w:sz w:val="24"/>
          <w:u w:val="single"/>
        </w:rPr>
      </w:pPr>
      <w:r>
        <w:rPr>
          <w:rFonts w:hint="eastAsia" w:ascii="仿宋" w:hAnsi="仿宋" w:eastAsia="仿宋"/>
          <w:sz w:val="24"/>
        </w:rPr>
        <w:t>2.是否选择代理机构：</w:t>
      </w:r>
      <w:r>
        <w:rPr>
          <w:rFonts w:hint="eastAsia" w:ascii="仿宋" w:hAnsi="仿宋" w:eastAsia="仿宋"/>
          <w:sz w:val="24"/>
        </w:rPr>
        <w:tab/>
      </w:r>
      <w:r>
        <w:rPr>
          <w:rFonts w:hint="eastAsia" w:ascii="仿宋" w:hAnsi="仿宋" w:eastAsia="仿宋" w:cs="仿宋_GB2312"/>
          <w:sz w:val="24"/>
        </w:rPr>
        <w:sym w:font="Wingdings 2" w:char="0052"/>
      </w:r>
      <w:r>
        <w:rPr>
          <w:rFonts w:hint="eastAsia" w:ascii="仿宋" w:hAnsi="仿宋" w:eastAsia="仿宋"/>
          <w:sz w:val="24"/>
        </w:rPr>
        <w:t>是</w:t>
      </w:r>
      <w:r>
        <w:rPr>
          <w:rFonts w:hint="eastAsia" w:ascii="仿宋" w:hAnsi="仿宋" w:eastAsia="仿宋"/>
          <w:sz w:val="24"/>
        </w:rPr>
        <w:tab/>
      </w:r>
      <w:r>
        <w:rPr>
          <w:rFonts w:hint="eastAsia" w:ascii="仿宋" w:hAnsi="仿宋" w:eastAsia="仿宋" w:cs="仿宋_GB2312"/>
          <w:sz w:val="24"/>
        </w:rPr>
        <w:sym w:font="Wingdings 2" w:char="00A3"/>
      </w:r>
      <w:r>
        <w:rPr>
          <w:rFonts w:hint="eastAsia" w:ascii="仿宋" w:hAnsi="仿宋" w:eastAsia="仿宋"/>
          <w:sz w:val="24"/>
        </w:rPr>
        <w:t>否</w:t>
      </w:r>
    </w:p>
    <w:p w14:paraId="75D47AA8">
      <w:pPr>
        <w:spacing w:line="360" w:lineRule="auto"/>
        <w:ind w:left="616" w:leftChars="200"/>
        <w:jc w:val="left"/>
        <w:rPr>
          <w:rFonts w:ascii="仿宋" w:hAnsi="仿宋" w:eastAsia="仿宋"/>
          <w:sz w:val="24"/>
          <w:u w:val="single"/>
        </w:rPr>
      </w:pPr>
      <w:r>
        <w:rPr>
          <w:rFonts w:hint="eastAsia" w:ascii="仿宋" w:hAnsi="仿宋" w:eastAsia="仿宋"/>
          <w:sz w:val="24"/>
        </w:rPr>
        <w:t>3.是否邀请本项目的其他供应商：</w:t>
      </w:r>
      <w:r>
        <w:rPr>
          <w:rFonts w:hint="eastAsia" w:ascii="仿宋" w:hAnsi="仿宋" w:eastAsia="仿宋"/>
          <w:sz w:val="24"/>
        </w:rPr>
        <w:tab/>
      </w:r>
      <w:r>
        <w:rPr>
          <w:rFonts w:hint="eastAsia" w:ascii="仿宋" w:hAnsi="仿宋" w:eastAsia="仿宋" w:cs="仿宋_GB2312"/>
          <w:sz w:val="24"/>
        </w:rPr>
        <w:sym w:font="Wingdings 2" w:char="00A3"/>
      </w:r>
      <w:r>
        <w:rPr>
          <w:rFonts w:hint="eastAsia" w:ascii="仿宋" w:hAnsi="仿宋" w:eastAsia="仿宋"/>
          <w:sz w:val="24"/>
        </w:rPr>
        <w:t>是</w:t>
      </w:r>
      <w:r>
        <w:rPr>
          <w:rFonts w:hint="eastAsia" w:ascii="仿宋" w:hAnsi="仿宋" w:eastAsia="仿宋"/>
          <w:sz w:val="24"/>
        </w:rPr>
        <w:tab/>
      </w:r>
      <w:r>
        <w:rPr>
          <w:rFonts w:hint="eastAsia" w:ascii="仿宋" w:hAnsi="仿宋" w:eastAsia="仿宋" w:cs="仿宋_GB2312"/>
          <w:sz w:val="24"/>
        </w:rPr>
        <w:sym w:font="Wingdings 2" w:char="0052"/>
      </w:r>
      <w:r>
        <w:rPr>
          <w:rFonts w:hint="eastAsia" w:ascii="仿宋" w:hAnsi="仿宋" w:eastAsia="仿宋"/>
          <w:sz w:val="24"/>
        </w:rPr>
        <w:t>否</w:t>
      </w:r>
    </w:p>
    <w:p w14:paraId="4B334FD4">
      <w:pPr>
        <w:spacing w:line="360" w:lineRule="auto"/>
        <w:ind w:left="616" w:leftChars="200"/>
        <w:jc w:val="left"/>
        <w:rPr>
          <w:rFonts w:ascii="仿宋" w:hAnsi="仿宋" w:eastAsia="仿宋"/>
          <w:sz w:val="24"/>
        </w:rPr>
      </w:pPr>
      <w:r>
        <w:rPr>
          <w:rFonts w:hint="eastAsia" w:ascii="仿宋" w:hAnsi="仿宋" w:eastAsia="仿宋"/>
          <w:sz w:val="24"/>
        </w:rPr>
        <w:t>4.是否邀请专家：</w:t>
      </w:r>
      <w:r>
        <w:rPr>
          <w:rFonts w:hint="eastAsia" w:ascii="仿宋" w:hAnsi="仿宋" w:eastAsia="仿宋"/>
          <w:sz w:val="24"/>
        </w:rPr>
        <w:tab/>
      </w:r>
      <w:r>
        <w:rPr>
          <w:rFonts w:hint="eastAsia" w:ascii="仿宋" w:hAnsi="仿宋" w:eastAsia="仿宋" w:cs="仿宋_GB2312"/>
          <w:sz w:val="24"/>
        </w:rPr>
        <w:sym w:font="Wingdings 2" w:char="0052"/>
      </w:r>
      <w:r>
        <w:rPr>
          <w:rFonts w:hint="eastAsia" w:ascii="仿宋" w:hAnsi="仿宋" w:eastAsia="仿宋"/>
          <w:sz w:val="24"/>
        </w:rPr>
        <w:t>是</w:t>
      </w:r>
      <w:r>
        <w:rPr>
          <w:rFonts w:hint="eastAsia" w:ascii="仿宋" w:hAnsi="仿宋" w:eastAsia="仿宋"/>
          <w:sz w:val="24"/>
        </w:rPr>
        <w:tab/>
      </w:r>
      <w:r>
        <w:rPr>
          <w:rFonts w:hint="eastAsia" w:ascii="仿宋" w:hAnsi="仿宋" w:eastAsia="仿宋" w:cs="仿宋_GB2312"/>
          <w:sz w:val="24"/>
        </w:rPr>
        <w:sym w:font="Wingdings 2" w:char="00A3"/>
      </w:r>
      <w:r>
        <w:rPr>
          <w:rFonts w:hint="eastAsia" w:ascii="仿宋" w:hAnsi="仿宋" w:eastAsia="仿宋"/>
          <w:sz w:val="24"/>
        </w:rPr>
        <w:t>否</w:t>
      </w:r>
    </w:p>
    <w:p w14:paraId="3D1EA451">
      <w:pPr>
        <w:spacing w:line="360" w:lineRule="auto"/>
        <w:ind w:left="616" w:leftChars="200"/>
        <w:jc w:val="left"/>
        <w:rPr>
          <w:rFonts w:ascii="仿宋" w:hAnsi="仿宋" w:eastAsia="仿宋"/>
          <w:sz w:val="24"/>
        </w:rPr>
      </w:pPr>
      <w:r>
        <w:rPr>
          <w:rFonts w:hint="eastAsia" w:ascii="仿宋" w:hAnsi="仿宋" w:eastAsia="仿宋"/>
          <w:sz w:val="24"/>
        </w:rPr>
        <w:t>5.是否邀请服务对象：</w:t>
      </w:r>
      <w:r>
        <w:rPr>
          <w:rFonts w:hint="eastAsia" w:ascii="仿宋" w:hAnsi="仿宋" w:eastAsia="仿宋"/>
          <w:sz w:val="24"/>
        </w:rPr>
        <w:tab/>
      </w:r>
      <w:r>
        <w:rPr>
          <w:rFonts w:hint="eastAsia" w:ascii="仿宋" w:hAnsi="仿宋" w:eastAsia="仿宋" w:cs="仿宋_GB2312"/>
          <w:sz w:val="24"/>
        </w:rPr>
        <w:sym w:font="Wingdings 2" w:char="0052"/>
      </w:r>
      <w:r>
        <w:rPr>
          <w:rFonts w:hint="eastAsia" w:ascii="仿宋" w:hAnsi="仿宋" w:eastAsia="仿宋"/>
          <w:sz w:val="24"/>
        </w:rPr>
        <w:t>是</w:t>
      </w:r>
      <w:r>
        <w:rPr>
          <w:rFonts w:hint="eastAsia" w:ascii="仿宋" w:hAnsi="仿宋" w:eastAsia="仿宋"/>
          <w:sz w:val="24"/>
        </w:rPr>
        <w:tab/>
      </w:r>
      <w:r>
        <w:rPr>
          <w:rFonts w:hint="eastAsia" w:ascii="仿宋" w:hAnsi="仿宋" w:eastAsia="仿宋" w:cs="仿宋_GB2312"/>
          <w:sz w:val="24"/>
        </w:rPr>
        <w:sym w:font="Wingdings 2" w:char="00A3"/>
      </w:r>
      <w:r>
        <w:rPr>
          <w:rFonts w:hint="eastAsia" w:ascii="仿宋" w:hAnsi="仿宋" w:eastAsia="仿宋"/>
          <w:sz w:val="24"/>
        </w:rPr>
        <w:t>否</w:t>
      </w:r>
    </w:p>
    <w:p w14:paraId="52D8C8F7">
      <w:pPr>
        <w:spacing w:line="360" w:lineRule="auto"/>
        <w:ind w:firstLine="684" w:firstLineChars="300"/>
        <w:jc w:val="left"/>
        <w:rPr>
          <w:rFonts w:ascii="仿宋" w:hAnsi="仿宋" w:eastAsia="仿宋"/>
          <w:sz w:val="24"/>
          <w:u w:val="single"/>
        </w:rPr>
      </w:pPr>
      <w:r>
        <w:rPr>
          <w:rFonts w:hint="eastAsia" w:ascii="仿宋" w:hAnsi="仿宋" w:eastAsia="仿宋"/>
          <w:sz w:val="24"/>
        </w:rPr>
        <w:t>6.其他：</w:t>
      </w:r>
      <w:r>
        <w:rPr>
          <w:rFonts w:hint="eastAsia" w:ascii="仿宋" w:hAnsi="仿宋" w:eastAsia="仿宋"/>
          <w:sz w:val="24"/>
          <w:u w:val="single"/>
        </w:rPr>
        <w:t>无</w:t>
      </w:r>
    </w:p>
    <w:p w14:paraId="15424232">
      <w:pPr>
        <w:spacing w:line="360" w:lineRule="auto"/>
        <w:jc w:val="left"/>
        <w:rPr>
          <w:rFonts w:ascii="仿宋" w:hAnsi="仿宋" w:eastAsia="仿宋"/>
          <w:sz w:val="24"/>
          <w:u w:val="single"/>
        </w:rPr>
      </w:pPr>
      <w:r>
        <w:rPr>
          <w:rFonts w:hint="eastAsia" w:ascii="仿宋" w:hAnsi="仿宋" w:eastAsia="仿宋"/>
          <w:sz w:val="24"/>
        </w:rPr>
        <w:t>（二）履约验收时间：</w:t>
      </w:r>
      <w:r>
        <w:rPr>
          <w:rFonts w:hint="eastAsia" w:ascii="仿宋" w:hAnsi="仿宋" w:eastAsia="仿宋" w:cs="仿宋_GB2312"/>
          <w:sz w:val="24"/>
          <w:u w:val="single"/>
        </w:rPr>
        <w:t>项目完成经试运行后验收</w:t>
      </w:r>
    </w:p>
    <w:p w14:paraId="44CE9E92">
      <w:pPr>
        <w:spacing w:line="360" w:lineRule="auto"/>
        <w:jc w:val="left"/>
        <w:rPr>
          <w:rFonts w:ascii="仿宋" w:hAnsi="仿宋" w:eastAsia="仿宋"/>
          <w:sz w:val="24"/>
        </w:rPr>
      </w:pPr>
      <w:r>
        <w:rPr>
          <w:rFonts w:hint="eastAsia" w:ascii="仿宋" w:hAnsi="仿宋" w:eastAsia="仿宋"/>
          <w:sz w:val="24"/>
        </w:rPr>
        <w:t>（三）履约验收方式：</w:t>
      </w:r>
      <w:r>
        <w:rPr>
          <w:rFonts w:hint="eastAsia" w:ascii="仿宋" w:hAnsi="仿宋" w:eastAsia="仿宋"/>
          <w:sz w:val="24"/>
        </w:rPr>
        <w:tab/>
      </w:r>
      <w:r>
        <w:rPr>
          <w:rFonts w:hint="eastAsia" w:ascii="仿宋" w:hAnsi="仿宋" w:eastAsia="仿宋" w:cs="仿宋_GB2312"/>
          <w:sz w:val="24"/>
        </w:rPr>
        <w:sym w:font="Wingdings 2" w:char="00A3"/>
      </w:r>
      <w:r>
        <w:rPr>
          <w:rFonts w:hint="eastAsia" w:ascii="仿宋" w:hAnsi="仿宋" w:eastAsia="仿宋"/>
          <w:sz w:val="24"/>
        </w:rPr>
        <w:t>简易程序</w:t>
      </w:r>
      <w:r>
        <w:rPr>
          <w:rFonts w:hint="eastAsia" w:ascii="仿宋" w:hAnsi="仿宋" w:eastAsia="仿宋"/>
          <w:sz w:val="24"/>
        </w:rPr>
        <w:tab/>
      </w:r>
      <w:r>
        <w:rPr>
          <w:rFonts w:hint="eastAsia" w:ascii="仿宋" w:hAnsi="仿宋" w:eastAsia="仿宋"/>
          <w:sz w:val="24"/>
        </w:rPr>
        <w:tab/>
      </w:r>
      <w:r>
        <w:rPr>
          <w:rFonts w:hint="eastAsia" w:ascii="仿宋" w:hAnsi="仿宋" w:eastAsia="仿宋" w:cs="仿宋_GB2312"/>
          <w:sz w:val="24"/>
        </w:rPr>
        <w:sym w:font="Wingdings 2" w:char="0052"/>
      </w:r>
      <w:r>
        <w:rPr>
          <w:rFonts w:hint="eastAsia" w:ascii="仿宋" w:hAnsi="仿宋" w:eastAsia="仿宋"/>
          <w:sz w:val="24"/>
        </w:rPr>
        <w:t>一般程序</w:t>
      </w:r>
    </w:p>
    <w:p w14:paraId="377BEDE1">
      <w:pPr>
        <w:spacing w:line="360" w:lineRule="auto"/>
        <w:jc w:val="left"/>
        <w:rPr>
          <w:rFonts w:ascii="仿宋" w:hAnsi="仿宋" w:eastAsia="仿宋"/>
          <w:sz w:val="24"/>
        </w:rPr>
      </w:pPr>
      <w:r>
        <w:rPr>
          <w:rFonts w:hint="eastAsia" w:ascii="仿宋" w:hAnsi="仿宋" w:eastAsia="仿宋"/>
          <w:sz w:val="24"/>
        </w:rPr>
        <w:t>（四）履约验收程序：</w:t>
      </w:r>
      <w:r>
        <w:rPr>
          <w:rFonts w:hint="eastAsia" w:ascii="仿宋" w:hAnsi="仿宋" w:eastAsia="仿宋"/>
          <w:sz w:val="24"/>
        </w:rPr>
        <w:tab/>
      </w:r>
      <w:r>
        <w:rPr>
          <w:rFonts w:hint="eastAsia" w:ascii="仿宋" w:hAnsi="仿宋" w:eastAsia="仿宋" w:cs="仿宋_GB2312"/>
          <w:sz w:val="24"/>
        </w:rPr>
        <w:sym w:font="Wingdings 2" w:char="00A3"/>
      </w:r>
      <w:r>
        <w:rPr>
          <w:rFonts w:hint="eastAsia" w:ascii="仿宋" w:hAnsi="仿宋" w:eastAsia="仿宋"/>
          <w:sz w:val="24"/>
        </w:rPr>
        <w:t>一次性验收</w:t>
      </w:r>
      <w:r>
        <w:rPr>
          <w:rFonts w:hint="eastAsia" w:ascii="仿宋" w:hAnsi="仿宋" w:eastAsia="仿宋"/>
          <w:sz w:val="24"/>
        </w:rPr>
        <w:tab/>
      </w:r>
      <w:r>
        <w:rPr>
          <w:rFonts w:hint="eastAsia" w:ascii="仿宋" w:hAnsi="仿宋" w:eastAsia="仿宋" w:cs="仿宋_GB2312"/>
          <w:sz w:val="24"/>
        </w:rPr>
        <w:sym w:font="Wingdings 2" w:char="0052"/>
      </w:r>
      <w:r>
        <w:rPr>
          <w:rFonts w:hint="eastAsia" w:ascii="仿宋" w:hAnsi="仿宋" w:eastAsia="仿宋"/>
          <w:sz w:val="24"/>
        </w:rPr>
        <w:t>分段验收</w:t>
      </w:r>
      <w:r>
        <w:rPr>
          <w:rFonts w:hint="eastAsia" w:ascii="仿宋" w:hAnsi="仿宋" w:eastAsia="仿宋"/>
          <w:sz w:val="24"/>
        </w:rPr>
        <w:tab/>
      </w:r>
      <w:r>
        <w:rPr>
          <w:rFonts w:hint="eastAsia" w:ascii="仿宋" w:hAnsi="仿宋" w:eastAsia="仿宋"/>
          <w:sz w:val="24"/>
        </w:rPr>
        <w:tab/>
      </w:r>
      <w:r>
        <w:rPr>
          <w:rFonts w:hint="eastAsia" w:ascii="仿宋" w:hAnsi="仿宋" w:eastAsia="仿宋" w:cs="仿宋_GB2312"/>
          <w:sz w:val="24"/>
        </w:rPr>
        <w:sym w:font="Wingdings 2" w:char="00A3"/>
      </w:r>
      <w:r>
        <w:rPr>
          <w:rFonts w:hint="eastAsia" w:ascii="仿宋" w:hAnsi="仿宋" w:eastAsia="仿宋"/>
          <w:sz w:val="24"/>
        </w:rPr>
        <w:t>分期验收</w:t>
      </w:r>
    </w:p>
    <w:p w14:paraId="34CC5855">
      <w:pPr>
        <w:spacing w:line="360" w:lineRule="auto"/>
        <w:jc w:val="left"/>
        <w:rPr>
          <w:rFonts w:ascii="仿宋" w:hAnsi="仿宋" w:eastAsia="仿宋"/>
          <w:sz w:val="24"/>
        </w:rPr>
      </w:pPr>
      <w:r>
        <w:rPr>
          <w:rFonts w:hint="eastAsia" w:ascii="仿宋" w:hAnsi="仿宋" w:eastAsia="仿宋"/>
          <w:sz w:val="24"/>
        </w:rPr>
        <w:t>（五）履约验收内容</w:t>
      </w:r>
    </w:p>
    <w:p w14:paraId="7C2FC03A">
      <w:pPr>
        <w:spacing w:line="360" w:lineRule="auto"/>
        <w:ind w:firstLine="456" w:firstLineChars="200"/>
        <w:jc w:val="left"/>
        <w:rPr>
          <w:rFonts w:ascii="仿宋" w:hAnsi="仿宋" w:eastAsia="仿宋"/>
          <w:sz w:val="24"/>
          <w:u w:val="single"/>
        </w:rPr>
      </w:pPr>
      <w:r>
        <w:rPr>
          <w:rFonts w:hint="eastAsia" w:ascii="仿宋" w:hAnsi="仿宋" w:eastAsia="仿宋"/>
          <w:iCs/>
          <w:sz w:val="24"/>
        </w:rPr>
        <w:t>1.技术履约内容：</w:t>
      </w:r>
      <w:r>
        <w:rPr>
          <w:rFonts w:hint="eastAsia" w:ascii="仿宋" w:hAnsi="仿宋" w:eastAsia="仿宋"/>
          <w:iCs/>
          <w:sz w:val="24"/>
          <w:u w:val="single"/>
        </w:rPr>
        <w:t>详见采购需求；</w:t>
      </w:r>
    </w:p>
    <w:p w14:paraId="05F3B347">
      <w:pPr>
        <w:spacing w:line="360" w:lineRule="auto"/>
        <w:ind w:firstLine="456" w:firstLineChars="200"/>
        <w:jc w:val="left"/>
        <w:rPr>
          <w:rFonts w:ascii="仿宋" w:hAnsi="仿宋" w:eastAsia="仿宋"/>
          <w:sz w:val="24"/>
          <w:u w:val="single"/>
        </w:rPr>
      </w:pPr>
      <w:r>
        <w:rPr>
          <w:rFonts w:hint="eastAsia" w:ascii="仿宋" w:hAnsi="仿宋" w:eastAsia="仿宋"/>
          <w:iCs/>
          <w:sz w:val="24"/>
        </w:rPr>
        <w:t>2.商务履约内容：</w:t>
      </w:r>
      <w:r>
        <w:rPr>
          <w:rFonts w:hint="eastAsia" w:ascii="仿宋" w:hAnsi="仿宋" w:eastAsia="仿宋"/>
          <w:iCs/>
          <w:sz w:val="24"/>
          <w:u w:val="single"/>
        </w:rPr>
        <w:t>详见采购需求；</w:t>
      </w:r>
    </w:p>
    <w:p w14:paraId="1969405D">
      <w:pPr>
        <w:spacing w:line="360" w:lineRule="auto"/>
        <w:jc w:val="left"/>
        <w:rPr>
          <w:rFonts w:ascii="仿宋" w:hAnsi="仿宋" w:eastAsia="仿宋"/>
          <w:sz w:val="24"/>
        </w:rPr>
      </w:pPr>
      <w:r>
        <w:rPr>
          <w:rFonts w:hint="eastAsia" w:ascii="仿宋" w:hAnsi="仿宋" w:eastAsia="仿宋"/>
          <w:sz w:val="24"/>
        </w:rPr>
        <w:t>（六）履约验收标准：</w:t>
      </w:r>
      <w:r>
        <w:rPr>
          <w:rFonts w:hint="eastAsia" w:ascii="仿宋" w:hAnsi="仿宋" w:eastAsia="仿宋"/>
          <w:iCs/>
          <w:sz w:val="24"/>
          <w:u w:val="single"/>
        </w:rPr>
        <w:t>详见采购需求；</w:t>
      </w:r>
    </w:p>
    <w:p w14:paraId="15612C69">
      <w:pPr>
        <w:spacing w:line="360" w:lineRule="auto"/>
        <w:jc w:val="left"/>
        <w:rPr>
          <w:rFonts w:ascii="仿宋" w:hAnsi="仿宋" w:eastAsia="仿宋"/>
          <w:sz w:val="24"/>
          <w:u w:val="single"/>
        </w:rPr>
      </w:pPr>
      <w:r>
        <w:rPr>
          <w:rFonts w:hint="eastAsia" w:ascii="仿宋" w:hAnsi="仿宋" w:eastAsia="仿宋"/>
          <w:sz w:val="24"/>
        </w:rPr>
        <w:t>（七）履约验收其他事项：</w:t>
      </w:r>
      <w:r>
        <w:rPr>
          <w:rFonts w:hint="eastAsia" w:ascii="仿宋" w:hAnsi="仿宋" w:eastAsia="仿宋"/>
          <w:iCs/>
          <w:sz w:val="24"/>
          <w:u w:val="single"/>
        </w:rPr>
        <w:t>详见采购需求。</w:t>
      </w:r>
    </w:p>
    <w:p w14:paraId="49395803">
      <w:pPr>
        <w:spacing w:beforeLines="100" w:line="360" w:lineRule="auto"/>
        <w:jc w:val="left"/>
        <w:rPr>
          <w:rFonts w:ascii="仿宋" w:hAnsi="仿宋" w:eastAsia="仿宋"/>
          <w:sz w:val="28"/>
          <w:szCs w:val="28"/>
        </w:rPr>
      </w:pPr>
      <w:r>
        <w:rPr>
          <w:rFonts w:hint="eastAsia" w:ascii="仿宋" w:hAnsi="仿宋" w:eastAsia="仿宋"/>
          <w:sz w:val="28"/>
          <w:szCs w:val="28"/>
        </w:rPr>
        <w:t>四、风险控制措施和替代方案</w:t>
      </w:r>
    </w:p>
    <w:p w14:paraId="4DAA5596">
      <w:pPr>
        <w:spacing w:line="360" w:lineRule="auto"/>
        <w:ind w:firstLine="420"/>
        <w:jc w:val="left"/>
        <w:rPr>
          <w:rFonts w:ascii="仿宋" w:hAnsi="仿宋" w:eastAsia="仿宋"/>
          <w:sz w:val="24"/>
        </w:rPr>
      </w:pPr>
      <w:r>
        <w:rPr>
          <w:rFonts w:hint="eastAsia" w:ascii="仿宋" w:hAnsi="仿宋" w:eastAsia="仿宋"/>
          <w:sz w:val="24"/>
        </w:rPr>
        <w:t>该采购项目按照《政府采购需求管理办法》第二十五条规定，是否需要组织风险判断、提出处置措施和替代方案：</w:t>
      </w:r>
      <w:r>
        <w:rPr>
          <w:rFonts w:hint="eastAsia" w:ascii="仿宋" w:hAnsi="仿宋" w:eastAsia="仿宋"/>
          <w:sz w:val="24"/>
        </w:rPr>
        <w:tab/>
      </w:r>
      <w:r>
        <w:rPr>
          <w:rFonts w:hint="eastAsia" w:ascii="仿宋" w:hAnsi="仿宋" w:eastAsia="仿宋" w:cs="仿宋_GB2312"/>
          <w:sz w:val="24"/>
        </w:rPr>
        <w:sym w:font="Wingdings 2" w:char="00A3"/>
      </w:r>
      <w:r>
        <w:rPr>
          <w:rFonts w:hint="eastAsia" w:ascii="仿宋" w:hAnsi="仿宋" w:eastAsia="仿宋"/>
          <w:sz w:val="24"/>
        </w:rPr>
        <w:t>是</w:t>
      </w:r>
      <w:r>
        <w:rPr>
          <w:rFonts w:hint="eastAsia" w:ascii="仿宋" w:hAnsi="仿宋" w:eastAsia="仿宋"/>
          <w:sz w:val="24"/>
        </w:rPr>
        <w:tab/>
      </w:r>
      <w:r>
        <w:rPr>
          <w:rFonts w:hint="eastAsia" w:ascii="仿宋" w:hAnsi="仿宋" w:eastAsia="仿宋" w:cs="仿宋_GB2312"/>
          <w:sz w:val="24"/>
        </w:rPr>
        <w:sym w:font="Wingdings 2" w:char="0052"/>
      </w:r>
      <w:r>
        <w:rPr>
          <w:rFonts w:hint="eastAsia" w:ascii="仿宋" w:hAnsi="仿宋" w:eastAsia="仿宋"/>
          <w:sz w:val="24"/>
        </w:rPr>
        <w:t>否</w:t>
      </w:r>
    </w:p>
    <w:p w14:paraId="2B4EE4E4">
      <w:pPr>
        <w:spacing w:line="360" w:lineRule="auto"/>
        <w:jc w:val="left"/>
        <w:rPr>
          <w:rFonts w:ascii="仿宋" w:hAnsi="仿宋" w:eastAsia="仿宋"/>
          <w:sz w:val="24"/>
        </w:rPr>
      </w:pPr>
      <w:r>
        <w:rPr>
          <w:rFonts w:hint="eastAsia" w:ascii="仿宋" w:hAnsi="仿宋" w:eastAsia="仿宋"/>
          <w:sz w:val="24"/>
        </w:rPr>
        <w:t>（一）国家政策变化应对措施</w:t>
      </w:r>
    </w:p>
    <w:p w14:paraId="3184800F">
      <w:pPr>
        <w:spacing w:line="360" w:lineRule="auto"/>
        <w:ind w:firstLine="456" w:firstLineChars="200"/>
        <w:jc w:val="left"/>
        <w:rPr>
          <w:rFonts w:ascii="仿宋" w:hAnsi="仿宋" w:eastAsia="仿宋"/>
          <w:sz w:val="24"/>
          <w:u w:val="single"/>
        </w:rPr>
      </w:pPr>
      <w:r>
        <w:rPr>
          <w:rFonts w:hint="eastAsia" w:ascii="仿宋" w:hAnsi="仿宋" w:eastAsia="仿宋"/>
          <w:sz w:val="24"/>
          <w:u w:val="single"/>
        </w:rPr>
        <w:t>调整相应技术要求后继续采购。如政策变化后本项目不再适合采购的，终止采购。合同的规定如与今后国家颁布新的法律或规定相矛盾，以</w:t>
      </w:r>
      <w:bookmarkStart w:id="0" w:name="_GoBack"/>
      <w:bookmarkEnd w:id="0"/>
      <w:r>
        <w:rPr>
          <w:rFonts w:hint="eastAsia" w:ascii="仿宋" w:hAnsi="仿宋" w:eastAsia="仿宋"/>
          <w:sz w:val="24"/>
          <w:u w:val="single"/>
        </w:rPr>
        <w:t>新法律规定为准，甲乙双方由此所受到的损失由双方各自承担。</w:t>
      </w:r>
    </w:p>
    <w:p w14:paraId="61A623F7">
      <w:pPr>
        <w:spacing w:line="360" w:lineRule="auto"/>
        <w:jc w:val="left"/>
        <w:rPr>
          <w:rFonts w:ascii="仿宋" w:hAnsi="仿宋" w:eastAsia="仿宋"/>
          <w:sz w:val="24"/>
        </w:rPr>
      </w:pPr>
      <w:r>
        <w:rPr>
          <w:rFonts w:hint="eastAsia" w:ascii="仿宋" w:hAnsi="仿宋" w:eastAsia="仿宋"/>
          <w:sz w:val="24"/>
        </w:rPr>
        <w:t>（二）实施环境变化应对措施</w:t>
      </w:r>
    </w:p>
    <w:p w14:paraId="59C43EC5">
      <w:pPr>
        <w:spacing w:line="360" w:lineRule="auto"/>
        <w:ind w:firstLine="456" w:firstLineChars="200"/>
        <w:jc w:val="left"/>
        <w:rPr>
          <w:rFonts w:ascii="仿宋" w:hAnsi="仿宋" w:eastAsia="仿宋"/>
          <w:sz w:val="24"/>
          <w:u w:val="single"/>
        </w:rPr>
      </w:pPr>
      <w:r>
        <w:rPr>
          <w:rFonts w:hint="eastAsia" w:ascii="仿宋" w:hAnsi="仿宋" w:eastAsia="仿宋"/>
          <w:sz w:val="24"/>
          <w:u w:val="single"/>
        </w:rPr>
        <w:t>调整相应技术要求后继续采购。如环境变化后本项目不再适合采购的，终止采购。</w:t>
      </w:r>
    </w:p>
    <w:p w14:paraId="52A15B24">
      <w:pPr>
        <w:spacing w:line="360" w:lineRule="auto"/>
        <w:ind w:firstLine="456" w:firstLineChars="200"/>
        <w:jc w:val="left"/>
        <w:rPr>
          <w:rFonts w:ascii="仿宋" w:hAnsi="仿宋" w:eastAsia="仿宋"/>
          <w:sz w:val="24"/>
        </w:rPr>
      </w:pPr>
      <w:r>
        <w:rPr>
          <w:rFonts w:hint="eastAsia" w:ascii="仿宋" w:hAnsi="仿宋" w:eastAsia="仿宋"/>
          <w:sz w:val="24"/>
        </w:rPr>
        <w:t>（三）重大技术变化应对措施</w:t>
      </w:r>
    </w:p>
    <w:p w14:paraId="3F6E3362">
      <w:pPr>
        <w:spacing w:line="360" w:lineRule="auto"/>
        <w:ind w:firstLine="456" w:firstLineChars="200"/>
        <w:jc w:val="left"/>
        <w:rPr>
          <w:rFonts w:ascii="仿宋" w:hAnsi="仿宋" w:eastAsia="仿宋"/>
          <w:sz w:val="24"/>
          <w:u w:val="single"/>
        </w:rPr>
      </w:pPr>
      <w:r>
        <w:rPr>
          <w:rFonts w:hint="eastAsia" w:ascii="仿宋" w:hAnsi="仿宋" w:eastAsia="仿宋" w:cs="仿宋_GB2312"/>
          <w:sz w:val="24"/>
          <w:u w:val="single"/>
        </w:rPr>
        <w:t>调整技术要求后继续采购。如重大技术变化影响主要标的或资格条件，调整后重新采购。</w:t>
      </w:r>
    </w:p>
    <w:p w14:paraId="64BC5FBB">
      <w:pPr>
        <w:spacing w:line="360" w:lineRule="auto"/>
        <w:jc w:val="left"/>
        <w:rPr>
          <w:rFonts w:ascii="仿宋" w:hAnsi="仿宋" w:eastAsia="仿宋"/>
          <w:sz w:val="24"/>
        </w:rPr>
      </w:pPr>
      <w:r>
        <w:rPr>
          <w:rFonts w:hint="eastAsia" w:ascii="仿宋" w:hAnsi="仿宋" w:eastAsia="仿宋"/>
          <w:sz w:val="24"/>
        </w:rPr>
        <w:t>（四）预算项目调整应对措施</w:t>
      </w:r>
    </w:p>
    <w:p w14:paraId="0C012EA1">
      <w:pPr>
        <w:spacing w:line="360" w:lineRule="auto"/>
        <w:ind w:firstLine="456" w:firstLineChars="200"/>
        <w:jc w:val="left"/>
        <w:rPr>
          <w:rFonts w:ascii="仿宋" w:hAnsi="仿宋" w:eastAsia="仿宋"/>
          <w:sz w:val="24"/>
          <w:u w:val="single"/>
        </w:rPr>
      </w:pPr>
      <w:r>
        <w:rPr>
          <w:rFonts w:hint="eastAsia" w:ascii="仿宋" w:hAnsi="仿宋" w:eastAsia="仿宋" w:cs="仿宋_GB2312"/>
          <w:sz w:val="24"/>
          <w:u w:val="single"/>
        </w:rPr>
        <w:t>调整预算后项目重新采购。</w:t>
      </w:r>
    </w:p>
    <w:p w14:paraId="6FB1545D">
      <w:pPr>
        <w:spacing w:line="360" w:lineRule="auto"/>
        <w:jc w:val="left"/>
        <w:rPr>
          <w:rFonts w:ascii="仿宋" w:hAnsi="仿宋" w:eastAsia="仿宋"/>
          <w:sz w:val="24"/>
        </w:rPr>
      </w:pPr>
      <w:r>
        <w:rPr>
          <w:rFonts w:hint="eastAsia" w:ascii="仿宋" w:hAnsi="仿宋" w:eastAsia="仿宋"/>
          <w:sz w:val="24"/>
        </w:rPr>
        <w:t>（五）因质疑投诉影响采购进度应对措施</w:t>
      </w:r>
    </w:p>
    <w:p w14:paraId="6C147C7B">
      <w:pPr>
        <w:spacing w:line="360" w:lineRule="auto"/>
        <w:ind w:firstLine="456" w:firstLineChars="200"/>
        <w:jc w:val="left"/>
        <w:rPr>
          <w:rFonts w:ascii="仿宋" w:hAnsi="仿宋" w:eastAsia="仿宋"/>
          <w:sz w:val="24"/>
          <w:u w:val="single"/>
        </w:rPr>
      </w:pPr>
      <w:r>
        <w:rPr>
          <w:rFonts w:hint="eastAsia" w:ascii="仿宋" w:hAnsi="仿宋" w:eastAsia="仿宋" w:cs="仿宋_GB2312"/>
          <w:sz w:val="24"/>
          <w:u w:val="single"/>
        </w:rPr>
        <w:t>采购前预留足够采购时间，重新采购。</w:t>
      </w:r>
    </w:p>
    <w:p w14:paraId="6D23436D">
      <w:pPr>
        <w:spacing w:line="360" w:lineRule="auto"/>
        <w:jc w:val="left"/>
        <w:rPr>
          <w:rFonts w:ascii="仿宋" w:hAnsi="仿宋" w:eastAsia="仿宋"/>
          <w:sz w:val="24"/>
        </w:rPr>
      </w:pPr>
      <w:r>
        <w:rPr>
          <w:rFonts w:hint="eastAsia" w:ascii="仿宋" w:hAnsi="仿宋" w:eastAsia="仿宋"/>
          <w:sz w:val="24"/>
        </w:rPr>
        <w:t>（六）采购失败应对措施</w:t>
      </w:r>
    </w:p>
    <w:p w14:paraId="02B60D49">
      <w:pPr>
        <w:spacing w:line="360" w:lineRule="auto"/>
        <w:ind w:firstLine="456" w:firstLineChars="200"/>
        <w:jc w:val="left"/>
        <w:rPr>
          <w:rFonts w:ascii="仿宋" w:hAnsi="仿宋" w:eastAsia="仿宋" w:cs="仿宋_GB2312"/>
          <w:sz w:val="24"/>
          <w:u w:val="single"/>
        </w:rPr>
      </w:pPr>
      <w:r>
        <w:rPr>
          <w:rFonts w:hint="eastAsia" w:ascii="仿宋" w:hAnsi="仿宋" w:eastAsia="仿宋" w:cs="仿宋_GB2312"/>
          <w:sz w:val="24"/>
          <w:u w:val="single"/>
        </w:rPr>
        <w:t>根据实际情况按相关法律法规执行。</w:t>
      </w:r>
    </w:p>
    <w:p w14:paraId="0E62C068">
      <w:pPr>
        <w:spacing w:line="360" w:lineRule="auto"/>
        <w:jc w:val="left"/>
        <w:rPr>
          <w:rFonts w:ascii="仿宋" w:hAnsi="仿宋" w:eastAsia="仿宋"/>
          <w:sz w:val="24"/>
        </w:rPr>
      </w:pPr>
      <w:r>
        <w:rPr>
          <w:rFonts w:hint="eastAsia" w:ascii="仿宋" w:hAnsi="仿宋" w:eastAsia="仿宋"/>
          <w:sz w:val="24"/>
        </w:rPr>
        <w:t>（七）不按规定签订或者履行合同应对措施</w:t>
      </w:r>
    </w:p>
    <w:p w14:paraId="0A214AC7">
      <w:pPr>
        <w:spacing w:line="360" w:lineRule="auto"/>
        <w:ind w:firstLine="456" w:firstLineChars="200"/>
        <w:jc w:val="left"/>
        <w:rPr>
          <w:rFonts w:ascii="仿宋" w:hAnsi="仿宋" w:eastAsia="仿宋"/>
          <w:sz w:val="24"/>
          <w:u w:val="single"/>
        </w:rPr>
      </w:pPr>
      <w:r>
        <w:rPr>
          <w:rFonts w:hint="eastAsia" w:ascii="仿宋" w:hAnsi="仿宋" w:eastAsia="仿宋"/>
          <w:sz w:val="24"/>
          <w:u w:val="single"/>
        </w:rPr>
        <w:t>重新采购。</w:t>
      </w:r>
    </w:p>
    <w:p w14:paraId="030CB619">
      <w:pPr>
        <w:spacing w:line="360" w:lineRule="auto"/>
        <w:jc w:val="left"/>
        <w:rPr>
          <w:rFonts w:ascii="仿宋" w:hAnsi="仿宋" w:eastAsia="仿宋"/>
          <w:sz w:val="24"/>
        </w:rPr>
      </w:pPr>
      <w:r>
        <w:rPr>
          <w:rFonts w:hint="eastAsia" w:ascii="仿宋" w:hAnsi="仿宋" w:eastAsia="仿宋"/>
          <w:sz w:val="24"/>
        </w:rPr>
        <w:t>（八）出现损害国家利益和社会公共利益情形应对措施</w:t>
      </w:r>
    </w:p>
    <w:p w14:paraId="00BFD40F">
      <w:pPr>
        <w:spacing w:line="360" w:lineRule="auto"/>
        <w:ind w:firstLine="456" w:firstLineChars="200"/>
        <w:jc w:val="left"/>
        <w:rPr>
          <w:rFonts w:ascii="仿宋" w:hAnsi="仿宋" w:eastAsia="仿宋" w:cs="仿宋_GB2312"/>
          <w:sz w:val="24"/>
        </w:rPr>
      </w:pPr>
      <w:r>
        <w:rPr>
          <w:rFonts w:hint="eastAsia" w:ascii="仿宋" w:hAnsi="仿宋" w:eastAsia="仿宋" w:cs="仿宋_GB2312"/>
          <w:sz w:val="24"/>
          <w:u w:val="single"/>
        </w:rPr>
        <w:t>立即汇报监管部门，申请暂停组织采购。并根据实际情况按相关法律法规执行</w:t>
      </w:r>
      <w:r>
        <w:rPr>
          <w:rFonts w:hint="eastAsia" w:ascii="仿宋" w:hAnsi="仿宋" w:eastAsia="仿宋" w:cs="仿宋_GB2312"/>
          <w:sz w:val="24"/>
        </w:rPr>
        <w:t>。</w:t>
      </w:r>
    </w:p>
    <w:p w14:paraId="70FDAE91">
      <w:pPr>
        <w:spacing w:line="360" w:lineRule="auto"/>
        <w:jc w:val="left"/>
        <w:rPr>
          <w:rFonts w:ascii="仿宋" w:hAnsi="仿宋" w:eastAsia="仿宋"/>
          <w:sz w:val="24"/>
        </w:rPr>
      </w:pPr>
      <w:r>
        <w:rPr>
          <w:rFonts w:hint="eastAsia" w:ascii="仿宋" w:hAnsi="仿宋" w:eastAsia="仿宋"/>
          <w:sz w:val="24"/>
        </w:rPr>
        <w:t>（九）其他采购和合同履行过程的风险及应对措施</w:t>
      </w:r>
    </w:p>
    <w:p w14:paraId="57DA523A">
      <w:pPr>
        <w:spacing w:line="360" w:lineRule="auto"/>
        <w:ind w:firstLine="456" w:firstLineChars="200"/>
        <w:jc w:val="left"/>
        <w:rPr>
          <w:rFonts w:ascii="仿宋" w:hAnsi="仿宋" w:eastAsia="仿宋" w:cs="仿宋_GB2312"/>
          <w:sz w:val="24"/>
          <w:u w:val="single"/>
        </w:rPr>
      </w:pPr>
      <w:r>
        <w:rPr>
          <w:rFonts w:hint="eastAsia" w:ascii="仿宋" w:hAnsi="仿宋" w:eastAsia="仿宋" w:cs="仿宋_GB2312"/>
          <w:sz w:val="24"/>
          <w:u w:val="single"/>
        </w:rPr>
        <w:t>根据实际情况按相关法律法规执行。</w:t>
      </w:r>
    </w:p>
    <w:p w14:paraId="5D734670">
      <w:pPr>
        <w:spacing w:line="360" w:lineRule="auto"/>
        <w:jc w:val="left"/>
        <w:rPr>
          <w:rFonts w:ascii="仿宋" w:hAnsi="仿宋" w:eastAsia="仿宋"/>
          <w:sz w:val="24"/>
        </w:rPr>
      </w:pPr>
    </w:p>
    <w:p w14:paraId="0A452ECB">
      <w:pPr>
        <w:spacing w:line="360" w:lineRule="auto"/>
        <w:rPr>
          <w:rFonts w:ascii="仿宋" w:hAnsi="仿宋" w:eastAsia="仿宋"/>
        </w:rPr>
      </w:pPr>
    </w:p>
    <w:p w14:paraId="13FC2B66">
      <w:pPr>
        <w:rPr>
          <w:rFonts w:ascii="仿宋" w:hAnsi="仿宋" w:eastAsia="仿宋"/>
        </w:rPr>
      </w:pPr>
    </w:p>
    <w:p w14:paraId="65D88B66">
      <w:pPr>
        <w:rPr>
          <w:rFonts w:ascii="仿宋" w:hAnsi="仿宋" w:eastAsia="仿宋"/>
        </w:rPr>
      </w:pPr>
    </w:p>
    <w:p w14:paraId="2E2AC64E">
      <w:pPr>
        <w:tabs>
          <w:tab w:val="left" w:pos="4713"/>
        </w:tabs>
        <w:rPr>
          <w:rFonts w:ascii="仿宋" w:hAnsi="仿宋" w:eastAsia="仿宋"/>
        </w:rPr>
      </w:pPr>
      <w:r>
        <w:rPr>
          <w:rFonts w:ascii="仿宋" w:hAnsi="仿宋" w:eastAsia="仿宋"/>
        </w:rPr>
        <w:tab/>
      </w:r>
    </w:p>
    <w:p w14:paraId="6196AA28">
      <w:pPr>
        <w:rPr>
          <w:rFonts w:ascii="仿宋" w:hAnsi="仿宋" w:eastAsia="仿宋"/>
        </w:rPr>
      </w:pPr>
    </w:p>
    <w:sectPr>
      <w:pgSz w:w="11906" w:h="16838"/>
      <w:pgMar w:top="1440" w:right="1746" w:bottom="1440" w:left="1746"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yZDcwYTJjNDVhZmZjNDNkNGY0ZTExOTc4ZjhjOWUifQ=="/>
  </w:docVars>
  <w:rsids>
    <w:rsidRoot w:val="00AE2C42"/>
    <w:rsid w:val="00035719"/>
    <w:rsid w:val="000A2C0A"/>
    <w:rsid w:val="000C543A"/>
    <w:rsid w:val="00110525"/>
    <w:rsid w:val="001B0AE7"/>
    <w:rsid w:val="00244E80"/>
    <w:rsid w:val="002F0268"/>
    <w:rsid w:val="002F4888"/>
    <w:rsid w:val="00342A6F"/>
    <w:rsid w:val="0037530A"/>
    <w:rsid w:val="003E748A"/>
    <w:rsid w:val="00447F66"/>
    <w:rsid w:val="004F484E"/>
    <w:rsid w:val="005B31BA"/>
    <w:rsid w:val="00664DFE"/>
    <w:rsid w:val="006C6241"/>
    <w:rsid w:val="006E7BCD"/>
    <w:rsid w:val="007160A4"/>
    <w:rsid w:val="00762F10"/>
    <w:rsid w:val="0077158C"/>
    <w:rsid w:val="007B211E"/>
    <w:rsid w:val="007D75BD"/>
    <w:rsid w:val="008318FD"/>
    <w:rsid w:val="00861780"/>
    <w:rsid w:val="00983644"/>
    <w:rsid w:val="00986484"/>
    <w:rsid w:val="009E57B0"/>
    <w:rsid w:val="00A47768"/>
    <w:rsid w:val="00A57535"/>
    <w:rsid w:val="00A67FB8"/>
    <w:rsid w:val="00AE2C42"/>
    <w:rsid w:val="00B41CCE"/>
    <w:rsid w:val="00B527F1"/>
    <w:rsid w:val="00BA1AD5"/>
    <w:rsid w:val="00BA4611"/>
    <w:rsid w:val="00BD202F"/>
    <w:rsid w:val="00C762AC"/>
    <w:rsid w:val="00CC4DFB"/>
    <w:rsid w:val="00D11F79"/>
    <w:rsid w:val="00E472E7"/>
    <w:rsid w:val="00E91F30"/>
    <w:rsid w:val="00EA199E"/>
    <w:rsid w:val="00F06394"/>
    <w:rsid w:val="00F26BFE"/>
    <w:rsid w:val="00F73178"/>
    <w:rsid w:val="025D56CC"/>
    <w:rsid w:val="027A0919"/>
    <w:rsid w:val="0F9252F4"/>
    <w:rsid w:val="115810AC"/>
    <w:rsid w:val="115C42FA"/>
    <w:rsid w:val="1300209A"/>
    <w:rsid w:val="1DE27102"/>
    <w:rsid w:val="1E7B5B7A"/>
    <w:rsid w:val="23EE00A0"/>
    <w:rsid w:val="24483D96"/>
    <w:rsid w:val="25C168DF"/>
    <w:rsid w:val="2C300E8E"/>
    <w:rsid w:val="32431387"/>
    <w:rsid w:val="32A042D2"/>
    <w:rsid w:val="357E2A40"/>
    <w:rsid w:val="3C8A0E39"/>
    <w:rsid w:val="44D14D76"/>
    <w:rsid w:val="49BD3EA0"/>
    <w:rsid w:val="4EB70CD8"/>
    <w:rsid w:val="61200134"/>
    <w:rsid w:val="64220226"/>
    <w:rsid w:val="78460CCA"/>
    <w:rsid w:val="7E441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2"/>
    <w:basedOn w:val="1"/>
    <w:next w:val="1"/>
    <w:link w:val="14"/>
    <w:unhideWhenUsed/>
    <w:qFormat/>
    <w:uiPriority w:val="0"/>
    <w:pPr>
      <w:keepNext/>
      <w:keepLines/>
      <w:adjustRightInd w:val="0"/>
      <w:spacing w:before="260" w:after="260" w:line="415" w:lineRule="auto"/>
      <w:outlineLvl w:val="1"/>
    </w:pPr>
    <w:rPr>
      <w:rFonts w:ascii="Cambria" w:hAnsi="Cambria" w:eastAsia="宋体"/>
      <w:b/>
      <w:bCs/>
      <w:szCs w:val="32"/>
    </w:rPr>
  </w:style>
  <w:style w:type="paragraph" w:styleId="3">
    <w:name w:val="heading 4"/>
    <w:basedOn w:val="1"/>
    <w:next w:val="1"/>
    <w:link w:val="17"/>
    <w:unhideWhenUsed/>
    <w:qFormat/>
    <w:uiPriority w:val="0"/>
    <w:pPr>
      <w:keepNext/>
      <w:keepLines/>
      <w:tabs>
        <w:tab w:val="left" w:pos="864"/>
      </w:tabs>
      <w:adjustRightInd w:val="0"/>
      <w:spacing w:before="280" w:after="290" w:line="374" w:lineRule="auto"/>
      <w:ind w:left="864" w:hanging="864"/>
      <w:outlineLvl w:val="3"/>
    </w:pPr>
    <w:rPr>
      <w:rFonts w:ascii="Arial" w:hAnsi="Arial" w:eastAsia="黑体"/>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2"/>
    <w:qFormat/>
    <w:uiPriority w:val="0"/>
    <w:pPr>
      <w:spacing w:after="120"/>
    </w:pPr>
  </w:style>
  <w:style w:type="paragraph" w:styleId="5">
    <w:name w:val="footer"/>
    <w:basedOn w:val="1"/>
    <w:link w:val="19"/>
    <w:qFormat/>
    <w:uiPriority w:val="0"/>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paragraph" w:styleId="8">
    <w:name w:val="Title"/>
    <w:basedOn w:val="1"/>
    <w:link w:val="21"/>
    <w:qFormat/>
    <w:uiPriority w:val="10"/>
    <w:pPr>
      <w:widowControl/>
      <w:overflowPunct w:val="0"/>
      <w:autoSpaceDE w:val="0"/>
      <w:autoSpaceDN w:val="0"/>
      <w:adjustRightInd w:val="0"/>
      <w:spacing w:line="240" w:lineRule="auto"/>
      <w:jc w:val="center"/>
      <w:textAlignment w:val="baseline"/>
    </w:pPr>
    <w:rPr>
      <w:rFonts w:eastAsia="宋体"/>
      <w:b/>
      <w:spacing w:val="0"/>
      <w:kern w:val="0"/>
      <w:sz w:val="24"/>
    </w:rPr>
  </w:style>
  <w:style w:type="paragraph" w:styleId="9">
    <w:name w:val="Body Text First Indent"/>
    <w:basedOn w:val="4"/>
    <w:link w:val="23"/>
    <w:qFormat/>
    <w:uiPriority w:val="0"/>
    <w:pPr>
      <w:autoSpaceDE w:val="0"/>
      <w:autoSpaceDN w:val="0"/>
      <w:adjustRightInd w:val="0"/>
      <w:spacing w:after="0" w:line="360" w:lineRule="auto"/>
      <w:ind w:firstLine="420"/>
    </w:pPr>
    <w:rPr>
      <w:rFonts w:ascii="宋体" w:hAnsi="Calibri" w:eastAsia="宋体"/>
      <w:snapToGrid w:val="0"/>
      <w:spacing w:val="0"/>
      <w:sz w:val="24"/>
      <w:lang w:val="zh-CN"/>
    </w:rPr>
  </w:style>
  <w:style w:type="paragraph" w:customStyle="1" w:styleId="12">
    <w:name w:val="正文2"/>
    <w:basedOn w:val="1"/>
    <w:link w:val="15"/>
    <w:qFormat/>
    <w:uiPriority w:val="0"/>
    <w:pPr>
      <w:adjustRightInd w:val="0"/>
      <w:spacing w:before="156" w:line="360" w:lineRule="auto"/>
      <w:ind w:firstLine="510" w:firstLineChars="200"/>
    </w:pPr>
    <w:rPr>
      <w:rFonts w:eastAsia="宋体"/>
      <w:sz w:val="24"/>
    </w:rPr>
  </w:style>
  <w:style w:type="paragraph" w:customStyle="1" w:styleId="13">
    <w:name w:val="列出段落1"/>
    <w:basedOn w:val="1"/>
    <w:qFormat/>
    <w:uiPriority w:val="34"/>
    <w:pPr>
      <w:adjustRightInd w:val="0"/>
      <w:spacing w:line="360" w:lineRule="auto"/>
      <w:ind w:firstLine="200" w:firstLineChars="200"/>
    </w:pPr>
    <w:rPr>
      <w:rFonts w:eastAsia="楷体_GB2312" w:cs="Lucida Sans"/>
      <w:spacing w:val="0"/>
      <w:sz w:val="24"/>
      <w:szCs w:val="24"/>
    </w:rPr>
  </w:style>
  <w:style w:type="character" w:customStyle="1" w:styleId="14">
    <w:name w:val="标题 2 Char"/>
    <w:basedOn w:val="11"/>
    <w:link w:val="2"/>
    <w:qFormat/>
    <w:uiPriority w:val="0"/>
    <w:rPr>
      <w:rFonts w:ascii="Cambria" w:hAnsi="Cambria" w:eastAsia="宋体" w:cs="Times New Roman"/>
      <w:b/>
      <w:bCs/>
      <w:kern w:val="2"/>
      <w:sz w:val="32"/>
      <w:szCs w:val="32"/>
    </w:rPr>
  </w:style>
  <w:style w:type="character" w:customStyle="1" w:styleId="15">
    <w:name w:val="正文2 Char Char"/>
    <w:basedOn w:val="11"/>
    <w:link w:val="12"/>
    <w:qFormat/>
    <w:uiPriority w:val="0"/>
    <w:rPr>
      <w:kern w:val="2"/>
      <w:sz w:val="24"/>
    </w:rPr>
  </w:style>
  <w:style w:type="character" w:customStyle="1" w:styleId="16">
    <w:name w:val="标题 4 Char"/>
    <w:basedOn w:val="11"/>
    <w:link w:val="3"/>
    <w:qFormat/>
    <w:uiPriority w:val="0"/>
    <w:rPr>
      <w:rFonts w:hint="default" w:ascii="Cambria" w:hAnsi="Cambria" w:eastAsia="宋体" w:cs="Times New Roman"/>
      <w:b/>
      <w:bCs/>
      <w:kern w:val="2"/>
      <w:sz w:val="28"/>
      <w:szCs w:val="28"/>
    </w:rPr>
  </w:style>
  <w:style w:type="character" w:customStyle="1" w:styleId="17">
    <w:name w:val="标题 4 Char1"/>
    <w:basedOn w:val="11"/>
    <w:link w:val="3"/>
    <w:qFormat/>
    <w:uiPriority w:val="0"/>
    <w:rPr>
      <w:rFonts w:hint="default" w:ascii="Arial" w:hAnsi="Arial" w:eastAsia="黑体" w:cs="Arial"/>
      <w:b/>
      <w:bCs/>
      <w:kern w:val="2"/>
      <w:sz w:val="28"/>
      <w:szCs w:val="28"/>
      <w:lang w:val="zh-CN"/>
    </w:rPr>
  </w:style>
  <w:style w:type="character" w:customStyle="1" w:styleId="18">
    <w:name w:val="页眉 Char"/>
    <w:basedOn w:val="11"/>
    <w:link w:val="6"/>
    <w:qFormat/>
    <w:uiPriority w:val="0"/>
    <w:rPr>
      <w:rFonts w:eastAsia="仿宋_GB2312"/>
      <w:spacing w:val="-6"/>
      <w:kern w:val="2"/>
      <w:sz w:val="18"/>
      <w:szCs w:val="18"/>
    </w:rPr>
  </w:style>
  <w:style w:type="character" w:customStyle="1" w:styleId="19">
    <w:name w:val="页脚 Char"/>
    <w:basedOn w:val="11"/>
    <w:link w:val="5"/>
    <w:qFormat/>
    <w:uiPriority w:val="0"/>
    <w:rPr>
      <w:rFonts w:eastAsia="仿宋_GB2312"/>
      <w:spacing w:val="-6"/>
      <w:kern w:val="2"/>
      <w:sz w:val="18"/>
      <w:szCs w:val="18"/>
    </w:rPr>
  </w:style>
  <w:style w:type="character" w:customStyle="1" w:styleId="20">
    <w:name w:val="标题 Char"/>
    <w:basedOn w:val="11"/>
    <w:link w:val="8"/>
    <w:qFormat/>
    <w:uiPriority w:val="0"/>
    <w:rPr>
      <w:rFonts w:asciiTheme="majorHAnsi" w:hAnsiTheme="majorHAnsi" w:cstheme="majorBidi"/>
      <w:b/>
      <w:bCs/>
      <w:spacing w:val="-6"/>
      <w:kern w:val="2"/>
      <w:sz w:val="32"/>
      <w:szCs w:val="32"/>
    </w:rPr>
  </w:style>
  <w:style w:type="character" w:customStyle="1" w:styleId="21">
    <w:name w:val="标题 Char1"/>
    <w:link w:val="8"/>
    <w:qFormat/>
    <w:uiPriority w:val="10"/>
    <w:rPr>
      <w:b/>
      <w:sz w:val="24"/>
    </w:rPr>
  </w:style>
  <w:style w:type="character" w:customStyle="1" w:styleId="22">
    <w:name w:val="正文文本 Char"/>
    <w:basedOn w:val="11"/>
    <w:link w:val="4"/>
    <w:qFormat/>
    <w:uiPriority w:val="0"/>
    <w:rPr>
      <w:rFonts w:eastAsia="仿宋_GB2312"/>
      <w:spacing w:val="-6"/>
      <w:kern w:val="2"/>
      <w:sz w:val="32"/>
    </w:rPr>
  </w:style>
  <w:style w:type="character" w:customStyle="1" w:styleId="23">
    <w:name w:val="正文首行缩进 Char"/>
    <w:basedOn w:val="22"/>
    <w:link w:val="9"/>
    <w:qFormat/>
    <w:uiPriority w:val="0"/>
    <w:rPr>
      <w:rFonts w:ascii="宋体" w:hAnsi="Calibri"/>
      <w:snapToGrid w:val="0"/>
      <w:sz w:val="24"/>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6424</Words>
  <Characters>6640</Characters>
  <Lines>44</Lines>
  <Paragraphs>12</Paragraphs>
  <TotalTime>11</TotalTime>
  <ScaleCrop>false</ScaleCrop>
  <LinksUpToDate>false</LinksUpToDate>
  <CharactersWithSpaces>6805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2023-11-15T08:25:00Z</dcterms:created>
  <dc:creator>WIT</dc:creator>
  <cp:lastModifiedBy>别别</cp:lastModifiedBy>
  <dcterms:modified xsi:type="dcterms:W3CDTF">2025-05-26T02:21:45Z</dcterms:modified>
  <dc:title>杭州市政府采购项目</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7F464D5E2A704DCEA1121D86C9D62FF5_13</vt:lpwstr>
  </property>
  <property fmtid="{D5CDD505-2E9C-101B-9397-08002B2CF9AE}" pid="4" name="KSOTemplateDocerSaveRecord">
    <vt:lpwstr>eyJoZGlkIjoiMjA1NmJjZTBmMDM4Zjg5Mjg4ZGJlZjEyZTU0MTQyMDEiLCJ1c2VySWQiOiIzNzA5MjA2MzUifQ==</vt:lpwstr>
  </property>
</Properties>
</file>