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569FC4">
      <w:pPr>
        <w:adjustRightInd/>
        <w:spacing w:line="360" w:lineRule="auto"/>
        <w:jc w:val="center"/>
        <w:outlineLvl w:val="0"/>
        <w:rPr>
          <w:rFonts w:ascii="宋体" w:hAnsi="宋体" w:cs="宋体"/>
          <w:b/>
          <w:color w:val="auto"/>
          <w:sz w:val="36"/>
          <w:szCs w:val="20"/>
          <w:highlight w:val="none"/>
        </w:rPr>
      </w:pPr>
      <w:bookmarkStart w:id="0" w:name="_Hlt74729822"/>
      <w:bookmarkEnd w:id="0"/>
      <w:bookmarkStart w:id="1" w:name="_Hlt91233176"/>
      <w:bookmarkEnd w:id="1"/>
      <w:bookmarkStart w:id="2" w:name="_Hlt74728647"/>
      <w:bookmarkEnd w:id="2"/>
      <w:bookmarkStart w:id="3" w:name="_Hlt74707423"/>
      <w:bookmarkEnd w:id="3"/>
      <w:bookmarkStart w:id="4" w:name="_Hlt74649545"/>
      <w:bookmarkEnd w:id="4"/>
      <w:bookmarkStart w:id="5" w:name="第二部分"/>
      <w:bookmarkStart w:id="6" w:name="_Toc91899870"/>
      <w:bookmarkStart w:id="7" w:name="_Toc91899871"/>
      <w:r>
        <w:rPr>
          <w:rFonts w:hint="eastAsia" w:ascii="宋体" w:hAnsi="宋体" w:cs="宋体"/>
          <w:b/>
          <w:color w:val="auto"/>
          <w:sz w:val="36"/>
          <w:szCs w:val="20"/>
          <w:highlight w:val="none"/>
        </w:rPr>
        <w:t>第一部分 招标公告</w:t>
      </w:r>
    </w:p>
    <w:p w14:paraId="407F13D9">
      <w:pPr>
        <w:pBdr>
          <w:top w:val="single" w:color="auto" w:sz="4" w:space="1"/>
          <w:left w:val="single" w:color="auto" w:sz="4" w:space="4"/>
          <w:bottom w:val="single" w:color="auto" w:sz="4" w:space="2"/>
          <w:right w:val="single" w:color="auto" w:sz="4" w:space="4"/>
        </w:pBdr>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项目概况</w:t>
      </w:r>
    </w:p>
    <w:p w14:paraId="5773E8AD">
      <w:pPr>
        <w:pBdr>
          <w:top w:val="single" w:color="auto" w:sz="4" w:space="1"/>
          <w:left w:val="single" w:color="auto" w:sz="4" w:space="4"/>
          <w:bottom w:val="single" w:color="auto" w:sz="4" w:space="2"/>
          <w:right w:val="single" w:color="auto" w:sz="4" w:space="4"/>
        </w:pBdr>
        <w:spacing w:line="360" w:lineRule="auto"/>
        <w:ind w:firstLine="480" w:firstLineChars="200"/>
        <w:rPr>
          <w:rFonts w:ascii="宋体" w:hAnsi="宋体" w:eastAsia="宋体"/>
          <w:color w:val="auto"/>
          <w:sz w:val="24"/>
          <w:highlight w:val="none"/>
          <w:u w:val="single"/>
        </w:rPr>
      </w:pPr>
      <w:r>
        <w:rPr>
          <w:rFonts w:hint="eastAsia" w:ascii="宋体" w:hAnsi="宋体" w:cs="仿宋_GB2312"/>
          <w:color w:val="auto"/>
          <w:sz w:val="24"/>
          <w:highlight w:val="none"/>
          <w:u w:val="single"/>
          <w:lang w:eastAsia="zh-CN"/>
        </w:rPr>
        <w:t>杭州师范大学附属未来科技城学校（天元公学西站校区）办公家具（二）采购项目</w:t>
      </w:r>
      <w:r>
        <w:rPr>
          <w:rFonts w:hint="eastAsia" w:ascii="宋体" w:hAnsi="宋体" w:eastAsia="宋体"/>
          <w:color w:val="auto"/>
          <w:sz w:val="24"/>
          <w:highlight w:val="none"/>
        </w:rPr>
        <w:t>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7"/>
          <w:rFonts w:ascii="宋体" w:hAnsi="宋体" w:eastAsia="宋体" w:cs="Times New Roman"/>
          <w:color w:val="auto"/>
          <w:kern w:val="2"/>
          <w:sz w:val="24"/>
          <w:szCs w:val="24"/>
          <w:highlight w:val="none"/>
        </w:rPr>
        <w:t>https://www.zcygov.cn/）获取（下载）招标文件，并于</w:t>
      </w:r>
      <w:r>
        <w:rPr>
          <w:rStyle w:val="77"/>
          <w:rFonts w:hint="eastAsia" w:ascii="宋体" w:hAnsi="宋体" w:cs="Times New Roman"/>
          <w:b/>
          <w:bCs/>
          <w:color w:val="auto"/>
          <w:kern w:val="2"/>
          <w:sz w:val="24"/>
          <w:szCs w:val="24"/>
          <w:highlight w:val="none"/>
          <w:u w:val="single" w:color="auto"/>
          <w:lang w:eastAsia="zh-CN"/>
        </w:rPr>
        <w:t>2024年</w:t>
      </w:r>
      <w:r>
        <w:rPr>
          <w:rStyle w:val="77"/>
          <w:rFonts w:hint="eastAsia" w:ascii="宋体" w:hAnsi="宋体" w:cs="Times New Roman"/>
          <w:b/>
          <w:bCs/>
          <w:color w:val="auto"/>
          <w:kern w:val="2"/>
          <w:sz w:val="24"/>
          <w:szCs w:val="24"/>
          <w:highlight w:val="none"/>
          <w:u w:val="single" w:color="auto"/>
          <w:lang w:val="en-US" w:eastAsia="zh-CN"/>
        </w:rPr>
        <w:t xml:space="preserve">  </w:t>
      </w:r>
      <w:r>
        <w:rPr>
          <w:rStyle w:val="77"/>
          <w:rFonts w:hint="eastAsia" w:ascii="宋体" w:hAnsi="宋体" w:cs="Times New Roman"/>
          <w:b/>
          <w:bCs/>
          <w:color w:val="auto"/>
          <w:kern w:val="2"/>
          <w:sz w:val="24"/>
          <w:szCs w:val="24"/>
          <w:highlight w:val="none"/>
          <w:u w:val="single" w:color="auto"/>
          <w:lang w:eastAsia="zh-CN"/>
        </w:rPr>
        <w:t>月</w:t>
      </w:r>
      <w:r>
        <w:rPr>
          <w:rStyle w:val="77"/>
          <w:rFonts w:hint="eastAsia" w:ascii="宋体" w:hAnsi="宋体" w:cs="Times New Roman"/>
          <w:b/>
          <w:bCs/>
          <w:color w:val="auto"/>
          <w:kern w:val="2"/>
          <w:sz w:val="24"/>
          <w:szCs w:val="24"/>
          <w:highlight w:val="none"/>
          <w:u w:val="single" w:color="auto"/>
          <w:lang w:val="en-US" w:eastAsia="zh-CN"/>
        </w:rPr>
        <w:t xml:space="preserve">  </w:t>
      </w:r>
      <w:r>
        <w:rPr>
          <w:rStyle w:val="77"/>
          <w:rFonts w:hint="eastAsia" w:ascii="宋体" w:hAnsi="宋体" w:cs="Times New Roman"/>
          <w:b/>
          <w:bCs/>
          <w:color w:val="auto"/>
          <w:kern w:val="2"/>
          <w:sz w:val="24"/>
          <w:szCs w:val="24"/>
          <w:highlight w:val="none"/>
          <w:u w:val="single" w:color="auto"/>
          <w:lang w:eastAsia="zh-CN"/>
        </w:rPr>
        <w:t>日</w:t>
      </w:r>
      <w:r>
        <w:rPr>
          <w:rStyle w:val="77"/>
          <w:rFonts w:hint="eastAsia" w:ascii="宋体" w:hAnsi="宋体" w:cs="Times New Roman"/>
          <w:b/>
          <w:bCs/>
          <w:color w:val="auto"/>
          <w:kern w:val="2"/>
          <w:sz w:val="24"/>
          <w:szCs w:val="24"/>
          <w:highlight w:val="none"/>
          <w:u w:val="single" w:color="auto"/>
          <w:lang w:val="en-US" w:eastAsia="zh-CN"/>
        </w:rPr>
        <w:t xml:space="preserve">  </w:t>
      </w:r>
      <w:r>
        <w:rPr>
          <w:rStyle w:val="77"/>
          <w:rFonts w:hint="eastAsia" w:ascii="宋体" w:hAnsi="宋体" w:cs="Times New Roman"/>
          <w:b/>
          <w:bCs/>
          <w:color w:val="auto"/>
          <w:kern w:val="2"/>
          <w:sz w:val="24"/>
          <w:szCs w:val="24"/>
          <w:highlight w:val="none"/>
          <w:u w:val="single" w:color="auto"/>
          <w:lang w:eastAsia="zh-CN"/>
        </w:rPr>
        <w:t>点</w:t>
      </w:r>
      <w:r>
        <w:rPr>
          <w:rStyle w:val="77"/>
          <w:rFonts w:hint="eastAsia" w:ascii="宋体" w:hAnsi="宋体" w:cs="Times New Roman"/>
          <w:b/>
          <w:bCs/>
          <w:color w:val="auto"/>
          <w:kern w:val="2"/>
          <w:sz w:val="24"/>
          <w:szCs w:val="24"/>
          <w:highlight w:val="none"/>
          <w:u w:val="single" w:color="auto"/>
          <w:lang w:val="en-US" w:eastAsia="zh-CN"/>
        </w:rPr>
        <w:t xml:space="preserve">   </w:t>
      </w:r>
      <w:r>
        <w:rPr>
          <w:rStyle w:val="77"/>
          <w:rFonts w:hint="eastAsia" w:ascii="宋体" w:hAnsi="宋体" w:cs="Times New Roman"/>
          <w:b/>
          <w:bCs/>
          <w:color w:val="auto"/>
          <w:kern w:val="2"/>
          <w:sz w:val="24"/>
          <w:szCs w:val="24"/>
          <w:highlight w:val="none"/>
          <w:u w:val="single" w:color="auto"/>
          <w:lang w:eastAsia="zh-CN"/>
        </w:rPr>
        <w:t>分00秒</w:t>
      </w:r>
      <w:r>
        <w:rPr>
          <w:rStyle w:val="77"/>
          <w:rFonts w:hint="eastAsia" w:ascii="宋体" w:hAnsi="宋体" w:eastAsia="宋体" w:cs="Times New Roman"/>
          <w:bCs/>
          <w:color w:val="auto"/>
          <w:kern w:val="2"/>
          <w:sz w:val="24"/>
          <w:szCs w:val="24"/>
          <w:highlight w:val="none"/>
        </w:rPr>
        <w:fldChar w:fldCharType="end"/>
      </w:r>
      <w:r>
        <w:rPr>
          <w:rFonts w:hint="eastAsia" w:ascii="宋体" w:hAnsi="宋体" w:eastAsia="宋体"/>
          <w:bCs/>
          <w:color w:val="auto"/>
          <w:sz w:val="24"/>
          <w:highlight w:val="none"/>
        </w:rPr>
        <w:t>（北京时间）前</w:t>
      </w:r>
      <w:r>
        <w:rPr>
          <w:rFonts w:hint="eastAsia" w:ascii="宋体" w:hAnsi="宋体" w:eastAsia="宋体"/>
          <w:color w:val="auto"/>
          <w:sz w:val="24"/>
          <w:highlight w:val="none"/>
        </w:rPr>
        <w:t>递交（上传）投标文件。</w:t>
      </w:r>
    </w:p>
    <w:p w14:paraId="4805749D">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14:paraId="6E721252">
      <w:pPr>
        <w:spacing w:line="360" w:lineRule="auto"/>
        <w:rPr>
          <w:rFonts w:hint="default" w:ascii="宋体" w:hAnsi="宋体" w:cs="宋体"/>
          <w:color w:val="auto"/>
          <w:sz w:val="24"/>
          <w:highlight w:val="none"/>
          <w:lang w:val="en-US"/>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color w:val="auto"/>
          <w:sz w:val="24"/>
          <w:highlight w:val="none"/>
          <w:lang w:eastAsia="zh-CN"/>
        </w:rPr>
        <w:t>HZYHZFCG-2024-</w:t>
      </w:r>
      <w:r>
        <w:rPr>
          <w:rFonts w:hint="eastAsia" w:ascii="宋体" w:hAnsi="宋体" w:cs="宋体"/>
          <w:color w:val="auto"/>
          <w:sz w:val="24"/>
          <w:highlight w:val="none"/>
          <w:lang w:val="en-US" w:eastAsia="zh-CN"/>
        </w:rPr>
        <w:t xml:space="preserve">   </w:t>
      </w:r>
    </w:p>
    <w:p w14:paraId="3171BF36">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项目名称：</w:t>
      </w:r>
      <w:r>
        <w:rPr>
          <w:rFonts w:hint="eastAsia" w:ascii="宋体" w:hAnsi="宋体" w:cs="宋体"/>
          <w:color w:val="auto"/>
          <w:sz w:val="24"/>
          <w:highlight w:val="none"/>
          <w:lang w:eastAsia="zh-CN"/>
        </w:rPr>
        <w:t>杭州师范大学附属未来科技城学校（天元公学西站校区）办公家具（二）采购项目</w:t>
      </w:r>
    </w:p>
    <w:p w14:paraId="1D7F182E">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w:t>
      </w:r>
      <w:r>
        <w:rPr>
          <w:rFonts w:hint="eastAsia" w:ascii="宋体" w:hAnsi="宋体" w:cs="宋体"/>
          <w:b/>
          <w:color w:val="auto"/>
          <w:sz w:val="24"/>
          <w:highlight w:val="none"/>
          <w:lang w:val="en-US" w:eastAsia="zh-CN"/>
        </w:rPr>
        <w:t>8000000</w:t>
      </w:r>
    </w:p>
    <w:p w14:paraId="0404B41D">
      <w:pPr>
        <w:pStyle w:val="5"/>
        <w:spacing w:line="360" w:lineRule="auto"/>
        <w:ind w:firstLine="480"/>
        <w:rPr>
          <w:rFonts w:hAnsi="宋体" w:cs="宋体"/>
          <w:bCs/>
          <w:color w:val="auto"/>
          <w:kern w:val="2"/>
          <w:sz w:val="24"/>
          <w:szCs w:val="24"/>
          <w:highlight w:val="none"/>
        </w:rPr>
      </w:pPr>
      <w:r>
        <w:rPr>
          <w:rFonts w:hint="eastAsia" w:hAnsi="宋体" w:cs="宋体"/>
          <w:b/>
          <w:color w:val="auto"/>
          <w:sz w:val="24"/>
          <w:highlight w:val="none"/>
        </w:rPr>
        <w:t>采购需求：</w:t>
      </w:r>
      <w:r>
        <w:rPr>
          <w:rFonts w:hint="eastAsia" w:hAnsi="宋体" w:cs="宋体"/>
          <w:b w:val="0"/>
          <w:bCs/>
          <w:color w:val="auto"/>
          <w:sz w:val="24"/>
          <w:highlight w:val="none"/>
          <w:lang w:eastAsia="zh-CN"/>
        </w:rPr>
        <w:t>本项目主要内容包含采购清单中货物设计、制造、供货、安装调试、验收、质保期内的售后服务等。</w:t>
      </w:r>
      <w:r>
        <w:rPr>
          <w:rFonts w:hint="eastAsia" w:ascii="宋体" w:hAnsi="宋体" w:eastAsia="宋体"/>
          <w:color w:val="auto"/>
          <w:kern w:val="2"/>
          <w:sz w:val="24"/>
          <w:szCs w:val="24"/>
          <w:highlight w:val="none"/>
        </w:rPr>
        <w:t>具体以招标文件第三部分采购需求为准，供应商可点击本公告下方“浏览采购文件”查看采购需求。</w:t>
      </w:r>
    </w:p>
    <w:p w14:paraId="3B8B7734">
      <w:pPr>
        <w:pStyle w:val="86"/>
        <w:ind w:firstLine="482"/>
        <w:outlineLvl w:val="2"/>
        <w:rPr>
          <w:rFonts w:ascii="宋体" w:hAnsi="宋体" w:cs="宋体"/>
          <w:color w:val="auto"/>
          <w:highlight w:val="none"/>
        </w:rPr>
      </w:pPr>
      <w:r>
        <w:rPr>
          <w:rFonts w:hint="eastAsia" w:ascii="宋体" w:hAnsi="宋体" w:cs="宋体"/>
          <w:b/>
          <w:color w:val="auto"/>
          <w:highlight w:val="none"/>
        </w:rPr>
        <w:t>合同履约期限：合同签订后</w:t>
      </w:r>
      <w:r>
        <w:rPr>
          <w:rFonts w:hint="eastAsia" w:ascii="宋体" w:hAnsi="宋体" w:cs="宋体"/>
          <w:b/>
          <w:color w:val="auto"/>
          <w:highlight w:val="none"/>
          <w:lang w:val="en-US" w:eastAsia="zh-CN"/>
        </w:rPr>
        <w:t>50</w:t>
      </w:r>
      <w:r>
        <w:rPr>
          <w:rFonts w:hint="eastAsia" w:ascii="宋体" w:hAnsi="宋体" w:cs="宋体"/>
          <w:b/>
          <w:color w:val="auto"/>
          <w:highlight w:val="none"/>
        </w:rPr>
        <w:t xml:space="preserve">天内完成供货、安装调试及验收。 </w:t>
      </w:r>
    </w:p>
    <w:p w14:paraId="05069EE1">
      <w:pPr>
        <w:pStyle w:val="5"/>
        <w:spacing w:line="360" w:lineRule="auto"/>
        <w:ind w:firstLine="480"/>
        <w:rPr>
          <w:rFonts w:hAnsi="宋体" w:cs="宋体"/>
          <w:color w:val="auto"/>
          <w:kern w:val="0"/>
          <w:sz w:val="24"/>
          <w:highlight w:val="none"/>
        </w:rPr>
      </w:pPr>
      <w:r>
        <w:rPr>
          <w:rFonts w:hint="eastAsia" w:hAnsi="宋体" w:cs="宋体"/>
          <w:b/>
          <w:color w:val="auto"/>
          <w:sz w:val="24"/>
          <w:highlight w:val="none"/>
        </w:rPr>
        <w:t>本项目接受联合体投标：</w:t>
      </w:r>
      <w:r>
        <w:rPr>
          <w:rFonts w:hint="eastAsia" w:hAnsi="宋体" w:cs="宋体"/>
          <w:color w:val="auto"/>
          <w:kern w:val="0"/>
          <w:sz w:val="24"/>
          <w:highlight w:val="none"/>
        </w:rPr>
        <w:sym w:font="Wingdings" w:char="F0FE"/>
      </w:r>
      <w:r>
        <w:rPr>
          <w:rFonts w:hint="eastAsia" w:hAnsi="宋体" w:cs="宋体"/>
          <w:b/>
          <w:color w:val="auto"/>
          <w:sz w:val="24"/>
          <w:highlight w:val="none"/>
        </w:rPr>
        <w:t>是</w:t>
      </w:r>
      <w:r>
        <w:rPr>
          <w:rFonts w:hint="eastAsia" w:hAnsi="宋体" w:cs="宋体"/>
          <w:b/>
          <w:color w:val="auto"/>
          <w:kern w:val="2"/>
          <w:sz w:val="24"/>
          <w:highlight w:val="none"/>
        </w:rPr>
        <w:t>；</w:t>
      </w:r>
      <w:r>
        <w:rPr>
          <w:rFonts w:hint="eastAsia" w:hAnsi="宋体" w:cs="宋体"/>
          <w:color w:val="auto"/>
          <w:kern w:val="0"/>
          <w:sz w:val="24"/>
          <w:highlight w:val="none"/>
        </w:rPr>
        <w:t>☐</w:t>
      </w:r>
      <w:r>
        <w:rPr>
          <w:rFonts w:hint="eastAsia" w:hAnsi="宋体" w:cs="宋体"/>
          <w:b/>
          <w:color w:val="auto"/>
          <w:sz w:val="24"/>
          <w:highlight w:val="none"/>
        </w:rPr>
        <w:t>否</w:t>
      </w:r>
      <w:r>
        <w:rPr>
          <w:rFonts w:hint="eastAsia" w:hAnsi="宋体" w:cs="宋体"/>
          <w:color w:val="auto"/>
          <w:kern w:val="0"/>
          <w:sz w:val="24"/>
          <w:highlight w:val="none"/>
        </w:rPr>
        <w:t>。</w:t>
      </w:r>
    </w:p>
    <w:p w14:paraId="6CFB9DBB">
      <w:pPr>
        <w:spacing w:line="360" w:lineRule="auto"/>
        <w:rPr>
          <w:rFonts w:ascii="宋体" w:hAnsi="宋体" w:cs="宋体"/>
          <w:b/>
          <w:color w:val="auto"/>
          <w:sz w:val="24"/>
          <w:highlight w:val="none"/>
        </w:rPr>
      </w:pPr>
      <w:r>
        <w:rPr>
          <w:rFonts w:hint="eastAsia" w:ascii="宋体" w:hAnsi="宋体" w:cs="宋体"/>
          <w:b/>
          <w:color w:val="auto"/>
          <w:sz w:val="24"/>
          <w:highlight w:val="none"/>
        </w:rPr>
        <w:t>二、</w:t>
      </w:r>
      <w:bookmarkStart w:id="8" w:name="_Hlk101132948"/>
      <w:r>
        <w:rPr>
          <w:rFonts w:hint="eastAsia" w:ascii="宋体" w:hAnsi="宋体" w:cs="宋体"/>
          <w:b/>
          <w:color w:val="auto"/>
          <w:sz w:val="24"/>
          <w:highlight w:val="none"/>
        </w:rPr>
        <w:t>申请人的资格要求</w:t>
      </w:r>
      <w:bookmarkEnd w:id="8"/>
      <w:r>
        <w:rPr>
          <w:rFonts w:hint="eastAsia" w:ascii="宋体" w:hAnsi="宋体" w:cs="宋体"/>
          <w:b/>
          <w:color w:val="auto"/>
          <w:sz w:val="24"/>
          <w:highlight w:val="none"/>
        </w:rPr>
        <w:t>：</w:t>
      </w:r>
    </w:p>
    <w:p w14:paraId="0F6E2F73">
      <w:pPr>
        <w:spacing w:line="360" w:lineRule="auto"/>
        <w:ind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、中国政府采购网（www.ccgp.gov.cn）列入失信被执行人、重大税收违法案件当事人名单、政府采购严重违法失信行为记录名单；</w:t>
      </w:r>
    </w:p>
    <w:p w14:paraId="4A9AB50D">
      <w:pPr>
        <w:spacing w:line="360" w:lineRule="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本项目不接受联合体投标或者投标人不以联合体形式投标的，则不需要提供</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 xml:space="preserve"> ；</w:t>
      </w:r>
    </w:p>
    <w:p w14:paraId="58EDC09F">
      <w:pPr>
        <w:spacing w:line="360" w:lineRule="auto"/>
        <w:ind w:firstLine="480" w:firstLineChars="200"/>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14:paraId="55C89E9F">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w:t>
      </w:r>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r>
        <w:rPr>
          <w:rFonts w:hint="eastAsia" w:ascii="宋体" w:hAnsi="宋体" w:cs="宋体"/>
          <w:color w:val="auto"/>
          <w:sz w:val="24"/>
          <w:highlight w:val="none"/>
        </w:rPr>
        <w:t>；</w:t>
      </w:r>
    </w:p>
    <w:p w14:paraId="65BE2309">
      <w:pPr>
        <w:spacing w:line="360" w:lineRule="auto"/>
        <w:ind w:firstLine="480" w:firstLineChars="200"/>
        <w:rPr>
          <w:rFonts w:ascii="宋体" w:hAnsi="宋体" w:cs="宋体"/>
          <w:color w:val="auto"/>
          <w:sz w:val="24"/>
          <w:highlight w:val="none"/>
        </w:rPr>
      </w:pPr>
      <w:r>
        <w:rPr>
          <w:rFonts w:hint="eastAsia" w:hAnsi="宋体" w:cs="宋体"/>
          <w:color w:val="auto"/>
          <w:kern w:val="0"/>
          <w:sz w:val="24"/>
          <w:highlight w:val="none"/>
        </w:rPr>
        <w:sym w:font="Wingdings" w:char="F0FE"/>
      </w:r>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14:paraId="5BB3D32A">
      <w:pPr>
        <w:spacing w:line="360" w:lineRule="auto"/>
        <w:ind w:firstLine="897" w:firstLineChars="374"/>
        <w:rPr>
          <w:rFonts w:ascii="宋体" w:hAnsi="宋体" w:cs="宋体"/>
          <w:color w:val="auto"/>
          <w:sz w:val="24"/>
          <w:highlight w:val="none"/>
          <w:u w:val="single"/>
        </w:rPr>
      </w:pPr>
      <w:r>
        <w:rPr>
          <w:rFonts w:hint="eastAsia" w:hAnsi="宋体" w:cs="宋体"/>
          <w:color w:val="auto"/>
          <w:kern w:val="0"/>
          <w:sz w:val="24"/>
          <w:highlight w:val="none"/>
        </w:rPr>
        <w:sym w:font="Wingdings" w:char="F0FE"/>
      </w:r>
      <w:r>
        <w:rPr>
          <w:rFonts w:hint="eastAsia" w:ascii="宋体" w:hAnsi="宋体" w:cs="宋体"/>
          <w:color w:val="auto"/>
          <w:sz w:val="24"/>
          <w:highlight w:val="none"/>
        </w:rPr>
        <w:t>货物全部由符合政策要求的中小</w:t>
      </w:r>
      <w:r>
        <w:rPr>
          <w:rFonts w:hint="eastAsia" w:ascii="宋体" w:hAnsi="宋体" w:cs="宋体"/>
          <w:color w:val="auto"/>
          <w:sz w:val="24"/>
          <w:highlight w:val="none"/>
          <w:lang w:eastAsia="zh-CN"/>
        </w:rPr>
        <w:t>微</w:t>
      </w:r>
      <w:r>
        <w:rPr>
          <w:rFonts w:hint="eastAsia" w:ascii="宋体" w:hAnsi="宋体" w:cs="宋体"/>
          <w:color w:val="auto"/>
          <w:sz w:val="24"/>
          <w:highlight w:val="none"/>
        </w:rPr>
        <w:t>企业制造，提供中小企业声明函；</w:t>
      </w:r>
    </w:p>
    <w:p w14:paraId="0E1A7455">
      <w:pPr>
        <w:spacing w:line="360" w:lineRule="auto"/>
        <w:ind w:firstLine="897" w:firstLineChars="374"/>
        <w:rPr>
          <w:rFonts w:ascii="宋体" w:hAnsi="宋体" w:cs="宋体"/>
          <w:color w:val="auto"/>
          <w:sz w:val="24"/>
          <w:highlight w:val="none"/>
        </w:rPr>
      </w:pPr>
      <w:r>
        <w:rPr>
          <w:rFonts w:hint="eastAsia" w:ascii="宋体" w:hAnsi="宋体" w:cs="宋体"/>
          <w:color w:val="auto"/>
          <w:kern w:val="0"/>
          <w:sz w:val="24"/>
          <w:highlight w:val="none"/>
        </w:rPr>
        <w:t>☐</w:t>
      </w:r>
      <w:r>
        <w:rPr>
          <w:rFonts w:hint="eastAsia" w:ascii="宋体" w:hAnsi="宋体" w:cs="宋体"/>
          <w:color w:val="auto"/>
          <w:sz w:val="24"/>
          <w:highlight w:val="none"/>
        </w:rPr>
        <w:t>货物全部由符合政策要求的小微企业制造，提供中小企业声明函；</w:t>
      </w:r>
    </w:p>
    <w:p w14:paraId="5F66DAB2">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w:t>
      </w:r>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lang w:eastAsia="zh-CN"/>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p w14:paraId="1AFB3AA4">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w:t>
      </w:r>
      <w:r>
        <w:rPr>
          <w:rFonts w:hint="eastAsia" w:ascii="宋体" w:hAnsi="宋体" w:cs="宋体"/>
          <w:color w:val="auto"/>
          <w:sz w:val="24"/>
          <w:highlight w:val="none"/>
        </w:rPr>
        <w:t>要求合同分包，提供分包意向协议和中小企业声明函，分包意向协议中中小企业合同金额应当达到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lang w:eastAsia="zh-CN"/>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rPr>
        <w:t>；</w:t>
      </w:r>
    </w:p>
    <w:p w14:paraId="67E12259">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w:t>
      </w:r>
    </w:p>
    <w:p w14:paraId="0F28F46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sym w:font="Wingdings" w:char="F0FE"/>
      </w:r>
      <w:r>
        <w:rPr>
          <w:rFonts w:hint="eastAsia" w:ascii="宋体" w:hAnsi="宋体" w:cs="宋体"/>
          <w:color w:val="auto"/>
          <w:sz w:val="24"/>
          <w:highlight w:val="none"/>
        </w:rPr>
        <w:t>无</w:t>
      </w:r>
    </w:p>
    <w:p w14:paraId="3C55F689">
      <w:pPr>
        <w:snapToGrid w:val="0"/>
        <w:spacing w:line="360" w:lineRule="auto"/>
        <w:ind w:firstLine="480" w:firstLineChars="200"/>
        <w:rPr>
          <w:rFonts w:ascii="宋体" w:hAnsi="宋体" w:cs="宋体"/>
          <w:color w:val="auto"/>
          <w:sz w:val="24"/>
          <w:highlight w:val="none"/>
          <w:u w:val="single"/>
        </w:rPr>
      </w:pPr>
      <w:r>
        <w:rPr>
          <w:rFonts w:hint="eastAsia" w:ascii="MS Gothic" w:hAnsi="MS Gothic" w:eastAsia="MS Gothic" w:cs="宋体"/>
          <w:color w:val="auto"/>
          <w:kern w:val="0"/>
          <w:sz w:val="24"/>
          <w:highlight w:val="none"/>
        </w:rPr>
        <w:t>☐</w:t>
      </w:r>
      <w:r>
        <w:rPr>
          <w:rFonts w:hint="eastAsia" w:ascii="宋体" w:hAnsi="宋体" w:cs="宋体"/>
          <w:color w:val="auto"/>
          <w:sz w:val="24"/>
          <w:highlight w:val="none"/>
        </w:rPr>
        <w:t>有特定资格要求：</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，该特定条件的法律法规依据：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41FFC515">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06D6FE6">
      <w:pPr>
        <w:spacing w:line="360" w:lineRule="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14:paraId="70FD2045">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1.采购人信息</w:t>
      </w:r>
    </w:p>
    <w:p w14:paraId="54AD403C">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名称：</w:t>
      </w:r>
      <w:r>
        <w:rPr>
          <w:rFonts w:hint="eastAsia" w:ascii="宋体" w:hAnsi="宋体" w:cs="宋体"/>
          <w:color w:val="auto"/>
          <w:sz w:val="24"/>
          <w:highlight w:val="none"/>
          <w:lang w:eastAsia="zh-CN"/>
        </w:rPr>
        <w:t xml:space="preserve">杭州师范大学附属未来科技城学校（杭州二中教育集团未来科技城学校） </w:t>
      </w:r>
    </w:p>
    <w:p w14:paraId="2A85EE8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 xml:space="preserve">地址：杭州市余杭区钱学森路66号     </w:t>
      </w:r>
    </w:p>
    <w:p w14:paraId="17924B5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 xml:space="preserve">传真：0571-89308632 </w:t>
      </w:r>
    </w:p>
    <w:p w14:paraId="156688B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 xml:space="preserve">项目联系人（询问）：袁老师  </w:t>
      </w:r>
    </w:p>
    <w:p w14:paraId="4A564A0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 xml:space="preserve">项目联系方式（询问）：0571-89308632  </w:t>
      </w:r>
    </w:p>
    <w:p w14:paraId="301B999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 xml:space="preserve">质疑联系人：王老师 </w:t>
      </w:r>
    </w:p>
    <w:p w14:paraId="51E7B069">
      <w:pPr>
        <w:spacing w:line="360" w:lineRule="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 xml:space="preserve">    质疑联系方式：0571-89308505</w:t>
      </w:r>
      <w:r>
        <w:rPr>
          <w:rFonts w:hint="eastAsia" w:ascii="新宋体" w:hAnsi="新宋体" w:eastAsia="新宋体" w:cs="新宋体"/>
          <w:color w:val="auto"/>
          <w:sz w:val="24"/>
          <w:highlight w:val="none"/>
        </w:rPr>
        <w:t xml:space="preserve"> </w:t>
      </w:r>
      <w:r>
        <w:rPr>
          <w:rFonts w:hint="eastAsia" w:ascii="宋体" w:hAnsi="宋体" w:eastAsia="宋体" w:cs="宋体"/>
          <w:i w:val="0"/>
          <w:iCs w:val="0"/>
          <w:caps w:val="0"/>
          <w:color w:val="auto"/>
          <w:spacing w:val="0"/>
          <w:sz w:val="24"/>
          <w:szCs w:val="24"/>
          <w:highlight w:val="none"/>
          <w:shd w:val="clear"/>
        </w:rPr>
        <w:t>（请通过以下路径在线提起质疑：政采云-项目采购-询问质疑投诉-质疑列表）</w:t>
      </w:r>
    </w:p>
    <w:p w14:paraId="0D259C7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w:t>
      </w:r>
      <w:bookmarkStart w:id="176" w:name="_GoBack"/>
      <w:bookmarkEnd w:id="176"/>
    </w:p>
    <w:p w14:paraId="6977AD45">
      <w:pPr>
        <w:pStyle w:val="3"/>
        <w:jc w:val="center"/>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5"/>
      <w:r>
        <w:rPr>
          <w:rFonts w:hint="eastAsia" w:ascii="宋体" w:hAnsi="宋体" w:cs="宋体"/>
          <w:b/>
          <w:color w:val="auto"/>
          <w:sz w:val="36"/>
          <w:szCs w:val="20"/>
          <w:highlight w:val="none"/>
        </w:rPr>
        <w:t xml:space="preserve"> 投标人须知</w:t>
      </w:r>
      <w:bookmarkEnd w:id="6"/>
    </w:p>
    <w:p w14:paraId="02FF0DA5">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2"/>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02B696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8FD3968">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64D54DA4">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19E63A4A">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本项目的特别规定</w:t>
            </w:r>
          </w:p>
        </w:tc>
      </w:tr>
      <w:tr w14:paraId="1E8A65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373FE81">
            <w:pPr>
              <w:snapToGrid w:val="0"/>
              <w:spacing w:line="360" w:lineRule="auto"/>
              <w:jc w:val="center"/>
              <w:rPr>
                <w:rFonts w:ascii="宋体" w:hAnsi="宋体" w:cs="宋体"/>
                <w:color w:val="auto"/>
                <w:sz w:val="24"/>
                <w:highlight w:val="none"/>
              </w:rPr>
            </w:pPr>
          </w:p>
          <w:p w14:paraId="19A11A1B">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32B8018B">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0B83EDFB">
            <w:pPr>
              <w:spacing w:line="360" w:lineRule="auto"/>
              <w:rPr>
                <w:rFonts w:ascii="宋体" w:hAnsi="宋体" w:cs="宋体"/>
                <w:color w:val="auto"/>
                <w:sz w:val="24"/>
                <w:highlight w:val="none"/>
              </w:rPr>
            </w:pPr>
            <w:r>
              <w:rPr>
                <w:rFonts w:hint="eastAsia" w:ascii="宋体" w:hAnsi="宋体" w:cs="宋体"/>
                <w:color w:val="auto"/>
                <w:sz w:val="24"/>
                <w:highlight w:val="none"/>
              </w:rPr>
              <w:t>货物类，单一产品或</w:t>
            </w:r>
            <w:r>
              <w:rPr>
                <w:rFonts w:hint="eastAsia" w:ascii="宋体" w:hAnsi="宋体" w:cs="宋体"/>
                <w:color w:val="auto"/>
                <w:kern w:val="0"/>
                <w:sz w:val="24"/>
                <w:highlight w:val="none"/>
              </w:rPr>
              <w:t>核心产品为：</w:t>
            </w:r>
            <w:r>
              <w:rPr>
                <w:rFonts w:hint="eastAsia" w:ascii="宋体" w:hAnsi="宋体" w:cs="宋体"/>
                <w:color w:val="auto"/>
                <w:kern w:val="0"/>
                <w:sz w:val="24"/>
                <w:highlight w:val="none"/>
                <w:u w:val="single"/>
              </w:rPr>
              <w:t>序号</w:t>
            </w:r>
            <w:r>
              <w:rPr>
                <w:rFonts w:hint="eastAsia" w:ascii="宋体" w:hAnsi="宋体" w:cs="宋体"/>
                <w:color w:val="auto"/>
                <w:kern w:val="0"/>
                <w:sz w:val="24"/>
                <w:highlight w:val="none"/>
                <w:u w:val="single"/>
                <w:lang w:val="en-US" w:eastAsia="zh-CN"/>
              </w:rPr>
              <w:t>3接待椅（1）</w:t>
            </w:r>
            <w:r>
              <w:rPr>
                <w:rFonts w:hint="eastAsia" w:ascii="宋体" w:hAnsi="宋体" w:cs="宋体"/>
                <w:color w:val="auto"/>
                <w:kern w:val="0"/>
                <w:sz w:val="24"/>
                <w:highlight w:val="none"/>
                <w:u w:val="single"/>
              </w:rPr>
              <w:t>。</w:t>
            </w:r>
          </w:p>
        </w:tc>
      </w:tr>
      <w:tr w14:paraId="76B5CA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A751561">
            <w:pPr>
              <w:snapToGrid w:val="0"/>
              <w:spacing w:line="360" w:lineRule="auto"/>
              <w:jc w:val="center"/>
              <w:rPr>
                <w:rFonts w:ascii="宋体" w:hAnsi="宋体" w:cs="宋体"/>
                <w:color w:val="auto"/>
                <w:sz w:val="24"/>
                <w:highlight w:val="none"/>
              </w:rPr>
            </w:pPr>
          </w:p>
          <w:p w14:paraId="22BB1CDB">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0BC71BA8">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17CDCB06">
            <w:pPr>
              <w:pStyle w:val="3"/>
              <w:rPr>
                <w:rFonts w:ascii="宋体" w:hAnsi="宋体" w:eastAsia="宋体" w:cs="宋体"/>
                <w:color w:val="auto"/>
                <w:highlight w:val="none"/>
                <w:lang w:val="en-US"/>
              </w:rPr>
            </w:pPr>
            <w:r>
              <w:rPr>
                <w:rFonts w:hint="default" w:ascii="宋体" w:hAnsi="宋体" w:eastAsia="宋体" w:cs="宋体"/>
                <w:b w:val="0"/>
                <w:bCs w:val="0"/>
                <w:color w:val="auto"/>
                <w:kern w:val="0"/>
                <w:sz w:val="24"/>
                <w:szCs w:val="24"/>
                <w:highlight w:val="none"/>
              </w:rPr>
              <w:t>（1）标的：</w:t>
            </w:r>
            <w:r>
              <w:rPr>
                <w:rFonts w:hint="default" w:ascii="宋体" w:hAnsi="宋体" w:eastAsia="宋体" w:cs="宋体"/>
                <w:b w:val="0"/>
                <w:bCs w:val="0"/>
                <w:color w:val="auto"/>
                <w:kern w:val="0"/>
                <w:sz w:val="24"/>
                <w:szCs w:val="24"/>
                <w:highlight w:val="none"/>
                <w:u w:val="single"/>
              </w:rPr>
              <w:t>招标文件第三部分“</w:t>
            </w:r>
            <w:r>
              <w:rPr>
                <w:rFonts w:hint="eastAsia" w:ascii="宋体" w:hAnsi="宋体" w:eastAsia="宋体" w:cs="宋体"/>
                <w:b w:val="0"/>
                <w:bCs w:val="0"/>
                <w:color w:val="auto"/>
                <w:kern w:val="0"/>
                <w:sz w:val="24"/>
                <w:szCs w:val="24"/>
                <w:highlight w:val="none"/>
                <w:u w:val="single"/>
                <w:lang w:eastAsia="zh-CN"/>
              </w:rPr>
              <w:t>一</w:t>
            </w:r>
            <w:r>
              <w:rPr>
                <w:rFonts w:hint="default" w:ascii="宋体" w:hAnsi="宋体" w:eastAsia="宋体" w:cs="宋体"/>
                <w:b w:val="0"/>
                <w:bCs w:val="0"/>
                <w:color w:val="auto"/>
                <w:kern w:val="0"/>
                <w:sz w:val="24"/>
                <w:szCs w:val="24"/>
                <w:highlight w:val="none"/>
                <w:u w:val="single"/>
              </w:rPr>
              <w:t>、采购标的清单”所有标的</w:t>
            </w:r>
            <w:r>
              <w:rPr>
                <w:rFonts w:hint="default" w:ascii="宋体" w:hAnsi="宋体" w:eastAsia="宋体" w:cs="宋体"/>
                <w:b w:val="0"/>
                <w:bCs w:val="0"/>
                <w:color w:val="auto"/>
                <w:kern w:val="0"/>
                <w:sz w:val="24"/>
                <w:szCs w:val="24"/>
                <w:highlight w:val="none"/>
              </w:rPr>
              <w:t>，属于</w:t>
            </w:r>
            <w:r>
              <w:rPr>
                <w:rFonts w:hint="default" w:ascii="宋体" w:hAnsi="宋体" w:eastAsia="宋体" w:cs="宋体"/>
                <w:b w:val="0"/>
                <w:bCs w:val="0"/>
                <w:color w:val="auto"/>
                <w:kern w:val="0"/>
                <w:sz w:val="24"/>
                <w:szCs w:val="24"/>
                <w:highlight w:val="none"/>
                <w:u w:val="single"/>
              </w:rPr>
              <w:t xml:space="preserve"> 工业</w:t>
            </w:r>
            <w:r>
              <w:rPr>
                <w:rFonts w:hint="eastAsia" w:ascii="新宋体" w:hAnsi="新宋体" w:eastAsia="新宋体" w:cs="新宋体"/>
                <w:b w:val="0"/>
                <w:bCs w:val="0"/>
                <w:color w:val="auto"/>
                <w:kern w:val="0"/>
                <w:sz w:val="24"/>
                <w:szCs w:val="24"/>
                <w:highlight w:val="none"/>
                <w:u w:val="single"/>
              </w:rPr>
              <w:t xml:space="preserve"> </w:t>
            </w:r>
            <w:r>
              <w:rPr>
                <w:rFonts w:hint="default" w:ascii="宋体" w:hAnsi="宋体" w:eastAsia="宋体" w:cs="宋体"/>
                <w:b w:val="0"/>
                <w:bCs w:val="0"/>
                <w:color w:val="auto"/>
                <w:kern w:val="0"/>
                <w:sz w:val="24"/>
                <w:szCs w:val="24"/>
                <w:highlight w:val="none"/>
                <w:u w:val="single"/>
              </w:rPr>
              <w:t xml:space="preserve"> </w:t>
            </w:r>
            <w:r>
              <w:rPr>
                <w:rFonts w:hint="default" w:ascii="宋体" w:hAnsi="宋体" w:eastAsia="宋体" w:cs="宋体"/>
                <w:b w:val="0"/>
                <w:bCs w:val="0"/>
                <w:color w:val="auto"/>
                <w:kern w:val="0"/>
                <w:sz w:val="24"/>
                <w:szCs w:val="24"/>
                <w:highlight w:val="none"/>
              </w:rPr>
              <w:t>行业</w:t>
            </w:r>
          </w:p>
        </w:tc>
      </w:tr>
      <w:tr w14:paraId="7A8D7D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9E68558">
            <w:pPr>
              <w:snapToGrid w:val="0"/>
              <w:spacing w:line="360" w:lineRule="auto"/>
              <w:jc w:val="center"/>
              <w:rPr>
                <w:rFonts w:ascii="宋体" w:hAnsi="宋体" w:cs="宋体"/>
                <w:color w:val="auto"/>
                <w:sz w:val="24"/>
                <w:highlight w:val="none"/>
              </w:rPr>
            </w:pPr>
          </w:p>
          <w:p w14:paraId="6D836390">
            <w:pPr>
              <w:snapToGrid w:val="0"/>
              <w:spacing w:line="360" w:lineRule="auto"/>
              <w:jc w:val="center"/>
              <w:rPr>
                <w:rFonts w:ascii="宋体" w:hAnsi="宋体" w:cs="宋体"/>
                <w:color w:val="auto"/>
                <w:sz w:val="24"/>
                <w:highlight w:val="none"/>
              </w:rPr>
            </w:pPr>
          </w:p>
          <w:p w14:paraId="7A8AD22D">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061B4824">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0BC900F5">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sym w:font="Wingdings" w:char="F0FE"/>
            </w:r>
            <w:r>
              <w:rPr>
                <w:rFonts w:hint="eastAsia" w:ascii="宋体" w:hAnsi="宋体" w:cs="宋体"/>
                <w:color w:val="auto"/>
                <w:kern w:val="0"/>
                <w:sz w:val="24"/>
                <w:highlight w:val="none"/>
              </w:rPr>
              <w:t>本项目不允许采购进口产品。</w:t>
            </w:r>
          </w:p>
          <w:p w14:paraId="5E64444D">
            <w:pPr>
              <w:spacing w:line="360" w:lineRule="auto"/>
              <w:rPr>
                <w:rFonts w:ascii="宋体" w:hAnsi="宋体" w:cs="宋体"/>
                <w:color w:val="auto"/>
                <w:highlight w:val="none"/>
              </w:rPr>
            </w:pPr>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采购进口产品。优先采购向我国企业转让技术、与我国企业签订消化吸收再创新方案的供应商的进口产品，详见</w:t>
            </w:r>
            <w:r>
              <w:rPr>
                <w:rFonts w:hint="eastAsia" w:ascii="宋体" w:hAnsi="宋体" w:cs="宋体"/>
                <w:color w:val="auto"/>
                <w:kern w:val="0"/>
                <w:sz w:val="24"/>
                <w:highlight w:val="none"/>
                <w:u w:val="single"/>
              </w:rPr>
              <w:t>评分标准</w:t>
            </w:r>
            <w:r>
              <w:rPr>
                <w:rFonts w:hint="eastAsia" w:ascii="宋体" w:hAnsi="宋体" w:cs="宋体"/>
                <w:color w:val="auto"/>
                <w:kern w:val="0"/>
                <w:sz w:val="24"/>
                <w:highlight w:val="none"/>
              </w:rPr>
              <w:t>。</w:t>
            </w:r>
          </w:p>
        </w:tc>
      </w:tr>
      <w:tr w14:paraId="4C1396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C98F2FF">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68620C27">
            <w:p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59851CE8">
            <w:pPr>
              <w:spacing w:line="360" w:lineRule="auto"/>
              <w:rPr>
                <w:rFonts w:hint="eastAsia" w:ascii="宋体" w:hAnsi="宋体" w:cs="宋体"/>
                <w:color w:val="auto"/>
                <w:sz w:val="24"/>
                <w:highlight w:val="none"/>
              </w:rPr>
            </w:pPr>
            <w:r>
              <w:rPr>
                <w:rFonts w:ascii="Wingdings" w:hAnsi="Wingdings" w:cs="宋体"/>
                <w:color w:val="auto"/>
                <w:kern w:val="0"/>
                <w:sz w:val="24"/>
                <w:highlight w:val="none"/>
              </w:rPr>
              <w:t></w:t>
            </w:r>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rPr>
              <w:t xml:space="preserve">   货物包装、运输等   </w:t>
            </w:r>
            <w:r>
              <w:rPr>
                <w:rFonts w:hint="eastAsia" w:ascii="宋体" w:hAnsi="宋体" w:cs="宋体"/>
                <w:color w:val="auto"/>
                <w:sz w:val="24"/>
                <w:highlight w:val="none"/>
              </w:rPr>
              <w:t>工作分包。</w:t>
            </w:r>
          </w:p>
          <w:p w14:paraId="47FED826">
            <w:pPr>
              <w:spacing w:line="360" w:lineRule="auto"/>
              <w:rPr>
                <w:rFonts w:ascii="宋体" w:hAnsi="宋体" w:cs="宋体"/>
                <w:color w:val="auto"/>
                <w:sz w:val="24"/>
                <w:highlight w:val="none"/>
              </w:rPr>
            </w:pPr>
            <w:r>
              <w:rPr>
                <w:rFonts w:hint="eastAsia" w:ascii="MS Gothic" w:hAnsi="MS Gothic" w:cs="宋体"/>
                <w:color w:val="auto"/>
                <w:kern w:val="0"/>
                <w:sz w:val="24"/>
                <w:highlight w:val="none"/>
              </w:rPr>
              <w:t>☐</w:t>
            </w:r>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w:t>
            </w:r>
          </w:p>
          <w:p w14:paraId="6492B603">
            <w:pPr>
              <w:spacing w:line="360" w:lineRule="auto"/>
              <w:rPr>
                <w:rFonts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14:paraId="503EA4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757D2E9">
            <w:pPr>
              <w:snapToGrid w:val="0"/>
              <w:spacing w:line="360" w:lineRule="auto"/>
              <w:jc w:val="center"/>
              <w:rPr>
                <w:rFonts w:ascii="宋体" w:hAnsi="宋体" w:cs="宋体"/>
                <w:color w:val="auto"/>
                <w:sz w:val="24"/>
                <w:highlight w:val="none"/>
              </w:rPr>
            </w:pPr>
          </w:p>
          <w:p w14:paraId="00FE18C7">
            <w:pPr>
              <w:snapToGrid w:val="0"/>
              <w:spacing w:line="360" w:lineRule="auto"/>
              <w:jc w:val="center"/>
              <w:rPr>
                <w:rFonts w:ascii="宋体" w:hAnsi="宋体" w:cs="宋体"/>
                <w:color w:val="auto"/>
                <w:sz w:val="24"/>
                <w:highlight w:val="none"/>
              </w:rPr>
            </w:pPr>
          </w:p>
          <w:p w14:paraId="7ACC9D4C">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74DBFE41">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53F952CD">
            <w:pPr>
              <w:spacing w:line="360" w:lineRule="auto"/>
              <w:rPr>
                <w:rFonts w:ascii="宋体" w:hAnsi="宋体" w:cs="宋体"/>
                <w:color w:val="auto"/>
                <w:sz w:val="24"/>
                <w:highlight w:val="none"/>
              </w:rPr>
            </w:pPr>
            <w:r>
              <w:rPr>
                <w:rFonts w:ascii="Wingdings" w:hAnsi="Wingdings" w:cs="宋体"/>
                <w:color w:val="auto"/>
                <w:kern w:val="0"/>
                <w:sz w:val="24"/>
                <w:highlight w:val="none"/>
              </w:rPr>
              <w:t></w:t>
            </w:r>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3A58DEEC">
            <w:pPr>
              <w:spacing w:line="360" w:lineRule="auto"/>
              <w:rPr>
                <w:rFonts w:ascii="宋体" w:hAnsi="宋体" w:cs="宋体"/>
                <w:color w:val="auto"/>
                <w:sz w:val="24"/>
                <w:szCs w:val="20"/>
                <w:highlight w:val="none"/>
              </w:rPr>
            </w:pPr>
            <w:r>
              <w:rPr>
                <w:rFonts w:hint="eastAsia" w:ascii="宋体" w:hAnsi="宋体" w:cs="宋体"/>
                <w:color w:val="auto"/>
                <w:kern w:val="0"/>
                <w:sz w:val="24"/>
                <w:highlight w:val="none"/>
              </w:rPr>
              <w:t>☐B组织，</w:t>
            </w:r>
            <w:r>
              <w:rPr>
                <w:rFonts w:hint="eastAsia" w:ascii="宋体" w:hAnsi="宋体" w:cs="宋体"/>
                <w:color w:val="auto"/>
                <w:sz w:val="24"/>
                <w:highlight w:val="none"/>
              </w:rPr>
              <w:t>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tc>
      </w:tr>
      <w:tr w14:paraId="000EDA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DF376EB">
            <w:pPr>
              <w:snapToGrid w:val="0"/>
              <w:spacing w:line="360" w:lineRule="auto"/>
              <w:jc w:val="center"/>
              <w:rPr>
                <w:rFonts w:ascii="宋体" w:hAnsi="宋体" w:cs="宋体"/>
                <w:color w:val="auto"/>
                <w:sz w:val="24"/>
                <w:highlight w:val="none"/>
              </w:rPr>
            </w:pPr>
          </w:p>
          <w:p w14:paraId="64A59CD5">
            <w:pPr>
              <w:snapToGrid w:val="0"/>
              <w:spacing w:line="360" w:lineRule="auto"/>
              <w:jc w:val="center"/>
              <w:rPr>
                <w:rFonts w:ascii="宋体" w:hAnsi="宋体" w:cs="宋体"/>
                <w:color w:val="auto"/>
                <w:sz w:val="24"/>
                <w:highlight w:val="none"/>
              </w:rPr>
            </w:pPr>
          </w:p>
          <w:p w14:paraId="3F1F5831">
            <w:pPr>
              <w:snapToGrid w:val="0"/>
              <w:spacing w:line="360" w:lineRule="auto"/>
              <w:jc w:val="center"/>
              <w:rPr>
                <w:rFonts w:ascii="宋体" w:hAnsi="宋体" w:cs="宋体"/>
                <w:color w:val="auto"/>
                <w:sz w:val="24"/>
                <w:highlight w:val="none"/>
              </w:rPr>
            </w:pPr>
          </w:p>
          <w:p w14:paraId="0E2AF980">
            <w:pPr>
              <w:snapToGrid w:val="0"/>
              <w:spacing w:line="360" w:lineRule="auto"/>
              <w:jc w:val="center"/>
              <w:rPr>
                <w:rFonts w:ascii="宋体" w:hAnsi="宋体" w:cs="宋体"/>
                <w:color w:val="auto"/>
                <w:sz w:val="24"/>
                <w:highlight w:val="none"/>
              </w:rPr>
            </w:pPr>
          </w:p>
          <w:p w14:paraId="3316F2BC">
            <w:pPr>
              <w:snapToGrid w:val="0"/>
              <w:spacing w:line="360" w:lineRule="auto"/>
              <w:jc w:val="center"/>
              <w:rPr>
                <w:rFonts w:ascii="宋体" w:hAnsi="宋体" w:cs="宋体"/>
                <w:color w:val="auto"/>
                <w:sz w:val="24"/>
                <w:highlight w:val="none"/>
              </w:rPr>
            </w:pPr>
          </w:p>
          <w:p w14:paraId="08749FA3">
            <w:pPr>
              <w:snapToGrid w:val="0"/>
              <w:spacing w:line="360" w:lineRule="auto"/>
              <w:jc w:val="center"/>
              <w:rPr>
                <w:rFonts w:ascii="宋体" w:hAnsi="宋体" w:cs="宋体"/>
                <w:color w:val="auto"/>
                <w:sz w:val="24"/>
                <w:highlight w:val="none"/>
              </w:rPr>
            </w:pPr>
          </w:p>
          <w:p w14:paraId="241B51AA">
            <w:pPr>
              <w:snapToGrid w:val="0"/>
              <w:spacing w:line="360" w:lineRule="auto"/>
              <w:jc w:val="center"/>
              <w:rPr>
                <w:rFonts w:ascii="宋体" w:hAnsi="宋体" w:cs="宋体"/>
                <w:color w:val="auto"/>
                <w:sz w:val="24"/>
                <w:highlight w:val="none"/>
              </w:rPr>
            </w:pPr>
          </w:p>
          <w:p w14:paraId="67F670C3">
            <w:pPr>
              <w:snapToGrid w:val="0"/>
              <w:spacing w:line="360" w:lineRule="auto"/>
              <w:jc w:val="center"/>
              <w:rPr>
                <w:rFonts w:ascii="宋体" w:hAnsi="宋体" w:cs="宋体"/>
                <w:color w:val="auto"/>
                <w:sz w:val="24"/>
                <w:highlight w:val="none"/>
              </w:rPr>
            </w:pPr>
          </w:p>
          <w:p w14:paraId="5674B39C">
            <w:pPr>
              <w:snapToGrid w:val="0"/>
              <w:spacing w:line="360" w:lineRule="auto"/>
              <w:jc w:val="center"/>
              <w:rPr>
                <w:rFonts w:ascii="宋体" w:hAnsi="宋体" w:cs="宋体"/>
                <w:color w:val="auto"/>
                <w:sz w:val="24"/>
                <w:highlight w:val="none"/>
              </w:rPr>
            </w:pPr>
          </w:p>
          <w:p w14:paraId="5ACEC8F1">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37F6891D">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5F026F68">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cs="宋体"/>
                <w:color w:val="auto"/>
                <w:sz w:val="24"/>
                <w:highlight w:val="none"/>
              </w:rPr>
            </w:pPr>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14:paraId="7F0C7A3F">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cs="宋体"/>
                <w:color w:val="auto"/>
                <w:kern w:val="0"/>
                <w:sz w:val="24"/>
                <w:highlight w:val="none"/>
              </w:rPr>
            </w:pPr>
            <w:r>
              <w:rPr>
                <w:rFonts w:ascii="Wingdings" w:hAnsi="Wingdings" w:cs="宋体"/>
                <w:color w:val="auto"/>
                <w:kern w:val="0"/>
                <w:sz w:val="24"/>
                <w:highlight w:val="none"/>
              </w:rPr>
              <w:t></w:t>
            </w:r>
            <w:r>
              <w:rPr>
                <w:rFonts w:hint="eastAsia" w:ascii="宋体" w:hAnsi="宋体" w:cs="宋体"/>
                <w:color w:val="auto"/>
                <w:kern w:val="0"/>
                <w:sz w:val="24"/>
                <w:highlight w:val="none"/>
              </w:rPr>
              <w:t>B要求提供（未提供成品样品或提供成品样品不满足采购需求实质性条件的供应商，投标无效</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w:t>
            </w:r>
          </w:p>
          <w:p w14:paraId="72249F3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（1）样品：</w:t>
            </w:r>
            <w:r>
              <w:rPr>
                <w:rFonts w:hint="eastAsia" w:ascii="宋体" w:hAnsi="宋体" w:eastAsia="宋体" w:cs="宋体"/>
                <w:color w:val="auto"/>
                <w:kern w:val="2"/>
                <w:sz w:val="24"/>
                <w:szCs w:val="24"/>
                <w:highlight w:val="none"/>
                <w:u w:val="single"/>
                <w:lang w:val="en-US" w:eastAsia="zh-CN" w:bidi="ar-SA"/>
              </w:rPr>
              <w:t>序号3接待椅</w:t>
            </w:r>
            <w:r>
              <w:rPr>
                <w:rFonts w:hint="eastAsia" w:ascii="宋体" w:hAnsi="宋体" w:cs="宋体"/>
                <w:color w:val="auto"/>
                <w:kern w:val="2"/>
                <w:sz w:val="24"/>
                <w:szCs w:val="24"/>
                <w:highlight w:val="none"/>
                <w:u w:val="single"/>
                <w:lang w:val="en-US" w:eastAsia="zh-CN" w:bidi="ar-SA"/>
              </w:rPr>
              <w:t>（1）一张、序号30团员活动桌一张</w:t>
            </w:r>
            <w:r>
              <w:rPr>
                <w:rFonts w:hint="eastAsia" w:ascii="宋体" w:hAnsi="宋体" w:eastAsia="宋体" w:cs="宋体"/>
                <w:color w:val="auto"/>
                <w:kern w:val="2"/>
                <w:sz w:val="24"/>
                <w:szCs w:val="24"/>
                <w:highlight w:val="none"/>
                <w:lang w:val="en-US" w:eastAsia="zh-CN" w:bidi="ar-SA"/>
              </w:rPr>
              <w:t>；</w:t>
            </w:r>
          </w:p>
          <w:p w14:paraId="336D332D">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（2）样品制作的标准和要求：</w:t>
            </w:r>
            <w:r>
              <w:rPr>
                <w:rFonts w:hint="eastAsia" w:ascii="宋体" w:hAnsi="宋体" w:eastAsia="宋体" w:cs="宋体"/>
                <w:color w:val="auto"/>
                <w:kern w:val="2"/>
                <w:sz w:val="24"/>
                <w:szCs w:val="24"/>
                <w:highlight w:val="none"/>
                <w:u w:val="single"/>
                <w:lang w:val="en-US" w:eastAsia="zh-CN" w:bidi="ar-SA"/>
              </w:rPr>
              <w:t>符合采购需求；</w:t>
            </w:r>
          </w:p>
          <w:p w14:paraId="1495295F">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（3）样品的评审方法以及评审标准：</w:t>
            </w:r>
          </w:p>
          <w:p w14:paraId="518E0767">
            <w:pPr>
              <w:keepNext w:val="0"/>
              <w:keepLines w:val="0"/>
              <w:pageBreakBefore w:val="0"/>
              <w:widowControl w:val="0"/>
              <w:kinsoku/>
              <w:wordWrap/>
              <w:overflowPunct/>
              <w:topLinePunct w:val="0"/>
              <w:autoSpaceDE/>
              <w:autoSpaceDN/>
              <w:bidi w:val="0"/>
              <w:adjustRightInd w:val="0"/>
              <w:snapToGrid/>
              <w:spacing w:line="360" w:lineRule="auto"/>
              <w:ind w:firstLine="240" w:firstLineChars="100"/>
              <w:textAlignment w:val="auto"/>
              <w:rPr>
                <w:rFonts w:hint="eastAsia" w:ascii="宋体" w:hAnsi="宋体" w:cs="宋体"/>
                <w:color w:val="auto"/>
                <w:sz w:val="24"/>
                <w:highlight w:val="none"/>
              </w:rPr>
            </w:pPr>
            <w:r>
              <w:rPr>
                <w:rFonts w:ascii="Wingdings" w:hAnsi="Wingdings" w:cs="宋体"/>
                <w:color w:val="auto"/>
                <w:kern w:val="0"/>
                <w:sz w:val="24"/>
                <w:highlight w:val="none"/>
              </w:rPr>
              <w:sym w:font="Wingdings" w:char="00FE"/>
            </w:r>
            <w:r>
              <w:rPr>
                <w:rFonts w:hint="eastAsia" w:ascii="宋体" w:hAnsi="宋体" w:cs="宋体"/>
                <w:color w:val="auto"/>
                <w:sz w:val="24"/>
                <w:highlight w:val="none"/>
              </w:rPr>
              <w:t>样品分未超过价格分的50%；</w:t>
            </w:r>
          </w:p>
          <w:p w14:paraId="6E4C7D7C">
            <w:pPr>
              <w:keepNext w:val="0"/>
              <w:keepLines w:val="0"/>
              <w:pageBreakBefore w:val="0"/>
              <w:widowControl w:val="0"/>
              <w:kinsoku/>
              <w:wordWrap/>
              <w:overflowPunct/>
              <w:topLinePunct w:val="0"/>
              <w:autoSpaceDE/>
              <w:autoSpaceDN/>
              <w:bidi w:val="0"/>
              <w:adjustRightInd w:val="0"/>
              <w:snapToGrid/>
              <w:spacing w:line="360" w:lineRule="auto"/>
              <w:ind w:firstLine="240" w:firstLineChars="100"/>
              <w:textAlignment w:val="auto"/>
              <w:rPr>
                <w:rFonts w:hint="eastAsia" w:ascii="宋体" w:hAnsi="宋体" w:cs="宋体"/>
                <w:color w:val="auto"/>
                <w:kern w:val="0"/>
                <w:sz w:val="24"/>
                <w:highlight w:val="none"/>
              </w:rPr>
            </w:pPr>
            <w:r>
              <w:rPr>
                <w:rFonts w:hint="eastAsia" w:ascii="宋体" w:hAnsi="宋体" w:cs="宋体"/>
                <w:snapToGrid w:val="0"/>
                <w:color w:val="auto"/>
                <w:kern w:val="28"/>
                <w:sz w:val="24"/>
                <w:highlight w:val="none"/>
              </w:rPr>
              <w:t>详见招标文件第四部分</w:t>
            </w:r>
            <w:r>
              <w:rPr>
                <w:rFonts w:hint="eastAsia" w:ascii="宋体" w:hAnsi="宋体" w:cs="宋体"/>
                <w:color w:val="auto"/>
                <w:sz w:val="24"/>
                <w:highlight w:val="none"/>
                <w:u w:val="single"/>
              </w:rPr>
              <w:t>评标办法</w:t>
            </w:r>
            <w:r>
              <w:rPr>
                <w:rFonts w:hint="eastAsia" w:ascii="宋体" w:hAnsi="宋体" w:cs="宋体"/>
                <w:color w:val="auto"/>
                <w:kern w:val="0"/>
                <w:sz w:val="24"/>
                <w:highlight w:val="none"/>
              </w:rPr>
              <w:t xml:space="preserve">。 </w:t>
            </w:r>
          </w:p>
          <w:p w14:paraId="3EA4D0DE">
            <w:pPr>
              <w:keepNext w:val="0"/>
              <w:keepLines w:val="0"/>
              <w:pageBreakBefore w:val="0"/>
              <w:widowControl w:val="0"/>
              <w:tabs>
                <w:tab w:val="left" w:pos="355"/>
              </w:tabs>
              <w:kinsoku/>
              <w:wordWrap/>
              <w:overflowPunct/>
              <w:topLinePunct w:val="0"/>
              <w:autoSpaceDE/>
              <w:autoSpaceDN/>
              <w:bidi w:val="0"/>
              <w:adjustRightInd w:val="0"/>
              <w:snapToGrid/>
              <w:spacing w:line="360" w:lineRule="auto"/>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）是否需要随样品提交检测报告：</w:t>
            </w:r>
            <w:r>
              <w:rPr>
                <w:rFonts w:hint="eastAsia" w:ascii="宋体" w:hAnsi="宋体" w:cs="宋体"/>
                <w:color w:val="auto"/>
                <w:kern w:val="0"/>
                <w:sz w:val="24"/>
                <w:highlight w:val="none"/>
              </w:rPr>
              <w:sym w:font="Wingdings" w:char="F0FE"/>
            </w:r>
            <w:r>
              <w:rPr>
                <w:rFonts w:hint="eastAsia" w:ascii="宋体" w:hAnsi="宋体" w:cs="宋体"/>
                <w:color w:val="auto"/>
                <w:kern w:val="0"/>
                <w:sz w:val="24"/>
                <w:highlight w:val="none"/>
              </w:rPr>
              <w:t>否；</w:t>
            </w:r>
          </w:p>
          <w:p w14:paraId="6E17965D">
            <w:pPr>
              <w:pStyle w:val="19"/>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）提供样品的时间：202</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年</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8</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10</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30</w:t>
            </w:r>
            <w:r>
              <w:rPr>
                <w:rFonts w:hint="eastAsia" w:ascii="宋体" w:hAnsi="宋体" w:cs="宋体"/>
                <w:color w:val="auto"/>
                <w:kern w:val="0"/>
                <w:sz w:val="24"/>
                <w:highlight w:val="none"/>
              </w:rPr>
              <w:t>；地点：</w:t>
            </w:r>
            <w:r>
              <w:rPr>
                <w:rFonts w:hint="eastAsia" w:ascii="宋体" w:hAnsi="宋体" w:cs="宋体"/>
                <w:color w:val="auto"/>
                <w:kern w:val="0"/>
                <w:sz w:val="24"/>
                <w:highlight w:val="none"/>
                <w:u w:val="single"/>
              </w:rPr>
              <w:t>杭州市余杭区余杭街道凤新路与城东路交叉口东南100米瑞鸿大</w:t>
            </w:r>
            <w:r>
              <w:rPr>
                <w:rFonts w:hint="eastAsia" w:ascii="宋体" w:hAnsi="宋体" w:cs="宋体"/>
                <w:color w:val="auto"/>
                <w:sz w:val="24"/>
                <w:highlight w:val="none"/>
                <w:u w:val="single"/>
              </w:rPr>
              <w:t>厦B1样品间（位于地下车库凤新路出入口附近）</w:t>
            </w:r>
            <w:r>
              <w:rPr>
                <w:rFonts w:hint="eastAsia" w:ascii="宋体" w:hAnsi="宋体" w:cs="宋体"/>
                <w:color w:val="auto"/>
                <w:sz w:val="24"/>
                <w:highlight w:val="none"/>
              </w:rPr>
              <w:t>；</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lang w:val="en-US" w:eastAsia="zh-CN"/>
              </w:rPr>
              <w:t xml:space="preserve"> 孟老师 </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kern w:val="28"/>
                <w:sz w:val="24"/>
                <w:highlight w:val="none"/>
                <w:lang w:eastAsia="zh-CN"/>
              </w:rPr>
              <w:t>：</w:t>
            </w:r>
            <w:r>
              <w:rPr>
                <w:rFonts w:hint="eastAsia" w:ascii="新宋体" w:hAnsi="新宋体" w:eastAsia="新宋体" w:cs="新宋体"/>
                <w:color w:val="auto"/>
                <w:sz w:val="24"/>
                <w:highlight w:val="none"/>
                <w:u w:val="single"/>
                <w:lang w:val="en-US" w:eastAsia="zh-CN"/>
              </w:rPr>
              <w:t xml:space="preserve"> 15958181261</w:t>
            </w:r>
            <w:r>
              <w:rPr>
                <w:rFonts w:hint="eastAsia" w:ascii="新宋体" w:hAnsi="新宋体" w:eastAsia="新宋体" w:cs="新宋体"/>
                <w:color w:val="auto"/>
                <w:sz w:val="24"/>
                <w:highlight w:val="none"/>
                <w:u w:val="single"/>
              </w:rPr>
              <w:t xml:space="preserve"> </w:t>
            </w:r>
            <w:r>
              <w:rPr>
                <w:rFonts w:hint="eastAsia" w:ascii="宋体" w:hAnsi="宋体" w:cs="宋体"/>
                <w:color w:val="auto"/>
                <w:sz w:val="24"/>
                <w:highlight w:val="none"/>
              </w:rPr>
              <w:t>。请投标人在上述时间内提供样品并按规定位置安装完毕。超过截止时间的，采购人将不予接收，并将清场并封闭样品现场。</w:t>
            </w:r>
          </w:p>
          <w:p w14:paraId="4A1EEE8A">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采购活动结束后，对于未中标人提供的样品，采购人将通知未中标人在规定的时间内取回，逾期未取回的，采购人、采购代理机构不负保管义务；对于中标人提供的样品，采购人将进行保管、封存，并作为履约验收的参考。</w:t>
            </w:r>
          </w:p>
          <w:p w14:paraId="4C538467">
            <w:pPr>
              <w:spacing w:line="360" w:lineRule="auto"/>
              <w:rPr>
                <w:rFonts w:ascii="宋体" w:hAnsi="宋体" w:cs="宋体"/>
                <w:b/>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）制作、运输、安装和保管样品所发生的一切费用由投标人自理。</w:t>
            </w:r>
          </w:p>
        </w:tc>
      </w:tr>
      <w:tr w14:paraId="24BCFB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32"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85C59BE">
            <w:pPr>
              <w:snapToGrid w:val="0"/>
              <w:spacing w:line="360" w:lineRule="auto"/>
              <w:ind w:firstLine="240" w:firstLineChars="100"/>
              <w:jc w:val="both"/>
              <w:rPr>
                <w:rFonts w:ascii="宋体" w:hAnsi="宋体" w:cs="宋体"/>
                <w:color w:val="auto"/>
                <w:sz w:val="24"/>
                <w:highlight w:val="none"/>
              </w:rPr>
            </w:pPr>
            <w:r>
              <w:rPr>
                <w:rFonts w:hint="eastAsia" w:ascii="宋体" w:hAnsi="宋体" w:cs="宋体"/>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74E92D07">
            <w:pPr>
              <w:snapToGrid w:val="0"/>
              <w:spacing w:line="360" w:lineRule="auto"/>
              <w:jc w:val="center"/>
              <w:rPr>
                <w:rFonts w:ascii="宋体" w:hAnsi="宋体" w:cs="宋体"/>
                <w:bCs/>
                <w:color w:val="auto"/>
                <w:sz w:val="24"/>
                <w:highlight w:val="none"/>
              </w:rPr>
            </w:pPr>
            <w:r>
              <w:rPr>
                <w:rFonts w:hint="eastAsia" w:ascii="宋体" w:hAnsi="宋体" w:cs="宋体"/>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75CDD093">
            <w:pPr>
              <w:spacing w:line="360" w:lineRule="auto"/>
              <w:rPr>
                <w:rFonts w:ascii="宋体" w:hAnsi="宋体" w:cs="宋体"/>
                <w:b/>
                <w:color w:val="auto"/>
                <w:kern w:val="0"/>
                <w:sz w:val="24"/>
                <w:highlight w:val="none"/>
                <w:lang w:val="zh-CN"/>
              </w:rPr>
            </w:pPr>
            <w:r>
              <w:rPr>
                <w:rFonts w:ascii="Wingdings" w:hAnsi="Wingdings" w:cs="宋体"/>
                <w:color w:val="auto"/>
                <w:kern w:val="0"/>
                <w:sz w:val="24"/>
                <w:highlight w:val="none"/>
              </w:rPr>
              <w:sym w:font="Wingdings" w:char="00FE"/>
            </w:r>
            <w:r>
              <w:rPr>
                <w:rFonts w:hint="eastAsia" w:ascii="宋体" w:hAnsi="宋体" w:cs="宋体"/>
                <w:color w:val="auto"/>
                <w:kern w:val="0"/>
                <w:sz w:val="24"/>
                <w:highlight w:val="none"/>
              </w:rPr>
              <w:t>A</w:t>
            </w:r>
            <w:r>
              <w:rPr>
                <w:rFonts w:hint="eastAsia" w:ascii="宋体" w:hAnsi="宋体" w:cs="宋体"/>
                <w:color w:val="auto"/>
                <w:sz w:val="24"/>
                <w:highlight w:val="none"/>
              </w:rPr>
              <w:t>不组织。</w:t>
            </w:r>
          </w:p>
        </w:tc>
      </w:tr>
      <w:tr w14:paraId="4EB5D6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14:paraId="4B13D19A">
            <w:pPr>
              <w:snapToGrid w:val="0"/>
              <w:spacing w:line="360" w:lineRule="auto"/>
              <w:jc w:val="center"/>
              <w:rPr>
                <w:rFonts w:ascii="宋体" w:hAnsi="宋体" w:cs="宋体"/>
                <w:color w:val="auto"/>
                <w:sz w:val="24"/>
                <w:highlight w:val="none"/>
              </w:rPr>
            </w:pPr>
          </w:p>
          <w:p w14:paraId="68307464">
            <w:pPr>
              <w:snapToGrid w:val="0"/>
              <w:spacing w:line="360" w:lineRule="auto"/>
              <w:jc w:val="center"/>
              <w:rPr>
                <w:rFonts w:ascii="宋体" w:hAnsi="宋体" w:cs="宋体"/>
                <w:color w:val="auto"/>
                <w:sz w:val="24"/>
                <w:highlight w:val="none"/>
              </w:rPr>
            </w:pPr>
          </w:p>
          <w:p w14:paraId="56B936D7">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676DFBFE">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41FA7166">
            <w:pPr>
              <w:spacing w:line="360" w:lineRule="auto"/>
              <w:rPr>
                <w:rFonts w:ascii="宋体" w:hAnsi="宋体" w:cs="宋体"/>
                <w:color w:val="auto"/>
                <w:sz w:val="24"/>
                <w:highlight w:val="none"/>
              </w:rPr>
            </w:pPr>
            <w:r>
              <w:rPr>
                <w:rFonts w:hint="eastAsia" w:ascii="宋体" w:hAnsi="宋体" w:cs="宋体"/>
                <w:color w:val="auto"/>
                <w:sz w:val="24"/>
                <w:highlight w:val="none"/>
              </w:rPr>
              <w:t>（1）资格证明文件：见招标文件第二部分11.1。</w:t>
            </w:r>
          </w:p>
          <w:p w14:paraId="68309E03">
            <w:pPr>
              <w:spacing w:line="360" w:lineRule="auto"/>
              <w:rPr>
                <w:rFonts w:ascii="宋体" w:hAnsi="宋体" w:cs="宋体"/>
                <w:snapToGrid w:val="0"/>
                <w:color w:val="auto"/>
                <w:kern w:val="0"/>
                <w:szCs w:val="21"/>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14:paraId="69B456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vAlign w:val="center"/>
          </w:tcPr>
          <w:p w14:paraId="771EC3A8">
            <w:pPr>
              <w:snapToGrid w:val="0"/>
              <w:spacing w:line="360" w:lineRule="auto"/>
              <w:jc w:val="center"/>
              <w:rPr>
                <w:rFonts w:ascii="宋体" w:hAnsi="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1837B942">
            <w:pPr>
              <w:snapToGrid w:val="0"/>
              <w:spacing w:line="360" w:lineRule="auto"/>
              <w:jc w:val="center"/>
              <w:rPr>
                <w:rFonts w:ascii="宋体" w:hAnsi="宋体" w:cs="宋体"/>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212B0CDF">
            <w:pPr>
              <w:spacing w:line="360" w:lineRule="auto"/>
              <w:rPr>
                <w:rFonts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14:paraId="5A9547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0DFF07AB">
            <w:pPr>
              <w:snapToGrid w:val="0"/>
              <w:spacing w:line="360" w:lineRule="auto"/>
              <w:jc w:val="center"/>
              <w:rPr>
                <w:rFonts w:ascii="宋体" w:hAnsi="宋体" w:cs="宋体"/>
                <w:color w:val="auto"/>
                <w:sz w:val="24"/>
                <w:highlight w:val="none"/>
              </w:rPr>
            </w:pPr>
          </w:p>
          <w:p w14:paraId="6E1EE6AA">
            <w:pPr>
              <w:snapToGrid w:val="0"/>
              <w:spacing w:line="360" w:lineRule="auto"/>
              <w:jc w:val="center"/>
              <w:rPr>
                <w:rFonts w:ascii="宋体" w:hAnsi="宋体" w:cs="宋体"/>
                <w:color w:val="auto"/>
                <w:sz w:val="24"/>
                <w:highlight w:val="none"/>
              </w:rPr>
            </w:pPr>
          </w:p>
          <w:p w14:paraId="0948F625">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386F54EF">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节能产品、环境标志产品政府优先采购或强制采购</w:t>
            </w:r>
          </w:p>
        </w:tc>
        <w:tc>
          <w:tcPr>
            <w:tcW w:w="6095" w:type="dxa"/>
            <w:tcBorders>
              <w:top w:val="single" w:color="000000" w:sz="8" w:space="0"/>
              <w:left w:val="single" w:color="000000" w:sz="2" w:space="0"/>
              <w:bottom w:val="single" w:color="000000" w:sz="8" w:space="0"/>
              <w:right w:val="single" w:color="000000" w:sz="8" w:space="0"/>
            </w:tcBorders>
            <w:vAlign w:val="center"/>
          </w:tcPr>
          <w:p w14:paraId="04D7CF82">
            <w:pPr>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☐依据国家确定的认证机构出具的、处于有效期之内的节能产品认证证书，对获得证书的产品实施政府优先采购或强制采购；其中，对</w:t>
            </w:r>
            <w:r>
              <w:rPr>
                <w:rFonts w:hint="eastAsia" w:ascii="宋体" w:hAnsi="宋体" w:cs="宋体"/>
                <w:color w:val="auto"/>
                <w:kern w:val="0"/>
                <w:sz w:val="24"/>
                <w:highlight w:val="none"/>
                <w:u w:val="single"/>
                <w:lang w:val="zh-CN"/>
              </w:rPr>
              <w:t>产品名称XXX</w:t>
            </w:r>
            <w:r>
              <w:rPr>
                <w:rFonts w:hint="eastAsia" w:ascii="宋体" w:hAnsi="宋体" w:cs="宋体"/>
                <w:color w:val="auto"/>
                <w:kern w:val="0"/>
                <w:sz w:val="24"/>
                <w:highlight w:val="none"/>
                <w:lang w:val="zh-CN"/>
              </w:rPr>
              <w:t>实施政府优先采购，</w:t>
            </w:r>
            <w:r>
              <w:rPr>
                <w:rFonts w:hint="eastAsia" w:ascii="宋体" w:hAnsi="宋体" w:cs="宋体"/>
                <w:color w:val="auto"/>
                <w:kern w:val="0"/>
                <w:sz w:val="24"/>
                <w:highlight w:val="none"/>
              </w:rPr>
              <w:t>详</w:t>
            </w:r>
            <w:r>
              <w:rPr>
                <w:rFonts w:hint="eastAsia" w:ascii="宋体" w:hAnsi="宋体" w:cs="宋体"/>
                <w:color w:val="auto"/>
                <w:kern w:val="0"/>
                <w:sz w:val="24"/>
                <w:highlight w:val="none"/>
                <w:lang w:val="zh-CN"/>
              </w:rPr>
              <w:t>见</w:t>
            </w:r>
            <w:r>
              <w:rPr>
                <w:rFonts w:hint="eastAsia" w:ascii="宋体" w:hAnsi="宋体" w:cs="宋体"/>
                <w:color w:val="auto"/>
                <w:kern w:val="0"/>
                <w:sz w:val="24"/>
                <w:highlight w:val="none"/>
                <w:u w:val="single"/>
                <w:lang w:val="zh-CN"/>
              </w:rPr>
              <w:t>评分标准</w:t>
            </w:r>
            <w:r>
              <w:rPr>
                <w:rFonts w:hint="eastAsia" w:ascii="宋体" w:hAnsi="宋体" w:cs="宋体"/>
                <w:color w:val="auto"/>
                <w:kern w:val="0"/>
                <w:sz w:val="24"/>
                <w:highlight w:val="none"/>
                <w:lang w:val="zh-CN"/>
              </w:rPr>
              <w:t>；</w:t>
            </w:r>
            <w:r>
              <w:rPr>
                <w:rFonts w:hint="eastAsia" w:ascii="宋体" w:hAnsi="宋体" w:cs="宋体"/>
                <w:color w:val="auto"/>
                <w:sz w:val="24"/>
                <w:highlight w:val="none"/>
              </w:rPr>
              <w:t>▲</w:t>
            </w:r>
            <w:r>
              <w:rPr>
                <w:rFonts w:hint="eastAsia" w:ascii="宋体" w:hAnsi="宋体" w:cs="宋体"/>
                <w:color w:val="auto"/>
                <w:kern w:val="0"/>
                <w:sz w:val="24"/>
                <w:highlight w:val="none"/>
                <w:lang w:val="zh-CN"/>
              </w:rPr>
              <w:t>对</w:t>
            </w:r>
            <w:r>
              <w:rPr>
                <w:rFonts w:hint="eastAsia" w:ascii="宋体" w:hAnsi="宋体" w:cs="宋体"/>
                <w:color w:val="auto"/>
                <w:kern w:val="0"/>
                <w:sz w:val="24"/>
                <w:highlight w:val="none"/>
                <w:u w:val="single"/>
                <w:lang w:val="zh-CN"/>
              </w:rPr>
              <w:t>产品名称XXX</w:t>
            </w:r>
            <w:r>
              <w:rPr>
                <w:rFonts w:hint="eastAsia" w:ascii="宋体" w:hAnsi="宋体" w:cs="宋体"/>
                <w:color w:val="auto"/>
                <w:kern w:val="0"/>
                <w:sz w:val="24"/>
                <w:highlight w:val="none"/>
                <w:lang w:val="zh-CN"/>
              </w:rPr>
              <w:t>实施政府强制采购，</w:t>
            </w:r>
            <w:r>
              <w:rPr>
                <w:rFonts w:hint="eastAsia" w:ascii="宋体" w:hAnsi="宋体" w:cs="宋体"/>
                <w:b/>
                <w:bCs/>
                <w:color w:val="auto"/>
                <w:kern w:val="0"/>
                <w:sz w:val="24"/>
                <w:highlight w:val="none"/>
                <w:lang w:val="zh-CN"/>
              </w:rPr>
              <w:t>投标人</w:t>
            </w:r>
            <w:r>
              <w:rPr>
                <w:rFonts w:hint="eastAsia" w:ascii="宋体" w:hAnsi="宋体" w:cs="宋体"/>
                <w:b/>
                <w:bCs/>
                <w:color w:val="auto"/>
                <w:kern w:val="0"/>
                <w:sz w:val="24"/>
                <w:highlight w:val="none"/>
              </w:rPr>
              <w:t>就</w:t>
            </w:r>
            <w:r>
              <w:rPr>
                <w:rFonts w:hint="eastAsia" w:ascii="宋体" w:hAnsi="宋体" w:cs="宋体"/>
                <w:b/>
                <w:bCs/>
                <w:color w:val="auto"/>
                <w:kern w:val="0"/>
                <w:sz w:val="24"/>
                <w:highlight w:val="none"/>
                <w:lang w:val="zh-CN"/>
              </w:rPr>
              <w:t>相应的投标产品未</w:t>
            </w:r>
            <w:r>
              <w:rPr>
                <w:rFonts w:hint="eastAsia" w:ascii="宋体" w:hAnsi="宋体" w:cs="宋体"/>
                <w:b/>
                <w:bCs/>
                <w:color w:val="auto"/>
                <w:kern w:val="0"/>
                <w:sz w:val="24"/>
                <w:highlight w:val="none"/>
              </w:rPr>
              <w:t>提供</w:t>
            </w:r>
            <w:r>
              <w:rPr>
                <w:rFonts w:hint="eastAsia" w:ascii="宋体" w:hAnsi="宋体" w:cs="宋体"/>
                <w:b/>
                <w:bCs/>
                <w:color w:val="auto"/>
                <w:kern w:val="0"/>
                <w:sz w:val="24"/>
                <w:highlight w:val="none"/>
                <w:lang w:val="zh-CN"/>
              </w:rPr>
              <w:t>国家确定的认证机构出具的、处于有效期之内的节能产品认证证书的，投标无效</w:t>
            </w:r>
            <w:r>
              <w:rPr>
                <w:rFonts w:hint="eastAsia" w:ascii="宋体" w:hAnsi="宋体" w:cs="宋体"/>
                <w:color w:val="auto"/>
                <w:kern w:val="0"/>
                <w:sz w:val="24"/>
                <w:highlight w:val="none"/>
                <w:lang w:val="zh-CN"/>
              </w:rPr>
              <w:t>。</w:t>
            </w:r>
          </w:p>
          <w:p w14:paraId="3E44655B">
            <w:pPr>
              <w:spacing w:line="360" w:lineRule="auto"/>
              <w:rPr>
                <w:rFonts w:ascii="宋体" w:hAnsi="宋体" w:cs="宋体"/>
                <w:color w:val="auto"/>
                <w:kern w:val="0"/>
                <w:sz w:val="24"/>
                <w:highlight w:val="none"/>
                <w:lang w:val="zh-CN"/>
              </w:rPr>
            </w:pPr>
            <w:r>
              <w:rPr>
                <w:rFonts w:ascii="Wingdings" w:hAnsi="Wingdings" w:cs="宋体"/>
                <w:color w:val="auto"/>
                <w:kern w:val="0"/>
                <w:sz w:val="24"/>
                <w:highlight w:val="none"/>
              </w:rPr>
              <w:sym w:font="Wingdings" w:char="00FE"/>
            </w:r>
            <w:r>
              <w:rPr>
                <w:rFonts w:hint="eastAsia" w:ascii="宋体" w:hAnsi="宋体" w:cs="宋体"/>
                <w:color w:val="auto"/>
                <w:kern w:val="0"/>
                <w:sz w:val="24"/>
                <w:highlight w:val="none"/>
                <w:lang w:val="zh-CN"/>
              </w:rPr>
              <w:t>依据国家确定的认证机构出具的、处于有效期之内的环境标志产品认证证书，对获得证书的</w:t>
            </w:r>
            <w:r>
              <w:rPr>
                <w:rFonts w:hint="eastAsia" w:ascii="宋体" w:hAnsi="宋体" w:cs="宋体"/>
                <w:color w:val="auto"/>
                <w:kern w:val="0"/>
                <w:sz w:val="24"/>
                <w:highlight w:val="none"/>
                <w:u w:val="single"/>
                <w:lang w:val="zh-CN"/>
              </w:rPr>
              <w:t>所有标的</w:t>
            </w:r>
            <w:r>
              <w:rPr>
                <w:rFonts w:hint="eastAsia" w:ascii="宋体" w:hAnsi="宋体" w:cs="宋体"/>
                <w:color w:val="auto"/>
                <w:kern w:val="0"/>
                <w:sz w:val="24"/>
                <w:highlight w:val="none"/>
                <w:lang w:val="zh-CN"/>
              </w:rPr>
              <w:t>实施政府优先采购，</w:t>
            </w:r>
            <w:r>
              <w:rPr>
                <w:rFonts w:hint="eastAsia" w:ascii="宋体" w:hAnsi="宋体" w:cs="宋体"/>
                <w:color w:val="auto"/>
                <w:kern w:val="0"/>
                <w:sz w:val="24"/>
                <w:highlight w:val="none"/>
              </w:rPr>
              <w:t>详</w:t>
            </w:r>
            <w:r>
              <w:rPr>
                <w:rFonts w:hint="eastAsia" w:ascii="宋体" w:hAnsi="宋体" w:cs="宋体"/>
                <w:color w:val="auto"/>
                <w:kern w:val="0"/>
                <w:sz w:val="24"/>
                <w:highlight w:val="none"/>
                <w:lang w:val="zh-CN"/>
              </w:rPr>
              <w:t>见</w:t>
            </w:r>
            <w:r>
              <w:rPr>
                <w:rFonts w:hint="eastAsia" w:ascii="宋体" w:hAnsi="宋体" w:cs="宋体"/>
                <w:color w:val="auto"/>
                <w:kern w:val="0"/>
                <w:sz w:val="24"/>
                <w:highlight w:val="none"/>
                <w:u w:val="single"/>
                <w:lang w:val="zh-CN"/>
              </w:rPr>
              <w:t>评分标准</w:t>
            </w:r>
            <w:r>
              <w:rPr>
                <w:rFonts w:hint="eastAsia" w:ascii="宋体" w:hAnsi="宋体" w:cs="宋体"/>
                <w:color w:val="auto"/>
                <w:kern w:val="0"/>
                <w:sz w:val="24"/>
                <w:highlight w:val="none"/>
                <w:lang w:val="zh-CN"/>
              </w:rPr>
              <w:t>。</w:t>
            </w:r>
          </w:p>
          <w:p w14:paraId="4E3FF5EE">
            <w:pPr>
              <w:rPr>
                <w:rFonts w:ascii="宋体" w:hAnsi="宋体" w:cs="宋体"/>
                <w:color w:val="auto"/>
                <w:highlight w:val="none"/>
              </w:rPr>
            </w:pPr>
            <w:r>
              <w:rPr>
                <w:rFonts w:hint="eastAsia" w:ascii="MS Gothic" w:hAnsi="MS Gothic" w:eastAsia="MS Gothic" w:cs="宋体"/>
                <w:color w:val="auto"/>
                <w:kern w:val="0"/>
                <w:sz w:val="24"/>
                <w:highlight w:val="none"/>
              </w:rPr>
              <w:t>☐</w:t>
            </w:r>
            <w:r>
              <w:rPr>
                <w:rFonts w:hint="eastAsia" w:ascii="宋体" w:hAnsi="宋体" w:cs="宋体"/>
                <w:color w:val="auto"/>
                <w:kern w:val="0"/>
                <w:sz w:val="24"/>
                <w:highlight w:val="none"/>
              </w:rPr>
              <w:t>无。</w:t>
            </w:r>
          </w:p>
        </w:tc>
      </w:tr>
      <w:tr w14:paraId="1B77AE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930CB58">
            <w:pPr>
              <w:snapToGrid w:val="0"/>
              <w:spacing w:line="360" w:lineRule="auto"/>
              <w:jc w:val="center"/>
              <w:rPr>
                <w:rFonts w:ascii="宋体" w:hAnsi="宋体" w:cs="宋体"/>
                <w:color w:val="auto"/>
                <w:sz w:val="24"/>
                <w:highlight w:val="none"/>
              </w:rPr>
            </w:pPr>
          </w:p>
          <w:p w14:paraId="11CF803D">
            <w:pPr>
              <w:snapToGrid w:val="0"/>
              <w:spacing w:line="360" w:lineRule="auto"/>
              <w:jc w:val="center"/>
              <w:rPr>
                <w:rFonts w:ascii="宋体" w:hAnsi="宋体" w:cs="宋体"/>
                <w:color w:val="auto"/>
                <w:sz w:val="24"/>
                <w:highlight w:val="none"/>
              </w:rPr>
            </w:pPr>
          </w:p>
          <w:p w14:paraId="2682AF05">
            <w:pPr>
              <w:snapToGrid w:val="0"/>
              <w:spacing w:line="360" w:lineRule="auto"/>
              <w:jc w:val="center"/>
              <w:rPr>
                <w:rFonts w:ascii="宋体" w:hAnsi="宋体" w:cs="宋体"/>
                <w:color w:val="auto"/>
                <w:sz w:val="24"/>
                <w:highlight w:val="none"/>
              </w:rPr>
            </w:pPr>
          </w:p>
          <w:p w14:paraId="419A6F1F">
            <w:pPr>
              <w:snapToGrid w:val="0"/>
              <w:spacing w:line="360" w:lineRule="auto"/>
              <w:jc w:val="center"/>
              <w:rPr>
                <w:rFonts w:ascii="宋体" w:hAnsi="宋体" w:cs="宋体"/>
                <w:color w:val="auto"/>
                <w:sz w:val="24"/>
                <w:highlight w:val="none"/>
              </w:rPr>
            </w:pPr>
          </w:p>
          <w:p w14:paraId="3ADCA476">
            <w:pPr>
              <w:snapToGrid w:val="0"/>
              <w:spacing w:line="360" w:lineRule="auto"/>
              <w:jc w:val="center"/>
              <w:rPr>
                <w:rFonts w:ascii="宋体" w:hAnsi="宋体" w:cs="宋体"/>
                <w:color w:val="auto"/>
                <w:sz w:val="24"/>
                <w:highlight w:val="none"/>
              </w:rPr>
            </w:pPr>
          </w:p>
          <w:p w14:paraId="43C40F09">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6D1FC363">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07ABAB45">
            <w:pPr>
              <w:snapToGrid w:val="0"/>
              <w:spacing w:line="360" w:lineRule="auto"/>
              <w:jc w:val="left"/>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14:paraId="187A0308">
            <w:pPr>
              <w:snapToGrid w:val="0"/>
              <w:spacing w:line="360" w:lineRule="auto"/>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14:paraId="7D4EEE9F">
            <w:pPr>
              <w:snapToGrid w:val="0"/>
              <w:spacing w:line="360" w:lineRule="auto"/>
              <w:ind w:firstLine="241" w:firstLineChars="10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14:paraId="7BD3FF0F">
            <w:pPr>
              <w:snapToGrid w:val="0"/>
              <w:spacing w:line="360" w:lineRule="auto"/>
              <w:ind w:firstLine="241" w:firstLineChars="100"/>
              <w:jc w:val="left"/>
              <w:rPr>
                <w:rFonts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14:paraId="1980B69A">
            <w:pPr>
              <w:spacing w:line="360" w:lineRule="auto"/>
              <w:ind w:firstLine="241" w:firstLineChars="100"/>
              <w:rPr>
                <w:rFonts w:ascii="宋体" w:hAnsi="宋体" w:cs="宋体"/>
                <w:b/>
                <w:color w:val="auto"/>
                <w:sz w:val="24"/>
                <w:highlight w:val="none"/>
              </w:rPr>
            </w:pPr>
            <w:r>
              <w:rPr>
                <w:rFonts w:hint="eastAsia" w:ascii="宋体" w:hAnsi="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kern w:val="0"/>
                <w:sz w:val="24"/>
                <w:highlight w:val="none"/>
                <w:lang w:val="zh-CN"/>
              </w:rPr>
              <w:t>；</w:t>
            </w:r>
          </w:p>
          <w:p w14:paraId="264BCBE2">
            <w:pPr>
              <w:spacing w:line="360" w:lineRule="auto"/>
              <w:ind w:firstLine="241" w:firstLineChars="100"/>
              <w:rPr>
                <w:rFonts w:ascii="宋体" w:hAnsi="宋体" w:cs="宋体"/>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tc>
      </w:tr>
      <w:tr w14:paraId="217AB6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vMerge w:val="restart"/>
            <w:tcBorders>
              <w:top w:val="single" w:color="auto" w:sz="4" w:space="0"/>
              <w:left w:val="single" w:color="000000" w:sz="8" w:space="0"/>
              <w:right w:val="single" w:color="000000" w:sz="2" w:space="0"/>
            </w:tcBorders>
            <w:vAlign w:val="center"/>
          </w:tcPr>
          <w:p w14:paraId="32926969">
            <w:pPr>
              <w:snapToGrid w:val="0"/>
              <w:spacing w:line="360" w:lineRule="auto"/>
              <w:jc w:val="center"/>
              <w:rPr>
                <w:rFonts w:ascii="宋体" w:hAnsi="宋体" w:cs="宋体"/>
                <w:color w:val="auto"/>
                <w:sz w:val="24"/>
                <w:highlight w:val="none"/>
              </w:rPr>
            </w:pPr>
          </w:p>
          <w:p w14:paraId="656F23FF">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11</w:t>
            </w:r>
          </w:p>
        </w:tc>
        <w:tc>
          <w:tcPr>
            <w:tcW w:w="1843" w:type="dxa"/>
            <w:vMerge w:val="restart"/>
            <w:tcBorders>
              <w:top w:val="single" w:color="000000" w:sz="8" w:space="0"/>
              <w:left w:val="single" w:color="000000" w:sz="2" w:space="0"/>
              <w:right w:val="single" w:color="000000" w:sz="8" w:space="0"/>
            </w:tcBorders>
            <w:vAlign w:val="center"/>
          </w:tcPr>
          <w:p w14:paraId="5BE9C4FA">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中小企业信用融资</w:t>
            </w:r>
          </w:p>
        </w:tc>
        <w:tc>
          <w:tcPr>
            <w:tcW w:w="6095" w:type="dxa"/>
            <w:tcBorders>
              <w:top w:val="single" w:color="000000" w:sz="8" w:space="0"/>
              <w:left w:val="single" w:color="000000" w:sz="2" w:space="0"/>
              <w:bottom w:val="single" w:color="000000" w:sz="8" w:space="0"/>
              <w:right w:val="single" w:color="000000" w:sz="8" w:space="0"/>
            </w:tcBorders>
            <w:vAlign w:val="center"/>
          </w:tcPr>
          <w:p w14:paraId="2EA57034">
            <w:pPr>
              <w:spacing w:line="360" w:lineRule="auto"/>
              <w:ind w:firstLine="240" w:firstLineChars="100"/>
              <w:rPr>
                <w:rFonts w:hint="eastAsia" w:ascii="宋体" w:hAnsi="宋体" w:cs="宋体"/>
                <w:b/>
                <w:color w:val="auto"/>
                <w:kern w:val="0"/>
                <w:sz w:val="24"/>
                <w:highlight w:val="none"/>
              </w:rPr>
            </w:pPr>
            <w:r>
              <w:rPr>
                <w:rFonts w:hint="eastAsia" w:ascii="宋体" w:hAnsi="宋体" w:eastAsia="宋体" w:cs="宋体"/>
                <w:color w:val="auto"/>
                <w:sz w:val="24"/>
                <w:highlight w:val="none"/>
                <w:lang w:val="en-US" w:eastAsia="zh-CN"/>
              </w:rPr>
              <w:t>根据《余杭区政府采购支持中小企业信用融资暂行办法》（余财采〔2015〕1号）的规定，凡已在浙江政府采购网上注册入库，并取得余杭区政府采购合同的区内中小企业供应商，均可申请政府采购信用融资。相关融资银行可咨询余杭区财政局政府采购监管科。</w:t>
            </w:r>
          </w:p>
        </w:tc>
      </w:tr>
      <w:tr w14:paraId="5CF5FD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618" w:hRule="atLeast"/>
          <w:tblHeader/>
        </w:trPr>
        <w:tc>
          <w:tcPr>
            <w:tcW w:w="629" w:type="dxa"/>
            <w:vMerge w:val="continue"/>
            <w:tcBorders>
              <w:left w:val="single" w:color="000000" w:sz="8" w:space="0"/>
              <w:right w:val="single" w:color="000000" w:sz="2" w:space="0"/>
            </w:tcBorders>
            <w:vAlign w:val="center"/>
          </w:tcPr>
          <w:p w14:paraId="316FD78B">
            <w:pPr>
              <w:snapToGrid w:val="0"/>
              <w:spacing w:line="360" w:lineRule="auto"/>
              <w:jc w:val="center"/>
              <w:rPr>
                <w:rFonts w:ascii="宋体" w:hAnsi="宋体" w:cs="宋体"/>
                <w:color w:val="auto"/>
                <w:sz w:val="24"/>
                <w:highlight w:val="none"/>
              </w:rPr>
            </w:pPr>
          </w:p>
        </w:tc>
        <w:tc>
          <w:tcPr>
            <w:tcW w:w="1843" w:type="dxa"/>
            <w:vMerge w:val="continue"/>
            <w:tcBorders>
              <w:left w:val="single" w:color="000000" w:sz="2" w:space="0"/>
              <w:right w:val="single" w:color="000000" w:sz="8" w:space="0"/>
            </w:tcBorders>
            <w:vAlign w:val="center"/>
          </w:tcPr>
          <w:p w14:paraId="4E96EA8A">
            <w:pPr>
              <w:snapToGrid w:val="0"/>
              <w:spacing w:line="360" w:lineRule="auto"/>
              <w:jc w:val="center"/>
              <w:rPr>
                <w:rFonts w:ascii="宋体" w:hAnsi="宋体" w:cs="宋体"/>
                <w:b/>
                <w:color w:val="auto"/>
                <w:sz w:val="24"/>
                <w:highlight w:val="none"/>
              </w:rPr>
            </w:pPr>
          </w:p>
        </w:tc>
        <w:tc>
          <w:tcPr>
            <w:tcW w:w="6095" w:type="dxa"/>
            <w:tcBorders>
              <w:top w:val="single" w:color="000000" w:sz="8" w:space="0"/>
              <w:left w:val="single" w:color="000000" w:sz="2" w:space="0"/>
              <w:right w:val="single" w:color="000000" w:sz="8" w:space="0"/>
            </w:tcBorders>
            <w:vAlign w:val="center"/>
          </w:tcPr>
          <w:p w14:paraId="77CFDDE5">
            <w:pPr>
              <w:spacing w:line="360" w:lineRule="auto"/>
              <w:ind w:firstLine="480" w:firstLineChars="200"/>
              <w:rPr>
                <w:rFonts w:ascii="宋体" w:hAnsi="宋体" w:cs="宋体"/>
                <w:color w:val="auto"/>
                <w:sz w:val="24"/>
                <w:highlight w:val="none"/>
              </w:rPr>
            </w:pPr>
            <w:r>
              <w:rPr>
                <w:rFonts w:hint="eastAsia" w:ascii="宋体" w:hAnsi="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50123D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78"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334824EC">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6C45B554">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78F8F16B">
            <w:pPr>
              <w:snapToGrid w:val="0"/>
              <w:spacing w:beforeLines="0" w:afterLines="0" w:line="360" w:lineRule="auto"/>
              <w:ind w:firstLine="480" w:firstLineChars="200"/>
              <w:rPr>
                <w:rFonts w:hAnsi="宋体" w:cs="宋体"/>
                <w:color w:val="auto"/>
                <w:kern w:val="28"/>
                <w:sz w:val="24"/>
                <w:highlight w:val="none"/>
              </w:rPr>
            </w:pPr>
            <w:r>
              <w:rPr>
                <w:rFonts w:hint="eastAsia" w:ascii="宋体" w:hAnsi="宋体" w:eastAsia="宋体" w:cs="宋体"/>
                <w:snapToGrid w:val="0"/>
                <w:color w:val="auto"/>
                <w:kern w:val="28"/>
                <w:sz w:val="24"/>
                <w:highlight w:val="none"/>
              </w:rPr>
              <w:t>投标人应当</w:t>
            </w:r>
            <w:r>
              <w:rPr>
                <w:rFonts w:hint="eastAsia" w:ascii="宋体" w:hAnsi="宋体" w:eastAsia="宋体" w:cs="宋体"/>
                <w:b/>
                <w:bCs/>
                <w:snapToGrid w:val="0"/>
                <w:color w:val="auto"/>
                <w:kern w:val="28"/>
                <w:sz w:val="24"/>
                <w:highlight w:val="none"/>
              </w:rPr>
              <w:t>在投标截止时间前半小时内</w:t>
            </w:r>
            <w:r>
              <w:rPr>
                <w:rFonts w:hint="eastAsia" w:ascii="宋体" w:hAnsi="宋体" w:eastAsia="宋体" w:cs="宋体"/>
                <w:snapToGrid w:val="0"/>
                <w:color w:val="auto"/>
                <w:kern w:val="28"/>
                <w:sz w:val="24"/>
                <w:highlight w:val="none"/>
              </w:rPr>
              <w:t>将备份投标文件密封送交到</w:t>
            </w:r>
            <w:r>
              <w:rPr>
                <w:rFonts w:hint="eastAsia" w:ascii="宋体" w:hAnsi="宋体" w:eastAsia="宋体" w:cs="宋体"/>
                <w:b w:val="0"/>
                <w:bCs w:val="0"/>
                <w:snapToGrid w:val="0"/>
                <w:color w:val="auto"/>
                <w:kern w:val="28"/>
                <w:sz w:val="24"/>
                <w:highlight w:val="none"/>
                <w:u w:val="thick"/>
              </w:rPr>
              <w:t>杭州市公共资源交易中心余杭分中心</w:t>
            </w:r>
            <w:r>
              <w:rPr>
                <w:rFonts w:hint="eastAsia" w:ascii="宋体" w:hAnsi="宋体" w:eastAsia="宋体" w:cs="宋体"/>
                <w:b w:val="0"/>
                <w:snapToGrid w:val="0"/>
                <w:color w:val="auto"/>
                <w:kern w:val="28"/>
                <w:sz w:val="24"/>
                <w:highlight w:val="none"/>
                <w:u w:val="thick"/>
              </w:rPr>
              <w:t xml:space="preserve">     </w:t>
            </w:r>
            <w:r>
              <w:rPr>
                <w:rFonts w:hint="eastAsia" w:ascii="宋体" w:hAnsi="宋体" w:cs="宋体"/>
                <w:b w:val="0"/>
                <w:snapToGrid w:val="0"/>
                <w:color w:val="auto"/>
                <w:kern w:val="28"/>
                <w:sz w:val="24"/>
                <w:highlight w:val="none"/>
                <w:u w:val="thick"/>
                <w:lang w:val="en-US" w:eastAsia="zh-CN"/>
              </w:rPr>
              <w:t xml:space="preserve">     5</w:t>
            </w:r>
            <w:r>
              <w:rPr>
                <w:rFonts w:hint="eastAsia" w:ascii="宋体" w:hAnsi="宋体" w:eastAsia="宋体" w:cs="宋体"/>
                <w:b w:val="0"/>
                <w:snapToGrid w:val="0"/>
                <w:color w:val="auto"/>
                <w:kern w:val="28"/>
                <w:sz w:val="24"/>
                <w:highlight w:val="none"/>
                <w:u w:val="thick"/>
              </w:rPr>
              <w:t>号开标室</w:t>
            </w:r>
            <w:r>
              <w:rPr>
                <w:rFonts w:hint="eastAsia" w:ascii="宋体" w:hAnsi="宋体" w:cs="宋体"/>
                <w:b w:val="0"/>
                <w:snapToGrid w:val="0"/>
                <w:color w:val="auto"/>
                <w:kern w:val="28"/>
                <w:sz w:val="24"/>
                <w:highlight w:val="none"/>
                <w:u w:val="thick"/>
                <w:lang w:eastAsia="zh-CN"/>
              </w:rPr>
              <w:t>（</w:t>
            </w:r>
            <w:r>
              <w:rPr>
                <w:rFonts w:hint="eastAsia" w:ascii="宋体" w:hAnsi="宋体" w:cs="宋体"/>
                <w:snapToGrid w:val="0"/>
                <w:color w:val="auto"/>
                <w:kern w:val="28"/>
                <w:sz w:val="24"/>
                <w:highlight w:val="none"/>
                <w:lang w:eastAsia="zh-CN"/>
              </w:rPr>
              <w:t>浙江省</w:t>
            </w:r>
            <w:r>
              <w:rPr>
                <w:rFonts w:hint="eastAsia" w:ascii="宋体" w:hAnsi="宋体" w:eastAsia="宋体" w:cs="宋体"/>
                <w:snapToGrid w:val="0"/>
                <w:color w:val="auto"/>
                <w:kern w:val="28"/>
                <w:sz w:val="24"/>
                <w:highlight w:val="none"/>
              </w:rPr>
              <w:t>杭州市余杭区</w:t>
            </w:r>
            <w:r>
              <w:rPr>
                <w:rFonts w:hint="eastAsia" w:ascii="宋体" w:hAnsi="宋体" w:cs="宋体"/>
                <w:snapToGrid w:val="0"/>
                <w:color w:val="auto"/>
                <w:kern w:val="28"/>
                <w:sz w:val="24"/>
                <w:highlight w:val="none"/>
                <w:lang w:eastAsia="zh-CN"/>
              </w:rPr>
              <w:t>余杭街道凤新路</w:t>
            </w:r>
            <w:r>
              <w:rPr>
                <w:rFonts w:hint="eastAsia" w:ascii="宋体" w:hAnsi="宋体" w:cs="宋体"/>
                <w:snapToGrid w:val="0"/>
                <w:color w:val="auto"/>
                <w:kern w:val="28"/>
                <w:sz w:val="24"/>
                <w:highlight w:val="none"/>
                <w:lang w:val="en-US" w:eastAsia="zh-CN"/>
              </w:rPr>
              <w:t>366号瑞鸿大厦</w:t>
            </w:r>
            <w:r>
              <w:rPr>
                <w:rFonts w:hint="eastAsia" w:ascii="宋体" w:hAnsi="宋体" w:eastAsia="宋体" w:cs="宋体"/>
                <w:snapToGrid w:val="0"/>
                <w:color w:val="auto"/>
                <w:kern w:val="28"/>
                <w:sz w:val="24"/>
                <w:highlight w:val="none"/>
              </w:rPr>
              <w:t>六楼</w:t>
            </w:r>
            <w:r>
              <w:rPr>
                <w:rFonts w:hint="eastAsia" w:ascii="宋体" w:hAnsi="宋体" w:cs="宋体"/>
                <w:snapToGrid w:val="0"/>
                <w:color w:val="auto"/>
                <w:kern w:val="28"/>
                <w:sz w:val="24"/>
                <w:highlight w:val="none"/>
                <w:lang w:eastAsia="zh-CN"/>
              </w:rPr>
              <w:t>）</w:t>
            </w:r>
            <w:r>
              <w:rPr>
                <w:rFonts w:hint="eastAsia" w:ascii="宋体" w:hAnsi="宋体" w:eastAsia="宋体" w:cs="宋体"/>
                <w:snapToGrid w:val="0"/>
                <w:color w:val="auto"/>
                <w:kern w:val="28"/>
                <w:sz w:val="24"/>
                <w:highlight w:val="none"/>
              </w:rPr>
              <w:t>，逾期送达或未密封将被拒收。</w:t>
            </w:r>
            <w:r>
              <w:rPr>
                <w:rFonts w:hint="eastAsia" w:ascii="宋体" w:hAnsi="宋体" w:cs="宋体"/>
                <w:b w:val="0"/>
                <w:snapToGrid w:val="0"/>
                <w:color w:val="auto"/>
                <w:kern w:val="28"/>
                <w:sz w:val="24"/>
                <w:szCs w:val="24"/>
                <w:highlight w:val="none"/>
              </w:rPr>
              <w:t>采购人、</w:t>
            </w:r>
            <w:r>
              <w:rPr>
                <w:rFonts w:hint="eastAsia" w:ascii="宋体" w:hAnsi="宋体" w:cs="宋体"/>
                <w:b w:val="0"/>
                <w:snapToGrid w:val="0"/>
                <w:color w:val="auto"/>
                <w:kern w:val="28"/>
                <w:sz w:val="24"/>
                <w:szCs w:val="24"/>
                <w:highlight w:val="none"/>
                <w:lang w:eastAsia="zh-CN"/>
              </w:rPr>
              <w:t>采购代理机构</w:t>
            </w:r>
            <w:r>
              <w:rPr>
                <w:rFonts w:hint="eastAsia" w:ascii="宋体" w:hAnsi="宋体" w:cs="宋体"/>
                <w:b w:val="0"/>
                <w:snapToGrid w:val="0"/>
                <w:color w:val="auto"/>
                <w:kern w:val="28"/>
                <w:sz w:val="24"/>
                <w:szCs w:val="24"/>
                <w:highlight w:val="none"/>
              </w:rPr>
              <w:t>不强制或变相强制投标人提交备份投标文件。</w:t>
            </w:r>
          </w:p>
        </w:tc>
      </w:tr>
      <w:tr w14:paraId="2B3498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14:paraId="2D4D6744">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3C433313">
            <w:pPr>
              <w:snapToGrid w:val="0"/>
              <w:spacing w:line="360" w:lineRule="auto"/>
              <w:jc w:val="center"/>
              <w:rPr>
                <w:rFonts w:ascii="宋体" w:hAnsi="宋体" w:cs="宋体"/>
                <w:b/>
                <w:color w:val="auto"/>
                <w:sz w:val="24"/>
                <w:highlight w:val="none"/>
              </w:rPr>
            </w:pPr>
            <w:r>
              <w:rPr>
                <w:rFonts w:hint="eastAsia" w:ascii="宋体" w:hAnsi="宋体" w:eastAsia="宋体" w:cs="仿宋_GB2312"/>
                <w:b/>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47D8E372">
            <w:pPr>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联合体投标的，联合体各方分别提供与联合体协议中规定的分工内容相应的业绩证明材料，业绩数量以提供材料较少的一方为准。招标文件第四部分评</w:t>
            </w:r>
            <w:r>
              <w:rPr>
                <w:rFonts w:hint="eastAsia" w:ascii="宋体" w:hAnsi="宋体" w:cs="宋体"/>
                <w:snapToGrid w:val="0"/>
                <w:color w:val="auto"/>
                <w:kern w:val="28"/>
                <w:sz w:val="24"/>
                <w:highlight w:val="none"/>
                <w:lang w:eastAsia="zh-CN"/>
              </w:rPr>
              <w:t>标</w:t>
            </w:r>
            <w:r>
              <w:rPr>
                <w:rFonts w:hint="eastAsia" w:ascii="宋体" w:hAnsi="宋体" w:cs="宋体"/>
                <w:snapToGrid w:val="0"/>
                <w:color w:val="auto"/>
                <w:kern w:val="28"/>
                <w:sz w:val="24"/>
                <w:highlight w:val="none"/>
              </w:rPr>
              <w:t>标准有其他规定的，从其规定。</w:t>
            </w:r>
          </w:p>
        </w:tc>
      </w:tr>
      <w:tr w14:paraId="24584E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vAlign w:val="center"/>
          </w:tcPr>
          <w:p w14:paraId="7CAC0E3C">
            <w:pPr>
              <w:snapToGrid w:val="0"/>
              <w:spacing w:line="360" w:lineRule="auto"/>
              <w:jc w:val="center"/>
              <w:rPr>
                <w:rFonts w:ascii="宋体" w:hAnsi="宋体" w:cs="宋体"/>
                <w:color w:val="auto"/>
                <w:sz w:val="24"/>
                <w:highlight w:val="none"/>
              </w:rPr>
            </w:pPr>
          </w:p>
        </w:tc>
        <w:tc>
          <w:tcPr>
            <w:tcW w:w="1843" w:type="dxa"/>
            <w:vMerge w:val="continue"/>
            <w:tcBorders>
              <w:left w:val="single" w:color="000000" w:sz="2" w:space="0"/>
              <w:right w:val="single" w:color="000000" w:sz="8" w:space="0"/>
            </w:tcBorders>
            <w:vAlign w:val="center"/>
          </w:tcPr>
          <w:p w14:paraId="206773DC">
            <w:pPr>
              <w:snapToGrid w:val="0"/>
              <w:spacing w:line="360" w:lineRule="auto"/>
              <w:jc w:val="center"/>
              <w:rPr>
                <w:rFonts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6C702E9C">
            <w:pPr>
              <w:spacing w:line="360" w:lineRule="auto"/>
              <w:rPr>
                <w:rFonts w:ascii="宋体" w:hAnsi="宋体" w:cs="宋体"/>
                <w:snapToGrid w:val="0"/>
                <w:color w:val="auto"/>
                <w:kern w:val="28"/>
                <w:sz w:val="24"/>
                <w:highlight w:val="none"/>
              </w:rPr>
            </w:pPr>
            <w:r>
              <w:rPr>
                <w:rFonts w:hint="eastAsia" w:ascii="MS Mincho" w:hAnsi="MS Mincho" w:eastAsia="MS Mincho" w:cs="MS Mincho"/>
                <w:color w:val="auto"/>
                <w:kern w:val="0"/>
                <w:sz w:val="24"/>
                <w:highlight w:val="none"/>
              </w:rPr>
              <w:t>☐</w:t>
            </w:r>
            <w:r>
              <w:rPr>
                <w:rFonts w:hint="eastAsia" w:ascii="宋体" w:hAnsi="宋体" w:cs="宋体"/>
                <w:snapToGrid w:val="0"/>
                <w:color w:val="auto"/>
                <w:kern w:val="28"/>
                <w:sz w:val="24"/>
                <w:highlight w:val="none"/>
              </w:rPr>
              <w:t>联合体投标的，联合体各方均需按招标文件第四部分评标标准要求提供资信证明文件，否则视为不符合相关要求。招标文件第四部分评分标准有其他规定的，从其规定。</w:t>
            </w:r>
          </w:p>
          <w:p w14:paraId="3C2BED58">
            <w:pPr>
              <w:spacing w:line="360" w:lineRule="auto"/>
              <w:rPr>
                <w:rFonts w:ascii="宋体" w:hAnsi="宋体" w:cs="宋体"/>
                <w:snapToGrid w:val="0"/>
                <w:color w:val="auto"/>
                <w:kern w:val="28"/>
                <w:sz w:val="24"/>
                <w:highlight w:val="none"/>
              </w:rPr>
            </w:pPr>
            <w:r>
              <w:rPr>
                <w:rFonts w:hint="eastAsia" w:ascii="宋体" w:hAnsi="宋体" w:eastAsia="宋体" w:cs="Arial"/>
                <w:color w:val="auto"/>
                <w:kern w:val="0"/>
                <w:sz w:val="24"/>
                <w:highlight w:val="none"/>
              </w:rPr>
              <w:sym w:font="Wingdings" w:char="F0FE"/>
            </w:r>
            <w:r>
              <w:rPr>
                <w:rFonts w:hint="eastAsia" w:ascii="宋体" w:hAnsi="宋体" w:cs="宋体"/>
                <w:snapToGrid w:val="0"/>
                <w:color w:val="auto"/>
                <w:kern w:val="28"/>
                <w:sz w:val="24"/>
                <w:highlight w:val="none"/>
              </w:rPr>
              <w:t>联合体投标的，联合体中有一方或者联合体成员根据分工按招标文件第四部分评标标准要求提供资信证明文件的，视为符合了相关要求。招标文件第四部分评</w:t>
            </w:r>
            <w:r>
              <w:rPr>
                <w:rFonts w:hint="eastAsia" w:ascii="宋体" w:hAnsi="宋体" w:cs="宋体"/>
                <w:snapToGrid w:val="0"/>
                <w:color w:val="auto"/>
                <w:kern w:val="28"/>
                <w:sz w:val="24"/>
                <w:highlight w:val="none"/>
                <w:lang w:eastAsia="zh-CN"/>
              </w:rPr>
              <w:t>标</w:t>
            </w:r>
            <w:r>
              <w:rPr>
                <w:rFonts w:hint="eastAsia" w:ascii="宋体" w:hAnsi="宋体" w:cs="宋体"/>
                <w:snapToGrid w:val="0"/>
                <w:color w:val="auto"/>
                <w:kern w:val="28"/>
                <w:sz w:val="24"/>
                <w:highlight w:val="none"/>
              </w:rPr>
              <w:t>标准有其他规定的，从其规定。</w:t>
            </w:r>
          </w:p>
        </w:tc>
      </w:tr>
      <w:tr w14:paraId="1F47F0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vAlign w:val="center"/>
          </w:tcPr>
          <w:p w14:paraId="68F20DE9">
            <w:pPr>
              <w:snapToGrid w:val="0"/>
              <w:spacing w:line="360" w:lineRule="auto"/>
              <w:jc w:val="center"/>
              <w:rPr>
                <w:rFonts w:ascii="宋体" w:hAnsi="宋体" w:cs="宋体"/>
                <w:color w:val="auto"/>
                <w:sz w:val="24"/>
                <w:highlight w:val="none"/>
              </w:rPr>
            </w:pPr>
          </w:p>
        </w:tc>
        <w:tc>
          <w:tcPr>
            <w:tcW w:w="1843" w:type="dxa"/>
            <w:vMerge w:val="continue"/>
            <w:tcBorders>
              <w:left w:val="single" w:color="000000" w:sz="2" w:space="0"/>
              <w:bottom w:val="single" w:color="000000" w:sz="8" w:space="0"/>
              <w:right w:val="single" w:color="000000" w:sz="8" w:space="0"/>
            </w:tcBorders>
            <w:vAlign w:val="center"/>
          </w:tcPr>
          <w:p w14:paraId="78B02560">
            <w:pPr>
              <w:snapToGrid w:val="0"/>
              <w:spacing w:line="360" w:lineRule="auto"/>
              <w:jc w:val="center"/>
              <w:rPr>
                <w:rFonts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16407FCC">
            <w:pPr>
              <w:spacing w:line="360" w:lineRule="auto"/>
              <w:rPr>
                <w:rFonts w:hint="eastAsia" w:ascii="宋体" w:hAnsi="宋体" w:eastAsia="宋体" w:cs="Arial"/>
                <w:color w:val="auto"/>
                <w:kern w:val="0"/>
                <w:sz w:val="24"/>
                <w:highlight w:val="none"/>
              </w:rPr>
            </w:pPr>
            <w:r>
              <w:rPr>
                <w:rFonts w:hint="eastAsia" w:ascii="宋体" w:hAnsi="宋体" w:eastAsia="宋体" w:cs="Arial"/>
                <w:color w:val="auto"/>
                <w:kern w:val="0"/>
                <w:sz w:val="24"/>
                <w:highlight w:val="none"/>
              </w:rPr>
              <w:t>评审因素对应的要求视为采购需求的一部分。</w:t>
            </w:r>
          </w:p>
        </w:tc>
      </w:tr>
    </w:tbl>
    <w:p w14:paraId="1D060C49">
      <w:pPr>
        <w:snapToGrid w:val="0"/>
        <w:spacing w:line="360" w:lineRule="auto"/>
        <w:jc w:val="center"/>
        <w:rPr>
          <w:rFonts w:ascii="宋体" w:hAnsi="宋体" w:cs="宋体"/>
          <w:b/>
          <w:color w:val="auto"/>
          <w:sz w:val="32"/>
          <w:szCs w:val="20"/>
          <w:highlight w:val="none"/>
        </w:rPr>
      </w:pPr>
    </w:p>
    <w:bookmarkEnd w:id="7"/>
    <w:p w14:paraId="24987E53">
      <w:pPr>
        <w:spacing w:line="360" w:lineRule="auto"/>
        <w:jc w:val="center"/>
        <w:outlineLvl w:val="0"/>
        <w:rPr>
          <w:rFonts w:hint="eastAsia" w:ascii="宋体" w:hAnsi="宋体" w:cs="宋体"/>
          <w:b/>
          <w:color w:val="auto"/>
          <w:sz w:val="36"/>
          <w:szCs w:val="36"/>
          <w:highlight w:val="none"/>
        </w:rPr>
      </w:pPr>
      <w:bookmarkStart w:id="9" w:name="第四部分"/>
    </w:p>
    <w:p w14:paraId="3BD41824">
      <w:pPr>
        <w:spacing w:line="360" w:lineRule="auto"/>
        <w:jc w:val="center"/>
        <w:outlineLvl w:val="0"/>
        <w:rPr>
          <w:rFonts w:hint="eastAsia" w:ascii="宋体" w:hAnsi="宋体" w:cs="宋体"/>
          <w:b/>
          <w:color w:val="auto"/>
          <w:sz w:val="36"/>
          <w:szCs w:val="36"/>
          <w:highlight w:val="none"/>
        </w:rPr>
      </w:pPr>
    </w:p>
    <w:p w14:paraId="1DECA754">
      <w:pPr>
        <w:spacing w:line="360" w:lineRule="auto"/>
        <w:jc w:val="center"/>
        <w:outlineLvl w:val="0"/>
        <w:rPr>
          <w:rFonts w:hint="eastAsia" w:ascii="宋体" w:hAnsi="宋体" w:cs="宋体"/>
          <w:b/>
          <w:color w:val="auto"/>
          <w:sz w:val="36"/>
          <w:szCs w:val="36"/>
          <w:highlight w:val="none"/>
        </w:rPr>
        <w:sectPr>
          <w:headerReference r:id="rId4" w:type="first"/>
          <w:footerReference r:id="rId6" w:type="first"/>
          <w:headerReference r:id="rId3" w:type="default"/>
          <w:footerReference r:id="rId5" w:type="default"/>
          <w:pgSz w:w="11907" w:h="16840"/>
          <w:pgMar w:top="1134" w:right="1814" w:bottom="1474" w:left="1814" w:header="851" w:footer="851" w:gutter="0"/>
          <w:pgBorders>
            <w:top w:val="none" w:sz="0" w:space="0"/>
            <w:left w:val="none" w:sz="0" w:space="0"/>
            <w:bottom w:val="none" w:sz="0" w:space="0"/>
            <w:right w:val="none" w:sz="0" w:space="0"/>
          </w:pgBorders>
          <w:cols w:space="720" w:num="1"/>
          <w:titlePg/>
          <w:docGrid w:type="lines" w:linePitch="312" w:charSpace="0"/>
        </w:sectPr>
      </w:pPr>
    </w:p>
    <w:p w14:paraId="1C8FF80C">
      <w:pPr>
        <w:spacing w:line="360" w:lineRule="auto"/>
        <w:jc w:val="center"/>
        <w:outlineLvl w:val="0"/>
        <w:rPr>
          <w:rFonts w:hint="eastAsia" w:ascii="宋体" w:hAnsi="宋体" w:cs="宋体"/>
          <w:b/>
          <w:color w:val="auto"/>
          <w:sz w:val="36"/>
          <w:szCs w:val="36"/>
          <w:highlight w:val="none"/>
        </w:rPr>
      </w:pPr>
      <w:r>
        <w:rPr>
          <w:rFonts w:hint="eastAsia" w:ascii="宋体" w:hAnsi="宋体" w:cs="宋体"/>
          <w:b/>
          <w:color w:val="auto"/>
          <w:sz w:val="36"/>
          <w:szCs w:val="36"/>
          <w:highlight w:val="none"/>
        </w:rPr>
        <w:t>第三部分   采购需求</w:t>
      </w:r>
    </w:p>
    <w:p w14:paraId="624FD3D4">
      <w:pPr>
        <w:adjustRightInd/>
        <w:spacing w:line="480" w:lineRule="auto"/>
        <w:jc w:val="both"/>
        <w:outlineLvl w:val="0"/>
        <w:rPr>
          <w:rFonts w:ascii="宋体" w:hAnsi="宋体" w:cs="宋体"/>
          <w:b/>
          <w:bCs/>
          <w:color w:val="auto"/>
          <w:sz w:val="24"/>
          <w:highlight w:val="none"/>
        </w:rPr>
      </w:pPr>
      <w:r>
        <w:rPr>
          <w:rFonts w:hint="eastAsia" w:ascii="宋体" w:hAnsi="宋体" w:cs="宋体"/>
          <w:b/>
          <w:bCs/>
          <w:color w:val="auto"/>
          <w:sz w:val="24"/>
          <w:highlight w:val="none"/>
        </w:rPr>
        <w:t>一、采购标的清单</w:t>
      </w:r>
    </w:p>
    <w:tbl>
      <w:tblPr>
        <w:tblStyle w:val="62"/>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9"/>
        <w:gridCol w:w="1371"/>
        <w:gridCol w:w="2001"/>
        <w:gridCol w:w="6038"/>
        <w:gridCol w:w="3396"/>
        <w:gridCol w:w="532"/>
        <w:gridCol w:w="457"/>
      </w:tblGrid>
      <w:tr w14:paraId="05D81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625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EB3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全包定制桌组</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E70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2200*900*760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2124C27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1.面材：采用优质天然实木木皮贴面，木皮厚度≥0.6mm，扪超纤皮及海绵；</w:t>
            </w:r>
          </w:p>
          <w:p w14:paraId="31F67E2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2.基材：采用E0级密度板，各项性能均优于国家标准；</w:t>
            </w:r>
          </w:p>
          <w:p w14:paraId="7EB1F50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4445635</wp:posOffset>
                  </wp:positionH>
                  <wp:positionV relativeFrom="paragraph">
                    <wp:posOffset>49530</wp:posOffset>
                  </wp:positionV>
                  <wp:extent cx="1416685" cy="1256665"/>
                  <wp:effectExtent l="0" t="0" r="12065" b="635"/>
                  <wp:wrapNone/>
                  <wp:docPr id="52" name="图片_6"/>
                  <wp:cNvGraphicFramePr/>
                  <a:graphic xmlns:a="http://schemas.openxmlformats.org/drawingml/2006/main">
                    <a:graphicData uri="http://schemas.openxmlformats.org/drawingml/2006/picture">
                      <pic:pic xmlns:pic="http://schemas.openxmlformats.org/drawingml/2006/picture">
                        <pic:nvPicPr>
                          <pic:cNvPr id="52" name="图片_6"/>
                          <pic:cNvPicPr/>
                        </pic:nvPicPr>
                        <pic:blipFill>
                          <a:blip r:embed="rId17"/>
                          <a:stretch>
                            <a:fillRect/>
                          </a:stretch>
                        </pic:blipFill>
                        <pic:spPr>
                          <a:xfrm>
                            <a:off x="0" y="0"/>
                            <a:ext cx="1416685" cy="1256665"/>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3.油漆：油性木器涂料涂饰，采用五底三面涂饰工艺，符合国家标准；</w:t>
            </w:r>
          </w:p>
          <w:p w14:paraId="3454C7F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4.胶水：采用环保白乳胶；</w:t>
            </w:r>
          </w:p>
          <w:p w14:paraId="7380FBB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工艺要求：桌面厚度≥80mm，支撑脚厚度≥50mm；</w:t>
            </w:r>
          </w:p>
          <w:p w14:paraId="25A918D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28A5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711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90D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799B8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624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06B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单位沙发</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5A1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780*790*790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4D7F98B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1.表面材质：  优质国产仿羊绒面料及棉麻面料；所有面料均需经过三防处理 ;</w:t>
            </w:r>
          </w:p>
          <w:p w14:paraId="7F5831D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2.内部材质：  优质15mm厚弯曲木板及优质环保多层板、高密度环保海绵，部分采用定型棉；</w:t>
            </w:r>
          </w:p>
          <w:p w14:paraId="17D7D58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3.工艺：内部不使用废旧衬垫物 ，采用无苯胶粘剂粘接海绵和丝绵；</w:t>
            </w:r>
          </w:p>
          <w:p w14:paraId="3791C4C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4.脚架：采用壁厚1.5mm ，20*20mm的方管 ，表面喷涂银色处理 ，配有调整脚。</w:t>
            </w:r>
          </w:p>
          <w:p w14:paraId="4CDAAD3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06FF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207645</wp:posOffset>
                  </wp:positionH>
                  <wp:positionV relativeFrom="paragraph">
                    <wp:posOffset>167640</wp:posOffset>
                  </wp:positionV>
                  <wp:extent cx="970280" cy="932815"/>
                  <wp:effectExtent l="0" t="0" r="1270" b="635"/>
                  <wp:wrapNone/>
                  <wp:docPr id="65" name="图片_15"/>
                  <wp:cNvGraphicFramePr/>
                  <a:graphic xmlns:a="http://schemas.openxmlformats.org/drawingml/2006/main">
                    <a:graphicData uri="http://schemas.openxmlformats.org/drawingml/2006/picture">
                      <pic:pic xmlns:pic="http://schemas.openxmlformats.org/drawingml/2006/picture">
                        <pic:nvPicPr>
                          <pic:cNvPr id="65" name="图片_15"/>
                          <pic:cNvPicPr/>
                        </pic:nvPicPr>
                        <pic:blipFill>
                          <a:blip r:embed="rId18"/>
                          <a:stretch>
                            <a:fillRect/>
                          </a:stretch>
                        </pic:blipFill>
                        <pic:spPr>
                          <a:xfrm>
                            <a:off x="0" y="0"/>
                            <a:ext cx="970280" cy="93281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489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20</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57C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r>
      <w:tr w14:paraId="68CA9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F6A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B24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接待椅（1）</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860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W（670-785）*D680*H（1140-1200）</w:t>
            </w:r>
          </w:p>
          <w:p w14:paraId="069740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（高度尺寸为气杆降到最低或升到最高到头枕（降到最低）的距离）</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3FFD235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1.头枕：一体成型塑胶框架主体，网布饰面；</w:t>
            </w:r>
          </w:p>
          <w:p w14:paraId="6367CB4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2.背垫：椅背一体成型塑胶背支撑架主体，网布饰面；</w:t>
            </w:r>
          </w:p>
          <w:p w14:paraId="583BB82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3.腰枕：塑胶主体+网布饰面，面料通过马丁代尔耐磨测试；</w:t>
            </w:r>
          </w:p>
          <w:p w14:paraId="761FB63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4.座垫：全网设计；</w:t>
            </w:r>
          </w:p>
          <w:p w14:paraId="3430F1E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5.扶手：塑胶主体+PU扶手面，3D线控扶手；</w:t>
            </w:r>
          </w:p>
          <w:p w14:paraId="2A0CAF0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6.底盘：钢制线控底盘，2.5mm厚度+塑胶底壳；</w:t>
            </w:r>
          </w:p>
          <w:p w14:paraId="0B4F670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7.气压棒：采用精钢铸造，内充高压氮气；</w:t>
            </w:r>
          </w:p>
          <w:p w14:paraId="5EAA5D9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8.椅脚：350mm黑色尼龙五星椅脚；</w:t>
            </w:r>
          </w:p>
          <w:p w14:paraId="196ECC1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9.滑轮：采用60mmPU椅轮，滑行顺畅、无噪音，且不会刮伤地板.</w:t>
            </w:r>
          </w:p>
          <w:p w14:paraId="4C9260C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10.脚踏：钢制主体+定型棉+西皮;</w:t>
            </w:r>
          </w:p>
          <w:p w14:paraId="16AFD7F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功能说明</w:t>
            </w:r>
          </w:p>
          <w:p w14:paraId="0F81536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1.头枕：3D头枕设计，可以实现头枕高低、角度、前后的调节; </w:t>
            </w:r>
          </w:p>
          <w:p w14:paraId="575771A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2.椅背采用“腰背分离设计”设计结构，同时配合“自动弹性腰枕”，腰枕自动调节其对腰椎支撑的角度和力度.椅背倾仰四档及以上调节锁定，&gt;120°后仰调节，椅背倾仰功能;</w:t>
            </w:r>
          </w:p>
          <w:p w14:paraId="4A82699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3.腰枕：弹性腰枕上下升降（不少于5档/含初始档）；</w:t>
            </w:r>
          </w:p>
          <w:p w14:paraId="56D3DD1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4.座垫：深度可调节，前后可滑动，满足不同身高使用者用椅需求；坐垫前端设计，最大限度释放腿部压力;</w:t>
            </w:r>
          </w:p>
          <w:p w14:paraId="654891B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5.底盘：钢制自适应线控底盘，可同步倾仰和多角度锁定；独立开关设计，分别操控座垫升降、椅背倾仰锁定功能和；   </w:t>
            </w:r>
          </w:p>
          <w:p w14:paraId="7071A84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扶手：“多功能线控扶手”设计，扶手高度可调节，扶手面可做角度、宽度，上下升降，前后滑动，左右摆动左右，满足不同工作状态下手臂支撑需求，避免手腕、手肘以及肩部酸痛等病症的发生，同时扶手设置开关可控制倾仰锁定和座垫高度调节；</w:t>
            </w:r>
          </w:p>
          <w:p w14:paraId="274DD0D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7.一体式伸缩翻转脚踏； </w:t>
            </w:r>
          </w:p>
          <w:p w14:paraId="3D5381B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C3C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C9A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248</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C2C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0E8CF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8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84E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F6D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接待洽谈椅（1）</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2E5B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500*550*820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1885C99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1.脚架：采用优质白蜡木实木制作，所有木材都进行烘干及防蛀处理，木材含水率8-12%；无腐朽、无虫眼、无死结；</w:t>
            </w:r>
          </w:p>
          <w:p w14:paraId="4F7851D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2.椅背：优质多层板接触面采用优质头层牛皮饰面，厚度≥1.0mm，经液态浸色及防潮、防污等工艺处理，皮面更加柔软舒适、光泽持久性好，纹理细腻，耐磨损；</w:t>
            </w:r>
          </w:p>
          <w:p w14:paraId="74F3C47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3.油漆：采用水性漆，表面使用大宝、华润、紫荆花、宣伟或同等品牌及以上品牌环保水性面漆喷涂，“五底三面 ”油漆工艺制作，达到色泽美观、不变色、光滑耐磨、手感好，表面硬度达到 3H 级.；</w:t>
            </w:r>
          </w:p>
          <w:p w14:paraId="3A17318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4.海绵：采用优质高弹阻燃海绵，品牌参照或相当于昱辰、圣诺盟、高化；软硬适中、不变形、回弹性好、抗疲劳能力强、坐感舒适.表面涂有防止老化变形的保护膜；</w:t>
            </w:r>
          </w:p>
          <w:p w14:paraId="678DCA2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5.整体：车缝线路均匀、线条顺畅、针距均匀，扪面整体感观流畅；</w:t>
            </w:r>
          </w:p>
          <w:p w14:paraId="116F2CB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533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261620</wp:posOffset>
                  </wp:positionH>
                  <wp:positionV relativeFrom="paragraph">
                    <wp:posOffset>577215</wp:posOffset>
                  </wp:positionV>
                  <wp:extent cx="921385" cy="1261110"/>
                  <wp:effectExtent l="0" t="0" r="12065" b="15240"/>
                  <wp:wrapNone/>
                  <wp:docPr id="43" name="图片_21"/>
                  <wp:cNvGraphicFramePr/>
                  <a:graphic xmlns:a="http://schemas.openxmlformats.org/drawingml/2006/main">
                    <a:graphicData uri="http://schemas.openxmlformats.org/drawingml/2006/picture">
                      <pic:pic xmlns:pic="http://schemas.openxmlformats.org/drawingml/2006/picture">
                        <pic:nvPicPr>
                          <pic:cNvPr id="43" name="图片_21"/>
                          <pic:cNvPicPr/>
                        </pic:nvPicPr>
                        <pic:blipFill>
                          <a:blip r:embed="rId19"/>
                          <a:stretch>
                            <a:fillRect/>
                          </a:stretch>
                        </pic:blipFill>
                        <pic:spPr>
                          <a:xfrm>
                            <a:off x="0" y="0"/>
                            <a:ext cx="921385" cy="126111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ED7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405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49BCF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C68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54A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学习椅</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BF8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450*450*810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496E311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1.框架：采用优质白蜡木实木制作，所有木材都进行烘干及防蛀处理，木材含水率8-12%；无腐朽、无虫眼、无死结；                                                                                                                                                                           2.饰面：采用优质头层牛皮真皮，厚度≥1.0mm，经液态浸色及防潮、防污等工艺处理，</w:t>
            </w:r>
          </w:p>
          <w:p w14:paraId="2C4C687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皮面更加柔软舒适、光泽持久性好，纹理细腻，耐磨损，撕裂力≥30N，摩擦色牢度（干擦（500 次） ） ≥4 级；颜色可选；；</w:t>
            </w:r>
          </w:p>
          <w:p w14:paraId="3E55C9F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3.油漆：采用水性漆；“五底三面 ”油漆工艺制作，达到色泽美观、不变色、光滑耐磨、</w:t>
            </w:r>
          </w:p>
          <w:p w14:paraId="7E7F049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手感好，表面硬度达到 3H 级。</w:t>
            </w:r>
          </w:p>
          <w:p w14:paraId="38C3350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4.海绵：采用优质高弹阻燃海绵，软硬适中、不变形、回弹性好、抗疲劳能力强、坐感舒适.表面涂有防止老化变形的保护膜.                                                                                                                                                          5.整体：车缝线路均匀、线条顺畅、针距均匀，扪面整体感观流畅；</w:t>
            </w:r>
          </w:p>
          <w:p w14:paraId="7515918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B00A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347345</wp:posOffset>
                  </wp:positionH>
                  <wp:positionV relativeFrom="paragraph">
                    <wp:posOffset>99695</wp:posOffset>
                  </wp:positionV>
                  <wp:extent cx="1233805" cy="1366520"/>
                  <wp:effectExtent l="0" t="0" r="4445" b="5080"/>
                  <wp:wrapNone/>
                  <wp:docPr id="49" name="图片_22"/>
                  <wp:cNvGraphicFramePr/>
                  <a:graphic xmlns:a="http://schemas.openxmlformats.org/drawingml/2006/main">
                    <a:graphicData uri="http://schemas.openxmlformats.org/drawingml/2006/picture">
                      <pic:pic xmlns:pic="http://schemas.openxmlformats.org/drawingml/2006/picture">
                        <pic:nvPicPr>
                          <pic:cNvPr id="49" name="图片_22"/>
                          <pic:cNvPicPr/>
                        </pic:nvPicPr>
                        <pic:blipFill>
                          <a:blip r:embed="rId20"/>
                          <a:stretch>
                            <a:fillRect/>
                          </a:stretch>
                        </pic:blipFill>
                        <pic:spPr>
                          <a:xfrm>
                            <a:off x="0" y="0"/>
                            <a:ext cx="1233805" cy="136652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9E7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56</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C50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07268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785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DBD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会议接待椅（1）</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31B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640*700*1080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6F9B983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1.框架：采用优质白蜡木实木制作，所有木材都进行烘干及防蛀处理，木材含水率8-12%；无腐朽、无虫眼、无死结；</w:t>
            </w:r>
          </w:p>
          <w:p w14:paraId="6C2C402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2.饰面：采用优质头层牛皮饰面，厚度≥1.0mm，经液态浸色及防潮、防污等工艺处理，皮面更加柔软舒适、光泽持久性好，纹理细腻，耐磨损；</w:t>
            </w:r>
          </w:p>
          <w:p w14:paraId="18C4F82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3.油漆：采用水性漆；</w:t>
            </w:r>
          </w:p>
          <w:p w14:paraId="23CDB72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4.海绵：采用优质高弹阻燃海绵，软硬适中、不变形、回弹性好、抗疲劳能力强、坐感舒适.表面涂有防止老化变形的保护膜;</w:t>
            </w:r>
          </w:p>
          <w:p w14:paraId="675F981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C65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145415</wp:posOffset>
                  </wp:positionH>
                  <wp:positionV relativeFrom="paragraph">
                    <wp:posOffset>147955</wp:posOffset>
                  </wp:positionV>
                  <wp:extent cx="1078865" cy="1814830"/>
                  <wp:effectExtent l="0" t="0" r="6985" b="13970"/>
                  <wp:wrapNone/>
                  <wp:docPr id="66" name="图片_24"/>
                  <wp:cNvGraphicFramePr/>
                  <a:graphic xmlns:a="http://schemas.openxmlformats.org/drawingml/2006/main">
                    <a:graphicData uri="http://schemas.openxmlformats.org/drawingml/2006/picture">
                      <pic:pic xmlns:pic="http://schemas.openxmlformats.org/drawingml/2006/picture">
                        <pic:nvPicPr>
                          <pic:cNvPr id="66" name="图片_24"/>
                          <pic:cNvPicPr/>
                        </pic:nvPicPr>
                        <pic:blipFill>
                          <a:blip r:embed="rId21"/>
                          <a:stretch>
                            <a:fillRect/>
                          </a:stretch>
                        </pic:blipFill>
                        <pic:spPr>
                          <a:xfrm>
                            <a:off x="0" y="0"/>
                            <a:ext cx="1078865" cy="181483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98A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74</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7AE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08665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C58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7CB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会议接待椅（2）</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9E6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650*680*1050</w:t>
            </w:r>
          </w:p>
        </w:tc>
        <w:tc>
          <w:tcPr>
            <w:tcW w:w="2515" w:type="pct"/>
            <w:tcBorders>
              <w:top w:val="single" w:color="000000" w:sz="4" w:space="0"/>
              <w:left w:val="single" w:color="000000" w:sz="4" w:space="0"/>
              <w:bottom w:val="nil"/>
              <w:right w:val="single" w:color="000000" w:sz="4" w:space="0"/>
            </w:tcBorders>
            <w:shd w:val="clear" w:color="auto" w:fill="auto"/>
            <w:vAlign w:val="top"/>
          </w:tcPr>
          <w:p w14:paraId="2F3C116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1.面料：选用牛皮软包饰面；</w:t>
            </w:r>
          </w:p>
          <w:p w14:paraId="166CE27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2.同步倾仰机构，倾仰机构具有可调整弹力大小功能;</w:t>
            </w:r>
          </w:p>
          <w:p w14:paraId="13A2F3D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3.北美进口白栓实木，实木扶手+皮饰面、实木椅脚、座海绵密度40#,椅背海绵密度35#；</w:t>
            </w:r>
          </w:p>
          <w:p w14:paraId="7643B89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4.气压棒：60mm行程气压棒，采用精钢铸造，内充高压氮气；</w:t>
            </w:r>
          </w:p>
          <w:p w14:paraId="5960AE5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tcBorders>
              <w:top w:val="single" w:color="000000" w:sz="4" w:space="0"/>
              <w:left w:val="single" w:color="000000" w:sz="4" w:space="0"/>
              <w:bottom w:val="nil"/>
              <w:right w:val="single" w:color="000000" w:sz="4" w:space="0"/>
            </w:tcBorders>
            <w:shd w:val="clear" w:color="auto" w:fill="auto"/>
            <w:vAlign w:val="center"/>
          </w:tcPr>
          <w:p w14:paraId="43EF476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10795</wp:posOffset>
                  </wp:positionH>
                  <wp:positionV relativeFrom="paragraph">
                    <wp:posOffset>136525</wp:posOffset>
                  </wp:positionV>
                  <wp:extent cx="1205230" cy="1111250"/>
                  <wp:effectExtent l="0" t="0" r="13970" b="12700"/>
                  <wp:wrapNone/>
                  <wp:docPr id="67" name="图片_72"/>
                  <wp:cNvGraphicFramePr/>
                  <a:graphic xmlns:a="http://schemas.openxmlformats.org/drawingml/2006/main">
                    <a:graphicData uri="http://schemas.openxmlformats.org/drawingml/2006/picture">
                      <pic:pic xmlns:pic="http://schemas.openxmlformats.org/drawingml/2006/picture">
                        <pic:nvPicPr>
                          <pic:cNvPr id="67" name="图片_72"/>
                          <pic:cNvPicPr/>
                        </pic:nvPicPr>
                        <pic:blipFill>
                          <a:blip r:embed="rId22"/>
                          <a:stretch>
                            <a:fillRect/>
                          </a:stretch>
                        </pic:blipFill>
                        <pic:spPr>
                          <a:xfrm>
                            <a:off x="0" y="0"/>
                            <a:ext cx="1205230" cy="111125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3EC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67</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3AD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7CCC1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044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480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接待椅（2）</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210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750*760*1155</w:t>
            </w:r>
          </w:p>
        </w:tc>
        <w:tc>
          <w:tcPr>
            <w:tcW w:w="2515" w:type="pct"/>
            <w:tcBorders>
              <w:top w:val="single" w:color="000000" w:sz="4" w:space="0"/>
              <w:left w:val="single" w:color="000000" w:sz="4" w:space="0"/>
              <w:bottom w:val="nil"/>
              <w:right w:val="single" w:color="000000" w:sz="4" w:space="0"/>
            </w:tcBorders>
            <w:shd w:val="clear" w:color="auto" w:fill="auto"/>
            <w:vAlign w:val="top"/>
          </w:tcPr>
          <w:p w14:paraId="1C4466D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1.面料：选用牛皮软包饰面；</w:t>
            </w:r>
          </w:p>
          <w:p w14:paraId="50314B7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2.框架：18mm曲木板采用多层热压成型；</w:t>
            </w:r>
          </w:p>
          <w:p w14:paraId="004E948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3.采用高密度海棉；</w:t>
            </w:r>
          </w:p>
          <w:p w14:paraId="28D137A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4.实木油漆扶手；</w:t>
            </w:r>
          </w:p>
          <w:p w14:paraId="07D2BFA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5.配倾仰锁定功能底盘·65#电镀杆；</w:t>
            </w:r>
          </w:p>
          <w:p w14:paraId="5FC3807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6.椅脚采用实木油漆脚；采用滑轮，滑行顺畅、无噪音，不伤地板；</w:t>
            </w:r>
          </w:p>
          <w:p w14:paraId="7896F11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5EB9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wp:posOffset>
                  </wp:positionH>
                  <wp:positionV relativeFrom="paragraph">
                    <wp:posOffset>316865</wp:posOffset>
                  </wp:positionV>
                  <wp:extent cx="1268730" cy="1669415"/>
                  <wp:effectExtent l="0" t="0" r="7620" b="6985"/>
                  <wp:wrapNone/>
                  <wp:docPr id="50" name="图片_19"/>
                  <wp:cNvGraphicFramePr/>
                  <a:graphic xmlns:a="http://schemas.openxmlformats.org/drawingml/2006/main">
                    <a:graphicData uri="http://schemas.openxmlformats.org/drawingml/2006/picture">
                      <pic:pic xmlns:pic="http://schemas.openxmlformats.org/drawingml/2006/picture">
                        <pic:nvPicPr>
                          <pic:cNvPr id="50" name="图片_19"/>
                          <pic:cNvPicPr/>
                        </pic:nvPicPr>
                        <pic:blipFill>
                          <a:blip r:embed="rId23"/>
                          <a:stretch>
                            <a:fillRect/>
                          </a:stretch>
                        </pic:blipFill>
                        <pic:spPr>
                          <a:xfrm>
                            <a:off x="0" y="0"/>
                            <a:ext cx="1268730" cy="1669415"/>
                          </a:xfrm>
                          <a:prstGeom prst="rect">
                            <a:avLst/>
                          </a:prstGeom>
                          <a:noFill/>
                          <a:ln>
                            <a:noFill/>
                          </a:ln>
                        </pic:spPr>
                      </pic:pic>
                    </a:graphicData>
                  </a:graphic>
                </wp:anchor>
              </w:drawing>
            </w:r>
          </w:p>
        </w:tc>
        <w:tc>
          <w:tcPr>
            <w:tcW w:w="183" w:type="pct"/>
            <w:tcBorders>
              <w:top w:val="nil"/>
              <w:left w:val="nil"/>
              <w:bottom w:val="nil"/>
              <w:right w:val="nil"/>
            </w:tcBorders>
            <w:shd w:val="clear" w:color="auto" w:fill="auto"/>
            <w:noWrap/>
            <w:vAlign w:val="center"/>
          </w:tcPr>
          <w:p w14:paraId="452A0D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20</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F7B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27846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32C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9</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9B3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接待椅（3）</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D70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660*730*1060</w:t>
            </w:r>
          </w:p>
        </w:tc>
        <w:tc>
          <w:tcPr>
            <w:tcW w:w="2515" w:type="pct"/>
            <w:tcBorders>
              <w:top w:val="single" w:color="000000" w:sz="4" w:space="0"/>
              <w:left w:val="single" w:color="000000" w:sz="4" w:space="0"/>
              <w:bottom w:val="nil"/>
              <w:right w:val="single" w:color="000000" w:sz="4" w:space="0"/>
            </w:tcBorders>
            <w:shd w:val="clear" w:color="auto" w:fill="auto"/>
            <w:vAlign w:val="top"/>
          </w:tcPr>
          <w:p w14:paraId="28CE800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4556125</wp:posOffset>
                  </wp:positionH>
                  <wp:positionV relativeFrom="paragraph">
                    <wp:posOffset>232410</wp:posOffset>
                  </wp:positionV>
                  <wp:extent cx="1431290" cy="2093595"/>
                  <wp:effectExtent l="0" t="0" r="16510" b="1905"/>
                  <wp:wrapNone/>
                  <wp:docPr id="55" name="图片_23"/>
                  <wp:cNvGraphicFramePr/>
                  <a:graphic xmlns:a="http://schemas.openxmlformats.org/drawingml/2006/main">
                    <a:graphicData uri="http://schemas.openxmlformats.org/drawingml/2006/picture">
                      <pic:pic xmlns:pic="http://schemas.openxmlformats.org/drawingml/2006/picture">
                        <pic:nvPicPr>
                          <pic:cNvPr id="55" name="图片_23"/>
                          <pic:cNvPicPr/>
                        </pic:nvPicPr>
                        <pic:blipFill>
                          <a:blip r:embed="rId24"/>
                          <a:stretch>
                            <a:fillRect/>
                          </a:stretch>
                        </pic:blipFill>
                        <pic:spPr>
                          <a:xfrm>
                            <a:off x="0" y="0"/>
                            <a:ext cx="1431290" cy="2093595"/>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1.面料：选用牛皮软包饰面；</w:t>
            </w:r>
          </w:p>
          <w:p w14:paraId="148B0AA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2.框架：18mm曲木板采用多层热压成型；</w:t>
            </w:r>
          </w:p>
          <w:p w14:paraId="42F2C9E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3.采用高密度海棉；</w:t>
            </w:r>
          </w:p>
          <w:p w14:paraId="0B2E6AC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4.实木油漆扶手；</w:t>
            </w:r>
          </w:p>
          <w:p w14:paraId="7921885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5.配倾仰锁定功能底盘·65#电镀杆；</w:t>
            </w:r>
          </w:p>
          <w:p w14:paraId="1DF5479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6.椅脚采用实木油漆脚；采用滑轮，滑行顺畅、无噪音，不伤地板；</w:t>
            </w:r>
          </w:p>
          <w:p w14:paraId="37A24A1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A160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nil"/>
              <w:left w:val="nil"/>
              <w:bottom w:val="nil"/>
              <w:right w:val="nil"/>
            </w:tcBorders>
            <w:shd w:val="clear" w:color="auto" w:fill="auto"/>
            <w:noWrap/>
            <w:vAlign w:val="center"/>
          </w:tcPr>
          <w:p w14:paraId="4D1902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28</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79A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47BA3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B89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E29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活动椅（1）</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E88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680*780*1030*1090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7F55B90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1.面料：选用牛皮软包饰面；</w:t>
            </w:r>
          </w:p>
          <w:p w14:paraId="78FDB8B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2.底盘：升降、倾仰多档锁定功能;</w:t>
            </w:r>
          </w:p>
          <w:p w14:paraId="01E7AF0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3.海绵:  椅座海绵密度50#;</w:t>
            </w:r>
          </w:p>
          <w:p w14:paraId="30DFA30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4.木板：加厚型20mm双层板材，环保E0级;</w:t>
            </w:r>
          </w:p>
          <w:p w14:paraId="364D2A4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5.扶手：北美白栓木材质，胡桃色 开放漆;</w:t>
            </w:r>
          </w:p>
          <w:p w14:paraId="572E6E6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6.五星脚：实木五星脚架;</w:t>
            </w:r>
          </w:p>
          <w:p w14:paraId="2EFDDB4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7.气杆TUV4级以上，管壁厚度2.5mm；</w:t>
            </w:r>
          </w:p>
          <w:p w14:paraId="5A67941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8.脚轮：万向静音轮;</w:t>
            </w:r>
          </w:p>
          <w:p w14:paraId="679339D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9.颜色：颜色可定制；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58F4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-248920</wp:posOffset>
                  </wp:positionV>
                  <wp:extent cx="1155700" cy="1474470"/>
                  <wp:effectExtent l="0" t="0" r="6350" b="11430"/>
                  <wp:wrapNone/>
                  <wp:docPr id="47" name="图片_55"/>
                  <wp:cNvGraphicFramePr/>
                  <a:graphic xmlns:a="http://schemas.openxmlformats.org/drawingml/2006/main">
                    <a:graphicData uri="http://schemas.openxmlformats.org/drawingml/2006/picture">
                      <pic:pic xmlns:pic="http://schemas.openxmlformats.org/drawingml/2006/picture">
                        <pic:nvPicPr>
                          <pic:cNvPr id="47" name="图片_55"/>
                          <pic:cNvPicPr/>
                        </pic:nvPicPr>
                        <pic:blipFill>
                          <a:blip r:embed="rId25"/>
                          <a:stretch>
                            <a:fillRect/>
                          </a:stretch>
                        </pic:blipFill>
                        <pic:spPr>
                          <a:xfrm>
                            <a:off x="0" y="0"/>
                            <a:ext cx="1155700" cy="147447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23C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78</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963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181AD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9B9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11</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5D3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会议接待椅（3）</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356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780*790*1100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0FE458C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1.椅背：靠背骨架采用11层15毫米高强度层压胶合板，环保海绵填充，面料为环保透气真皮绒；</w:t>
            </w:r>
          </w:p>
          <w:p w14:paraId="23F41DC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2扶手：扶手主体采用优质烤漆实木扶手材质，表面烤漆工艺，烤漆附着力达到3H；                                       </w:t>
            </w:r>
          </w:p>
          <w:p w14:paraId="4FCC4E6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3.座垫：坐垫骨架采用11层15毫米高强度层压胶合板，填充物高密度海绵组合；</w:t>
            </w:r>
          </w:p>
          <w:p w14:paraId="5D345E1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4.底盘：采用杨氏线控蝴蝶底盘，2.5MM加厚钢板，倾仰角度10度，机构运动无干涉，无噪音；  </w:t>
            </w:r>
          </w:p>
          <w:p w14:paraId="5E63CB4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5.气杆：气杆棒芯采用3.0MM的优质无缝钢管，4级气杆标准；</w:t>
            </w:r>
          </w:p>
          <w:p w14:paraId="40D749E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6.椅脚：实木五星脚；</w:t>
            </w:r>
          </w:p>
          <w:p w14:paraId="35470E4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7.脚轮：采用PA+30%玻璃纤维材料，组装后经过高温热处理，轮片直径75mm;</w:t>
            </w:r>
          </w:p>
          <w:p w14:paraId="4C27488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519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-15875</wp:posOffset>
                  </wp:positionH>
                  <wp:positionV relativeFrom="paragraph">
                    <wp:posOffset>-592455</wp:posOffset>
                  </wp:positionV>
                  <wp:extent cx="1283335" cy="1632585"/>
                  <wp:effectExtent l="0" t="0" r="12065" b="5715"/>
                  <wp:wrapNone/>
                  <wp:docPr id="53" name="图片_62"/>
                  <wp:cNvGraphicFramePr/>
                  <a:graphic xmlns:a="http://schemas.openxmlformats.org/drawingml/2006/main">
                    <a:graphicData uri="http://schemas.openxmlformats.org/drawingml/2006/picture">
                      <pic:pic xmlns:pic="http://schemas.openxmlformats.org/drawingml/2006/picture">
                        <pic:nvPicPr>
                          <pic:cNvPr id="53" name="图片_62"/>
                          <pic:cNvPicPr/>
                        </pic:nvPicPr>
                        <pic:blipFill>
                          <a:blip r:embed="rId26"/>
                          <a:stretch>
                            <a:fillRect/>
                          </a:stretch>
                        </pic:blipFill>
                        <pic:spPr>
                          <a:xfrm>
                            <a:off x="0" y="0"/>
                            <a:ext cx="1283335" cy="163258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32E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18</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0D6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173CE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7"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017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12</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E0E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全包接待椅</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1D7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510*600*880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361824A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1.面材：采用优质天然实木木皮贴面，木皮厚度≥0.6mm，扪超纤皮及海绵；</w:t>
            </w:r>
          </w:p>
          <w:p w14:paraId="7BEED8A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2.基材：采用E0级密度板，各项性能均优于国家标准；</w:t>
            </w:r>
          </w:p>
          <w:p w14:paraId="050D47F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3.油漆：油性木器涂料涂饰，采用五底三面涂饰工艺，符合国家标准；</w:t>
            </w:r>
          </w:p>
          <w:p w14:paraId="64C0C91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4.胶水：采用环保白乳胶；</w:t>
            </w:r>
          </w:p>
          <w:p w14:paraId="31CDD14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8406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204470</wp:posOffset>
                  </wp:positionH>
                  <wp:positionV relativeFrom="paragraph">
                    <wp:posOffset>-280670</wp:posOffset>
                  </wp:positionV>
                  <wp:extent cx="904240" cy="1395095"/>
                  <wp:effectExtent l="0" t="0" r="10160" b="14605"/>
                  <wp:wrapNone/>
                  <wp:docPr id="54" name="图片_52"/>
                  <wp:cNvGraphicFramePr/>
                  <a:graphic xmlns:a="http://schemas.openxmlformats.org/drawingml/2006/main">
                    <a:graphicData uri="http://schemas.openxmlformats.org/drawingml/2006/picture">
                      <pic:pic xmlns:pic="http://schemas.openxmlformats.org/drawingml/2006/picture">
                        <pic:nvPicPr>
                          <pic:cNvPr id="54" name="图片_52"/>
                          <pic:cNvPicPr/>
                        </pic:nvPicPr>
                        <pic:blipFill>
                          <a:blip r:embed="rId27"/>
                          <a:stretch>
                            <a:fillRect/>
                          </a:stretch>
                        </pic:blipFill>
                        <pic:spPr>
                          <a:xfrm>
                            <a:off x="0" y="0"/>
                            <a:ext cx="904240" cy="139509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3F9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8AD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0AAC1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74"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98A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13</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752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接待洽谈椅（2）</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BA6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480*550*720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7E32370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1.框架：采用优质白蜡木实木制作，所有木材都进行烘干及防蛀处理，木材含水率8-12%；无腐朽、无虫眼、无死结；</w:t>
            </w:r>
          </w:p>
          <w:p w14:paraId="25046B8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2.饰面：采用优质头层牛皮饰面，厚度≥1.0mm，经液态浸色及防潮、防污等工艺处理，皮面更加柔软舒适、光泽持久性好，纹理细腻，耐磨损；</w:t>
            </w:r>
          </w:p>
          <w:p w14:paraId="7CA6C9C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3.油漆：采用水性漆；</w:t>
            </w:r>
          </w:p>
          <w:p w14:paraId="50CFDBF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4.海绵：采用优质高弹阻燃海绵，软硬适中、不变形、回弹性好、抗疲劳能力强、坐感舒适.表面涂有防止老化变形的保护膜;</w:t>
            </w:r>
          </w:p>
          <w:p w14:paraId="6AD9E5F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19A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67310</wp:posOffset>
                  </wp:positionH>
                  <wp:positionV relativeFrom="paragraph">
                    <wp:posOffset>146685</wp:posOffset>
                  </wp:positionV>
                  <wp:extent cx="965835" cy="1292860"/>
                  <wp:effectExtent l="0" t="0" r="5715" b="2540"/>
                  <wp:wrapNone/>
                  <wp:docPr id="56" name="图片_3"/>
                  <wp:cNvGraphicFramePr/>
                  <a:graphic xmlns:a="http://schemas.openxmlformats.org/drawingml/2006/main">
                    <a:graphicData uri="http://schemas.openxmlformats.org/drawingml/2006/picture">
                      <pic:pic xmlns:pic="http://schemas.openxmlformats.org/drawingml/2006/picture">
                        <pic:nvPicPr>
                          <pic:cNvPr id="56" name="图片_3"/>
                          <pic:cNvPicPr/>
                        </pic:nvPicPr>
                        <pic:blipFill>
                          <a:blip r:embed="rId28"/>
                          <a:stretch>
                            <a:fillRect/>
                          </a:stretch>
                        </pic:blipFill>
                        <pic:spPr>
                          <a:xfrm>
                            <a:off x="0" y="0"/>
                            <a:ext cx="965835" cy="129286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5DF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86</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D3B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4D908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7BD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14</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325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会议接待椅（4）</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34D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450*540*930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1ACC5D6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1.铝合金管材，烤漆工艺;</w:t>
            </w:r>
          </w:p>
          <w:p w14:paraId="2568AB1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2.表面真皮内置高回弹海绵;</w:t>
            </w:r>
          </w:p>
          <w:p w14:paraId="65F51F2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3.可折叠14张及以上（每张含一套布套）;</w:t>
            </w:r>
          </w:p>
          <w:p w14:paraId="0B8DD1E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F8B7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324485</wp:posOffset>
                  </wp:positionH>
                  <wp:positionV relativeFrom="paragraph">
                    <wp:posOffset>-114935</wp:posOffset>
                  </wp:positionV>
                  <wp:extent cx="783590" cy="1513205"/>
                  <wp:effectExtent l="0" t="0" r="16510" b="10795"/>
                  <wp:wrapNone/>
                  <wp:docPr id="57" name="图片_20"/>
                  <wp:cNvGraphicFramePr/>
                  <a:graphic xmlns:a="http://schemas.openxmlformats.org/drawingml/2006/main">
                    <a:graphicData uri="http://schemas.openxmlformats.org/drawingml/2006/picture">
                      <pic:pic xmlns:pic="http://schemas.openxmlformats.org/drawingml/2006/picture">
                        <pic:nvPicPr>
                          <pic:cNvPr id="57" name="图片_20"/>
                          <pic:cNvPicPr/>
                        </pic:nvPicPr>
                        <pic:blipFill>
                          <a:blip r:embed="rId29"/>
                          <a:stretch>
                            <a:fillRect/>
                          </a:stretch>
                        </pic:blipFill>
                        <pic:spPr>
                          <a:xfrm>
                            <a:off x="0" y="0"/>
                            <a:ext cx="783590" cy="151320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E92E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120</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B6A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7DC0B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692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15</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8B5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活动椅（3）</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281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680*780*1030*1090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6DAA99E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1.面料：选用牛皮软包饰面；</w:t>
            </w:r>
          </w:p>
          <w:p w14:paraId="119CF02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2.海绵:  椅座海绵密度50#;</w:t>
            </w:r>
          </w:p>
          <w:p w14:paraId="0424F8E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3.扶手：PP固定扶手;</w:t>
            </w:r>
          </w:p>
          <w:p w14:paraId="12D62E1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4.脚架：壁厚≥2mm加厚喷涂弓形架;</w:t>
            </w:r>
          </w:p>
          <w:p w14:paraId="27FC099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7504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46990</wp:posOffset>
                  </wp:positionH>
                  <wp:positionV relativeFrom="paragraph">
                    <wp:posOffset>263525</wp:posOffset>
                  </wp:positionV>
                  <wp:extent cx="1145540" cy="1331595"/>
                  <wp:effectExtent l="0" t="0" r="16510" b="1905"/>
                  <wp:wrapNone/>
                  <wp:docPr id="58" name="图片_54"/>
                  <wp:cNvGraphicFramePr/>
                  <a:graphic xmlns:a="http://schemas.openxmlformats.org/drawingml/2006/main">
                    <a:graphicData uri="http://schemas.openxmlformats.org/drawingml/2006/picture">
                      <pic:pic xmlns:pic="http://schemas.openxmlformats.org/drawingml/2006/picture">
                        <pic:nvPicPr>
                          <pic:cNvPr id="58" name="图片_54"/>
                          <pic:cNvPicPr/>
                        </pic:nvPicPr>
                        <pic:blipFill>
                          <a:blip r:embed="rId30"/>
                          <a:stretch>
                            <a:fillRect/>
                          </a:stretch>
                        </pic:blipFill>
                        <pic:spPr>
                          <a:xfrm>
                            <a:off x="0" y="0"/>
                            <a:ext cx="1145540" cy="133159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E10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24</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93C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794E4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F33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16</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146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书椅</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017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480*550*720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56B29CA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1.框架：采用优质白蜡木实木制作，所有木材都进行烘干及防蛀处理，木材含水率8-12%；无腐朽、无虫眼、无死结；</w:t>
            </w:r>
          </w:p>
          <w:p w14:paraId="5DAF894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2.饰面：采用优质头层牛皮饰面，厚度≥1.0mm，经液态浸色及防潮、防污等工艺处理，皮面更加柔软舒适、光泽持久性好，纹理细腻，耐磨损；</w:t>
            </w:r>
          </w:p>
          <w:p w14:paraId="4D5F0E5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3.油漆：采用水性漆；</w:t>
            </w:r>
          </w:p>
          <w:p w14:paraId="7B13E3A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4.海绵：采用优质高弹阻燃海绵，软硬适中、不变形、回弹性好、抗疲劳能力强、坐感舒适.表面涂有防止老化变形的保护膜;</w:t>
            </w:r>
          </w:p>
          <w:p w14:paraId="05315EB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79C8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233680</wp:posOffset>
                  </wp:positionH>
                  <wp:positionV relativeFrom="paragraph">
                    <wp:posOffset>-332105</wp:posOffset>
                  </wp:positionV>
                  <wp:extent cx="1090295" cy="1441450"/>
                  <wp:effectExtent l="0" t="0" r="14605" b="6350"/>
                  <wp:wrapNone/>
                  <wp:docPr id="61" name="图片_4"/>
                  <wp:cNvGraphicFramePr/>
                  <a:graphic xmlns:a="http://schemas.openxmlformats.org/drawingml/2006/main">
                    <a:graphicData uri="http://schemas.openxmlformats.org/drawingml/2006/picture">
                      <pic:pic xmlns:pic="http://schemas.openxmlformats.org/drawingml/2006/picture">
                        <pic:nvPicPr>
                          <pic:cNvPr id="61" name="图片_4"/>
                          <pic:cNvPicPr/>
                        </pic:nvPicPr>
                        <pic:blipFill>
                          <a:blip r:embed="rId31"/>
                          <a:stretch>
                            <a:fillRect/>
                          </a:stretch>
                        </pic:blipFill>
                        <pic:spPr>
                          <a:xfrm>
                            <a:off x="0" y="0"/>
                            <a:ext cx="1090295" cy="144145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E31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15B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4D1E7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1F1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17</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5A3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后排椅</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D45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560*650*840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51762C7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1.面料：选用牛皮软包饰面；</w:t>
            </w:r>
          </w:p>
          <w:p w14:paraId="38C0B46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2.北美进口白蜡实木，实木扶手、实木椅脚、座海绵密度40#,椅背海绵密度35#；</w:t>
            </w:r>
          </w:p>
          <w:p w14:paraId="226BD91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10BE3">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167005</wp:posOffset>
                  </wp:positionH>
                  <wp:positionV relativeFrom="paragraph">
                    <wp:posOffset>133985</wp:posOffset>
                  </wp:positionV>
                  <wp:extent cx="807085" cy="1603375"/>
                  <wp:effectExtent l="0" t="0" r="12065" b="15875"/>
                  <wp:wrapNone/>
                  <wp:docPr id="48" name="图片_45"/>
                  <wp:cNvGraphicFramePr/>
                  <a:graphic xmlns:a="http://schemas.openxmlformats.org/drawingml/2006/main">
                    <a:graphicData uri="http://schemas.openxmlformats.org/drawingml/2006/picture">
                      <pic:pic xmlns:pic="http://schemas.openxmlformats.org/drawingml/2006/picture">
                        <pic:nvPicPr>
                          <pic:cNvPr id="48" name="图片_45"/>
                          <pic:cNvPicPr/>
                        </pic:nvPicPr>
                        <pic:blipFill>
                          <a:blip r:embed="rId32"/>
                          <a:stretch>
                            <a:fillRect/>
                          </a:stretch>
                        </pic:blipFill>
                        <pic:spPr>
                          <a:xfrm>
                            <a:off x="0" y="0"/>
                            <a:ext cx="807085" cy="160337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405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56</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BA2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578D4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4A3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18</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631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会议接待后排椅</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5DB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620*580*960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1858BE8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1.框架：采用优质白蜡木实木制作，所有木材都进行烘干及防蛀处理，木材含水率8-12%；无腐朽、无虫眼、无死结；</w:t>
            </w:r>
          </w:p>
          <w:p w14:paraId="3C94DA1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2.饰面：采用优质头层牛皮饰面，厚度≥1.0mm，经液态浸色及防潮、防污等工艺处理，皮面更加柔软舒适、光泽持久性好，纹理细腻，耐磨损；</w:t>
            </w:r>
          </w:p>
          <w:p w14:paraId="5EF5803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3.油漆：采用水性漆；</w:t>
            </w:r>
          </w:p>
          <w:p w14:paraId="0508FB2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4.海绵：采用优质高弹阻燃海绵，软硬适中、不变形、回弹性好、抗疲劳能力强、坐感舒适.表面涂有防止老化变形的保护膜;</w:t>
            </w:r>
          </w:p>
          <w:p w14:paraId="35CB97D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7607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254000</wp:posOffset>
                  </wp:positionH>
                  <wp:positionV relativeFrom="paragraph">
                    <wp:posOffset>307340</wp:posOffset>
                  </wp:positionV>
                  <wp:extent cx="884555" cy="1472565"/>
                  <wp:effectExtent l="0" t="0" r="10795" b="13335"/>
                  <wp:wrapNone/>
                  <wp:docPr id="59" name="图片_46"/>
                  <wp:cNvGraphicFramePr/>
                  <a:graphic xmlns:a="http://schemas.openxmlformats.org/drawingml/2006/main">
                    <a:graphicData uri="http://schemas.openxmlformats.org/drawingml/2006/picture">
                      <pic:pic xmlns:pic="http://schemas.openxmlformats.org/drawingml/2006/picture">
                        <pic:nvPicPr>
                          <pic:cNvPr id="59" name="图片_46"/>
                          <pic:cNvPicPr/>
                        </pic:nvPicPr>
                        <pic:blipFill>
                          <a:blip r:embed="rId33"/>
                          <a:stretch>
                            <a:fillRect/>
                          </a:stretch>
                        </pic:blipFill>
                        <pic:spPr>
                          <a:xfrm>
                            <a:off x="0" y="0"/>
                            <a:ext cx="884555" cy="147256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198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68</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856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2020F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E29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19</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C13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会议接待椅（5）</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BAB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690*740*985</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359302F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1.框架：采用优质白蜡木实木制作，所有木材都进行烘干及防蛀处理，木材含水率8-12%；无腐朽、无虫眼、无死结；</w:t>
            </w:r>
          </w:p>
          <w:p w14:paraId="0C3529F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2.饰面：采用优质头层牛皮饰面，厚度≥1.0mm，经液态浸色及防潮、防污等工艺处理，皮面更加柔软舒适、光泽持久性好，纹理细腻，耐磨损；</w:t>
            </w:r>
          </w:p>
          <w:p w14:paraId="6C29C53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3.油漆：采用水性漆；</w:t>
            </w:r>
          </w:p>
          <w:p w14:paraId="1905314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4.海绵：采用优质高弹阻燃海绵，软硬适中、不变形、回弹性好、抗疲劳能力强、坐感舒适.表面涂有防止老化变形的保护膜.</w:t>
            </w:r>
          </w:p>
          <w:p w14:paraId="6888A98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240F9">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29210</wp:posOffset>
                  </wp:positionH>
                  <wp:positionV relativeFrom="paragraph">
                    <wp:posOffset>193675</wp:posOffset>
                  </wp:positionV>
                  <wp:extent cx="1054735" cy="1700530"/>
                  <wp:effectExtent l="0" t="0" r="12065" b="13970"/>
                  <wp:wrapNone/>
                  <wp:docPr id="60" name="图片_57"/>
                  <wp:cNvGraphicFramePr/>
                  <a:graphic xmlns:a="http://schemas.openxmlformats.org/drawingml/2006/main">
                    <a:graphicData uri="http://schemas.openxmlformats.org/drawingml/2006/picture">
                      <pic:pic xmlns:pic="http://schemas.openxmlformats.org/drawingml/2006/picture">
                        <pic:nvPicPr>
                          <pic:cNvPr id="60" name="图片_57"/>
                          <pic:cNvPicPr/>
                        </pic:nvPicPr>
                        <pic:blipFill>
                          <a:blip r:embed="rId34"/>
                          <a:stretch>
                            <a:fillRect/>
                          </a:stretch>
                        </pic:blipFill>
                        <pic:spPr>
                          <a:xfrm>
                            <a:off x="0" y="0"/>
                            <a:ext cx="1054735" cy="170053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167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148</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605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28460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2B0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20</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9E7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接待椅（4）</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24D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780*720*1210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0B1D8A3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1.框架：采用优质白栓实木制作，所有木材都进行烘干及防蛀处理，木材含水率8-12%；无腐朽、无虫眼、无死结；</w:t>
            </w:r>
          </w:p>
          <w:p w14:paraId="39A60D9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2.饰面：采用优质头层牛皮饰面，厚度≥1.0mm，经液态浸色及防潮、防污等工艺处理，皮面更加柔软舒适、光泽持久性好，纹理细腻，耐磨损；</w:t>
            </w:r>
          </w:p>
          <w:p w14:paraId="1FC553A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3.油漆：采用水性漆；</w:t>
            </w:r>
          </w:p>
          <w:p w14:paraId="0AD8E8E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4.海绵：采用优质高弹阻燃海绵，软硬适中、不变形、回弹性好、抗疲劳能力强、坐感舒适.表面涂有防止老化变形的保护膜;</w:t>
            </w:r>
          </w:p>
          <w:p w14:paraId="4C1533C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5.功能：升降、倾仰多档锁定功能，高飞模慢回弹底盘，板材：加厚型15mmE0级板材;</w:t>
            </w:r>
          </w:p>
          <w:p w14:paraId="350FAF0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92C0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325120</wp:posOffset>
                  </wp:positionH>
                  <wp:positionV relativeFrom="paragraph">
                    <wp:posOffset>81280</wp:posOffset>
                  </wp:positionV>
                  <wp:extent cx="938530" cy="1815465"/>
                  <wp:effectExtent l="0" t="0" r="13970" b="13335"/>
                  <wp:wrapNone/>
                  <wp:docPr id="68" name="图片_65"/>
                  <wp:cNvGraphicFramePr/>
                  <a:graphic xmlns:a="http://schemas.openxmlformats.org/drawingml/2006/main">
                    <a:graphicData uri="http://schemas.openxmlformats.org/drawingml/2006/picture">
                      <pic:pic xmlns:pic="http://schemas.openxmlformats.org/drawingml/2006/picture">
                        <pic:nvPicPr>
                          <pic:cNvPr id="68" name="图片_65"/>
                          <pic:cNvPicPr/>
                        </pic:nvPicPr>
                        <pic:blipFill>
                          <a:blip r:embed="rId35"/>
                          <a:stretch>
                            <a:fillRect/>
                          </a:stretch>
                        </pic:blipFill>
                        <pic:spPr>
                          <a:xfrm>
                            <a:off x="0" y="0"/>
                            <a:ext cx="938530" cy="181546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92E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EB0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5C40B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162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21</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97C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接待客椅</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D03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780*730*1020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051390F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4615815</wp:posOffset>
                  </wp:positionH>
                  <wp:positionV relativeFrom="paragraph">
                    <wp:posOffset>262255</wp:posOffset>
                  </wp:positionV>
                  <wp:extent cx="1386205" cy="1656080"/>
                  <wp:effectExtent l="0" t="0" r="4445" b="1270"/>
                  <wp:wrapNone/>
                  <wp:docPr id="44" name="图片_66"/>
                  <wp:cNvGraphicFramePr/>
                  <a:graphic xmlns:a="http://schemas.openxmlformats.org/drawingml/2006/main">
                    <a:graphicData uri="http://schemas.openxmlformats.org/drawingml/2006/picture">
                      <pic:pic xmlns:pic="http://schemas.openxmlformats.org/drawingml/2006/picture">
                        <pic:nvPicPr>
                          <pic:cNvPr id="44" name="图片_66"/>
                          <pic:cNvPicPr/>
                        </pic:nvPicPr>
                        <pic:blipFill>
                          <a:blip r:embed="rId36"/>
                          <a:stretch>
                            <a:fillRect/>
                          </a:stretch>
                        </pic:blipFill>
                        <pic:spPr>
                          <a:xfrm>
                            <a:off x="0" y="0"/>
                            <a:ext cx="1386205" cy="165608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1.框架：采用优质白栓实木制作，所有木材都进行烘干及防蛀处理，木材含水率8-12%；无腐朽、无虫眼、无死结；</w:t>
            </w:r>
          </w:p>
          <w:p w14:paraId="308D910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2.饰面：采用优质头层牛皮饰面，厚度≥1.0mm，经液态浸色及防潮、防污等工艺处理，皮面更加柔软舒适、光泽持久性好，纹理细腻，耐磨损；</w:t>
            </w:r>
          </w:p>
          <w:p w14:paraId="316EB0E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3.油漆：采用水性漆；</w:t>
            </w:r>
          </w:p>
          <w:p w14:paraId="18E839D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4.海绵：采用优质高弹阻燃海绵，软硬适中、不变形、回弹性好、抗疲劳能力强、坐感舒适.表面涂有防止老化变形的保护膜;</w:t>
            </w:r>
          </w:p>
          <w:p w14:paraId="61AF91D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5.功能：升降、倾仰多档锁定功能，高飞模慢回弹底盘，板材：加厚型15mmE0级板材;</w:t>
            </w:r>
          </w:p>
          <w:p w14:paraId="2C22DB6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6599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5B9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9D5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120AF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23F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22</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8F9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接待椅（5）</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AF5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495*595*990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174304E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1.主体框架：进口白蜡木；</w:t>
            </w:r>
          </w:p>
          <w:p w14:paraId="0CC6EB8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2.前脚：拉丝玫瑰金五金脚套；</w:t>
            </w:r>
          </w:p>
          <w:p w14:paraId="09AA284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3.软包：高密度海绵扪优质真皮；</w:t>
            </w:r>
          </w:p>
          <w:p w14:paraId="370A95F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4.油漆：环保水性漆开放漆，五底三面工艺；</w:t>
            </w:r>
          </w:p>
          <w:p w14:paraId="21FEF09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14E5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183515</wp:posOffset>
                  </wp:positionH>
                  <wp:positionV relativeFrom="paragraph">
                    <wp:posOffset>125095</wp:posOffset>
                  </wp:positionV>
                  <wp:extent cx="1078230" cy="1522730"/>
                  <wp:effectExtent l="0" t="0" r="7620" b="1270"/>
                  <wp:wrapNone/>
                  <wp:docPr id="45" name="图片_27"/>
                  <wp:cNvGraphicFramePr/>
                  <a:graphic xmlns:a="http://schemas.openxmlformats.org/drawingml/2006/main">
                    <a:graphicData uri="http://schemas.openxmlformats.org/drawingml/2006/picture">
                      <pic:pic xmlns:pic="http://schemas.openxmlformats.org/drawingml/2006/picture">
                        <pic:nvPicPr>
                          <pic:cNvPr id="45" name="图片_27"/>
                          <pic:cNvPicPr/>
                        </pic:nvPicPr>
                        <pic:blipFill>
                          <a:blip r:embed="rId37"/>
                          <a:stretch>
                            <a:fillRect/>
                          </a:stretch>
                        </pic:blipFill>
                        <pic:spPr>
                          <a:xfrm>
                            <a:off x="0" y="0"/>
                            <a:ext cx="1078230" cy="152273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2D4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74</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8ED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3BBF3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B93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23</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1BB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全包接待客椅</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788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450*610*900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564BDA1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1.面材：采用优质天然实木木皮贴面，木皮厚度≥0.6mm，扪超纤皮及海绵；</w:t>
            </w:r>
          </w:p>
          <w:p w14:paraId="152058E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2.基材：采用E0级密度板，各项性能均优于国家标准；</w:t>
            </w:r>
          </w:p>
          <w:p w14:paraId="4CC2F60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3.油漆：油性木器涂料涂饰，采用五底三面涂饰工艺，符合国家标准；</w:t>
            </w:r>
          </w:p>
          <w:p w14:paraId="14216FA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4.胶水：采用环保白乳胶；</w:t>
            </w:r>
          </w:p>
          <w:p w14:paraId="5F7AF30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5D85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wp:posOffset>
                  </wp:positionH>
                  <wp:positionV relativeFrom="paragraph">
                    <wp:posOffset>216535</wp:posOffset>
                  </wp:positionV>
                  <wp:extent cx="1208405" cy="1409700"/>
                  <wp:effectExtent l="0" t="0" r="10795" b="0"/>
                  <wp:wrapNone/>
                  <wp:docPr id="69" name="图片_26"/>
                  <wp:cNvGraphicFramePr/>
                  <a:graphic xmlns:a="http://schemas.openxmlformats.org/drawingml/2006/main">
                    <a:graphicData uri="http://schemas.openxmlformats.org/drawingml/2006/picture">
                      <pic:pic xmlns:pic="http://schemas.openxmlformats.org/drawingml/2006/picture">
                        <pic:nvPicPr>
                          <pic:cNvPr id="69" name="图片_26"/>
                          <pic:cNvPicPr/>
                        </pic:nvPicPr>
                        <pic:blipFill>
                          <a:blip r:embed="rId38"/>
                          <a:stretch>
                            <a:fillRect/>
                          </a:stretch>
                        </pic:blipFill>
                        <pic:spPr>
                          <a:xfrm>
                            <a:off x="0" y="0"/>
                            <a:ext cx="1208405" cy="140970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95C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AE7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0BDE8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3B3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24</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993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琴房专用椅</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9EC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750*350*480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2CC2883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1.框架：采用优质白蜡木实木制作，所有木材都进行烘干及防蛀处理，木材含水率8-12%；无腐朽、无虫眼、无死结；</w:t>
            </w:r>
          </w:p>
          <w:p w14:paraId="0E79253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2.饰面：采用优质牛皮饰面，厚度≥1.0mm，经液态浸色及防潮、防污等工艺处理，皮面更加柔软舒适、光泽持久性好，纹理细腻，耐磨损；</w:t>
            </w:r>
          </w:p>
          <w:p w14:paraId="7500A64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3.油漆：采用水性漆；</w:t>
            </w:r>
          </w:p>
          <w:p w14:paraId="52CA528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4.海绵：采用优质高弹阻燃海绵，软硬适中、不变形、回弹性好、抗疲劳能力强、坐感舒适.表面涂有防止老化变形的保护膜;</w:t>
            </w:r>
          </w:p>
          <w:p w14:paraId="7C08C76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FF1F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146050</wp:posOffset>
                  </wp:positionH>
                  <wp:positionV relativeFrom="paragraph">
                    <wp:posOffset>307340</wp:posOffset>
                  </wp:positionV>
                  <wp:extent cx="981075" cy="1427480"/>
                  <wp:effectExtent l="0" t="0" r="9525" b="1270"/>
                  <wp:wrapNone/>
                  <wp:docPr id="62" name="图片_25"/>
                  <wp:cNvGraphicFramePr/>
                  <a:graphic xmlns:a="http://schemas.openxmlformats.org/drawingml/2006/main">
                    <a:graphicData uri="http://schemas.openxmlformats.org/drawingml/2006/picture">
                      <pic:pic xmlns:pic="http://schemas.openxmlformats.org/drawingml/2006/picture">
                        <pic:nvPicPr>
                          <pic:cNvPr id="62" name="图片_25"/>
                          <pic:cNvPicPr/>
                        </pic:nvPicPr>
                        <pic:blipFill>
                          <a:blip r:embed="rId39"/>
                          <a:stretch>
                            <a:fillRect/>
                          </a:stretch>
                        </pic:blipFill>
                        <pic:spPr>
                          <a:xfrm>
                            <a:off x="0" y="0"/>
                            <a:ext cx="981075" cy="142748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140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63AC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7986A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7F5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25</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8C0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接待桌（1）</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126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φ800*750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7696059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1.面材：采用优质天然实木木皮贴面，木皮厚度≥0.6mm；</w:t>
            </w:r>
          </w:p>
          <w:p w14:paraId="67FF523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2.基材：采用E0级多层板，桌面厚度≥25，斜边处理，各项性能均优于国家标准；</w:t>
            </w:r>
          </w:p>
          <w:p w14:paraId="50D5107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3.油漆：油性木器涂料涂饰，采用三底五面涂饰工艺，符合国家标准；</w:t>
            </w:r>
          </w:p>
          <w:p w14:paraId="643C186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4.胶水：采用环保白乳胶；</w:t>
            </w:r>
          </w:p>
          <w:p w14:paraId="4783146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5.底部：金属脚架，可调节水平；</w:t>
            </w:r>
          </w:p>
          <w:p w14:paraId="522CB10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151B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87630</wp:posOffset>
                  </wp:positionH>
                  <wp:positionV relativeFrom="paragraph">
                    <wp:posOffset>334010</wp:posOffset>
                  </wp:positionV>
                  <wp:extent cx="1206500" cy="1242060"/>
                  <wp:effectExtent l="0" t="0" r="12700" b="15240"/>
                  <wp:wrapNone/>
                  <wp:docPr id="63" name="图片_8"/>
                  <wp:cNvGraphicFramePr/>
                  <a:graphic xmlns:a="http://schemas.openxmlformats.org/drawingml/2006/main">
                    <a:graphicData uri="http://schemas.openxmlformats.org/drawingml/2006/picture">
                      <pic:pic xmlns:pic="http://schemas.openxmlformats.org/drawingml/2006/picture">
                        <pic:nvPicPr>
                          <pic:cNvPr id="63" name="图片_8"/>
                          <pic:cNvPicPr/>
                        </pic:nvPicPr>
                        <pic:blipFill>
                          <a:blip r:embed="rId40"/>
                          <a:stretch>
                            <a:fillRect/>
                          </a:stretch>
                        </pic:blipFill>
                        <pic:spPr>
                          <a:xfrm>
                            <a:off x="0" y="0"/>
                            <a:ext cx="1206500" cy="124206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D5F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26</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745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61B6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731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26</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16A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接待桌（2）</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61C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φ800*750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343A75B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1.基材：采用E0级多层板，游离甲醛释放量均达国家标准，台面厚度≥25MM，桌面边缘斜边油漆处理；                                                           </w:t>
            </w:r>
          </w:p>
          <w:p w14:paraId="7D6D239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2.贴面：采用优质耐磨三聚氢胺浸渍面纸，防火，并具阻燃、耐磨性强、清洁方便等特点；</w:t>
            </w:r>
          </w:p>
          <w:p w14:paraId="15EE831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3.支架：采用静电喷塑钢管和钢板，底盘实心钢板，配φ80mm圆管壁厚1.5mm，表面静电喷塑处理；耐腐、耐防锈，耐用；</w:t>
            </w:r>
          </w:p>
          <w:p w14:paraId="289A9B8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9E68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125730</wp:posOffset>
                  </wp:positionH>
                  <wp:positionV relativeFrom="paragraph">
                    <wp:posOffset>495300</wp:posOffset>
                  </wp:positionV>
                  <wp:extent cx="1178560" cy="935355"/>
                  <wp:effectExtent l="0" t="0" r="2540" b="17145"/>
                  <wp:wrapNone/>
                  <wp:docPr id="46" name="图片_7"/>
                  <wp:cNvGraphicFramePr/>
                  <a:graphic xmlns:a="http://schemas.openxmlformats.org/drawingml/2006/main">
                    <a:graphicData uri="http://schemas.openxmlformats.org/drawingml/2006/picture">
                      <pic:pic xmlns:pic="http://schemas.openxmlformats.org/drawingml/2006/picture">
                        <pic:nvPicPr>
                          <pic:cNvPr id="46" name="图片_7"/>
                          <pic:cNvPicPr/>
                        </pic:nvPicPr>
                        <pic:blipFill>
                          <a:blip r:embed="rId41"/>
                          <a:stretch>
                            <a:fillRect/>
                          </a:stretch>
                        </pic:blipFill>
                        <pic:spPr>
                          <a:xfrm>
                            <a:off x="0" y="0"/>
                            <a:ext cx="1178560" cy="93535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06B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3B5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53854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DC1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27</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28F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阅览椅</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FB5E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630*525*760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0C12BE9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1.框架：采用优质白蜡木实木制作，所有木材都进行烘干及防蛀处理，木材含水率8-12%；无腐朽、无虫眼、无死结；</w:t>
            </w:r>
          </w:p>
          <w:p w14:paraId="72E0A8A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2.饰面：采用优质牛皮饰面，厚度≥1.0mm，经液态浸色及防潮、防污等工艺处理，皮面更加柔软舒适、光泽持久性好，纹理细腻，耐磨损；</w:t>
            </w:r>
          </w:p>
          <w:p w14:paraId="7688E0A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3.油漆：采用水性漆；</w:t>
            </w:r>
          </w:p>
          <w:p w14:paraId="314BE7A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4.海绵：采用优质高弹阻燃海绵，软硬适中、不变形、回弹性好、抗疲劳能力强、坐感舒适.表面涂有防止老化变形的保护膜;</w:t>
            </w:r>
          </w:p>
          <w:p w14:paraId="5A6502F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45A4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107950</wp:posOffset>
                  </wp:positionH>
                  <wp:positionV relativeFrom="paragraph">
                    <wp:posOffset>130175</wp:posOffset>
                  </wp:positionV>
                  <wp:extent cx="1005840" cy="1510665"/>
                  <wp:effectExtent l="0" t="0" r="3810" b="13335"/>
                  <wp:wrapNone/>
                  <wp:docPr id="64" name="图片_28"/>
                  <wp:cNvGraphicFramePr/>
                  <a:graphic xmlns:a="http://schemas.openxmlformats.org/drawingml/2006/main">
                    <a:graphicData uri="http://schemas.openxmlformats.org/drawingml/2006/picture">
                      <pic:pic xmlns:pic="http://schemas.openxmlformats.org/drawingml/2006/picture">
                        <pic:nvPicPr>
                          <pic:cNvPr id="64" name="图片_28"/>
                          <pic:cNvPicPr/>
                        </pic:nvPicPr>
                        <pic:blipFill>
                          <a:blip r:embed="rId42"/>
                          <a:stretch>
                            <a:fillRect/>
                          </a:stretch>
                        </pic:blipFill>
                        <pic:spPr>
                          <a:xfrm>
                            <a:off x="0" y="0"/>
                            <a:ext cx="1005840" cy="151066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9B5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50</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F17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r>
      <w:tr w14:paraId="0ACEA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EB9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28</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EE6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自修桌</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794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1200*450*760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1CC083B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1.基材：采用E0级多层板，游离甲醛释放量均达国家标准；                                                             </w:t>
            </w:r>
          </w:p>
          <w:p w14:paraId="1644AD9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2.贴面：采用优质耐磨三聚氢胺浸渍面纸，防火，并具阻燃、耐磨性强、清洁方便等特点；台面板厚度：36mm；</w:t>
            </w:r>
          </w:p>
          <w:p w14:paraId="59B73ED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3.五金：优质五金件；</w:t>
            </w:r>
          </w:p>
          <w:p w14:paraId="0C28EC4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4.封边：同色PVC封边条； </w:t>
            </w:r>
          </w:p>
          <w:p w14:paraId="37BF0AC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5.功能要求：台面厚度≥25mm，其余板材厚度≥16mm，含置物层；</w:t>
            </w:r>
          </w:p>
          <w:p w14:paraId="69220DE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8DC1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149225</wp:posOffset>
                  </wp:positionV>
                  <wp:extent cx="1301115" cy="1292225"/>
                  <wp:effectExtent l="0" t="0" r="13335" b="3175"/>
                  <wp:wrapNone/>
                  <wp:docPr id="75" name="图片_40"/>
                  <wp:cNvGraphicFramePr/>
                  <a:graphic xmlns:a="http://schemas.openxmlformats.org/drawingml/2006/main">
                    <a:graphicData uri="http://schemas.openxmlformats.org/drawingml/2006/picture">
                      <pic:pic xmlns:pic="http://schemas.openxmlformats.org/drawingml/2006/picture">
                        <pic:nvPicPr>
                          <pic:cNvPr id="75" name="图片_40"/>
                          <pic:cNvPicPr/>
                        </pic:nvPicPr>
                        <pic:blipFill>
                          <a:blip r:embed="rId43"/>
                          <a:stretch>
                            <a:fillRect/>
                          </a:stretch>
                        </pic:blipFill>
                        <pic:spPr>
                          <a:xfrm>
                            <a:off x="0" y="0"/>
                            <a:ext cx="1301115" cy="129222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B41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5B6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708FC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777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29</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6C1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书桌</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37B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1200*550*770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4E0EF60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1.基材：采用E0级多层板，游离甲醛释放量均达国家标准，台面厚度≥25mm,背板及其余板材厚度≥16mm；</w:t>
            </w:r>
          </w:p>
          <w:p w14:paraId="23284D1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2.贴面：采用优质耐磨三聚氢胺浸渍面纸，防火，并具阻燃、耐磨性强、清洁方便等特点；</w:t>
            </w:r>
          </w:p>
          <w:p w14:paraId="2EFE9E2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3.五金：优质五金件；</w:t>
            </w:r>
          </w:p>
          <w:p w14:paraId="0174A2F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4.封边：同色PVC封边条； </w:t>
            </w:r>
          </w:p>
          <w:p w14:paraId="5EF3CEC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5.成品：要求且不得出现可能产生危害的、危险性的、可触及的边部或尖端等.</w:t>
            </w:r>
          </w:p>
          <w:p w14:paraId="3EA1F12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6.功能：配置支撑敞开主机柜，桌面开过线孔，桌子内部具备走线功能。</w:t>
            </w:r>
          </w:p>
          <w:p w14:paraId="55E3082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CF8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313690</wp:posOffset>
                  </wp:positionV>
                  <wp:extent cx="1156970" cy="1042670"/>
                  <wp:effectExtent l="0" t="0" r="5080" b="5080"/>
                  <wp:wrapNone/>
                  <wp:docPr id="72" name="图片_36"/>
                  <wp:cNvGraphicFramePr/>
                  <a:graphic xmlns:a="http://schemas.openxmlformats.org/drawingml/2006/main">
                    <a:graphicData uri="http://schemas.openxmlformats.org/drawingml/2006/picture">
                      <pic:pic xmlns:pic="http://schemas.openxmlformats.org/drawingml/2006/picture">
                        <pic:nvPicPr>
                          <pic:cNvPr id="72" name="图片_36"/>
                          <pic:cNvPicPr/>
                        </pic:nvPicPr>
                        <pic:blipFill>
                          <a:blip r:embed="rId44"/>
                          <a:stretch>
                            <a:fillRect/>
                          </a:stretch>
                        </pic:blipFill>
                        <pic:spPr>
                          <a:xfrm>
                            <a:off x="0" y="0"/>
                            <a:ext cx="1156970" cy="104267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748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9B0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678E5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5F0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30</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E7B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团员活动桌 </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380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1500*600*745</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79F0764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1.桌面尺寸：1500*600*25mm，挡板尺寸：1300*300*18mm优质环保E0级多层板表面贴优质三聚氰胺饰面板，表面具有耐磨、耐划痕、耐酸碱、耐烫、耐污染的特性;</w:t>
            </w:r>
          </w:p>
          <w:p w14:paraId="52818D6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桌脚采用铝合金压铸成型，立柱采用采用≥φ58*2.3mm铝材，挤出成型工艺制作。左右桌架连接管采用铝合金压铸成型，伸缩横梁采用逼紧式结构连接左右两脚，无焊点外观简洁折装不损坏，材质为铝材挤出工艺制作，挡板连接件为上下四件，同步运动。翻转处采用了静音设计，采用了</w:t>
            </w:r>
            <w:bookmarkStart w:id="10" w:name="OLE_LINK1"/>
            <w:r>
              <w:rPr>
                <w:rFonts w:hint="eastAsia" w:asciiTheme="minorEastAsia" w:hAnsiTheme="minorEastAsia" w:eastAsiaTheme="minorEastAsia" w:cstheme="minorEastAsia"/>
                <w:i w:val="0"/>
                <w:iCs w:val="0"/>
                <w:color w:val="auto"/>
                <w:kern w:val="0"/>
                <w:sz w:val="21"/>
                <w:szCs w:val="21"/>
                <w:highlight w:val="none"/>
                <w:u w:val="none"/>
                <w:lang w:val="en-US" w:eastAsia="zh-CN" w:bidi="ar"/>
              </w:rPr>
              <w:t>POM垫圈</w:t>
            </w:r>
            <w:bookmarkEnd w:id="10"/>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，桌脚下方4个万向PU静音轮，带刹车定位功能;</w:t>
            </w:r>
          </w:p>
          <w:p w14:paraId="4988DF6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3.桌板拼接连接件：锌合金材质;</w:t>
            </w:r>
          </w:p>
          <w:p w14:paraId="241C6E9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4.桌面可翻转结构，收起后角度为85~88度，闲置时可减小占地面积，方便收纳;</w:t>
            </w:r>
          </w:p>
          <w:p w14:paraId="39FD88A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EF94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53975</wp:posOffset>
                  </wp:positionH>
                  <wp:positionV relativeFrom="paragraph">
                    <wp:posOffset>-240665</wp:posOffset>
                  </wp:positionV>
                  <wp:extent cx="1223645" cy="1523365"/>
                  <wp:effectExtent l="0" t="0" r="14605" b="635"/>
                  <wp:wrapNone/>
                  <wp:docPr id="70" name="图片_35"/>
                  <wp:cNvGraphicFramePr/>
                  <a:graphic xmlns:a="http://schemas.openxmlformats.org/drawingml/2006/main">
                    <a:graphicData uri="http://schemas.openxmlformats.org/drawingml/2006/picture">
                      <pic:pic xmlns:pic="http://schemas.openxmlformats.org/drawingml/2006/picture">
                        <pic:nvPicPr>
                          <pic:cNvPr id="70" name="图片_35"/>
                          <pic:cNvPicPr/>
                        </pic:nvPicPr>
                        <pic:blipFill>
                          <a:blip r:embed="rId45"/>
                          <a:stretch>
                            <a:fillRect/>
                          </a:stretch>
                        </pic:blipFill>
                        <pic:spPr>
                          <a:xfrm>
                            <a:off x="0" y="0"/>
                            <a:ext cx="1223645" cy="152336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A51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A14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2E90D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6BA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31</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149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三人接待公区沙发（1）</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30F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2200*840*910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0F1C62D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1.面料：采用牛皮饰面；</w:t>
            </w:r>
          </w:p>
          <w:p w14:paraId="2CD664F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2.海绵：采用高回弹定型海绵；</w:t>
            </w:r>
          </w:p>
          <w:p w14:paraId="7591BDB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3.框架：内框架采用优质青松木框架，木材防虫防腐处理，六面抛光，光滑不粗糙；</w:t>
            </w:r>
          </w:p>
          <w:p w14:paraId="10405DE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4.实木脚；</w:t>
            </w:r>
          </w:p>
          <w:p w14:paraId="675BDA2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E2F5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374650</wp:posOffset>
                  </wp:positionH>
                  <wp:positionV relativeFrom="paragraph">
                    <wp:posOffset>40640</wp:posOffset>
                  </wp:positionV>
                  <wp:extent cx="1048385" cy="1710055"/>
                  <wp:effectExtent l="0" t="0" r="18415" b="4445"/>
                  <wp:wrapNone/>
                  <wp:docPr id="71" name="图片_42"/>
                  <wp:cNvGraphicFramePr/>
                  <a:graphic xmlns:a="http://schemas.openxmlformats.org/drawingml/2006/main">
                    <a:graphicData uri="http://schemas.openxmlformats.org/drawingml/2006/picture">
                      <pic:pic xmlns:pic="http://schemas.openxmlformats.org/drawingml/2006/picture">
                        <pic:nvPicPr>
                          <pic:cNvPr id="71" name="图片_42"/>
                          <pic:cNvPicPr/>
                        </pic:nvPicPr>
                        <pic:blipFill>
                          <a:blip r:embed="rId46"/>
                          <a:stretch>
                            <a:fillRect/>
                          </a:stretch>
                        </pic:blipFill>
                        <pic:spPr>
                          <a:xfrm>
                            <a:off x="0" y="0"/>
                            <a:ext cx="1048385" cy="171005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039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20</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F54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6B19F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66C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32</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F25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单人接待公区沙发（1）</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0629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1040*840*910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52299E2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1.面料：采用牛皮饰面；</w:t>
            </w:r>
          </w:p>
          <w:p w14:paraId="7A2916D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2.海绵：采用高回弹定型海绵；</w:t>
            </w:r>
          </w:p>
          <w:p w14:paraId="3F56C8A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3.框架：内框架采用优质青松木框架，木材防虫防腐处理，六面抛光，光滑不粗糙；</w:t>
            </w:r>
          </w:p>
          <w:p w14:paraId="4F59189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4.实木脚；</w:t>
            </w:r>
          </w:p>
          <w:p w14:paraId="3A99EBA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EF31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wp:posOffset>
                  </wp:positionH>
                  <wp:positionV relativeFrom="paragraph">
                    <wp:posOffset>-349250</wp:posOffset>
                  </wp:positionV>
                  <wp:extent cx="1266190" cy="1351280"/>
                  <wp:effectExtent l="0" t="0" r="10160" b="1270"/>
                  <wp:wrapNone/>
                  <wp:docPr id="74" name="图片_43"/>
                  <wp:cNvGraphicFramePr/>
                  <a:graphic xmlns:a="http://schemas.openxmlformats.org/drawingml/2006/main">
                    <a:graphicData uri="http://schemas.openxmlformats.org/drawingml/2006/picture">
                      <pic:pic xmlns:pic="http://schemas.openxmlformats.org/drawingml/2006/picture">
                        <pic:nvPicPr>
                          <pic:cNvPr id="74" name="图片_43"/>
                          <pic:cNvPicPr/>
                        </pic:nvPicPr>
                        <pic:blipFill>
                          <a:blip r:embed="rId47"/>
                          <a:stretch>
                            <a:fillRect/>
                          </a:stretch>
                        </pic:blipFill>
                        <pic:spPr>
                          <a:xfrm>
                            <a:off x="0" y="0"/>
                            <a:ext cx="1266190" cy="135128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F0F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95F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45517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377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33</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3F4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单人接待公区沙发（2）</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D3F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1070*930*900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5650FF8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1.框架：实木框架，所有木材都进行烘干及防蛀处理，木材含水率8-12%；无腐朽、无虫眼、无死结；</w:t>
            </w:r>
          </w:p>
          <w:p w14:paraId="43975A7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2.饰面：采用优质头层牛皮饰面，厚度≥1.0mm，经液态浸色及防潮、防污等工艺处理，皮面更加柔软舒适、光泽持久性好，纹理细腻，耐磨损；</w:t>
            </w:r>
          </w:p>
          <w:p w14:paraId="162F350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3.油漆：采用水性漆；</w:t>
            </w:r>
          </w:p>
          <w:p w14:paraId="0BDA015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4.海绵：采用优质高弹阻燃海绵，软硬适中、不变形、回弹性好、抗疲劳能力强、坐感舒适.表面涂有防止老化变形的保护膜;</w:t>
            </w:r>
          </w:p>
          <w:p w14:paraId="018984A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01EF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96520</wp:posOffset>
                  </wp:positionH>
                  <wp:positionV relativeFrom="paragraph">
                    <wp:posOffset>818515</wp:posOffset>
                  </wp:positionV>
                  <wp:extent cx="1296035" cy="986790"/>
                  <wp:effectExtent l="0" t="0" r="18415" b="3810"/>
                  <wp:wrapNone/>
                  <wp:docPr id="73" name="图片_10"/>
                  <wp:cNvGraphicFramePr/>
                  <a:graphic xmlns:a="http://schemas.openxmlformats.org/drawingml/2006/main">
                    <a:graphicData uri="http://schemas.openxmlformats.org/drawingml/2006/picture">
                      <pic:pic xmlns:pic="http://schemas.openxmlformats.org/drawingml/2006/picture">
                        <pic:nvPicPr>
                          <pic:cNvPr id="73" name="图片_10"/>
                          <pic:cNvPicPr/>
                        </pic:nvPicPr>
                        <pic:blipFill>
                          <a:blip r:embed="rId48"/>
                          <a:stretch>
                            <a:fillRect/>
                          </a:stretch>
                        </pic:blipFill>
                        <pic:spPr>
                          <a:xfrm>
                            <a:off x="0" y="0"/>
                            <a:ext cx="1296035" cy="98679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B60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24</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E85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0B03B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AB1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34</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129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定制茶几</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2D2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600*600*550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0AD5AF0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1.面材：采用优质天然实木木皮贴面，木皮厚度≥0.6mm；</w:t>
            </w:r>
          </w:p>
          <w:p w14:paraId="5313B3C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2.基材：采用E0级中纤板，各项性能均优于国家标准；</w:t>
            </w:r>
          </w:p>
          <w:p w14:paraId="0BFE8D4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3.油漆：油性木器涂料涂饰，采用五底三面涂饰工艺，符合国家标准；</w:t>
            </w:r>
          </w:p>
          <w:p w14:paraId="1774101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4.胶水：采用环保白乳胶；</w:t>
            </w:r>
          </w:p>
          <w:p w14:paraId="64B2211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9A451">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8A0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15</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0DD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6F290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4A5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35</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3DE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单人接待公区长定制茶几（1）</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9C4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1200*600*420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66F1CBC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1.面材：采用优质天然实木木皮贴面，木皮厚度≥0.6mm；</w:t>
            </w:r>
          </w:p>
          <w:p w14:paraId="3AE6121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2.基材：采用E0级多层板，各项性能均优于国家标准；</w:t>
            </w:r>
          </w:p>
          <w:p w14:paraId="08608C7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3.油漆：油性木器涂料涂饰，采用五底三面涂饰工艺，符合国家标准；</w:t>
            </w:r>
          </w:p>
          <w:p w14:paraId="32717AA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4.胶水：采用环保白乳胶；</w:t>
            </w:r>
          </w:p>
          <w:p w14:paraId="6E6FF0C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012E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370205</wp:posOffset>
                  </wp:positionH>
                  <wp:positionV relativeFrom="paragraph">
                    <wp:posOffset>3119120</wp:posOffset>
                  </wp:positionV>
                  <wp:extent cx="1113155" cy="1353820"/>
                  <wp:effectExtent l="0" t="0" r="10795" b="17780"/>
                  <wp:wrapNone/>
                  <wp:docPr id="31" name="图片_13"/>
                  <wp:cNvGraphicFramePr/>
                  <a:graphic xmlns:a="http://schemas.openxmlformats.org/drawingml/2006/main">
                    <a:graphicData uri="http://schemas.openxmlformats.org/drawingml/2006/picture">
                      <pic:pic xmlns:pic="http://schemas.openxmlformats.org/drawingml/2006/picture">
                        <pic:nvPicPr>
                          <pic:cNvPr id="31" name="图片_13"/>
                          <pic:cNvPicPr/>
                        </pic:nvPicPr>
                        <pic:blipFill>
                          <a:blip r:embed="rId49"/>
                          <a:stretch>
                            <a:fillRect/>
                          </a:stretch>
                        </pic:blipFill>
                        <pic:spPr>
                          <a:xfrm>
                            <a:off x="0" y="0"/>
                            <a:ext cx="1113155" cy="135382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107950</wp:posOffset>
                  </wp:positionH>
                  <wp:positionV relativeFrom="paragraph">
                    <wp:posOffset>202565</wp:posOffset>
                  </wp:positionV>
                  <wp:extent cx="1125220" cy="1525270"/>
                  <wp:effectExtent l="0" t="0" r="17780" b="17780"/>
                  <wp:wrapNone/>
                  <wp:docPr id="36" name="图片_9"/>
                  <wp:cNvGraphicFramePr/>
                  <a:graphic xmlns:a="http://schemas.openxmlformats.org/drawingml/2006/main">
                    <a:graphicData uri="http://schemas.openxmlformats.org/drawingml/2006/picture">
                      <pic:pic xmlns:pic="http://schemas.openxmlformats.org/drawingml/2006/picture">
                        <pic:nvPicPr>
                          <pic:cNvPr id="36" name="图片_9"/>
                          <pic:cNvPicPr/>
                        </pic:nvPicPr>
                        <pic:blipFill>
                          <a:blip r:embed="rId50"/>
                          <a:stretch>
                            <a:fillRect/>
                          </a:stretch>
                        </pic:blipFill>
                        <pic:spPr>
                          <a:xfrm>
                            <a:off x="0" y="0"/>
                            <a:ext cx="1125220" cy="152527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886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92F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73B1D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A73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36</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756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方定制茶几（1）</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0BD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600*600*420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7F5282E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1.面材：采用优质天然实木木皮贴面，木皮厚度≥0.6mm；</w:t>
            </w:r>
          </w:p>
          <w:p w14:paraId="2EB39FC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2.基材：采用E0级多层板，各项性能均优于国家标准；</w:t>
            </w:r>
          </w:p>
          <w:p w14:paraId="01ADB5D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3.油漆：油性木器涂料涂饰，采用三底五面涂饰工艺，符合国家标准；</w:t>
            </w:r>
          </w:p>
          <w:p w14:paraId="78A94FE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4.胶水：采用环保白乳胶；</w:t>
            </w:r>
          </w:p>
          <w:p w14:paraId="2F9E2E1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BF3AE">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A50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229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6FD0E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4CD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37</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19CB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接待三位沙发</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959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2310*950*800</w:t>
            </w:r>
          </w:p>
        </w:tc>
        <w:tc>
          <w:tcPr>
            <w:tcW w:w="2515"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3A1814D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1.框架：采用实木制作，所有木材都进行烘干及防蛀处理，木材含水率8-12%；无腐朽、无虫眼、无死结；</w:t>
            </w:r>
          </w:p>
          <w:p w14:paraId="0D9A321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2.饰面：采用优质头层牛皮饰面，厚度≥1.0mm，经液态浸色及防潮、防污等工艺处理，皮面更加柔软舒适、光泽持久性好，纹理细腻，耐磨损；</w:t>
            </w:r>
          </w:p>
          <w:p w14:paraId="021F370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3.油漆：采用水性漆；</w:t>
            </w:r>
          </w:p>
          <w:p w14:paraId="7AD70A5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4.海绵：采用优质高弹阻燃海绵，软硬适中、不变形、回弹性好、抗疲劳能力强、坐感舒适.表面涂有防止老化变形的保护膜;</w:t>
            </w:r>
          </w:p>
          <w:p w14:paraId="20D69CB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F023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09F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273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62E23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8D7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38</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F0A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接待单位沙发</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C76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1070*950*800</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83D2261">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8BB15">
            <w:pP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031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785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5F4A2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EC1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39</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8B0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方定制茶几（2）</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482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1600*1600*450</w:t>
            </w:r>
          </w:p>
        </w:tc>
        <w:tc>
          <w:tcPr>
            <w:tcW w:w="2515"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6F3F533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1.面材：采用优质天然实木木皮贴面，木皮厚度≥0.6mm；</w:t>
            </w:r>
          </w:p>
          <w:p w14:paraId="0B77FB3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2.基材：采用E0级密度板，各项性能均优于国家标准；</w:t>
            </w:r>
          </w:p>
          <w:p w14:paraId="1AE77BC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3.油漆：油性木器涂料涂饰，采用五底三面涂饰工艺，符合国家标准；</w:t>
            </w:r>
          </w:p>
          <w:p w14:paraId="5C7E401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4.胶水：采用环保白乳胶；</w:t>
            </w:r>
          </w:p>
          <w:p w14:paraId="663DBAA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5.配件：优质五金配件；</w:t>
            </w:r>
          </w:p>
          <w:p w14:paraId="3E53A91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6.颜色：颜色可定制；</w:t>
            </w:r>
          </w:p>
        </w:tc>
        <w:tc>
          <w:tcPr>
            <w:tcW w:w="7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8E93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153035</wp:posOffset>
                  </wp:positionH>
                  <wp:positionV relativeFrom="paragraph">
                    <wp:posOffset>190500</wp:posOffset>
                  </wp:positionV>
                  <wp:extent cx="1038225" cy="1351915"/>
                  <wp:effectExtent l="0" t="0" r="9525" b="635"/>
                  <wp:wrapNone/>
                  <wp:docPr id="39" name="图片_140"/>
                  <wp:cNvGraphicFramePr/>
                  <a:graphic xmlns:a="http://schemas.openxmlformats.org/drawingml/2006/main">
                    <a:graphicData uri="http://schemas.openxmlformats.org/drawingml/2006/picture">
                      <pic:pic xmlns:pic="http://schemas.openxmlformats.org/drawingml/2006/picture">
                        <pic:nvPicPr>
                          <pic:cNvPr id="39" name="图片_140"/>
                          <pic:cNvPicPr/>
                        </pic:nvPicPr>
                        <pic:blipFill>
                          <a:blip r:embed="rId51"/>
                          <a:stretch>
                            <a:fillRect/>
                          </a:stretch>
                        </pic:blipFill>
                        <pic:spPr>
                          <a:xfrm>
                            <a:off x="0" y="0"/>
                            <a:ext cx="1038225" cy="135191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44D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7EB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438CE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CD61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40</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601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方定制茶几（3）</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325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700*700*450</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2BBF542">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1BABCF">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A55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AD8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135BE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1ED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41</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C99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三人接待公区沙发（2）</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8F8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2070*870*920</w:t>
            </w:r>
          </w:p>
        </w:tc>
        <w:tc>
          <w:tcPr>
            <w:tcW w:w="2515"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626B277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1.主体框架：进口白蜡木；</w:t>
            </w:r>
          </w:p>
          <w:p w14:paraId="1A21BCB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2.扶手与靠背：实木镶实木多层板贴胡桃木山纹木皮，扶手外侧贴板材雕花件喷金；</w:t>
            </w:r>
          </w:p>
          <w:p w14:paraId="0598BD8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3.座包与靠背软包：高密度海绵扪头层牛皮（抱枕布艺带刺绣）；</w:t>
            </w:r>
          </w:p>
          <w:p w14:paraId="5DAC3CD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4.靠头与前方：加装铜色五金套；</w:t>
            </w:r>
          </w:p>
          <w:p w14:paraId="663BD86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5.靠背：无雕刻铜件；</w:t>
            </w:r>
          </w:p>
          <w:p w14:paraId="2B06DFF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6.抱枕、扶手圆枕：优质布艺；</w:t>
            </w:r>
          </w:p>
          <w:p w14:paraId="086A867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7.油漆：环保油漆封闭漆，五底三面工艺；</w:t>
            </w:r>
          </w:p>
          <w:p w14:paraId="6E997B1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8.颜色：颜色可定制；</w:t>
            </w:r>
          </w:p>
        </w:tc>
        <w:tc>
          <w:tcPr>
            <w:tcW w:w="7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3E1A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711200</wp:posOffset>
                  </wp:positionH>
                  <wp:positionV relativeFrom="paragraph">
                    <wp:posOffset>320040</wp:posOffset>
                  </wp:positionV>
                  <wp:extent cx="910590" cy="1840230"/>
                  <wp:effectExtent l="0" t="0" r="3810" b="7620"/>
                  <wp:wrapNone/>
                  <wp:docPr id="20" name="图片_11"/>
                  <wp:cNvGraphicFramePr/>
                  <a:graphic xmlns:a="http://schemas.openxmlformats.org/drawingml/2006/main">
                    <a:graphicData uri="http://schemas.openxmlformats.org/drawingml/2006/picture">
                      <pic:pic xmlns:pic="http://schemas.openxmlformats.org/drawingml/2006/picture">
                        <pic:nvPicPr>
                          <pic:cNvPr id="20" name="图片_11"/>
                          <pic:cNvPicPr/>
                        </pic:nvPicPr>
                        <pic:blipFill>
                          <a:blip r:embed="rId52"/>
                          <a:stretch>
                            <a:fillRect/>
                          </a:stretch>
                        </pic:blipFill>
                        <pic:spPr>
                          <a:xfrm>
                            <a:off x="0" y="0"/>
                            <a:ext cx="910590" cy="184023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AFD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3F9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33DE5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8D3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42</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6F2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单人接待公区沙发（3）</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D43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860*870*920</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488BC5F">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4BD25">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E43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657E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58F90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600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43</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447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单人接待公区长定制茶几（2）</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3B2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1360*700*500</w:t>
            </w:r>
          </w:p>
        </w:tc>
        <w:tc>
          <w:tcPr>
            <w:tcW w:w="2515"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7CA2D6E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1.主体框架：进口白蜡木；</w:t>
            </w:r>
          </w:p>
          <w:p w14:paraId="320469F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2.面板：实木多层板贴胡桃木山纹木皮；</w:t>
            </w:r>
          </w:p>
          <w:p w14:paraId="0852D4F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3.圆柱：配铜色五金脚套；</w:t>
            </w:r>
          </w:p>
          <w:p w14:paraId="6878E3D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4.油漆：环保油漆封闭漆，五底三面工艺；</w:t>
            </w:r>
          </w:p>
          <w:p w14:paraId="06015DE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8B9EF">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EF2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E40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761BA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324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44</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813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方定制茶几（4）</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177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600*600*550</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F9A42E6">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A1632">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AA9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9A3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42EDF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40D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45</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9B6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三人接待公区沙发（3）</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27F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2440*940*860</w:t>
            </w:r>
          </w:p>
        </w:tc>
        <w:tc>
          <w:tcPr>
            <w:tcW w:w="2515"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36E1102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1.框架：采用优质白蜡木实木制作，所有木材都进行烘干及防蛀处理，木材含水率8-12%；无腐朽、无虫眼、无死结；</w:t>
            </w:r>
          </w:p>
          <w:p w14:paraId="5A858D5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2.饰面：采用优质头层牛皮饰面，厚度≥1.0mm，经液态浸色及防潮、防污等工艺处理，皮面更加柔软舒适、光泽持久性好，纹理细腻，耐磨损；</w:t>
            </w:r>
          </w:p>
          <w:p w14:paraId="3A3E387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3.油漆：采用水性漆；</w:t>
            </w:r>
          </w:p>
          <w:p w14:paraId="376E4C8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4.海绵：采用优质高弹阻燃海绵，软硬适中、不变形、回弹性好、抗疲劳能力强、坐感舒适.表面涂有防止老化变形的保护膜;</w:t>
            </w:r>
          </w:p>
          <w:p w14:paraId="560C77C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6961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398780</wp:posOffset>
                  </wp:positionH>
                  <wp:positionV relativeFrom="paragraph">
                    <wp:posOffset>655955</wp:posOffset>
                  </wp:positionV>
                  <wp:extent cx="1215390" cy="1800225"/>
                  <wp:effectExtent l="0" t="0" r="3810" b="9525"/>
                  <wp:wrapNone/>
                  <wp:docPr id="30" name="图片_14"/>
                  <wp:cNvGraphicFramePr/>
                  <a:graphic xmlns:a="http://schemas.openxmlformats.org/drawingml/2006/main">
                    <a:graphicData uri="http://schemas.openxmlformats.org/drawingml/2006/picture">
                      <pic:pic xmlns:pic="http://schemas.openxmlformats.org/drawingml/2006/picture">
                        <pic:nvPicPr>
                          <pic:cNvPr id="30" name="图片_14"/>
                          <pic:cNvPicPr/>
                        </pic:nvPicPr>
                        <pic:blipFill>
                          <a:blip r:embed="rId53"/>
                          <a:stretch>
                            <a:fillRect/>
                          </a:stretch>
                        </pic:blipFill>
                        <pic:spPr>
                          <a:xfrm>
                            <a:off x="0" y="0"/>
                            <a:ext cx="1215390" cy="180022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81B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16</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F4E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579EE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F54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46</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541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单人接待公区沙发（4）</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1F8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940*940*860</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151CC80">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2E8ADF">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840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16</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7CB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24D82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07C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47</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27E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单人接待公区长定制茶几（3）</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8FF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1500*900*450</w:t>
            </w:r>
          </w:p>
        </w:tc>
        <w:tc>
          <w:tcPr>
            <w:tcW w:w="2515"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2E502B0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1.框架：采用优质白蜡木实木制作，所有木材都进行烘干及防蛀处理，木材含水率8-12%；无腐朽、无虫眼、无死结；</w:t>
            </w:r>
          </w:p>
          <w:p w14:paraId="296E500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2.面板：实木多层板贴胡桃木山纹木皮；</w:t>
            </w:r>
          </w:p>
          <w:p w14:paraId="3572944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3.油漆：采用水性漆；</w:t>
            </w:r>
          </w:p>
          <w:p w14:paraId="6FC6DF4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4.颜色：颜色可定制；</w:t>
            </w: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2DD01">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0B6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146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r>
      <w:tr w14:paraId="33362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E83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48</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B42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单人接待公区长定边几</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04E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550*550*580</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600877C">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1BCB9">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360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16</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46B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r>
      <w:tr w14:paraId="77E73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BF3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49</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953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弧形组合接待沙发</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299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2300*1150*900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62ACDFA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4.基材：采用E0级多层板，游离甲醛释放量均达国家标准，所有层板厚度≥25mm,每层定制书架内高度≥35mm；                                                           </w:t>
            </w:r>
          </w:p>
          <w:p w14:paraId="18A9D50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2.贴面：采用优质耐磨三聚氢胺浸渍面纸，防火，并具阻燃、耐磨性强、清洁方便等特点；</w:t>
            </w:r>
          </w:p>
          <w:p w14:paraId="5A67636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3.五金：优质五金件；</w:t>
            </w:r>
          </w:p>
          <w:p w14:paraId="73380DF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4.封边：同色PVC封边条； </w:t>
            </w:r>
          </w:p>
          <w:p w14:paraId="4B24AE5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5.座面及靠背：采用优质牛皮面料，手感柔软、细腻、有韧性；富有弹性;（内部采用高弹海绵及箱体）</w:t>
            </w:r>
          </w:p>
          <w:p w14:paraId="6030FA8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6.成品：要求且不得出现可能产生危害的、危险性的、可触及的边部或尖端等;</w:t>
            </w:r>
          </w:p>
          <w:p w14:paraId="2E037FF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DE9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133985</wp:posOffset>
                  </wp:positionH>
                  <wp:positionV relativeFrom="paragraph">
                    <wp:posOffset>65405</wp:posOffset>
                  </wp:positionV>
                  <wp:extent cx="1089660" cy="978535"/>
                  <wp:effectExtent l="0" t="0" r="15240" b="12065"/>
                  <wp:wrapNone/>
                  <wp:docPr id="40" name="图片_5"/>
                  <wp:cNvGraphicFramePr/>
                  <a:graphic xmlns:a="http://schemas.openxmlformats.org/drawingml/2006/main">
                    <a:graphicData uri="http://schemas.openxmlformats.org/drawingml/2006/picture">
                      <pic:pic xmlns:pic="http://schemas.openxmlformats.org/drawingml/2006/picture">
                        <pic:nvPicPr>
                          <pic:cNvPr id="40" name="图片_5"/>
                          <pic:cNvPicPr/>
                        </pic:nvPicPr>
                        <pic:blipFill>
                          <a:blip r:embed="rId54"/>
                          <a:stretch>
                            <a:fillRect/>
                          </a:stretch>
                        </pic:blipFill>
                        <pic:spPr>
                          <a:xfrm>
                            <a:off x="0" y="0"/>
                            <a:ext cx="1089660" cy="97853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4C7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DA5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2EEB7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DF4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50</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9A3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组合接待沙发（1）</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D27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2680*2200*660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72AFBCE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1.表面材质：上部优质国产仿羊绒面料需经过三防处理，及棉麻面料下部优质西皮；</w:t>
            </w:r>
          </w:p>
          <w:p w14:paraId="2000536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2.内部材质：进口新西兰松木及45密度高弹海绵；</w:t>
            </w:r>
          </w:p>
          <w:p w14:paraId="4635520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3.工艺：使用无苯胶粘剂粘接海绵，内部不使用废旧衬垫物；</w:t>
            </w:r>
          </w:p>
          <w:p w14:paraId="5420F3B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4.颜色：颜色可定制;</w:t>
            </w:r>
          </w:p>
          <w:p w14:paraId="5DCEA17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  </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152B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66675</wp:posOffset>
                  </wp:positionV>
                  <wp:extent cx="1047750" cy="1101725"/>
                  <wp:effectExtent l="0" t="0" r="0" b="3175"/>
                  <wp:wrapNone/>
                  <wp:docPr id="41" name="图片_146"/>
                  <wp:cNvGraphicFramePr/>
                  <a:graphic xmlns:a="http://schemas.openxmlformats.org/drawingml/2006/main">
                    <a:graphicData uri="http://schemas.openxmlformats.org/drawingml/2006/picture">
                      <pic:pic xmlns:pic="http://schemas.openxmlformats.org/drawingml/2006/picture">
                        <pic:nvPicPr>
                          <pic:cNvPr id="41" name="图片_146"/>
                          <pic:cNvPicPr/>
                        </pic:nvPicPr>
                        <pic:blipFill>
                          <a:blip r:embed="rId55"/>
                          <a:stretch>
                            <a:fillRect/>
                          </a:stretch>
                        </pic:blipFill>
                        <pic:spPr>
                          <a:xfrm>
                            <a:off x="0" y="0"/>
                            <a:ext cx="1047750" cy="110172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FCC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138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5EDFB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570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51</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957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组合接待沙发（2）</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37B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2300*1270*660</w:t>
            </w:r>
          </w:p>
        </w:tc>
        <w:tc>
          <w:tcPr>
            <w:tcW w:w="2515"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6641159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1.表面材质：上部优质国产仿羊绒面料需经过三防处理，及棉麻面料下部优质西皮；</w:t>
            </w:r>
          </w:p>
          <w:p w14:paraId="28DEF2C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2.内部材质：进口新西兰松木及45密度高弹海绵；</w:t>
            </w:r>
          </w:p>
          <w:p w14:paraId="7194C5E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3.工艺：使用无苯胶粘剂粘接海绵，内部不使用废旧衬垫物；</w:t>
            </w:r>
          </w:p>
          <w:p w14:paraId="1669A2E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4.颜色：颜色可定制；</w:t>
            </w:r>
          </w:p>
          <w:p w14:paraId="577625A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  </w:t>
            </w:r>
          </w:p>
        </w:tc>
        <w:tc>
          <w:tcPr>
            <w:tcW w:w="7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3EB5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238125</wp:posOffset>
                  </wp:positionV>
                  <wp:extent cx="1122680" cy="1247775"/>
                  <wp:effectExtent l="0" t="0" r="1270" b="9525"/>
                  <wp:wrapNone/>
                  <wp:docPr id="17" name="图片_145"/>
                  <wp:cNvGraphicFramePr/>
                  <a:graphic xmlns:a="http://schemas.openxmlformats.org/drawingml/2006/main">
                    <a:graphicData uri="http://schemas.openxmlformats.org/drawingml/2006/picture">
                      <pic:pic xmlns:pic="http://schemas.openxmlformats.org/drawingml/2006/picture">
                        <pic:nvPicPr>
                          <pic:cNvPr id="17" name="图片_145"/>
                          <pic:cNvPicPr/>
                        </pic:nvPicPr>
                        <pic:blipFill>
                          <a:blip r:embed="rId56"/>
                          <a:stretch>
                            <a:fillRect/>
                          </a:stretch>
                        </pic:blipFill>
                        <pic:spPr>
                          <a:xfrm>
                            <a:off x="0" y="0"/>
                            <a:ext cx="1122680" cy="124777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495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B83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7AC38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AEE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52</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25D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组合接待沙发（3）</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AD8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4950*1700*660</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0699AA7">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BEC996">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6CF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475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3D2D6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06A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53</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A23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组合接待沙发（4）</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8F0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2050*1960*710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4800316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1.表面材质：优质国产仿羊绒面料及棉麻面料；所有面料均需经过三防处理 ；</w:t>
            </w:r>
          </w:p>
          <w:p w14:paraId="425FD25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2.内部材质：优质环保15mm多层板及进口新西兰松木，坐棉采用45密度高弹海绵；</w:t>
            </w:r>
          </w:p>
          <w:p w14:paraId="6114894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3.工艺：内部不使用废旧衬垫物，采用无苯胶粘剂粘接海绵和丝绵；</w:t>
            </w:r>
          </w:p>
          <w:p w14:paraId="7FC1C07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4.颜色：颜色可定制;                   </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8C38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55880</wp:posOffset>
                  </wp:positionH>
                  <wp:positionV relativeFrom="paragraph">
                    <wp:posOffset>171450</wp:posOffset>
                  </wp:positionV>
                  <wp:extent cx="1156970" cy="927735"/>
                  <wp:effectExtent l="0" t="0" r="5080" b="5715"/>
                  <wp:wrapNone/>
                  <wp:docPr id="37" name="图片_18"/>
                  <wp:cNvGraphicFramePr/>
                  <a:graphic xmlns:a="http://schemas.openxmlformats.org/drawingml/2006/main">
                    <a:graphicData uri="http://schemas.openxmlformats.org/drawingml/2006/picture">
                      <pic:pic xmlns:pic="http://schemas.openxmlformats.org/drawingml/2006/picture">
                        <pic:nvPicPr>
                          <pic:cNvPr id="37" name="图片_18"/>
                          <pic:cNvPicPr/>
                        </pic:nvPicPr>
                        <pic:blipFill>
                          <a:blip r:embed="rId57"/>
                          <a:stretch>
                            <a:fillRect/>
                          </a:stretch>
                        </pic:blipFill>
                        <pic:spPr>
                          <a:xfrm>
                            <a:off x="0" y="0"/>
                            <a:ext cx="1156970" cy="92773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D54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FE6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06650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1A6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54</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527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定制茶几（1）</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C45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800*800*265</w:t>
            </w:r>
          </w:p>
        </w:tc>
        <w:tc>
          <w:tcPr>
            <w:tcW w:w="2515"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1134D88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1.采用优质环保E0级25mm厚中密度板，采用喷粉工艺；</w:t>
            </w:r>
          </w:p>
          <w:p w14:paraId="0BE28B3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2.中筒采用2mm厚钢板、模具成型，外包优质面料；</w:t>
            </w:r>
          </w:p>
          <w:p w14:paraId="5FC11C6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3.颜色：颜色可定制；</w:t>
            </w:r>
          </w:p>
        </w:tc>
        <w:tc>
          <w:tcPr>
            <w:tcW w:w="73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048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142240</wp:posOffset>
                  </wp:positionV>
                  <wp:extent cx="1146810" cy="478155"/>
                  <wp:effectExtent l="0" t="0" r="15240" b="17145"/>
                  <wp:wrapNone/>
                  <wp:docPr id="9" name="图片_29"/>
                  <wp:cNvGraphicFramePr/>
                  <a:graphic xmlns:a="http://schemas.openxmlformats.org/drawingml/2006/main">
                    <a:graphicData uri="http://schemas.openxmlformats.org/drawingml/2006/picture">
                      <pic:pic xmlns:pic="http://schemas.openxmlformats.org/drawingml/2006/picture">
                        <pic:nvPicPr>
                          <pic:cNvPr id="9" name="图片_29"/>
                          <pic:cNvPicPr/>
                        </pic:nvPicPr>
                        <pic:blipFill>
                          <a:blip r:embed="rId58"/>
                          <a:stretch>
                            <a:fillRect/>
                          </a:stretch>
                        </pic:blipFill>
                        <pic:spPr>
                          <a:xfrm>
                            <a:off x="0" y="0"/>
                            <a:ext cx="1146810" cy="47815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A7C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095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r>
      <w:tr w14:paraId="0CB7B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F7D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55</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99C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定制茶几（2）</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C53B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450*450*425</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B7D48BA">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F1D39">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490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265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r>
      <w:tr w14:paraId="7AD24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659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56</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868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定制茶几（3）</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677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700*700*380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6EDC137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1.整体采用优质环保E0级25mm厚中密度板，采用喷粉工艺；</w:t>
            </w:r>
          </w:p>
          <w:p w14:paraId="53AE75E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8BBF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163830</wp:posOffset>
                  </wp:positionH>
                  <wp:positionV relativeFrom="paragraph">
                    <wp:posOffset>20320</wp:posOffset>
                  </wp:positionV>
                  <wp:extent cx="907415" cy="902970"/>
                  <wp:effectExtent l="0" t="0" r="6985" b="11430"/>
                  <wp:wrapNone/>
                  <wp:docPr id="33" name="图片_30"/>
                  <wp:cNvGraphicFramePr/>
                  <a:graphic xmlns:a="http://schemas.openxmlformats.org/drawingml/2006/main">
                    <a:graphicData uri="http://schemas.openxmlformats.org/drawingml/2006/picture">
                      <pic:pic xmlns:pic="http://schemas.openxmlformats.org/drawingml/2006/picture">
                        <pic:nvPicPr>
                          <pic:cNvPr id="33" name="图片_30"/>
                          <pic:cNvPicPr/>
                        </pic:nvPicPr>
                        <pic:blipFill>
                          <a:blip r:embed="rId59"/>
                          <a:stretch>
                            <a:fillRect/>
                          </a:stretch>
                        </pic:blipFill>
                        <pic:spPr>
                          <a:xfrm>
                            <a:off x="0" y="0"/>
                            <a:ext cx="907415" cy="90297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FA2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B2D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r>
      <w:tr w14:paraId="1F2C3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3B3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57</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30D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组合沙发（1）</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BCE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2550*1400*705</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2568C4A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1.表面材质：优质国产仿羊绒面料，所有面料均需经过三防处理;                    </w:t>
            </w:r>
          </w:p>
          <w:p w14:paraId="2470FEC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2.内部材质：实木框架+定型切割海绵;</w:t>
            </w:r>
          </w:p>
          <w:p w14:paraId="7DE6999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3.侧          板：榉木材料，原木色，开放性油漆;</w:t>
            </w:r>
          </w:p>
          <w:p w14:paraId="7E5FA6C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4.脚          架：金属脚黑色喷粉;</w:t>
            </w:r>
          </w:p>
          <w:p w14:paraId="5F6EF4F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28B2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67310</wp:posOffset>
                  </wp:positionH>
                  <wp:positionV relativeFrom="paragraph">
                    <wp:posOffset>298450</wp:posOffset>
                  </wp:positionV>
                  <wp:extent cx="1188720" cy="1066800"/>
                  <wp:effectExtent l="0" t="0" r="11430" b="0"/>
                  <wp:wrapNone/>
                  <wp:docPr id="21" name="图片_32"/>
                  <wp:cNvGraphicFramePr/>
                  <a:graphic xmlns:a="http://schemas.openxmlformats.org/drawingml/2006/main">
                    <a:graphicData uri="http://schemas.openxmlformats.org/drawingml/2006/picture">
                      <pic:pic xmlns:pic="http://schemas.openxmlformats.org/drawingml/2006/picture">
                        <pic:nvPicPr>
                          <pic:cNvPr id="21" name="图片_32"/>
                          <pic:cNvPicPr/>
                        </pic:nvPicPr>
                        <pic:blipFill>
                          <a:blip r:embed="rId60"/>
                          <a:stretch>
                            <a:fillRect/>
                          </a:stretch>
                        </pic:blipFill>
                        <pic:spPr>
                          <a:xfrm>
                            <a:off x="0" y="0"/>
                            <a:ext cx="1188720" cy="106680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870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34A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637C8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87E9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58</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F7B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组合沙发（2）</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F46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6080*2450*705</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6773006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1.表面材质：优质国产仿羊绒面料，所有面料均需经过三防处理 ;                </w:t>
            </w:r>
          </w:p>
          <w:p w14:paraId="57399FB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2.内部材质：实木框架+定型切割海绵;</w:t>
            </w:r>
          </w:p>
          <w:p w14:paraId="7B57CDC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3.侧          板：榉木材料，原木色，开放性油漆;</w:t>
            </w:r>
          </w:p>
          <w:p w14:paraId="135B152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4.脚          架：金属脚黑色喷粉;</w:t>
            </w:r>
          </w:p>
          <w:p w14:paraId="2953B6C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D4F6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126365</wp:posOffset>
                  </wp:positionH>
                  <wp:positionV relativeFrom="paragraph">
                    <wp:posOffset>313690</wp:posOffset>
                  </wp:positionV>
                  <wp:extent cx="1007110" cy="971550"/>
                  <wp:effectExtent l="0" t="0" r="2540" b="0"/>
                  <wp:wrapNone/>
                  <wp:docPr id="28" name="图片_31"/>
                  <wp:cNvGraphicFramePr/>
                  <a:graphic xmlns:a="http://schemas.openxmlformats.org/drawingml/2006/main">
                    <a:graphicData uri="http://schemas.openxmlformats.org/drawingml/2006/picture">
                      <pic:pic xmlns:pic="http://schemas.openxmlformats.org/drawingml/2006/picture">
                        <pic:nvPicPr>
                          <pic:cNvPr id="28" name="图片_31"/>
                          <pic:cNvPicPr/>
                        </pic:nvPicPr>
                        <pic:blipFill>
                          <a:blip r:embed="rId61"/>
                          <a:stretch>
                            <a:fillRect/>
                          </a:stretch>
                        </pic:blipFill>
                        <pic:spPr>
                          <a:xfrm>
                            <a:off x="0" y="0"/>
                            <a:ext cx="1007110" cy="97155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64DE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FB5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35E1A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7F9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59</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5A9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弧形组合接待沙发A</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2B3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5500*1650*900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4A9FE78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1.基材：采用E0级实木多层板;</w:t>
            </w:r>
          </w:p>
          <w:p w14:paraId="7E6F360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2.贴面：采用胡桃木木皮饰面，厚度≥ 0.6mm；</w:t>
            </w:r>
          </w:p>
          <w:p w14:paraId="6900451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3.油漆：采用水性漆；</w:t>
            </w:r>
          </w:p>
          <w:p w14:paraId="74135E9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4.胶水：采用水基型胶粘剂，粘接强度高，耐老化，环保对人体无害；</w:t>
            </w:r>
          </w:p>
          <w:p w14:paraId="2E2010E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5.座面：采用优质牛皮面料，手感柔软、细腻、有韧性；富有弹性（内部采用高弹海绵）；</w:t>
            </w:r>
          </w:p>
          <w:p w14:paraId="65A9DFF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6.成品：要求且不得出现可能产生危害的、危险性的、可触及的边部或尖端等.棱角及边缘部位经倒圆或倒角处理，顶板及层板厚度≥25mm，背板及其余板材厚度≥16mm;</w:t>
            </w:r>
          </w:p>
          <w:p w14:paraId="15BD0C7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6E12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186690</wp:posOffset>
                  </wp:positionH>
                  <wp:positionV relativeFrom="paragraph">
                    <wp:posOffset>1031240</wp:posOffset>
                  </wp:positionV>
                  <wp:extent cx="948690" cy="612140"/>
                  <wp:effectExtent l="0" t="0" r="3810" b="16510"/>
                  <wp:wrapNone/>
                  <wp:docPr id="22" name="图片_33"/>
                  <wp:cNvGraphicFramePr/>
                  <a:graphic xmlns:a="http://schemas.openxmlformats.org/drawingml/2006/main">
                    <a:graphicData uri="http://schemas.openxmlformats.org/drawingml/2006/picture">
                      <pic:pic xmlns:pic="http://schemas.openxmlformats.org/drawingml/2006/picture">
                        <pic:nvPicPr>
                          <pic:cNvPr id="22" name="图片_33"/>
                          <pic:cNvPicPr/>
                        </pic:nvPicPr>
                        <pic:blipFill>
                          <a:blip r:embed="rId62"/>
                          <a:stretch>
                            <a:fillRect/>
                          </a:stretch>
                        </pic:blipFill>
                        <pic:spPr>
                          <a:xfrm>
                            <a:off x="0" y="0"/>
                            <a:ext cx="948690" cy="61214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058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687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3189C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EA5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60</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268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弧形组合接待沙发B</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917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3650*1670*720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62015A3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1.基材：采用E0级实木多层板;</w:t>
            </w:r>
          </w:p>
          <w:p w14:paraId="2D6CBAA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2.贴面：采用胡桃木木皮饰面，厚度≥ 0.6mm；</w:t>
            </w:r>
          </w:p>
          <w:p w14:paraId="280502E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3.油漆：采用水性漆；</w:t>
            </w:r>
          </w:p>
          <w:p w14:paraId="5EB0FD1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4.胶水：采用水基型胶粘剂，粘接强度高，耐老化，环保对人体无害；</w:t>
            </w:r>
          </w:p>
          <w:p w14:paraId="39E6BB4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5.座面及靠背：采用优质牛皮面料，手感柔软、细腻、有韧性；富有弹性（内部采用高弹海绵）；</w:t>
            </w:r>
          </w:p>
          <w:p w14:paraId="3265EFB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6.成品：要求且不得出现可能产生危害的、危险性的、可触及的边部或尖端等.棱角及边缘部位经倒圆或倒角处理，顶板及层板厚度≥25mm，背板及其余板材厚度≥16mm;</w:t>
            </w:r>
          </w:p>
          <w:p w14:paraId="7850E79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E707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97790</wp:posOffset>
                  </wp:positionH>
                  <wp:positionV relativeFrom="paragraph">
                    <wp:posOffset>796290</wp:posOffset>
                  </wp:positionV>
                  <wp:extent cx="1122045" cy="791210"/>
                  <wp:effectExtent l="0" t="0" r="1905" b="8890"/>
                  <wp:wrapNone/>
                  <wp:docPr id="15" name="图片_34"/>
                  <wp:cNvGraphicFramePr/>
                  <a:graphic xmlns:a="http://schemas.openxmlformats.org/drawingml/2006/main">
                    <a:graphicData uri="http://schemas.openxmlformats.org/drawingml/2006/picture">
                      <pic:pic xmlns:pic="http://schemas.openxmlformats.org/drawingml/2006/picture">
                        <pic:nvPicPr>
                          <pic:cNvPr id="15" name="图片_34"/>
                          <pic:cNvPicPr/>
                        </pic:nvPicPr>
                        <pic:blipFill>
                          <a:blip r:embed="rId63"/>
                          <a:stretch>
                            <a:fillRect/>
                          </a:stretch>
                        </pic:blipFill>
                        <pic:spPr>
                          <a:xfrm>
                            <a:off x="0" y="0"/>
                            <a:ext cx="1122045" cy="79121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0FA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DC3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57C6B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A48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61</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2CA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弧形组合接待沙发C</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790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φ2030*450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7F389A4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1.基材：采用E0级实木多层板;</w:t>
            </w:r>
          </w:p>
          <w:p w14:paraId="6534AEE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2.贴面：采用胡桃木木皮饰面，厚度≥ 0.6mm；</w:t>
            </w:r>
          </w:p>
          <w:p w14:paraId="3BC5085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3.油漆：采用水性漆；</w:t>
            </w:r>
          </w:p>
          <w:p w14:paraId="741F9B3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4.胶水：采用水基型胶粘剂，粘接强度高，耐老化，环保对人体无害；</w:t>
            </w:r>
          </w:p>
          <w:p w14:paraId="405AC20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5.座面：采用优质牛皮面料，手感柔软、细腻、有韧性；富有弹性（内部采用箱体）；</w:t>
            </w:r>
          </w:p>
          <w:p w14:paraId="618EB9F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6.成品：要求且不得出现可能产生危害的、危险性的、可触及的边部或尖端等.棱角及边缘部位经倒圆或倒角处理.，顶板及层板厚度≥25mm，背板及其余板材厚度≥16mm;</w:t>
            </w:r>
          </w:p>
          <w:p w14:paraId="1315743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7.颜色最终甲方确认；</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581C9">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240665</wp:posOffset>
                  </wp:positionH>
                  <wp:positionV relativeFrom="paragraph">
                    <wp:posOffset>-48895</wp:posOffset>
                  </wp:positionV>
                  <wp:extent cx="999490" cy="822325"/>
                  <wp:effectExtent l="0" t="0" r="10160" b="15875"/>
                  <wp:wrapNone/>
                  <wp:docPr id="10" name="图片_37"/>
                  <wp:cNvGraphicFramePr/>
                  <a:graphic xmlns:a="http://schemas.openxmlformats.org/drawingml/2006/main">
                    <a:graphicData uri="http://schemas.openxmlformats.org/drawingml/2006/picture">
                      <pic:pic xmlns:pic="http://schemas.openxmlformats.org/drawingml/2006/picture">
                        <pic:nvPicPr>
                          <pic:cNvPr id="10" name="图片_37"/>
                          <pic:cNvPicPr/>
                        </pic:nvPicPr>
                        <pic:blipFill>
                          <a:blip r:embed="rId64"/>
                          <a:stretch>
                            <a:fillRect/>
                          </a:stretch>
                        </pic:blipFill>
                        <pic:spPr>
                          <a:xfrm>
                            <a:off x="0" y="0"/>
                            <a:ext cx="999490" cy="82232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0C5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3A2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4F63D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3C6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62</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177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圆墩</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D80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Ø500*420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22A5A12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1.框架：采用优质实木制作，所有木材都进行烘干及防蛀处理，木材含水率8-12%；无腐朽、无虫眼、无死结；</w:t>
            </w:r>
          </w:p>
          <w:p w14:paraId="6351CAF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2.饰面：采用优质头层牛皮饰面，厚度≥1.0mm，经液态浸色及防潮、防污等工艺处理，皮面更加柔软舒适、光泽持久性好，纹理细腻，耐磨损；</w:t>
            </w:r>
          </w:p>
          <w:p w14:paraId="4999178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3.油漆：采用水性漆；</w:t>
            </w:r>
          </w:p>
          <w:p w14:paraId="7B675B1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4.海绵：采用优质高弹阻燃海绵，软硬适中、不变形、回弹性好、抗疲劳能力强、坐感舒适.表面涂有防止老化变形的保护膜;</w:t>
            </w:r>
          </w:p>
          <w:p w14:paraId="5CDA9BC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6574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114935</wp:posOffset>
                  </wp:positionH>
                  <wp:positionV relativeFrom="paragraph">
                    <wp:posOffset>347345</wp:posOffset>
                  </wp:positionV>
                  <wp:extent cx="1008380" cy="1335405"/>
                  <wp:effectExtent l="0" t="0" r="1270" b="0"/>
                  <wp:wrapNone/>
                  <wp:docPr id="29" name="图片_39"/>
                  <wp:cNvGraphicFramePr/>
                  <a:graphic xmlns:a="http://schemas.openxmlformats.org/drawingml/2006/main">
                    <a:graphicData uri="http://schemas.openxmlformats.org/drawingml/2006/picture">
                      <pic:pic xmlns:pic="http://schemas.openxmlformats.org/drawingml/2006/picture">
                        <pic:nvPicPr>
                          <pic:cNvPr id="29" name="图片_39"/>
                          <pic:cNvPicPr/>
                        </pic:nvPicPr>
                        <pic:blipFill>
                          <a:blip r:embed="rId65"/>
                          <a:stretch>
                            <a:fillRect/>
                          </a:stretch>
                        </pic:blipFill>
                        <pic:spPr>
                          <a:xfrm>
                            <a:off x="0" y="0"/>
                            <a:ext cx="1008380" cy="133540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041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B53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r>
      <w:tr w14:paraId="7C658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F62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63</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43F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组合沙发（3）</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866B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6130*1270*660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46EF896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1.表面材质：上部优质国产仿羊绒面料，均需经过三防处理 ，及棉麻面料下部优质西皮；</w:t>
            </w:r>
          </w:p>
          <w:p w14:paraId="488142B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2.内部材质：进口新西兰松木及45密度高弹海绵；</w:t>
            </w:r>
          </w:p>
          <w:p w14:paraId="1C78FC7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3.工艺：使用无苯胶粘剂粘接海绵，内部不使用废旧衬垫物；</w:t>
            </w:r>
          </w:p>
          <w:p w14:paraId="254CA6E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4.颜色：颜色可定制；</w:t>
            </w:r>
          </w:p>
          <w:p w14:paraId="5EFD534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  </w:t>
            </w:r>
          </w:p>
        </w:tc>
        <w:tc>
          <w:tcPr>
            <w:tcW w:w="7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7599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99695</wp:posOffset>
                  </wp:positionV>
                  <wp:extent cx="1062990" cy="1290320"/>
                  <wp:effectExtent l="0" t="0" r="3810" b="5080"/>
                  <wp:wrapNone/>
                  <wp:docPr id="23" name="图片_143"/>
                  <wp:cNvGraphicFramePr/>
                  <a:graphic xmlns:a="http://schemas.openxmlformats.org/drawingml/2006/main">
                    <a:graphicData uri="http://schemas.openxmlformats.org/drawingml/2006/picture">
                      <pic:pic xmlns:pic="http://schemas.openxmlformats.org/drawingml/2006/picture">
                        <pic:nvPicPr>
                          <pic:cNvPr id="23" name="图片_143"/>
                          <pic:cNvPicPr/>
                        </pic:nvPicPr>
                        <pic:blipFill>
                          <a:blip r:embed="rId66"/>
                          <a:stretch>
                            <a:fillRect/>
                          </a:stretch>
                        </pic:blipFill>
                        <pic:spPr>
                          <a:xfrm>
                            <a:off x="0" y="0"/>
                            <a:ext cx="1062990" cy="129032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EA1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A59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44EED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ABD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64</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2D3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组合沙发（4）</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8D4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2750*1880*660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4283290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1.表面材质：上部优质国产仿羊绒面料，均需经过三防处理 ，及棉麻面料下部优质西皮；</w:t>
            </w:r>
          </w:p>
          <w:p w14:paraId="7CAEA8E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2.内部材质：进口新西兰松木及45密度高弹海绵；</w:t>
            </w:r>
          </w:p>
          <w:p w14:paraId="54F0B3C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3.工艺：使用无苯胶粘剂粘接海绵，内部不使用废旧衬垫物；</w:t>
            </w:r>
          </w:p>
          <w:p w14:paraId="46C8376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4.颜色：颜色可定制；</w:t>
            </w:r>
          </w:p>
          <w:p w14:paraId="267E4AA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  </w:t>
            </w:r>
          </w:p>
        </w:tc>
        <w:tc>
          <w:tcPr>
            <w:tcW w:w="7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9E03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400050</wp:posOffset>
                  </wp:positionV>
                  <wp:extent cx="1259840" cy="1275080"/>
                  <wp:effectExtent l="0" t="0" r="16510" b="1270"/>
                  <wp:wrapNone/>
                  <wp:docPr id="25" name="图片_144"/>
                  <wp:cNvGraphicFramePr/>
                  <a:graphic xmlns:a="http://schemas.openxmlformats.org/drawingml/2006/main">
                    <a:graphicData uri="http://schemas.openxmlformats.org/drawingml/2006/picture">
                      <pic:pic xmlns:pic="http://schemas.openxmlformats.org/drawingml/2006/picture">
                        <pic:nvPicPr>
                          <pic:cNvPr id="25" name="图片_144"/>
                          <pic:cNvPicPr/>
                        </pic:nvPicPr>
                        <pic:blipFill>
                          <a:blip r:embed="rId67"/>
                          <a:stretch>
                            <a:fillRect/>
                          </a:stretch>
                        </pic:blipFill>
                        <pic:spPr>
                          <a:xfrm>
                            <a:off x="0" y="0"/>
                            <a:ext cx="1259840" cy="127508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BB2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87C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6BF23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5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EE1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65</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29C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方墩</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A78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620*620*430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1C3ED75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1.表面材质：上部优质国产仿羊绒面料，均需经过三防处理 ，及棉麻面料下部优质西皮；</w:t>
            </w:r>
          </w:p>
          <w:p w14:paraId="1CD36B7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2.内部材质：进口新西兰松木及45密度高弹海绵；</w:t>
            </w:r>
          </w:p>
          <w:p w14:paraId="17307BC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3.工艺：使用无苯胶粘剂粘接海绵，内部不使用废旧衬垫物；</w:t>
            </w:r>
          </w:p>
          <w:p w14:paraId="01F6F76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4.颜色：颜色可定制；</w:t>
            </w:r>
          </w:p>
          <w:p w14:paraId="0A3DAA2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  </w:t>
            </w:r>
          </w:p>
        </w:tc>
        <w:tc>
          <w:tcPr>
            <w:tcW w:w="7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39C0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27305</wp:posOffset>
                  </wp:positionH>
                  <wp:positionV relativeFrom="paragraph">
                    <wp:posOffset>194310</wp:posOffset>
                  </wp:positionV>
                  <wp:extent cx="1224280" cy="922020"/>
                  <wp:effectExtent l="0" t="0" r="13970" b="11430"/>
                  <wp:wrapNone/>
                  <wp:docPr id="34" name="图片_47"/>
                  <wp:cNvGraphicFramePr/>
                  <a:graphic xmlns:a="http://schemas.openxmlformats.org/drawingml/2006/main">
                    <a:graphicData uri="http://schemas.openxmlformats.org/drawingml/2006/picture">
                      <pic:pic xmlns:pic="http://schemas.openxmlformats.org/drawingml/2006/picture">
                        <pic:nvPicPr>
                          <pic:cNvPr id="34" name="图片_47"/>
                          <pic:cNvPicPr/>
                        </pic:nvPicPr>
                        <pic:blipFill>
                          <a:blip r:embed="rId68"/>
                          <a:stretch>
                            <a:fillRect/>
                          </a:stretch>
                        </pic:blipFill>
                        <pic:spPr>
                          <a:xfrm>
                            <a:off x="0" y="0"/>
                            <a:ext cx="1224280" cy="92202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E10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26</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998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r>
      <w:tr w14:paraId="1CA8B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F91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66</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C50C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定制柜（1）</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718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3200*800*3000</w:t>
            </w:r>
          </w:p>
          <w:p w14:paraId="70FAC2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4151ED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双面全空格柜</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5448C96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1.基材：采用E0级多层板，游离甲醛释放量均达国家标准，所有层板及隔板厚度≥25mm,背板及其余板材厚度≥16mm，每层定制书架内高度≥35mm；                                                           </w:t>
            </w:r>
          </w:p>
          <w:p w14:paraId="6F0DE16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2.贴面：采用优质耐磨三聚氢胺浸渍面纸，防火，并具阻燃、耐磨性强、清洁方便等特点；</w:t>
            </w:r>
          </w:p>
          <w:p w14:paraId="370C3C8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3.五金：优质五金件；</w:t>
            </w:r>
          </w:p>
          <w:p w14:paraId="588879A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4.封边：同色PVC封边条； </w:t>
            </w:r>
          </w:p>
          <w:p w14:paraId="527FA99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5.定制需求：需结合展陈对柜体进行优化；</w:t>
            </w:r>
          </w:p>
          <w:p w14:paraId="5A81898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6.成品：要求且不得出现可能产生危害的、危险性的、可触及的边部或尖端等.</w:t>
            </w:r>
          </w:p>
          <w:p w14:paraId="7D89E4B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209E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62865</wp:posOffset>
                  </wp:positionH>
                  <wp:positionV relativeFrom="paragraph">
                    <wp:posOffset>276860</wp:posOffset>
                  </wp:positionV>
                  <wp:extent cx="1036320" cy="1378585"/>
                  <wp:effectExtent l="0" t="0" r="11430" b="12065"/>
                  <wp:wrapNone/>
                  <wp:docPr id="38" name="图片_142"/>
                  <wp:cNvGraphicFramePr/>
                  <a:graphic xmlns:a="http://schemas.openxmlformats.org/drawingml/2006/main">
                    <a:graphicData uri="http://schemas.openxmlformats.org/drawingml/2006/picture">
                      <pic:pic xmlns:pic="http://schemas.openxmlformats.org/drawingml/2006/picture">
                        <pic:nvPicPr>
                          <pic:cNvPr id="38" name="图片_142"/>
                          <pic:cNvPicPr/>
                        </pic:nvPicPr>
                        <pic:blipFill>
                          <a:blip r:embed="rId69"/>
                          <a:stretch>
                            <a:fillRect/>
                          </a:stretch>
                        </pic:blipFill>
                        <pic:spPr>
                          <a:xfrm>
                            <a:off x="0" y="0"/>
                            <a:ext cx="1036320" cy="137858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F42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FD7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21A08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F98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67</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A8F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定制柜（2）</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58E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900*400*3000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639AA07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1.材料：门板柜身均采用上海宝钢一级冷轧钢板，裸板壁厚≥0.8mm；</w:t>
            </w:r>
          </w:p>
          <w:p w14:paraId="42E83A3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2.外观：美背式设计，通体无焊点，表面颜色易于搭配，不易产生疲劳;                                                                                                            </w:t>
            </w:r>
          </w:p>
          <w:p w14:paraId="5C9E8B5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3.防锈工艺：经酸洗、磷化、纯化等八道防锈工序前处理;</w:t>
            </w:r>
          </w:p>
          <w:p w14:paraId="2B00A80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4.喷涂工艺：采用优质静电粉末涂装，色泽均匀，光滑平整;</w:t>
            </w:r>
          </w:p>
          <w:p w14:paraId="47C9FE2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5.生产工艺：焊接采用电阻焊，平整度高，四周接口处采用铜焊，便于钢柜的长久使用和搬迁;</w:t>
            </w:r>
          </w:p>
          <w:p w14:paraId="585C07E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6.分体结构，分上下两柜体进行堆叠;</w:t>
            </w:r>
          </w:p>
          <w:p w14:paraId="331B205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25DD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113030</wp:posOffset>
                  </wp:positionH>
                  <wp:positionV relativeFrom="paragraph">
                    <wp:posOffset>194310</wp:posOffset>
                  </wp:positionV>
                  <wp:extent cx="1062355" cy="1412240"/>
                  <wp:effectExtent l="0" t="0" r="4445" b="16510"/>
                  <wp:wrapNone/>
                  <wp:docPr id="11" name="图片_53"/>
                  <wp:cNvGraphicFramePr/>
                  <a:graphic xmlns:a="http://schemas.openxmlformats.org/drawingml/2006/main">
                    <a:graphicData uri="http://schemas.openxmlformats.org/drawingml/2006/picture">
                      <pic:pic xmlns:pic="http://schemas.openxmlformats.org/drawingml/2006/picture">
                        <pic:nvPicPr>
                          <pic:cNvPr id="11" name="图片_53"/>
                          <pic:cNvPicPr/>
                        </pic:nvPicPr>
                        <pic:blipFill>
                          <a:blip r:embed="rId70"/>
                          <a:stretch>
                            <a:fillRect/>
                          </a:stretch>
                        </pic:blipFill>
                        <pic:spPr>
                          <a:xfrm>
                            <a:off x="0" y="0"/>
                            <a:ext cx="1062355" cy="141224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E93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69</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2E1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4EA78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B06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68</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95B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定制柜（3）</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8D6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13440*450*3000</w:t>
            </w:r>
          </w:p>
          <w:p w14:paraId="068A44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53B816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书柜*5个，展柜*3个，门洞*1个</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433AFE5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1.基材：采用E0级多层板，游离甲醛释放量均达国家标准，所有层板及隔板厚度≥25mm,背板及其余板材厚度≥16mm，每层定制书架内高度≥35mm；                                                           </w:t>
            </w:r>
          </w:p>
          <w:p w14:paraId="70E5624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2.贴面：采用优质耐磨三聚氢胺浸渍面纸，防火，并具阻燃、耐磨性强、清洁方便等特点；</w:t>
            </w:r>
          </w:p>
          <w:p w14:paraId="570FD4E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3.五金：优质五金件；（铰链）均具备静音缓冲阻尼功能；</w:t>
            </w:r>
          </w:p>
          <w:p w14:paraId="0C06B21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4.封边：同色PVC封边条； </w:t>
            </w:r>
          </w:p>
          <w:p w14:paraId="7E3F084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5.定制需求：需结合展陈对柜体进行优化；</w:t>
            </w:r>
          </w:p>
          <w:p w14:paraId="6E3E733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6.成品：要求且不得出现可能产生危害的、危险性的、可触及的边部或尖端等；</w:t>
            </w:r>
          </w:p>
          <w:p w14:paraId="21F5BAF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7.要求：顶部封板处理；</w:t>
            </w:r>
          </w:p>
          <w:p w14:paraId="296F958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C83E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89535</wp:posOffset>
                  </wp:positionH>
                  <wp:positionV relativeFrom="paragraph">
                    <wp:posOffset>509905</wp:posOffset>
                  </wp:positionV>
                  <wp:extent cx="1167765" cy="1188085"/>
                  <wp:effectExtent l="0" t="0" r="13335" b="12065"/>
                  <wp:wrapNone/>
                  <wp:docPr id="24" name="图片_56"/>
                  <wp:cNvGraphicFramePr/>
                  <a:graphic xmlns:a="http://schemas.openxmlformats.org/drawingml/2006/main">
                    <a:graphicData uri="http://schemas.openxmlformats.org/drawingml/2006/picture">
                      <pic:pic xmlns:pic="http://schemas.openxmlformats.org/drawingml/2006/picture">
                        <pic:nvPicPr>
                          <pic:cNvPr id="24" name="图片_56"/>
                          <pic:cNvPicPr/>
                        </pic:nvPicPr>
                        <pic:blipFill>
                          <a:blip r:embed="rId71"/>
                          <a:stretch>
                            <a:fillRect/>
                          </a:stretch>
                        </pic:blipFill>
                        <pic:spPr>
                          <a:xfrm>
                            <a:off x="0" y="0"/>
                            <a:ext cx="1167765" cy="118808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A26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15</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451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6EBEE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132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69</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B922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定制柜（4）</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036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1760*450*3000</w:t>
            </w:r>
          </w:p>
          <w:p w14:paraId="297FD9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3418C2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上空格下开门柜*2</w:t>
            </w:r>
          </w:p>
        </w:tc>
        <w:tc>
          <w:tcPr>
            <w:tcW w:w="2515" w:type="pct"/>
            <w:vMerge w:val="restart"/>
            <w:tcBorders>
              <w:top w:val="nil"/>
              <w:left w:val="single" w:color="000000" w:sz="4" w:space="0"/>
              <w:bottom w:val="single" w:color="000000" w:sz="4" w:space="0"/>
              <w:right w:val="single" w:color="000000" w:sz="4" w:space="0"/>
            </w:tcBorders>
            <w:shd w:val="clear" w:color="auto" w:fill="auto"/>
            <w:vAlign w:val="top"/>
          </w:tcPr>
          <w:p w14:paraId="30FFE0D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1.基材：采用E0级多层板，游离甲醛释放量均达国家标准，所有层板厚度≥25mm,背板及其余板材厚度≥16mm,每层2.定制书架内高度≥35mm；                                                           </w:t>
            </w:r>
          </w:p>
          <w:p w14:paraId="1A68899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3.贴面：采用优质耐磨三聚氢胺浸渍面纸，防火，并具阻燃、耐磨性强、清洁方便等特点；</w:t>
            </w:r>
          </w:p>
          <w:p w14:paraId="249CABC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4.五金：优质五金件；（铰链）均具备静音缓冲阻尼功能；</w:t>
            </w:r>
          </w:p>
          <w:p w14:paraId="2FD1607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5.封边：同色PVC封边条； </w:t>
            </w:r>
          </w:p>
          <w:p w14:paraId="4C2F544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6.开门方式：下为木质对开门，其余为空格柜；</w:t>
            </w:r>
          </w:p>
          <w:p w14:paraId="08DD661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7.定制需求：对现场有直饮机部分需预留相关位置，同时具备登高梯收纳空间，局部办公室后期可能改造为教室，柜体结构设计需可上下分体，以确保满足放置于其他区域；</w:t>
            </w:r>
          </w:p>
          <w:p w14:paraId="1C90E1B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8.成品：要求且不得出现可能产生危害的、危险性的、可触及的边部或尖端等.</w:t>
            </w:r>
          </w:p>
          <w:p w14:paraId="735732E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9.要求：顶部封板处理；</w:t>
            </w:r>
          </w:p>
          <w:p w14:paraId="6BBF02A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10.颜色：颜色可定制；</w:t>
            </w:r>
          </w:p>
        </w:tc>
        <w:tc>
          <w:tcPr>
            <w:tcW w:w="73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DF2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181610</wp:posOffset>
                  </wp:positionH>
                  <wp:positionV relativeFrom="paragraph">
                    <wp:posOffset>7146925</wp:posOffset>
                  </wp:positionV>
                  <wp:extent cx="2327910" cy="2286000"/>
                  <wp:effectExtent l="0" t="0" r="15240" b="0"/>
                  <wp:wrapNone/>
                  <wp:docPr id="26" name="图片_58"/>
                  <wp:cNvGraphicFramePr/>
                  <a:graphic xmlns:a="http://schemas.openxmlformats.org/drawingml/2006/main">
                    <a:graphicData uri="http://schemas.openxmlformats.org/drawingml/2006/picture">
                      <pic:pic xmlns:pic="http://schemas.openxmlformats.org/drawingml/2006/picture">
                        <pic:nvPicPr>
                          <pic:cNvPr id="26" name="图片_58"/>
                          <pic:cNvPicPr/>
                        </pic:nvPicPr>
                        <pic:blipFill>
                          <a:blip r:embed="rId72"/>
                          <a:stretch>
                            <a:fillRect/>
                          </a:stretch>
                        </pic:blipFill>
                        <pic:spPr>
                          <a:xfrm>
                            <a:off x="0" y="0"/>
                            <a:ext cx="2327910" cy="228600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004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59D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725FE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73E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70</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1AA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定制柜（5）</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74B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2080*450*3000</w:t>
            </w:r>
          </w:p>
          <w:p w14:paraId="0727F4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122CC1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上空格下开门柜*3</w:t>
            </w:r>
          </w:p>
        </w:tc>
        <w:tc>
          <w:tcPr>
            <w:tcW w:w="2515" w:type="pct"/>
            <w:vMerge w:val="continue"/>
            <w:tcBorders>
              <w:top w:val="nil"/>
              <w:left w:val="single" w:color="000000" w:sz="4" w:space="0"/>
              <w:bottom w:val="single" w:color="000000" w:sz="4" w:space="0"/>
              <w:right w:val="single" w:color="000000" w:sz="4" w:space="0"/>
            </w:tcBorders>
            <w:shd w:val="clear" w:color="auto" w:fill="auto"/>
            <w:vAlign w:val="top"/>
          </w:tcPr>
          <w:p w14:paraId="710B8E6B">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8C0F9">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DF5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574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1D358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1E7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71</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332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定制柜（6）</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FC9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2330*450*3000</w:t>
            </w:r>
          </w:p>
          <w:p w14:paraId="6E4277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4BAAAE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上空格下开门柜*3</w:t>
            </w:r>
          </w:p>
        </w:tc>
        <w:tc>
          <w:tcPr>
            <w:tcW w:w="2515" w:type="pct"/>
            <w:vMerge w:val="continue"/>
            <w:tcBorders>
              <w:top w:val="nil"/>
              <w:left w:val="single" w:color="000000" w:sz="4" w:space="0"/>
              <w:bottom w:val="single" w:color="000000" w:sz="4" w:space="0"/>
              <w:right w:val="single" w:color="000000" w:sz="4" w:space="0"/>
            </w:tcBorders>
            <w:shd w:val="clear" w:color="auto" w:fill="auto"/>
            <w:vAlign w:val="top"/>
          </w:tcPr>
          <w:p w14:paraId="3B516F1B">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7095C">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009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87E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5E8AE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8CC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72</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111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定制柜（7）</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898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2480*450*3000</w:t>
            </w:r>
          </w:p>
          <w:p w14:paraId="73CCE4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4DF3A9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上空格下开门柜*3</w:t>
            </w:r>
          </w:p>
        </w:tc>
        <w:tc>
          <w:tcPr>
            <w:tcW w:w="2515" w:type="pct"/>
            <w:vMerge w:val="continue"/>
            <w:tcBorders>
              <w:top w:val="nil"/>
              <w:left w:val="single" w:color="000000" w:sz="4" w:space="0"/>
              <w:bottom w:val="single" w:color="000000" w:sz="4" w:space="0"/>
              <w:right w:val="single" w:color="000000" w:sz="4" w:space="0"/>
            </w:tcBorders>
            <w:shd w:val="clear" w:color="auto" w:fill="auto"/>
            <w:vAlign w:val="top"/>
          </w:tcPr>
          <w:p w14:paraId="39E813E3">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77597">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A22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511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5C24F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10A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73</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0B8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定制柜（8）</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63D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2600*450*3000</w:t>
            </w:r>
          </w:p>
          <w:p w14:paraId="3FF4C4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128D74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上空格下开门柜*3</w:t>
            </w:r>
          </w:p>
        </w:tc>
        <w:tc>
          <w:tcPr>
            <w:tcW w:w="2515" w:type="pct"/>
            <w:vMerge w:val="continue"/>
            <w:tcBorders>
              <w:top w:val="nil"/>
              <w:left w:val="single" w:color="000000" w:sz="4" w:space="0"/>
              <w:bottom w:val="single" w:color="000000" w:sz="4" w:space="0"/>
              <w:right w:val="single" w:color="000000" w:sz="4" w:space="0"/>
            </w:tcBorders>
            <w:shd w:val="clear" w:color="auto" w:fill="auto"/>
            <w:vAlign w:val="top"/>
          </w:tcPr>
          <w:p w14:paraId="583BFC43">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EEFEF">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125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D12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77DA2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F90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74</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496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定制柜（9）</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8991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2700*450*3000</w:t>
            </w:r>
          </w:p>
          <w:p w14:paraId="5E52DC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3CA47E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上空格下开门柜*3</w:t>
            </w:r>
          </w:p>
        </w:tc>
        <w:tc>
          <w:tcPr>
            <w:tcW w:w="2515" w:type="pct"/>
            <w:vMerge w:val="continue"/>
            <w:tcBorders>
              <w:top w:val="nil"/>
              <w:left w:val="single" w:color="000000" w:sz="4" w:space="0"/>
              <w:bottom w:val="single" w:color="000000" w:sz="4" w:space="0"/>
              <w:right w:val="single" w:color="000000" w:sz="4" w:space="0"/>
            </w:tcBorders>
            <w:shd w:val="clear" w:color="auto" w:fill="auto"/>
            <w:vAlign w:val="top"/>
          </w:tcPr>
          <w:p w14:paraId="56B5C1D0">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20F14">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5BB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8F6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0CCCC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3B0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75</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A80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定制柜（10）</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772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3160*450*3000</w:t>
            </w:r>
          </w:p>
          <w:p w14:paraId="6BC8BC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0E0D41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上空格下开门柜*4</w:t>
            </w:r>
          </w:p>
        </w:tc>
        <w:tc>
          <w:tcPr>
            <w:tcW w:w="2515" w:type="pct"/>
            <w:vMerge w:val="continue"/>
            <w:tcBorders>
              <w:top w:val="nil"/>
              <w:left w:val="single" w:color="000000" w:sz="4" w:space="0"/>
              <w:bottom w:val="single" w:color="000000" w:sz="4" w:space="0"/>
              <w:right w:val="single" w:color="000000" w:sz="4" w:space="0"/>
            </w:tcBorders>
            <w:shd w:val="clear" w:color="auto" w:fill="auto"/>
            <w:vAlign w:val="top"/>
          </w:tcPr>
          <w:p w14:paraId="3C0C5ECB">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AB22C">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92E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2B2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73B7A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B8D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76</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09A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定制柜（11）</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740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3380*450*3000</w:t>
            </w:r>
          </w:p>
          <w:p w14:paraId="421407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29B2C5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上空格下开门柜*4</w:t>
            </w:r>
          </w:p>
        </w:tc>
        <w:tc>
          <w:tcPr>
            <w:tcW w:w="2515" w:type="pct"/>
            <w:vMerge w:val="continue"/>
            <w:tcBorders>
              <w:top w:val="nil"/>
              <w:left w:val="single" w:color="000000" w:sz="4" w:space="0"/>
              <w:bottom w:val="single" w:color="000000" w:sz="4" w:space="0"/>
              <w:right w:val="single" w:color="000000" w:sz="4" w:space="0"/>
            </w:tcBorders>
            <w:shd w:val="clear" w:color="auto" w:fill="auto"/>
            <w:vAlign w:val="top"/>
          </w:tcPr>
          <w:p w14:paraId="0353038A">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B4E54">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571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7E0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712AD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77C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77</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F73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定制柜（12）</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623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3700*450*3000</w:t>
            </w:r>
          </w:p>
          <w:p w14:paraId="0DD681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24EBBC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上空格下开门柜*4</w:t>
            </w:r>
          </w:p>
        </w:tc>
        <w:tc>
          <w:tcPr>
            <w:tcW w:w="2515" w:type="pct"/>
            <w:vMerge w:val="continue"/>
            <w:tcBorders>
              <w:top w:val="nil"/>
              <w:left w:val="single" w:color="000000" w:sz="4" w:space="0"/>
              <w:bottom w:val="single" w:color="000000" w:sz="4" w:space="0"/>
              <w:right w:val="single" w:color="000000" w:sz="4" w:space="0"/>
            </w:tcBorders>
            <w:shd w:val="clear" w:color="auto" w:fill="auto"/>
            <w:vAlign w:val="top"/>
          </w:tcPr>
          <w:p w14:paraId="327107FE">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D3F2A">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E3A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196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12B67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AE1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78</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8D0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定制柜（13）</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5CE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4560*450*3000</w:t>
            </w:r>
          </w:p>
          <w:p w14:paraId="1F8429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5DF0EA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上空格下开门柜*5</w:t>
            </w:r>
          </w:p>
        </w:tc>
        <w:tc>
          <w:tcPr>
            <w:tcW w:w="2515" w:type="pct"/>
            <w:vMerge w:val="continue"/>
            <w:tcBorders>
              <w:top w:val="nil"/>
              <w:left w:val="single" w:color="000000" w:sz="4" w:space="0"/>
              <w:bottom w:val="single" w:color="000000" w:sz="4" w:space="0"/>
              <w:right w:val="single" w:color="000000" w:sz="4" w:space="0"/>
            </w:tcBorders>
            <w:shd w:val="clear" w:color="auto" w:fill="auto"/>
            <w:vAlign w:val="top"/>
          </w:tcPr>
          <w:p w14:paraId="0EE4618E">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09856">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5EA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6A0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54710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031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79</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490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定制柜（14）</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3B2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4660*450*3000</w:t>
            </w:r>
          </w:p>
          <w:p w14:paraId="541425C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244167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上空格下开门柜*5</w:t>
            </w:r>
          </w:p>
        </w:tc>
        <w:tc>
          <w:tcPr>
            <w:tcW w:w="2515" w:type="pct"/>
            <w:vMerge w:val="continue"/>
            <w:tcBorders>
              <w:top w:val="nil"/>
              <w:left w:val="single" w:color="000000" w:sz="4" w:space="0"/>
              <w:bottom w:val="single" w:color="000000" w:sz="4" w:space="0"/>
              <w:right w:val="single" w:color="000000" w:sz="4" w:space="0"/>
            </w:tcBorders>
            <w:shd w:val="clear" w:color="auto" w:fill="auto"/>
            <w:vAlign w:val="top"/>
          </w:tcPr>
          <w:p w14:paraId="7071B01D">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DA746">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79B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183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43035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E17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80</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9E2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定制柜（15）</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C59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4780*450*3000</w:t>
            </w:r>
          </w:p>
          <w:p w14:paraId="714E73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12CC94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上空格下开门柜*5</w:t>
            </w:r>
          </w:p>
        </w:tc>
        <w:tc>
          <w:tcPr>
            <w:tcW w:w="2515" w:type="pct"/>
            <w:vMerge w:val="continue"/>
            <w:tcBorders>
              <w:top w:val="nil"/>
              <w:left w:val="single" w:color="000000" w:sz="4" w:space="0"/>
              <w:bottom w:val="single" w:color="000000" w:sz="4" w:space="0"/>
              <w:right w:val="single" w:color="000000" w:sz="4" w:space="0"/>
            </w:tcBorders>
            <w:shd w:val="clear" w:color="auto" w:fill="auto"/>
            <w:vAlign w:val="top"/>
          </w:tcPr>
          <w:p w14:paraId="40B5C969">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EBEAF">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D25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39B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0754F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740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81</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688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定制柜（16）</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DD7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4960*450*3000</w:t>
            </w:r>
          </w:p>
          <w:p w14:paraId="56989E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705F63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上空格下开门柜*5</w:t>
            </w:r>
          </w:p>
        </w:tc>
        <w:tc>
          <w:tcPr>
            <w:tcW w:w="2515" w:type="pct"/>
            <w:vMerge w:val="continue"/>
            <w:tcBorders>
              <w:top w:val="nil"/>
              <w:left w:val="single" w:color="000000" w:sz="4" w:space="0"/>
              <w:bottom w:val="single" w:color="000000" w:sz="4" w:space="0"/>
              <w:right w:val="single" w:color="000000" w:sz="4" w:space="0"/>
            </w:tcBorders>
            <w:shd w:val="clear" w:color="auto" w:fill="auto"/>
            <w:vAlign w:val="top"/>
          </w:tcPr>
          <w:p w14:paraId="6FAA7850">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33727">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718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7B3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381F9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12E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82</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62B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定制柜（17）</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BA3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5120*450*3000</w:t>
            </w:r>
          </w:p>
          <w:p w14:paraId="72FDE7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09348B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上空格下开门柜*6</w:t>
            </w:r>
          </w:p>
        </w:tc>
        <w:tc>
          <w:tcPr>
            <w:tcW w:w="2515" w:type="pct"/>
            <w:vMerge w:val="continue"/>
            <w:tcBorders>
              <w:top w:val="nil"/>
              <w:left w:val="single" w:color="000000" w:sz="4" w:space="0"/>
              <w:bottom w:val="single" w:color="000000" w:sz="4" w:space="0"/>
              <w:right w:val="single" w:color="000000" w:sz="4" w:space="0"/>
            </w:tcBorders>
            <w:shd w:val="clear" w:color="auto" w:fill="auto"/>
            <w:vAlign w:val="top"/>
          </w:tcPr>
          <w:p w14:paraId="57C2FF8F">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8226B">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CD9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33F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40FCE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212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83</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EF8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定制柜（18）</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3A2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5400*450*3000</w:t>
            </w:r>
          </w:p>
          <w:p w14:paraId="2BC30E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718201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上空格下开门柜*6</w:t>
            </w:r>
          </w:p>
        </w:tc>
        <w:tc>
          <w:tcPr>
            <w:tcW w:w="2515" w:type="pct"/>
            <w:vMerge w:val="continue"/>
            <w:tcBorders>
              <w:top w:val="nil"/>
              <w:left w:val="single" w:color="000000" w:sz="4" w:space="0"/>
              <w:bottom w:val="single" w:color="000000" w:sz="4" w:space="0"/>
              <w:right w:val="single" w:color="000000" w:sz="4" w:space="0"/>
            </w:tcBorders>
            <w:shd w:val="clear" w:color="auto" w:fill="auto"/>
            <w:vAlign w:val="top"/>
          </w:tcPr>
          <w:p w14:paraId="5355D242">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5662E">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BE0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03B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13EFD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21A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84</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472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定制柜（19）</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F8D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6000*450*3000</w:t>
            </w:r>
          </w:p>
          <w:p w14:paraId="25772B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132E9D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上空格下开门柜*6</w:t>
            </w:r>
          </w:p>
        </w:tc>
        <w:tc>
          <w:tcPr>
            <w:tcW w:w="2515" w:type="pct"/>
            <w:vMerge w:val="continue"/>
            <w:tcBorders>
              <w:top w:val="nil"/>
              <w:left w:val="single" w:color="000000" w:sz="4" w:space="0"/>
              <w:bottom w:val="single" w:color="000000" w:sz="4" w:space="0"/>
              <w:right w:val="single" w:color="000000" w:sz="4" w:space="0"/>
            </w:tcBorders>
            <w:shd w:val="clear" w:color="auto" w:fill="auto"/>
            <w:vAlign w:val="top"/>
          </w:tcPr>
          <w:p w14:paraId="390213E0">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99DE6">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598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CB9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10F46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FA2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85</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D9E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定制柜（20）</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A20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6200*450*3000</w:t>
            </w:r>
          </w:p>
          <w:p w14:paraId="29B1DD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06EA39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上空格下开门柜*7</w:t>
            </w:r>
          </w:p>
        </w:tc>
        <w:tc>
          <w:tcPr>
            <w:tcW w:w="2515" w:type="pct"/>
            <w:vMerge w:val="continue"/>
            <w:tcBorders>
              <w:top w:val="nil"/>
              <w:left w:val="single" w:color="000000" w:sz="4" w:space="0"/>
              <w:bottom w:val="single" w:color="000000" w:sz="4" w:space="0"/>
              <w:right w:val="single" w:color="000000" w:sz="4" w:space="0"/>
            </w:tcBorders>
            <w:shd w:val="clear" w:color="auto" w:fill="auto"/>
            <w:vAlign w:val="top"/>
          </w:tcPr>
          <w:p w14:paraId="5C1ACAF3">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37484">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4D1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AB5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399C3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748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86</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437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定制柜（21）</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E1F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6260*450*3000</w:t>
            </w:r>
          </w:p>
          <w:p w14:paraId="51A99E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4CDCDE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上空格下开门柜*7</w:t>
            </w:r>
          </w:p>
        </w:tc>
        <w:tc>
          <w:tcPr>
            <w:tcW w:w="2515" w:type="pct"/>
            <w:vMerge w:val="continue"/>
            <w:tcBorders>
              <w:top w:val="nil"/>
              <w:left w:val="single" w:color="000000" w:sz="4" w:space="0"/>
              <w:bottom w:val="single" w:color="000000" w:sz="4" w:space="0"/>
              <w:right w:val="single" w:color="000000" w:sz="4" w:space="0"/>
            </w:tcBorders>
            <w:shd w:val="clear" w:color="auto" w:fill="auto"/>
            <w:vAlign w:val="top"/>
          </w:tcPr>
          <w:p w14:paraId="2E27FD85">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5BFE3">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D6F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4B6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1B2E1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16A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87</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AA8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定制柜（22）</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283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6730*450*3000</w:t>
            </w:r>
          </w:p>
          <w:p w14:paraId="693EDD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1B8961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上空格下开门柜*7</w:t>
            </w:r>
          </w:p>
        </w:tc>
        <w:tc>
          <w:tcPr>
            <w:tcW w:w="2515" w:type="pct"/>
            <w:vMerge w:val="continue"/>
            <w:tcBorders>
              <w:top w:val="nil"/>
              <w:left w:val="single" w:color="000000" w:sz="4" w:space="0"/>
              <w:bottom w:val="single" w:color="000000" w:sz="4" w:space="0"/>
              <w:right w:val="single" w:color="000000" w:sz="4" w:space="0"/>
            </w:tcBorders>
            <w:shd w:val="clear" w:color="auto" w:fill="auto"/>
            <w:vAlign w:val="top"/>
          </w:tcPr>
          <w:p w14:paraId="63AB52B7">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DE4B2">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4A4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02F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59A4C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061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88</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E43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定制柜（23）</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2039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7060*450*3000</w:t>
            </w:r>
          </w:p>
          <w:p w14:paraId="0BE1BC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21B266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上空格下开门柜*8</w:t>
            </w:r>
          </w:p>
        </w:tc>
        <w:tc>
          <w:tcPr>
            <w:tcW w:w="2515" w:type="pct"/>
            <w:vMerge w:val="continue"/>
            <w:tcBorders>
              <w:top w:val="nil"/>
              <w:left w:val="single" w:color="000000" w:sz="4" w:space="0"/>
              <w:bottom w:val="single" w:color="000000" w:sz="4" w:space="0"/>
              <w:right w:val="single" w:color="000000" w:sz="4" w:space="0"/>
            </w:tcBorders>
            <w:shd w:val="clear" w:color="auto" w:fill="auto"/>
            <w:vAlign w:val="top"/>
          </w:tcPr>
          <w:p w14:paraId="0AACD93B">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A92C8">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CFE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0BB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75968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B73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89</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B19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定制柜（24）</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B04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7160*450*3000</w:t>
            </w:r>
          </w:p>
          <w:p w14:paraId="49F64A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37D3BFB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上空格下开门柜*8</w:t>
            </w:r>
          </w:p>
        </w:tc>
        <w:tc>
          <w:tcPr>
            <w:tcW w:w="2515" w:type="pct"/>
            <w:vMerge w:val="continue"/>
            <w:tcBorders>
              <w:top w:val="nil"/>
              <w:left w:val="single" w:color="000000" w:sz="4" w:space="0"/>
              <w:bottom w:val="single" w:color="000000" w:sz="4" w:space="0"/>
              <w:right w:val="single" w:color="000000" w:sz="4" w:space="0"/>
            </w:tcBorders>
            <w:shd w:val="clear" w:color="auto" w:fill="auto"/>
            <w:vAlign w:val="top"/>
          </w:tcPr>
          <w:p w14:paraId="21BB9EDB">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AC9BE">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005C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0DFB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40F04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1C1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90</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FF99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定制柜（25）</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B70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7260*450*3000</w:t>
            </w:r>
          </w:p>
          <w:p w14:paraId="20699F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1F9201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上空格下开门柜*8</w:t>
            </w:r>
          </w:p>
        </w:tc>
        <w:tc>
          <w:tcPr>
            <w:tcW w:w="2515" w:type="pct"/>
            <w:vMerge w:val="continue"/>
            <w:tcBorders>
              <w:top w:val="nil"/>
              <w:left w:val="single" w:color="000000" w:sz="4" w:space="0"/>
              <w:bottom w:val="single" w:color="000000" w:sz="4" w:space="0"/>
              <w:right w:val="single" w:color="000000" w:sz="4" w:space="0"/>
            </w:tcBorders>
            <w:shd w:val="clear" w:color="auto" w:fill="auto"/>
            <w:vAlign w:val="top"/>
          </w:tcPr>
          <w:p w14:paraId="6A1AFB80">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99F43">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6E4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41B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0AD38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1E3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91</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42DC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定制柜（26）</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BC3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8060*450*3000</w:t>
            </w:r>
          </w:p>
          <w:p w14:paraId="3D97DC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21B18B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上空格下开门柜*9</w:t>
            </w:r>
          </w:p>
        </w:tc>
        <w:tc>
          <w:tcPr>
            <w:tcW w:w="2515" w:type="pct"/>
            <w:vMerge w:val="continue"/>
            <w:tcBorders>
              <w:top w:val="nil"/>
              <w:left w:val="single" w:color="000000" w:sz="4" w:space="0"/>
              <w:bottom w:val="single" w:color="000000" w:sz="4" w:space="0"/>
              <w:right w:val="single" w:color="000000" w:sz="4" w:space="0"/>
            </w:tcBorders>
            <w:shd w:val="clear" w:color="auto" w:fill="auto"/>
            <w:vAlign w:val="top"/>
          </w:tcPr>
          <w:p w14:paraId="15F088DB">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99A67">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24F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5D9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5910A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7F1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92</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8E1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定制柜（27）</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2E5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8100*450*3000</w:t>
            </w:r>
          </w:p>
          <w:p w14:paraId="642D25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0E41F1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上空格下开门柜*9</w:t>
            </w:r>
          </w:p>
        </w:tc>
        <w:tc>
          <w:tcPr>
            <w:tcW w:w="2515" w:type="pct"/>
            <w:vMerge w:val="continue"/>
            <w:tcBorders>
              <w:top w:val="nil"/>
              <w:left w:val="single" w:color="000000" w:sz="4" w:space="0"/>
              <w:bottom w:val="single" w:color="000000" w:sz="4" w:space="0"/>
              <w:right w:val="single" w:color="000000" w:sz="4" w:space="0"/>
            </w:tcBorders>
            <w:shd w:val="clear" w:color="auto" w:fill="auto"/>
            <w:vAlign w:val="top"/>
          </w:tcPr>
          <w:p w14:paraId="07E5607A">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67BA2">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03A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CB9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7A7E7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DF7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93</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50E1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定制柜（28）</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CFF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9900*450*3000</w:t>
            </w:r>
          </w:p>
          <w:p w14:paraId="4CE347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6D3E27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上空格下开门柜*10</w:t>
            </w:r>
          </w:p>
        </w:tc>
        <w:tc>
          <w:tcPr>
            <w:tcW w:w="2515" w:type="pct"/>
            <w:vMerge w:val="continue"/>
            <w:tcBorders>
              <w:top w:val="nil"/>
              <w:left w:val="single" w:color="000000" w:sz="4" w:space="0"/>
              <w:bottom w:val="single" w:color="000000" w:sz="4" w:space="0"/>
              <w:right w:val="single" w:color="000000" w:sz="4" w:space="0"/>
            </w:tcBorders>
            <w:shd w:val="clear" w:color="auto" w:fill="auto"/>
            <w:vAlign w:val="top"/>
          </w:tcPr>
          <w:p w14:paraId="7005DC74">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4D2EE">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298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488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5D7C0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9A4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94</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8C9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定制柜（29）</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109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3600*450*3000</w:t>
            </w:r>
          </w:p>
          <w:p w14:paraId="7153DC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6E894D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上空格下开门柜*4</w:t>
            </w:r>
          </w:p>
        </w:tc>
        <w:tc>
          <w:tcPr>
            <w:tcW w:w="2515"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0D03EDE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1.基材：采用E0级多层板，游离甲醛释放量均达国家标准，所有层板厚度≥25mm,背板及其余板材厚度≥16mm，每层定制书架内高度≥35mm；                                                           </w:t>
            </w:r>
          </w:p>
          <w:p w14:paraId="2C44F96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2.贴面：采用优质耐磨三聚氢胺浸渍面纸，防火，并具阻燃、耐磨性强、清洁方便等特点；</w:t>
            </w:r>
          </w:p>
          <w:p w14:paraId="4A41DC7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3.五金：优质五金件；（铰链）均具备静音缓冲阻尼功能；</w:t>
            </w:r>
          </w:p>
          <w:p w14:paraId="77DBE1F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封边：同色PVC封边条； </w:t>
            </w:r>
          </w:p>
          <w:p w14:paraId="7EBBE12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4.定制需求：对现场有直饮机部分需预留相关位置，同时具备登高梯收纳空间，局部办公室后期可能改造为教室，柜体结构设计需可上下分体，以确保满足放置于其他区域；</w:t>
            </w:r>
          </w:p>
          <w:p w14:paraId="2FE7380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5.成品：要求且不得出现可能产生危害的、危险性的、可触及的边部或尖端等.</w:t>
            </w:r>
          </w:p>
          <w:p w14:paraId="785FB92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6.要求：顶部封板处理；</w:t>
            </w:r>
          </w:p>
          <w:p w14:paraId="742AA85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7.颜色：颜色可定制；</w:t>
            </w:r>
          </w:p>
        </w:tc>
        <w:tc>
          <w:tcPr>
            <w:tcW w:w="7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5C58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127635</wp:posOffset>
                  </wp:positionH>
                  <wp:positionV relativeFrom="paragraph">
                    <wp:posOffset>188595</wp:posOffset>
                  </wp:positionV>
                  <wp:extent cx="1088390" cy="1763395"/>
                  <wp:effectExtent l="0" t="0" r="16510" b="8255"/>
                  <wp:wrapNone/>
                  <wp:docPr id="27" name="图片_73"/>
                  <wp:cNvGraphicFramePr/>
                  <a:graphic xmlns:a="http://schemas.openxmlformats.org/drawingml/2006/main">
                    <a:graphicData uri="http://schemas.openxmlformats.org/drawingml/2006/picture">
                      <pic:pic xmlns:pic="http://schemas.openxmlformats.org/drawingml/2006/picture">
                        <pic:nvPicPr>
                          <pic:cNvPr id="27" name="图片_73"/>
                          <pic:cNvPicPr/>
                        </pic:nvPicPr>
                        <pic:blipFill>
                          <a:blip r:embed="rId73"/>
                          <a:stretch>
                            <a:fillRect/>
                          </a:stretch>
                        </pic:blipFill>
                        <pic:spPr>
                          <a:xfrm>
                            <a:off x="0" y="0"/>
                            <a:ext cx="1088390" cy="176339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D84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2EA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33995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53A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95</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42B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定制柜（30）</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99E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2980*450*3000</w:t>
            </w:r>
          </w:p>
          <w:p w14:paraId="77359E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3369BB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上空格下开门柜*3</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C79C6CD">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AF742">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E30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4C6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0F4E9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4"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23D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96</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D97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定制柜（31）</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169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2960*450*3000</w:t>
            </w:r>
          </w:p>
          <w:p w14:paraId="68B388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46F288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上空格下开门柜*3</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3A6EBDB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1.基材：采用E0级多层板，游离甲醛释放量均达国家标准，所有层板厚度≥25mm,背板及其余板材厚度≥16mm，每层定制书架内高度≥35mm；                                                           </w:t>
            </w:r>
          </w:p>
          <w:p w14:paraId="34B4639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2.贴面：采用优质耐磨三聚氢胺浸渍面纸，防火，并具阻燃、耐磨性强、清洁方便等特点；</w:t>
            </w:r>
          </w:p>
          <w:p w14:paraId="4642314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3.五金：优质五金件；（铰链）均具备静音缓冲阻尼功能；</w:t>
            </w:r>
          </w:p>
          <w:p w14:paraId="7784FEB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4.封边：同色PVC封边条； </w:t>
            </w:r>
          </w:p>
          <w:p w14:paraId="139EDDD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5.定制需求：对现场有直饮机部分需预留相关位置，同时具备登高梯收纳空间，局部办公室后期可能改造为教室，柜体结构设计需可上下分体，以确保满足放置于其他区域；</w:t>
            </w:r>
          </w:p>
          <w:p w14:paraId="1968E13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6.成品：要求且不得出现可能产生危害的、危险性的、可触及的边部或尖端等.</w:t>
            </w:r>
          </w:p>
          <w:p w14:paraId="41B4BC4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7.要求：顶部封板处理；</w:t>
            </w:r>
          </w:p>
          <w:p w14:paraId="73B4D4D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806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227330</wp:posOffset>
                  </wp:positionH>
                  <wp:positionV relativeFrom="paragraph">
                    <wp:posOffset>118110</wp:posOffset>
                  </wp:positionV>
                  <wp:extent cx="935355" cy="2141220"/>
                  <wp:effectExtent l="0" t="0" r="17145" b="11430"/>
                  <wp:wrapNone/>
                  <wp:docPr id="35" name="图片_112"/>
                  <wp:cNvGraphicFramePr/>
                  <a:graphic xmlns:a="http://schemas.openxmlformats.org/drawingml/2006/main">
                    <a:graphicData uri="http://schemas.openxmlformats.org/drawingml/2006/picture">
                      <pic:pic xmlns:pic="http://schemas.openxmlformats.org/drawingml/2006/picture">
                        <pic:nvPicPr>
                          <pic:cNvPr id="35" name="图片_112"/>
                          <pic:cNvPicPr/>
                        </pic:nvPicPr>
                        <pic:blipFill>
                          <a:blip r:embed="rId74"/>
                          <a:stretch>
                            <a:fillRect/>
                          </a:stretch>
                        </pic:blipFill>
                        <pic:spPr>
                          <a:xfrm>
                            <a:off x="0" y="0"/>
                            <a:ext cx="935355" cy="214122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B81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6A6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4B889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E20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97</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BBE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定制柜（32）</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B4A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3600*450*3000</w:t>
            </w:r>
          </w:p>
          <w:p w14:paraId="0F0C5A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02F23D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上中下开门柜*1</w:t>
            </w:r>
          </w:p>
          <w:p w14:paraId="12A255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上空格下开门柜*3</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654FE98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1.面材：采用优质天然实木木皮贴面，木皮厚度≥0.6mm；1.层板及隔板厚度≥25mm，背板及其余板材厚度≥16mm</w:t>
            </w:r>
          </w:p>
          <w:p w14:paraId="4E0CA56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2.基材：采用E0级多层板，各项性能均优于国家标准；</w:t>
            </w:r>
          </w:p>
          <w:p w14:paraId="479991D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3.油漆：油性木器涂料涂饰，采用五底三面涂饰工艺，符合国家标准；</w:t>
            </w:r>
          </w:p>
          <w:p w14:paraId="03A6BD6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4.胶水：采用环保白乳胶；</w:t>
            </w:r>
          </w:p>
          <w:p w14:paraId="4058833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5.配件：优质五金配件；（铰链）均具备静音缓冲阻尼功能；</w:t>
            </w:r>
          </w:p>
          <w:p w14:paraId="43F3689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6.功能：含挂衣、开架柜结合，配锁；</w:t>
            </w:r>
          </w:p>
          <w:p w14:paraId="190FA8A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7.要求：顶部封板处理；</w:t>
            </w:r>
          </w:p>
          <w:p w14:paraId="1ECCBE2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03B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223520</wp:posOffset>
                  </wp:positionH>
                  <wp:positionV relativeFrom="paragraph">
                    <wp:posOffset>320040</wp:posOffset>
                  </wp:positionV>
                  <wp:extent cx="753745" cy="1863725"/>
                  <wp:effectExtent l="0" t="0" r="8255" b="3175"/>
                  <wp:wrapNone/>
                  <wp:docPr id="12" name="图片_113"/>
                  <wp:cNvGraphicFramePr/>
                  <a:graphic xmlns:a="http://schemas.openxmlformats.org/drawingml/2006/main">
                    <a:graphicData uri="http://schemas.openxmlformats.org/drawingml/2006/picture">
                      <pic:pic xmlns:pic="http://schemas.openxmlformats.org/drawingml/2006/picture">
                        <pic:nvPicPr>
                          <pic:cNvPr id="12" name="图片_113"/>
                          <pic:cNvPicPr/>
                        </pic:nvPicPr>
                        <pic:blipFill>
                          <a:blip r:embed="rId75"/>
                          <a:stretch>
                            <a:fillRect/>
                          </a:stretch>
                        </pic:blipFill>
                        <pic:spPr>
                          <a:xfrm>
                            <a:off x="0" y="0"/>
                            <a:ext cx="753745" cy="186372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C62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483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241EC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52A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98</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7CD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定制柜（33）</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908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7160*450*3000</w:t>
            </w:r>
          </w:p>
          <w:p w14:paraId="349DA4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113381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上空格下开门柜*8</w:t>
            </w:r>
          </w:p>
        </w:tc>
        <w:tc>
          <w:tcPr>
            <w:tcW w:w="2515" w:type="pct"/>
            <w:vMerge w:val="restart"/>
            <w:tcBorders>
              <w:top w:val="nil"/>
              <w:left w:val="single" w:color="000000" w:sz="4" w:space="0"/>
              <w:bottom w:val="single" w:color="000000" w:sz="4" w:space="0"/>
              <w:right w:val="single" w:color="000000" w:sz="4" w:space="0"/>
            </w:tcBorders>
            <w:shd w:val="clear" w:color="auto" w:fill="auto"/>
            <w:vAlign w:val="top"/>
          </w:tcPr>
          <w:p w14:paraId="7A4C6B8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1.基材：采用E0级多层板，游离甲醛释放量均达国家标准，所有层板厚度≥25mm,背板及其余板材厚度≥16mm,每层定制书架内高度≥35mm；                                                           </w:t>
            </w:r>
          </w:p>
          <w:p w14:paraId="51D00B6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2.贴面：采用优质耐磨三聚氢胺浸渍面纸，防火，并具阻燃、耐磨性强、清洁方便等特点；</w:t>
            </w:r>
          </w:p>
          <w:p w14:paraId="37D741E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3.五金：优质五金件；（铰链）均具备静音缓冲阻尼功能；</w:t>
            </w:r>
          </w:p>
          <w:p w14:paraId="1F5CC71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4.封边：同色PVC封边条； </w:t>
            </w:r>
          </w:p>
          <w:p w14:paraId="3B6020C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5.开门方式：下为木质对开门，其余为空格柜。</w:t>
            </w:r>
          </w:p>
          <w:p w14:paraId="713449D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6.定制需求：对现场有直饮机部分需预留相关位置，同时具备登高梯收纳空间；</w:t>
            </w:r>
          </w:p>
          <w:p w14:paraId="741D5B2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7.成品：要求且不得出现可能产生危害的、危险性的、可触及的边部或尖端等.所有三合一连接件部分均需近色美纹纸隐蔽处理</w:t>
            </w:r>
          </w:p>
          <w:p w14:paraId="0CA0641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8.要求：顶部封板处理；</w:t>
            </w:r>
          </w:p>
          <w:p w14:paraId="0D4DC11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9.颜色：颜色可定制；</w:t>
            </w:r>
          </w:p>
        </w:tc>
        <w:tc>
          <w:tcPr>
            <w:tcW w:w="73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A64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167640</wp:posOffset>
                  </wp:positionH>
                  <wp:positionV relativeFrom="paragraph">
                    <wp:posOffset>777875</wp:posOffset>
                  </wp:positionV>
                  <wp:extent cx="1035685" cy="1425575"/>
                  <wp:effectExtent l="0" t="0" r="12065" b="3175"/>
                  <wp:wrapNone/>
                  <wp:docPr id="13" name="图片_59"/>
                  <wp:cNvGraphicFramePr/>
                  <a:graphic xmlns:a="http://schemas.openxmlformats.org/drawingml/2006/main">
                    <a:graphicData uri="http://schemas.openxmlformats.org/drawingml/2006/picture">
                      <pic:pic xmlns:pic="http://schemas.openxmlformats.org/drawingml/2006/picture">
                        <pic:nvPicPr>
                          <pic:cNvPr id="13" name="图片_59"/>
                          <pic:cNvPicPr/>
                        </pic:nvPicPr>
                        <pic:blipFill>
                          <a:blip r:embed="rId76"/>
                          <a:stretch>
                            <a:fillRect/>
                          </a:stretch>
                        </pic:blipFill>
                        <pic:spPr>
                          <a:xfrm>
                            <a:off x="0" y="0"/>
                            <a:ext cx="1035685" cy="142557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0E6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562E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46762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83A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99</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EC1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定制柜（34）</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5F4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8060*450*3000</w:t>
            </w:r>
          </w:p>
          <w:p w14:paraId="05554D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4396F2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上空格下开门柜*9</w:t>
            </w:r>
          </w:p>
        </w:tc>
        <w:tc>
          <w:tcPr>
            <w:tcW w:w="2515" w:type="pct"/>
            <w:vMerge w:val="continue"/>
            <w:tcBorders>
              <w:top w:val="nil"/>
              <w:left w:val="single" w:color="000000" w:sz="4" w:space="0"/>
              <w:bottom w:val="single" w:color="000000" w:sz="4" w:space="0"/>
              <w:right w:val="single" w:color="000000" w:sz="4" w:space="0"/>
            </w:tcBorders>
            <w:shd w:val="clear" w:color="auto" w:fill="auto"/>
            <w:vAlign w:val="top"/>
          </w:tcPr>
          <w:p w14:paraId="2A10799A">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66566">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7F3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59F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23D90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3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578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100</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7BC4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定制文件柜</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291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1600*450*3000</w:t>
            </w:r>
          </w:p>
          <w:p w14:paraId="189435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68EF41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上空格下开门柜*2</w:t>
            </w:r>
          </w:p>
        </w:tc>
        <w:tc>
          <w:tcPr>
            <w:tcW w:w="2515"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1B88229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1.基材：采用E0级多层板，游离甲醛释放量均达国家标准，所有层板厚度≥25MM,背板及其余板材厚度≥16mm每层书架内高度≥35MM；                                                           </w:t>
            </w:r>
          </w:p>
          <w:p w14:paraId="5C323A6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2.贴面：采用优质耐磨三聚氢胺浸渍面纸，防火，并具阻燃、耐磨性强、清洁方便等特点；</w:t>
            </w:r>
          </w:p>
          <w:p w14:paraId="1F2C45D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3.五金：优质五金件；</w:t>
            </w:r>
          </w:p>
          <w:p w14:paraId="35B3D7F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4.封边：同色PVC封边条； </w:t>
            </w:r>
          </w:p>
          <w:p w14:paraId="7BBDB3D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5.定制需求：对现场有直饮机部分需预留相关位置，同时具备登高梯收纳空间，局部办公室后期可能改造为教室，柜体结构设计需可上下分体，以确保满足放置于其他区域；</w:t>
            </w:r>
          </w:p>
          <w:p w14:paraId="2165185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6.成品：要求且不得出现可能产生危害的、危险性的、可触及的边部或尖端等。</w:t>
            </w:r>
          </w:p>
          <w:p w14:paraId="36A297E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7.所有三合一连接件部分均需近色美纹纸隐蔽处理</w:t>
            </w:r>
          </w:p>
          <w:p w14:paraId="0F99392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8.五金件（铰链）均具备静音缓冲阻尼功能</w:t>
            </w:r>
          </w:p>
          <w:p w14:paraId="37FE034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9.要求：顶部封板处理；</w:t>
            </w:r>
          </w:p>
          <w:p w14:paraId="22BC1C0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10.颜色：颜色可定制；</w:t>
            </w:r>
          </w:p>
        </w:tc>
        <w:tc>
          <w:tcPr>
            <w:tcW w:w="73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32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170815</wp:posOffset>
                  </wp:positionH>
                  <wp:positionV relativeFrom="paragraph">
                    <wp:posOffset>598170</wp:posOffset>
                  </wp:positionV>
                  <wp:extent cx="1143000" cy="2109470"/>
                  <wp:effectExtent l="0" t="0" r="0" b="5080"/>
                  <wp:wrapNone/>
                  <wp:docPr id="14" name="图片_1"/>
                  <wp:cNvGraphicFramePr/>
                  <a:graphic xmlns:a="http://schemas.openxmlformats.org/drawingml/2006/main">
                    <a:graphicData uri="http://schemas.openxmlformats.org/drawingml/2006/picture">
                      <pic:pic xmlns:pic="http://schemas.openxmlformats.org/drawingml/2006/picture">
                        <pic:nvPicPr>
                          <pic:cNvPr id="14" name="图片_1"/>
                          <pic:cNvPicPr/>
                        </pic:nvPicPr>
                        <pic:blipFill>
                          <a:blip r:embed="rId77"/>
                          <a:stretch>
                            <a:fillRect/>
                          </a:stretch>
                        </pic:blipFill>
                        <pic:spPr>
                          <a:xfrm>
                            <a:off x="0" y="0"/>
                            <a:ext cx="1143000" cy="210947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77B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88B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46473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ADB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101</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CE9EFD">
            <w:pPr>
              <w:jc w:val="center"/>
              <w:rPr>
                <w:rFonts w:hint="eastAsia" w:asciiTheme="minorEastAsia" w:hAnsiTheme="minorEastAsia" w:eastAsiaTheme="minorEastAsia" w:cstheme="minorEastAsia"/>
                <w:i w:val="0"/>
                <w:iCs w:val="0"/>
                <w:color w:val="auto"/>
                <w:sz w:val="21"/>
                <w:szCs w:val="21"/>
                <w:highlight w:val="none"/>
                <w:u w:val="none"/>
              </w:rPr>
            </w:pP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B73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5400*450*3000</w:t>
            </w:r>
          </w:p>
          <w:p w14:paraId="1D1538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3CC24C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上空格下开门柜*6</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A8B8BF3">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A0F49">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C161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05C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24635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F24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102</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21D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定制柜（35）</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C57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4280*450*3000</w:t>
            </w:r>
          </w:p>
          <w:p w14:paraId="2A3FEB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39A1C4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上展柜下开门柜*1</w:t>
            </w:r>
          </w:p>
          <w:p w14:paraId="247C99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上空格下开门柜*2</w:t>
            </w:r>
          </w:p>
        </w:tc>
        <w:tc>
          <w:tcPr>
            <w:tcW w:w="2515"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01D789B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4530725</wp:posOffset>
                  </wp:positionH>
                  <wp:positionV relativeFrom="paragraph">
                    <wp:posOffset>247650</wp:posOffset>
                  </wp:positionV>
                  <wp:extent cx="1463040" cy="1552575"/>
                  <wp:effectExtent l="0" t="0" r="3810" b="9525"/>
                  <wp:wrapNone/>
                  <wp:docPr id="16" name="图片_60"/>
                  <wp:cNvGraphicFramePr/>
                  <a:graphic xmlns:a="http://schemas.openxmlformats.org/drawingml/2006/main">
                    <a:graphicData uri="http://schemas.openxmlformats.org/drawingml/2006/picture">
                      <pic:pic xmlns:pic="http://schemas.openxmlformats.org/drawingml/2006/picture">
                        <pic:nvPicPr>
                          <pic:cNvPr id="16" name="图片_60"/>
                          <pic:cNvPicPr/>
                        </pic:nvPicPr>
                        <pic:blipFill>
                          <a:blip r:embed="rId78"/>
                          <a:stretch>
                            <a:fillRect/>
                          </a:stretch>
                        </pic:blipFill>
                        <pic:spPr>
                          <a:xfrm>
                            <a:off x="0" y="0"/>
                            <a:ext cx="1463040" cy="1552575"/>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1.基材：采用E0级多层板，游离甲醛释放量均达国家标准，所有层板及隔板厚度≥25mm,背板及其余板材厚度≥16mm，每层定制书架内高度≥35mm；                                                           </w:t>
            </w:r>
          </w:p>
          <w:p w14:paraId="3EE4B9F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2.面材：采用优质天然实木木皮贴面，木皮厚度≥0.6mm；</w:t>
            </w:r>
          </w:p>
          <w:p w14:paraId="0810850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3.油漆：油性木器涂料涂饰，采用五底三面涂饰工艺，符合国家标准；</w:t>
            </w:r>
          </w:p>
          <w:p w14:paraId="3B952C9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4.胶水：采用环保白乳胶；</w:t>
            </w:r>
          </w:p>
          <w:p w14:paraId="58D3DE4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5.配件：优质五金配件；（铰链）均具备静音缓冲阻尼功能；</w:t>
            </w:r>
          </w:p>
          <w:p w14:paraId="43A0163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6.定制需求：需结合展陈对柜体进行优化；</w:t>
            </w:r>
          </w:p>
          <w:p w14:paraId="078BD50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7.成品：要求且不得出现可能产生危害的、危险性的、可触及的边部或尖端等.</w:t>
            </w:r>
          </w:p>
          <w:p w14:paraId="3E07A16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8.要求：顶部封板处理。</w:t>
            </w:r>
          </w:p>
          <w:p w14:paraId="47B26E1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9.颜色：颜色可定制；</w:t>
            </w:r>
          </w:p>
        </w:tc>
        <w:tc>
          <w:tcPr>
            <w:tcW w:w="73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5A6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167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C8F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5CCFB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888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103</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69C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定制柜（36）</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560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5400*450*3000</w:t>
            </w:r>
          </w:p>
          <w:p w14:paraId="003C9F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11E013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上展柜下开门柜*2</w:t>
            </w:r>
          </w:p>
          <w:p w14:paraId="6243EB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上空格下开门柜*3</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027D5A1">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5E0C6">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BD4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4DFD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2450B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5AB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104</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A3F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定制柜（37）</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FAC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6400*450*3000</w:t>
            </w:r>
          </w:p>
          <w:p w14:paraId="2BE14F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1D61E4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上展柜下开门柜*2</w:t>
            </w:r>
          </w:p>
          <w:p w14:paraId="37F848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上空格下开门柜*4</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3E1A0A8">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0114F">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664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E09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0ED19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ED9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105</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877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定制书柜（1）</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7C0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7080*450*3000</w:t>
            </w:r>
          </w:p>
          <w:p w14:paraId="32749C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171711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上展柜下开门柜*2</w:t>
            </w:r>
          </w:p>
          <w:p w14:paraId="170BD7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上空格下开门柜*4</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48BCD00">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A76FA">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7F4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D2B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18749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A97D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106</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186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定制书柜（2）</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5B5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7480*450*3000</w:t>
            </w:r>
          </w:p>
          <w:p w14:paraId="493505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016651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上展柜下开门柜*3</w:t>
            </w:r>
          </w:p>
          <w:p w14:paraId="3B52FB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上空格下开门柜*4</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85ACEE6">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54D8F">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1F6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FA0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35444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EA1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107</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386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定制书柜（3）</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A72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7430*450*3000</w:t>
            </w:r>
          </w:p>
          <w:p w14:paraId="097714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0B61F0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上展柜下开门柜*3</w:t>
            </w:r>
          </w:p>
          <w:p w14:paraId="04B60B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上空格下开门柜*4</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A7B178B">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E76C5">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921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25D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026D3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D4C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108</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52C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定制书柜（4）</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D3E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7760*450*3000</w:t>
            </w:r>
          </w:p>
          <w:p w14:paraId="6413D4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38DDFF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上展柜下开门柜*3</w:t>
            </w:r>
          </w:p>
          <w:p w14:paraId="0A7DDD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上空格下开门柜*4</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85CC376">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4C08C">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CAA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918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094E5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401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109</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5B0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定制书柜（5）</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677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8060*450*3000</w:t>
            </w:r>
          </w:p>
          <w:p w14:paraId="44174D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70BB6C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上展柜下开门柜*3</w:t>
            </w:r>
          </w:p>
          <w:p w14:paraId="4B9CF5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上空格下开门柜*4</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B30B7BF">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36EE6">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476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19D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476D6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A82E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110</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675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定制柜（38）</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84E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9560*450*3000</w:t>
            </w:r>
          </w:p>
          <w:p w14:paraId="5E7928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48DCD4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上展柜下开门柜*3</w:t>
            </w:r>
          </w:p>
          <w:p w14:paraId="2A8EA4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上空格下开门柜*4</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2FC610C">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23F9E">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F6BE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6BC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75503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C26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111</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3EF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定制柜（39）</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DDA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3580*450*3000</w:t>
            </w:r>
          </w:p>
          <w:p w14:paraId="6C9C4D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293DA5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上中下开门柜*1</w:t>
            </w:r>
          </w:p>
          <w:p w14:paraId="0C3250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上空格下开门柜*3</w:t>
            </w:r>
          </w:p>
        </w:tc>
        <w:tc>
          <w:tcPr>
            <w:tcW w:w="2515"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13DB022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1.面材：采用优质天然实木木皮贴面，木皮厚度≥0.6mm；层板及隔板厚度≥25mm，背板及其余板材厚度≥16mm</w:t>
            </w:r>
          </w:p>
          <w:p w14:paraId="1F0A9B7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2.基材：采用E0级多层板，各项性能均优于国家标准；</w:t>
            </w:r>
          </w:p>
          <w:p w14:paraId="284D55A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3.油漆：油性木器涂料涂饰，采用五底三面涂饰工艺，符合国家标准；</w:t>
            </w:r>
          </w:p>
          <w:p w14:paraId="7F81DFE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4.胶水：采用环保白乳胶；</w:t>
            </w:r>
          </w:p>
          <w:p w14:paraId="0FA1FF6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5.配件：优质五金配件；（铰链）均具备静音缓冲阻尼功能；</w:t>
            </w:r>
          </w:p>
          <w:p w14:paraId="76800EC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6.功能：含挂衣、开架柜结合，配锁；</w:t>
            </w:r>
          </w:p>
          <w:p w14:paraId="1059ACC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7.要求：顶部封板处理；</w:t>
            </w:r>
          </w:p>
          <w:p w14:paraId="41A906D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8.颜色：颜色可定制；</w:t>
            </w:r>
          </w:p>
        </w:tc>
        <w:tc>
          <w:tcPr>
            <w:tcW w:w="7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4B6A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224790</wp:posOffset>
                  </wp:positionH>
                  <wp:positionV relativeFrom="paragraph">
                    <wp:posOffset>990600</wp:posOffset>
                  </wp:positionV>
                  <wp:extent cx="1772285" cy="1270"/>
                  <wp:effectExtent l="0" t="0" r="0" b="0"/>
                  <wp:wrapNone/>
                  <wp:docPr id="18" name="组合_48"/>
                  <wp:cNvGraphicFramePr/>
                  <a:graphic xmlns:a="http://schemas.openxmlformats.org/drawingml/2006/main">
                    <a:graphicData uri="http://schemas.openxmlformats.org/drawingml/2006/picture">
                      <pic:pic xmlns:pic="http://schemas.openxmlformats.org/drawingml/2006/picture">
                        <pic:nvPicPr>
                          <pic:cNvPr id="18" name="组合_48"/>
                          <pic:cNvPicPr/>
                        </pic:nvPicPr>
                        <pic:blipFill>
                          <a:blip r:embed="rId79"/>
                          <a:stretch>
                            <a:fillRect/>
                          </a:stretch>
                        </pic:blipFill>
                        <pic:spPr>
                          <a:xfrm>
                            <a:off x="0" y="0"/>
                            <a:ext cx="1772285" cy="127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4DA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21E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4B426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793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112</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780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定制柜（40）</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FF6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4280*450*3000</w:t>
            </w:r>
          </w:p>
          <w:p w14:paraId="0F7D35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2494F8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上中下开门柜*1</w:t>
            </w:r>
          </w:p>
          <w:p w14:paraId="521AEB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上空格下开门柜*4</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987248E">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C8BBE">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6CC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F72C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45E6F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548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113</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7CB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定制柜（41）</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FDB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4500*450*3000</w:t>
            </w:r>
          </w:p>
          <w:p w14:paraId="1EF85C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43D1B8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上中下柜双开门*1</w:t>
            </w:r>
          </w:p>
          <w:p w14:paraId="125961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上空格下双开门*4</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D2CA2C6">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82458">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AD0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BF3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05C8F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C4C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114</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C5E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定制柜（42）</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F73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4580*450*3000</w:t>
            </w:r>
          </w:p>
          <w:p w14:paraId="058390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24DD83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上中下开门柜*1</w:t>
            </w:r>
          </w:p>
          <w:p w14:paraId="320E0F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上空格下开门柜*4</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3CEA1CC">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FD15E">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151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-1255395</wp:posOffset>
                  </wp:positionH>
                  <wp:positionV relativeFrom="paragraph">
                    <wp:posOffset>898525</wp:posOffset>
                  </wp:positionV>
                  <wp:extent cx="946785" cy="2203450"/>
                  <wp:effectExtent l="0" t="0" r="5715" b="6350"/>
                  <wp:wrapNone/>
                  <wp:docPr id="19" name="图片_61"/>
                  <wp:cNvGraphicFramePr/>
                  <a:graphic xmlns:a="http://schemas.openxmlformats.org/drawingml/2006/main">
                    <a:graphicData uri="http://schemas.openxmlformats.org/drawingml/2006/picture">
                      <pic:pic xmlns:pic="http://schemas.openxmlformats.org/drawingml/2006/picture">
                        <pic:nvPicPr>
                          <pic:cNvPr id="19" name="图片_61"/>
                          <pic:cNvPicPr/>
                        </pic:nvPicPr>
                        <pic:blipFill>
                          <a:blip r:embed="rId80"/>
                          <a:stretch>
                            <a:fillRect/>
                          </a:stretch>
                        </pic:blipFill>
                        <pic:spPr>
                          <a:xfrm>
                            <a:off x="0" y="0"/>
                            <a:ext cx="946785" cy="220345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E00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5FD29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D1F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115</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CE0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定制柜（43）</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64E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4540*450*3000</w:t>
            </w:r>
          </w:p>
          <w:p w14:paraId="6B4A30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2CF02B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上中下开门柜*1</w:t>
            </w:r>
          </w:p>
          <w:p w14:paraId="3C856D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上空格下开门柜*4</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43031DD">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570E1B">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A5D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494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48DC1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8F4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116</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993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定制柜（44）</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958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4360*450*3000</w:t>
            </w:r>
          </w:p>
          <w:p w14:paraId="5AAFF4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5BB727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上中下开门柜*1</w:t>
            </w:r>
          </w:p>
          <w:p w14:paraId="6747B7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上空格下开门柜*4</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711C425">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3A3899">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155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889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341B1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C79A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117</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D2F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定制柜（45）</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EA2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4960*450*3000</w:t>
            </w:r>
          </w:p>
          <w:p w14:paraId="4FBB90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3F3465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上中下开门柜*1</w:t>
            </w:r>
          </w:p>
          <w:p w14:paraId="724F2F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上空格下开门柜*4</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0F6326B">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71249">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2D0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FA0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22D68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45CC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118</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242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定制柜（46）</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A03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4160*450*3000</w:t>
            </w:r>
          </w:p>
          <w:p w14:paraId="5E35ED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58C037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上中下开门柜*1</w:t>
            </w:r>
          </w:p>
          <w:p w14:paraId="2EB7C6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上空格下开门柜*4</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F16AB5A">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CB6D6">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79B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28A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50722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BFD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119</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076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定制柜（47）</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50F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4060*450*3000</w:t>
            </w:r>
          </w:p>
          <w:p w14:paraId="1A6A3B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79F5B1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上中下开门柜*1</w:t>
            </w:r>
          </w:p>
          <w:p w14:paraId="4841B1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上空格下开门柜*4</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68330D2">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EEB6B">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3BE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0E5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36A28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230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120</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298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定制柜（48）</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747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3680*450*3000</w:t>
            </w:r>
          </w:p>
          <w:p w14:paraId="03B550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084402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上中下开门柜*1</w:t>
            </w:r>
          </w:p>
          <w:p w14:paraId="5D0DCD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上空格下开门柜*3</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68DFDAF">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41798">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F5B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4C9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5FD42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59A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121</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749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定制柜（49）</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E4A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3780*450*3000</w:t>
            </w:r>
          </w:p>
          <w:p w14:paraId="00E6B4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475E09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上中下开门柜*1</w:t>
            </w:r>
          </w:p>
          <w:p w14:paraId="557873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上空格下开门柜*3</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D3DB1AF">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524CC9">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A43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A45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7D436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34C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122</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E78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定制柜（50）</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1CA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2460*450*3000</w:t>
            </w:r>
          </w:p>
          <w:p w14:paraId="2BB8A8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10279CE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上中下柜开门柜*3</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625BDD7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1.面材：采用优质天然实木木皮贴面，木皮厚度≥0.6mm；层板及隔板厚度≥25mm，其余板材厚度≥16mm；</w:t>
            </w:r>
          </w:p>
          <w:p w14:paraId="4BDB8D7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2.基材：采用E0级多层板，各项性能均优于国家标准；</w:t>
            </w:r>
          </w:p>
          <w:p w14:paraId="56E1A41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3.油漆：油性木器涂料涂饰，采用五底三面涂饰工艺，符合国家标准；</w:t>
            </w:r>
          </w:p>
          <w:p w14:paraId="46C1432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4.胶水：采用环保白乳胶；</w:t>
            </w:r>
          </w:p>
          <w:p w14:paraId="689386B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5.配件：优质五金配件，含锁，（铰链）均具备静音缓冲阻尼功能；</w:t>
            </w:r>
          </w:p>
          <w:p w14:paraId="48BC69F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6.要求：顶部封板处理；</w:t>
            </w:r>
          </w:p>
          <w:p w14:paraId="711FD1A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FEE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149225</wp:posOffset>
                  </wp:positionH>
                  <wp:positionV relativeFrom="paragraph">
                    <wp:posOffset>271780</wp:posOffset>
                  </wp:positionV>
                  <wp:extent cx="855980" cy="1612900"/>
                  <wp:effectExtent l="0" t="0" r="1270" b="6350"/>
                  <wp:wrapNone/>
                  <wp:docPr id="85" name="图片_81"/>
                  <wp:cNvGraphicFramePr/>
                  <a:graphic xmlns:a="http://schemas.openxmlformats.org/drawingml/2006/main">
                    <a:graphicData uri="http://schemas.openxmlformats.org/drawingml/2006/picture">
                      <pic:pic xmlns:pic="http://schemas.openxmlformats.org/drawingml/2006/picture">
                        <pic:nvPicPr>
                          <pic:cNvPr id="85" name="图片_81"/>
                          <pic:cNvPicPr/>
                        </pic:nvPicPr>
                        <pic:blipFill>
                          <a:blip r:embed="rId81"/>
                          <a:stretch>
                            <a:fillRect/>
                          </a:stretch>
                        </pic:blipFill>
                        <pic:spPr>
                          <a:xfrm>
                            <a:off x="0" y="0"/>
                            <a:ext cx="855980" cy="161290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224790</wp:posOffset>
                  </wp:positionH>
                  <wp:positionV relativeFrom="paragraph">
                    <wp:posOffset>0</wp:posOffset>
                  </wp:positionV>
                  <wp:extent cx="1772285" cy="1270"/>
                  <wp:effectExtent l="0" t="0" r="0" b="0"/>
                  <wp:wrapNone/>
                  <wp:docPr id="99" name="组合_63"/>
                  <wp:cNvGraphicFramePr/>
                  <a:graphic xmlns:a="http://schemas.openxmlformats.org/drawingml/2006/main">
                    <a:graphicData uri="http://schemas.openxmlformats.org/drawingml/2006/picture">
                      <pic:pic xmlns:pic="http://schemas.openxmlformats.org/drawingml/2006/picture">
                        <pic:nvPicPr>
                          <pic:cNvPr id="99" name="组合_63"/>
                          <pic:cNvPicPr/>
                        </pic:nvPicPr>
                        <pic:blipFill>
                          <a:blip r:embed="rId79"/>
                          <a:stretch>
                            <a:fillRect/>
                          </a:stretch>
                        </pic:blipFill>
                        <pic:spPr>
                          <a:xfrm>
                            <a:off x="0" y="0"/>
                            <a:ext cx="1772285" cy="127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8DF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A7E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28443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929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123</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727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定制柜（51）</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DD7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8060*450*3000</w:t>
            </w:r>
          </w:p>
          <w:p w14:paraId="087395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49B3D6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上中下柜开门柜*9</w:t>
            </w:r>
          </w:p>
        </w:tc>
        <w:tc>
          <w:tcPr>
            <w:tcW w:w="2515"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0902335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1.基材：采用E0级多层板，游离甲醛释放量均达国家标准，所有层板厚度≥25mm,背板及其余板材厚度≥16mm，每层定制书架内高度≥35mm；                                                           </w:t>
            </w:r>
          </w:p>
          <w:p w14:paraId="60E1CA6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2.贴面：采用优质耐磨三聚氢胺浸渍面纸，防火，并具阻燃、耐磨性强、清洁方便等特点；</w:t>
            </w:r>
          </w:p>
          <w:p w14:paraId="1F3F037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3.五金：优质五金件，含锁；（铰链）均具备静音缓冲阻尼功能；</w:t>
            </w:r>
          </w:p>
          <w:p w14:paraId="0DBEF14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4.封边：同色PVC封边条； </w:t>
            </w:r>
          </w:p>
          <w:p w14:paraId="492C279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5.成品：要求且不得出现可能产生危害的、危险性的、可触及的边部或尖端等.</w:t>
            </w:r>
          </w:p>
          <w:p w14:paraId="52FBD8D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6.要求：顶部封板处理；</w:t>
            </w:r>
          </w:p>
          <w:p w14:paraId="0E78D76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7.颜色：颜色可定制；</w:t>
            </w:r>
          </w:p>
        </w:tc>
        <w:tc>
          <w:tcPr>
            <w:tcW w:w="7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FBD6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220980</wp:posOffset>
                  </wp:positionH>
                  <wp:positionV relativeFrom="paragraph">
                    <wp:posOffset>412750</wp:posOffset>
                  </wp:positionV>
                  <wp:extent cx="683895" cy="1227455"/>
                  <wp:effectExtent l="0" t="0" r="1905" b="10795"/>
                  <wp:wrapNone/>
                  <wp:docPr id="76" name="图片_68"/>
                  <wp:cNvGraphicFramePr/>
                  <a:graphic xmlns:a="http://schemas.openxmlformats.org/drawingml/2006/main">
                    <a:graphicData uri="http://schemas.openxmlformats.org/drawingml/2006/picture">
                      <pic:pic xmlns:pic="http://schemas.openxmlformats.org/drawingml/2006/picture">
                        <pic:nvPicPr>
                          <pic:cNvPr id="76" name="图片_68"/>
                          <pic:cNvPicPr/>
                        </pic:nvPicPr>
                        <pic:blipFill>
                          <a:blip r:embed="rId82"/>
                          <a:stretch>
                            <a:fillRect/>
                          </a:stretch>
                        </pic:blipFill>
                        <pic:spPr>
                          <a:xfrm>
                            <a:off x="0" y="0"/>
                            <a:ext cx="683895" cy="122745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5CF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E19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09F5F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AD3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124</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3FF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定制柜（52）</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177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6300*450*3000</w:t>
            </w:r>
          </w:p>
          <w:p w14:paraId="34EB23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2AA434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上中下柜开门柜*7</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927CFAB">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217DA">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FF6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A48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1136C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B2D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125</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022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定制柜（53）</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CFE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6300*600*3000</w:t>
            </w:r>
          </w:p>
          <w:p w14:paraId="170873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526757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上中下柜开门柜*7</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5CFB53C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1.基材：采用E0级多层板，游离甲醛释放量均达国家标准，所有层板厚度≥25mm,背板及其余板材厚度≥16mm，每层定制书架内高度≥35mm；                                                           </w:t>
            </w:r>
          </w:p>
          <w:p w14:paraId="4E087D0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2.贴面：采用优质耐磨三聚氢胺浸渍面纸，防火，并具阻燃、耐磨性强、清洁方便等特点；</w:t>
            </w:r>
          </w:p>
          <w:p w14:paraId="4014BC4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3.五金：优质五金件；（铰链）均具备静音缓冲阻尼功能；</w:t>
            </w:r>
          </w:p>
          <w:p w14:paraId="1350F72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4.封边：同色PVC封边条； </w:t>
            </w:r>
          </w:p>
          <w:p w14:paraId="6318110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5.成品：要求且不得出现可能产生危害的、危险性的、可触及的边部或尖端等；</w:t>
            </w:r>
          </w:p>
          <w:p w14:paraId="6DC9D39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6.要求：顶部封板处理；</w:t>
            </w:r>
          </w:p>
          <w:p w14:paraId="29C7059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2422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216535</wp:posOffset>
                  </wp:positionH>
                  <wp:positionV relativeFrom="paragraph">
                    <wp:posOffset>388620</wp:posOffset>
                  </wp:positionV>
                  <wp:extent cx="664845" cy="1527175"/>
                  <wp:effectExtent l="0" t="0" r="1905" b="15875"/>
                  <wp:wrapNone/>
                  <wp:docPr id="78" name="图片_80"/>
                  <wp:cNvGraphicFramePr/>
                  <a:graphic xmlns:a="http://schemas.openxmlformats.org/drawingml/2006/main">
                    <a:graphicData uri="http://schemas.openxmlformats.org/drawingml/2006/picture">
                      <pic:pic xmlns:pic="http://schemas.openxmlformats.org/drawingml/2006/picture">
                        <pic:nvPicPr>
                          <pic:cNvPr id="78" name="图片_80"/>
                          <pic:cNvPicPr/>
                        </pic:nvPicPr>
                        <pic:blipFill>
                          <a:blip r:embed="rId81"/>
                          <a:stretch>
                            <a:fillRect/>
                          </a:stretch>
                        </pic:blipFill>
                        <pic:spPr>
                          <a:xfrm>
                            <a:off x="0" y="0"/>
                            <a:ext cx="664845" cy="152717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19C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FB7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577D2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C78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126</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01B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定制柜（54）</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4A1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8600*450*3000</w:t>
            </w:r>
          </w:p>
          <w:p w14:paraId="4B70CC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255C40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上中下柜开门柜*9</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0D5920F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1.基材：采用E0级多层板，游离甲醛释放量均达国家标准，所有层板厚度≥25mm,背板及其余板材厚度≥16mm，每层定制书架内高度≥35mm；                                                           </w:t>
            </w:r>
          </w:p>
          <w:p w14:paraId="71AD01F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2.贴面：采用优质耐磨三聚氢胺浸渍面纸，防火，并具阻燃、耐磨性强、清洁方便等特点；</w:t>
            </w:r>
          </w:p>
          <w:p w14:paraId="482D995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3.五金：优质五金配件，含锁，（铰链）均具备静音缓冲阻尼功能；</w:t>
            </w:r>
          </w:p>
          <w:p w14:paraId="10A3B4D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4.封边：同色PVC封边条； </w:t>
            </w:r>
          </w:p>
          <w:p w14:paraId="7BA992C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5.成品：要求且不得出现可能产生危害的、危险性的、可触及的边部或尖端等；</w:t>
            </w:r>
          </w:p>
          <w:p w14:paraId="37B3CD4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6.要求：顶部封板处理。</w:t>
            </w:r>
          </w:p>
          <w:p w14:paraId="633DC14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8823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216535</wp:posOffset>
                  </wp:positionH>
                  <wp:positionV relativeFrom="paragraph">
                    <wp:posOffset>388620</wp:posOffset>
                  </wp:positionV>
                  <wp:extent cx="674370" cy="1365250"/>
                  <wp:effectExtent l="0" t="0" r="11430" b="6350"/>
                  <wp:wrapNone/>
                  <wp:docPr id="82" name="图片_85"/>
                  <wp:cNvGraphicFramePr/>
                  <a:graphic xmlns:a="http://schemas.openxmlformats.org/drawingml/2006/main">
                    <a:graphicData uri="http://schemas.openxmlformats.org/drawingml/2006/picture">
                      <pic:pic xmlns:pic="http://schemas.openxmlformats.org/drawingml/2006/picture">
                        <pic:nvPicPr>
                          <pic:cNvPr id="82" name="图片_85"/>
                          <pic:cNvPicPr/>
                        </pic:nvPicPr>
                        <pic:blipFill>
                          <a:blip r:embed="rId81"/>
                          <a:stretch>
                            <a:fillRect/>
                          </a:stretch>
                        </pic:blipFill>
                        <pic:spPr>
                          <a:xfrm>
                            <a:off x="0" y="0"/>
                            <a:ext cx="674370" cy="136525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E38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58A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0C9A3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73E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127</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4CA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定制柜（55）</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DA8C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7160*450*900</w:t>
            </w:r>
          </w:p>
          <w:p w14:paraId="17CF75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6A49DC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空格柜*5，开门柜*9</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28B699C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1.基材：采用E0级多层板，游离甲醛释放量均达国家标准，所有层板及顶板厚度≥25mm,背板及其余板材厚度≥16mm，每层定制书架内高度≥35mm；                                                           </w:t>
            </w:r>
          </w:p>
          <w:p w14:paraId="7E698D1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2.贴面：采用优质耐磨三聚氢胺浸渍面纸，防火，并具阻燃、耐磨性强、清洁方便等特点；</w:t>
            </w:r>
          </w:p>
          <w:p w14:paraId="40E82AB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3.五金：优质五金件；（铰链）均具备静音缓冲阻尼功能；</w:t>
            </w:r>
          </w:p>
          <w:p w14:paraId="09B7F6F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4.封边：同色PVC封边条； </w:t>
            </w:r>
          </w:p>
          <w:p w14:paraId="42E40AE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5.成品：要求且不得出现可能产生危害的、危险性的、可触及的边部或尖端等；</w:t>
            </w:r>
          </w:p>
          <w:p w14:paraId="669CC8B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8DF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141605</wp:posOffset>
                  </wp:positionH>
                  <wp:positionV relativeFrom="paragraph">
                    <wp:posOffset>242570</wp:posOffset>
                  </wp:positionV>
                  <wp:extent cx="974090" cy="1047115"/>
                  <wp:effectExtent l="0" t="0" r="16510" b="635"/>
                  <wp:wrapNone/>
                  <wp:docPr id="92" name="图片_69"/>
                  <wp:cNvGraphicFramePr/>
                  <a:graphic xmlns:a="http://schemas.openxmlformats.org/drawingml/2006/main">
                    <a:graphicData uri="http://schemas.openxmlformats.org/drawingml/2006/picture">
                      <pic:pic xmlns:pic="http://schemas.openxmlformats.org/drawingml/2006/picture">
                        <pic:nvPicPr>
                          <pic:cNvPr id="92" name="图片_69"/>
                          <pic:cNvPicPr/>
                        </pic:nvPicPr>
                        <pic:blipFill>
                          <a:blip r:embed="rId83"/>
                          <a:stretch>
                            <a:fillRect/>
                          </a:stretch>
                        </pic:blipFill>
                        <pic:spPr>
                          <a:xfrm>
                            <a:off x="0" y="0"/>
                            <a:ext cx="974090" cy="104711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216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42E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2B76C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E36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128</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C35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定制柜（56）</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014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7160*450*3000</w:t>
            </w:r>
          </w:p>
          <w:p w14:paraId="02A72B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58C643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空格矮柜*4，开门矮柜*7</w:t>
            </w:r>
          </w:p>
          <w:p w14:paraId="283D6C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上玻璃开门下木开门柜*2</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0FD6102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1.基材：采用E0级多层板，游离甲醛释放量均达国家标准，所有层板厚度≥25mm背板及其余板材厚度≥16mm，,每层定制书架内高度≥35mm；                                                           </w:t>
            </w:r>
          </w:p>
          <w:p w14:paraId="13B0392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2.贴面：采用优质耐磨三聚氢胺浸渍面纸，防火，并具阻燃、耐磨性强、清洁方便等特点；</w:t>
            </w:r>
          </w:p>
          <w:p w14:paraId="3CA7A6C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3.五金：优质五金件；（铰链）均具备静音缓冲阻尼功能；</w:t>
            </w:r>
          </w:p>
          <w:p w14:paraId="548543C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4.封边：同色PVC封边条； </w:t>
            </w:r>
          </w:p>
          <w:p w14:paraId="77CD8E7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5.功能：含铝框玻璃门展示柜；</w:t>
            </w:r>
          </w:p>
          <w:p w14:paraId="0CFC8E9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6.成品：要求且不得出现可能产生危害的、危险性的、可触及的边部或尖端等；</w:t>
            </w:r>
          </w:p>
          <w:p w14:paraId="033FF38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7.要求：顶部封板处理；</w:t>
            </w:r>
          </w:p>
          <w:p w14:paraId="528E9F1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6B9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186055</wp:posOffset>
                  </wp:positionH>
                  <wp:positionV relativeFrom="paragraph">
                    <wp:posOffset>425450</wp:posOffset>
                  </wp:positionV>
                  <wp:extent cx="1128395" cy="1524000"/>
                  <wp:effectExtent l="0" t="0" r="14605" b="0"/>
                  <wp:wrapNone/>
                  <wp:docPr id="90" name="图片_70"/>
                  <wp:cNvGraphicFramePr/>
                  <a:graphic xmlns:a="http://schemas.openxmlformats.org/drawingml/2006/main">
                    <a:graphicData uri="http://schemas.openxmlformats.org/drawingml/2006/picture">
                      <pic:pic xmlns:pic="http://schemas.openxmlformats.org/drawingml/2006/picture">
                        <pic:nvPicPr>
                          <pic:cNvPr id="90" name="图片_70"/>
                          <pic:cNvPicPr/>
                        </pic:nvPicPr>
                        <pic:blipFill>
                          <a:blip r:embed="rId84"/>
                          <a:stretch>
                            <a:fillRect/>
                          </a:stretch>
                        </pic:blipFill>
                        <pic:spPr>
                          <a:xfrm>
                            <a:off x="0" y="0"/>
                            <a:ext cx="1128395" cy="152400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AB6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65A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1AB31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2" w:hRule="atLeast"/>
        </w:trPr>
        <w:tc>
          <w:tcPr>
            <w:tcW w:w="183"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1EAA21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129</w:t>
            </w:r>
          </w:p>
        </w:tc>
        <w:tc>
          <w:tcPr>
            <w:tcW w:w="474" w:type="pct"/>
            <w:tcBorders>
              <w:top w:val="single" w:color="000000" w:sz="4" w:space="0"/>
              <w:left w:val="single" w:color="000000" w:sz="4" w:space="0"/>
              <w:bottom w:val="single" w:color="auto" w:sz="4" w:space="0"/>
              <w:right w:val="single" w:color="000000" w:sz="4" w:space="0"/>
            </w:tcBorders>
            <w:shd w:val="clear" w:color="auto" w:fill="auto"/>
            <w:vAlign w:val="center"/>
          </w:tcPr>
          <w:p w14:paraId="548C09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定制柜（57）</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523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4960*450*3000</w:t>
            </w:r>
          </w:p>
          <w:p w14:paraId="4F2174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243A19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上下开门中间空格柜*5</w:t>
            </w:r>
          </w:p>
        </w:tc>
        <w:tc>
          <w:tcPr>
            <w:tcW w:w="2515"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502C838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基材：采用E0级多层板，游离甲醛释放量均达国家标准，所有层板厚度≥25mm,背板及其余板材厚度≥16mm，每层定制书架内高度≥35mm；                                                           </w:t>
            </w:r>
          </w:p>
          <w:p w14:paraId="14B7742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贴面：采用优质耐磨三聚</w:t>
            </w:r>
            <w:bookmarkStart w:id="11" w:name="OLE_LINK3"/>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氢</w:t>
            </w:r>
            <w:bookmarkEnd w:id="11"/>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胺浸渍面纸，防火，并具阻燃、耐磨性强、清洁方便等特点；</w:t>
            </w:r>
          </w:p>
          <w:p w14:paraId="0313736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五金：优质五金件；（铰链）均具备静音缓冲阻尼功能；</w:t>
            </w:r>
          </w:p>
          <w:p w14:paraId="29F9E95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封边：同色PVC封边条； </w:t>
            </w:r>
          </w:p>
          <w:p w14:paraId="2914AB3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成品：要求且不得出现可能产生危害的、危险性的、可触及的边部或尖端等.</w:t>
            </w:r>
          </w:p>
          <w:p w14:paraId="4F83495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要求：顶部封板处理。</w:t>
            </w:r>
          </w:p>
          <w:p w14:paraId="3F6C6AD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颜色：颜色可定制；</w:t>
            </w:r>
          </w:p>
        </w:tc>
        <w:tc>
          <w:tcPr>
            <w:tcW w:w="7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A1D6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99695</wp:posOffset>
                  </wp:positionH>
                  <wp:positionV relativeFrom="paragraph">
                    <wp:posOffset>561975</wp:posOffset>
                  </wp:positionV>
                  <wp:extent cx="982980" cy="1102995"/>
                  <wp:effectExtent l="0" t="0" r="7620" b="1905"/>
                  <wp:wrapNone/>
                  <wp:docPr id="86" name="图片_71"/>
                  <wp:cNvGraphicFramePr/>
                  <a:graphic xmlns:a="http://schemas.openxmlformats.org/drawingml/2006/main">
                    <a:graphicData uri="http://schemas.openxmlformats.org/drawingml/2006/picture">
                      <pic:pic xmlns:pic="http://schemas.openxmlformats.org/drawingml/2006/picture">
                        <pic:nvPicPr>
                          <pic:cNvPr id="86" name="图片_71"/>
                          <pic:cNvPicPr/>
                        </pic:nvPicPr>
                        <pic:blipFill>
                          <a:blip r:embed="rId85"/>
                          <a:stretch>
                            <a:fillRect/>
                          </a:stretch>
                        </pic:blipFill>
                        <pic:spPr>
                          <a:xfrm>
                            <a:off x="0" y="0"/>
                            <a:ext cx="982980" cy="110299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A1B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1CD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3EE51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2" w:hRule="atLeast"/>
        </w:trPr>
        <w:tc>
          <w:tcPr>
            <w:tcW w:w="183"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068F9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130</w:t>
            </w:r>
          </w:p>
        </w:tc>
        <w:tc>
          <w:tcPr>
            <w:tcW w:w="474" w:type="pct"/>
            <w:tcBorders>
              <w:top w:val="single" w:color="auto" w:sz="4" w:space="0"/>
              <w:left w:val="single" w:color="000000" w:sz="4" w:space="0"/>
              <w:bottom w:val="single" w:color="auto" w:sz="4" w:space="0"/>
              <w:right w:val="single" w:color="000000" w:sz="4" w:space="0"/>
            </w:tcBorders>
            <w:shd w:val="clear" w:color="auto" w:fill="auto"/>
            <w:vAlign w:val="center"/>
          </w:tcPr>
          <w:p w14:paraId="4A6BC132">
            <w:pPr>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定制柜（58）</w:t>
            </w:r>
          </w:p>
        </w:tc>
        <w:tc>
          <w:tcPr>
            <w:tcW w:w="693" w:type="pct"/>
            <w:tcBorders>
              <w:top w:val="single" w:color="000000" w:sz="4" w:space="0"/>
              <w:left w:val="single" w:color="000000" w:sz="4" w:space="0"/>
              <w:bottom w:val="single" w:color="auto" w:sz="4" w:space="0"/>
              <w:right w:val="single" w:color="000000" w:sz="4" w:space="0"/>
            </w:tcBorders>
            <w:shd w:val="clear" w:color="auto" w:fill="auto"/>
            <w:vAlign w:val="center"/>
          </w:tcPr>
          <w:p w14:paraId="59DAE3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4160*450*3000</w:t>
            </w:r>
          </w:p>
          <w:p w14:paraId="1413E6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570A91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上下开门中间空格柜*5</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4C69A19">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5BD1B">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5B4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E3B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0C0A5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183"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7CA6E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131</w:t>
            </w:r>
          </w:p>
        </w:tc>
        <w:tc>
          <w:tcPr>
            <w:tcW w:w="474" w:type="pct"/>
            <w:tcBorders>
              <w:top w:val="single" w:color="auto" w:sz="4" w:space="0"/>
              <w:left w:val="single" w:color="000000" w:sz="4" w:space="0"/>
              <w:bottom w:val="single" w:color="auto" w:sz="4" w:space="0"/>
              <w:right w:val="single" w:color="000000" w:sz="4" w:space="0"/>
            </w:tcBorders>
            <w:shd w:val="clear" w:color="auto" w:fill="auto"/>
            <w:vAlign w:val="center"/>
          </w:tcPr>
          <w:p w14:paraId="5DB88AB6">
            <w:pPr>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定制柜（59）</w:t>
            </w:r>
          </w:p>
        </w:tc>
        <w:tc>
          <w:tcPr>
            <w:tcW w:w="693" w:type="pct"/>
            <w:tcBorders>
              <w:top w:val="single" w:color="auto" w:sz="4" w:space="0"/>
              <w:left w:val="single" w:color="000000" w:sz="4" w:space="0"/>
              <w:bottom w:val="single" w:color="auto" w:sz="4" w:space="0"/>
              <w:right w:val="single" w:color="000000" w:sz="4" w:space="0"/>
            </w:tcBorders>
            <w:shd w:val="clear" w:color="auto" w:fill="auto"/>
            <w:vAlign w:val="center"/>
          </w:tcPr>
          <w:p w14:paraId="6F7405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4060*450*3000</w:t>
            </w:r>
          </w:p>
          <w:p w14:paraId="3BB23F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6767EF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上下开门中间空格柜*5</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861F1E4">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E531A">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D8D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55A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65404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2" w:hRule="atLeast"/>
        </w:trPr>
        <w:tc>
          <w:tcPr>
            <w:tcW w:w="183"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26ED3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132</w:t>
            </w:r>
          </w:p>
        </w:tc>
        <w:tc>
          <w:tcPr>
            <w:tcW w:w="474" w:type="pct"/>
            <w:tcBorders>
              <w:top w:val="single" w:color="auto" w:sz="4" w:space="0"/>
              <w:left w:val="single" w:color="000000" w:sz="4" w:space="0"/>
              <w:bottom w:val="single" w:color="auto" w:sz="4" w:space="0"/>
              <w:right w:val="single" w:color="000000" w:sz="4" w:space="0"/>
            </w:tcBorders>
            <w:shd w:val="clear" w:color="auto" w:fill="auto"/>
            <w:vAlign w:val="center"/>
          </w:tcPr>
          <w:p w14:paraId="4B73291A">
            <w:pPr>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定制柜（60）</w:t>
            </w:r>
          </w:p>
        </w:tc>
        <w:tc>
          <w:tcPr>
            <w:tcW w:w="693" w:type="pct"/>
            <w:tcBorders>
              <w:top w:val="single" w:color="auto" w:sz="4" w:space="0"/>
              <w:left w:val="single" w:color="000000" w:sz="4" w:space="0"/>
              <w:bottom w:val="single" w:color="auto" w:sz="4" w:space="0"/>
              <w:right w:val="single" w:color="000000" w:sz="4" w:space="0"/>
            </w:tcBorders>
            <w:shd w:val="clear" w:color="auto" w:fill="auto"/>
            <w:vAlign w:val="center"/>
          </w:tcPr>
          <w:p w14:paraId="7B9A4A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4360*450*3000</w:t>
            </w:r>
          </w:p>
          <w:p w14:paraId="35B465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17F43C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上下开门中间空格柜*5</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29F399D">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0EA8B">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81F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40F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657CE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2" w:hRule="atLeast"/>
        </w:trPr>
        <w:tc>
          <w:tcPr>
            <w:tcW w:w="183"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673CA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133</w:t>
            </w:r>
          </w:p>
        </w:tc>
        <w:tc>
          <w:tcPr>
            <w:tcW w:w="474" w:type="pct"/>
            <w:tcBorders>
              <w:top w:val="single" w:color="auto" w:sz="4" w:space="0"/>
              <w:left w:val="single" w:color="000000" w:sz="4" w:space="0"/>
              <w:bottom w:val="single" w:color="auto" w:sz="4" w:space="0"/>
              <w:right w:val="single" w:color="000000" w:sz="4" w:space="0"/>
            </w:tcBorders>
            <w:shd w:val="clear" w:color="auto" w:fill="auto"/>
            <w:vAlign w:val="center"/>
          </w:tcPr>
          <w:p w14:paraId="25631255">
            <w:pPr>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定制柜（61）</w:t>
            </w:r>
          </w:p>
        </w:tc>
        <w:tc>
          <w:tcPr>
            <w:tcW w:w="693" w:type="pct"/>
            <w:tcBorders>
              <w:top w:val="single" w:color="auto" w:sz="4" w:space="0"/>
              <w:left w:val="single" w:color="000000" w:sz="4" w:space="0"/>
              <w:bottom w:val="single" w:color="auto" w:sz="4" w:space="0"/>
              <w:right w:val="single" w:color="000000" w:sz="4" w:space="0"/>
            </w:tcBorders>
            <w:shd w:val="clear" w:color="auto" w:fill="auto"/>
            <w:vAlign w:val="center"/>
          </w:tcPr>
          <w:p w14:paraId="799D6D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7200*450*3000</w:t>
            </w:r>
          </w:p>
          <w:p w14:paraId="231196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72014E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上下开门中间空格柜*8</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D1E322B">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0EFCD">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D54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716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504DA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2" w:hRule="atLeast"/>
        </w:trPr>
        <w:tc>
          <w:tcPr>
            <w:tcW w:w="183"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2188F9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134</w:t>
            </w:r>
          </w:p>
        </w:tc>
        <w:tc>
          <w:tcPr>
            <w:tcW w:w="474" w:type="pct"/>
            <w:tcBorders>
              <w:top w:val="single" w:color="auto" w:sz="4" w:space="0"/>
              <w:left w:val="single" w:color="000000" w:sz="4" w:space="0"/>
              <w:bottom w:val="single" w:color="000000" w:sz="4" w:space="0"/>
              <w:right w:val="single" w:color="000000" w:sz="4" w:space="0"/>
            </w:tcBorders>
            <w:shd w:val="clear" w:color="auto" w:fill="auto"/>
            <w:vAlign w:val="center"/>
          </w:tcPr>
          <w:p w14:paraId="6B7B5CF1">
            <w:pPr>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定制柜（62）</w:t>
            </w:r>
          </w:p>
        </w:tc>
        <w:tc>
          <w:tcPr>
            <w:tcW w:w="693" w:type="pct"/>
            <w:tcBorders>
              <w:top w:val="single" w:color="auto" w:sz="4" w:space="0"/>
              <w:left w:val="single" w:color="000000" w:sz="4" w:space="0"/>
              <w:bottom w:val="single" w:color="000000" w:sz="4" w:space="0"/>
              <w:right w:val="single" w:color="000000" w:sz="4" w:space="0"/>
            </w:tcBorders>
            <w:shd w:val="clear" w:color="auto" w:fill="auto"/>
            <w:vAlign w:val="center"/>
          </w:tcPr>
          <w:p w14:paraId="1AF756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3600*450*3000</w:t>
            </w:r>
          </w:p>
          <w:p w14:paraId="46C440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3E14529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上下开门中间空格柜*4</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647E0E5">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371D6">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692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1C7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09649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3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023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135</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52F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定制组合柜（1）</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7FC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7020*450*3000</w:t>
            </w:r>
          </w:p>
          <w:p w14:paraId="2AE003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4DCA49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双开通门柜*1</w:t>
            </w:r>
          </w:p>
          <w:p w14:paraId="0877B4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中间空格上下开门柜*1</w:t>
            </w:r>
          </w:p>
          <w:p w14:paraId="1827E7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其余为组合书柜</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3A529BC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1.基材：采用E0级多层板，游离甲醛释放量均达国家标准，所有层板厚度≥25mm,每层定制书架内高度≥35mm；                                                           </w:t>
            </w:r>
          </w:p>
          <w:p w14:paraId="3CC0B74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2.面材：采用优质天然实木木皮贴面，木皮厚度≥0.6mm；</w:t>
            </w:r>
          </w:p>
          <w:p w14:paraId="082B5CF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3.油漆：油性木器涂料涂饰，采用五底三面涂饰工艺，符合国家标准；</w:t>
            </w:r>
          </w:p>
          <w:p w14:paraId="30A6BFD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4.胶水：采用环保白乳胶；</w:t>
            </w:r>
          </w:p>
          <w:p w14:paraId="4F0DE4D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5.配件：优质五金配件；（铰链）均具备静音缓冲阻尼功能；</w:t>
            </w:r>
          </w:p>
          <w:p w14:paraId="403F42D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6.定制需求：需结合展陈对柜体进行优化；</w:t>
            </w:r>
          </w:p>
          <w:p w14:paraId="6062B47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7.工艺要求：1.空格柜四周围板厚度≥25mm，板材45°拼接；装饰板厚度≥5mm；支撑脚厚度≥36mm；背板及其余厚度均≥16mm.，所有三合一连接件部分均需近色美纹纸隐蔽处理，中间空格需安装射灯；</w:t>
            </w:r>
          </w:p>
          <w:p w14:paraId="350BDB2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8.成品：要求且不得出现可能产生危害的、危险性的、可触及的边部或尖端等.</w:t>
            </w:r>
          </w:p>
          <w:p w14:paraId="40C20B1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9.要求：顶部封板处理；</w:t>
            </w:r>
          </w:p>
          <w:p w14:paraId="43F9D50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300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99060</wp:posOffset>
                  </wp:positionH>
                  <wp:positionV relativeFrom="paragraph">
                    <wp:posOffset>606425</wp:posOffset>
                  </wp:positionV>
                  <wp:extent cx="1129030" cy="1044575"/>
                  <wp:effectExtent l="0" t="0" r="13970" b="3175"/>
                  <wp:wrapNone/>
                  <wp:docPr id="87" name="图片_138"/>
                  <wp:cNvGraphicFramePr/>
                  <a:graphic xmlns:a="http://schemas.openxmlformats.org/drawingml/2006/main">
                    <a:graphicData uri="http://schemas.openxmlformats.org/drawingml/2006/picture">
                      <pic:pic xmlns:pic="http://schemas.openxmlformats.org/drawingml/2006/picture">
                        <pic:nvPicPr>
                          <pic:cNvPr id="87" name="图片_138"/>
                          <pic:cNvPicPr/>
                        </pic:nvPicPr>
                        <pic:blipFill>
                          <a:blip r:embed="rId86"/>
                          <a:stretch>
                            <a:fillRect/>
                          </a:stretch>
                        </pic:blipFill>
                        <pic:spPr>
                          <a:xfrm>
                            <a:off x="0" y="0"/>
                            <a:ext cx="1129030" cy="104457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FB1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9FD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2F465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154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136</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5AE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定制组合柜（2）</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0D1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1800*450*3000</w:t>
            </w:r>
          </w:p>
          <w:p w14:paraId="518AF0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043084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双面空格柜</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73B1DC7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4592320</wp:posOffset>
                  </wp:positionH>
                  <wp:positionV relativeFrom="paragraph">
                    <wp:posOffset>416560</wp:posOffset>
                  </wp:positionV>
                  <wp:extent cx="1341755" cy="1905635"/>
                  <wp:effectExtent l="0" t="0" r="10795" b="18415"/>
                  <wp:wrapNone/>
                  <wp:docPr id="88" name="图片_136"/>
                  <wp:cNvGraphicFramePr/>
                  <a:graphic xmlns:a="http://schemas.openxmlformats.org/drawingml/2006/main">
                    <a:graphicData uri="http://schemas.openxmlformats.org/drawingml/2006/picture">
                      <pic:pic xmlns:pic="http://schemas.openxmlformats.org/drawingml/2006/picture">
                        <pic:nvPicPr>
                          <pic:cNvPr id="88" name="图片_136"/>
                          <pic:cNvPicPr/>
                        </pic:nvPicPr>
                        <pic:blipFill>
                          <a:blip r:embed="rId87"/>
                          <a:stretch>
                            <a:fillRect/>
                          </a:stretch>
                        </pic:blipFill>
                        <pic:spPr>
                          <a:xfrm>
                            <a:off x="0" y="0"/>
                            <a:ext cx="1341755" cy="1905635"/>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1.基材：采用E0级多层板，游离甲醛释放量均达国家标准，所有层板厚度≥25mm,每层定制书架内高度≥35mm；                                                           </w:t>
            </w:r>
          </w:p>
          <w:p w14:paraId="7A2F651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2.面材：采用优质天然实木木皮贴面，木皮厚度≥0.6mm；</w:t>
            </w:r>
          </w:p>
          <w:p w14:paraId="2518A46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3.油漆：油性木器涂料涂饰，采用五底三面涂饰工艺，符合国家标准；</w:t>
            </w:r>
          </w:p>
          <w:p w14:paraId="4D2E144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4.胶水：采用环保白乳胶；</w:t>
            </w:r>
          </w:p>
          <w:p w14:paraId="2FA60B6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5.配件：优质五金配件；（铰链）均具备静音缓冲阻尼功能；</w:t>
            </w:r>
          </w:p>
          <w:p w14:paraId="752B63C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6.定制需求：需结合展陈对柜体进行优化；</w:t>
            </w:r>
          </w:p>
          <w:p w14:paraId="1FC7E12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7.工艺要求：1.空格柜四周围板厚度≥25mm，板材45°拼接；.装饰板厚度≥5mm；支撑脚厚度≥36mm；移门厚度≥8mm；其余厚度均≥16mm.，所有三合一连接件部分均需近色美纹纸隐蔽处理；</w:t>
            </w:r>
          </w:p>
          <w:p w14:paraId="6A0B1BD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8.成品：要求且不得出现可能产生危害的、危险性的、可触及的边部或尖端等；</w:t>
            </w:r>
          </w:p>
          <w:p w14:paraId="4EB5C68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9.要求：顶部封板处理；</w:t>
            </w:r>
          </w:p>
          <w:p w14:paraId="56C89C8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9A8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CC0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870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38E24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918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137</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C39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定制组合柜（3）</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C67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2690*450*3000</w:t>
            </w:r>
          </w:p>
          <w:p w14:paraId="5AB852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26B84B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上空格下开门*3</w:t>
            </w:r>
          </w:p>
        </w:tc>
        <w:tc>
          <w:tcPr>
            <w:tcW w:w="2515"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6EC5A89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1.基材：采用E0级多层板，游离甲醛释放量均达国家标准，所有层板厚度≥25mm,每层定制书架内高度≥35mm；                                                           </w:t>
            </w:r>
          </w:p>
          <w:p w14:paraId="69780CC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2.面材：采用优质天然实木木皮贴面，木皮厚度≥0.6mm；</w:t>
            </w:r>
          </w:p>
          <w:p w14:paraId="7BB23EF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3.油漆：油性木器涂料涂饰，采用五底三面涂饰工艺，符合国家标准；</w:t>
            </w:r>
          </w:p>
          <w:p w14:paraId="1E0EB84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4.胶水：采用环保白乳胶；</w:t>
            </w:r>
          </w:p>
          <w:p w14:paraId="799F7C4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5.配件：优质五金配件；（铰链）均具备静音缓冲阻尼功能；</w:t>
            </w:r>
          </w:p>
          <w:p w14:paraId="7127A2F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6.定制需求：需结合展陈对柜体进行优化；</w:t>
            </w:r>
          </w:p>
          <w:p w14:paraId="585D61A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7.工艺要求：1.空格柜四周围板厚度≥25mm，板材45°拼接；.装饰板厚度≥5mm；支撑脚厚度≥36mm；背板及其余厚度均≥16mm.，所有三合一连接件部分均需近色美纹纸隐蔽处理；</w:t>
            </w:r>
          </w:p>
          <w:p w14:paraId="34092A1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8.成品：要求且不得出现可能产生危害的、危险性的、可触及的边部或尖端等；</w:t>
            </w:r>
          </w:p>
          <w:p w14:paraId="42A231E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9.要求：顶部封板处理；</w:t>
            </w:r>
          </w:p>
          <w:p w14:paraId="25A9B98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10.颜色：颜色可定制；</w:t>
            </w:r>
          </w:p>
        </w:tc>
        <w:tc>
          <w:tcPr>
            <w:tcW w:w="7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8BC2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33020</wp:posOffset>
                  </wp:positionH>
                  <wp:positionV relativeFrom="paragraph">
                    <wp:posOffset>471805</wp:posOffset>
                  </wp:positionV>
                  <wp:extent cx="1304290" cy="1809115"/>
                  <wp:effectExtent l="0" t="0" r="10160" b="635"/>
                  <wp:wrapNone/>
                  <wp:docPr id="79" name="图片_139"/>
                  <wp:cNvGraphicFramePr/>
                  <a:graphic xmlns:a="http://schemas.openxmlformats.org/drawingml/2006/main">
                    <a:graphicData uri="http://schemas.openxmlformats.org/drawingml/2006/picture">
                      <pic:pic xmlns:pic="http://schemas.openxmlformats.org/drawingml/2006/picture">
                        <pic:nvPicPr>
                          <pic:cNvPr id="79" name="图片_139"/>
                          <pic:cNvPicPr/>
                        </pic:nvPicPr>
                        <pic:blipFill>
                          <a:blip r:embed="rId88"/>
                          <a:stretch>
                            <a:fillRect/>
                          </a:stretch>
                        </pic:blipFill>
                        <pic:spPr>
                          <a:xfrm>
                            <a:off x="0" y="0"/>
                            <a:ext cx="1304290" cy="180911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383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A9A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4ABB4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69C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138</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AEA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定制组合柜（4）</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C97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2410*450*3000</w:t>
            </w:r>
          </w:p>
          <w:p w14:paraId="785307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57513B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上空格下开门*3</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01C7E95">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24727">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FC3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B7C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73552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4AF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139</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C41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定制组合柜（5）</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912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6510*450*3000</w:t>
            </w:r>
          </w:p>
          <w:p w14:paraId="02A425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3F261D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上下开门中间空格*4</w:t>
            </w:r>
          </w:p>
          <w:p w14:paraId="3629A2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上下开门中间大空格*1</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38A7E37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1.基材：采用E0级多层板，游离甲醛释放量均达国家标准，所有层板厚度≥25mm,每层定制书架内高度≥35mm；                                                           </w:t>
            </w:r>
          </w:p>
          <w:p w14:paraId="6756958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2.面材：采用优质天然实木木皮贴面，木皮厚度≥0.6mm；</w:t>
            </w:r>
          </w:p>
          <w:p w14:paraId="394BAEB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3.油漆：油性木器涂料涂饰，采用五底三面涂饰工艺，符合国家标准；</w:t>
            </w:r>
          </w:p>
          <w:p w14:paraId="7251C9D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4.胶水：采用环保白乳胶；</w:t>
            </w:r>
          </w:p>
          <w:p w14:paraId="71DD60B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5.配件：优质五金配件；（铰链）均具备静音缓冲阻尼功能；</w:t>
            </w:r>
          </w:p>
          <w:p w14:paraId="231CE50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6.定制需求：需结合展陈对柜体进行优化；</w:t>
            </w:r>
          </w:p>
          <w:p w14:paraId="23FB294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7.工艺要求：1.空格柜四周围板厚度≥25mm，板材45°拼接；.装饰板厚度≥5mm；支撑脚厚度≥36mm；.其余厚度均≥16mm.，所有三合一连接件部分均需近色美纹纸隐蔽处理，中间空格需安装射灯；</w:t>
            </w:r>
          </w:p>
          <w:p w14:paraId="7605CDA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8.成品：要求且不得出现可能产生危害的、危险性的、可触及的边部或尖端等；</w:t>
            </w:r>
          </w:p>
          <w:p w14:paraId="3C186B1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9.要求：顶部封板处理；</w:t>
            </w:r>
          </w:p>
          <w:p w14:paraId="7FD4BD9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889B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132080</wp:posOffset>
                  </wp:positionH>
                  <wp:positionV relativeFrom="paragraph">
                    <wp:posOffset>885825</wp:posOffset>
                  </wp:positionV>
                  <wp:extent cx="956945" cy="1289685"/>
                  <wp:effectExtent l="0" t="0" r="14605" b="5715"/>
                  <wp:wrapNone/>
                  <wp:docPr id="98" name="图片_137"/>
                  <wp:cNvGraphicFramePr/>
                  <a:graphic xmlns:a="http://schemas.openxmlformats.org/drawingml/2006/main">
                    <a:graphicData uri="http://schemas.openxmlformats.org/drawingml/2006/picture">
                      <pic:pic xmlns:pic="http://schemas.openxmlformats.org/drawingml/2006/picture">
                        <pic:nvPicPr>
                          <pic:cNvPr id="98" name="图片_137"/>
                          <pic:cNvPicPr/>
                        </pic:nvPicPr>
                        <pic:blipFill>
                          <a:blip r:embed="rId89"/>
                          <a:stretch>
                            <a:fillRect/>
                          </a:stretch>
                        </pic:blipFill>
                        <pic:spPr>
                          <a:xfrm>
                            <a:off x="0" y="0"/>
                            <a:ext cx="956945" cy="128968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4C2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6FA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65CAF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463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140</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8CC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客厅背景柜</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140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4030*450*3000</w:t>
            </w:r>
          </w:p>
          <w:p w14:paraId="6C08F9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（以现场实际测量为准）</w:t>
            </w:r>
          </w:p>
          <w:p w14:paraId="018D4E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上空格下开门*1</w:t>
            </w:r>
          </w:p>
          <w:p w14:paraId="024EE4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全空格柜*2</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48F9B68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1.基材：采用E0级多层板，游离甲醛释放量均达国家标准，所有层板及隔板厚度≥25mm,背板及其余板材厚度≥16mm，每层定制书架内高度≥35mm；                                                           </w:t>
            </w:r>
          </w:p>
          <w:p w14:paraId="10C901D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2.面材：采用优质天然实木木皮贴面，木皮厚度≥0.6mm；</w:t>
            </w:r>
          </w:p>
          <w:p w14:paraId="74561E1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3.油漆：油性木器涂料涂饰，采用五底三面涂饰工艺，符合国家标准；</w:t>
            </w:r>
          </w:p>
          <w:p w14:paraId="0895924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4.胶水：采用环保白乳胶；</w:t>
            </w:r>
          </w:p>
          <w:p w14:paraId="2A56FED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5.配件：优质五金配件；（铰链）均具备静音缓冲阻尼功能；</w:t>
            </w:r>
          </w:p>
          <w:p w14:paraId="6566392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6.定制需求：需结合现场电视对柜体进行优化；</w:t>
            </w:r>
          </w:p>
          <w:p w14:paraId="7555A00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7.成品：要求且不得出现可能产生危害的、危险性的、可触及的边部或尖端等；</w:t>
            </w:r>
          </w:p>
          <w:p w14:paraId="4C9E715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10B19">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241935</wp:posOffset>
                  </wp:positionH>
                  <wp:positionV relativeFrom="paragraph">
                    <wp:posOffset>424815</wp:posOffset>
                  </wp:positionV>
                  <wp:extent cx="747395" cy="1338580"/>
                  <wp:effectExtent l="0" t="0" r="14605" b="13970"/>
                  <wp:wrapNone/>
                  <wp:docPr id="96" name="图片_74"/>
                  <wp:cNvGraphicFramePr/>
                  <a:graphic xmlns:a="http://schemas.openxmlformats.org/drawingml/2006/main">
                    <a:graphicData uri="http://schemas.openxmlformats.org/drawingml/2006/picture">
                      <pic:pic xmlns:pic="http://schemas.openxmlformats.org/drawingml/2006/picture">
                        <pic:nvPicPr>
                          <pic:cNvPr id="96" name="图片_74"/>
                          <pic:cNvPicPr/>
                        </pic:nvPicPr>
                        <pic:blipFill>
                          <a:blip r:embed="rId90"/>
                          <a:stretch>
                            <a:fillRect/>
                          </a:stretch>
                        </pic:blipFill>
                        <pic:spPr>
                          <a:xfrm>
                            <a:off x="0" y="0"/>
                            <a:ext cx="747395" cy="133858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A97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17</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27F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4E659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565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141</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EB2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书椅</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9E79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650*580*900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073E69F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1.框架：采用优质白蜡木实木制作，所有木材都进行烘干及防蛀处理，木材含水率8-12%；无腐朽、无虫眼、无死结；</w:t>
            </w:r>
          </w:p>
          <w:p w14:paraId="6202FC2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2油漆：采用水性漆；</w:t>
            </w:r>
          </w:p>
          <w:p w14:paraId="2A685F4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6F1A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-49530</wp:posOffset>
                  </wp:positionH>
                  <wp:positionV relativeFrom="paragraph">
                    <wp:posOffset>-228600</wp:posOffset>
                  </wp:positionV>
                  <wp:extent cx="1115695" cy="1601470"/>
                  <wp:effectExtent l="0" t="0" r="8255" b="17780"/>
                  <wp:wrapNone/>
                  <wp:docPr id="80" name="图片_84"/>
                  <wp:cNvGraphicFramePr/>
                  <a:graphic xmlns:a="http://schemas.openxmlformats.org/drawingml/2006/main">
                    <a:graphicData uri="http://schemas.openxmlformats.org/drawingml/2006/picture">
                      <pic:pic xmlns:pic="http://schemas.openxmlformats.org/drawingml/2006/picture">
                        <pic:nvPicPr>
                          <pic:cNvPr id="80" name="图片_84"/>
                          <pic:cNvPicPr/>
                        </pic:nvPicPr>
                        <pic:blipFill>
                          <a:blip r:embed="rId91"/>
                          <a:stretch>
                            <a:fillRect/>
                          </a:stretch>
                        </pic:blipFill>
                        <pic:spPr>
                          <a:xfrm>
                            <a:off x="0" y="0"/>
                            <a:ext cx="1115695" cy="160147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66C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17</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BD3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4ED01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293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142</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861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展台</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9C21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3000*1200*760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5C61DDE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1.基材：原木部件均采用白蜡木原木.表面采用环保水性清漆处理，三底两面，漆膜均匀、饱满.桌面板厚度≥60mm</w:t>
            </w:r>
          </w:p>
          <w:p w14:paraId="119EF87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2.封边：采用环保水性漆处理，木质纹理清晰可见，无明显黑色结疤或残缺；</w:t>
            </w:r>
          </w:p>
          <w:p w14:paraId="242AB0A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3.成品：要求且不得出现可能产生危害的、危险性的、可触及的边部或尖端等.棱角及边缘部位经倒圆或倒角处理；                    </w:t>
            </w:r>
          </w:p>
          <w:p w14:paraId="111A56A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4工艺要求：桌面厚度≥60mm;支撑脚厚度≥40mm;挡板厚度≥16mm；</w:t>
            </w:r>
          </w:p>
          <w:p w14:paraId="2169AB5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5.根据图纸需进行组合结构设计，整体设计需植入“天元”相关元素.</w:t>
            </w:r>
          </w:p>
          <w:p w14:paraId="1EA75B5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6.颜色：颜色可定制；</w:t>
            </w:r>
          </w:p>
        </w:tc>
        <w:tc>
          <w:tcPr>
            <w:tcW w:w="7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541B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78105</wp:posOffset>
                  </wp:positionH>
                  <wp:positionV relativeFrom="paragraph">
                    <wp:posOffset>1196975</wp:posOffset>
                  </wp:positionV>
                  <wp:extent cx="1083945" cy="2029460"/>
                  <wp:effectExtent l="0" t="0" r="1905" b="8890"/>
                  <wp:wrapNone/>
                  <wp:docPr id="101" name="图片_82"/>
                  <wp:cNvGraphicFramePr/>
                  <a:graphic xmlns:a="http://schemas.openxmlformats.org/drawingml/2006/main">
                    <a:graphicData uri="http://schemas.openxmlformats.org/drawingml/2006/picture">
                      <pic:pic xmlns:pic="http://schemas.openxmlformats.org/drawingml/2006/picture">
                        <pic:nvPicPr>
                          <pic:cNvPr id="101" name="图片_82"/>
                          <pic:cNvPicPr/>
                        </pic:nvPicPr>
                        <pic:blipFill>
                          <a:blip r:embed="rId92"/>
                          <a:stretch>
                            <a:fillRect/>
                          </a:stretch>
                        </pic:blipFill>
                        <pic:spPr>
                          <a:xfrm>
                            <a:off x="0" y="0"/>
                            <a:ext cx="1083945" cy="202946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795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209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2CC0D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D0A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143</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450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座椅</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A17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575*570*790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020EF2E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1.框架：采用优质白蜡木实木制作，所有木材都进行烘干及防蛀处理，木材含水率8-12%；无腐朽、无虫眼、无死结；</w:t>
            </w:r>
          </w:p>
          <w:p w14:paraId="337F1EA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2.饰面：采用优质牛皮饰面，厚度≥1.0mm，经液态浸色及防潮、防污等工艺处理，皮面更加柔软舒适、光泽持久性好，纹理细腻，耐磨损；</w:t>
            </w:r>
          </w:p>
          <w:p w14:paraId="0F1B738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3.油漆：采用水性漆；</w:t>
            </w:r>
          </w:p>
          <w:p w14:paraId="583F16A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4.海绵：采用优质高弹阻燃海绵，软硬适中、不变形、回弹性好、抗疲劳能力强、坐感舒适.表面涂有防止老化变形的保护膜；</w:t>
            </w:r>
          </w:p>
          <w:p w14:paraId="4E08E93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D4428C">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E3C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B23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468DB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567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144</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E62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阅览桌（1）</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A39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2400*1200*760</w:t>
            </w:r>
          </w:p>
        </w:tc>
        <w:tc>
          <w:tcPr>
            <w:tcW w:w="2515"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6D1D655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1.基材：原木部件均采用白蜡木原木.表面采用环保水性清漆处理，三底两面，漆膜均匀、饱满.桌面板厚度≥60mm</w:t>
            </w:r>
          </w:p>
          <w:p w14:paraId="3DCF431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2.封边：采用环保水性漆处理，木质纹理清晰可见，无明显黑色结疤或残缺；</w:t>
            </w:r>
          </w:p>
          <w:p w14:paraId="3629992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3.成品：要求且不得出现可能产生危害的、危险性的、可触及的边部或尖端等.</w:t>
            </w: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4712335</wp:posOffset>
                  </wp:positionH>
                  <wp:positionV relativeFrom="paragraph">
                    <wp:posOffset>287655</wp:posOffset>
                  </wp:positionV>
                  <wp:extent cx="923290" cy="2058035"/>
                  <wp:effectExtent l="0" t="0" r="10160" b="18415"/>
                  <wp:wrapNone/>
                  <wp:docPr id="102" name="图片_83"/>
                  <wp:cNvGraphicFramePr/>
                  <a:graphic xmlns:a="http://schemas.openxmlformats.org/drawingml/2006/main">
                    <a:graphicData uri="http://schemas.openxmlformats.org/drawingml/2006/picture">
                      <pic:pic xmlns:pic="http://schemas.openxmlformats.org/drawingml/2006/picture">
                        <pic:nvPicPr>
                          <pic:cNvPr id="102" name="图片_83"/>
                          <pic:cNvPicPr/>
                        </pic:nvPicPr>
                        <pic:blipFill>
                          <a:blip r:embed="rId93"/>
                          <a:stretch>
                            <a:fillRect/>
                          </a:stretch>
                        </pic:blipFill>
                        <pic:spPr>
                          <a:xfrm>
                            <a:off x="0" y="0"/>
                            <a:ext cx="923290" cy="2058035"/>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棱角及边缘部位经倒圆或倒角处理，桌面厚度≥60mm;支撑脚厚度≥40mm;</w:t>
            </w:r>
          </w:p>
          <w:p w14:paraId="62BA6CF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4.颜色：颜色可定制；</w:t>
            </w:r>
          </w:p>
        </w:tc>
        <w:tc>
          <w:tcPr>
            <w:tcW w:w="7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101B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10C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24</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612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51CED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656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145</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88E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阅览桌（2）</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F63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3900*1200*760</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9F986AB">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8C669E">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5DC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FFA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64654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B06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146</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646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阅览椅</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FD6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450*450*810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4D9ADC9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1.框架：采用优质白蜡木原木制作，所有木材都进行烘干及防蛀处理，木材含水率8-12%；无腐朽、无虫眼、无死结；</w:t>
            </w:r>
          </w:p>
          <w:p w14:paraId="55EF278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2.饰面：采用优质牛皮饰面，厚度≥1.0mm，经液态浸色及防潮、防污等工艺处理，皮面更加柔软舒适、光泽持久性好，纹理细腻，耐磨损；</w:t>
            </w:r>
          </w:p>
          <w:p w14:paraId="20F29ED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3.油漆：采用水性漆；</w:t>
            </w:r>
          </w:p>
          <w:p w14:paraId="21E7436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4.海绵：采用优质高弹阻燃海绵，软硬适中、不变形、回弹性好、抗疲劳能力强、坐感舒适.表面涂有防止老化变形的保护膜；</w:t>
            </w:r>
          </w:p>
          <w:p w14:paraId="051A79E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E5BEB">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636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116</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806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r>
      <w:tr w14:paraId="4E799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C66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147</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520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阅读桌（3）</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696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2400*1200*750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0BA6289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1.基材：原木部件均采用白蜡木原木.表面采用环保水性清漆处理，三底两面，漆膜均匀、饱满.桌面板厚度≥60mm</w:t>
            </w:r>
          </w:p>
          <w:p w14:paraId="7D473B2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2.封边：采用环保水性漆处理，木质纹理清晰可见，无明显黑色结疤或残缺；</w:t>
            </w:r>
          </w:p>
          <w:p w14:paraId="0741EE0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3.成品：要求且不得出现可能产生危害的、危险性的、可触及的边部或尖端等.棱角及边缘部位经倒圆或倒角处理，桌面厚度≥60mm;支撑脚厚度≥40mm;</w:t>
            </w:r>
          </w:p>
          <w:p w14:paraId="587364A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DD9A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132080</wp:posOffset>
                  </wp:positionH>
                  <wp:positionV relativeFrom="paragraph">
                    <wp:posOffset>504825</wp:posOffset>
                  </wp:positionV>
                  <wp:extent cx="1087120" cy="1115695"/>
                  <wp:effectExtent l="0" t="0" r="17780" b="8255"/>
                  <wp:wrapNone/>
                  <wp:docPr id="89" name="图片_99"/>
                  <wp:cNvGraphicFramePr/>
                  <a:graphic xmlns:a="http://schemas.openxmlformats.org/drawingml/2006/main">
                    <a:graphicData uri="http://schemas.openxmlformats.org/drawingml/2006/picture">
                      <pic:pic xmlns:pic="http://schemas.openxmlformats.org/drawingml/2006/picture">
                        <pic:nvPicPr>
                          <pic:cNvPr id="89" name="图片_99"/>
                          <pic:cNvPicPr/>
                        </pic:nvPicPr>
                        <pic:blipFill>
                          <a:blip r:embed="rId94"/>
                          <a:stretch>
                            <a:fillRect/>
                          </a:stretch>
                        </pic:blipFill>
                        <pic:spPr>
                          <a:xfrm>
                            <a:off x="0" y="0"/>
                            <a:ext cx="1087120" cy="111569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408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D9F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2A407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704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148</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E01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定制餐桌（1）</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E691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1500*750*760</w:t>
            </w:r>
          </w:p>
        </w:tc>
        <w:tc>
          <w:tcPr>
            <w:tcW w:w="2515"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3AAAAE0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1.面材：采用优质天然实木木皮贴面，木皮厚度≥0.6mm；</w:t>
            </w:r>
          </w:p>
          <w:p w14:paraId="712751A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2.基材：采用E0级多层板，桌面厚度≥36mm，各项性能均优于国家标准；</w:t>
            </w:r>
          </w:p>
          <w:p w14:paraId="74AAD96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3.油漆：油性木器涂料涂饰，采用五底三面涂饰工艺，符合国家标准；</w:t>
            </w:r>
          </w:p>
          <w:p w14:paraId="6B4D07C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4.胶水：采用环保白乳胶；</w:t>
            </w:r>
          </w:p>
          <w:p w14:paraId="3E3C22A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5.底部：台架、台脚,壁厚1.5mm以上的金属脚架，可调节水平；</w:t>
            </w:r>
          </w:p>
          <w:p w14:paraId="1406720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6.颜色：颜色可定制；</w:t>
            </w:r>
          </w:p>
        </w:tc>
        <w:tc>
          <w:tcPr>
            <w:tcW w:w="7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A9F4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135890</wp:posOffset>
                  </wp:positionH>
                  <wp:positionV relativeFrom="paragraph">
                    <wp:posOffset>590550</wp:posOffset>
                  </wp:positionV>
                  <wp:extent cx="985520" cy="969645"/>
                  <wp:effectExtent l="0" t="0" r="5080" b="1905"/>
                  <wp:wrapNone/>
                  <wp:docPr id="93" name="图片_94"/>
                  <wp:cNvGraphicFramePr/>
                  <a:graphic xmlns:a="http://schemas.openxmlformats.org/drawingml/2006/main">
                    <a:graphicData uri="http://schemas.openxmlformats.org/drawingml/2006/picture">
                      <pic:pic xmlns:pic="http://schemas.openxmlformats.org/drawingml/2006/picture">
                        <pic:nvPicPr>
                          <pic:cNvPr id="93" name="图片_94"/>
                          <pic:cNvPicPr/>
                        </pic:nvPicPr>
                        <pic:blipFill>
                          <a:blip r:embed="rId95"/>
                          <a:stretch>
                            <a:fillRect/>
                          </a:stretch>
                        </pic:blipFill>
                        <pic:spPr>
                          <a:xfrm>
                            <a:off x="0" y="0"/>
                            <a:ext cx="985520" cy="96964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5A6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16</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7E3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3CAA4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15B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149</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C98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定制餐桌（2）</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B99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750*750*760</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6D7E513">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614F4">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98F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551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0261E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6CC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150</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4FF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大定制大会议桌（1）</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8F4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8000*2200*760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0A3D349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1.面材：采用优质天然实木木皮贴面，木皮厚度≥0.6mm；</w:t>
            </w:r>
          </w:p>
          <w:p w14:paraId="6244D39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2.基材：采用E0级中纤板，各项性能均优于国家标准；</w:t>
            </w:r>
          </w:p>
          <w:p w14:paraId="1A452A2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3.油漆：油性木器涂料涂饰，采用五底三面涂饰工艺，符合国家标准；</w:t>
            </w:r>
          </w:p>
          <w:p w14:paraId="24D99EF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4.胶水：采用环保白乳胶；</w:t>
            </w:r>
          </w:p>
          <w:p w14:paraId="2B0004C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5.桌面边缘具备手机充电功能；</w:t>
            </w:r>
          </w:p>
          <w:p w14:paraId="3792478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6.按照桌面分块合理配置多功能集成线盒，至少两个线盒内包含高清口，其余线盒均全部强电；</w:t>
            </w:r>
          </w:p>
          <w:p w14:paraId="1090857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7.工艺要求：台面板分层式设计，整体厚度≥140mm，边缘配置手机充电功能；支撑箱体多边形结构，内置隐藏上线即检修功能；桌面单面/双面木质毛刷翻盖，静音缓冲结构.</w:t>
            </w:r>
          </w:p>
          <w:p w14:paraId="117CA06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6E0F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732155</wp:posOffset>
                  </wp:positionV>
                  <wp:extent cx="978535" cy="891540"/>
                  <wp:effectExtent l="0" t="0" r="12065" b="3810"/>
                  <wp:wrapNone/>
                  <wp:docPr id="77" name="图片_90"/>
                  <wp:cNvGraphicFramePr/>
                  <a:graphic xmlns:a="http://schemas.openxmlformats.org/drawingml/2006/main">
                    <a:graphicData uri="http://schemas.openxmlformats.org/drawingml/2006/picture">
                      <pic:pic xmlns:pic="http://schemas.openxmlformats.org/drawingml/2006/picture">
                        <pic:nvPicPr>
                          <pic:cNvPr id="77" name="图片_90"/>
                          <pic:cNvPicPr/>
                        </pic:nvPicPr>
                        <pic:blipFill>
                          <a:blip r:embed="rId96"/>
                          <a:stretch>
                            <a:fillRect/>
                          </a:stretch>
                        </pic:blipFill>
                        <pic:spPr>
                          <a:xfrm>
                            <a:off x="0" y="0"/>
                            <a:ext cx="978535" cy="89154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78A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616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1BBB5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E22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151</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130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大定制会议桌（2）</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43C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12000*2200*760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7561582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1.面材：采用优质天然实木木皮贴面，木皮厚度≥0.6mm；</w:t>
            </w:r>
          </w:p>
          <w:p w14:paraId="5F5C31B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2.基材：采用E0级中纤板，各项性能均优于国家标准；</w:t>
            </w:r>
          </w:p>
          <w:p w14:paraId="44FAA54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3.油漆：油性木器涂料涂饰，采用五底三面涂饰工艺，符合国家标准；</w:t>
            </w:r>
          </w:p>
          <w:p w14:paraId="5945631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4.胶水：采用环保白乳胶；</w:t>
            </w:r>
          </w:p>
          <w:p w14:paraId="3BCD8E1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5.按照桌面分块合理配置多功能集成线盒，至少两个线盒内包含高清口，其余线盒均全部强电；</w:t>
            </w:r>
          </w:p>
          <w:p w14:paraId="6774A8B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6.工艺要求：桌面厚度≥90mm，桌面四周倒圆及边缘倒边；支撑脚板厚≥36mm，其余板材部分均≥16mm；支撑箱体多边形结构，内置隐藏上线即检修功能；桌面单面/双面木质或金属毛刷翻盖，静音缓冲结构；</w:t>
            </w:r>
          </w:p>
          <w:p w14:paraId="230E12C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7067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232410</wp:posOffset>
                  </wp:positionH>
                  <wp:positionV relativeFrom="paragraph">
                    <wp:posOffset>391795</wp:posOffset>
                  </wp:positionV>
                  <wp:extent cx="1061085" cy="1076960"/>
                  <wp:effectExtent l="0" t="0" r="5715" b="8890"/>
                  <wp:wrapNone/>
                  <wp:docPr id="105" name="图片_89"/>
                  <wp:cNvGraphicFramePr/>
                  <a:graphic xmlns:a="http://schemas.openxmlformats.org/drawingml/2006/main">
                    <a:graphicData uri="http://schemas.openxmlformats.org/drawingml/2006/picture">
                      <pic:pic xmlns:pic="http://schemas.openxmlformats.org/drawingml/2006/picture">
                        <pic:nvPicPr>
                          <pic:cNvPr id="105" name="图片_89"/>
                          <pic:cNvPicPr/>
                        </pic:nvPicPr>
                        <pic:blipFill>
                          <a:blip r:embed="rId97"/>
                          <a:stretch>
                            <a:fillRect/>
                          </a:stretch>
                        </pic:blipFill>
                        <pic:spPr>
                          <a:xfrm>
                            <a:off x="0" y="0"/>
                            <a:ext cx="1061085" cy="107696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5DE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EF7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22563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ACA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152</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28E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大定制会议桌（3）</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997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9600*2000*760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66DCBAE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1.面材：采用优质天然实木木皮贴面，木皮厚度≥0.6mm；</w:t>
            </w:r>
          </w:p>
          <w:p w14:paraId="0761F7B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2.基材：采用E0级中纤板，各项性能均优于国家标准；</w:t>
            </w:r>
          </w:p>
          <w:p w14:paraId="548124A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3.油漆：油性木器涂料涂饰，采用五底三面涂饰工艺，符合国家标准；</w:t>
            </w:r>
          </w:p>
          <w:p w14:paraId="17D35CA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4.胶水：采用环保白乳胶；</w:t>
            </w:r>
          </w:p>
          <w:p w14:paraId="1522FBF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5.按照桌面分块合理配置多功能集成线盒，至少两个线盒内包含高清口，其余线盒均全部强电；</w:t>
            </w:r>
          </w:p>
          <w:p w14:paraId="280A536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6.工艺要求：桌面厚度≥90mm，桌面四周倒圆及边缘倒边；支撑脚板厚≥36mm，其余板材部分均≥16mm；支撑箱体多边形结构，内置隐藏上线即检修功能；桌面单面/双面木质或金属毛刷翻盖，静音缓冲结构；</w:t>
            </w:r>
          </w:p>
          <w:p w14:paraId="1981335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C4A8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107950</wp:posOffset>
                  </wp:positionH>
                  <wp:positionV relativeFrom="paragraph">
                    <wp:posOffset>652780</wp:posOffset>
                  </wp:positionV>
                  <wp:extent cx="1125855" cy="1169035"/>
                  <wp:effectExtent l="0" t="0" r="17145" b="12065"/>
                  <wp:wrapNone/>
                  <wp:docPr id="81" name="图片_88"/>
                  <wp:cNvGraphicFramePr/>
                  <a:graphic xmlns:a="http://schemas.openxmlformats.org/drawingml/2006/main">
                    <a:graphicData uri="http://schemas.openxmlformats.org/drawingml/2006/picture">
                      <pic:pic xmlns:pic="http://schemas.openxmlformats.org/drawingml/2006/picture">
                        <pic:nvPicPr>
                          <pic:cNvPr id="81" name="图片_88"/>
                          <pic:cNvPicPr/>
                        </pic:nvPicPr>
                        <pic:blipFill>
                          <a:blip r:embed="rId98"/>
                          <a:stretch>
                            <a:fillRect/>
                          </a:stretch>
                        </pic:blipFill>
                        <pic:spPr>
                          <a:xfrm>
                            <a:off x="0" y="0"/>
                            <a:ext cx="1125855" cy="116903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36B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C4D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58FBA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89E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153</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467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大定制会议桌（4）</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85B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4500*1800*760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634494E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1.面材：采用优质天然实木木皮贴面，木皮厚度≥0.6mm；</w:t>
            </w:r>
          </w:p>
          <w:p w14:paraId="5EF09DE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2.基材：采用E0级中纤板，各项性能均优于国家标准；</w:t>
            </w:r>
          </w:p>
          <w:p w14:paraId="651B448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3.油漆：油性木器涂料涂饰，采用五底三面涂饰工艺，符合国家标准；</w:t>
            </w:r>
          </w:p>
          <w:p w14:paraId="0E1FFF9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4.胶水：采用环保白乳胶；</w:t>
            </w:r>
          </w:p>
          <w:p w14:paraId="652F36D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5.按照桌面分块合理配置多功能集成线盒，至少两个线盒内包含高清口，其余线盒均全部强电；</w:t>
            </w:r>
          </w:p>
          <w:p w14:paraId="0BE20EA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6.工艺要求：桌面厚度≥90mm，桌面四周倒圆及边缘倒边；支撑脚板厚≥36mm，其余板材部分均≥16mm；支撑箱体多边形结构，内置隐藏上线即检修功能；桌面单面/双面木质或金属毛刷翻盖，静音缓冲结构；</w:t>
            </w:r>
          </w:p>
          <w:p w14:paraId="7830194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577F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174625</wp:posOffset>
                  </wp:positionH>
                  <wp:positionV relativeFrom="paragraph">
                    <wp:posOffset>372745</wp:posOffset>
                  </wp:positionV>
                  <wp:extent cx="1073150" cy="1215390"/>
                  <wp:effectExtent l="0" t="0" r="12700" b="3810"/>
                  <wp:wrapNone/>
                  <wp:docPr id="83" name="图片_87"/>
                  <wp:cNvGraphicFramePr/>
                  <a:graphic xmlns:a="http://schemas.openxmlformats.org/drawingml/2006/main">
                    <a:graphicData uri="http://schemas.openxmlformats.org/drawingml/2006/picture">
                      <pic:pic xmlns:pic="http://schemas.openxmlformats.org/drawingml/2006/picture">
                        <pic:nvPicPr>
                          <pic:cNvPr id="83" name="图片_87"/>
                          <pic:cNvPicPr/>
                        </pic:nvPicPr>
                        <pic:blipFill>
                          <a:blip r:embed="rId99"/>
                          <a:stretch>
                            <a:fillRect/>
                          </a:stretch>
                        </pic:blipFill>
                        <pic:spPr>
                          <a:xfrm>
                            <a:off x="0" y="0"/>
                            <a:ext cx="1073150" cy="121539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DCF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3BC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1ED6D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DADE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154</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849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定制会议桌（1）</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E5D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5400*1500*760</w:t>
            </w:r>
          </w:p>
        </w:tc>
        <w:tc>
          <w:tcPr>
            <w:tcW w:w="2515" w:type="pct"/>
            <w:tcBorders>
              <w:top w:val="nil"/>
              <w:left w:val="single" w:color="000000" w:sz="4" w:space="0"/>
              <w:bottom w:val="single" w:color="000000" w:sz="4" w:space="0"/>
              <w:right w:val="single" w:color="000000" w:sz="4" w:space="0"/>
            </w:tcBorders>
            <w:shd w:val="clear" w:color="auto" w:fill="auto"/>
            <w:vAlign w:val="top"/>
          </w:tcPr>
          <w:p w14:paraId="26BA2EA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1.面材：采用优质天然实木木皮贴面，木皮厚度≥0.6mm；</w:t>
            </w:r>
          </w:p>
          <w:p w14:paraId="13DB011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2.基材：采用E0级中纤板，各项性能均优于国家标准；</w:t>
            </w:r>
          </w:p>
          <w:p w14:paraId="03EE43F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3.油漆：油性木器涂料涂饰，采用三底五面涂饰工艺，符合国家标准；</w:t>
            </w:r>
          </w:p>
          <w:p w14:paraId="2D10629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4.胶水：采用环保白乳胶；</w:t>
            </w:r>
          </w:p>
          <w:p w14:paraId="3DB6C6A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5.桌面边缘具备手机充电功能；</w:t>
            </w:r>
          </w:p>
          <w:p w14:paraId="34585CA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6.可根据需求在桌面或线槽内开设强弱电设备空位（根据需求可定制）；</w:t>
            </w:r>
          </w:p>
          <w:p w14:paraId="775E3A9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7.工艺要求：台面板分层式设计，整体厚度≥140mm，边缘配置手机充电功能；.支撑脚多边形结构，内置隐藏上线即检修功能；桌面单面/双面木质毛刷翻盖，静音缓冲结构；</w:t>
            </w:r>
          </w:p>
          <w:p w14:paraId="69A9F83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8.颜色：颜色可定制；</w:t>
            </w:r>
          </w:p>
        </w:tc>
        <w:tc>
          <w:tcPr>
            <w:tcW w:w="732" w:type="pct"/>
            <w:tcBorders>
              <w:top w:val="nil"/>
              <w:left w:val="single" w:color="000000" w:sz="4" w:space="0"/>
              <w:bottom w:val="single" w:color="000000" w:sz="4" w:space="0"/>
              <w:right w:val="single" w:color="000000" w:sz="4" w:space="0"/>
            </w:tcBorders>
            <w:shd w:val="clear" w:color="auto" w:fill="auto"/>
            <w:noWrap/>
            <w:vAlign w:val="center"/>
          </w:tcPr>
          <w:p w14:paraId="665DE3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177165</wp:posOffset>
                  </wp:positionH>
                  <wp:positionV relativeFrom="paragraph">
                    <wp:posOffset>283845</wp:posOffset>
                  </wp:positionV>
                  <wp:extent cx="772160" cy="1362075"/>
                  <wp:effectExtent l="0" t="0" r="8890" b="9525"/>
                  <wp:wrapNone/>
                  <wp:docPr id="84" name="图片_86"/>
                  <wp:cNvGraphicFramePr/>
                  <a:graphic xmlns:a="http://schemas.openxmlformats.org/drawingml/2006/main">
                    <a:graphicData uri="http://schemas.openxmlformats.org/drawingml/2006/picture">
                      <pic:pic xmlns:pic="http://schemas.openxmlformats.org/drawingml/2006/picture">
                        <pic:nvPicPr>
                          <pic:cNvPr id="84" name="图片_86"/>
                          <pic:cNvPicPr/>
                        </pic:nvPicPr>
                        <pic:blipFill>
                          <a:blip r:embed="rId100"/>
                          <a:stretch>
                            <a:fillRect/>
                          </a:stretch>
                        </pic:blipFill>
                        <pic:spPr>
                          <a:xfrm>
                            <a:off x="0" y="0"/>
                            <a:ext cx="772160" cy="136207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B73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1CA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6BFB2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5C7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155</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336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定制会议桌（2）</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03D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5400*1800*760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43C32EC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面材：采用优质天然实木木皮贴面，木皮厚度≥0.6mm；</w:t>
            </w:r>
          </w:p>
          <w:p w14:paraId="7C3E947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基材：采用E0级中纤板，各项性能均优于国家标准；</w:t>
            </w:r>
          </w:p>
          <w:p w14:paraId="5277B12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油漆：油性木器涂料涂饰，采用三底五面涂饰工艺，符合国家标准；</w:t>
            </w:r>
          </w:p>
          <w:p w14:paraId="695CD52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胶水：采用环保白乳胶；</w:t>
            </w:r>
          </w:p>
          <w:p w14:paraId="66DEFB9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桌面边缘具备手机充电功能；</w:t>
            </w:r>
          </w:p>
          <w:p w14:paraId="5578186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按照桌面分块合理配置多功能集成线盒，至少两个线盒内包含高清口，其余线盒均全部强电；</w:t>
            </w:r>
          </w:p>
          <w:p w14:paraId="146AD2A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颜色最终甲方确认；工艺要求：1.台面板分层式设计，整体厚度≥140mm，边缘配置手机充电功能；</w:t>
            </w:r>
          </w:p>
          <w:p w14:paraId="45834EE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2.支撑脚多边形结构，内置隐藏上线即检修功能；</w:t>
            </w:r>
          </w:p>
          <w:p w14:paraId="70C7518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3.桌面单面/双面木质毛刷翻盖，静音缓冲结构.</w:t>
            </w:r>
          </w:p>
          <w:p w14:paraId="01F4A86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137E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345440</wp:posOffset>
                  </wp:positionH>
                  <wp:positionV relativeFrom="paragraph">
                    <wp:posOffset>423545</wp:posOffset>
                  </wp:positionV>
                  <wp:extent cx="636270" cy="1626235"/>
                  <wp:effectExtent l="0" t="0" r="11430" b="12065"/>
                  <wp:wrapNone/>
                  <wp:docPr id="91" name="图片_115"/>
                  <wp:cNvGraphicFramePr/>
                  <a:graphic xmlns:a="http://schemas.openxmlformats.org/drawingml/2006/main">
                    <a:graphicData uri="http://schemas.openxmlformats.org/drawingml/2006/picture">
                      <pic:pic xmlns:pic="http://schemas.openxmlformats.org/drawingml/2006/picture">
                        <pic:nvPicPr>
                          <pic:cNvPr id="91" name="图片_115"/>
                          <pic:cNvPicPr/>
                        </pic:nvPicPr>
                        <pic:blipFill>
                          <a:blip r:embed="rId101"/>
                          <a:stretch>
                            <a:fillRect/>
                          </a:stretch>
                        </pic:blipFill>
                        <pic:spPr>
                          <a:xfrm>
                            <a:off x="0" y="0"/>
                            <a:ext cx="636270" cy="162623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AD91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F1B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49AFB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C15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156</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D66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定制会议桌（3）</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51CE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1600*900*760</w:t>
            </w:r>
          </w:p>
        </w:tc>
        <w:tc>
          <w:tcPr>
            <w:tcW w:w="2515"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016E7CD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1.面材：采用优质天然实木木皮贴面，木皮厚度≥0.6mm；</w:t>
            </w:r>
          </w:p>
          <w:p w14:paraId="6D01B72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2.基材：采用E0级中纤板，各项性能均优于国家标准；；</w:t>
            </w:r>
          </w:p>
          <w:p w14:paraId="41A4057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3.油漆：油性木器涂料涂饰，采用三底五面涂饰工艺，符合国家标准；</w:t>
            </w:r>
          </w:p>
          <w:p w14:paraId="6591C35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4.胶水：采用环保白乳胶；</w:t>
            </w:r>
          </w:p>
          <w:p w14:paraId="7971B05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5.可根据需求在桌面或线槽内开设强弱电设备空位（根据需求可定制）；</w:t>
            </w:r>
          </w:p>
          <w:p w14:paraId="2F08892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6.工艺要求：台面厚度≥75mm，支撑板厚度≥50mm，其余板材厚度≥16mm；支撑脚箱体结构，内置隐藏上线即检修功能；</w:t>
            </w:r>
          </w:p>
          <w:p w14:paraId="1A02851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7.颜色：颜色可定制；</w:t>
            </w:r>
          </w:p>
        </w:tc>
        <w:tc>
          <w:tcPr>
            <w:tcW w:w="73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9CC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182245</wp:posOffset>
                  </wp:positionH>
                  <wp:positionV relativeFrom="paragraph">
                    <wp:posOffset>406400</wp:posOffset>
                  </wp:positionV>
                  <wp:extent cx="1090295" cy="1412875"/>
                  <wp:effectExtent l="0" t="0" r="14605" b="15875"/>
                  <wp:wrapNone/>
                  <wp:docPr id="94" name="图片_93"/>
                  <wp:cNvGraphicFramePr/>
                  <a:graphic xmlns:a="http://schemas.openxmlformats.org/drawingml/2006/main">
                    <a:graphicData uri="http://schemas.openxmlformats.org/drawingml/2006/picture">
                      <pic:pic xmlns:pic="http://schemas.openxmlformats.org/drawingml/2006/picture">
                        <pic:nvPicPr>
                          <pic:cNvPr id="94" name="图片_93"/>
                          <pic:cNvPicPr/>
                        </pic:nvPicPr>
                        <pic:blipFill>
                          <a:blip r:embed="rId102"/>
                          <a:stretch>
                            <a:fillRect/>
                          </a:stretch>
                        </pic:blipFill>
                        <pic:spPr>
                          <a:xfrm>
                            <a:off x="0" y="0"/>
                            <a:ext cx="1090295" cy="141287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930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8EE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6143C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73F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157</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67F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定制会议桌（4）</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658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2100*900*760</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5357C01">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DA0E9">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D2C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1C8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12A7D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86B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158</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AED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定制会议桌（5）</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130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2100*550*770</w:t>
            </w:r>
          </w:p>
        </w:tc>
        <w:tc>
          <w:tcPr>
            <w:tcW w:w="2515"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06C4103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1.面材：采用优质天然实木木皮贴面，木皮厚度≥0.6mm；</w:t>
            </w:r>
          </w:p>
          <w:p w14:paraId="313FA0D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2.基材：采用E0级中纤板，各项性能均优于国家标准；</w:t>
            </w: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4665345</wp:posOffset>
                  </wp:positionH>
                  <wp:positionV relativeFrom="paragraph">
                    <wp:posOffset>485775</wp:posOffset>
                  </wp:positionV>
                  <wp:extent cx="1335405" cy="996950"/>
                  <wp:effectExtent l="0" t="0" r="17145" b="12700"/>
                  <wp:wrapNone/>
                  <wp:docPr id="104" name="图片_92"/>
                  <wp:cNvGraphicFramePr/>
                  <a:graphic xmlns:a="http://schemas.openxmlformats.org/drawingml/2006/main">
                    <a:graphicData uri="http://schemas.openxmlformats.org/drawingml/2006/picture">
                      <pic:pic xmlns:pic="http://schemas.openxmlformats.org/drawingml/2006/picture">
                        <pic:nvPicPr>
                          <pic:cNvPr id="104" name="图片_92"/>
                          <pic:cNvPicPr/>
                        </pic:nvPicPr>
                        <pic:blipFill>
                          <a:blip r:embed="rId103"/>
                          <a:stretch>
                            <a:fillRect/>
                          </a:stretch>
                        </pic:blipFill>
                        <pic:spPr>
                          <a:xfrm>
                            <a:off x="0" y="0"/>
                            <a:ext cx="1335405" cy="996950"/>
                          </a:xfrm>
                          <a:prstGeom prst="rect">
                            <a:avLst/>
                          </a:prstGeom>
                          <a:noFill/>
                          <a:ln>
                            <a:noFill/>
                          </a:ln>
                        </pic:spPr>
                      </pic:pic>
                    </a:graphicData>
                  </a:graphic>
                </wp:anchor>
              </w:drawing>
            </w:r>
          </w:p>
          <w:p w14:paraId="7775A17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3.油漆：油性木器涂料涂饰，采用三底五面涂饰工艺，符合国家标准；</w:t>
            </w:r>
          </w:p>
          <w:p w14:paraId="661D278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4.胶水：采用环保白乳胶；</w:t>
            </w:r>
          </w:p>
          <w:p w14:paraId="06999AA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5.可根据需求在桌面或线槽内开设强弱电设备空位（根据需求可定制）；</w:t>
            </w:r>
          </w:p>
          <w:p w14:paraId="4383BDB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6.颜色：颜色可定制；</w:t>
            </w:r>
          </w:p>
        </w:tc>
        <w:tc>
          <w:tcPr>
            <w:tcW w:w="7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568E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458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F9D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2DE0A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5A0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159</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D63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交流后排桌（1）</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66E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1800*550*770</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8E74346">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8DE1B">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D15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DE4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57C79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884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160</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6009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定制会议桌（6）</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839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1400*550*770</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73A8176">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B6538">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5C2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6A4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29753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7AA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161</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8E6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交流后排桌（2）</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709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1350*550*770</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28A7053">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F0A570">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902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20</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82D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3724F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E29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162</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C03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交流后排桌（3）</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277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1480*500*780</w:t>
            </w:r>
          </w:p>
        </w:tc>
        <w:tc>
          <w:tcPr>
            <w:tcW w:w="2515"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2F3B61F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4523740</wp:posOffset>
                  </wp:positionH>
                  <wp:positionV relativeFrom="paragraph">
                    <wp:posOffset>561340</wp:posOffset>
                  </wp:positionV>
                  <wp:extent cx="1350010" cy="1858010"/>
                  <wp:effectExtent l="0" t="0" r="2540" b="8890"/>
                  <wp:wrapNone/>
                  <wp:docPr id="106" name="图片_91"/>
                  <wp:cNvGraphicFramePr/>
                  <a:graphic xmlns:a="http://schemas.openxmlformats.org/drawingml/2006/main">
                    <a:graphicData uri="http://schemas.openxmlformats.org/drawingml/2006/picture">
                      <pic:pic xmlns:pic="http://schemas.openxmlformats.org/drawingml/2006/picture">
                        <pic:nvPicPr>
                          <pic:cNvPr id="106" name="图片_91"/>
                          <pic:cNvPicPr/>
                        </pic:nvPicPr>
                        <pic:blipFill>
                          <a:blip r:embed="rId104"/>
                          <a:stretch>
                            <a:fillRect/>
                          </a:stretch>
                        </pic:blipFill>
                        <pic:spPr>
                          <a:xfrm>
                            <a:off x="0" y="0"/>
                            <a:ext cx="1350010" cy="185801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1.面材：采用优质天然实木木皮贴面，木皮厚度≥0.6mm；</w:t>
            </w:r>
          </w:p>
          <w:p w14:paraId="03F7CC7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2.基材：采用E0级中纤板，各项性能均优于国家标准；</w:t>
            </w:r>
          </w:p>
          <w:p w14:paraId="54DC18A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3.油漆：油性木器涂料涂饰，采用三底五面涂饰工艺，符合国家标准；</w:t>
            </w:r>
          </w:p>
          <w:p w14:paraId="73E5CD7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4.胶水：采用环保白乳胶；</w:t>
            </w:r>
          </w:p>
          <w:p w14:paraId="5FD06D3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5.可根据需求在桌面或线槽内开设强弱电设备空位（根据需求可定制）；</w:t>
            </w:r>
          </w:p>
          <w:p w14:paraId="53B295A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6.颜色：颜色可定制；</w:t>
            </w:r>
          </w:p>
        </w:tc>
        <w:tc>
          <w:tcPr>
            <w:tcW w:w="7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9D22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97F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8EF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0BD27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66CE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163</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D70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交流后排桌（4）</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3CB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1600*600*780</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83BEE63">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10530">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E49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9FD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58234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1E7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164</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099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交流后排桌（5）</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7DB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2220*500*780</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E1F50F6">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4A646">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0DF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C09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746E6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8EA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165</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B89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交流后排桌（6）</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41C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2000*600*780</w:t>
            </w:r>
          </w:p>
        </w:tc>
        <w:tc>
          <w:tcPr>
            <w:tcW w:w="251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6E0F4BF">
            <w:pPr>
              <w:jc w:val="left"/>
              <w:rPr>
                <w:rFonts w:hint="eastAsia" w:asciiTheme="minorEastAsia" w:hAnsiTheme="minorEastAsia" w:eastAsiaTheme="minorEastAsia" w:cstheme="minorEastAsia"/>
                <w:i w:val="0"/>
                <w:iCs w:val="0"/>
                <w:color w:val="auto"/>
                <w:sz w:val="21"/>
                <w:szCs w:val="21"/>
                <w:highlight w:val="none"/>
                <w:u w:val="none"/>
              </w:rPr>
            </w:pPr>
          </w:p>
        </w:tc>
        <w:tc>
          <w:tcPr>
            <w:tcW w:w="7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313A3">
            <w:pPr>
              <w:jc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745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12</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3C2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3D255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701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166</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81E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大师</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会议桌</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51C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φ3800*760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20BFF4A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p>
          <w:p w14:paraId="0890BF2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1.主体框架：刺猬紫檀国标红木；</w:t>
            </w:r>
          </w:p>
          <w:p w14:paraId="3FFDD88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2.台面、刺猬紫檀木实木；</w:t>
            </w:r>
          </w:p>
          <w:p w14:paraId="05D34E8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3.转盘：电动转盘；</w:t>
            </w:r>
          </w:p>
          <w:p w14:paraId="45A460D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4.围板、立脚：刺猬紫檀木实木</w:t>
            </w:r>
          </w:p>
          <w:p w14:paraId="6032AD1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5.油漆：环保水性封闭漆，五底三面工艺；</w:t>
            </w:r>
          </w:p>
          <w:p w14:paraId="6C0792D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2E6B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156845</wp:posOffset>
                  </wp:positionH>
                  <wp:positionV relativeFrom="paragraph">
                    <wp:posOffset>90805</wp:posOffset>
                  </wp:positionV>
                  <wp:extent cx="977900" cy="1212850"/>
                  <wp:effectExtent l="0" t="0" r="12700" b="6350"/>
                  <wp:wrapNone/>
                  <wp:docPr id="95" name="图片_131"/>
                  <wp:cNvGraphicFramePr/>
                  <a:graphic xmlns:a="http://schemas.openxmlformats.org/drawingml/2006/main">
                    <a:graphicData uri="http://schemas.openxmlformats.org/drawingml/2006/picture">
                      <pic:pic xmlns:pic="http://schemas.openxmlformats.org/drawingml/2006/picture">
                        <pic:nvPicPr>
                          <pic:cNvPr id="95" name="图片_131"/>
                          <pic:cNvPicPr/>
                        </pic:nvPicPr>
                        <pic:blipFill>
                          <a:blip r:embed="rId105"/>
                          <a:stretch>
                            <a:fillRect/>
                          </a:stretch>
                        </pic:blipFill>
                        <pic:spPr>
                          <a:xfrm>
                            <a:off x="0" y="0"/>
                            <a:ext cx="977900" cy="121285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F16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A75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2DE9B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2C8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167</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3CF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大师会议椅</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D03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420*400*1020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0D8DF6A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1.主体框架：刺猬紫檀国标红木；</w:t>
            </w:r>
          </w:p>
          <w:p w14:paraId="72FEB98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2.软包；高密度海绵扪优质头层牛皮加刺绣工艺（座包无刺绣)；</w:t>
            </w:r>
          </w:p>
          <w:p w14:paraId="2838333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3.油漆：环保水性漆封闭漆，五底三面工艺；</w:t>
            </w:r>
          </w:p>
          <w:p w14:paraId="1D8F5D7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40B3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190500</wp:posOffset>
                  </wp:positionH>
                  <wp:positionV relativeFrom="paragraph">
                    <wp:posOffset>132080</wp:posOffset>
                  </wp:positionV>
                  <wp:extent cx="977265" cy="1472565"/>
                  <wp:effectExtent l="0" t="0" r="13335" b="13335"/>
                  <wp:wrapNone/>
                  <wp:docPr id="100" name="图片_133"/>
                  <wp:cNvGraphicFramePr/>
                  <a:graphic xmlns:a="http://schemas.openxmlformats.org/drawingml/2006/main">
                    <a:graphicData uri="http://schemas.openxmlformats.org/drawingml/2006/picture">
                      <pic:pic xmlns:pic="http://schemas.openxmlformats.org/drawingml/2006/picture">
                        <pic:nvPicPr>
                          <pic:cNvPr id="100" name="图片_133"/>
                          <pic:cNvPicPr/>
                        </pic:nvPicPr>
                        <pic:blipFill>
                          <a:blip r:embed="rId106"/>
                          <a:stretch>
                            <a:fillRect/>
                          </a:stretch>
                        </pic:blipFill>
                        <pic:spPr>
                          <a:xfrm>
                            <a:off x="0" y="0"/>
                            <a:ext cx="977265" cy="147256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1AE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18</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900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08085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A4A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168</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D9B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大师办公桌</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967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2400*800*720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10E35C1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1.主体框架：刺猬紫檀国标红木；</w:t>
            </w:r>
          </w:p>
          <w:p w14:paraId="48759A5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2.台面、刺猬紫檀木实木；含茶盘及烧水壶；</w:t>
            </w:r>
          </w:p>
          <w:p w14:paraId="2C8797A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3.围板、立脚：刺猬紫檀木实木；</w:t>
            </w:r>
          </w:p>
          <w:p w14:paraId="39984DA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4.油漆：环保水性封闭漆，五底三面工艺；</w:t>
            </w:r>
          </w:p>
          <w:p w14:paraId="1690BF9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E9303">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211455</wp:posOffset>
                  </wp:positionH>
                  <wp:positionV relativeFrom="paragraph">
                    <wp:posOffset>-535940</wp:posOffset>
                  </wp:positionV>
                  <wp:extent cx="1135380" cy="1576705"/>
                  <wp:effectExtent l="0" t="0" r="7620" b="4445"/>
                  <wp:wrapNone/>
                  <wp:docPr id="97" name="图片_134"/>
                  <wp:cNvGraphicFramePr/>
                  <a:graphic xmlns:a="http://schemas.openxmlformats.org/drawingml/2006/main">
                    <a:graphicData uri="http://schemas.openxmlformats.org/drawingml/2006/picture">
                      <pic:pic xmlns:pic="http://schemas.openxmlformats.org/drawingml/2006/picture">
                        <pic:nvPicPr>
                          <pic:cNvPr id="97" name="图片_134"/>
                          <pic:cNvPicPr/>
                        </pic:nvPicPr>
                        <pic:blipFill>
                          <a:blip r:embed="rId107"/>
                          <a:stretch>
                            <a:fillRect/>
                          </a:stretch>
                        </pic:blipFill>
                        <pic:spPr>
                          <a:xfrm>
                            <a:off x="0" y="0"/>
                            <a:ext cx="1135380" cy="157670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1BD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BBA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7153A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261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169</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B9A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大师办公椅</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411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650*540*960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1E2DAD5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1.主体框架：刺猬紫檀国标红木；</w:t>
            </w:r>
          </w:p>
          <w:p w14:paraId="7108E3A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2.软包；高密度海绵扪优质头层牛皮加刺绣工艺（座包无刺绣)；</w:t>
            </w:r>
          </w:p>
          <w:p w14:paraId="00553C1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3.油漆：环保水性漆封闭漆，五底三面工艺；</w:t>
            </w:r>
          </w:p>
          <w:p w14:paraId="4643450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190F3">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wp:posOffset>
                  </wp:positionH>
                  <wp:positionV relativeFrom="paragraph">
                    <wp:posOffset>32385</wp:posOffset>
                  </wp:positionV>
                  <wp:extent cx="1143000" cy="1567180"/>
                  <wp:effectExtent l="0" t="0" r="0" b="13970"/>
                  <wp:wrapNone/>
                  <wp:docPr id="103" name="图片_132"/>
                  <wp:cNvGraphicFramePr/>
                  <a:graphic xmlns:a="http://schemas.openxmlformats.org/drawingml/2006/main">
                    <a:graphicData uri="http://schemas.openxmlformats.org/drawingml/2006/picture">
                      <pic:pic xmlns:pic="http://schemas.openxmlformats.org/drawingml/2006/picture">
                        <pic:nvPicPr>
                          <pic:cNvPr id="103" name="图片_132"/>
                          <pic:cNvPicPr/>
                        </pic:nvPicPr>
                        <pic:blipFill>
                          <a:blip r:embed="rId108"/>
                          <a:stretch>
                            <a:fillRect/>
                          </a:stretch>
                        </pic:blipFill>
                        <pic:spPr>
                          <a:xfrm>
                            <a:off x="0" y="0"/>
                            <a:ext cx="1143000" cy="156718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D5F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0BE9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3E1B2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E8D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170</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177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三人接待沙发</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DDA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2100*770*980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3C89298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1.框架：采用优质白蜡木实木制作，框架截面尺寸40*55mm（锣槽装饰），所有木材都进行烘干及防蛀处理，木材含水率8-12%；无腐朽、无虫眼、无死结；</w:t>
            </w:r>
          </w:p>
          <w:p w14:paraId="1E24D84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2.饰面：采用优质头层牛皮饰面，厚度≥1.0mm，经液态浸色及防潮、防污等工艺处理，皮面更加柔软舒适、光泽持久性好，纹理细腻，耐磨损；</w:t>
            </w:r>
          </w:p>
          <w:p w14:paraId="6FBE249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3.油漆：采用水性漆；</w:t>
            </w:r>
          </w:p>
          <w:p w14:paraId="405B856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4.海绵：采用优质高弹阻燃海绵，软硬适中、不变形、回弹性好、抗疲劳能力强、坐感舒适.表面涂有防止老化变形的保护膜；</w:t>
            </w:r>
          </w:p>
          <w:p w14:paraId="5C0A674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5.脚架底部带金属脚套；</w:t>
            </w:r>
          </w:p>
          <w:p w14:paraId="5899694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6.含4个抱枕及2个圆枕头；</w:t>
            </w:r>
          </w:p>
          <w:p w14:paraId="116E5DD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F008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shd w:val="clear" w:fill="FFFF00"/>
                <w:lang w:val="en-US" w:eastAsia="zh-CN" w:bidi="ar"/>
              </w:rPr>
              <w:drawing>
                <wp:anchor distT="0" distB="0" distL="114300" distR="114300" simplePos="0" relativeHeight="251659264" behindDoc="0" locked="0" layoutInCell="1" allowOverlap="1">
                  <wp:simplePos x="0" y="0"/>
                  <wp:positionH relativeFrom="column">
                    <wp:posOffset>238125</wp:posOffset>
                  </wp:positionH>
                  <wp:positionV relativeFrom="paragraph">
                    <wp:posOffset>553085</wp:posOffset>
                  </wp:positionV>
                  <wp:extent cx="789940" cy="906145"/>
                  <wp:effectExtent l="0" t="0" r="10160" b="8255"/>
                  <wp:wrapNone/>
                  <wp:docPr id="107" name="图片_100"/>
                  <wp:cNvGraphicFramePr/>
                  <a:graphic xmlns:a="http://schemas.openxmlformats.org/drawingml/2006/main">
                    <a:graphicData uri="http://schemas.openxmlformats.org/drawingml/2006/picture">
                      <pic:pic xmlns:pic="http://schemas.openxmlformats.org/drawingml/2006/picture">
                        <pic:nvPicPr>
                          <pic:cNvPr id="107" name="图片_100"/>
                          <pic:cNvPicPr/>
                        </pic:nvPicPr>
                        <pic:blipFill>
                          <a:blip r:embed="rId109"/>
                          <a:stretch>
                            <a:fillRect/>
                          </a:stretch>
                        </pic:blipFill>
                        <pic:spPr>
                          <a:xfrm>
                            <a:off x="0" y="0"/>
                            <a:ext cx="789940" cy="90614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AEB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17</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082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70EBB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14D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171</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FD2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单人接待沙发</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268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750*770*1014</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07A7DE2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1.框架：采用优质白蜡木实木制作，所有木材都进行烘干及防蛀处理，木材含水率8-12%；无腐朽、无虫眼、无死结；</w:t>
            </w:r>
          </w:p>
          <w:p w14:paraId="05E32F8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2.饰面：采用优质头层牛皮饰面，厚度≥1.0mm，经液态浸色及防潮、防污等工艺处理，皮面更加柔软舒适、光泽持久性好，纹理细腻，耐磨损；</w:t>
            </w:r>
          </w:p>
          <w:p w14:paraId="0B9687C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3.油漆：采用水性漆；</w:t>
            </w:r>
          </w:p>
          <w:p w14:paraId="6217468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4.海绵：采用优质高弹阻燃海绵，软硬适中、不变形、回弹性好、抗疲劳能力强、坐感舒适.表面涂有防止老化变形的保护膜；</w:t>
            </w:r>
          </w:p>
          <w:p w14:paraId="4F633EE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671D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288290</wp:posOffset>
                  </wp:positionH>
                  <wp:positionV relativeFrom="paragraph">
                    <wp:posOffset>197485</wp:posOffset>
                  </wp:positionV>
                  <wp:extent cx="578485" cy="1602740"/>
                  <wp:effectExtent l="0" t="0" r="12065" b="16510"/>
                  <wp:wrapNone/>
                  <wp:docPr id="109" name="图片_107"/>
                  <wp:cNvGraphicFramePr/>
                  <a:graphic xmlns:a="http://schemas.openxmlformats.org/drawingml/2006/main">
                    <a:graphicData uri="http://schemas.openxmlformats.org/drawingml/2006/picture">
                      <pic:pic xmlns:pic="http://schemas.openxmlformats.org/drawingml/2006/picture">
                        <pic:nvPicPr>
                          <pic:cNvPr id="109" name="图片_107"/>
                          <pic:cNvPicPr/>
                        </pic:nvPicPr>
                        <pic:blipFill>
                          <a:blip r:embed="rId110"/>
                          <a:stretch>
                            <a:fillRect/>
                          </a:stretch>
                        </pic:blipFill>
                        <pic:spPr>
                          <a:xfrm>
                            <a:off x="0" y="0"/>
                            <a:ext cx="578485" cy="160274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8CA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17</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A42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2EB8A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0C9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172</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944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边柜</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82F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485*440*600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7B1D39F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1.框架：采用优质白蜡木实木制作，所有木材都进行烘干及防蛀处理，木材含水率8-12%；无腐朽、无虫眼、无死结；</w:t>
            </w:r>
          </w:p>
          <w:p w14:paraId="4043DBA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2.油漆：采用水性漆；</w:t>
            </w:r>
          </w:p>
          <w:p w14:paraId="5D1C3D6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3.面板：实木多层板贴胡桃木山纹木皮；</w:t>
            </w:r>
          </w:p>
          <w:p w14:paraId="2B51642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4.配件：优质五金配件；</w:t>
            </w:r>
          </w:p>
          <w:p w14:paraId="2DE4E34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79009">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116840</wp:posOffset>
                  </wp:positionH>
                  <wp:positionV relativeFrom="paragraph">
                    <wp:posOffset>259080</wp:posOffset>
                  </wp:positionV>
                  <wp:extent cx="1106170" cy="1293495"/>
                  <wp:effectExtent l="0" t="0" r="0" b="1905"/>
                  <wp:wrapNone/>
                  <wp:docPr id="119" name="图片_105"/>
                  <wp:cNvGraphicFramePr/>
                  <a:graphic xmlns:a="http://schemas.openxmlformats.org/drawingml/2006/main">
                    <a:graphicData uri="http://schemas.openxmlformats.org/drawingml/2006/picture">
                      <pic:pic xmlns:pic="http://schemas.openxmlformats.org/drawingml/2006/picture">
                        <pic:nvPicPr>
                          <pic:cNvPr id="119" name="图片_105"/>
                          <pic:cNvPicPr/>
                        </pic:nvPicPr>
                        <pic:blipFill>
                          <a:blip r:embed="rId111"/>
                          <a:stretch>
                            <a:fillRect/>
                          </a:stretch>
                        </pic:blipFill>
                        <pic:spPr>
                          <a:xfrm>
                            <a:off x="0" y="0"/>
                            <a:ext cx="1106170" cy="129349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07F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34</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25A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r>
      <w:tr w14:paraId="2BD41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5CA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173</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F22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单人接待长定制茶几</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148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1300*800*480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5386671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shd w:val="clear" w:fill="FFFF00"/>
                <w:lang w:val="en-US" w:eastAsia="zh-CN" w:bidi="ar"/>
              </w:rPr>
              <w:drawing>
                <wp:anchor distT="0" distB="0" distL="114300" distR="114300" simplePos="0" relativeHeight="251659264" behindDoc="0" locked="0" layoutInCell="1" allowOverlap="1">
                  <wp:simplePos x="0" y="0"/>
                  <wp:positionH relativeFrom="column">
                    <wp:posOffset>4571365</wp:posOffset>
                  </wp:positionH>
                  <wp:positionV relativeFrom="paragraph">
                    <wp:posOffset>497840</wp:posOffset>
                  </wp:positionV>
                  <wp:extent cx="1369695" cy="1180465"/>
                  <wp:effectExtent l="0" t="0" r="1905" b="635"/>
                  <wp:wrapNone/>
                  <wp:docPr id="129" name="图片_106"/>
                  <wp:cNvGraphicFramePr/>
                  <a:graphic xmlns:a="http://schemas.openxmlformats.org/drawingml/2006/main">
                    <a:graphicData uri="http://schemas.openxmlformats.org/drawingml/2006/picture">
                      <pic:pic xmlns:pic="http://schemas.openxmlformats.org/drawingml/2006/picture">
                        <pic:nvPicPr>
                          <pic:cNvPr id="129" name="图片_106"/>
                          <pic:cNvPicPr/>
                        </pic:nvPicPr>
                        <pic:blipFill>
                          <a:blip r:embed="rId112"/>
                          <a:stretch>
                            <a:fillRect/>
                          </a:stretch>
                        </pic:blipFill>
                        <pic:spPr>
                          <a:xfrm>
                            <a:off x="0" y="0"/>
                            <a:ext cx="1369695" cy="1180465"/>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1.框架：采用优质白蜡木实木制作，所有木材都进行烘干及防蛀处理，木材含水率8-12%；无腐朽、无虫眼、无死结；</w:t>
            </w:r>
          </w:p>
          <w:p w14:paraId="0647927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2.油漆：采用水性漆，五底三面工艺；</w:t>
            </w:r>
          </w:p>
          <w:p w14:paraId="0B4D5C4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3.面板：实木多层板贴胡桃木山纹木皮，木皮厚度≥0.6mm；</w:t>
            </w:r>
          </w:p>
          <w:p w14:paraId="2320AE1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4.配件：优质五金配件；</w:t>
            </w:r>
          </w:p>
          <w:p w14:paraId="63FDAFB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5.功能：含四个抽屉；</w:t>
            </w:r>
          </w:p>
          <w:p w14:paraId="3A7F091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38D2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CE8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17</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946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00741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45A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174</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182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方定制茶几</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DDE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550*550*550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44A3494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1.框架：采用优质白蜡木实木制作，所有木材都进行烘干及防蛀处理，木材含水率8-12%；无腐朽、无虫眼、无死结；</w:t>
            </w:r>
          </w:p>
          <w:p w14:paraId="2B0D293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2.油漆：采用水性漆；</w:t>
            </w:r>
          </w:p>
          <w:p w14:paraId="35D0FE2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3.面板：实木多层板贴胡桃木山纹木皮；</w:t>
            </w:r>
          </w:p>
          <w:p w14:paraId="72855B7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4.配件：优质五金配件；</w:t>
            </w:r>
          </w:p>
          <w:p w14:paraId="4E5B7EC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F654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102235</wp:posOffset>
                  </wp:positionH>
                  <wp:positionV relativeFrom="paragraph">
                    <wp:posOffset>160020</wp:posOffset>
                  </wp:positionV>
                  <wp:extent cx="1085215" cy="1544320"/>
                  <wp:effectExtent l="0" t="0" r="635" b="17780"/>
                  <wp:wrapNone/>
                  <wp:docPr id="127" name="图片_103"/>
                  <wp:cNvGraphicFramePr/>
                  <a:graphic xmlns:a="http://schemas.openxmlformats.org/drawingml/2006/main">
                    <a:graphicData uri="http://schemas.openxmlformats.org/drawingml/2006/picture">
                      <pic:pic xmlns:pic="http://schemas.openxmlformats.org/drawingml/2006/picture">
                        <pic:nvPicPr>
                          <pic:cNvPr id="127" name="图片_103"/>
                          <pic:cNvPicPr/>
                        </pic:nvPicPr>
                        <pic:blipFill>
                          <a:blip r:embed="rId113"/>
                          <a:stretch>
                            <a:fillRect/>
                          </a:stretch>
                        </pic:blipFill>
                        <pic:spPr>
                          <a:xfrm>
                            <a:off x="0" y="0"/>
                            <a:ext cx="1085215" cy="154432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9A5B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17</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262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68383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1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A0F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175</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E39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圆定制茶几</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3D0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550*550*580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0356E3C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1.框架：采用优质白蜡木实木制作，所有木材都进行烘干及防蛀处理，木材含水率8-12%；无腐朽、无虫眼、无死结；</w:t>
            </w:r>
          </w:p>
          <w:p w14:paraId="79BECE5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2.油漆：采用水性漆；</w:t>
            </w:r>
          </w:p>
          <w:p w14:paraId="58AE4E8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3.面板：实木多层板贴胡桃木山纹木皮；</w:t>
            </w:r>
          </w:p>
          <w:p w14:paraId="08ACC35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4.配件：优质五金配件；</w:t>
            </w:r>
          </w:p>
          <w:p w14:paraId="33FDED6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4D5D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297180</wp:posOffset>
                  </wp:positionH>
                  <wp:positionV relativeFrom="paragraph">
                    <wp:posOffset>250190</wp:posOffset>
                  </wp:positionV>
                  <wp:extent cx="809625" cy="1085850"/>
                  <wp:effectExtent l="0" t="0" r="9525" b="0"/>
                  <wp:wrapNone/>
                  <wp:docPr id="110" name="图片_102"/>
                  <wp:cNvGraphicFramePr/>
                  <a:graphic xmlns:a="http://schemas.openxmlformats.org/drawingml/2006/main">
                    <a:graphicData uri="http://schemas.openxmlformats.org/drawingml/2006/picture">
                      <pic:pic xmlns:pic="http://schemas.openxmlformats.org/drawingml/2006/picture">
                        <pic:nvPicPr>
                          <pic:cNvPr id="110" name="图片_102"/>
                          <pic:cNvPicPr/>
                        </pic:nvPicPr>
                        <pic:blipFill>
                          <a:blip r:embed="rId114"/>
                          <a:stretch>
                            <a:fillRect/>
                          </a:stretch>
                        </pic:blipFill>
                        <pic:spPr>
                          <a:xfrm>
                            <a:off x="0" y="0"/>
                            <a:ext cx="809625" cy="108585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845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17</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D54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14A8C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B46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176</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63E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玄关花架</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396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400*400*1000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67A1A9D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1.框架：采用优质白蜡木实木制作，所有木材都进行烘干及防蛀处理，木材含水率8-12%；无腐朽、无虫眼、无死结；</w:t>
            </w:r>
          </w:p>
          <w:p w14:paraId="54E4924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2.油漆：采用水性漆；</w:t>
            </w:r>
          </w:p>
          <w:p w14:paraId="5F84A3E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3.面板：实木多层板贴胡桃木山纹木皮；</w:t>
            </w:r>
          </w:p>
          <w:p w14:paraId="624E9BB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4.配件：优质五金配件；</w:t>
            </w:r>
          </w:p>
          <w:p w14:paraId="57DDC9F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818A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388620</wp:posOffset>
                  </wp:positionH>
                  <wp:positionV relativeFrom="paragraph">
                    <wp:posOffset>-41275</wp:posOffset>
                  </wp:positionV>
                  <wp:extent cx="659765" cy="1295400"/>
                  <wp:effectExtent l="0" t="0" r="6985" b="0"/>
                  <wp:wrapNone/>
                  <wp:docPr id="111" name="图片_101"/>
                  <wp:cNvGraphicFramePr/>
                  <a:graphic xmlns:a="http://schemas.openxmlformats.org/drawingml/2006/main">
                    <a:graphicData uri="http://schemas.openxmlformats.org/drawingml/2006/picture">
                      <pic:pic xmlns:pic="http://schemas.openxmlformats.org/drawingml/2006/picture">
                        <pic:nvPicPr>
                          <pic:cNvPr id="111" name="图片_101"/>
                          <pic:cNvPicPr/>
                        </pic:nvPicPr>
                        <pic:blipFill>
                          <a:blip r:embed="rId115"/>
                          <a:stretch>
                            <a:fillRect/>
                          </a:stretch>
                        </pic:blipFill>
                        <pic:spPr>
                          <a:xfrm>
                            <a:off x="0" y="0"/>
                            <a:ext cx="659765" cy="129540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3F5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BF5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5AA90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1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37E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177</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47C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玄关桌</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982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2200*450*950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21FB300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1.框架：采用优质白蜡木实木制作，所有木材都进行烘干及防蛀处理，木材含水率8-12%；无腐朽、无虫眼、无死结；</w:t>
            </w:r>
          </w:p>
          <w:p w14:paraId="05E55C9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2.油漆：采用水性漆；</w:t>
            </w:r>
          </w:p>
          <w:p w14:paraId="069233F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3.面板：实木多层板贴胡桃木山纹木皮；</w:t>
            </w:r>
          </w:p>
          <w:p w14:paraId="2664F5C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4.配件：优质五金配件；</w:t>
            </w:r>
          </w:p>
          <w:p w14:paraId="1AF8B6A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24F5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154305</wp:posOffset>
                  </wp:positionH>
                  <wp:positionV relativeFrom="paragraph">
                    <wp:posOffset>387985</wp:posOffset>
                  </wp:positionV>
                  <wp:extent cx="1004570" cy="567690"/>
                  <wp:effectExtent l="0" t="0" r="5080" b="3810"/>
                  <wp:wrapNone/>
                  <wp:docPr id="117" name="图片_104"/>
                  <wp:cNvGraphicFramePr/>
                  <a:graphic xmlns:a="http://schemas.openxmlformats.org/drawingml/2006/main">
                    <a:graphicData uri="http://schemas.openxmlformats.org/drawingml/2006/picture">
                      <pic:pic xmlns:pic="http://schemas.openxmlformats.org/drawingml/2006/picture">
                        <pic:nvPicPr>
                          <pic:cNvPr id="117" name="图片_104"/>
                          <pic:cNvPicPr/>
                        </pic:nvPicPr>
                        <pic:blipFill>
                          <a:blip r:embed="rId116"/>
                          <a:stretch>
                            <a:fillRect/>
                          </a:stretch>
                        </pic:blipFill>
                        <pic:spPr>
                          <a:xfrm>
                            <a:off x="0" y="0"/>
                            <a:ext cx="1004570" cy="56769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EAA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0C1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077A2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C58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178</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51E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储物柜</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328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1800*450*500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566B25D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1.框架：采用优质白蜡木实木制作，所有木材都进行烘干及防蛀处理，木材含水率8-12%；无腐朽、无虫眼、无死结；</w:t>
            </w:r>
          </w:p>
          <w:p w14:paraId="339E6E0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2.面板：实木多层板贴胡桃木山纹木皮；</w:t>
            </w:r>
          </w:p>
          <w:p w14:paraId="1D10353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3.油漆：采用水性漆；</w:t>
            </w:r>
          </w:p>
          <w:p w14:paraId="73242B6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4.配件：优质五金配件；</w:t>
            </w:r>
          </w:p>
          <w:p w14:paraId="0FEC0F6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6E1F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15875</wp:posOffset>
                  </wp:positionH>
                  <wp:positionV relativeFrom="paragraph">
                    <wp:posOffset>226060</wp:posOffset>
                  </wp:positionV>
                  <wp:extent cx="960755" cy="898525"/>
                  <wp:effectExtent l="0" t="0" r="10795" b="15875"/>
                  <wp:wrapNone/>
                  <wp:docPr id="108" name="图片_109"/>
                  <wp:cNvGraphicFramePr/>
                  <a:graphic xmlns:a="http://schemas.openxmlformats.org/drawingml/2006/main">
                    <a:graphicData uri="http://schemas.openxmlformats.org/drawingml/2006/picture">
                      <pic:pic xmlns:pic="http://schemas.openxmlformats.org/drawingml/2006/picture">
                        <pic:nvPicPr>
                          <pic:cNvPr id="108" name="图片_109"/>
                          <pic:cNvPicPr/>
                        </pic:nvPicPr>
                        <pic:blipFill>
                          <a:blip r:embed="rId117"/>
                          <a:stretch>
                            <a:fillRect/>
                          </a:stretch>
                        </pic:blipFill>
                        <pic:spPr>
                          <a:xfrm>
                            <a:off x="0" y="0"/>
                            <a:ext cx="960755" cy="89852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BFA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17</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187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r>
      <w:tr w14:paraId="434DB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140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179</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5E3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书桌</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8BB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1600*700*760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25377B0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1.框架：采用优质白蜡木实木制作，所有木材都进行烘干及防蛀处理，木材含水率8-12%；无腐朽、无虫眼、无死结；</w:t>
            </w:r>
          </w:p>
          <w:p w14:paraId="5E4CE28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2.面板：实木多层板贴胡桃木山纹木皮；</w:t>
            </w:r>
          </w:p>
          <w:p w14:paraId="2CDD318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3.油漆：采用水性漆；</w:t>
            </w:r>
          </w:p>
          <w:p w14:paraId="21631B4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4.配件：优质五金配件；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F992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302895</wp:posOffset>
                  </wp:positionH>
                  <wp:positionV relativeFrom="paragraph">
                    <wp:posOffset>304165</wp:posOffset>
                  </wp:positionV>
                  <wp:extent cx="739775" cy="563880"/>
                  <wp:effectExtent l="0" t="0" r="3175" b="7620"/>
                  <wp:wrapNone/>
                  <wp:docPr id="123" name="图片_108"/>
                  <wp:cNvGraphicFramePr/>
                  <a:graphic xmlns:a="http://schemas.openxmlformats.org/drawingml/2006/main">
                    <a:graphicData uri="http://schemas.openxmlformats.org/drawingml/2006/picture">
                      <pic:pic xmlns:pic="http://schemas.openxmlformats.org/drawingml/2006/picture">
                        <pic:nvPicPr>
                          <pic:cNvPr id="123" name="图片_108"/>
                          <pic:cNvPicPr/>
                        </pic:nvPicPr>
                        <pic:blipFill>
                          <a:blip r:embed="rId118"/>
                          <a:stretch>
                            <a:fillRect/>
                          </a:stretch>
                        </pic:blipFill>
                        <pic:spPr>
                          <a:xfrm>
                            <a:off x="0" y="0"/>
                            <a:ext cx="739775" cy="56388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B5C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17</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C9F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61DF5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02C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180</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A38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鞋柜</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440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800*350*950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6550EA2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1.基材：采用E0级多层板，游离甲醛释放量均达国家标准，所有板材厚度≥16mm；                                                           </w:t>
            </w:r>
          </w:p>
          <w:p w14:paraId="4AE644D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2.面材：采用优质天然实木木皮贴面，木皮厚度≥0.6mm；</w:t>
            </w:r>
          </w:p>
          <w:p w14:paraId="13988D6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3.油漆：油性木器涂料涂饰，采用五底三面涂饰工艺，符合国家标准；</w:t>
            </w:r>
          </w:p>
          <w:p w14:paraId="2A49EF6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4.胶水：采用环保白乳胶；</w:t>
            </w:r>
          </w:p>
          <w:p w14:paraId="2297C49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5.配件：优质五金配件；（铰链）均具备静音缓冲阻尼功能；</w:t>
            </w:r>
          </w:p>
          <w:p w14:paraId="50793BA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D83D9">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wp:posOffset>
                  </wp:positionH>
                  <wp:positionV relativeFrom="paragraph">
                    <wp:posOffset>62865</wp:posOffset>
                  </wp:positionV>
                  <wp:extent cx="1278255" cy="1401445"/>
                  <wp:effectExtent l="0" t="0" r="17145" b="8255"/>
                  <wp:wrapNone/>
                  <wp:docPr id="134" name="图片_110"/>
                  <wp:cNvGraphicFramePr/>
                  <a:graphic xmlns:a="http://schemas.openxmlformats.org/drawingml/2006/main">
                    <a:graphicData uri="http://schemas.openxmlformats.org/drawingml/2006/picture">
                      <pic:pic xmlns:pic="http://schemas.openxmlformats.org/drawingml/2006/picture">
                        <pic:nvPicPr>
                          <pic:cNvPr id="134" name="图片_110"/>
                          <pic:cNvPicPr/>
                        </pic:nvPicPr>
                        <pic:blipFill>
                          <a:blip r:embed="rId119"/>
                          <a:stretch>
                            <a:fillRect/>
                          </a:stretch>
                        </pic:blipFill>
                        <pic:spPr>
                          <a:xfrm>
                            <a:off x="0" y="0"/>
                            <a:ext cx="1278255" cy="140144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B77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17</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6F6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26B68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2"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A56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181</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BA4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床头柜</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D66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550*450*500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66F1778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1.基材：采用E0级多层板，游离甲醛释放量均达国家标准，所有板材厚度≥16mm；                                                           </w:t>
            </w:r>
          </w:p>
          <w:p w14:paraId="2D54837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2.贴面：采用优质耐磨三聚氢胺浸渍面纸，防火，并具阻燃、耐磨性强、清洁方便等特点；</w:t>
            </w:r>
          </w:p>
          <w:p w14:paraId="12F8DB0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3.五金：优质五金件；（导轨）均具备静音缓冲阻尼功能；</w:t>
            </w:r>
          </w:p>
          <w:p w14:paraId="42EFEFE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4.封边：同色PVC封边条； </w:t>
            </w:r>
          </w:p>
          <w:p w14:paraId="06CB0F5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5.脚架：采用20*20方管钢制脚架支撑；</w:t>
            </w:r>
          </w:p>
          <w:p w14:paraId="6C950E5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6.成品：要求且不得出现可能产生危害的、危险性的、可触及的边部或尖端等.</w:t>
            </w:r>
          </w:p>
          <w:p w14:paraId="4603559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1075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132080</wp:posOffset>
                  </wp:positionH>
                  <wp:positionV relativeFrom="paragraph">
                    <wp:posOffset>191135</wp:posOffset>
                  </wp:positionV>
                  <wp:extent cx="1131570" cy="1324610"/>
                  <wp:effectExtent l="0" t="0" r="11430" b="8890"/>
                  <wp:wrapNone/>
                  <wp:docPr id="112" name="图片_111"/>
                  <wp:cNvGraphicFramePr/>
                  <a:graphic xmlns:a="http://schemas.openxmlformats.org/drawingml/2006/main">
                    <a:graphicData uri="http://schemas.openxmlformats.org/drawingml/2006/picture">
                      <pic:pic xmlns:pic="http://schemas.openxmlformats.org/drawingml/2006/picture">
                        <pic:nvPicPr>
                          <pic:cNvPr id="112" name="图片_111"/>
                          <pic:cNvPicPr/>
                        </pic:nvPicPr>
                        <pic:blipFill>
                          <a:blip r:embed="rId120"/>
                          <a:stretch>
                            <a:fillRect/>
                          </a:stretch>
                        </pic:blipFill>
                        <pic:spPr>
                          <a:xfrm>
                            <a:off x="0" y="0"/>
                            <a:ext cx="1131570" cy="132461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B7E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EC5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373B8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5"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966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182</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14C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监控台</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E43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2000*700*750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2AF6A3A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1.基材：采用E0级多层板，游离甲醛释放量均达国家标准，台面厚度≥25mm,背板及其余板材厚度≥16mm；</w:t>
            </w:r>
          </w:p>
          <w:p w14:paraId="2EC4822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2.贴面：采用优质耐磨三聚氢胺浸渍面纸，防火，并具阻燃、耐磨性强、清洁方便等特点；</w:t>
            </w:r>
          </w:p>
          <w:p w14:paraId="7AA3EFF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3.五金：优质五金件；</w:t>
            </w:r>
          </w:p>
          <w:p w14:paraId="35716FD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4.封边：同色PVC封边条； </w:t>
            </w:r>
          </w:p>
          <w:p w14:paraId="2978976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5.功能：含支撑柜及主机柜，配锁及键盘抽；</w:t>
            </w:r>
          </w:p>
          <w:p w14:paraId="1919EDF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6.走线：线路隐蔽处理，桌面含过线孔；</w:t>
            </w:r>
          </w:p>
          <w:p w14:paraId="7C83BE7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7.成品：要求且不得出现可能产生危害的、危险性的、可触及的边部或尖端等；</w:t>
            </w:r>
          </w:p>
          <w:p w14:paraId="54CD38A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5A54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270510</wp:posOffset>
                  </wp:positionH>
                  <wp:positionV relativeFrom="paragraph">
                    <wp:posOffset>283845</wp:posOffset>
                  </wp:positionV>
                  <wp:extent cx="942975" cy="1701800"/>
                  <wp:effectExtent l="0" t="0" r="9525" b="12700"/>
                  <wp:wrapNone/>
                  <wp:docPr id="133" name="图片_76"/>
                  <wp:cNvGraphicFramePr/>
                  <a:graphic xmlns:a="http://schemas.openxmlformats.org/drawingml/2006/main">
                    <a:graphicData uri="http://schemas.openxmlformats.org/drawingml/2006/picture">
                      <pic:pic xmlns:pic="http://schemas.openxmlformats.org/drawingml/2006/picture">
                        <pic:nvPicPr>
                          <pic:cNvPr id="133" name="图片_76"/>
                          <pic:cNvPicPr/>
                        </pic:nvPicPr>
                        <pic:blipFill>
                          <a:blip r:embed="rId121"/>
                          <a:stretch>
                            <a:fillRect/>
                          </a:stretch>
                        </pic:blipFill>
                        <pic:spPr>
                          <a:xfrm>
                            <a:off x="0" y="0"/>
                            <a:ext cx="942975" cy="170180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8F8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6D0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28E8C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A0E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183</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1DE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讨论接待桌</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BA5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1200*800*760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101AA15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1.框架：采用优质橡木实木制作，桌面厚度≥36mm，所有木材都进行烘干及防蛀处理，木材含水率8-12%；无腐朽、无虫眼、无死结；</w:t>
            </w:r>
          </w:p>
          <w:p w14:paraId="380EE58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2油漆：采用水性漆；</w:t>
            </w:r>
          </w:p>
          <w:p w14:paraId="700455D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8C90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267970</wp:posOffset>
                  </wp:positionH>
                  <wp:positionV relativeFrom="paragraph">
                    <wp:posOffset>448945</wp:posOffset>
                  </wp:positionV>
                  <wp:extent cx="904875" cy="1088390"/>
                  <wp:effectExtent l="0" t="0" r="9525" b="16510"/>
                  <wp:wrapNone/>
                  <wp:docPr id="118" name="图片_116"/>
                  <wp:cNvGraphicFramePr/>
                  <a:graphic xmlns:a="http://schemas.openxmlformats.org/drawingml/2006/main">
                    <a:graphicData uri="http://schemas.openxmlformats.org/drawingml/2006/picture">
                      <pic:pic xmlns:pic="http://schemas.openxmlformats.org/drawingml/2006/picture">
                        <pic:nvPicPr>
                          <pic:cNvPr id="118" name="图片_116"/>
                          <pic:cNvPicPr/>
                        </pic:nvPicPr>
                        <pic:blipFill>
                          <a:blip r:embed="rId122"/>
                          <a:stretch>
                            <a:fillRect/>
                          </a:stretch>
                        </pic:blipFill>
                        <pic:spPr>
                          <a:xfrm>
                            <a:off x="0" y="0"/>
                            <a:ext cx="904875" cy="108839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892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C48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4339B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8FB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184</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F92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桌子（1）</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5B8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1200*600*760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2A938DE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1.基材：采用E0级多层板，游离甲醛释放量均达国家标准，台面厚度≥25mm,背板及其余板材厚度≥16mm；</w:t>
            </w:r>
          </w:p>
          <w:p w14:paraId="7AC88B2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2.贴面：采用优质耐磨三聚氢胺浸渍面纸，防火，并具阻燃、耐磨性强、清洁方便等特点；</w:t>
            </w:r>
          </w:p>
          <w:p w14:paraId="0D24E97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3.五金：优质五金件；</w:t>
            </w:r>
          </w:p>
          <w:p w14:paraId="52A96CD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4.封边：同色PVC封边条； </w:t>
            </w:r>
          </w:p>
          <w:p w14:paraId="3BAAF41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5.成品：要求且不得出现可能产生危害的、危险性的、可触及的边部或尖端等；</w:t>
            </w:r>
          </w:p>
          <w:p w14:paraId="6185435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6.功能：配置三抽柜，抽屉配锁，桌面开过线孔，背板高度400mm；</w:t>
            </w:r>
          </w:p>
          <w:p w14:paraId="77EA10B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E32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13970</wp:posOffset>
                  </wp:positionH>
                  <wp:positionV relativeFrom="paragraph">
                    <wp:posOffset>247650</wp:posOffset>
                  </wp:positionV>
                  <wp:extent cx="1133475" cy="1172210"/>
                  <wp:effectExtent l="0" t="0" r="9525" b="8890"/>
                  <wp:wrapNone/>
                  <wp:docPr id="125" name="图片_122"/>
                  <wp:cNvGraphicFramePr/>
                  <a:graphic xmlns:a="http://schemas.openxmlformats.org/drawingml/2006/main">
                    <a:graphicData uri="http://schemas.openxmlformats.org/drawingml/2006/picture">
                      <pic:pic xmlns:pic="http://schemas.openxmlformats.org/drawingml/2006/picture">
                        <pic:nvPicPr>
                          <pic:cNvPr id="125" name="图片_122"/>
                          <pic:cNvPicPr/>
                        </pic:nvPicPr>
                        <pic:blipFill>
                          <a:blip r:embed="rId123"/>
                          <a:stretch>
                            <a:fillRect/>
                          </a:stretch>
                        </pic:blipFill>
                        <pic:spPr>
                          <a:xfrm>
                            <a:off x="0" y="0"/>
                            <a:ext cx="1133475" cy="117221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455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0F2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601CB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415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185</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DA5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桌子（2）</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52B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2400*600*760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7B30DD1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1.基材：采用E0级多层板，游离甲醛释放量均达国家标准，台面厚度≥25mm,背板及其余板材厚度≥16mm；</w:t>
            </w:r>
          </w:p>
          <w:p w14:paraId="3307E74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2.贴面：采用优质耐磨三聚氢胺浸渍面纸，防火，并具阻燃、耐磨性强、清洁方便等特点；</w:t>
            </w:r>
          </w:p>
          <w:p w14:paraId="211C2F3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3.五金：优质五金件；</w:t>
            </w:r>
          </w:p>
          <w:p w14:paraId="4A393C8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4.封边：同色PVC封边条； </w:t>
            </w:r>
          </w:p>
          <w:p w14:paraId="2FD552A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5.成品：要求且不得出现可能产生危害的、危险性的、可触及的边部或尖端等；</w:t>
            </w:r>
          </w:p>
          <w:p w14:paraId="2E7F492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6.功能：配置三抽柜，抽屉配锁，桌面开过线孔，背板高度400mm；</w:t>
            </w:r>
          </w:p>
          <w:p w14:paraId="2A8EAE1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6C4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113665</wp:posOffset>
                  </wp:positionH>
                  <wp:positionV relativeFrom="paragraph">
                    <wp:posOffset>-535940</wp:posOffset>
                  </wp:positionV>
                  <wp:extent cx="1206500" cy="1149985"/>
                  <wp:effectExtent l="0" t="0" r="12700" b="12065"/>
                  <wp:wrapNone/>
                  <wp:docPr id="128" name="图片_121"/>
                  <wp:cNvGraphicFramePr/>
                  <a:graphic xmlns:a="http://schemas.openxmlformats.org/drawingml/2006/main">
                    <a:graphicData uri="http://schemas.openxmlformats.org/drawingml/2006/picture">
                      <pic:pic xmlns:pic="http://schemas.openxmlformats.org/drawingml/2006/picture">
                        <pic:nvPicPr>
                          <pic:cNvPr id="128" name="图片_121"/>
                          <pic:cNvPicPr/>
                        </pic:nvPicPr>
                        <pic:blipFill>
                          <a:blip r:embed="rId124"/>
                          <a:stretch>
                            <a:fillRect/>
                          </a:stretch>
                        </pic:blipFill>
                        <pic:spPr>
                          <a:xfrm>
                            <a:off x="0" y="0"/>
                            <a:ext cx="1206500" cy="114998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E62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20F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1C8CB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FF4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186</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458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桌子（3）</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915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2400*600*760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5008133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1.基材：采用E0级多层板，游离甲醛释放量均达国家标准，台面厚度≥25mm,背板及其余板材厚度≥16mm；</w:t>
            </w:r>
          </w:p>
          <w:p w14:paraId="7432F18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2.贴面：采用优质耐磨三聚氢胺浸渍面纸，防火，并具阻燃、耐磨性强、清洁方便等特点；</w:t>
            </w:r>
          </w:p>
          <w:p w14:paraId="72B78E1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3.五金：优质五金件；</w:t>
            </w:r>
          </w:p>
          <w:p w14:paraId="7E88286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4.封边：同色PVC封边条； </w:t>
            </w:r>
          </w:p>
          <w:p w14:paraId="63CEA18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5.成品：要求且不得出现可能产生危害的、危险性的、可触及的边部或尖端等.</w:t>
            </w:r>
          </w:p>
          <w:p w14:paraId="6ED39AA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6.功能：配置三抽柜，抽屉配锁，桌面开过线孔，背板高度400mm；</w:t>
            </w:r>
          </w:p>
          <w:p w14:paraId="43B8F8D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624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224790</wp:posOffset>
                  </wp:positionH>
                  <wp:positionV relativeFrom="paragraph">
                    <wp:posOffset>-386080</wp:posOffset>
                  </wp:positionV>
                  <wp:extent cx="1040130" cy="1229360"/>
                  <wp:effectExtent l="0" t="0" r="7620" b="8890"/>
                  <wp:wrapNone/>
                  <wp:docPr id="124" name="图片_124"/>
                  <wp:cNvGraphicFramePr/>
                  <a:graphic xmlns:a="http://schemas.openxmlformats.org/drawingml/2006/main">
                    <a:graphicData uri="http://schemas.openxmlformats.org/drawingml/2006/picture">
                      <pic:pic xmlns:pic="http://schemas.openxmlformats.org/drawingml/2006/picture">
                        <pic:nvPicPr>
                          <pic:cNvPr id="124" name="图片_124"/>
                          <pic:cNvPicPr/>
                        </pic:nvPicPr>
                        <pic:blipFill>
                          <a:blip r:embed="rId124"/>
                          <a:stretch>
                            <a:fillRect/>
                          </a:stretch>
                        </pic:blipFill>
                        <pic:spPr>
                          <a:xfrm>
                            <a:off x="0" y="0"/>
                            <a:ext cx="1040130" cy="122936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DEE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619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6B808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467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187</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9DD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音控桌（1）</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331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2600*800*760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42E6B12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1.基材：采用E0级多层板，游离甲醛释放量均达国家标准，台面厚度≥25mm,背板及其余板材厚度≥16mm；</w:t>
            </w:r>
          </w:p>
          <w:p w14:paraId="0D0A42C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2.贴面：采用优质耐磨三聚氢胺浸渍面纸，防火，并具阻燃、耐磨性强、清洁方便等特点；</w:t>
            </w:r>
          </w:p>
          <w:p w14:paraId="5AA55F6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3.五金：优质五金件；</w:t>
            </w:r>
          </w:p>
          <w:p w14:paraId="047A5E7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4.封边：同色PVC封边条； </w:t>
            </w:r>
          </w:p>
          <w:p w14:paraId="42A4590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5.成品：要求且不得出现可能产生危害的、危险性的、可触及的边部或尖端等；</w:t>
            </w:r>
          </w:p>
          <w:p w14:paraId="75C8444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6.功能：配置一排抽屉及空格主机柜，柜子后方设计走线，桌面开过线孔，背板高度400mm；</w:t>
            </w:r>
          </w:p>
          <w:p w14:paraId="61B5D7B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16D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176530</wp:posOffset>
                  </wp:positionH>
                  <wp:positionV relativeFrom="paragraph">
                    <wp:posOffset>-313690</wp:posOffset>
                  </wp:positionV>
                  <wp:extent cx="1066165" cy="1216660"/>
                  <wp:effectExtent l="0" t="0" r="635" b="2540"/>
                  <wp:wrapNone/>
                  <wp:docPr id="113" name="图片_126"/>
                  <wp:cNvGraphicFramePr/>
                  <a:graphic xmlns:a="http://schemas.openxmlformats.org/drawingml/2006/main">
                    <a:graphicData uri="http://schemas.openxmlformats.org/drawingml/2006/picture">
                      <pic:pic xmlns:pic="http://schemas.openxmlformats.org/drawingml/2006/picture">
                        <pic:nvPicPr>
                          <pic:cNvPr id="113" name="图片_126"/>
                          <pic:cNvPicPr/>
                        </pic:nvPicPr>
                        <pic:blipFill>
                          <a:blip r:embed="rId125"/>
                          <a:stretch>
                            <a:fillRect/>
                          </a:stretch>
                        </pic:blipFill>
                        <pic:spPr>
                          <a:xfrm>
                            <a:off x="0" y="0"/>
                            <a:ext cx="1066165" cy="121666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672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F46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277B4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9A8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188</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29B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音控桌（2）</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D48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1800*800*760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2F456BA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1.基材：采用E0级多层板，游离甲醛释放量均达国家标准，台面厚度≥25mm,背板及其余板材厚度≥16mm；</w:t>
            </w:r>
          </w:p>
          <w:p w14:paraId="6E3C39A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2.贴面：采用优质耐磨三聚氢胺浸渍面纸，防火，并具阻燃、耐磨性强、清洁方便等特点；</w:t>
            </w:r>
          </w:p>
          <w:p w14:paraId="04DEE4C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3.五金：优质五金件；</w:t>
            </w:r>
          </w:p>
          <w:p w14:paraId="7672CA49">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4.封边：同色PVC封边条； </w:t>
            </w:r>
          </w:p>
          <w:p w14:paraId="5EFF946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5.成品：要求且不得出现可能产生危害的、危险性的、可触及的边部或尖端等；</w:t>
            </w:r>
          </w:p>
          <w:p w14:paraId="638D9B4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6.功能：配置支撑四抽柜及抽屉主机柜，抽屉配锁，柜子后方设计走线，桌面开过线孔，背板高度400mm；</w:t>
            </w:r>
          </w:p>
          <w:p w14:paraId="79115DF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864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107315</wp:posOffset>
                  </wp:positionH>
                  <wp:positionV relativeFrom="paragraph">
                    <wp:posOffset>-550545</wp:posOffset>
                  </wp:positionV>
                  <wp:extent cx="1059180" cy="1514475"/>
                  <wp:effectExtent l="0" t="0" r="7620" b="9525"/>
                  <wp:wrapNone/>
                  <wp:docPr id="114" name="图片_127"/>
                  <wp:cNvGraphicFramePr/>
                  <a:graphic xmlns:a="http://schemas.openxmlformats.org/drawingml/2006/main">
                    <a:graphicData uri="http://schemas.openxmlformats.org/drawingml/2006/picture">
                      <pic:pic xmlns:pic="http://schemas.openxmlformats.org/drawingml/2006/picture">
                        <pic:nvPicPr>
                          <pic:cNvPr id="114" name="图片_127"/>
                          <pic:cNvPicPr/>
                        </pic:nvPicPr>
                        <pic:blipFill>
                          <a:blip r:embed="rId126"/>
                          <a:stretch>
                            <a:fillRect/>
                          </a:stretch>
                        </pic:blipFill>
                        <pic:spPr>
                          <a:xfrm>
                            <a:off x="0" y="0"/>
                            <a:ext cx="1059180" cy="151447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185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325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56CCE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946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189</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070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文件柜（1）</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4DA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2400*400*1370</w:t>
            </w:r>
          </w:p>
          <w:p w14:paraId="70DD44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双开门柜*3</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0512D11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1.基材：采用E0级多层板，游离甲醛释放量均达国家标准，所有板材厚度≥16mm；</w:t>
            </w:r>
          </w:p>
          <w:p w14:paraId="74C3C28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2.贴面：采用优质耐磨三聚氢胺浸渍面纸，防火，并具阻燃、耐磨性强、清洁方便等特点；</w:t>
            </w:r>
          </w:p>
          <w:p w14:paraId="1ED8CE2E">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3.五金：优质五金件；</w:t>
            </w:r>
          </w:p>
          <w:p w14:paraId="7CF2725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4.封边：同色PVC封边条； </w:t>
            </w:r>
          </w:p>
          <w:p w14:paraId="715D2EC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5.成品：要求且不得出现可能产生危害的、危险性的、可触及的边部或尖端等；</w:t>
            </w:r>
          </w:p>
          <w:p w14:paraId="31E829B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6.功能：顶板后飞出20mm,柜子靠墙，柜子后方有一个电源需引到柜子右侧板上，86线盒离地大于300mm；柜门内置二层层板，柜门不加锁；</w:t>
            </w:r>
          </w:p>
          <w:p w14:paraId="3358834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A76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-1905</wp:posOffset>
                  </wp:positionV>
                  <wp:extent cx="1152525" cy="1181100"/>
                  <wp:effectExtent l="0" t="0" r="9525" b="0"/>
                  <wp:wrapNone/>
                  <wp:docPr id="130" name="图片_114"/>
                  <wp:cNvGraphicFramePr/>
                  <a:graphic xmlns:a="http://schemas.openxmlformats.org/drawingml/2006/main">
                    <a:graphicData uri="http://schemas.openxmlformats.org/drawingml/2006/picture">
                      <pic:pic xmlns:pic="http://schemas.openxmlformats.org/drawingml/2006/picture">
                        <pic:nvPicPr>
                          <pic:cNvPr id="130" name="图片_114"/>
                          <pic:cNvPicPr/>
                        </pic:nvPicPr>
                        <pic:blipFill>
                          <a:blip r:embed="rId127"/>
                          <a:stretch>
                            <a:fillRect/>
                          </a:stretch>
                        </pic:blipFill>
                        <pic:spPr>
                          <a:xfrm>
                            <a:off x="0" y="0"/>
                            <a:ext cx="1152525" cy="118110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10C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C9B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22551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A60C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190</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7D5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文件柜（2）</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427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2400*400*1395</w:t>
            </w:r>
          </w:p>
          <w:p w14:paraId="67141F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双开门柜*3</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36AB6F9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1.基材：采用E0级多层板，游离甲醛释放量均达国家标准，所有板材厚度≥16mm；</w:t>
            </w:r>
          </w:p>
          <w:p w14:paraId="18F3E3E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2.贴面：采用优质耐磨三聚氢胺浸渍面纸，防火，并具阻燃、耐磨性强、清洁方便等特点；</w:t>
            </w:r>
          </w:p>
          <w:p w14:paraId="352B865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3.五金：优质五金件；</w:t>
            </w:r>
          </w:p>
          <w:p w14:paraId="1DA95B6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4.封边：同色PVC封边条； </w:t>
            </w:r>
          </w:p>
          <w:p w14:paraId="38621E6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5.成品：要求且不得出现可能产生危害的、危险性的、可触及的边部或尖端等；</w:t>
            </w:r>
          </w:p>
          <w:p w14:paraId="0788FD6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6.功能：顶板后飞出20mm,柜子靠墙，柜子后方有一个电源需引到柜子右侧板上，86线盒离地大于300mm；柜门内置二层层板，柜门不加锁；</w:t>
            </w:r>
          </w:p>
          <w:p w14:paraId="69FC07C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38D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283210</wp:posOffset>
                  </wp:positionV>
                  <wp:extent cx="1238885" cy="1270000"/>
                  <wp:effectExtent l="0" t="0" r="18415" b="6350"/>
                  <wp:wrapNone/>
                  <wp:docPr id="131" name="图片_117"/>
                  <wp:cNvGraphicFramePr/>
                  <a:graphic xmlns:a="http://schemas.openxmlformats.org/drawingml/2006/main">
                    <a:graphicData uri="http://schemas.openxmlformats.org/drawingml/2006/picture">
                      <pic:pic xmlns:pic="http://schemas.openxmlformats.org/drawingml/2006/picture">
                        <pic:nvPicPr>
                          <pic:cNvPr id="131" name="图片_117"/>
                          <pic:cNvPicPr/>
                        </pic:nvPicPr>
                        <pic:blipFill>
                          <a:blip r:embed="rId128"/>
                          <a:stretch>
                            <a:fillRect/>
                          </a:stretch>
                        </pic:blipFill>
                        <pic:spPr>
                          <a:xfrm>
                            <a:off x="0" y="0"/>
                            <a:ext cx="1238885" cy="127000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F2C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972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1375F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430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191</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D71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文件柜（3）</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5F1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2800*400*1165</w:t>
            </w:r>
          </w:p>
          <w:p w14:paraId="6ED6EA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空格柜*1，双开门柜*3</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2AACF97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1.基材：采用E0级多层板，游离甲醛释放量均达国家标准，所有板材厚度≥16mm；</w:t>
            </w:r>
          </w:p>
          <w:p w14:paraId="096666F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2.贴面：采用优质耐磨三聚氢胺浸渍面纸，防火，并具阻燃、耐磨性强、清洁方便等特点；</w:t>
            </w:r>
          </w:p>
          <w:p w14:paraId="5C902EF3">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3.五金：优质五金件；</w:t>
            </w:r>
          </w:p>
          <w:p w14:paraId="7874662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4.封边：同色PVC封边条； </w:t>
            </w:r>
          </w:p>
          <w:p w14:paraId="3DE6119D">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5.成品：要求且不得出现可能产生危害的、危险性的、可触及的边部或尖端等.</w:t>
            </w:r>
          </w:p>
          <w:p w14:paraId="1301F7B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6.功能：顶板后飞出20mm,柜子靠墙，柜子后方有一个电源需引到柜子右侧板上，86线盒离地大于300mm；柜门内置二层层板，柜门不加锁；</w:t>
            </w:r>
          </w:p>
          <w:p w14:paraId="6194EC4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D94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290195</wp:posOffset>
                  </wp:positionH>
                  <wp:positionV relativeFrom="paragraph">
                    <wp:posOffset>1024255</wp:posOffset>
                  </wp:positionV>
                  <wp:extent cx="958215" cy="517525"/>
                  <wp:effectExtent l="0" t="0" r="13335" b="15875"/>
                  <wp:wrapNone/>
                  <wp:docPr id="126" name="图片_120"/>
                  <wp:cNvGraphicFramePr/>
                  <a:graphic xmlns:a="http://schemas.openxmlformats.org/drawingml/2006/main">
                    <a:graphicData uri="http://schemas.openxmlformats.org/drawingml/2006/picture">
                      <pic:pic xmlns:pic="http://schemas.openxmlformats.org/drawingml/2006/picture">
                        <pic:nvPicPr>
                          <pic:cNvPr id="126" name="图片_120"/>
                          <pic:cNvPicPr/>
                        </pic:nvPicPr>
                        <pic:blipFill>
                          <a:blip r:embed="rId129"/>
                          <a:stretch>
                            <a:fillRect/>
                          </a:stretch>
                        </pic:blipFill>
                        <pic:spPr>
                          <a:xfrm>
                            <a:off x="0" y="0"/>
                            <a:ext cx="958215" cy="517525"/>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245110</wp:posOffset>
                  </wp:positionH>
                  <wp:positionV relativeFrom="paragraph">
                    <wp:posOffset>98425</wp:posOffset>
                  </wp:positionV>
                  <wp:extent cx="793115" cy="826135"/>
                  <wp:effectExtent l="0" t="0" r="6985" b="12065"/>
                  <wp:wrapNone/>
                  <wp:docPr id="122" name="图片_119"/>
                  <wp:cNvGraphicFramePr/>
                  <a:graphic xmlns:a="http://schemas.openxmlformats.org/drawingml/2006/main">
                    <a:graphicData uri="http://schemas.openxmlformats.org/drawingml/2006/picture">
                      <pic:pic xmlns:pic="http://schemas.openxmlformats.org/drawingml/2006/picture">
                        <pic:nvPicPr>
                          <pic:cNvPr id="122" name="图片_119"/>
                          <pic:cNvPicPr/>
                        </pic:nvPicPr>
                        <pic:blipFill>
                          <a:blip r:embed="rId130"/>
                          <a:stretch>
                            <a:fillRect/>
                          </a:stretch>
                        </pic:blipFill>
                        <pic:spPr>
                          <a:xfrm>
                            <a:off x="0" y="0"/>
                            <a:ext cx="793115" cy="82613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EF2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15D2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0D7F4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F60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192</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F69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文件柜（4）</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FC1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2400*400*1090</w:t>
            </w:r>
          </w:p>
          <w:p w14:paraId="113728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双开门柜*3</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6363920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1.基材：采用E0级多层板，游离甲醛释放量均达国家标准，所有板材厚度≥16mm；</w:t>
            </w:r>
          </w:p>
          <w:p w14:paraId="76FB1EC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2.贴面：采用优质耐磨三聚氢胺浸渍面纸，防火，并具阻燃、耐磨性强、清洁方便等特点；</w:t>
            </w:r>
          </w:p>
          <w:p w14:paraId="741ADBD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3.五金：优质五金件；</w:t>
            </w:r>
          </w:p>
          <w:p w14:paraId="282D490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4.封边：同色PVC封边条； </w:t>
            </w:r>
          </w:p>
          <w:p w14:paraId="00532CD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5.成品：要求且不得出现可能产生危害的、危险性的、可触及的边部或尖端等.</w:t>
            </w:r>
          </w:p>
          <w:p w14:paraId="27C1232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6.功能：顶板后飞出20mm,柜子靠墙，柜子后方有一个电源需引到柜子右侧板上，86线盒离地大于300mm；柜门内置二层层板，柜门不加锁；</w:t>
            </w:r>
          </w:p>
          <w:p w14:paraId="489AE4C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618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41275</wp:posOffset>
                  </wp:positionV>
                  <wp:extent cx="1099820" cy="1135380"/>
                  <wp:effectExtent l="0" t="0" r="5080" b="7620"/>
                  <wp:wrapNone/>
                  <wp:docPr id="115" name="图片_118"/>
                  <wp:cNvGraphicFramePr/>
                  <a:graphic xmlns:a="http://schemas.openxmlformats.org/drawingml/2006/main">
                    <a:graphicData uri="http://schemas.openxmlformats.org/drawingml/2006/picture">
                      <pic:pic xmlns:pic="http://schemas.openxmlformats.org/drawingml/2006/picture">
                        <pic:nvPicPr>
                          <pic:cNvPr id="115" name="图片_118"/>
                          <pic:cNvPicPr/>
                        </pic:nvPicPr>
                        <pic:blipFill>
                          <a:blip r:embed="rId131"/>
                          <a:stretch>
                            <a:fillRect/>
                          </a:stretch>
                        </pic:blipFill>
                        <pic:spPr>
                          <a:xfrm>
                            <a:off x="0" y="0"/>
                            <a:ext cx="1099820" cy="1135380"/>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555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0E5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组</w:t>
            </w:r>
          </w:p>
        </w:tc>
      </w:tr>
      <w:tr w14:paraId="3D386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DE1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193</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9B8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椅子（1）</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194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630*690*1070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63EF21F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1.框架：采用优质白蜡木实木制作，所有木材都进行烘干及防蛀处理，木材含水率8-12%；无腐朽、无虫眼、无死结；</w:t>
            </w:r>
          </w:p>
          <w:p w14:paraId="14E24BF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2.饰面：采用优质西皮饰面，经液态浸色及防潮、防污等工艺处理，皮面更加柔软舒适、光泽持久性好，纹理细腻，耐磨损；</w:t>
            </w:r>
          </w:p>
          <w:p w14:paraId="0762A9C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3.油漆：采用水性漆；</w:t>
            </w:r>
          </w:p>
          <w:p w14:paraId="4769A95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4.海绵：采用优质高弹阻燃海绵，软硬适中、不变形、回弹性好、抗疲劳能力强、坐感舒适.表面涂有防止老化变形的保护膜.</w:t>
            </w:r>
          </w:p>
          <w:p w14:paraId="344DA38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CD8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79375</wp:posOffset>
                  </wp:positionH>
                  <wp:positionV relativeFrom="paragraph">
                    <wp:posOffset>273685</wp:posOffset>
                  </wp:positionV>
                  <wp:extent cx="1197610" cy="1532255"/>
                  <wp:effectExtent l="0" t="0" r="2540" b="10795"/>
                  <wp:wrapNone/>
                  <wp:docPr id="116" name="图片_129"/>
                  <wp:cNvGraphicFramePr/>
                  <a:graphic xmlns:a="http://schemas.openxmlformats.org/drawingml/2006/main">
                    <a:graphicData uri="http://schemas.openxmlformats.org/drawingml/2006/picture">
                      <pic:pic xmlns:pic="http://schemas.openxmlformats.org/drawingml/2006/picture">
                        <pic:nvPicPr>
                          <pic:cNvPr id="116" name="图片_129"/>
                          <pic:cNvPicPr/>
                        </pic:nvPicPr>
                        <pic:blipFill>
                          <a:blip r:embed="rId132"/>
                          <a:stretch>
                            <a:fillRect/>
                          </a:stretch>
                        </pic:blipFill>
                        <pic:spPr>
                          <a:xfrm>
                            <a:off x="0" y="0"/>
                            <a:ext cx="1197610" cy="153225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C9D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18</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1F9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14ACF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BAB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194</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3C8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椅子（2）</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BD6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700*605*1140-1240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6504870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1.面料：优质西皮或巴西进口优质黄牛皮饰面</w:t>
            </w:r>
          </w:p>
          <w:p w14:paraId="3B7FA008">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2.头枕：固定头枕，带ABS电镀装饰盖+定型棉</w:t>
            </w:r>
          </w:p>
          <w:p w14:paraId="249C735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3.椅背：PA内外板背架</w:t>
            </w:r>
          </w:p>
          <w:p w14:paraId="7BD972C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4.椅座：定型绵</w:t>
            </w:r>
          </w:p>
          <w:p w14:paraId="64D5464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5.扶手：黑色PP连体扶手</w:t>
            </w:r>
          </w:p>
          <w:p w14:paraId="65FD936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6.底盘：原位锁定功能底盘</w:t>
            </w:r>
          </w:p>
          <w:p w14:paraId="0676018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7.气杆：行程100mm沉口40mm气杆</w:t>
            </w:r>
          </w:p>
          <w:p w14:paraId="5B48241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8.椅脚：340mmPA五星脚</w:t>
            </w:r>
          </w:p>
          <w:p w14:paraId="0E29AD9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9.椅轮：60/25黑色PU轮</w:t>
            </w:r>
          </w:p>
          <w:p w14:paraId="68C9C7B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10.颜色：颜色可定制；</w:t>
            </w:r>
          </w:p>
        </w:tc>
        <w:tc>
          <w:tcPr>
            <w:tcW w:w="7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F73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237490</wp:posOffset>
                  </wp:positionH>
                  <wp:positionV relativeFrom="paragraph">
                    <wp:posOffset>339090</wp:posOffset>
                  </wp:positionV>
                  <wp:extent cx="751205" cy="1553845"/>
                  <wp:effectExtent l="0" t="0" r="10795" b="8255"/>
                  <wp:wrapNone/>
                  <wp:docPr id="132" name="图片_128"/>
                  <wp:cNvGraphicFramePr/>
                  <a:graphic xmlns:a="http://schemas.openxmlformats.org/drawingml/2006/main">
                    <a:graphicData uri="http://schemas.openxmlformats.org/drawingml/2006/picture">
                      <pic:pic xmlns:pic="http://schemas.openxmlformats.org/drawingml/2006/picture">
                        <pic:nvPicPr>
                          <pic:cNvPr id="132" name="图片_128"/>
                          <pic:cNvPicPr/>
                        </pic:nvPicPr>
                        <pic:blipFill>
                          <a:blip r:embed="rId133"/>
                          <a:stretch>
                            <a:fillRect/>
                          </a:stretch>
                        </pic:blipFill>
                        <pic:spPr>
                          <a:xfrm>
                            <a:off x="0" y="0"/>
                            <a:ext cx="751205" cy="1553845"/>
                          </a:xfrm>
                          <a:prstGeom prst="rect">
                            <a:avLst/>
                          </a:prstGeom>
                          <a:noFill/>
                          <a:ln>
                            <a:noFill/>
                          </a:ln>
                        </pic:spPr>
                      </pic:pic>
                    </a:graphicData>
                  </a:graphic>
                </wp:anchor>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A1D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BDB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张</w:t>
            </w:r>
          </w:p>
        </w:tc>
      </w:tr>
      <w:tr w14:paraId="7AC93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827862F">
            <w:pPr>
              <w:spacing w:beforeLines="0" w:afterLines="0"/>
              <w:jc w:val="center"/>
              <w:rPr>
                <w:rFonts w:hint="default" w:ascii="微软雅黑" w:hAnsi="微软雅黑" w:eastAsia="微软雅黑" w:cs="Times New Roman"/>
                <w:color w:val="auto"/>
                <w:kern w:val="2"/>
                <w:sz w:val="24"/>
                <w:szCs w:val="24"/>
                <w:highlight w:val="none"/>
                <w:lang w:val="en-US" w:eastAsia="zh-CN" w:bidi="ar-SA"/>
              </w:rPr>
            </w:pPr>
            <w:r>
              <w:rPr>
                <w:rFonts w:hint="eastAsia" w:ascii="微软雅黑" w:hAnsi="微软雅黑" w:eastAsia="微软雅黑"/>
                <w:color w:val="auto"/>
                <w:sz w:val="24"/>
                <w:szCs w:val="24"/>
                <w:highlight w:val="none"/>
              </w:rPr>
              <w:t>1</w:t>
            </w:r>
            <w:r>
              <w:rPr>
                <w:rFonts w:hint="eastAsia" w:ascii="微软雅黑" w:hAnsi="微软雅黑" w:eastAsia="微软雅黑"/>
                <w:color w:val="auto"/>
                <w:sz w:val="24"/>
                <w:szCs w:val="24"/>
                <w:highlight w:val="none"/>
                <w:lang w:val="en-US" w:eastAsia="zh-CN"/>
              </w:rPr>
              <w:t>95</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40A5F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定制桌组</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top"/>
          </w:tcPr>
          <w:p w14:paraId="2DE294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1800*1800*760</w:t>
            </w:r>
          </w:p>
        </w:tc>
        <w:tc>
          <w:tcPr>
            <w:tcW w:w="2515" w:type="pct"/>
            <w:vMerge w:val="restart"/>
            <w:tcBorders>
              <w:top w:val="single" w:color="000000" w:sz="4" w:space="0"/>
              <w:left w:val="single" w:color="000000" w:sz="4" w:space="0"/>
              <w:right w:val="single" w:color="000000" w:sz="4" w:space="0"/>
            </w:tcBorders>
            <w:shd w:val="clear" w:color="auto" w:fill="auto"/>
            <w:vAlign w:val="top"/>
          </w:tcPr>
          <w:p w14:paraId="7A732F8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面材：采用优质天然实木木皮贴面，木皮厚度≥0.6mm；</w:t>
            </w:r>
          </w:p>
          <w:p w14:paraId="6A1BD2B4">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基材：采用E0级密度板，各项性能均优于国家标准；</w:t>
            </w:r>
          </w:p>
          <w:p w14:paraId="1390551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油漆：油性木器涂料涂饰，采用五底三面涂饰工艺，符合国家标准；</w:t>
            </w:r>
          </w:p>
          <w:p w14:paraId="4A71905F">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胶水：采用环保白乳胶；</w:t>
            </w:r>
          </w:p>
          <w:p w14:paraId="7EAFF5D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配件：优质五金配件；</w:t>
            </w:r>
          </w:p>
          <w:p w14:paraId="7311D1FA">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走线：线路隐蔽处理，桌面含黑色铝合金或木制翻盖，内置底盒及预留4个86型面板孔；</w:t>
            </w:r>
          </w:p>
          <w:p w14:paraId="5DE27DE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功能：含支撑柜及副柜，配锁；</w:t>
            </w:r>
          </w:p>
          <w:p w14:paraId="487B665B">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以深化图纸为准，颜色最终甲方确认；工艺要求：桌面厚度≥70mm，桌面四周及边缘倒边；台面及支撑柜下支撑部分板材厚度≥25mm,其余部分均≥16mm；柜体四周倒边.</w:t>
            </w:r>
          </w:p>
        </w:tc>
        <w:tc>
          <w:tcPr>
            <w:tcW w:w="732" w:type="pct"/>
            <w:vMerge w:val="restart"/>
            <w:tcBorders>
              <w:top w:val="single" w:color="000000" w:sz="4" w:space="0"/>
              <w:left w:val="single" w:color="000000" w:sz="4" w:space="0"/>
              <w:right w:val="single" w:color="000000" w:sz="4" w:space="0"/>
            </w:tcBorders>
            <w:shd w:val="clear" w:color="auto" w:fill="auto"/>
            <w:noWrap/>
            <w:vAlign w:val="top"/>
          </w:tcPr>
          <w:p w14:paraId="10589C4C">
            <w:pPr>
              <w:spacing w:beforeLines="0" w:afterLines="0"/>
              <w:jc w:val="center"/>
              <w:rPr>
                <w:rFonts w:hint="eastAsia" w:ascii="微软雅黑" w:hAnsi="微软雅黑" w:eastAsia="微软雅黑" w:cs="Times New Roman"/>
                <w:color w:val="auto"/>
                <w:kern w:val="2"/>
                <w:sz w:val="24"/>
                <w:szCs w:val="24"/>
                <w:highlight w:val="none"/>
                <w:lang w:val="en-US" w:eastAsia="zh-CN" w:bidi="ar-SA"/>
              </w:rPr>
            </w:pPr>
            <w:r>
              <w:rPr>
                <w:color w:val="auto"/>
                <w:highlight w:val="none"/>
              </w:rPr>
              <w:drawing>
                <wp:inline distT="0" distB="0" distL="114300" distR="114300">
                  <wp:extent cx="1985010" cy="1340485"/>
                  <wp:effectExtent l="0" t="0" r="15240" b="12700"/>
                  <wp:docPr id="6" name="图片 114"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4" descr="image10"/>
                          <pic:cNvPicPr>
                            <a:picLocks noChangeAspect="1"/>
                          </pic:cNvPicPr>
                        </pic:nvPicPr>
                        <pic:blipFill>
                          <a:blip r:embed="rId134"/>
                          <a:stretch>
                            <a:fillRect/>
                          </a:stretch>
                        </pic:blipFill>
                        <pic:spPr>
                          <a:xfrm>
                            <a:off x="0" y="0"/>
                            <a:ext cx="1985010" cy="1340485"/>
                          </a:xfrm>
                          <a:prstGeom prst="rect">
                            <a:avLst/>
                          </a:prstGeom>
                        </pic:spPr>
                      </pic:pic>
                    </a:graphicData>
                  </a:graphic>
                </wp:inline>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F7BA534">
            <w:pPr>
              <w:spacing w:beforeLines="0" w:afterLines="0"/>
              <w:jc w:val="center"/>
              <w:rPr>
                <w:rFonts w:hint="eastAsia" w:ascii="微软雅黑" w:hAnsi="微软雅黑" w:eastAsia="微软雅黑" w:cs="Times New Roman"/>
                <w:color w:val="auto"/>
                <w:kern w:val="2"/>
                <w:sz w:val="24"/>
                <w:szCs w:val="24"/>
                <w:highlight w:val="none"/>
                <w:lang w:val="en-US" w:eastAsia="zh-CN" w:bidi="ar-SA"/>
              </w:rPr>
            </w:pPr>
            <w:r>
              <w:rPr>
                <w:rFonts w:hint="eastAsia" w:ascii="微软雅黑" w:hAnsi="微软雅黑" w:eastAsia="微软雅黑"/>
                <w:color w:val="auto"/>
                <w:sz w:val="24"/>
                <w:szCs w:val="24"/>
                <w:highlight w:val="none"/>
              </w:rPr>
              <w:t>25</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0758779">
            <w:pPr>
              <w:spacing w:beforeLines="0" w:afterLines="0"/>
              <w:jc w:val="center"/>
              <w:rPr>
                <w:rFonts w:hint="eastAsia" w:ascii="微软雅黑" w:hAnsi="微软雅黑" w:eastAsia="微软雅黑" w:cs="Times New Roman"/>
                <w:color w:val="auto"/>
                <w:kern w:val="2"/>
                <w:sz w:val="24"/>
                <w:szCs w:val="24"/>
                <w:highlight w:val="none"/>
                <w:lang w:val="en-US" w:eastAsia="zh-CN" w:bidi="ar-SA"/>
              </w:rPr>
            </w:pPr>
            <w:r>
              <w:rPr>
                <w:rFonts w:hint="eastAsia" w:ascii="微软雅黑" w:hAnsi="微软雅黑" w:eastAsia="微软雅黑"/>
                <w:color w:val="auto"/>
                <w:sz w:val="24"/>
                <w:szCs w:val="24"/>
                <w:highlight w:val="none"/>
              </w:rPr>
              <w:t>张</w:t>
            </w:r>
          </w:p>
        </w:tc>
      </w:tr>
      <w:tr w14:paraId="4B4C4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54"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2F55023">
            <w:pPr>
              <w:spacing w:beforeLines="0" w:afterLines="0"/>
              <w:jc w:val="center"/>
              <w:rPr>
                <w:rFonts w:hint="default" w:ascii="微软雅黑" w:hAnsi="微软雅黑" w:eastAsia="微软雅黑" w:cs="Times New Roman"/>
                <w:color w:val="auto"/>
                <w:kern w:val="2"/>
                <w:sz w:val="24"/>
                <w:szCs w:val="24"/>
                <w:highlight w:val="none"/>
                <w:lang w:val="en-US" w:eastAsia="zh-CN" w:bidi="ar-SA"/>
              </w:rPr>
            </w:pPr>
            <w:r>
              <w:rPr>
                <w:rFonts w:hint="eastAsia" w:ascii="微软雅黑" w:hAnsi="微软雅黑" w:eastAsia="微软雅黑"/>
                <w:color w:val="auto"/>
                <w:sz w:val="24"/>
                <w:szCs w:val="24"/>
                <w:highlight w:val="none"/>
                <w:lang w:val="en-US" w:eastAsia="zh-CN"/>
              </w:rPr>
              <w:t>196</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E710E38">
            <w:pPr>
              <w:spacing w:beforeLines="0" w:afterLines="0"/>
              <w:jc w:val="center"/>
              <w:rPr>
                <w:rFonts w:hint="eastAsia" w:ascii="微软雅黑" w:hAnsi="微软雅黑" w:eastAsia="微软雅黑" w:cs="Times New Roman"/>
                <w:color w:val="auto"/>
                <w:kern w:val="2"/>
                <w:sz w:val="24"/>
                <w:szCs w:val="24"/>
                <w:highlight w:val="none"/>
                <w:lang w:val="en-US" w:eastAsia="zh-CN" w:bidi="ar-SA"/>
              </w:rPr>
            </w:pP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top"/>
          </w:tcPr>
          <w:p w14:paraId="301E0C55">
            <w:pPr>
              <w:spacing w:beforeLines="0" w:afterLines="0"/>
              <w:jc w:val="center"/>
              <w:rPr>
                <w:rFonts w:hint="eastAsia" w:ascii="微软雅黑" w:hAnsi="微软雅黑" w:eastAsia="微软雅黑" w:cs="Times New Roman"/>
                <w:color w:val="auto"/>
                <w:kern w:val="2"/>
                <w:sz w:val="24"/>
                <w:szCs w:val="24"/>
                <w:highlight w:val="none"/>
                <w:lang w:val="en-US" w:eastAsia="zh-CN" w:bidi="ar-SA"/>
              </w:rPr>
            </w:pPr>
            <w:r>
              <w:rPr>
                <w:rFonts w:hint="eastAsia" w:ascii="微软雅黑" w:hAnsi="微软雅黑" w:eastAsia="微软雅黑"/>
                <w:color w:val="auto"/>
                <w:sz w:val="24"/>
                <w:szCs w:val="24"/>
                <w:highlight w:val="none"/>
              </w:rPr>
              <w:t>2000*1800*760</w:t>
            </w:r>
          </w:p>
        </w:tc>
        <w:tc>
          <w:tcPr>
            <w:tcW w:w="2515" w:type="pct"/>
            <w:vMerge w:val="continue"/>
            <w:tcBorders>
              <w:left w:val="single" w:color="000000" w:sz="4" w:space="0"/>
              <w:right w:val="single" w:color="000000" w:sz="4" w:space="0"/>
            </w:tcBorders>
            <w:shd w:val="clear" w:color="auto" w:fill="auto"/>
            <w:vAlign w:val="top"/>
          </w:tcPr>
          <w:p w14:paraId="02382B1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p>
        </w:tc>
        <w:tc>
          <w:tcPr>
            <w:tcW w:w="732" w:type="pct"/>
            <w:vMerge w:val="continue"/>
            <w:tcBorders>
              <w:left w:val="single" w:color="000000" w:sz="4" w:space="0"/>
              <w:right w:val="single" w:color="000000" w:sz="4" w:space="0"/>
            </w:tcBorders>
            <w:shd w:val="clear" w:color="auto" w:fill="auto"/>
            <w:noWrap/>
            <w:vAlign w:val="top"/>
          </w:tcPr>
          <w:p w14:paraId="1800B9C5">
            <w:pPr>
              <w:spacing w:beforeLines="0" w:afterLines="0"/>
              <w:jc w:val="center"/>
              <w:rPr>
                <w:rFonts w:hint="eastAsia" w:ascii="微软雅黑" w:hAnsi="微软雅黑" w:eastAsia="微软雅黑" w:cs="Times New Roman"/>
                <w:color w:val="auto"/>
                <w:kern w:val="2"/>
                <w:sz w:val="24"/>
                <w:szCs w:val="24"/>
                <w:highlight w:val="none"/>
                <w:lang w:val="en-US" w:eastAsia="zh-CN" w:bidi="ar-SA"/>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C349401">
            <w:pPr>
              <w:spacing w:beforeLines="0" w:afterLines="0"/>
              <w:jc w:val="center"/>
              <w:rPr>
                <w:rFonts w:hint="eastAsia" w:ascii="微软雅黑" w:hAnsi="微软雅黑" w:eastAsia="微软雅黑" w:cs="Times New Roman"/>
                <w:color w:val="auto"/>
                <w:kern w:val="2"/>
                <w:sz w:val="24"/>
                <w:szCs w:val="24"/>
                <w:highlight w:val="none"/>
                <w:lang w:val="en-US" w:eastAsia="zh-CN" w:bidi="ar-SA"/>
              </w:rPr>
            </w:pPr>
            <w:r>
              <w:rPr>
                <w:rFonts w:hint="eastAsia" w:ascii="微软雅黑" w:hAnsi="微软雅黑" w:eastAsia="微软雅黑"/>
                <w:color w:val="auto"/>
                <w:sz w:val="24"/>
                <w:szCs w:val="24"/>
                <w:highlight w:val="none"/>
              </w:rPr>
              <w:t>3</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04E9CC8">
            <w:pPr>
              <w:spacing w:beforeLines="0" w:afterLines="0"/>
              <w:jc w:val="center"/>
              <w:rPr>
                <w:rFonts w:hint="eastAsia" w:ascii="微软雅黑" w:hAnsi="微软雅黑" w:eastAsia="微软雅黑" w:cs="Times New Roman"/>
                <w:color w:val="auto"/>
                <w:kern w:val="2"/>
                <w:sz w:val="24"/>
                <w:szCs w:val="24"/>
                <w:highlight w:val="none"/>
                <w:lang w:val="en-US" w:eastAsia="zh-CN" w:bidi="ar-SA"/>
              </w:rPr>
            </w:pPr>
            <w:r>
              <w:rPr>
                <w:rFonts w:hint="eastAsia" w:ascii="微软雅黑" w:hAnsi="微软雅黑" w:eastAsia="微软雅黑"/>
                <w:color w:val="auto"/>
                <w:sz w:val="24"/>
                <w:szCs w:val="24"/>
                <w:highlight w:val="none"/>
              </w:rPr>
              <w:t>张</w:t>
            </w:r>
          </w:p>
        </w:tc>
      </w:tr>
      <w:tr w14:paraId="2D60E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89FF91A">
            <w:pPr>
              <w:spacing w:beforeLines="0" w:afterLines="0"/>
              <w:jc w:val="center"/>
              <w:rPr>
                <w:rFonts w:hint="default" w:ascii="微软雅黑" w:hAnsi="微软雅黑" w:eastAsia="微软雅黑" w:cs="Times New Roman"/>
                <w:color w:val="auto"/>
                <w:kern w:val="2"/>
                <w:sz w:val="24"/>
                <w:szCs w:val="24"/>
                <w:highlight w:val="none"/>
                <w:lang w:val="en-US" w:eastAsia="zh-CN" w:bidi="ar-SA"/>
              </w:rPr>
            </w:pPr>
            <w:r>
              <w:rPr>
                <w:rFonts w:hint="eastAsia" w:ascii="微软雅黑" w:hAnsi="微软雅黑" w:eastAsia="微软雅黑"/>
                <w:color w:val="auto"/>
                <w:sz w:val="24"/>
                <w:szCs w:val="24"/>
                <w:highlight w:val="none"/>
                <w:lang w:val="en-US" w:eastAsia="zh-CN"/>
              </w:rPr>
              <w:t>197</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B596376">
            <w:pPr>
              <w:spacing w:beforeLines="0" w:afterLines="0"/>
              <w:jc w:val="center"/>
              <w:rPr>
                <w:rFonts w:hint="eastAsia" w:ascii="微软雅黑" w:hAnsi="微软雅黑" w:eastAsia="微软雅黑" w:cs="Times New Roman"/>
                <w:color w:val="auto"/>
                <w:kern w:val="2"/>
                <w:sz w:val="24"/>
                <w:szCs w:val="24"/>
                <w:highlight w:val="none"/>
                <w:lang w:val="en-US" w:eastAsia="zh-CN" w:bidi="ar-SA"/>
              </w:rPr>
            </w:pP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top"/>
          </w:tcPr>
          <w:p w14:paraId="4A4B7DF0">
            <w:pPr>
              <w:spacing w:beforeLines="0" w:afterLines="0"/>
              <w:jc w:val="center"/>
              <w:rPr>
                <w:rFonts w:hint="eastAsia" w:ascii="微软雅黑" w:hAnsi="微软雅黑" w:eastAsia="微软雅黑" w:cs="Times New Roman"/>
                <w:color w:val="auto"/>
                <w:kern w:val="2"/>
                <w:sz w:val="24"/>
                <w:szCs w:val="24"/>
                <w:highlight w:val="none"/>
                <w:lang w:val="en-US" w:eastAsia="zh-CN" w:bidi="ar-SA"/>
              </w:rPr>
            </w:pPr>
            <w:r>
              <w:rPr>
                <w:rFonts w:hint="eastAsia" w:ascii="微软雅黑" w:hAnsi="微软雅黑" w:eastAsia="微软雅黑"/>
                <w:color w:val="auto"/>
                <w:sz w:val="24"/>
                <w:szCs w:val="24"/>
                <w:highlight w:val="none"/>
              </w:rPr>
              <w:t>2200*1800*760</w:t>
            </w:r>
          </w:p>
        </w:tc>
        <w:tc>
          <w:tcPr>
            <w:tcW w:w="2515" w:type="pct"/>
            <w:vMerge w:val="continue"/>
            <w:tcBorders>
              <w:left w:val="single" w:color="000000" w:sz="4" w:space="0"/>
              <w:right w:val="single" w:color="000000" w:sz="4" w:space="0"/>
            </w:tcBorders>
            <w:shd w:val="clear" w:color="auto" w:fill="auto"/>
            <w:vAlign w:val="top"/>
          </w:tcPr>
          <w:p w14:paraId="5A66CAC0">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p>
        </w:tc>
        <w:tc>
          <w:tcPr>
            <w:tcW w:w="732" w:type="pct"/>
            <w:vMerge w:val="continue"/>
            <w:tcBorders>
              <w:left w:val="single" w:color="000000" w:sz="4" w:space="0"/>
              <w:right w:val="single" w:color="000000" w:sz="4" w:space="0"/>
            </w:tcBorders>
            <w:shd w:val="clear" w:color="auto" w:fill="auto"/>
            <w:noWrap/>
            <w:vAlign w:val="top"/>
          </w:tcPr>
          <w:p w14:paraId="6AEE440F">
            <w:pPr>
              <w:spacing w:beforeLines="0" w:afterLines="0"/>
              <w:jc w:val="center"/>
              <w:rPr>
                <w:rFonts w:hint="eastAsia" w:ascii="微软雅黑" w:hAnsi="微软雅黑" w:eastAsia="微软雅黑" w:cs="Times New Roman"/>
                <w:color w:val="auto"/>
                <w:kern w:val="2"/>
                <w:sz w:val="24"/>
                <w:szCs w:val="24"/>
                <w:highlight w:val="none"/>
                <w:lang w:val="en-US" w:eastAsia="zh-CN" w:bidi="ar-SA"/>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04FB859">
            <w:pPr>
              <w:spacing w:beforeLines="0" w:afterLines="0"/>
              <w:jc w:val="center"/>
              <w:rPr>
                <w:rFonts w:hint="eastAsia" w:ascii="微软雅黑" w:hAnsi="微软雅黑" w:eastAsia="微软雅黑" w:cs="Times New Roman"/>
                <w:color w:val="auto"/>
                <w:kern w:val="2"/>
                <w:sz w:val="24"/>
                <w:szCs w:val="24"/>
                <w:highlight w:val="none"/>
                <w:lang w:val="en-US" w:eastAsia="zh-CN" w:bidi="ar-SA"/>
              </w:rPr>
            </w:pPr>
            <w:r>
              <w:rPr>
                <w:rFonts w:hint="eastAsia" w:ascii="微软雅黑" w:hAnsi="微软雅黑" w:eastAsia="微软雅黑"/>
                <w:color w:val="auto"/>
                <w:sz w:val="24"/>
                <w:szCs w:val="24"/>
                <w:highlight w:val="none"/>
              </w:rPr>
              <w:t>10</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B87EF48">
            <w:pPr>
              <w:spacing w:beforeLines="0" w:afterLines="0"/>
              <w:jc w:val="center"/>
              <w:rPr>
                <w:rFonts w:hint="eastAsia" w:ascii="微软雅黑" w:hAnsi="微软雅黑" w:eastAsia="微软雅黑" w:cs="Times New Roman"/>
                <w:color w:val="auto"/>
                <w:kern w:val="2"/>
                <w:sz w:val="24"/>
                <w:szCs w:val="24"/>
                <w:highlight w:val="none"/>
                <w:lang w:val="en-US" w:eastAsia="zh-CN" w:bidi="ar-SA"/>
              </w:rPr>
            </w:pPr>
            <w:r>
              <w:rPr>
                <w:rFonts w:hint="eastAsia" w:ascii="微软雅黑" w:hAnsi="微软雅黑" w:eastAsia="微软雅黑"/>
                <w:color w:val="auto"/>
                <w:sz w:val="24"/>
                <w:szCs w:val="24"/>
                <w:highlight w:val="none"/>
              </w:rPr>
              <w:t>张</w:t>
            </w:r>
          </w:p>
        </w:tc>
      </w:tr>
      <w:tr w14:paraId="2E86E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5932537">
            <w:pPr>
              <w:spacing w:beforeLines="0" w:afterLines="0"/>
              <w:jc w:val="center"/>
              <w:rPr>
                <w:rFonts w:hint="default" w:ascii="微软雅黑" w:hAnsi="微软雅黑" w:eastAsia="微软雅黑" w:cs="Times New Roman"/>
                <w:color w:val="auto"/>
                <w:kern w:val="2"/>
                <w:sz w:val="24"/>
                <w:szCs w:val="24"/>
                <w:highlight w:val="none"/>
                <w:lang w:val="en-US" w:eastAsia="zh-CN" w:bidi="ar-SA"/>
              </w:rPr>
            </w:pPr>
            <w:r>
              <w:rPr>
                <w:rFonts w:hint="eastAsia" w:ascii="微软雅黑" w:hAnsi="微软雅黑" w:eastAsia="微软雅黑"/>
                <w:color w:val="auto"/>
                <w:sz w:val="24"/>
                <w:szCs w:val="24"/>
                <w:highlight w:val="none"/>
                <w:lang w:val="en-US" w:eastAsia="zh-CN"/>
              </w:rPr>
              <w:t>198</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ABDAE6B">
            <w:pPr>
              <w:spacing w:beforeLines="0" w:afterLines="0"/>
              <w:jc w:val="center"/>
              <w:rPr>
                <w:rFonts w:hint="eastAsia" w:ascii="微软雅黑" w:hAnsi="微软雅黑" w:eastAsia="微软雅黑" w:cs="Times New Roman"/>
                <w:color w:val="auto"/>
                <w:kern w:val="2"/>
                <w:sz w:val="24"/>
                <w:szCs w:val="24"/>
                <w:highlight w:val="none"/>
                <w:lang w:val="en-US" w:eastAsia="zh-CN" w:bidi="ar-SA"/>
              </w:rPr>
            </w:pP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top"/>
          </w:tcPr>
          <w:p w14:paraId="6FEE48E6">
            <w:pPr>
              <w:spacing w:beforeLines="0" w:afterLines="0"/>
              <w:jc w:val="center"/>
              <w:rPr>
                <w:rFonts w:hint="eastAsia" w:ascii="微软雅黑" w:hAnsi="微软雅黑" w:eastAsia="微软雅黑" w:cs="Times New Roman"/>
                <w:color w:val="auto"/>
                <w:kern w:val="2"/>
                <w:sz w:val="24"/>
                <w:szCs w:val="24"/>
                <w:highlight w:val="none"/>
                <w:lang w:val="en-US" w:eastAsia="zh-CN" w:bidi="ar-SA"/>
              </w:rPr>
            </w:pPr>
            <w:r>
              <w:rPr>
                <w:rFonts w:hint="eastAsia" w:ascii="微软雅黑" w:hAnsi="微软雅黑" w:eastAsia="微软雅黑"/>
                <w:color w:val="auto"/>
                <w:sz w:val="24"/>
                <w:szCs w:val="24"/>
                <w:highlight w:val="none"/>
              </w:rPr>
              <w:t>2400*2000*760</w:t>
            </w:r>
          </w:p>
        </w:tc>
        <w:tc>
          <w:tcPr>
            <w:tcW w:w="2515" w:type="pct"/>
            <w:vMerge w:val="continue"/>
            <w:tcBorders>
              <w:left w:val="single" w:color="000000" w:sz="4" w:space="0"/>
              <w:bottom w:val="single" w:color="000000" w:sz="4" w:space="0"/>
              <w:right w:val="single" w:color="000000" w:sz="4" w:space="0"/>
            </w:tcBorders>
            <w:shd w:val="clear" w:color="auto" w:fill="auto"/>
            <w:vAlign w:val="top"/>
          </w:tcPr>
          <w:p w14:paraId="2DAA8222">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p>
        </w:tc>
        <w:tc>
          <w:tcPr>
            <w:tcW w:w="732" w:type="pct"/>
            <w:vMerge w:val="continue"/>
            <w:tcBorders>
              <w:left w:val="single" w:color="000000" w:sz="4" w:space="0"/>
              <w:bottom w:val="single" w:color="000000" w:sz="4" w:space="0"/>
              <w:right w:val="single" w:color="000000" w:sz="4" w:space="0"/>
            </w:tcBorders>
            <w:shd w:val="clear" w:color="auto" w:fill="auto"/>
            <w:noWrap/>
            <w:vAlign w:val="top"/>
          </w:tcPr>
          <w:p w14:paraId="42183507">
            <w:pPr>
              <w:spacing w:beforeLines="0" w:afterLines="0"/>
              <w:jc w:val="center"/>
              <w:rPr>
                <w:rFonts w:hint="eastAsia" w:ascii="微软雅黑" w:hAnsi="微软雅黑" w:eastAsia="微软雅黑" w:cs="Times New Roman"/>
                <w:color w:val="auto"/>
                <w:kern w:val="2"/>
                <w:sz w:val="24"/>
                <w:szCs w:val="24"/>
                <w:highlight w:val="none"/>
                <w:lang w:val="en-US" w:eastAsia="zh-CN" w:bidi="ar-SA"/>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39B7950">
            <w:pPr>
              <w:spacing w:beforeLines="0" w:afterLines="0"/>
              <w:jc w:val="center"/>
              <w:rPr>
                <w:rFonts w:hint="eastAsia" w:ascii="微软雅黑" w:hAnsi="微软雅黑" w:eastAsia="微软雅黑" w:cs="Times New Roman"/>
                <w:color w:val="auto"/>
                <w:kern w:val="2"/>
                <w:sz w:val="24"/>
                <w:szCs w:val="24"/>
                <w:highlight w:val="none"/>
                <w:lang w:val="en-US" w:eastAsia="zh-CN" w:bidi="ar-SA"/>
              </w:rPr>
            </w:pPr>
            <w:r>
              <w:rPr>
                <w:rFonts w:hint="eastAsia" w:ascii="微软雅黑" w:hAnsi="微软雅黑" w:eastAsia="微软雅黑"/>
                <w:color w:val="auto"/>
                <w:sz w:val="24"/>
                <w:szCs w:val="24"/>
                <w:highlight w:val="none"/>
              </w:rPr>
              <w:t>10</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2595C95B">
            <w:pPr>
              <w:spacing w:beforeLines="0" w:afterLines="0"/>
              <w:jc w:val="center"/>
              <w:rPr>
                <w:rFonts w:hint="eastAsia" w:ascii="微软雅黑" w:hAnsi="微软雅黑" w:eastAsia="微软雅黑" w:cs="Times New Roman"/>
                <w:color w:val="auto"/>
                <w:kern w:val="2"/>
                <w:sz w:val="24"/>
                <w:szCs w:val="24"/>
                <w:highlight w:val="none"/>
                <w:lang w:val="en-US" w:eastAsia="zh-CN" w:bidi="ar-SA"/>
              </w:rPr>
            </w:pPr>
            <w:r>
              <w:rPr>
                <w:rFonts w:hint="eastAsia" w:ascii="微软雅黑" w:hAnsi="微软雅黑" w:eastAsia="微软雅黑"/>
                <w:color w:val="auto"/>
                <w:sz w:val="24"/>
                <w:szCs w:val="24"/>
                <w:highlight w:val="none"/>
              </w:rPr>
              <w:t>张</w:t>
            </w:r>
          </w:p>
        </w:tc>
      </w:tr>
      <w:tr w14:paraId="79D5C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7F6E938F">
            <w:pPr>
              <w:spacing w:beforeLines="0" w:afterLines="0"/>
              <w:jc w:val="center"/>
              <w:rPr>
                <w:rFonts w:hint="default" w:ascii="微软雅黑" w:hAnsi="微软雅黑" w:eastAsia="微软雅黑" w:cs="Times New Roman"/>
                <w:color w:val="auto"/>
                <w:kern w:val="2"/>
                <w:sz w:val="24"/>
                <w:szCs w:val="24"/>
                <w:highlight w:val="none"/>
                <w:lang w:val="en-US" w:eastAsia="zh-CN" w:bidi="ar-SA"/>
              </w:rPr>
            </w:pPr>
            <w:r>
              <w:rPr>
                <w:rFonts w:hint="eastAsia" w:ascii="微软雅黑" w:hAnsi="微软雅黑" w:eastAsia="微软雅黑"/>
                <w:color w:val="auto"/>
                <w:sz w:val="24"/>
                <w:szCs w:val="24"/>
                <w:highlight w:val="none"/>
                <w:lang w:val="en-US" w:eastAsia="zh-CN"/>
              </w:rPr>
              <w:t>199</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11A20342">
            <w:pPr>
              <w:spacing w:beforeLines="0" w:afterLines="0"/>
              <w:jc w:val="center"/>
              <w:rPr>
                <w:rFonts w:hint="eastAsia" w:ascii="微软雅黑" w:hAnsi="微软雅黑" w:eastAsia="微软雅黑" w:cs="Times New Roman"/>
                <w:color w:val="auto"/>
                <w:kern w:val="2"/>
                <w:sz w:val="24"/>
                <w:szCs w:val="24"/>
                <w:highlight w:val="none"/>
                <w:lang w:val="en-US" w:eastAsia="zh-CN" w:bidi="ar-SA"/>
              </w:rPr>
            </w:pPr>
            <w:r>
              <w:rPr>
                <w:rFonts w:hint="eastAsia" w:ascii="微软雅黑" w:hAnsi="微软雅黑" w:eastAsia="微软雅黑"/>
                <w:color w:val="auto"/>
                <w:sz w:val="24"/>
                <w:szCs w:val="24"/>
                <w:highlight w:val="none"/>
              </w:rPr>
              <w:t>定制桌组</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top"/>
          </w:tcPr>
          <w:p w14:paraId="3DC85E69">
            <w:pPr>
              <w:spacing w:beforeLines="0" w:afterLines="0"/>
              <w:jc w:val="center"/>
              <w:rPr>
                <w:rFonts w:hint="eastAsia" w:ascii="微软雅黑" w:hAnsi="微软雅黑" w:eastAsia="微软雅黑" w:cs="Times New Roman"/>
                <w:color w:val="auto"/>
                <w:kern w:val="2"/>
                <w:sz w:val="24"/>
                <w:szCs w:val="24"/>
                <w:highlight w:val="none"/>
                <w:lang w:val="en-US" w:eastAsia="zh-CN" w:bidi="ar-SA"/>
              </w:rPr>
            </w:pPr>
            <w:r>
              <w:rPr>
                <w:rFonts w:hint="eastAsia" w:ascii="微软雅黑" w:hAnsi="微软雅黑" w:eastAsia="微软雅黑"/>
                <w:color w:val="auto"/>
                <w:sz w:val="24"/>
                <w:szCs w:val="24"/>
                <w:highlight w:val="none"/>
              </w:rPr>
              <w:t>3600*3000*760</w:t>
            </w:r>
          </w:p>
        </w:tc>
        <w:tc>
          <w:tcPr>
            <w:tcW w:w="2515" w:type="pct"/>
            <w:tcBorders>
              <w:top w:val="single" w:color="000000" w:sz="4" w:space="0"/>
              <w:left w:val="single" w:color="000000" w:sz="4" w:space="0"/>
              <w:bottom w:val="single" w:color="000000" w:sz="4" w:space="0"/>
              <w:right w:val="single" w:color="000000" w:sz="4" w:space="0"/>
            </w:tcBorders>
            <w:shd w:val="clear" w:color="auto" w:fill="auto"/>
            <w:vAlign w:val="top"/>
          </w:tcPr>
          <w:p w14:paraId="641D51B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面材：采用优质天然实木木皮贴面，木皮厚度≥0.6mm；</w:t>
            </w:r>
          </w:p>
          <w:p w14:paraId="057B9E86">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基材：采用E0级密度板，各项性能均优于国家标准；</w:t>
            </w:r>
          </w:p>
          <w:p w14:paraId="03FA733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油漆：油性木器涂料涂饰，采用五底三面涂饰工艺，符合国家标准；</w:t>
            </w:r>
          </w:p>
          <w:p w14:paraId="0A978B1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胶水：采用环保白乳胶；</w:t>
            </w:r>
          </w:p>
          <w:p w14:paraId="3E11BCF5">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配件：优质五金配件；</w:t>
            </w:r>
          </w:p>
          <w:p w14:paraId="53CFA041">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走线：线路隐蔽处理，桌面含黑色铝合金或木制翻盖，内置底盒及预留4个86型面板孔；</w:t>
            </w:r>
          </w:p>
          <w:p w14:paraId="05D5D0EC">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功能及工艺要求：含支撑柜及副柜，配锁；桌面厚度≥90mm，桌面四周倒圆及边缘倒边；支撑脚厚度≥90mm,顶板厚度≥25mm，背板及其余部分均≥18mm；</w:t>
            </w:r>
          </w:p>
          <w:p w14:paraId="06F07937">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以深化图纸为准，颜色最终甲方确认；</w:t>
            </w:r>
          </w:p>
        </w:tc>
        <w:tc>
          <w:tcPr>
            <w:tcW w:w="732"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5CBB8424">
            <w:pPr>
              <w:spacing w:beforeLines="0" w:afterLines="0"/>
              <w:jc w:val="left"/>
              <w:rPr>
                <w:rFonts w:hint="eastAsia" w:ascii="微软雅黑" w:hAnsi="微软雅黑" w:eastAsia="微软雅黑" w:cs="Times New Roman"/>
                <w:color w:val="auto"/>
                <w:kern w:val="2"/>
                <w:sz w:val="24"/>
                <w:szCs w:val="24"/>
                <w:highlight w:val="none"/>
                <w:lang w:val="en-US" w:eastAsia="zh-CN" w:bidi="ar-SA"/>
              </w:rPr>
            </w:pPr>
            <w:r>
              <w:rPr>
                <w:color w:val="auto"/>
                <w:highlight w:val="none"/>
              </w:rPr>
              <w:drawing>
                <wp:inline distT="0" distB="0" distL="114300" distR="114300">
                  <wp:extent cx="2016125" cy="1456690"/>
                  <wp:effectExtent l="0" t="0" r="3175" b="10160"/>
                  <wp:docPr id="7" name="图片 117" descr="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7" descr="image56"/>
                          <pic:cNvPicPr>
                            <a:picLocks noChangeAspect="1"/>
                          </pic:cNvPicPr>
                        </pic:nvPicPr>
                        <pic:blipFill>
                          <a:blip r:embed="rId135"/>
                          <a:stretch>
                            <a:fillRect/>
                          </a:stretch>
                        </pic:blipFill>
                        <pic:spPr>
                          <a:xfrm>
                            <a:off x="0" y="0"/>
                            <a:ext cx="2016125" cy="1456690"/>
                          </a:xfrm>
                          <a:prstGeom prst="rect">
                            <a:avLst/>
                          </a:prstGeom>
                        </pic:spPr>
                      </pic:pic>
                    </a:graphicData>
                  </a:graphic>
                </wp:inline>
              </w:drawing>
            </w:r>
          </w:p>
        </w:tc>
        <w:tc>
          <w:tcPr>
            <w:tcW w:w="183"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92660D6">
            <w:pPr>
              <w:spacing w:beforeLines="0" w:afterLines="0"/>
              <w:jc w:val="center"/>
              <w:rPr>
                <w:rFonts w:hint="eastAsia" w:ascii="微软雅黑" w:hAnsi="微软雅黑" w:eastAsia="微软雅黑" w:cs="Times New Roman"/>
                <w:color w:val="auto"/>
                <w:kern w:val="2"/>
                <w:sz w:val="24"/>
                <w:szCs w:val="24"/>
                <w:highlight w:val="none"/>
                <w:lang w:val="en-US" w:eastAsia="zh-CN" w:bidi="ar-SA"/>
              </w:rPr>
            </w:pPr>
            <w:r>
              <w:rPr>
                <w:rFonts w:hint="eastAsia" w:ascii="微软雅黑" w:hAnsi="微软雅黑" w:eastAsia="微软雅黑"/>
                <w:color w:val="auto"/>
                <w:sz w:val="24"/>
                <w:szCs w:val="24"/>
                <w:highlight w:val="none"/>
              </w:rPr>
              <w:t>2</w:t>
            </w:r>
          </w:p>
        </w:tc>
        <w:tc>
          <w:tcPr>
            <w:tcW w:w="215"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01829DA0">
            <w:pPr>
              <w:spacing w:beforeLines="0" w:afterLines="0"/>
              <w:jc w:val="center"/>
              <w:rPr>
                <w:rFonts w:hint="eastAsia" w:ascii="微软雅黑" w:hAnsi="微软雅黑" w:eastAsia="微软雅黑" w:cs="Times New Roman"/>
                <w:color w:val="auto"/>
                <w:kern w:val="2"/>
                <w:sz w:val="24"/>
                <w:szCs w:val="24"/>
                <w:highlight w:val="none"/>
                <w:lang w:val="en-US" w:eastAsia="zh-CN" w:bidi="ar-SA"/>
              </w:rPr>
            </w:pPr>
            <w:r>
              <w:rPr>
                <w:rFonts w:hint="eastAsia" w:ascii="微软雅黑" w:hAnsi="微软雅黑" w:eastAsia="微软雅黑"/>
                <w:color w:val="auto"/>
                <w:sz w:val="24"/>
                <w:szCs w:val="24"/>
                <w:highlight w:val="none"/>
              </w:rPr>
              <w:t>张</w:t>
            </w:r>
          </w:p>
        </w:tc>
      </w:tr>
    </w:tbl>
    <w:p w14:paraId="7F5CD885">
      <w:pPr>
        <w:rPr>
          <w:color w:val="auto"/>
          <w:highlight w:val="none"/>
        </w:rPr>
      </w:pPr>
    </w:p>
    <w:p w14:paraId="7A88750C">
      <w:pPr>
        <w:rPr>
          <w:color w:val="auto"/>
          <w:highlight w:val="none"/>
        </w:rPr>
      </w:pPr>
    </w:p>
    <w:p w14:paraId="1CD127C3">
      <w:pPr>
        <w:rPr>
          <w:color w:val="auto"/>
          <w:highlight w:val="none"/>
        </w:rPr>
      </w:pPr>
    </w:p>
    <w:p w14:paraId="29362791">
      <w:pPr>
        <w:rPr>
          <w:color w:val="auto"/>
          <w:highlight w:val="none"/>
        </w:rPr>
        <w:sectPr>
          <w:pgSz w:w="16840" w:h="11907" w:orient="landscape"/>
          <w:pgMar w:top="1814" w:right="1134" w:bottom="1814" w:left="1474" w:header="851" w:footer="851" w:gutter="0"/>
          <w:pgBorders>
            <w:top w:val="none" w:sz="0" w:space="0"/>
            <w:left w:val="none" w:sz="0" w:space="0"/>
            <w:bottom w:val="none" w:sz="0" w:space="0"/>
            <w:right w:val="none" w:sz="0" w:space="0"/>
          </w:pgBorders>
          <w:cols w:space="720" w:num="1"/>
          <w:titlePg/>
          <w:docGrid w:type="lines" w:linePitch="312" w:charSpace="0"/>
        </w:sectPr>
      </w:pPr>
      <w:r>
        <w:rPr>
          <w:rFonts w:hint="eastAsia"/>
          <w:color w:val="auto"/>
          <w:highlight w:val="none"/>
        </w:rPr>
        <w:br w:type="page"/>
      </w:r>
    </w:p>
    <w:p w14:paraId="5270422B">
      <w:pPr>
        <w:rPr>
          <w:color w:val="auto"/>
          <w:highlight w:val="none"/>
        </w:rPr>
      </w:pPr>
    </w:p>
    <w:p w14:paraId="0717F2C4">
      <w:pPr>
        <w:spacing w:line="360" w:lineRule="auto"/>
        <w:outlineLvl w:val="0"/>
        <w:rPr>
          <w:rFonts w:ascii="宋体" w:hAnsi="宋体" w:cs="宋体"/>
          <w:color w:val="auto"/>
          <w:sz w:val="24"/>
          <w:highlight w:val="none"/>
        </w:rPr>
      </w:pPr>
      <w:r>
        <w:rPr>
          <w:rFonts w:hint="eastAsia" w:ascii="宋体" w:hAnsi="宋体" w:cs="宋体"/>
          <w:b/>
          <w:bCs/>
          <w:color w:val="auto"/>
          <w:spacing w:val="14"/>
          <w:sz w:val="24"/>
          <w:highlight w:val="none"/>
        </w:rPr>
        <w:t>二、</w:t>
      </w:r>
      <w:r>
        <w:rPr>
          <w:rFonts w:hint="eastAsia" w:ascii="宋体" w:hAnsi="宋体" w:cs="宋体"/>
          <w:b/>
          <w:bCs/>
          <w:color w:val="auto"/>
          <w:sz w:val="24"/>
          <w:highlight w:val="none"/>
        </w:rPr>
        <w:t>基本要求</w:t>
      </w:r>
    </w:p>
    <w:p w14:paraId="51DAA915">
      <w:pPr>
        <w:numPr>
          <w:ilvl w:val="0"/>
          <w:numId w:val="1"/>
        </w:numPr>
        <w:spacing w:line="480" w:lineRule="auto"/>
        <w:rPr>
          <w:rFonts w:ascii="宋体" w:hAnsi="宋体" w:cs="宋体"/>
          <w:color w:val="auto"/>
          <w:sz w:val="24"/>
          <w:highlight w:val="none"/>
        </w:rPr>
      </w:pPr>
      <w:r>
        <w:rPr>
          <w:rFonts w:hint="eastAsia" w:ascii="宋体" w:hAnsi="宋体" w:cs="宋体"/>
          <w:color w:val="auto"/>
          <w:spacing w:val="-11"/>
          <w:sz w:val="24"/>
          <w:highlight w:val="none"/>
        </w:rPr>
        <w:t>功能要求：满足</w:t>
      </w:r>
      <w:r>
        <w:rPr>
          <w:rFonts w:hint="eastAsia" w:ascii="宋体" w:hAnsi="宋体" w:cs="宋体"/>
          <w:color w:val="auto"/>
          <w:spacing w:val="-42"/>
          <w:sz w:val="24"/>
          <w:highlight w:val="none"/>
        </w:rPr>
        <w:t xml:space="preserve"> </w:t>
      </w:r>
      <w:r>
        <w:rPr>
          <w:rFonts w:hint="eastAsia" w:ascii="宋体" w:hAnsi="宋体" w:cs="宋体"/>
          <w:color w:val="auto"/>
          <w:spacing w:val="7"/>
          <w:sz w:val="24"/>
          <w:highlight w:val="none"/>
          <w:u w:val="single"/>
        </w:rPr>
        <w:t xml:space="preserve"> 学校办公使用 </w:t>
      </w:r>
      <w:r>
        <w:rPr>
          <w:rFonts w:hint="eastAsia" w:ascii="宋体" w:hAnsi="宋体" w:cs="宋体"/>
          <w:color w:val="auto"/>
          <w:spacing w:val="-78"/>
          <w:sz w:val="24"/>
          <w:highlight w:val="none"/>
        </w:rPr>
        <w:t xml:space="preserve"> </w:t>
      </w:r>
      <w:r>
        <w:rPr>
          <w:rFonts w:hint="eastAsia" w:ascii="宋体" w:hAnsi="宋体" w:cs="宋体"/>
          <w:color w:val="auto"/>
          <w:spacing w:val="-11"/>
          <w:sz w:val="24"/>
          <w:highlight w:val="none"/>
        </w:rPr>
        <w:t>的需要。</w:t>
      </w:r>
    </w:p>
    <w:p w14:paraId="4AB6B72C">
      <w:pPr>
        <w:numPr>
          <w:ilvl w:val="0"/>
          <w:numId w:val="1"/>
        </w:numPr>
        <w:spacing w:line="480" w:lineRule="auto"/>
        <w:rPr>
          <w:rFonts w:ascii="宋体" w:hAnsi="宋体" w:cs="宋体"/>
          <w:color w:val="auto"/>
          <w:sz w:val="24"/>
          <w:highlight w:val="none"/>
        </w:rPr>
      </w:pPr>
      <w:r>
        <w:rPr>
          <w:rFonts w:hint="eastAsia" w:ascii="宋体" w:hAnsi="宋体" w:cs="宋体"/>
          <w:color w:val="auto"/>
          <w:spacing w:val="-1"/>
          <w:sz w:val="24"/>
          <w:highlight w:val="none"/>
        </w:rPr>
        <w:t>交货期要求：</w:t>
      </w:r>
      <w:r>
        <w:rPr>
          <w:rFonts w:hint="eastAsia" w:ascii="宋体" w:hAnsi="宋体" w:cs="宋体"/>
          <w:color w:val="auto"/>
          <w:spacing w:val="-1"/>
          <w:sz w:val="24"/>
          <w:highlight w:val="none"/>
          <w:u w:val="single"/>
        </w:rPr>
        <w:t>合同签订后</w:t>
      </w:r>
      <w:r>
        <w:rPr>
          <w:rFonts w:hint="eastAsia" w:ascii="宋体" w:hAnsi="宋体" w:cs="宋体"/>
          <w:color w:val="auto"/>
          <w:spacing w:val="-1"/>
          <w:sz w:val="24"/>
          <w:highlight w:val="none"/>
          <w:u w:val="single"/>
          <w:lang w:val="en-US" w:eastAsia="zh-CN"/>
        </w:rPr>
        <w:t>50</w:t>
      </w:r>
      <w:r>
        <w:rPr>
          <w:rFonts w:hint="eastAsia" w:ascii="宋体" w:hAnsi="宋体" w:cs="宋体"/>
          <w:color w:val="auto"/>
          <w:spacing w:val="-1"/>
          <w:sz w:val="24"/>
          <w:highlight w:val="none"/>
          <w:u w:val="single"/>
        </w:rPr>
        <w:t>天内完成供货、安装调试及验收</w:t>
      </w:r>
      <w:r>
        <w:rPr>
          <w:rFonts w:hint="eastAsia" w:ascii="宋体" w:hAnsi="宋体" w:cs="宋体"/>
          <w:color w:val="auto"/>
          <w:spacing w:val="-1"/>
          <w:sz w:val="24"/>
          <w:highlight w:val="none"/>
        </w:rPr>
        <w:t>。</w:t>
      </w:r>
    </w:p>
    <w:p w14:paraId="2449EB38">
      <w:pPr>
        <w:numPr>
          <w:ilvl w:val="0"/>
          <w:numId w:val="1"/>
        </w:numPr>
        <w:spacing w:line="480" w:lineRule="auto"/>
        <w:rPr>
          <w:rFonts w:ascii="宋体" w:hAnsi="宋体" w:cs="宋体"/>
          <w:color w:val="auto"/>
          <w:sz w:val="24"/>
          <w:highlight w:val="none"/>
        </w:rPr>
      </w:pPr>
      <w:r>
        <w:rPr>
          <w:rFonts w:hint="eastAsia" w:ascii="宋体" w:hAnsi="宋体" w:cs="宋体"/>
          <w:color w:val="auto"/>
          <w:spacing w:val="-22"/>
          <w:sz w:val="24"/>
          <w:highlight w:val="none"/>
        </w:rPr>
        <w:t>交货地点：</w:t>
      </w:r>
      <w:r>
        <w:rPr>
          <w:rFonts w:hint="eastAsia" w:ascii="宋体" w:hAnsi="宋体" w:cs="宋体"/>
          <w:color w:val="auto"/>
          <w:sz w:val="24"/>
          <w:highlight w:val="none"/>
          <w:u w:val="single"/>
        </w:rPr>
        <w:t xml:space="preserve">天元公学西站校区景腾北路和仓兴街交叉口 </w:t>
      </w:r>
      <w:r>
        <w:rPr>
          <w:rFonts w:hint="eastAsia" w:ascii="宋体" w:hAnsi="宋体" w:cs="宋体"/>
          <w:color w:val="auto"/>
          <w:sz w:val="24"/>
          <w:highlight w:val="none"/>
        </w:rPr>
        <w:t>。</w:t>
      </w:r>
    </w:p>
    <w:p w14:paraId="39ACEA93">
      <w:pPr>
        <w:spacing w:line="360" w:lineRule="auto"/>
        <w:outlineLvl w:val="0"/>
        <w:rPr>
          <w:rFonts w:ascii="宋体" w:hAnsi="宋体" w:cs="宋体"/>
          <w:color w:val="auto"/>
          <w:sz w:val="24"/>
          <w:highlight w:val="none"/>
        </w:rPr>
      </w:pPr>
      <w:r>
        <w:rPr>
          <w:rFonts w:hint="eastAsia" w:ascii="宋体" w:hAnsi="宋体" w:cs="宋体"/>
          <w:b/>
          <w:bCs/>
          <w:color w:val="auto"/>
          <w:spacing w:val="14"/>
          <w:sz w:val="24"/>
          <w:highlight w:val="none"/>
        </w:rPr>
        <w:t>三、</w:t>
      </w:r>
      <w:r>
        <w:rPr>
          <w:rFonts w:hint="eastAsia" w:ascii="宋体" w:hAnsi="宋体" w:cs="宋体"/>
          <w:color w:val="auto"/>
          <w:spacing w:val="-36"/>
          <w:sz w:val="24"/>
          <w:highlight w:val="none"/>
        </w:rPr>
        <w:t xml:space="preserve"> </w:t>
      </w:r>
      <w:r>
        <w:rPr>
          <w:rFonts w:hint="eastAsia" w:ascii="宋体" w:hAnsi="宋体" w:cs="宋体"/>
          <w:b/>
          <w:bCs/>
          <w:color w:val="auto"/>
          <w:spacing w:val="14"/>
          <w:sz w:val="24"/>
          <w:highlight w:val="none"/>
        </w:rPr>
        <w:t>服务标准、期限、效率等要求</w:t>
      </w:r>
    </w:p>
    <w:p w14:paraId="576CFC41">
      <w:pPr>
        <w:numPr>
          <w:ilvl w:val="0"/>
          <w:numId w:val="2"/>
        </w:numPr>
        <w:spacing w:line="360" w:lineRule="auto"/>
        <w:rPr>
          <w:rFonts w:ascii="宋体" w:hAnsi="宋体" w:cs="宋体"/>
          <w:color w:val="auto"/>
          <w:sz w:val="24"/>
          <w:highlight w:val="none"/>
        </w:rPr>
      </w:pPr>
      <w:r>
        <w:rPr>
          <w:rFonts w:hint="eastAsia" w:ascii="宋体" w:hAnsi="宋体" w:cs="宋体"/>
          <w:color w:val="auto"/>
          <w:spacing w:val="19"/>
          <w:sz w:val="24"/>
          <w:highlight w:val="none"/>
        </w:rPr>
        <w:t>投标人需要提供合理的项目整体实施方案，能按</w:t>
      </w:r>
      <w:r>
        <w:rPr>
          <w:rFonts w:hint="eastAsia" w:ascii="宋体" w:hAnsi="宋体" w:cs="宋体"/>
          <w:color w:val="auto"/>
          <w:spacing w:val="18"/>
          <w:sz w:val="24"/>
          <w:highlight w:val="none"/>
        </w:rPr>
        <w:t>照项目分解节点并可跟踪实施。</w:t>
      </w:r>
    </w:p>
    <w:p w14:paraId="45E47C53">
      <w:pPr>
        <w:numPr>
          <w:ilvl w:val="0"/>
          <w:numId w:val="2"/>
        </w:numPr>
        <w:spacing w:line="360" w:lineRule="auto"/>
        <w:ind w:right="453"/>
        <w:rPr>
          <w:rFonts w:ascii="宋体" w:hAnsi="宋体" w:cs="宋体"/>
          <w:color w:val="auto"/>
          <w:sz w:val="24"/>
          <w:highlight w:val="none"/>
        </w:rPr>
      </w:pPr>
      <w:r>
        <w:rPr>
          <w:rFonts w:hint="eastAsia" w:ascii="宋体" w:hAnsi="宋体" w:cs="宋体"/>
          <w:color w:val="auto"/>
          <w:spacing w:val="21"/>
          <w:sz w:val="24"/>
          <w:highlight w:val="none"/>
        </w:rPr>
        <w:t>投标人需要提供生产实施方案，包括原材料采购、加工制作等各个环节的实施方案，在规定的时间内有计划的完</w:t>
      </w:r>
      <w:r>
        <w:rPr>
          <w:rFonts w:hint="eastAsia" w:ascii="宋体" w:hAnsi="宋体" w:cs="宋体"/>
          <w:color w:val="auto"/>
          <w:spacing w:val="20"/>
          <w:sz w:val="24"/>
          <w:highlight w:val="none"/>
        </w:rPr>
        <w:t>成项目需求产</w:t>
      </w:r>
      <w:r>
        <w:rPr>
          <w:rFonts w:hint="eastAsia" w:ascii="宋体" w:hAnsi="宋体" w:cs="宋体"/>
          <w:color w:val="auto"/>
          <w:spacing w:val="11"/>
          <w:sz w:val="24"/>
          <w:highlight w:val="none"/>
        </w:rPr>
        <w:t>品的生产和装配。</w:t>
      </w:r>
    </w:p>
    <w:p w14:paraId="45969EE5">
      <w:pPr>
        <w:numPr>
          <w:ilvl w:val="0"/>
          <w:numId w:val="2"/>
        </w:numPr>
        <w:spacing w:line="360" w:lineRule="auto"/>
        <w:ind w:right="457"/>
        <w:rPr>
          <w:rFonts w:ascii="宋体" w:hAnsi="宋体" w:cs="宋体"/>
          <w:color w:val="auto"/>
          <w:sz w:val="24"/>
          <w:highlight w:val="none"/>
        </w:rPr>
      </w:pPr>
      <w:r>
        <w:rPr>
          <w:rFonts w:hint="eastAsia" w:ascii="宋体" w:hAnsi="宋体" w:cs="宋体"/>
          <w:color w:val="auto"/>
          <w:spacing w:val="21"/>
          <w:sz w:val="24"/>
          <w:highlight w:val="none"/>
        </w:rPr>
        <w:t>投标人需要提供品控管理方案，对产品品质有管理管控过程，有独立品管部门和专门品管人员，确保产</w:t>
      </w:r>
      <w:r>
        <w:rPr>
          <w:rFonts w:hint="eastAsia" w:ascii="宋体" w:hAnsi="宋体" w:cs="宋体"/>
          <w:color w:val="auto"/>
          <w:spacing w:val="20"/>
          <w:sz w:val="24"/>
          <w:highlight w:val="none"/>
        </w:rPr>
        <w:t>品生产过程中的质量控</w:t>
      </w:r>
      <w:r>
        <w:rPr>
          <w:rFonts w:hint="eastAsia" w:ascii="宋体" w:hAnsi="宋体" w:cs="宋体"/>
          <w:color w:val="auto"/>
          <w:spacing w:val="7"/>
          <w:sz w:val="24"/>
          <w:highlight w:val="none"/>
        </w:rPr>
        <w:t>制完善。</w:t>
      </w:r>
    </w:p>
    <w:p w14:paraId="6670B62F">
      <w:pPr>
        <w:numPr>
          <w:ilvl w:val="0"/>
          <w:numId w:val="2"/>
        </w:numPr>
        <w:spacing w:line="360" w:lineRule="auto"/>
        <w:rPr>
          <w:rFonts w:ascii="宋体" w:hAnsi="宋体" w:cs="宋体"/>
          <w:color w:val="auto"/>
          <w:sz w:val="24"/>
          <w:highlight w:val="none"/>
        </w:rPr>
      </w:pPr>
      <w:r>
        <w:rPr>
          <w:rFonts w:hint="eastAsia" w:ascii="宋体" w:hAnsi="宋体" w:cs="宋体"/>
          <w:color w:val="auto"/>
          <w:spacing w:val="19"/>
          <w:sz w:val="24"/>
          <w:highlight w:val="none"/>
        </w:rPr>
        <w:t>投标人需要提供安装服务实施方案，根据货物交付时间节点，落实送货安装时间和人员安排，确保按期交付使用。</w:t>
      </w:r>
    </w:p>
    <w:p w14:paraId="17C98565">
      <w:pPr>
        <w:numPr>
          <w:ilvl w:val="0"/>
          <w:numId w:val="2"/>
        </w:numPr>
        <w:spacing w:line="360" w:lineRule="auto"/>
        <w:rPr>
          <w:rFonts w:ascii="宋体" w:hAnsi="宋体" w:cs="宋体"/>
          <w:color w:val="auto"/>
          <w:sz w:val="24"/>
          <w:highlight w:val="none"/>
        </w:rPr>
      </w:pPr>
      <w:r>
        <w:rPr>
          <w:rFonts w:hint="eastAsia" w:ascii="宋体" w:hAnsi="宋体" w:cs="宋体"/>
          <w:color w:val="auto"/>
          <w:spacing w:val="13"/>
          <w:sz w:val="24"/>
          <w:highlight w:val="none"/>
        </w:rPr>
        <w:t>售后服务要求：</w:t>
      </w:r>
    </w:p>
    <w:p w14:paraId="515CBF5B">
      <w:pPr>
        <w:widowControl/>
        <w:numPr>
          <w:ilvl w:val="0"/>
          <w:numId w:val="3"/>
        </w:numPr>
        <w:tabs>
          <w:tab w:val="left" w:pos="425"/>
        </w:tabs>
        <w:snapToGrid w:val="0"/>
        <w:spacing w:line="360" w:lineRule="auto"/>
        <w:textAlignment w:val="baseline"/>
        <w:rPr>
          <w:color w:val="auto"/>
          <w:highlight w:val="none"/>
        </w:rPr>
      </w:pPr>
      <w:r>
        <w:rPr>
          <w:rFonts w:hint="eastAsia" w:ascii="宋体" w:hAnsi="宋体" w:cs="宋体"/>
          <w:color w:val="auto"/>
          <w:sz w:val="24"/>
          <w:highlight w:val="none"/>
        </w:rPr>
        <w:t>投标人提供的售后服务应符合GB/T</w:t>
      </w:r>
      <w:r>
        <w:rPr>
          <w:rFonts w:hint="eastAsia" w:ascii="宋体" w:hAnsi="宋体" w:cs="宋体"/>
          <w:color w:val="auto"/>
          <w:spacing w:val="59"/>
          <w:sz w:val="24"/>
          <w:highlight w:val="none"/>
        </w:rPr>
        <w:t xml:space="preserve"> </w:t>
      </w:r>
      <w:r>
        <w:rPr>
          <w:rFonts w:hint="eastAsia" w:ascii="宋体" w:hAnsi="宋体" w:cs="宋体"/>
          <w:color w:val="auto"/>
          <w:sz w:val="24"/>
          <w:highlight w:val="none"/>
        </w:rPr>
        <w:t>37652-2019</w:t>
      </w:r>
      <w:r>
        <w:rPr>
          <w:rFonts w:hint="eastAsia" w:ascii="宋体" w:hAnsi="宋体" w:cs="宋体"/>
          <w:color w:val="auto"/>
          <w:spacing w:val="-20"/>
          <w:sz w:val="24"/>
          <w:highlight w:val="none"/>
        </w:rPr>
        <w:t xml:space="preserve"> </w:t>
      </w:r>
      <w:r>
        <w:rPr>
          <w:rFonts w:hint="eastAsia" w:ascii="宋体" w:hAnsi="宋体" w:cs="宋体"/>
          <w:color w:val="auto"/>
          <w:sz w:val="24"/>
          <w:highlight w:val="none"/>
        </w:rPr>
        <w:t>《家具售后服务要求》。</w:t>
      </w:r>
    </w:p>
    <w:p w14:paraId="2DC29C23">
      <w:pPr>
        <w:widowControl/>
        <w:numPr>
          <w:ilvl w:val="0"/>
          <w:numId w:val="3"/>
        </w:numPr>
        <w:tabs>
          <w:tab w:val="left" w:pos="425"/>
        </w:tabs>
        <w:snapToGrid w:val="0"/>
        <w:spacing w:line="360" w:lineRule="auto"/>
        <w:textAlignment w:val="baseline"/>
        <w:rPr>
          <w:rFonts w:ascii="宋体" w:hAnsi="宋体" w:cs="宋体"/>
          <w:color w:val="auto"/>
          <w:sz w:val="24"/>
          <w:highlight w:val="none"/>
        </w:rPr>
      </w:pPr>
      <w:r>
        <w:rPr>
          <w:rFonts w:ascii="宋体" w:hAnsi="宋体" w:cs="宋体"/>
          <w:color w:val="auto"/>
          <w:sz w:val="24"/>
          <w:highlight w:val="none"/>
        </w:rPr>
        <w:t>投标人提供详细完整的“三包”措施及售后服务措施和方案（包括服务措施、产品质量保证、回访、技术培训等）</w:t>
      </w:r>
      <w:r>
        <w:rPr>
          <w:rFonts w:hint="eastAsia" w:ascii="宋体" w:hAnsi="宋体" w:cs="宋体"/>
          <w:color w:val="auto"/>
          <w:sz w:val="24"/>
          <w:highlight w:val="none"/>
        </w:rPr>
        <w:t>。</w:t>
      </w:r>
    </w:p>
    <w:p w14:paraId="46767E83">
      <w:pPr>
        <w:widowControl/>
        <w:numPr>
          <w:ilvl w:val="0"/>
          <w:numId w:val="3"/>
        </w:numPr>
        <w:tabs>
          <w:tab w:val="left" w:pos="425"/>
        </w:tabs>
        <w:snapToGrid w:val="0"/>
        <w:spacing w:line="360" w:lineRule="auto"/>
        <w:textAlignment w:val="baseline"/>
        <w:rPr>
          <w:rFonts w:ascii="宋体" w:hAnsi="宋体" w:cs="宋体"/>
          <w:color w:val="auto"/>
          <w:sz w:val="24"/>
          <w:highlight w:val="none"/>
        </w:rPr>
      </w:pPr>
      <w:r>
        <w:rPr>
          <w:rFonts w:hint="eastAsia" w:ascii="宋体" w:hAnsi="宋体" w:cs="宋体"/>
          <w:color w:val="auto"/>
          <w:spacing w:val="3"/>
          <w:sz w:val="24"/>
          <w:highlight w:val="none"/>
        </w:rPr>
        <w:t>投标人需提供24小时售后服务，且维修人员须在接到维修电话后24小时内赶到现场，提供不间断的服务直到修复为止，并提供“24小时售后服务承诺书”。</w:t>
      </w:r>
    </w:p>
    <w:p w14:paraId="1722E61C">
      <w:pPr>
        <w:widowControl/>
        <w:numPr>
          <w:ilvl w:val="0"/>
          <w:numId w:val="3"/>
        </w:numPr>
        <w:tabs>
          <w:tab w:val="left" w:pos="425"/>
        </w:tabs>
        <w:snapToGrid w:val="0"/>
        <w:spacing w:line="360" w:lineRule="auto"/>
        <w:textAlignment w:val="baseline"/>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pacing w:val="3"/>
          <w:sz w:val="24"/>
          <w:highlight w:val="none"/>
        </w:rPr>
        <w:t>质量保证期：所有家具的质量保证期不少于</w:t>
      </w:r>
      <w:r>
        <w:rPr>
          <w:rFonts w:hint="eastAsia" w:ascii="宋体" w:hAnsi="宋体" w:cs="宋体"/>
          <w:color w:val="auto"/>
          <w:spacing w:val="3"/>
          <w:sz w:val="24"/>
          <w:highlight w:val="none"/>
          <w:u w:val="single"/>
        </w:rPr>
        <w:t xml:space="preserve"> 5 </w:t>
      </w:r>
      <w:r>
        <w:rPr>
          <w:rFonts w:hint="eastAsia" w:ascii="宋体" w:hAnsi="宋体" w:cs="宋体"/>
          <w:color w:val="auto"/>
          <w:spacing w:val="3"/>
          <w:sz w:val="24"/>
          <w:highlight w:val="none"/>
        </w:rPr>
        <w:t>年。在此保证期内，如在正常使用过程中出现的质量问题，投标人须负责免</w:t>
      </w:r>
      <w:r>
        <w:rPr>
          <w:rFonts w:hint="eastAsia" w:ascii="宋体" w:hAnsi="宋体" w:cs="宋体"/>
          <w:color w:val="auto"/>
          <w:spacing w:val="-6"/>
          <w:sz w:val="24"/>
          <w:highlight w:val="none"/>
        </w:rPr>
        <w:t>费维修或调换。</w:t>
      </w:r>
    </w:p>
    <w:p w14:paraId="26FA2412">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⑤ 质保期内，供应商应承诺每年寒暑假由专业人员到校进行巡查维修，对家具出现破损的地方进行修复。</w:t>
      </w:r>
    </w:p>
    <w:p w14:paraId="530CE8D3">
      <w:pPr>
        <w:spacing w:line="360" w:lineRule="auto"/>
        <w:ind w:left="2"/>
        <w:outlineLvl w:val="0"/>
        <w:rPr>
          <w:rFonts w:ascii="宋体" w:hAnsi="宋体" w:cs="宋体"/>
          <w:b/>
          <w:bCs/>
          <w:color w:val="auto"/>
          <w:spacing w:val="-8"/>
          <w:sz w:val="24"/>
          <w:highlight w:val="none"/>
        </w:rPr>
      </w:pPr>
      <w:r>
        <w:rPr>
          <w:rFonts w:hint="eastAsia" w:ascii="宋体" w:hAnsi="宋体" w:cs="宋体"/>
          <w:b/>
          <w:bCs/>
          <w:color w:val="auto"/>
          <w:spacing w:val="-8"/>
          <w:sz w:val="24"/>
          <w:highlight w:val="none"/>
        </w:rPr>
        <w:t>四、验收标准</w:t>
      </w:r>
    </w:p>
    <w:p w14:paraId="346D0169">
      <w:pPr>
        <w:spacing w:line="360" w:lineRule="auto"/>
        <w:ind w:firstLine="480"/>
        <w:rPr>
          <w:rFonts w:ascii="宋体" w:hAnsi="宋体" w:cs="仿宋"/>
          <w:color w:val="auto"/>
          <w:sz w:val="24"/>
          <w:highlight w:val="none"/>
        </w:rPr>
      </w:pPr>
      <w:r>
        <w:rPr>
          <w:rFonts w:hint="eastAsia" w:ascii="宋体" w:hAnsi="宋体" w:cs="仿宋"/>
          <w:color w:val="auto"/>
          <w:sz w:val="24"/>
          <w:highlight w:val="none"/>
        </w:rPr>
        <w:t>1.采购人按照采购合同规定的技术、服务、标准以及中标单位的投标文件、本项目招标文件等要求，组织对供应商履约情况进行验收，并出具验收合格书。</w:t>
      </w:r>
    </w:p>
    <w:p w14:paraId="22FCA962">
      <w:pPr>
        <w:autoSpaceDE w:val="0"/>
        <w:autoSpaceDN w:val="0"/>
        <w:spacing w:line="360" w:lineRule="auto"/>
        <w:ind w:firstLine="482"/>
        <w:rPr>
          <w:rFonts w:ascii="宋体" w:hAnsi="宋体" w:cs="仿宋"/>
          <w:b/>
          <w:bCs/>
          <w:color w:val="auto"/>
          <w:kern w:val="0"/>
          <w:sz w:val="24"/>
          <w:highlight w:val="none"/>
        </w:rPr>
      </w:pPr>
      <w:r>
        <w:rPr>
          <w:rFonts w:hint="eastAsia" w:ascii="宋体" w:hAnsi="宋体" w:cs="仿宋"/>
          <w:b/>
          <w:bCs/>
          <w:color w:val="auto"/>
          <w:kern w:val="0"/>
          <w:sz w:val="24"/>
          <w:highlight w:val="none"/>
        </w:rPr>
        <w:t>2.验收流程</w:t>
      </w:r>
    </w:p>
    <w:p w14:paraId="6FD196A6">
      <w:pPr>
        <w:spacing w:line="360" w:lineRule="auto"/>
        <w:ind w:firstLine="480"/>
        <w:rPr>
          <w:rFonts w:ascii="宋体" w:hAnsi="宋体" w:cs="仿宋"/>
          <w:color w:val="auto"/>
          <w:sz w:val="24"/>
          <w:highlight w:val="none"/>
        </w:rPr>
      </w:pPr>
      <w:r>
        <w:rPr>
          <w:rFonts w:hint="eastAsia" w:ascii="宋体" w:hAnsi="宋体" w:cs="仿宋"/>
          <w:color w:val="auto"/>
          <w:kern w:val="0"/>
          <w:sz w:val="24"/>
          <w:highlight w:val="none"/>
        </w:rPr>
        <w:t>（1）</w:t>
      </w:r>
      <w:r>
        <w:rPr>
          <w:rFonts w:hint="eastAsia" w:ascii="宋体" w:hAnsi="宋体" w:cs="仿宋"/>
          <w:color w:val="auto"/>
          <w:sz w:val="24"/>
          <w:highlight w:val="none"/>
        </w:rPr>
        <w:t>采购人按照余财采〔2020〕14号《关于转发《杭州市政府采购履约验收暂行办法》的通知》规定组织对中标单位履约的验收。验收方成员应当在验收书上签字，并承担相应的法律责任。如果发现与合同中要求不符，中标单位须承担由此发生的一切损失和费用，并接受相应的处理。</w:t>
      </w:r>
    </w:p>
    <w:p w14:paraId="1936AB78">
      <w:pPr>
        <w:autoSpaceDE w:val="0"/>
        <w:autoSpaceDN w:val="0"/>
        <w:spacing w:line="360" w:lineRule="auto"/>
        <w:ind w:firstLine="482"/>
        <w:rPr>
          <w:rFonts w:ascii="宋体" w:hAnsi="宋体" w:cs="仿宋"/>
          <w:b/>
          <w:bCs/>
          <w:color w:val="auto"/>
          <w:kern w:val="0"/>
          <w:sz w:val="24"/>
          <w:highlight w:val="none"/>
        </w:rPr>
      </w:pPr>
      <w:r>
        <w:rPr>
          <w:rFonts w:hint="eastAsia" w:ascii="宋体" w:hAnsi="宋体" w:cs="仿宋"/>
          <w:b/>
          <w:bCs/>
          <w:color w:val="auto"/>
          <w:kern w:val="0"/>
          <w:sz w:val="24"/>
          <w:highlight w:val="none"/>
        </w:rPr>
        <w:t>3.验收标准</w:t>
      </w:r>
    </w:p>
    <w:p w14:paraId="31A2B65E">
      <w:pPr>
        <w:autoSpaceDE w:val="0"/>
        <w:autoSpaceDN w:val="0"/>
        <w:spacing w:line="360" w:lineRule="auto"/>
        <w:ind w:firstLine="480"/>
        <w:rPr>
          <w:rFonts w:ascii="宋体" w:hAnsi="宋体" w:cs="仿宋"/>
          <w:color w:val="auto"/>
          <w:kern w:val="0"/>
          <w:sz w:val="24"/>
          <w:highlight w:val="none"/>
        </w:rPr>
      </w:pPr>
      <w:r>
        <w:rPr>
          <w:rFonts w:hint="eastAsia" w:ascii="宋体" w:hAnsi="宋体" w:cs="仿宋"/>
          <w:color w:val="auto"/>
          <w:kern w:val="0"/>
          <w:sz w:val="24"/>
          <w:highlight w:val="none"/>
        </w:rPr>
        <w:t>（1）所供产品的规格、数量符合招标文件供应商投标承诺及采购合同约定的要求。</w:t>
      </w:r>
    </w:p>
    <w:p w14:paraId="1677A60F">
      <w:pPr>
        <w:autoSpaceDE w:val="0"/>
        <w:autoSpaceDN w:val="0"/>
        <w:spacing w:line="360" w:lineRule="auto"/>
        <w:ind w:firstLine="480"/>
        <w:rPr>
          <w:rFonts w:ascii="宋体" w:hAnsi="宋体" w:cs="仿宋"/>
          <w:color w:val="auto"/>
          <w:kern w:val="0"/>
          <w:sz w:val="24"/>
          <w:highlight w:val="none"/>
        </w:rPr>
      </w:pPr>
      <w:r>
        <w:rPr>
          <w:rFonts w:hint="eastAsia" w:ascii="宋体" w:hAnsi="宋体" w:cs="仿宋"/>
          <w:color w:val="auto"/>
          <w:kern w:val="0"/>
          <w:sz w:val="24"/>
          <w:highlight w:val="none"/>
        </w:rPr>
        <w:t>（2）所供产品的材质、颜色符合招标文件供应商投标承诺及采购合同约定的要求。</w:t>
      </w:r>
    </w:p>
    <w:p w14:paraId="6E433A43">
      <w:pPr>
        <w:autoSpaceDE w:val="0"/>
        <w:autoSpaceDN w:val="0"/>
        <w:spacing w:line="360" w:lineRule="auto"/>
        <w:ind w:firstLine="480"/>
        <w:rPr>
          <w:rFonts w:ascii="宋体" w:hAnsi="宋体" w:cs="仿宋"/>
          <w:color w:val="auto"/>
          <w:kern w:val="0"/>
          <w:sz w:val="24"/>
          <w:highlight w:val="none"/>
        </w:rPr>
      </w:pPr>
      <w:r>
        <w:rPr>
          <w:rFonts w:hint="eastAsia" w:ascii="宋体" w:hAnsi="宋体" w:cs="仿宋"/>
          <w:color w:val="auto"/>
          <w:kern w:val="0"/>
          <w:sz w:val="24"/>
          <w:highlight w:val="none"/>
        </w:rPr>
        <w:t>（3）所供产品的外观完好，无严重碰撞、表皮脱落、五金件生锈等明显瑕疵。</w:t>
      </w:r>
    </w:p>
    <w:p w14:paraId="1D7AC580">
      <w:pPr>
        <w:autoSpaceDE w:val="0"/>
        <w:autoSpaceDN w:val="0"/>
        <w:spacing w:line="360" w:lineRule="auto"/>
        <w:ind w:firstLine="480"/>
        <w:rPr>
          <w:rFonts w:ascii="宋体" w:hAnsi="宋体" w:cs="仿宋"/>
          <w:color w:val="auto"/>
          <w:kern w:val="0"/>
          <w:sz w:val="24"/>
          <w:highlight w:val="none"/>
        </w:rPr>
      </w:pPr>
      <w:r>
        <w:rPr>
          <w:rFonts w:hint="eastAsia" w:ascii="宋体" w:hAnsi="宋体" w:cs="仿宋"/>
          <w:color w:val="auto"/>
          <w:kern w:val="0"/>
          <w:sz w:val="24"/>
          <w:highlight w:val="none"/>
        </w:rPr>
        <w:t>（4）所供产品结构牢固，无安全隐患。</w:t>
      </w:r>
    </w:p>
    <w:p w14:paraId="5F2066CF">
      <w:pPr>
        <w:autoSpaceDE w:val="0"/>
        <w:autoSpaceDN w:val="0"/>
        <w:spacing w:line="360" w:lineRule="auto"/>
        <w:ind w:firstLine="480"/>
        <w:rPr>
          <w:rFonts w:ascii="宋体" w:hAnsi="宋体" w:cs="仿宋"/>
          <w:color w:val="auto"/>
          <w:kern w:val="0"/>
          <w:sz w:val="24"/>
          <w:highlight w:val="none"/>
        </w:rPr>
      </w:pPr>
      <w:r>
        <w:rPr>
          <w:rFonts w:hint="eastAsia" w:ascii="宋体" w:hAnsi="宋体" w:cs="仿宋"/>
          <w:color w:val="auto"/>
          <w:kern w:val="0"/>
          <w:sz w:val="24"/>
          <w:highlight w:val="none"/>
        </w:rPr>
        <w:t>（5）如有抽检要求的，检测结果符合招标文件供应商投标承诺及采购合同约定的要求。</w:t>
      </w:r>
    </w:p>
    <w:p w14:paraId="2040A385">
      <w:pPr>
        <w:autoSpaceDE w:val="0"/>
        <w:autoSpaceDN w:val="0"/>
        <w:spacing w:line="360" w:lineRule="auto"/>
        <w:ind w:firstLine="480"/>
        <w:rPr>
          <w:rFonts w:ascii="宋体" w:hAnsi="宋体" w:cs="仿宋"/>
          <w:color w:val="auto"/>
          <w:kern w:val="0"/>
          <w:sz w:val="24"/>
          <w:highlight w:val="none"/>
        </w:rPr>
      </w:pPr>
      <w:r>
        <w:rPr>
          <w:rFonts w:hint="eastAsia" w:ascii="宋体" w:hAnsi="宋体" w:cs="仿宋"/>
          <w:color w:val="auto"/>
          <w:kern w:val="0"/>
          <w:sz w:val="24"/>
          <w:highlight w:val="none"/>
        </w:rPr>
        <w:t>（6）所有产品均已运输至指定地点，并安装调试完毕。</w:t>
      </w:r>
    </w:p>
    <w:p w14:paraId="397EE62F">
      <w:pPr>
        <w:autoSpaceDE w:val="0"/>
        <w:autoSpaceDN w:val="0"/>
        <w:spacing w:line="360" w:lineRule="auto"/>
        <w:ind w:firstLine="480"/>
        <w:rPr>
          <w:rFonts w:ascii="宋体" w:hAnsi="宋体" w:cs="仿宋"/>
          <w:color w:val="auto"/>
          <w:kern w:val="0"/>
          <w:sz w:val="24"/>
          <w:highlight w:val="none"/>
        </w:rPr>
      </w:pPr>
      <w:r>
        <w:rPr>
          <w:rFonts w:hint="eastAsia" w:ascii="宋体" w:hAnsi="宋体" w:cs="仿宋"/>
          <w:color w:val="auto"/>
          <w:kern w:val="0"/>
          <w:sz w:val="24"/>
          <w:highlight w:val="none"/>
        </w:rPr>
        <w:t>（7）招标文件供应商投标承诺及采购合同约定的附件、工具、技术资料等齐全；提供产品使用说明书、合格证。</w:t>
      </w:r>
    </w:p>
    <w:p w14:paraId="391964CC">
      <w:pPr>
        <w:autoSpaceDE w:val="0"/>
        <w:autoSpaceDN w:val="0"/>
        <w:spacing w:line="360" w:lineRule="auto"/>
        <w:ind w:firstLine="480"/>
        <w:rPr>
          <w:rFonts w:ascii="宋体" w:hAnsi="宋体" w:cs="仿宋"/>
          <w:color w:val="auto"/>
          <w:kern w:val="0"/>
          <w:sz w:val="24"/>
          <w:highlight w:val="none"/>
        </w:rPr>
      </w:pPr>
      <w:r>
        <w:rPr>
          <w:rFonts w:hint="eastAsia" w:ascii="宋体" w:hAnsi="宋体" w:cs="仿宋"/>
          <w:color w:val="auto"/>
          <w:kern w:val="0"/>
          <w:sz w:val="24"/>
          <w:highlight w:val="none"/>
        </w:rPr>
        <w:t>（8）供应商提供的实际服务符合招标文件要求；</w:t>
      </w:r>
    </w:p>
    <w:p w14:paraId="1754BF62">
      <w:pPr>
        <w:autoSpaceDE w:val="0"/>
        <w:autoSpaceDN w:val="0"/>
        <w:spacing w:line="360" w:lineRule="auto"/>
        <w:ind w:firstLine="480"/>
        <w:rPr>
          <w:rFonts w:ascii="宋体" w:hAnsi="宋体" w:cs="仿宋"/>
          <w:color w:val="auto"/>
          <w:kern w:val="0"/>
          <w:sz w:val="24"/>
          <w:highlight w:val="none"/>
        </w:rPr>
      </w:pPr>
      <w:r>
        <w:rPr>
          <w:rFonts w:hint="eastAsia" w:ascii="宋体" w:hAnsi="宋体" w:cs="仿宋"/>
          <w:color w:val="auto"/>
          <w:kern w:val="0"/>
          <w:sz w:val="24"/>
          <w:highlight w:val="none"/>
        </w:rPr>
        <w:t>（9）供应商提供的项目成果资料符合《招标文件》及合同约定要求。</w:t>
      </w:r>
    </w:p>
    <w:p w14:paraId="757BACDB">
      <w:pPr>
        <w:autoSpaceDE w:val="0"/>
        <w:autoSpaceDN w:val="0"/>
        <w:spacing w:line="360" w:lineRule="auto"/>
        <w:ind w:firstLine="482"/>
        <w:rPr>
          <w:rFonts w:ascii="宋体" w:hAnsi="宋体" w:cs="仿宋"/>
          <w:color w:val="auto"/>
          <w:kern w:val="0"/>
          <w:sz w:val="24"/>
          <w:highlight w:val="none"/>
        </w:rPr>
      </w:pPr>
      <w:r>
        <w:rPr>
          <w:rFonts w:hint="eastAsia" w:ascii="宋体" w:hAnsi="宋体" w:cs="仿宋"/>
          <w:color w:val="auto"/>
          <w:kern w:val="0"/>
          <w:sz w:val="24"/>
          <w:highlight w:val="none"/>
          <w:lang w:val="en-US" w:eastAsia="zh-CN"/>
        </w:rPr>
        <w:t>4.</w:t>
      </w:r>
      <w:r>
        <w:rPr>
          <w:rFonts w:hint="eastAsia" w:ascii="宋体" w:hAnsi="宋体" w:cs="仿宋"/>
          <w:color w:val="auto"/>
          <w:kern w:val="0"/>
          <w:sz w:val="24"/>
          <w:highlight w:val="none"/>
        </w:rPr>
        <w:t>验收产生的费用首次验收费用</w:t>
      </w:r>
      <w:r>
        <w:rPr>
          <w:rFonts w:hint="eastAsia" w:ascii="宋体" w:hAnsi="宋体" w:cs="仿宋"/>
          <w:b w:val="0"/>
          <w:bCs w:val="0"/>
          <w:color w:val="auto"/>
          <w:kern w:val="0"/>
          <w:sz w:val="24"/>
          <w:highlight w:val="none"/>
        </w:rPr>
        <w:t>由采购人承</w:t>
      </w:r>
      <w:r>
        <w:rPr>
          <w:rFonts w:hint="eastAsia" w:ascii="宋体" w:hAnsi="宋体" w:cs="仿宋"/>
          <w:color w:val="auto"/>
          <w:kern w:val="0"/>
          <w:sz w:val="24"/>
          <w:highlight w:val="none"/>
        </w:rPr>
        <w:t>担，如首次验收不合格，后续验收费用由中标单位支付所有费用。</w:t>
      </w:r>
    </w:p>
    <w:p w14:paraId="79A7D89C">
      <w:pPr>
        <w:spacing w:line="360" w:lineRule="auto"/>
        <w:ind w:left="2"/>
        <w:outlineLvl w:val="0"/>
        <w:rPr>
          <w:rFonts w:ascii="宋体" w:hAnsi="宋体" w:cs="宋体"/>
          <w:b/>
          <w:bCs/>
          <w:color w:val="auto"/>
          <w:spacing w:val="-8"/>
          <w:sz w:val="24"/>
          <w:highlight w:val="none"/>
        </w:rPr>
      </w:pPr>
      <w:r>
        <w:rPr>
          <w:rFonts w:hint="eastAsia" w:ascii="宋体" w:hAnsi="宋体" w:cs="宋体"/>
          <w:b/>
          <w:bCs/>
          <w:color w:val="auto"/>
          <w:spacing w:val="-8"/>
          <w:sz w:val="24"/>
          <w:highlight w:val="none"/>
        </w:rPr>
        <w:t>五、报价说明</w:t>
      </w:r>
    </w:p>
    <w:p w14:paraId="27DB1DCF">
      <w:pPr>
        <w:adjustRightInd/>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本项目采购包括设备的设计供货、安装、调试直至验收合格，报价须包含货物设施费、材料费、运输装卸费、安装调试费、检测费、税费、参加投标费用、售后服务费等一切费用。</w:t>
      </w:r>
    </w:p>
    <w:p w14:paraId="1400C91A">
      <w:pPr>
        <w:spacing w:line="360" w:lineRule="auto"/>
        <w:ind w:left="2"/>
        <w:outlineLvl w:val="0"/>
        <w:rPr>
          <w:rFonts w:ascii="宋体" w:hAnsi="宋体" w:cs="宋体"/>
          <w:b/>
          <w:bCs/>
          <w:color w:val="auto"/>
          <w:spacing w:val="-8"/>
          <w:sz w:val="24"/>
          <w:highlight w:val="none"/>
        </w:rPr>
      </w:pPr>
      <w:r>
        <w:rPr>
          <w:rFonts w:hint="eastAsia" w:ascii="宋体" w:hAnsi="宋体" w:cs="宋体"/>
          <w:b/>
          <w:bCs/>
          <w:color w:val="auto"/>
          <w:spacing w:val="-8"/>
          <w:sz w:val="24"/>
          <w:highlight w:val="none"/>
        </w:rPr>
        <w:t>六、样品制作要求：</w:t>
      </w:r>
    </w:p>
    <w:p w14:paraId="17501F48">
      <w:pPr>
        <w:adjustRightInd/>
        <w:spacing w:line="360" w:lineRule="auto"/>
        <w:ind w:firstLine="424" w:firstLineChars="177"/>
        <w:rPr>
          <w:rFonts w:ascii="宋体" w:hAnsi="宋体" w:cs="宋体"/>
          <w:color w:val="auto"/>
          <w:sz w:val="24"/>
          <w:highlight w:val="none"/>
        </w:rPr>
      </w:pPr>
      <w:r>
        <w:rPr>
          <w:rFonts w:hint="eastAsia" w:ascii="宋体" w:hAnsi="宋体" w:cs="宋体"/>
          <w:color w:val="auto"/>
          <w:sz w:val="24"/>
          <w:highlight w:val="none"/>
        </w:rPr>
        <w:t>为了更加直观、准确的评价各投标人所投产品与采购需求的符合性，以及评价各投标人所投产品的材质、制造工艺等，本项目要求投标人按要求递交投标样品。</w:t>
      </w:r>
    </w:p>
    <w:p w14:paraId="42E5A614">
      <w:pPr>
        <w:spacing w:line="360" w:lineRule="auto"/>
        <w:ind w:left="2"/>
        <w:outlineLvl w:val="0"/>
        <w:rPr>
          <w:rFonts w:ascii="宋体" w:hAnsi="宋体" w:cs="宋体"/>
          <w:b/>
          <w:bCs/>
          <w:color w:val="auto"/>
          <w:spacing w:val="-8"/>
          <w:sz w:val="24"/>
          <w:highlight w:val="none"/>
        </w:rPr>
      </w:pPr>
      <w:r>
        <w:rPr>
          <w:rFonts w:hint="eastAsia" w:ascii="宋体" w:hAnsi="宋体" w:cs="宋体"/>
          <w:b/>
          <w:bCs/>
          <w:color w:val="auto"/>
          <w:spacing w:val="-8"/>
          <w:sz w:val="24"/>
          <w:highlight w:val="none"/>
        </w:rPr>
        <w:t>七、特别提示</w:t>
      </w:r>
    </w:p>
    <w:p w14:paraId="75DDB763">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关于知识产权：采购人在中华人民共和国境内因使用本招标项目产品和服务中的任何一部分时，采购人免受第三方提出的侵犯其专利权、商标权或其它知识产权的起诉。若出现以上情况，所有责任由投标人承担。</w:t>
      </w:r>
    </w:p>
    <w:p w14:paraId="5AF6B90B">
      <w:pPr>
        <w:spacing w:line="360" w:lineRule="auto"/>
        <w:ind w:left="2"/>
        <w:outlineLvl w:val="0"/>
        <w:rPr>
          <w:rFonts w:hint="eastAsia" w:ascii="宋体" w:hAnsi="宋体" w:cs="宋体"/>
          <w:b/>
          <w:bCs/>
          <w:color w:val="auto"/>
          <w:spacing w:val="-8"/>
          <w:sz w:val="24"/>
          <w:highlight w:val="none"/>
        </w:rPr>
      </w:pPr>
      <w:r>
        <w:rPr>
          <w:rFonts w:hint="eastAsia" w:ascii="宋体" w:hAnsi="宋体" w:cs="宋体"/>
          <w:b/>
          <w:bCs/>
          <w:color w:val="auto"/>
          <w:spacing w:val="-8"/>
          <w:sz w:val="24"/>
          <w:highlight w:val="none"/>
          <w:lang w:val="en-US" w:eastAsia="zh-CN"/>
        </w:rPr>
        <w:t>八</w:t>
      </w:r>
      <w:r>
        <w:rPr>
          <w:rFonts w:hint="eastAsia" w:ascii="宋体" w:hAnsi="宋体" w:cs="宋体"/>
          <w:b/>
          <w:bCs/>
          <w:color w:val="auto"/>
          <w:spacing w:val="-8"/>
          <w:sz w:val="24"/>
          <w:highlight w:val="none"/>
        </w:rPr>
        <w:t>、其他要求</w:t>
      </w:r>
    </w:p>
    <w:p w14:paraId="1156FC45">
      <w:pPr>
        <w:spacing w:line="360" w:lineRule="auto"/>
        <w:ind w:firstLine="480"/>
        <w:rPr>
          <w:rFonts w:ascii="宋体" w:hAnsi="宋体" w:cs="仿宋"/>
          <w:color w:val="auto"/>
          <w:sz w:val="24"/>
          <w:highlight w:val="none"/>
        </w:rPr>
      </w:pPr>
      <w:r>
        <w:rPr>
          <w:rFonts w:hint="eastAsia" w:ascii="宋体" w:hAnsi="宋体" w:cs="仿宋"/>
          <w:bCs/>
          <w:color w:val="auto"/>
          <w:sz w:val="24"/>
          <w:highlight w:val="none"/>
        </w:rPr>
        <w:t>1.</w:t>
      </w:r>
      <w:r>
        <w:rPr>
          <w:rFonts w:hint="eastAsia" w:ascii="宋体" w:hAnsi="宋体" w:cs="仿宋"/>
          <w:color w:val="auto"/>
          <w:sz w:val="24"/>
          <w:highlight w:val="none"/>
        </w:rPr>
        <w:t>采购清单中图片仅供参考，但参数必须满足招标要求；中标人所供的货物须为全新的，符合国家标准的合格产品。</w:t>
      </w:r>
    </w:p>
    <w:p w14:paraId="482DB9F0">
      <w:pPr>
        <w:spacing w:line="360" w:lineRule="auto"/>
        <w:ind w:firstLine="480"/>
        <w:rPr>
          <w:rFonts w:ascii="宋体" w:hAnsi="宋体" w:cs="仿宋"/>
          <w:b/>
          <w:bCs/>
          <w:color w:val="auto"/>
          <w:sz w:val="24"/>
          <w:highlight w:val="none"/>
        </w:rPr>
      </w:pPr>
      <w:r>
        <w:rPr>
          <w:rFonts w:hint="eastAsia" w:ascii="宋体" w:hAnsi="宋体" w:cs="仿宋"/>
          <w:color w:val="auto"/>
          <w:sz w:val="24"/>
          <w:highlight w:val="none"/>
        </w:rPr>
        <w:t>2.</w:t>
      </w:r>
      <w:r>
        <w:rPr>
          <w:rFonts w:hint="eastAsia" w:ascii="宋体" w:hAnsi="宋体" w:cs="仿宋"/>
          <w:b/>
          <w:bCs/>
          <w:color w:val="auto"/>
          <w:sz w:val="24"/>
          <w:highlight w:val="none"/>
        </w:rPr>
        <w:t>产品尺寸规格需根据实际情况相应制作，采购清单中规定的尺寸为暂估尺寸,以中标人实地测量尺寸为准;但需保障各项货物设施须能配套、大小合适、整体美观简洁且确保正常使用；</w:t>
      </w:r>
    </w:p>
    <w:p w14:paraId="2A8B8462">
      <w:pPr>
        <w:spacing w:line="360" w:lineRule="auto"/>
        <w:ind w:firstLine="482"/>
        <w:rPr>
          <w:rFonts w:ascii="宋体" w:hAnsi="宋体" w:cs="仿宋"/>
          <w:b/>
          <w:bCs/>
          <w:color w:val="auto"/>
          <w:sz w:val="24"/>
          <w:highlight w:val="none"/>
        </w:rPr>
      </w:pPr>
      <w:r>
        <w:rPr>
          <w:rFonts w:hint="eastAsia" w:ascii="宋体" w:hAnsi="宋体" w:cs="仿宋"/>
          <w:b/>
          <w:bCs/>
          <w:color w:val="auto"/>
          <w:sz w:val="24"/>
          <w:highlight w:val="none"/>
        </w:rPr>
        <w:t>中标后，打样经采购人颜色确认后再下单制作；定制柜体功能、样式等须经</w:t>
      </w:r>
      <w:r>
        <w:rPr>
          <w:rFonts w:hint="eastAsia" w:ascii="宋体" w:hAnsi="宋体" w:cs="仿宋"/>
          <w:b/>
          <w:bCs/>
          <w:color w:val="auto"/>
          <w:sz w:val="24"/>
          <w:highlight w:val="none"/>
          <w:lang w:val="en-US" w:eastAsia="zh-CN"/>
        </w:rPr>
        <w:t>采购人</w:t>
      </w:r>
      <w:r>
        <w:rPr>
          <w:rFonts w:hint="eastAsia" w:ascii="宋体" w:hAnsi="宋体" w:cs="仿宋"/>
          <w:b/>
          <w:bCs/>
          <w:color w:val="auto"/>
          <w:sz w:val="24"/>
          <w:highlight w:val="none"/>
        </w:rPr>
        <w:t>认可后实施制作安装。</w:t>
      </w:r>
    </w:p>
    <w:p w14:paraId="4BE63AE7">
      <w:pPr>
        <w:spacing w:line="360" w:lineRule="auto"/>
        <w:ind w:firstLine="482"/>
        <w:rPr>
          <w:rFonts w:ascii="宋体" w:hAnsi="宋体" w:cs="仿宋"/>
          <w:color w:val="auto"/>
          <w:sz w:val="24"/>
          <w:highlight w:val="none"/>
        </w:rPr>
      </w:pPr>
      <w:r>
        <w:rPr>
          <w:rFonts w:hint="eastAsia" w:ascii="宋体" w:hAnsi="宋体" w:cs="仿宋"/>
          <w:b w:val="0"/>
          <w:bCs w:val="0"/>
          <w:color w:val="auto"/>
          <w:sz w:val="24"/>
          <w:highlight w:val="none"/>
        </w:rPr>
        <w:t>3.</w:t>
      </w:r>
      <w:r>
        <w:rPr>
          <w:rFonts w:hint="eastAsia" w:ascii="宋体" w:hAnsi="宋体" w:cs="仿宋"/>
          <w:color w:val="auto"/>
          <w:sz w:val="24"/>
          <w:highlight w:val="none"/>
        </w:rPr>
        <w:t>如招标文件中遗漏了完工必须具备的材料、配件或服务，供应商在投标文件中应该指出，并根据自身的工程经验提出解决方案，并包含在投标总价中；供应商有义务保证采购人系统的完整性，如项目实施过程中因缺少设备、配件或服务导致采购人系统无法正常运行，中标供应商须负责提供，合同金额不作调整。</w:t>
      </w:r>
    </w:p>
    <w:p w14:paraId="1AED4A27">
      <w:pPr>
        <w:spacing w:line="360" w:lineRule="auto"/>
        <w:ind w:firstLine="480"/>
        <w:rPr>
          <w:rFonts w:ascii="宋体" w:hAnsi="宋体" w:cs="仿宋"/>
          <w:color w:val="auto"/>
          <w:sz w:val="24"/>
          <w:highlight w:val="none"/>
        </w:rPr>
      </w:pPr>
      <w:r>
        <w:rPr>
          <w:rFonts w:hint="eastAsia" w:ascii="宋体" w:hAnsi="宋体" w:cs="仿宋"/>
          <w:color w:val="auto"/>
          <w:sz w:val="24"/>
          <w:highlight w:val="none"/>
          <w:lang w:val="en-US" w:eastAsia="zh-CN"/>
        </w:rPr>
        <w:t>4</w:t>
      </w:r>
      <w:r>
        <w:rPr>
          <w:rFonts w:hint="eastAsia" w:ascii="宋体" w:hAnsi="宋体" w:cs="仿宋"/>
          <w:color w:val="auto"/>
          <w:sz w:val="24"/>
          <w:highlight w:val="none"/>
        </w:rPr>
        <w:t>.如招标文件中遗漏了货物设施在今后安全正常使用的保护装置或措施，供应商应根据自身的工程经验提出解决方案，并包含在投标总价中；中标供应商有义务保证货物设施能被安全正常的使用。</w:t>
      </w:r>
    </w:p>
    <w:p w14:paraId="167FFD82">
      <w:pPr>
        <w:spacing w:line="360" w:lineRule="auto"/>
        <w:ind w:firstLine="480"/>
        <w:rPr>
          <w:rFonts w:ascii="宋体" w:hAnsi="宋体" w:cs="仿宋"/>
          <w:color w:val="auto"/>
          <w:sz w:val="24"/>
          <w:highlight w:val="none"/>
        </w:rPr>
      </w:pPr>
      <w:r>
        <w:rPr>
          <w:rFonts w:hint="eastAsia" w:ascii="宋体" w:hAnsi="宋体" w:cs="仿宋"/>
          <w:color w:val="auto"/>
          <w:sz w:val="24"/>
          <w:highlight w:val="none"/>
          <w:lang w:val="en-US" w:eastAsia="zh-CN"/>
        </w:rPr>
        <w:t>5</w:t>
      </w:r>
      <w:r>
        <w:rPr>
          <w:rFonts w:hint="eastAsia" w:ascii="宋体" w:hAnsi="宋体" w:cs="仿宋"/>
          <w:color w:val="auto"/>
          <w:sz w:val="24"/>
          <w:highlight w:val="none"/>
        </w:rPr>
        <w:t>.装修完成后，供应商负责货物设施就位。安装完毕后进行调试工作，确保各货物设施正常使用。</w:t>
      </w:r>
    </w:p>
    <w:p w14:paraId="54F14741">
      <w:pPr>
        <w:spacing w:line="360" w:lineRule="auto"/>
        <w:ind w:firstLine="480"/>
        <w:rPr>
          <w:rFonts w:ascii="宋体" w:hAnsi="宋体" w:cs="仿宋"/>
          <w:color w:val="auto"/>
          <w:sz w:val="24"/>
          <w:highlight w:val="none"/>
        </w:rPr>
      </w:pPr>
      <w:r>
        <w:rPr>
          <w:rFonts w:hint="eastAsia" w:ascii="宋体" w:hAnsi="宋体" w:cs="仿宋"/>
          <w:color w:val="auto"/>
          <w:sz w:val="24"/>
          <w:highlight w:val="none"/>
          <w:lang w:val="en-US" w:eastAsia="zh-CN"/>
        </w:rPr>
        <w:t>6.</w:t>
      </w:r>
      <w:r>
        <w:rPr>
          <w:rFonts w:hint="eastAsia" w:ascii="宋体" w:hAnsi="宋体" w:cs="仿宋"/>
          <w:color w:val="auto"/>
          <w:sz w:val="24"/>
          <w:highlight w:val="none"/>
        </w:rPr>
        <w:t>中标供应商须与招标人确定颜色后方可生产并供货。</w:t>
      </w:r>
    </w:p>
    <w:p w14:paraId="16439AB1">
      <w:pPr>
        <w:spacing w:line="360" w:lineRule="auto"/>
        <w:ind w:left="2"/>
        <w:outlineLvl w:val="0"/>
        <w:rPr>
          <w:rFonts w:ascii="宋体" w:hAnsi="宋体" w:cs="仿宋"/>
          <w:b/>
          <w:color w:val="auto"/>
          <w:sz w:val="24"/>
          <w:highlight w:val="none"/>
        </w:rPr>
      </w:pPr>
      <w:r>
        <w:rPr>
          <w:rFonts w:hint="eastAsia" w:ascii="宋体" w:hAnsi="宋体" w:cs="仿宋"/>
          <w:b/>
          <w:color w:val="auto"/>
          <w:sz w:val="24"/>
          <w:highlight w:val="none"/>
          <w:lang w:val="en-US" w:eastAsia="zh-CN"/>
        </w:rPr>
        <w:t>九</w:t>
      </w:r>
      <w:r>
        <w:rPr>
          <w:rFonts w:hint="eastAsia" w:ascii="宋体" w:hAnsi="宋体" w:cs="仿宋"/>
          <w:b/>
          <w:color w:val="auto"/>
          <w:sz w:val="24"/>
          <w:highlight w:val="none"/>
        </w:rPr>
        <w:t>、相关服务要求</w:t>
      </w:r>
    </w:p>
    <w:p w14:paraId="4CCE0CC9">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1.供应商需要提供合理的项目整体实施方案，能按照项目分解节点并可跟踪实施。</w:t>
      </w:r>
    </w:p>
    <w:p w14:paraId="7CFEA286">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2.供应商需要提供供货安装方案，根据货物交付时间节点，落实送货安装时间和人员安排，确保按期交付使用。</w:t>
      </w:r>
    </w:p>
    <w:p w14:paraId="5AC39F2E">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3.质量跟踪、检测</w:t>
      </w:r>
    </w:p>
    <w:p w14:paraId="767A5CAE">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1）质量跟踪：采购人有权委托具有家具产品质量检验资质的质检机构方对中标方的家具生产、安装、材料及配件质量进行全过程跟踪，中标方应无条件予以配合，一旦发现中标方有违背合同的情况，将立即中止合同，由此造成的损失由中标方负责。跟踪分三个阶段：第一阶段：所有材料备货完毕中标方应通知采购人到厂跟踪检查；第二阶段：产品生产组装时，中标方应通知采购人到厂进行产品跟踪检查；第三阶段：所有产品发货前中标方应通知采购人到场到厂跟踪检查。</w:t>
      </w:r>
    </w:p>
    <w:p w14:paraId="2527C91D">
      <w:pPr>
        <w:spacing w:line="360" w:lineRule="auto"/>
        <w:ind w:firstLine="424" w:firstLineChars="177"/>
        <w:rPr>
          <w:rFonts w:hint="default" w:ascii="宋体" w:hAnsi="宋体" w:cs="仿宋"/>
          <w:color w:val="auto"/>
          <w:sz w:val="24"/>
          <w:highlight w:val="none"/>
          <w:lang w:val="en-US" w:eastAsia="zh-CN"/>
        </w:rPr>
      </w:pPr>
      <w:r>
        <w:rPr>
          <w:rFonts w:hint="eastAsia" w:ascii="宋体" w:hAnsi="宋体" w:cs="仿宋"/>
          <w:color w:val="auto"/>
          <w:sz w:val="24"/>
          <w:highlight w:val="none"/>
        </w:rPr>
        <w:t>（2）采购人有权委托第三方检测机构在家具生产中的原材料进货、生产组装及成品安装等阶段中按一定比例向中标方抽取家具的某一部位进行质量、环保检测</w:t>
      </w:r>
      <w:r>
        <w:rPr>
          <w:rFonts w:hint="eastAsia" w:ascii="宋体" w:hAnsi="宋体" w:cs="仿宋"/>
          <w:color w:val="auto"/>
          <w:sz w:val="24"/>
          <w:highlight w:val="none"/>
          <w:lang w:eastAsia="zh-CN"/>
        </w:rPr>
        <w:t>。</w:t>
      </w:r>
      <w:r>
        <w:rPr>
          <w:rFonts w:hint="eastAsia" w:ascii="宋体" w:hAnsi="宋体" w:cs="仿宋"/>
          <w:color w:val="auto"/>
          <w:sz w:val="24"/>
          <w:highlight w:val="none"/>
          <w:lang w:val="en-US" w:eastAsia="zh-CN"/>
        </w:rPr>
        <w:t>如检测合格，</w:t>
      </w:r>
      <w:r>
        <w:rPr>
          <w:rFonts w:hint="eastAsia" w:ascii="宋体" w:hAnsi="宋体" w:cs="仿宋"/>
          <w:color w:val="auto"/>
          <w:sz w:val="24"/>
          <w:highlight w:val="none"/>
        </w:rPr>
        <w:t>其中产生的一切费用，包括抽检部分的破坏性检测造成的损失、抽检内容缺失部分的修补、制作费及环保检测费用均由采购人承担</w:t>
      </w:r>
      <w:r>
        <w:rPr>
          <w:rFonts w:hint="eastAsia" w:ascii="宋体" w:hAnsi="宋体" w:cs="仿宋"/>
          <w:color w:val="auto"/>
          <w:sz w:val="24"/>
          <w:highlight w:val="none"/>
          <w:lang w:eastAsia="zh-CN"/>
        </w:rPr>
        <w:t>；</w:t>
      </w:r>
      <w:r>
        <w:rPr>
          <w:rFonts w:hint="eastAsia" w:ascii="宋体" w:hAnsi="宋体" w:cs="仿宋"/>
          <w:color w:val="auto"/>
          <w:sz w:val="24"/>
          <w:highlight w:val="none"/>
          <w:lang w:val="en-US" w:eastAsia="zh-CN"/>
        </w:rPr>
        <w:t>如检测不合格，且中标方需立即按照供应商投标文件及合同中要求进行整改。</w:t>
      </w:r>
    </w:p>
    <w:p w14:paraId="1184EFF8">
      <w:pPr>
        <w:spacing w:line="360" w:lineRule="auto"/>
        <w:ind w:firstLine="424" w:firstLineChars="177"/>
        <w:rPr>
          <w:rFonts w:ascii="宋体" w:hAnsi="宋体" w:cs="仿宋"/>
          <w:color w:val="auto"/>
          <w:sz w:val="24"/>
          <w:highlight w:val="none"/>
        </w:rPr>
      </w:pPr>
      <w:r>
        <w:rPr>
          <w:rFonts w:hint="eastAsia" w:ascii="宋体" w:hAnsi="宋体" w:cs="仿宋"/>
          <w:color w:val="auto"/>
          <w:sz w:val="24"/>
          <w:highlight w:val="none"/>
        </w:rPr>
        <w:t>4.项目团队要求：供应商需要提供项目技术团队及其能力说明，提供人员清单、履历、专业技术能力等资料。</w:t>
      </w:r>
    </w:p>
    <w:p w14:paraId="57A0F827">
      <w:pPr>
        <w:spacing w:line="360" w:lineRule="auto"/>
        <w:ind w:firstLine="424" w:firstLineChars="177"/>
        <w:rPr>
          <w:rFonts w:hint="eastAsia" w:ascii="宋体" w:hAnsi="宋体" w:cs="仿宋"/>
          <w:color w:val="auto"/>
          <w:sz w:val="24"/>
          <w:highlight w:val="none"/>
        </w:rPr>
      </w:pPr>
      <w:r>
        <w:rPr>
          <w:rFonts w:hint="eastAsia" w:ascii="宋体" w:hAnsi="宋体" w:cs="仿宋"/>
          <w:color w:val="auto"/>
          <w:sz w:val="24"/>
          <w:highlight w:val="none"/>
          <w:lang w:val="en-US"/>
        </w:rPr>
        <w:t>5.培训要求：安装调试后，对家具使用人员进行现场实地培训，直至会熟练使用。</w:t>
      </w:r>
    </w:p>
    <w:p w14:paraId="30C76F97">
      <w:pPr>
        <w:rPr>
          <w:rFonts w:hint="eastAsia" w:ascii="宋体" w:hAnsi="宋体" w:cs="宋体"/>
          <w:b/>
          <w:color w:val="auto"/>
          <w:sz w:val="36"/>
          <w:szCs w:val="36"/>
          <w:highlight w:val="none"/>
        </w:rPr>
      </w:pPr>
      <w:r>
        <w:rPr>
          <w:rFonts w:hint="eastAsia" w:ascii="宋体" w:hAnsi="宋体" w:cs="宋体"/>
          <w:b/>
          <w:color w:val="auto"/>
          <w:sz w:val="36"/>
          <w:szCs w:val="36"/>
          <w:highlight w:val="none"/>
        </w:rPr>
        <w:br w:type="page"/>
      </w:r>
    </w:p>
    <w:p w14:paraId="323EA51D">
      <w:pPr>
        <w:bidi w:val="0"/>
        <w:rPr>
          <w:rFonts w:hint="eastAsia"/>
          <w:color w:val="auto"/>
          <w:highlight w:val="none"/>
        </w:rPr>
      </w:pPr>
    </w:p>
    <w:p w14:paraId="0D56985A">
      <w:pPr>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第四部分   评标办法</w:t>
      </w:r>
    </w:p>
    <w:p w14:paraId="49A1D10D">
      <w:pPr>
        <w:snapToGrid w:val="0"/>
        <w:spacing w:line="360" w:lineRule="auto"/>
        <w:jc w:val="center"/>
        <w:rPr>
          <w:rFonts w:hint="eastAsia" w:ascii="宋体" w:hAnsi="宋体" w:cs="宋体"/>
          <w:b/>
          <w:color w:val="auto"/>
          <w:sz w:val="32"/>
          <w:szCs w:val="20"/>
          <w:highlight w:val="none"/>
        </w:rPr>
      </w:pPr>
      <w:r>
        <w:rPr>
          <w:rFonts w:hint="eastAsia" w:ascii="宋体" w:hAnsi="宋体" w:cs="宋体"/>
          <w:b/>
          <w:color w:val="auto"/>
          <w:sz w:val="32"/>
          <w:szCs w:val="20"/>
          <w:highlight w:val="none"/>
        </w:rPr>
        <w:t>评标办法前附表</w:t>
      </w:r>
    </w:p>
    <w:tbl>
      <w:tblPr>
        <w:tblStyle w:val="62"/>
        <w:tblW w:w="9760" w:type="dxa"/>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6175"/>
        <w:gridCol w:w="775"/>
        <w:gridCol w:w="914"/>
        <w:gridCol w:w="1228"/>
      </w:tblGrid>
      <w:tr w14:paraId="3841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trPr>
        <w:tc>
          <w:tcPr>
            <w:tcW w:w="668" w:type="dxa"/>
            <w:tcBorders>
              <w:top w:val="single" w:color="auto" w:sz="4" w:space="0"/>
              <w:left w:val="single" w:color="auto" w:sz="4" w:space="0"/>
              <w:bottom w:val="single" w:color="auto" w:sz="4" w:space="0"/>
              <w:right w:val="single" w:color="auto" w:sz="4" w:space="0"/>
            </w:tcBorders>
            <w:vAlign w:val="center"/>
          </w:tcPr>
          <w:p w14:paraId="60E83969">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序号</w:t>
            </w:r>
          </w:p>
        </w:tc>
        <w:tc>
          <w:tcPr>
            <w:tcW w:w="6175" w:type="dxa"/>
            <w:tcBorders>
              <w:top w:val="single" w:color="auto" w:sz="4" w:space="0"/>
              <w:left w:val="single" w:color="auto" w:sz="4" w:space="0"/>
              <w:bottom w:val="single" w:color="auto" w:sz="4" w:space="0"/>
              <w:right w:val="single" w:color="auto" w:sz="4" w:space="0"/>
            </w:tcBorders>
            <w:vAlign w:val="center"/>
          </w:tcPr>
          <w:p w14:paraId="11F1AE85">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评标标准</w:t>
            </w:r>
          </w:p>
        </w:tc>
        <w:tc>
          <w:tcPr>
            <w:tcW w:w="775" w:type="dxa"/>
            <w:tcBorders>
              <w:top w:val="single" w:color="auto" w:sz="4" w:space="0"/>
              <w:left w:val="single" w:color="auto" w:sz="4" w:space="0"/>
              <w:bottom w:val="single" w:color="auto" w:sz="4" w:space="0"/>
              <w:right w:val="single" w:color="auto" w:sz="4" w:space="0"/>
            </w:tcBorders>
            <w:vAlign w:val="center"/>
          </w:tcPr>
          <w:p w14:paraId="5F07A53F">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最高分值</w:t>
            </w:r>
          </w:p>
        </w:tc>
        <w:tc>
          <w:tcPr>
            <w:tcW w:w="914" w:type="dxa"/>
            <w:tcBorders>
              <w:top w:val="single" w:color="auto" w:sz="4" w:space="0"/>
              <w:left w:val="single" w:color="auto" w:sz="4" w:space="0"/>
              <w:bottom w:val="single" w:color="auto" w:sz="4" w:space="0"/>
              <w:right w:val="single" w:color="auto" w:sz="4" w:space="0"/>
            </w:tcBorders>
            <w:vAlign w:val="center"/>
          </w:tcPr>
          <w:p w14:paraId="7F136D6F">
            <w:pPr>
              <w:pageBreakBefore w:val="0"/>
              <w:wordWrap/>
              <w:overflowPunct/>
              <w:topLinePunct w:val="0"/>
              <w:bidi w:val="0"/>
              <w:adjustRightInd w:val="0"/>
              <w:snapToGrid w:val="0"/>
              <w:spacing w:line="360" w:lineRule="auto"/>
              <w:jc w:val="center"/>
              <w:rPr>
                <w:rFonts w:hint="eastAsia" w:ascii="新宋体" w:hAnsi="新宋体" w:eastAsia="新宋体" w:cs="新宋体"/>
                <w:bCs/>
                <w:color w:val="auto"/>
                <w:szCs w:val="21"/>
                <w:highlight w:val="none"/>
              </w:rPr>
            </w:pPr>
            <w:r>
              <w:rPr>
                <w:rFonts w:hint="eastAsia" w:ascii="新宋体" w:hAnsi="新宋体" w:eastAsia="新宋体" w:cs="新宋体"/>
                <w:bCs/>
                <w:color w:val="auto"/>
                <w:szCs w:val="21"/>
                <w:highlight w:val="none"/>
              </w:rPr>
              <w:t>主观分/客观分属性</w:t>
            </w:r>
          </w:p>
        </w:tc>
        <w:tc>
          <w:tcPr>
            <w:tcW w:w="1228" w:type="dxa"/>
            <w:tcBorders>
              <w:top w:val="single" w:color="auto" w:sz="4" w:space="0"/>
              <w:left w:val="single" w:color="auto" w:sz="4" w:space="0"/>
              <w:bottom w:val="single" w:color="auto" w:sz="4" w:space="0"/>
              <w:right w:val="single" w:color="auto" w:sz="4" w:space="0"/>
            </w:tcBorders>
            <w:vAlign w:val="top"/>
          </w:tcPr>
          <w:p w14:paraId="52E8A5A5">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bCs/>
                <w:color w:val="auto"/>
                <w:szCs w:val="21"/>
                <w:highlight w:val="none"/>
              </w:rPr>
              <w:t>投标文件中评标标准相应的商务技术资料目录*</w:t>
            </w:r>
          </w:p>
        </w:tc>
      </w:tr>
      <w:tr w14:paraId="37E2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668" w:type="dxa"/>
            <w:vMerge w:val="restart"/>
            <w:tcBorders>
              <w:top w:val="single" w:color="auto" w:sz="4" w:space="0"/>
              <w:left w:val="single" w:color="auto" w:sz="4" w:space="0"/>
              <w:right w:val="single" w:color="auto" w:sz="4" w:space="0"/>
            </w:tcBorders>
            <w:vAlign w:val="center"/>
          </w:tcPr>
          <w:p w14:paraId="722C60B2">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1</w:t>
            </w:r>
          </w:p>
        </w:tc>
        <w:tc>
          <w:tcPr>
            <w:tcW w:w="6175" w:type="dxa"/>
            <w:tcBorders>
              <w:top w:val="single" w:color="auto" w:sz="4" w:space="0"/>
              <w:left w:val="single" w:color="auto" w:sz="4" w:space="0"/>
              <w:bottom w:val="single" w:color="auto" w:sz="4" w:space="0"/>
              <w:right w:val="single" w:color="auto" w:sz="4" w:space="0"/>
            </w:tcBorders>
            <w:vAlign w:val="top"/>
          </w:tcPr>
          <w:p w14:paraId="4AEBBD45">
            <w:pPr>
              <w:snapToGrid w:val="0"/>
              <w:spacing w:line="360" w:lineRule="auto"/>
              <w:jc w:val="left"/>
              <w:rPr>
                <w:rFonts w:ascii="宋体" w:hAnsi="宋体" w:cs="仿宋"/>
                <w:b/>
                <w:bCs/>
                <w:color w:val="auto"/>
                <w:kern w:val="0"/>
                <w:szCs w:val="21"/>
                <w:highlight w:val="none"/>
              </w:rPr>
            </w:pPr>
            <w:r>
              <w:rPr>
                <w:rFonts w:hint="eastAsia" w:ascii="宋体" w:hAnsi="宋体" w:cs="仿宋"/>
                <w:b/>
                <w:bCs/>
                <w:color w:val="auto"/>
                <w:kern w:val="0"/>
                <w:szCs w:val="21"/>
                <w:highlight w:val="none"/>
              </w:rPr>
              <w:t>样品评分：</w:t>
            </w:r>
          </w:p>
          <w:p w14:paraId="17D97706">
            <w:pPr>
              <w:snapToGrid w:val="0"/>
              <w:spacing w:line="360" w:lineRule="auto"/>
              <w:jc w:val="left"/>
              <w:rPr>
                <w:rFonts w:ascii="宋体" w:hAnsi="宋体" w:cs="仿宋"/>
                <w:b/>
                <w:bCs/>
                <w:color w:val="auto"/>
                <w:kern w:val="0"/>
                <w:szCs w:val="21"/>
                <w:highlight w:val="none"/>
              </w:rPr>
            </w:pPr>
            <w:r>
              <w:rPr>
                <w:rFonts w:hint="eastAsia" w:ascii="宋体" w:hAnsi="宋体" w:cs="仿宋"/>
                <w:b/>
                <w:bCs/>
                <w:color w:val="auto"/>
                <w:kern w:val="0"/>
                <w:szCs w:val="21"/>
                <w:highlight w:val="none"/>
              </w:rPr>
              <w:t>一、产品主要尺寸、形状及位置公差（3分）：每偏离一个参数指标扣1分，扣完为止。采购人有明确要求且明示的产品尺寸，偏差控制在±10mm以内(测量工具：0～3m钢卷尺，精度1mm)；</w:t>
            </w:r>
          </w:p>
          <w:p w14:paraId="38AC43A7">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1.团员活动桌（</w:t>
            </w:r>
            <w:r>
              <w:rPr>
                <w:rFonts w:hint="eastAsia" w:ascii="宋体" w:hAnsi="宋体" w:cs="宋体"/>
                <w:color w:val="auto"/>
                <w:szCs w:val="21"/>
                <w:highlight w:val="none"/>
                <w:lang w:val="en-US" w:eastAsia="zh-CN"/>
              </w:rPr>
              <w:t>序号30</w:t>
            </w:r>
            <w:r>
              <w:rPr>
                <w:rFonts w:hint="eastAsia" w:ascii="宋体" w:hAnsi="宋体" w:cs="宋体"/>
                <w:color w:val="auto"/>
                <w:szCs w:val="21"/>
                <w:highlight w:val="none"/>
              </w:rPr>
              <w:t>）（单位：mm）</w:t>
            </w:r>
          </w:p>
          <w:p w14:paraId="30936B4A">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1.1整体尺寸</w:t>
            </w:r>
            <w:r>
              <w:rPr>
                <w:rFonts w:hint="eastAsia" w:ascii="宋体" w:hAnsi="宋体" w:cs="宋体"/>
                <w:color w:val="auto"/>
                <w:szCs w:val="21"/>
                <w:highlight w:val="none"/>
                <w:lang w:val="en-US" w:eastAsia="zh-CN"/>
              </w:rPr>
              <w:t>W</w:t>
            </w:r>
            <w:r>
              <w:rPr>
                <w:rFonts w:hint="eastAsia" w:ascii="宋体" w:hAnsi="宋体" w:cs="宋体"/>
                <w:color w:val="auto"/>
                <w:szCs w:val="21"/>
                <w:highlight w:val="none"/>
              </w:rPr>
              <w:t>1500*</w:t>
            </w:r>
            <w:r>
              <w:rPr>
                <w:rFonts w:hint="eastAsia" w:ascii="宋体" w:hAnsi="宋体" w:cs="宋体"/>
                <w:color w:val="auto"/>
                <w:szCs w:val="21"/>
                <w:highlight w:val="none"/>
                <w:lang w:val="en-US" w:eastAsia="zh-CN"/>
              </w:rPr>
              <w:t>D</w:t>
            </w:r>
            <w:r>
              <w:rPr>
                <w:rFonts w:hint="eastAsia" w:ascii="宋体" w:hAnsi="宋体" w:cs="宋体"/>
                <w:color w:val="auto"/>
                <w:szCs w:val="21"/>
                <w:highlight w:val="none"/>
              </w:rPr>
              <w:t>600*</w:t>
            </w:r>
            <w:r>
              <w:rPr>
                <w:rFonts w:hint="eastAsia" w:ascii="宋体" w:hAnsi="宋体" w:cs="宋体"/>
                <w:color w:val="auto"/>
                <w:szCs w:val="21"/>
                <w:highlight w:val="none"/>
                <w:lang w:val="en-US" w:eastAsia="zh-CN"/>
              </w:rPr>
              <w:t>H</w:t>
            </w:r>
            <w:r>
              <w:rPr>
                <w:rFonts w:hint="eastAsia" w:ascii="宋体" w:hAnsi="宋体" w:cs="宋体"/>
                <w:color w:val="auto"/>
                <w:szCs w:val="21"/>
                <w:highlight w:val="none"/>
              </w:rPr>
              <w:t>745</w:t>
            </w:r>
            <w:r>
              <w:rPr>
                <w:rFonts w:hint="eastAsia" w:ascii="宋体" w:hAnsi="宋体" w:cs="宋体"/>
                <w:color w:val="auto"/>
                <w:szCs w:val="21"/>
                <w:highlight w:val="none"/>
                <w:lang w:eastAsia="zh-CN"/>
              </w:rPr>
              <w:t>；</w:t>
            </w:r>
            <w:r>
              <w:rPr>
                <w:rFonts w:hint="eastAsia" w:ascii="宋体" w:hAnsi="宋体" w:cs="宋体"/>
                <w:color w:val="auto"/>
                <w:szCs w:val="21"/>
                <w:highlight w:val="none"/>
              </w:rPr>
              <w:t xml:space="preserve">                     </w:t>
            </w:r>
          </w:p>
          <w:p w14:paraId="1FD51369">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接待椅（1）</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序号3</w:t>
            </w:r>
            <w:r>
              <w:rPr>
                <w:rFonts w:hint="eastAsia" w:ascii="宋体" w:hAnsi="宋体" w:cs="宋体"/>
                <w:color w:val="auto"/>
                <w:szCs w:val="21"/>
                <w:highlight w:val="none"/>
              </w:rPr>
              <w:t>）（单位：mm）</w:t>
            </w:r>
          </w:p>
          <w:p w14:paraId="40596234">
            <w:pPr>
              <w:snapToGrid w:val="0"/>
              <w:spacing w:line="360" w:lineRule="auto"/>
              <w:jc w:val="left"/>
              <w:rPr>
                <w:color w:val="auto"/>
                <w:highlight w:val="none"/>
              </w:rPr>
            </w:pPr>
            <w:r>
              <w:rPr>
                <w:rFonts w:hint="eastAsia" w:ascii="宋体" w:hAnsi="宋体" w:cs="宋体"/>
                <w:color w:val="auto"/>
                <w:szCs w:val="21"/>
                <w:highlight w:val="none"/>
              </w:rPr>
              <w:t>2.1整体尺寸：W（670-785）*D680*H（1140-1200）（高度尺寸为气杆降到最低或升到最高到头枕（降到最低）的距离）；</w:t>
            </w:r>
          </w:p>
          <w:p w14:paraId="26E46D7C">
            <w:pPr>
              <w:pStyle w:val="3"/>
              <w:rPr>
                <w:rFonts w:hint="eastAsia" w:eastAsia="仿宋_GB2312"/>
                <w:color w:val="auto"/>
                <w:highlight w:val="none"/>
                <w:lang w:eastAsia="zh-CN"/>
              </w:rPr>
            </w:pPr>
            <w:r>
              <w:rPr>
                <w:rFonts w:hint="eastAsia" w:ascii="仿宋_GB2312" w:hAnsi="仿宋" w:eastAsia="仿宋_GB2312" w:cs="Times New Roman"/>
                <w:b/>
                <w:bCs/>
                <w:color w:val="auto"/>
                <w:kern w:val="2"/>
                <w:sz w:val="32"/>
                <w:szCs w:val="32"/>
                <w:highlight w:val="none"/>
                <w:lang w:val="zh-CN" w:eastAsia="zh-CN" w:bidi="ar-SA"/>
              </w:rPr>
              <w:drawing>
                <wp:inline distT="0" distB="0" distL="114300" distR="114300">
                  <wp:extent cx="2037080" cy="1858645"/>
                  <wp:effectExtent l="0" t="0" r="1270" b="8255"/>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pic:cNvPicPr>
                            <a:picLocks noChangeAspect="1"/>
                          </pic:cNvPicPr>
                        </pic:nvPicPr>
                        <pic:blipFill>
                          <a:blip r:embed="rId136">
                            <a:lum/>
                          </a:blip>
                          <a:stretch>
                            <a:fillRect/>
                          </a:stretch>
                        </pic:blipFill>
                        <pic:spPr>
                          <a:xfrm>
                            <a:off x="0" y="0"/>
                            <a:ext cx="2037080" cy="1858645"/>
                          </a:xfrm>
                          <a:prstGeom prst="rect">
                            <a:avLst/>
                          </a:prstGeom>
                          <a:noFill/>
                          <a:ln>
                            <a:noFill/>
                          </a:ln>
                        </pic:spPr>
                      </pic:pic>
                    </a:graphicData>
                  </a:graphic>
                </wp:inline>
              </w:drawing>
            </w:r>
          </w:p>
          <w:p w14:paraId="463AF85F">
            <w:pPr>
              <w:snapToGrid w:val="0"/>
              <w:spacing w:line="360" w:lineRule="auto"/>
              <w:jc w:val="left"/>
              <w:rPr>
                <w:rFonts w:ascii="宋体" w:hAnsi="宋体" w:cs="仿宋"/>
                <w:b/>
                <w:bCs/>
                <w:color w:val="auto"/>
                <w:kern w:val="0"/>
                <w:szCs w:val="21"/>
                <w:highlight w:val="none"/>
              </w:rPr>
            </w:pPr>
            <w:r>
              <w:rPr>
                <w:rFonts w:hint="eastAsia" w:ascii="宋体" w:hAnsi="宋体" w:cs="仿宋"/>
                <w:b/>
                <w:bCs/>
                <w:color w:val="auto"/>
                <w:kern w:val="0"/>
                <w:szCs w:val="21"/>
                <w:highlight w:val="none"/>
              </w:rPr>
              <w:t>二、材料要求（3分）：材质不符合每个扣</w:t>
            </w:r>
            <w:r>
              <w:rPr>
                <w:rFonts w:hint="eastAsia" w:ascii="宋体" w:hAnsi="宋体" w:cs="仿宋"/>
                <w:b/>
                <w:bCs/>
                <w:color w:val="auto"/>
                <w:kern w:val="0"/>
                <w:szCs w:val="21"/>
                <w:highlight w:val="none"/>
                <w:lang w:val="en-US" w:eastAsia="zh-CN"/>
              </w:rPr>
              <w:t>0.5</w:t>
            </w:r>
            <w:r>
              <w:rPr>
                <w:rFonts w:hint="eastAsia" w:ascii="宋体" w:hAnsi="宋体" w:cs="仿宋"/>
                <w:b/>
                <w:bCs/>
                <w:color w:val="auto"/>
                <w:kern w:val="0"/>
                <w:szCs w:val="21"/>
                <w:highlight w:val="none"/>
              </w:rPr>
              <w:t>分，扣完为止。</w:t>
            </w:r>
          </w:p>
          <w:p w14:paraId="1AD720AB">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1.团员活动桌（</w:t>
            </w:r>
            <w:r>
              <w:rPr>
                <w:rFonts w:hint="eastAsia" w:ascii="宋体" w:hAnsi="宋体" w:cs="宋体"/>
                <w:color w:val="auto"/>
                <w:szCs w:val="21"/>
                <w:highlight w:val="none"/>
                <w:lang w:val="en-US" w:eastAsia="zh-CN"/>
              </w:rPr>
              <w:t>序号30</w:t>
            </w:r>
            <w:r>
              <w:rPr>
                <w:rFonts w:hint="eastAsia" w:ascii="宋体" w:hAnsi="宋体" w:cs="宋体"/>
                <w:color w:val="auto"/>
                <w:szCs w:val="21"/>
                <w:highlight w:val="none"/>
              </w:rPr>
              <w:t>）</w:t>
            </w:r>
          </w:p>
          <w:p w14:paraId="2869507B">
            <w:pPr>
              <w:snapToGrid w:val="0"/>
              <w:spacing w:line="360" w:lineRule="auto"/>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桌面：</w:t>
            </w:r>
            <w:r>
              <w:rPr>
                <w:rFonts w:hint="eastAsia" w:ascii="宋体" w:hAnsi="宋体" w:cs="宋体"/>
                <w:color w:val="auto"/>
                <w:szCs w:val="21"/>
                <w:highlight w:val="none"/>
              </w:rPr>
              <w:t>质环保E0级多层板表面贴优质三聚氰胺饰面板</w:t>
            </w:r>
            <w:r>
              <w:rPr>
                <w:rFonts w:hint="eastAsia" w:ascii="宋体" w:hAnsi="宋体" w:cs="宋体"/>
                <w:color w:val="auto"/>
                <w:szCs w:val="21"/>
                <w:highlight w:val="none"/>
                <w:lang w:eastAsia="zh-CN"/>
              </w:rPr>
              <w:t>；</w:t>
            </w:r>
          </w:p>
          <w:p w14:paraId="501B4F41">
            <w:pPr>
              <w:snapToGrid w:val="0"/>
              <w:spacing w:line="360" w:lineRule="auto"/>
              <w:jc w:val="left"/>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桌脚：采用铝合金压铸成型，立柱采用采用≥φ58*2.3mm铝材，左右桌架连接管采用铝合金压铸成型，材质为铝材挤出工艺制作，翻转处采用了静音设计，采用了POM垫圈，桌脚下方4个万向PU静音轮，带刹车定位功能；</w:t>
            </w:r>
          </w:p>
          <w:p w14:paraId="48659A39">
            <w:pPr>
              <w:snapToGrid w:val="0"/>
              <w:spacing w:line="360" w:lineRule="auto"/>
              <w:jc w:val="left"/>
              <w:rPr>
                <w:rFonts w:hint="eastAsia"/>
                <w:strike/>
                <w:dstrike w:val="0"/>
                <w:color w:val="auto"/>
                <w:highlight w:val="none"/>
                <w:lang w:eastAsia="zh-CN"/>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桌板拼接连接件：锌合金材质；</w:t>
            </w:r>
          </w:p>
          <w:p w14:paraId="33AC5D74">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接待椅（1）</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序号3</w:t>
            </w:r>
            <w:r>
              <w:rPr>
                <w:rFonts w:hint="eastAsia" w:ascii="宋体" w:hAnsi="宋体" w:cs="宋体"/>
                <w:color w:val="auto"/>
                <w:szCs w:val="21"/>
                <w:highlight w:val="none"/>
              </w:rPr>
              <w:t>）</w:t>
            </w:r>
          </w:p>
          <w:p w14:paraId="7FB6C2D2">
            <w:pPr>
              <w:spacing w:line="360" w:lineRule="auto"/>
              <w:rPr>
                <w:rFonts w:ascii="宋体" w:hAnsi="宋体" w:cs="宋体"/>
                <w:color w:val="auto"/>
                <w:szCs w:val="21"/>
                <w:highlight w:val="none"/>
              </w:rPr>
            </w:pPr>
            <w:r>
              <w:rPr>
                <w:rFonts w:hint="eastAsia" w:ascii="宋体" w:hAnsi="宋体" w:cs="宋体"/>
                <w:color w:val="auto"/>
                <w:szCs w:val="21"/>
                <w:highlight w:val="none"/>
              </w:rPr>
              <w:t>背垫：塑胶、网布；腰枕：塑胶、网布；座垫：全网布，底盘：钢制、塑胶底壳；气压棒：精钢铸造；椅脚：尼龙；滑轮：PU椅轮；</w:t>
            </w:r>
          </w:p>
          <w:p w14:paraId="423C6CDA">
            <w:pPr>
              <w:snapToGrid w:val="0"/>
              <w:spacing w:line="360" w:lineRule="auto"/>
              <w:jc w:val="left"/>
              <w:rPr>
                <w:rFonts w:ascii="宋体" w:hAnsi="宋体" w:cs="仿宋"/>
                <w:b/>
                <w:bCs/>
                <w:color w:val="auto"/>
                <w:kern w:val="0"/>
                <w:szCs w:val="21"/>
                <w:highlight w:val="none"/>
              </w:rPr>
            </w:pPr>
            <w:r>
              <w:rPr>
                <w:rFonts w:hint="eastAsia" w:ascii="宋体" w:hAnsi="宋体" w:cs="仿宋"/>
                <w:b/>
                <w:bCs/>
                <w:color w:val="auto"/>
                <w:kern w:val="0"/>
                <w:szCs w:val="21"/>
                <w:highlight w:val="none"/>
              </w:rPr>
              <w:t>三、功能性要求（3分）：每个不合格项扣</w:t>
            </w:r>
            <w:r>
              <w:rPr>
                <w:rFonts w:hint="eastAsia" w:ascii="宋体" w:hAnsi="宋体" w:cs="仿宋"/>
                <w:b/>
                <w:bCs/>
                <w:color w:val="auto"/>
                <w:kern w:val="0"/>
                <w:szCs w:val="21"/>
                <w:highlight w:val="none"/>
                <w:lang w:val="en-US" w:eastAsia="zh-CN"/>
              </w:rPr>
              <w:t>0.5</w:t>
            </w:r>
            <w:r>
              <w:rPr>
                <w:rFonts w:hint="eastAsia" w:ascii="宋体" w:hAnsi="宋体" w:cs="仿宋"/>
                <w:b/>
                <w:bCs/>
                <w:color w:val="auto"/>
                <w:kern w:val="0"/>
                <w:szCs w:val="21"/>
                <w:highlight w:val="none"/>
              </w:rPr>
              <w:t>分，扣完为止。</w:t>
            </w:r>
          </w:p>
          <w:p w14:paraId="269EF88C">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1.团员活动桌（</w:t>
            </w:r>
            <w:r>
              <w:rPr>
                <w:rFonts w:hint="eastAsia" w:ascii="宋体" w:hAnsi="宋体" w:cs="宋体"/>
                <w:color w:val="auto"/>
                <w:szCs w:val="21"/>
                <w:highlight w:val="none"/>
                <w:lang w:val="en-US" w:eastAsia="zh-CN"/>
              </w:rPr>
              <w:t>序号30</w:t>
            </w:r>
            <w:r>
              <w:rPr>
                <w:rFonts w:hint="eastAsia" w:ascii="宋体" w:hAnsi="宋体" w:cs="宋体"/>
                <w:color w:val="auto"/>
                <w:szCs w:val="21"/>
                <w:highlight w:val="none"/>
              </w:rPr>
              <w:t>）：</w:t>
            </w:r>
            <w:r>
              <w:rPr>
                <w:rFonts w:hint="eastAsia"/>
                <w:color w:val="auto"/>
                <w:sz w:val="20"/>
                <w:szCs w:val="22"/>
                <w:highlight w:val="none"/>
                <w:lang w:eastAsia="zh-CN"/>
              </w:rPr>
              <w:t>①</w:t>
            </w:r>
            <w:r>
              <w:rPr>
                <w:rFonts w:hint="eastAsia" w:ascii="宋体" w:hAnsi="宋体" w:cs="宋体"/>
                <w:color w:val="auto"/>
                <w:szCs w:val="21"/>
                <w:highlight w:val="none"/>
                <w:lang w:val="en-US" w:eastAsia="zh-CN"/>
              </w:rPr>
              <w:t>万向轮应</w:t>
            </w:r>
            <w:r>
              <w:rPr>
                <w:rFonts w:hint="eastAsia" w:ascii="宋体" w:hAnsi="宋体" w:cs="宋体"/>
                <w:color w:val="auto"/>
                <w:szCs w:val="21"/>
                <w:highlight w:val="none"/>
              </w:rPr>
              <w:t>锁定到位，开启应灵活</w:t>
            </w:r>
            <w:r>
              <w:rPr>
                <w:rFonts w:hint="eastAsia" w:ascii="宋体" w:hAnsi="宋体" w:cs="宋体"/>
                <w:color w:val="auto"/>
                <w:szCs w:val="21"/>
                <w:highlight w:val="none"/>
                <w:lang w:eastAsia="zh-CN"/>
              </w:rPr>
              <w:t>，</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PU静音轮，带刹车定位功能</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②使用旋转卡扣翻转机构，联动翻转。③扳手轻巧用力，台面即翻转为垂直状态，可多数量推叠</w:t>
            </w:r>
            <w:r>
              <w:rPr>
                <w:rFonts w:hint="eastAsia" w:ascii="宋体" w:hAnsi="宋体" w:cs="宋体"/>
                <w:color w:val="auto"/>
                <w:szCs w:val="21"/>
                <w:highlight w:val="none"/>
                <w:lang w:eastAsia="zh-CN"/>
              </w:rPr>
              <w:t>。</w:t>
            </w:r>
          </w:p>
          <w:p w14:paraId="1B0DC228">
            <w:pPr>
              <w:pageBreakBefore w:val="0"/>
              <w:wordWrap/>
              <w:overflowPunct/>
              <w:topLinePunct w:val="0"/>
              <w:bidi w:val="0"/>
              <w:adjustRightInd w:val="0"/>
              <w:snapToGrid w:val="0"/>
              <w:spacing w:line="360" w:lineRule="auto"/>
              <w:jc w:val="left"/>
              <w:rPr>
                <w:rFonts w:hint="eastAsia" w:ascii="宋体" w:hAnsi="宋体" w:cs="宋体"/>
                <w:strike/>
                <w:dstrike w:val="0"/>
                <w:color w:val="auto"/>
                <w:szCs w:val="21"/>
                <w:highlight w:val="none"/>
                <w:lang w:val="en-US"/>
              </w:rPr>
            </w:pPr>
            <w:r>
              <w:rPr>
                <w:rFonts w:hint="eastAsia" w:ascii="宋体" w:hAnsi="宋体" w:cs="宋体"/>
                <w:color w:val="auto"/>
                <w:szCs w:val="21"/>
                <w:highlight w:val="none"/>
              </w:rPr>
              <w:t>2.接待椅（1）（序号3）：③头枕：3D头枕设计，可以实现头枕高低、角度、前后的调节。 ④椅背采用“腰背分离设计”设计结构。椅背倾仰四档调节锁定，&gt;120°后仰调节，椅背倾仰功能。腰枕：弹性腰枕上下升降（不少于5档/含初始档）；⑤座垫：深度可调节。底盘：自适应线控底盘，可同步倾仰和多角度锁定；独立开关设计，分别操控座垫升降、椅背倾仰锁定功能；⑥扶手：“3D线控扶手”设计，扶手高度、角度、宽度、上下、前后、左右可调节。</w:t>
            </w:r>
          </w:p>
        </w:tc>
        <w:tc>
          <w:tcPr>
            <w:tcW w:w="775" w:type="dxa"/>
            <w:tcBorders>
              <w:top w:val="single" w:color="auto" w:sz="4" w:space="0"/>
              <w:left w:val="single" w:color="auto" w:sz="4" w:space="0"/>
              <w:bottom w:val="single" w:color="auto" w:sz="4" w:space="0"/>
              <w:right w:val="single" w:color="auto" w:sz="4" w:space="0"/>
            </w:tcBorders>
            <w:vAlign w:val="center"/>
          </w:tcPr>
          <w:p w14:paraId="307B7253">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9</w:t>
            </w:r>
          </w:p>
        </w:tc>
        <w:tc>
          <w:tcPr>
            <w:tcW w:w="914" w:type="dxa"/>
            <w:tcBorders>
              <w:top w:val="single" w:color="auto" w:sz="4" w:space="0"/>
              <w:left w:val="single" w:color="auto" w:sz="4" w:space="0"/>
              <w:bottom w:val="single" w:color="auto" w:sz="4" w:space="0"/>
              <w:right w:val="single" w:color="auto" w:sz="4" w:space="0"/>
            </w:tcBorders>
            <w:vAlign w:val="center"/>
          </w:tcPr>
          <w:p w14:paraId="0F23C325">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客观分</w:t>
            </w:r>
          </w:p>
        </w:tc>
        <w:tc>
          <w:tcPr>
            <w:tcW w:w="1228" w:type="dxa"/>
            <w:vMerge w:val="restart"/>
            <w:tcBorders>
              <w:top w:val="single" w:color="auto" w:sz="4" w:space="0"/>
              <w:left w:val="single" w:color="auto" w:sz="4" w:space="0"/>
              <w:right w:val="single" w:color="auto" w:sz="4" w:space="0"/>
            </w:tcBorders>
            <w:vAlign w:val="center"/>
          </w:tcPr>
          <w:p w14:paraId="49DD0332">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样品分</w:t>
            </w:r>
          </w:p>
        </w:tc>
      </w:tr>
      <w:tr w14:paraId="0C466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668" w:type="dxa"/>
            <w:vMerge w:val="continue"/>
            <w:tcBorders>
              <w:left w:val="single" w:color="auto" w:sz="4" w:space="0"/>
              <w:bottom w:val="single" w:color="auto" w:sz="4" w:space="0"/>
              <w:right w:val="single" w:color="auto" w:sz="4" w:space="0"/>
            </w:tcBorders>
            <w:vAlign w:val="center"/>
          </w:tcPr>
          <w:p w14:paraId="4EEE2AF4">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p>
        </w:tc>
        <w:tc>
          <w:tcPr>
            <w:tcW w:w="6175" w:type="dxa"/>
            <w:tcBorders>
              <w:top w:val="single" w:color="auto" w:sz="4" w:space="0"/>
              <w:left w:val="single" w:color="auto" w:sz="4" w:space="0"/>
              <w:bottom w:val="single" w:color="auto" w:sz="4" w:space="0"/>
              <w:right w:val="single" w:color="auto" w:sz="4" w:space="0"/>
            </w:tcBorders>
            <w:vAlign w:val="top"/>
          </w:tcPr>
          <w:p w14:paraId="79B21071">
            <w:pPr>
              <w:pageBreakBefore w:val="0"/>
              <w:wordWrap/>
              <w:overflowPunct/>
              <w:topLinePunct w:val="0"/>
              <w:bidi w:val="0"/>
              <w:adjustRightInd w:val="0"/>
              <w:snapToGrid w:val="0"/>
              <w:spacing w:line="360" w:lineRule="auto"/>
              <w:jc w:val="left"/>
              <w:rPr>
                <w:rFonts w:hint="eastAsia" w:ascii="新宋体" w:hAnsi="新宋体" w:eastAsia="新宋体" w:cs="新宋体"/>
                <w:b/>
                <w:bCs/>
                <w:color w:val="auto"/>
                <w:kern w:val="0"/>
                <w:szCs w:val="21"/>
                <w:highlight w:val="none"/>
              </w:rPr>
            </w:pPr>
            <w:r>
              <w:rPr>
                <w:rFonts w:hint="eastAsia" w:ascii="新宋体" w:hAnsi="新宋体" w:eastAsia="新宋体" w:cs="新宋体"/>
                <w:b/>
                <w:bCs/>
                <w:color w:val="auto"/>
                <w:kern w:val="0"/>
                <w:szCs w:val="21"/>
                <w:highlight w:val="none"/>
              </w:rPr>
              <w:t>四、外观要求（3分）每个不合格项扣1分，扣完为止。</w:t>
            </w:r>
          </w:p>
          <w:p w14:paraId="21A9434E">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1.木制件外观要求：</w:t>
            </w:r>
          </w:p>
          <w:p w14:paraId="4616A64A">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①外表无明显色差；</w:t>
            </w:r>
          </w:p>
          <w:p w14:paraId="6EC30C20">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②外表无鼓泡、龟裂、分层；</w:t>
            </w:r>
          </w:p>
          <w:p w14:paraId="4C0E21FB">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2.五金件外观要求</w:t>
            </w:r>
          </w:p>
          <w:p w14:paraId="2C2B8795">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①镀层表面无锈蚀、毛刺、露底；</w:t>
            </w:r>
          </w:p>
          <w:p w14:paraId="4A24055A">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②镀层表面光滑平整，无起泡、泛黄；</w:t>
            </w:r>
          </w:p>
          <w:p w14:paraId="426B0F0A">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3.软包件外观要求：</w:t>
            </w:r>
          </w:p>
          <w:p w14:paraId="5FC00E1E">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①软面包覆表面：包覆的面料拼接对称完整；</w:t>
            </w:r>
            <w:r>
              <w:rPr>
                <w:rFonts w:hint="eastAsia" w:ascii="新宋体" w:hAnsi="新宋体" w:eastAsia="新宋体" w:cs="新宋体"/>
                <w:strike w:val="0"/>
                <w:dstrike w:val="0"/>
                <w:color w:val="auto"/>
                <w:szCs w:val="21"/>
                <w:highlight w:val="none"/>
              </w:rPr>
              <w:t>同一部位绒面料的绒毛方向应一致</w:t>
            </w:r>
            <w:r>
              <w:rPr>
                <w:rFonts w:hint="eastAsia" w:ascii="新宋体" w:hAnsi="新宋体" w:eastAsia="新宋体" w:cs="新宋体"/>
                <w:color w:val="auto"/>
                <w:szCs w:val="21"/>
                <w:highlight w:val="none"/>
              </w:rPr>
              <w:t>；不应有明显色差，包覆的面料应无破损、严重划痕、色污、油污，应平服饱满，松紧均匀，不应有明显皱折，对称工艺性皱折应匀称，层次分明；</w:t>
            </w:r>
          </w:p>
          <w:p w14:paraId="283BF289">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②外露泡钉：应排列应整齐，间距基本相等，不应有泡钉明显敲扁或脱漆；</w:t>
            </w:r>
          </w:p>
          <w:p w14:paraId="2CDBDAA8">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③缝纫：线迹间距应均匀，无明显浮线、跳针或外露线头、脱线、开缝、脱胶。</w:t>
            </w:r>
          </w:p>
          <w:p w14:paraId="0B182769">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④整体设计美观。</w:t>
            </w:r>
          </w:p>
          <w:p w14:paraId="1F2FB7AF">
            <w:pPr>
              <w:pageBreakBefore w:val="0"/>
              <w:wordWrap/>
              <w:overflowPunct/>
              <w:topLinePunct w:val="0"/>
              <w:bidi w:val="0"/>
              <w:adjustRightInd w:val="0"/>
              <w:snapToGrid w:val="0"/>
              <w:spacing w:line="360" w:lineRule="auto"/>
              <w:jc w:val="left"/>
              <w:rPr>
                <w:rFonts w:hint="eastAsia" w:ascii="新宋体" w:hAnsi="新宋体" w:eastAsia="新宋体" w:cs="新宋体"/>
                <w:b/>
                <w:bCs/>
                <w:color w:val="auto"/>
                <w:kern w:val="0"/>
                <w:szCs w:val="21"/>
                <w:highlight w:val="none"/>
              </w:rPr>
            </w:pPr>
            <w:r>
              <w:rPr>
                <w:rFonts w:hint="eastAsia" w:ascii="新宋体" w:hAnsi="新宋体" w:eastAsia="新宋体" w:cs="新宋体"/>
                <w:b/>
                <w:bCs/>
                <w:color w:val="auto"/>
                <w:kern w:val="0"/>
                <w:szCs w:val="21"/>
                <w:highlight w:val="none"/>
              </w:rPr>
              <w:t>五、制作工艺（3分）：每有一项不合格扣1分，扣完为止。</w:t>
            </w:r>
          </w:p>
          <w:p w14:paraId="727C7A40">
            <w:pPr>
              <w:pageBreakBefore w:val="0"/>
              <w:wordWrap/>
              <w:overflowPunct/>
              <w:topLinePunct w:val="0"/>
              <w:bidi w:val="0"/>
              <w:adjustRightInd w:val="0"/>
              <w:snapToGrid w:val="0"/>
              <w:spacing w:line="360" w:lineRule="auto"/>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1.</w:t>
            </w:r>
            <w:r>
              <w:rPr>
                <w:rFonts w:hint="eastAsia" w:ascii="新宋体" w:hAnsi="新宋体" w:eastAsia="新宋体" w:cs="新宋体"/>
                <w:color w:val="auto"/>
                <w:szCs w:val="21"/>
                <w:highlight w:val="none"/>
                <w:lang w:val="en-US" w:eastAsia="zh-CN"/>
              </w:rPr>
              <w:t>各</w:t>
            </w:r>
            <w:r>
              <w:rPr>
                <w:rFonts w:hint="eastAsia" w:ascii="新宋体" w:hAnsi="新宋体" w:eastAsia="新宋体" w:cs="新宋体"/>
                <w:color w:val="auto"/>
                <w:szCs w:val="21"/>
                <w:highlight w:val="none"/>
              </w:rPr>
              <w:t>部件的外表应光滑，倒棱、圆角、圆线应均匀一致；</w:t>
            </w:r>
          </w:p>
          <w:p w14:paraId="04A8A84E">
            <w:pPr>
              <w:pageBreakBefore w:val="0"/>
              <w:wordWrap/>
              <w:overflowPunct/>
              <w:topLinePunct w:val="0"/>
              <w:bidi w:val="0"/>
              <w:adjustRightInd w:val="0"/>
              <w:snapToGrid w:val="0"/>
              <w:spacing w:line="360" w:lineRule="auto"/>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lang w:val="en-US" w:eastAsia="zh-CN"/>
              </w:rPr>
              <w:t>2</w:t>
            </w:r>
            <w:r>
              <w:rPr>
                <w:rFonts w:hint="eastAsia" w:ascii="新宋体" w:hAnsi="新宋体" w:eastAsia="新宋体" w:cs="新宋体"/>
                <w:color w:val="auto"/>
                <w:szCs w:val="21"/>
                <w:highlight w:val="none"/>
              </w:rPr>
              <w:t>.零部件的结合应严密、牢固；</w:t>
            </w:r>
          </w:p>
          <w:p w14:paraId="16CC7201">
            <w:pPr>
              <w:pageBreakBefore w:val="0"/>
              <w:wordWrap/>
              <w:overflowPunct/>
              <w:topLinePunct w:val="0"/>
              <w:bidi w:val="0"/>
              <w:adjustRightInd w:val="0"/>
              <w:snapToGrid w:val="0"/>
              <w:spacing w:line="360" w:lineRule="auto"/>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lang w:val="en-US" w:eastAsia="zh-CN"/>
              </w:rPr>
              <w:t>3</w:t>
            </w:r>
            <w:r>
              <w:rPr>
                <w:rFonts w:hint="eastAsia" w:ascii="新宋体" w:hAnsi="新宋体" w:eastAsia="新宋体" w:cs="新宋体"/>
                <w:color w:val="auto"/>
                <w:szCs w:val="21"/>
                <w:highlight w:val="none"/>
              </w:rPr>
              <w:t>.各种配件特别是连接件的安装应严密、平整、端正、牢固，结合处应无开裂或松动；</w:t>
            </w:r>
          </w:p>
          <w:p w14:paraId="25F8869F">
            <w:pPr>
              <w:pageBreakBefore w:val="0"/>
              <w:wordWrap/>
              <w:overflowPunct/>
              <w:topLinePunct w:val="0"/>
              <w:bidi w:val="0"/>
              <w:adjustRightInd w:val="0"/>
              <w:snapToGrid w:val="0"/>
              <w:spacing w:line="360" w:lineRule="auto"/>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lang w:val="en-US" w:eastAsia="zh-CN"/>
              </w:rPr>
              <w:t>4</w:t>
            </w:r>
            <w:r>
              <w:rPr>
                <w:rFonts w:hint="eastAsia" w:ascii="新宋体" w:hAnsi="新宋体" w:eastAsia="新宋体" w:cs="新宋体"/>
                <w:color w:val="auto"/>
                <w:szCs w:val="21"/>
                <w:highlight w:val="none"/>
              </w:rPr>
              <w:t>.板件或部件在接触人体或贮物部位不应有毛刺、刃口或棱角。</w:t>
            </w:r>
          </w:p>
          <w:p w14:paraId="1555F447">
            <w:pPr>
              <w:pStyle w:val="3"/>
              <w:pageBreakBefore w:val="0"/>
              <w:wordWrap/>
              <w:overflowPunct/>
              <w:topLinePunct w:val="0"/>
              <w:bidi w:val="0"/>
              <w:adjustRightInd w:val="0"/>
              <w:snapToGrid w:val="0"/>
              <w:spacing w:line="360" w:lineRule="auto"/>
              <w:rPr>
                <w:rFonts w:hint="eastAsia" w:ascii="新宋体" w:hAnsi="新宋体" w:eastAsia="新宋体" w:cs="新宋体"/>
                <w:color w:val="auto"/>
                <w:highlight w:val="none"/>
              </w:rPr>
            </w:pPr>
            <w:r>
              <w:rPr>
                <w:rFonts w:hint="eastAsia" w:ascii="新宋体" w:hAnsi="新宋体" w:eastAsia="新宋体" w:cs="新宋体"/>
                <w:color w:val="auto"/>
                <w:sz w:val="21"/>
                <w:szCs w:val="21"/>
                <w:highlight w:val="none"/>
              </w:rPr>
              <w:t>投标人不提供样品则视其投标无效。</w:t>
            </w:r>
          </w:p>
        </w:tc>
        <w:tc>
          <w:tcPr>
            <w:tcW w:w="775" w:type="dxa"/>
            <w:tcBorders>
              <w:top w:val="single" w:color="auto" w:sz="4" w:space="0"/>
              <w:left w:val="single" w:color="auto" w:sz="4" w:space="0"/>
              <w:bottom w:val="single" w:color="auto" w:sz="4" w:space="0"/>
              <w:right w:val="single" w:color="auto" w:sz="4" w:space="0"/>
            </w:tcBorders>
            <w:vAlign w:val="center"/>
          </w:tcPr>
          <w:p w14:paraId="0E90A6B4">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6</w:t>
            </w:r>
          </w:p>
        </w:tc>
        <w:tc>
          <w:tcPr>
            <w:tcW w:w="914" w:type="dxa"/>
            <w:tcBorders>
              <w:top w:val="single" w:color="auto" w:sz="4" w:space="0"/>
              <w:left w:val="single" w:color="auto" w:sz="4" w:space="0"/>
              <w:bottom w:val="single" w:color="auto" w:sz="4" w:space="0"/>
              <w:right w:val="single" w:color="auto" w:sz="4" w:space="0"/>
            </w:tcBorders>
            <w:vAlign w:val="center"/>
          </w:tcPr>
          <w:p w14:paraId="2A23C815">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主观分</w:t>
            </w:r>
          </w:p>
        </w:tc>
        <w:tc>
          <w:tcPr>
            <w:tcW w:w="1228" w:type="dxa"/>
            <w:vMerge w:val="continue"/>
            <w:tcBorders>
              <w:left w:val="single" w:color="auto" w:sz="4" w:space="0"/>
              <w:bottom w:val="single" w:color="auto" w:sz="4" w:space="0"/>
              <w:right w:val="single" w:color="auto" w:sz="4" w:space="0"/>
            </w:tcBorders>
            <w:vAlign w:val="center"/>
          </w:tcPr>
          <w:p w14:paraId="1F106450">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p>
        </w:tc>
      </w:tr>
      <w:tr w14:paraId="14BC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trPr>
        <w:tc>
          <w:tcPr>
            <w:tcW w:w="668" w:type="dxa"/>
            <w:tcBorders>
              <w:top w:val="single" w:color="auto" w:sz="4" w:space="0"/>
              <w:left w:val="single" w:color="auto" w:sz="4" w:space="0"/>
              <w:bottom w:val="single" w:color="auto" w:sz="4" w:space="0"/>
              <w:right w:val="single" w:color="auto" w:sz="4" w:space="0"/>
            </w:tcBorders>
            <w:vAlign w:val="center"/>
          </w:tcPr>
          <w:p w14:paraId="7A738030">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2</w:t>
            </w:r>
          </w:p>
        </w:tc>
        <w:tc>
          <w:tcPr>
            <w:tcW w:w="6175" w:type="dxa"/>
            <w:tcBorders>
              <w:top w:val="single" w:color="auto" w:sz="4" w:space="0"/>
              <w:left w:val="single" w:color="auto" w:sz="4" w:space="0"/>
              <w:bottom w:val="single" w:color="auto" w:sz="4" w:space="0"/>
              <w:right w:val="single" w:color="auto" w:sz="4" w:space="0"/>
            </w:tcBorders>
            <w:vAlign w:val="center"/>
          </w:tcPr>
          <w:p w14:paraId="7EC829FC">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成品检测报告：投标人或产品制造商提供具备CMA资质的第三方检测机构出具的成品检测报告，其中核心技术指标评分内容如下：</w:t>
            </w:r>
          </w:p>
          <w:p w14:paraId="46986D0C">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b/>
                <w:bCs/>
                <w:color w:val="auto"/>
                <w:szCs w:val="21"/>
                <w:highlight w:val="none"/>
              </w:rPr>
              <w:t>1.自修桌：</w:t>
            </w:r>
            <w:r>
              <w:rPr>
                <w:rFonts w:hint="eastAsia" w:ascii="新宋体" w:hAnsi="新宋体" w:eastAsia="新宋体" w:cs="新宋体"/>
                <w:color w:val="auto"/>
                <w:szCs w:val="21"/>
                <w:highlight w:val="none"/>
              </w:rPr>
              <w:t>①依据GB/T3324-2017检测标准，其中木制件、漆膜外观、漆膜（耐液性、耐湿热、耐干热、附着力）符合要求；                                                         ②依据GB/T 35607-20</w:t>
            </w:r>
            <w:r>
              <w:rPr>
                <w:rFonts w:hint="eastAsia" w:ascii="新宋体" w:hAnsi="新宋体" w:eastAsia="新宋体" w:cs="新宋体"/>
                <w:color w:val="auto"/>
                <w:szCs w:val="21"/>
                <w:highlight w:val="none"/>
                <w:lang w:val="en-US" w:eastAsia="zh-CN"/>
              </w:rPr>
              <w:t>24</w:t>
            </w:r>
            <w:r>
              <w:rPr>
                <w:rFonts w:hint="eastAsia" w:ascii="新宋体" w:hAnsi="新宋体" w:eastAsia="新宋体" w:cs="新宋体"/>
                <w:color w:val="auto"/>
                <w:szCs w:val="21"/>
                <w:highlight w:val="none"/>
              </w:rPr>
              <w:t>检测标准，其中苯≤0.05mg/m³、甲苯≤0.1mg/m³、二甲苯≤0.1mg/m³、苯并【a】芘≤0.5mg/kg；甲醛释放量≤0.05mg/m³、TVOC≤0.3 mg/m³。</w:t>
            </w:r>
          </w:p>
          <w:p w14:paraId="51D2B86D">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b/>
                <w:bCs/>
                <w:color w:val="auto"/>
                <w:szCs w:val="21"/>
                <w:highlight w:val="none"/>
                <w:lang w:val="en-US" w:eastAsia="zh-CN"/>
              </w:rPr>
              <w:t>2.</w:t>
            </w:r>
            <w:r>
              <w:rPr>
                <w:rFonts w:hint="eastAsia" w:ascii="新宋体" w:hAnsi="新宋体" w:eastAsia="新宋体" w:cs="新宋体"/>
                <w:b/>
                <w:bCs/>
                <w:color w:val="auto"/>
                <w:szCs w:val="21"/>
                <w:highlight w:val="none"/>
              </w:rPr>
              <w:t>接待椅：</w:t>
            </w:r>
            <w:r>
              <w:rPr>
                <w:rFonts w:hint="eastAsia" w:ascii="新宋体" w:hAnsi="新宋体" w:eastAsia="新宋体" w:cs="新宋体"/>
                <w:color w:val="auto"/>
                <w:szCs w:val="21"/>
                <w:highlight w:val="none"/>
              </w:rPr>
              <w:t>依据GB/T 35607-20</w:t>
            </w:r>
            <w:r>
              <w:rPr>
                <w:rFonts w:hint="eastAsia" w:ascii="新宋体" w:hAnsi="新宋体" w:eastAsia="新宋体" w:cs="新宋体"/>
                <w:color w:val="auto"/>
                <w:szCs w:val="21"/>
                <w:highlight w:val="none"/>
                <w:lang w:val="en-US" w:eastAsia="zh-CN"/>
              </w:rPr>
              <w:t>24</w:t>
            </w:r>
            <w:r>
              <w:rPr>
                <w:rFonts w:hint="eastAsia" w:ascii="新宋体" w:hAnsi="新宋体" w:eastAsia="新宋体" w:cs="新宋体"/>
                <w:color w:val="auto"/>
                <w:szCs w:val="21"/>
                <w:highlight w:val="none"/>
              </w:rPr>
              <w:t>检测标准，其中甲醛释放量≤0.05mg/m³、苯≤0.05mg/m³、甲苯≤0.1mg/m³、二甲苯≤0.1mg/m³、TVOC≤0.3mg/m³，可分解芳香胺染料未检出。</w:t>
            </w:r>
            <w:r>
              <w:rPr>
                <w:rFonts w:hint="eastAsia" w:ascii="新宋体" w:hAnsi="新宋体" w:eastAsia="新宋体" w:cs="新宋体"/>
                <w:color w:val="auto"/>
                <w:szCs w:val="21"/>
                <w:highlight w:val="none"/>
                <w:lang w:val="en-US" w:eastAsia="zh-CN"/>
              </w:rPr>
              <w:t>依据</w:t>
            </w:r>
            <w:r>
              <w:rPr>
                <w:rFonts w:hint="eastAsia" w:ascii="新宋体" w:hAnsi="新宋体" w:eastAsia="新宋体" w:cs="新宋体"/>
                <w:color w:val="auto"/>
                <w:szCs w:val="21"/>
                <w:highlight w:val="none"/>
              </w:rPr>
              <w:t>QB/T 2280-2016</w:t>
            </w:r>
            <w:r>
              <w:rPr>
                <w:rFonts w:hint="eastAsia"/>
                <w:color w:val="auto"/>
                <w:highlight w:val="none"/>
                <w:lang w:val="en-US" w:eastAsia="zh-CN"/>
              </w:rPr>
              <w:t>检测标准，</w:t>
            </w:r>
            <w:r>
              <w:rPr>
                <w:rFonts w:hint="eastAsia" w:ascii="新宋体" w:hAnsi="新宋体" w:eastAsia="新宋体" w:cs="新宋体"/>
                <w:color w:val="auto"/>
                <w:szCs w:val="21"/>
                <w:highlight w:val="none"/>
              </w:rPr>
              <w:t>包含外观、理化性能、力学性能等检测项目</w:t>
            </w:r>
            <w:r>
              <w:rPr>
                <w:rFonts w:hint="eastAsia" w:ascii="新宋体" w:hAnsi="新宋体" w:eastAsia="新宋体" w:cs="新宋体"/>
                <w:color w:val="auto"/>
                <w:szCs w:val="21"/>
                <w:highlight w:val="none"/>
                <w:lang w:val="en-US" w:eastAsia="zh-CN"/>
              </w:rPr>
              <w:t>符合要求。</w:t>
            </w:r>
          </w:p>
          <w:p w14:paraId="2E75E442">
            <w:pPr>
              <w:pStyle w:val="80"/>
              <w:pageBreakBefore w:val="0"/>
              <w:wordWrap/>
              <w:overflowPunct/>
              <w:topLinePunct w:val="0"/>
              <w:bidi w:val="0"/>
              <w:adjustRightInd w:val="0"/>
              <w:snapToGrid w:val="0"/>
              <w:spacing w:line="360" w:lineRule="auto"/>
              <w:ind w:left="0" w:leftChars="0" w:firstLine="0" w:firstLineChars="0"/>
              <w:rPr>
                <w:rFonts w:hint="eastAsia" w:ascii="新宋体" w:hAnsi="新宋体" w:eastAsia="新宋体" w:cs="新宋体"/>
                <w:color w:val="auto"/>
                <w:kern w:val="2"/>
                <w:sz w:val="21"/>
                <w:szCs w:val="21"/>
                <w:highlight w:val="none"/>
                <w:lang w:val="en-US" w:eastAsia="zh-CN" w:bidi="ar-SA"/>
              </w:rPr>
            </w:pPr>
            <w:r>
              <w:rPr>
                <w:rFonts w:hint="eastAsia" w:ascii="新宋体" w:hAnsi="新宋体" w:eastAsia="新宋体" w:cs="新宋体"/>
                <w:b/>
                <w:bCs/>
                <w:color w:val="auto"/>
                <w:kern w:val="2"/>
                <w:sz w:val="21"/>
                <w:szCs w:val="21"/>
                <w:highlight w:val="none"/>
                <w:lang w:val="en-US" w:eastAsia="zh-CN" w:bidi="ar-SA"/>
              </w:rPr>
              <w:t>3.三人接待公区沙发：</w:t>
            </w:r>
            <w:r>
              <w:rPr>
                <w:rFonts w:hint="eastAsia" w:ascii="新宋体" w:hAnsi="新宋体" w:eastAsia="新宋体" w:cs="新宋体"/>
                <w:color w:val="auto"/>
                <w:kern w:val="2"/>
                <w:sz w:val="21"/>
                <w:szCs w:val="21"/>
                <w:highlight w:val="none"/>
                <w:lang w:val="en-US" w:eastAsia="zh-CN" w:bidi="ar-SA"/>
              </w:rPr>
              <w:t>依据QB/T 1952.1-2023检测标准，力学性能（A级合格）；依据GB/T 35607-2024检测标准，其中苯≤0.05mg/m³、甲苯≤0.1mg/m³、二甲苯≤0.1mg/m³、苯并【a】芘≤0.5mg/kg；甲醛释放量≤0.05mg/m³、TVOC≤0.3 mg/m³，可分解芳香胺染料未检出。</w:t>
            </w:r>
          </w:p>
          <w:p w14:paraId="12761093">
            <w:pPr>
              <w:pageBreakBefore w:val="0"/>
              <w:wordWrap/>
              <w:overflowPunct/>
              <w:topLinePunct w:val="0"/>
              <w:bidi w:val="0"/>
              <w:adjustRightInd w:val="0"/>
              <w:snapToGrid w:val="0"/>
              <w:spacing w:line="360" w:lineRule="auto"/>
              <w:jc w:val="left"/>
              <w:rPr>
                <w:rFonts w:hint="eastAsia" w:ascii="新宋体" w:hAnsi="新宋体" w:eastAsia="新宋体" w:cs="新宋体"/>
                <w:b/>
                <w:bCs/>
                <w:color w:val="auto"/>
                <w:szCs w:val="21"/>
                <w:highlight w:val="none"/>
              </w:rPr>
            </w:pPr>
            <w:r>
              <w:rPr>
                <w:rFonts w:hint="eastAsia" w:ascii="新宋体" w:hAnsi="新宋体" w:eastAsia="新宋体" w:cs="新宋体"/>
                <w:b/>
                <w:bCs/>
                <w:color w:val="auto"/>
                <w:szCs w:val="21"/>
                <w:highlight w:val="none"/>
              </w:rPr>
              <w:t>不提供、缺项、检测结果不符或检测依据不符的不得分，每项完全符合得2分，最多得</w:t>
            </w:r>
            <w:r>
              <w:rPr>
                <w:rFonts w:hint="eastAsia" w:ascii="新宋体" w:hAnsi="新宋体" w:eastAsia="新宋体" w:cs="新宋体"/>
                <w:b/>
                <w:bCs/>
                <w:color w:val="auto"/>
                <w:szCs w:val="21"/>
                <w:highlight w:val="none"/>
                <w:lang w:val="en-US" w:eastAsia="zh-CN"/>
              </w:rPr>
              <w:t>6</w:t>
            </w:r>
            <w:r>
              <w:rPr>
                <w:rFonts w:hint="eastAsia" w:ascii="新宋体" w:hAnsi="新宋体" w:eastAsia="新宋体" w:cs="新宋体"/>
                <w:b/>
                <w:bCs/>
                <w:color w:val="auto"/>
                <w:szCs w:val="21"/>
                <w:highlight w:val="none"/>
              </w:rPr>
              <w:t>分。</w:t>
            </w:r>
          </w:p>
          <w:p w14:paraId="6479722C">
            <w:pPr>
              <w:pageBreakBefore w:val="0"/>
              <w:wordWrap/>
              <w:overflowPunct/>
              <w:topLinePunct w:val="0"/>
              <w:bidi w:val="0"/>
              <w:adjustRightInd w:val="0"/>
              <w:snapToGrid w:val="0"/>
              <w:spacing w:line="360" w:lineRule="auto"/>
              <w:jc w:val="left"/>
              <w:rPr>
                <w:rFonts w:hint="eastAsia" w:ascii="新宋体" w:hAnsi="新宋体" w:eastAsia="新宋体" w:cs="新宋体"/>
                <w:color w:val="auto"/>
                <w:highlight w:val="none"/>
              </w:rPr>
            </w:pPr>
            <w:r>
              <w:rPr>
                <w:rFonts w:hint="eastAsia" w:ascii="新宋体" w:hAnsi="新宋体" w:eastAsia="新宋体" w:cs="新宋体"/>
                <w:b/>
                <w:bCs/>
                <w:color w:val="auto"/>
                <w:szCs w:val="21"/>
                <w:highlight w:val="none"/>
              </w:rPr>
              <w:t>以上检测报告须提供扫描件和全国认证认可信息公共服务平台官网（http://cx.cnca.cn/)查询截图（加盖投标单位公章），不提供的不计分。</w:t>
            </w:r>
          </w:p>
        </w:tc>
        <w:tc>
          <w:tcPr>
            <w:tcW w:w="775" w:type="dxa"/>
            <w:tcBorders>
              <w:top w:val="single" w:color="auto" w:sz="4" w:space="0"/>
              <w:left w:val="single" w:color="auto" w:sz="4" w:space="0"/>
              <w:bottom w:val="single" w:color="auto" w:sz="4" w:space="0"/>
              <w:right w:val="single" w:color="auto" w:sz="4" w:space="0"/>
            </w:tcBorders>
            <w:vAlign w:val="center"/>
          </w:tcPr>
          <w:p w14:paraId="1EDCF336">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lang w:val="en-US" w:eastAsia="zh-CN"/>
              </w:rPr>
            </w:pPr>
            <w:r>
              <w:rPr>
                <w:rFonts w:hint="eastAsia" w:ascii="新宋体" w:hAnsi="新宋体" w:eastAsia="新宋体" w:cs="新宋体"/>
                <w:color w:val="auto"/>
                <w:szCs w:val="21"/>
                <w:highlight w:val="none"/>
                <w:lang w:val="en-US" w:eastAsia="zh-CN"/>
              </w:rPr>
              <w:t>6</w:t>
            </w:r>
          </w:p>
        </w:tc>
        <w:tc>
          <w:tcPr>
            <w:tcW w:w="914" w:type="dxa"/>
            <w:tcBorders>
              <w:top w:val="single" w:color="auto" w:sz="4" w:space="0"/>
              <w:left w:val="single" w:color="auto" w:sz="4" w:space="0"/>
              <w:bottom w:val="single" w:color="auto" w:sz="4" w:space="0"/>
              <w:right w:val="single" w:color="auto" w:sz="4" w:space="0"/>
            </w:tcBorders>
            <w:vAlign w:val="center"/>
          </w:tcPr>
          <w:p w14:paraId="38CB0ADD">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客观分</w:t>
            </w:r>
          </w:p>
        </w:tc>
        <w:tc>
          <w:tcPr>
            <w:tcW w:w="1228" w:type="dxa"/>
            <w:tcBorders>
              <w:top w:val="single" w:color="auto" w:sz="4" w:space="0"/>
              <w:left w:val="single" w:color="auto" w:sz="4" w:space="0"/>
              <w:bottom w:val="single" w:color="auto" w:sz="4" w:space="0"/>
              <w:right w:val="single" w:color="auto" w:sz="4" w:space="0"/>
            </w:tcBorders>
            <w:vAlign w:val="center"/>
          </w:tcPr>
          <w:p w14:paraId="7F92DB29">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成品检测报告</w:t>
            </w:r>
          </w:p>
        </w:tc>
      </w:tr>
      <w:tr w14:paraId="031BC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trPr>
        <w:tc>
          <w:tcPr>
            <w:tcW w:w="668" w:type="dxa"/>
            <w:tcBorders>
              <w:top w:val="single" w:color="auto" w:sz="4" w:space="0"/>
              <w:left w:val="single" w:color="auto" w:sz="4" w:space="0"/>
              <w:bottom w:val="single" w:color="auto" w:sz="4" w:space="0"/>
              <w:right w:val="single" w:color="auto" w:sz="4" w:space="0"/>
            </w:tcBorders>
            <w:vAlign w:val="center"/>
          </w:tcPr>
          <w:p w14:paraId="6A96AC22">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3</w:t>
            </w:r>
          </w:p>
        </w:tc>
        <w:tc>
          <w:tcPr>
            <w:tcW w:w="6175" w:type="dxa"/>
            <w:tcBorders>
              <w:top w:val="single" w:color="auto" w:sz="4" w:space="0"/>
              <w:left w:val="single" w:color="auto" w:sz="4" w:space="0"/>
              <w:bottom w:val="single" w:color="auto" w:sz="4" w:space="0"/>
              <w:right w:val="single" w:color="auto" w:sz="4" w:space="0"/>
            </w:tcBorders>
            <w:vAlign w:val="center"/>
          </w:tcPr>
          <w:p w14:paraId="01BFC79D">
            <w:pPr>
              <w:spacing w:line="400" w:lineRule="exact"/>
              <w:jc w:val="left"/>
              <w:rPr>
                <w:rFonts w:ascii="宋体" w:hAnsi="宋体" w:cs="仿宋"/>
                <w:color w:val="auto"/>
                <w:szCs w:val="21"/>
                <w:highlight w:val="none"/>
              </w:rPr>
            </w:pPr>
            <w:r>
              <w:rPr>
                <w:rFonts w:hint="eastAsia" w:ascii="宋体" w:hAnsi="宋体" w:cs="仿宋"/>
                <w:color w:val="auto"/>
                <w:szCs w:val="21"/>
                <w:highlight w:val="none"/>
              </w:rPr>
              <w:t>原材料检测报告：投标人或产品制造商提供具备CMA资质</w:t>
            </w:r>
            <w:r>
              <w:rPr>
                <w:rFonts w:hint="eastAsia" w:ascii="宋体" w:hAnsi="宋体" w:cs="仿宋"/>
                <w:color w:val="auto"/>
                <w:szCs w:val="21"/>
                <w:highlight w:val="none"/>
                <w:lang w:val="en-US" w:eastAsia="zh-CN"/>
              </w:rPr>
              <w:t>的</w:t>
            </w:r>
            <w:r>
              <w:rPr>
                <w:rFonts w:hint="eastAsia" w:ascii="宋体" w:hAnsi="宋体" w:cs="仿宋"/>
                <w:color w:val="auto"/>
                <w:szCs w:val="21"/>
                <w:highlight w:val="none"/>
              </w:rPr>
              <w:t>第三方检测机构出具的原材料检测报告，材料供应商提供符合以下要求的检测报告也可采用，但必须提供供应商购买对应原材料的发票扫描件，其中核心技术指标评分内容如下：</w:t>
            </w:r>
          </w:p>
          <w:p w14:paraId="334B8C6C">
            <w:pPr>
              <w:numPr>
                <w:ilvl w:val="0"/>
                <w:numId w:val="0"/>
              </w:numPr>
              <w:spacing w:line="400" w:lineRule="exact"/>
              <w:jc w:val="left"/>
              <w:rPr>
                <w:rFonts w:hint="eastAsia" w:ascii="宋体" w:hAnsi="宋体" w:cs="仿宋"/>
                <w:color w:val="auto"/>
                <w:szCs w:val="21"/>
                <w:highlight w:val="none"/>
              </w:rPr>
            </w:pPr>
            <w:r>
              <w:rPr>
                <w:rFonts w:hint="eastAsia" w:ascii="宋体" w:hAnsi="宋体" w:eastAsia="宋体" w:cs="仿宋"/>
                <w:b/>
                <w:bCs/>
                <w:color w:val="auto"/>
                <w:kern w:val="2"/>
                <w:sz w:val="21"/>
                <w:szCs w:val="21"/>
                <w:highlight w:val="none"/>
                <w:lang w:val="en-US" w:eastAsia="zh-CN" w:bidi="ar-SA"/>
              </w:rPr>
              <w:t>1.</w:t>
            </w:r>
            <w:r>
              <w:rPr>
                <w:rFonts w:hint="eastAsia" w:ascii="宋体" w:hAnsi="宋体" w:cs="仿宋"/>
                <w:b/>
                <w:bCs/>
                <w:color w:val="auto"/>
                <w:szCs w:val="21"/>
                <w:highlight w:val="none"/>
              </w:rPr>
              <w:t>油漆：</w:t>
            </w:r>
            <w:r>
              <w:rPr>
                <w:rFonts w:hint="eastAsia" w:ascii="宋体" w:hAnsi="宋体" w:cs="仿宋"/>
                <w:color w:val="auto"/>
                <w:szCs w:val="21"/>
                <w:highlight w:val="none"/>
              </w:rPr>
              <w:t>依据HJ 2537-2014检测标准，其中VOC含量 ≤</w:t>
            </w:r>
            <w:r>
              <w:rPr>
                <w:rFonts w:hint="eastAsia" w:ascii="宋体" w:hAnsi="宋体" w:cs="仿宋"/>
                <w:color w:val="auto"/>
                <w:szCs w:val="21"/>
                <w:highlight w:val="none"/>
                <w:lang w:val="en-US" w:eastAsia="zh-CN"/>
              </w:rPr>
              <w:t>70</w:t>
            </w:r>
            <w:r>
              <w:rPr>
                <w:rFonts w:hint="eastAsia" w:ascii="宋体" w:hAnsi="宋体" w:cs="仿宋"/>
                <w:color w:val="auto"/>
                <w:szCs w:val="21"/>
                <w:highlight w:val="none"/>
              </w:rPr>
              <w:t>g/L、甲醛含量≤1</w:t>
            </w:r>
            <w:r>
              <w:rPr>
                <w:rFonts w:hint="eastAsia" w:ascii="宋体" w:hAnsi="宋体" w:cs="仿宋"/>
                <w:color w:val="auto"/>
                <w:szCs w:val="21"/>
                <w:highlight w:val="none"/>
                <w:lang w:val="en-US" w:eastAsia="zh-CN"/>
              </w:rPr>
              <w:t>0</w:t>
            </w:r>
            <w:r>
              <w:rPr>
                <w:rFonts w:hint="eastAsia" w:ascii="宋体" w:hAnsi="宋体" w:cs="仿宋"/>
                <w:color w:val="auto"/>
                <w:szCs w:val="21"/>
                <w:highlight w:val="none"/>
              </w:rPr>
              <w:t>0mg/kg、总铅(Pb)含量未检出≤90mg/kg 、可溶性重金属（镉≤75mg/kg、铬≤60mg/kg、汞≤60mg/kg）、乙二醇醚及醚酯总和含量≤100mg/kg、苯系物总和含量≤100mg/kg、烷基酚聚氧乙烯醚总和含量未检出；</w:t>
            </w:r>
          </w:p>
          <w:p w14:paraId="30849A96">
            <w:pPr>
              <w:spacing w:line="360" w:lineRule="auto"/>
              <w:outlineLvl w:val="0"/>
              <w:rPr>
                <w:rFonts w:ascii="宋体" w:hAnsi="宋体" w:cs="仿宋"/>
                <w:bCs/>
                <w:color w:val="auto"/>
                <w:szCs w:val="21"/>
                <w:highlight w:val="none"/>
              </w:rPr>
            </w:pPr>
            <w:r>
              <w:rPr>
                <w:rFonts w:hint="eastAsia" w:ascii="宋体" w:hAnsi="宋体" w:cs="仿宋"/>
                <w:b/>
                <w:bCs/>
                <w:color w:val="auto"/>
                <w:szCs w:val="21"/>
                <w:highlight w:val="none"/>
              </w:rPr>
              <w:t>2.多层板：</w:t>
            </w:r>
            <w:r>
              <w:rPr>
                <w:rFonts w:hint="eastAsia" w:ascii="宋体" w:hAnsi="宋体" w:cs="仿宋"/>
                <w:color w:val="auto"/>
                <w:szCs w:val="21"/>
                <w:highlight w:val="none"/>
              </w:rPr>
              <w:t>依据</w:t>
            </w:r>
            <w:r>
              <w:rPr>
                <w:rFonts w:hint="eastAsia" w:ascii="宋体" w:hAnsi="宋体" w:cs="仿宋"/>
                <w:strike/>
                <w:dstrike w:val="0"/>
                <w:color w:val="auto"/>
                <w:szCs w:val="21"/>
                <w:highlight w:val="none"/>
              </w:rPr>
              <w:t>GB/T 35601-2017</w:t>
            </w:r>
            <w:r>
              <w:rPr>
                <w:rFonts w:hint="eastAsia" w:ascii="宋体" w:hAnsi="宋体" w:cs="仿宋"/>
                <w:color w:val="auto"/>
                <w:szCs w:val="21"/>
                <w:highlight w:val="none"/>
              </w:rPr>
              <w:t>、</w:t>
            </w:r>
            <w:bookmarkStart w:id="12" w:name="OLE_LINK2"/>
            <w:r>
              <w:rPr>
                <w:rFonts w:hint="eastAsia" w:ascii="宋体" w:hAnsi="宋体" w:cs="仿宋"/>
                <w:color w:val="auto"/>
                <w:szCs w:val="21"/>
                <w:highlight w:val="none"/>
              </w:rPr>
              <w:t>GB 18580-2017</w:t>
            </w:r>
            <w:bookmarkEnd w:id="12"/>
            <w:r>
              <w:rPr>
                <w:rFonts w:hint="eastAsia" w:ascii="宋体" w:hAnsi="宋体" w:cs="仿宋"/>
                <w:color w:val="auto"/>
                <w:szCs w:val="21"/>
                <w:highlight w:val="none"/>
              </w:rPr>
              <w:t>检测标准，检测项目包括甲醛释放量、TVOC、苯、甲苯、二甲苯，检测结果均符合标准要求。</w:t>
            </w:r>
          </w:p>
          <w:p w14:paraId="2E5E3500">
            <w:pPr>
              <w:spacing w:line="400" w:lineRule="exact"/>
              <w:jc w:val="left"/>
              <w:rPr>
                <w:rFonts w:ascii="宋体" w:hAnsi="宋体" w:cs="仿宋"/>
                <w:color w:val="auto"/>
                <w:szCs w:val="21"/>
                <w:highlight w:val="none"/>
              </w:rPr>
            </w:pPr>
            <w:r>
              <w:rPr>
                <w:rFonts w:hint="eastAsia" w:ascii="宋体" w:hAnsi="宋体" w:cs="仿宋"/>
                <w:b/>
                <w:bCs/>
                <w:color w:val="auto"/>
                <w:szCs w:val="21"/>
                <w:highlight w:val="none"/>
              </w:rPr>
              <w:t>3.PVC封边条：</w:t>
            </w:r>
            <w:r>
              <w:rPr>
                <w:rFonts w:hint="eastAsia" w:ascii="宋体" w:hAnsi="宋体" w:cs="仿宋"/>
                <w:color w:val="auto"/>
                <w:szCs w:val="21"/>
                <w:highlight w:val="none"/>
              </w:rPr>
              <w:t>依据QB/T4463-2013检测标准，耐干热性应无龟裂、无鼓泡。耐老化性应无开裂，耐冷热循环性应无龟裂、无鼓泡、无变色、无起皱</w:t>
            </w:r>
            <w:r>
              <w:rPr>
                <w:rFonts w:hint="eastAsia" w:ascii="宋体" w:hAnsi="宋体" w:cs="仿宋"/>
                <w:color w:val="auto"/>
                <w:szCs w:val="21"/>
                <w:highlight w:val="none"/>
                <w:lang w:eastAsia="zh-CN"/>
              </w:rPr>
              <w:t>。</w:t>
            </w:r>
            <w:r>
              <w:rPr>
                <w:rFonts w:hint="eastAsia" w:ascii="宋体" w:hAnsi="宋体" w:cs="仿宋"/>
                <w:color w:val="auto"/>
                <w:szCs w:val="21"/>
                <w:highlight w:val="none"/>
              </w:rPr>
              <w:t>甲醛释放量、邻苯二甲酸酯、可迁移元素：铅（Pb），镉（Cd），铬（Cr），汞（Hg），锑（Sb），钡（Ba），硒（Se），砷（As）符合要求。</w:t>
            </w:r>
          </w:p>
          <w:p w14:paraId="58A1E728">
            <w:pPr>
              <w:spacing w:line="400" w:lineRule="exact"/>
              <w:rPr>
                <w:rFonts w:hint="eastAsia" w:ascii="宋体" w:hAnsi="宋体" w:cs="仿宋_GB2312"/>
                <w:color w:val="auto"/>
                <w:szCs w:val="21"/>
                <w:highlight w:val="none"/>
              </w:rPr>
            </w:pPr>
            <w:r>
              <w:rPr>
                <w:rFonts w:hint="eastAsia" w:ascii="宋体" w:hAnsi="宋体" w:cs="仿宋"/>
                <w:b/>
                <w:bCs/>
                <w:color w:val="auto"/>
                <w:szCs w:val="21"/>
                <w:highlight w:val="none"/>
              </w:rPr>
              <w:t>4.网布：</w:t>
            </w:r>
            <w:r>
              <w:rPr>
                <w:rFonts w:ascii="宋体" w:hAnsi="宋体" w:cs="仿宋_GB2312"/>
                <w:color w:val="auto"/>
                <w:szCs w:val="21"/>
                <w:highlight w:val="none"/>
              </w:rPr>
              <w:t>依据GB 18401-2010</w:t>
            </w:r>
            <w:r>
              <w:rPr>
                <w:rFonts w:hint="eastAsia" w:ascii="宋体" w:hAnsi="宋体" w:cs="仿宋"/>
                <w:color w:val="auto"/>
                <w:szCs w:val="21"/>
                <w:highlight w:val="none"/>
              </w:rPr>
              <w:t>检测标准，</w:t>
            </w:r>
            <w:r>
              <w:rPr>
                <w:rFonts w:ascii="宋体" w:hAnsi="宋体" w:cs="仿宋_GB2312"/>
                <w:color w:val="auto"/>
                <w:szCs w:val="21"/>
                <w:highlight w:val="none"/>
              </w:rPr>
              <w:t>染色牢度-耐水色牢度、耐酸汗渍色牢度、耐碱汗渍色牢度、耐干摩擦色牢度≥3级，可分解致癌芳香胺染料未检出，无异味，甲醛含量</w:t>
            </w:r>
            <w:r>
              <w:rPr>
                <w:rFonts w:hint="eastAsia" w:ascii="宋体" w:hAnsi="宋体" w:cs="仿宋_GB2312"/>
                <w:color w:val="auto"/>
                <w:szCs w:val="21"/>
                <w:highlight w:val="none"/>
              </w:rPr>
              <w:t>≤20mg/kg；</w:t>
            </w:r>
          </w:p>
          <w:p w14:paraId="5EF93259">
            <w:pPr>
              <w:spacing w:line="400" w:lineRule="exact"/>
              <w:rPr>
                <w:rFonts w:hint="default" w:ascii="宋体" w:hAnsi="宋体" w:eastAsia="宋体" w:cs="仿宋_GB2312"/>
                <w:color w:val="auto"/>
                <w:szCs w:val="21"/>
                <w:highlight w:val="none"/>
                <w:lang w:val="en-US" w:eastAsia="zh-CN"/>
              </w:rPr>
            </w:pPr>
            <w:r>
              <w:rPr>
                <w:rFonts w:hint="eastAsia" w:ascii="宋体" w:hAnsi="宋体" w:cs="仿宋_GB2312"/>
                <w:b/>
                <w:bCs/>
                <w:color w:val="auto"/>
                <w:szCs w:val="21"/>
                <w:highlight w:val="none"/>
                <w:lang w:val="en-US" w:eastAsia="zh-CN"/>
              </w:rPr>
              <w:t>5.</w:t>
            </w:r>
            <w:r>
              <w:rPr>
                <w:rFonts w:hint="eastAsia" w:ascii="宋体" w:hAnsi="宋体" w:eastAsia="宋体" w:cs="宋体"/>
                <w:b/>
                <w:color w:val="auto"/>
                <w:szCs w:val="21"/>
                <w:highlight w:val="none"/>
                <w:lang w:val="en-US" w:eastAsia="zh-CN" w:bidi="ar"/>
              </w:rPr>
              <w:t>胶水</w:t>
            </w:r>
            <w:r>
              <w:rPr>
                <w:rFonts w:hint="eastAsia" w:ascii="宋体" w:hAnsi="宋体" w:eastAsia="宋体" w:cs="宋体"/>
                <w:b/>
                <w:color w:val="auto"/>
                <w:szCs w:val="21"/>
                <w:highlight w:val="none"/>
                <w:lang w:bidi="ar"/>
              </w:rPr>
              <w:t>：</w:t>
            </w:r>
            <w:r>
              <w:rPr>
                <w:rFonts w:hint="eastAsia" w:ascii="宋体" w:hAnsi="宋体" w:eastAsia="宋体" w:cs="宋体"/>
                <w:bCs/>
                <w:color w:val="auto"/>
                <w:szCs w:val="21"/>
                <w:highlight w:val="none"/>
                <w:lang w:val="en-US" w:eastAsia="zh-CN" w:bidi="ar"/>
              </w:rPr>
              <w:t>依据</w:t>
            </w:r>
            <w:r>
              <w:rPr>
                <w:rFonts w:hint="eastAsia" w:ascii="宋体" w:hAnsi="宋体" w:eastAsia="宋体" w:cs="宋体"/>
                <w:bCs/>
                <w:color w:val="auto"/>
                <w:szCs w:val="21"/>
                <w:highlight w:val="none"/>
                <w:lang w:bidi="ar"/>
              </w:rPr>
              <w:t>GB 18583-2008标准的检测内容需符合标准要求。检测内容包含：游离甲醛含量、苯、甲苯、二甲苯含量、总挥发性有机物。</w:t>
            </w:r>
          </w:p>
          <w:p w14:paraId="6F8C64C1">
            <w:pPr>
              <w:spacing w:line="400" w:lineRule="exact"/>
              <w:jc w:val="left"/>
              <w:rPr>
                <w:rFonts w:ascii="宋体" w:hAnsi="宋体" w:cs="仿宋"/>
                <w:b/>
                <w:bCs/>
                <w:color w:val="auto"/>
                <w:szCs w:val="21"/>
                <w:highlight w:val="none"/>
              </w:rPr>
            </w:pPr>
            <w:r>
              <w:rPr>
                <w:rFonts w:hint="eastAsia" w:ascii="宋体" w:hAnsi="宋体" w:cs="仿宋"/>
                <w:b/>
                <w:bCs/>
                <w:color w:val="auto"/>
                <w:szCs w:val="21"/>
                <w:highlight w:val="none"/>
              </w:rPr>
              <w:t>不提供、缺项、检测结果不符或检测依据不符的不得分，每项完全符合得2分，最多得</w:t>
            </w:r>
            <w:r>
              <w:rPr>
                <w:rFonts w:hint="eastAsia" w:ascii="宋体" w:hAnsi="宋体" w:cs="仿宋"/>
                <w:b/>
                <w:bCs/>
                <w:color w:val="auto"/>
                <w:szCs w:val="21"/>
                <w:highlight w:val="none"/>
                <w:lang w:val="en-US" w:eastAsia="zh-CN"/>
              </w:rPr>
              <w:t>10</w:t>
            </w:r>
            <w:r>
              <w:rPr>
                <w:rFonts w:hint="eastAsia" w:ascii="宋体" w:hAnsi="宋体" w:cs="仿宋"/>
                <w:b/>
                <w:bCs/>
                <w:color w:val="auto"/>
                <w:szCs w:val="21"/>
                <w:highlight w:val="none"/>
              </w:rPr>
              <w:t>分。</w:t>
            </w:r>
          </w:p>
          <w:p w14:paraId="51EFBDBA">
            <w:pPr>
              <w:pageBreakBefore w:val="0"/>
              <w:wordWrap/>
              <w:overflowPunct/>
              <w:topLinePunct w:val="0"/>
              <w:bidi w:val="0"/>
              <w:adjustRightInd w:val="0"/>
              <w:snapToGrid w:val="0"/>
              <w:spacing w:line="360" w:lineRule="auto"/>
              <w:jc w:val="left"/>
              <w:rPr>
                <w:rFonts w:hint="eastAsia" w:ascii="新宋体" w:hAnsi="新宋体" w:eastAsia="新宋体" w:cs="新宋体"/>
                <w:color w:val="auto"/>
                <w:highlight w:val="none"/>
              </w:rPr>
            </w:pPr>
            <w:r>
              <w:rPr>
                <w:rFonts w:hint="eastAsia" w:ascii="宋体" w:hAnsi="宋体" w:cs="仿宋"/>
                <w:b/>
                <w:bCs/>
                <w:color w:val="auto"/>
                <w:szCs w:val="21"/>
                <w:highlight w:val="none"/>
              </w:rPr>
              <w:t>以上检测报告须提供扫描件和全国认证认可信息公共服务平台官网（http://cx.cnca.cn/)查询截图（加盖投标单位公章），不提供的不计分。</w:t>
            </w:r>
          </w:p>
        </w:tc>
        <w:tc>
          <w:tcPr>
            <w:tcW w:w="775" w:type="dxa"/>
            <w:tcBorders>
              <w:top w:val="single" w:color="auto" w:sz="4" w:space="0"/>
              <w:left w:val="single" w:color="auto" w:sz="4" w:space="0"/>
              <w:bottom w:val="single" w:color="auto" w:sz="4" w:space="0"/>
              <w:right w:val="single" w:color="auto" w:sz="4" w:space="0"/>
            </w:tcBorders>
            <w:vAlign w:val="center"/>
          </w:tcPr>
          <w:p w14:paraId="3CE6BD0C">
            <w:pPr>
              <w:pageBreakBefore w:val="0"/>
              <w:wordWrap/>
              <w:overflowPunct/>
              <w:topLinePunct w:val="0"/>
              <w:bidi w:val="0"/>
              <w:adjustRightInd w:val="0"/>
              <w:snapToGrid w:val="0"/>
              <w:spacing w:line="360" w:lineRule="auto"/>
              <w:jc w:val="center"/>
              <w:rPr>
                <w:rFonts w:hint="default" w:ascii="新宋体" w:hAnsi="新宋体" w:eastAsia="新宋体" w:cs="新宋体"/>
                <w:color w:val="auto"/>
                <w:szCs w:val="21"/>
                <w:highlight w:val="none"/>
                <w:lang w:val="en-US" w:eastAsia="zh-CN"/>
              </w:rPr>
            </w:pPr>
            <w:r>
              <w:rPr>
                <w:rFonts w:hint="eastAsia" w:ascii="新宋体" w:hAnsi="新宋体" w:eastAsia="新宋体" w:cs="新宋体"/>
                <w:color w:val="auto"/>
                <w:szCs w:val="21"/>
                <w:highlight w:val="none"/>
                <w:lang w:val="en-US" w:eastAsia="zh-CN"/>
              </w:rPr>
              <w:t>10</w:t>
            </w:r>
          </w:p>
        </w:tc>
        <w:tc>
          <w:tcPr>
            <w:tcW w:w="914" w:type="dxa"/>
            <w:tcBorders>
              <w:top w:val="single" w:color="auto" w:sz="4" w:space="0"/>
              <w:left w:val="single" w:color="auto" w:sz="4" w:space="0"/>
              <w:bottom w:val="single" w:color="auto" w:sz="4" w:space="0"/>
              <w:right w:val="single" w:color="auto" w:sz="4" w:space="0"/>
            </w:tcBorders>
            <w:vAlign w:val="center"/>
          </w:tcPr>
          <w:p w14:paraId="230AA972">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客观分</w:t>
            </w:r>
          </w:p>
        </w:tc>
        <w:tc>
          <w:tcPr>
            <w:tcW w:w="1228" w:type="dxa"/>
            <w:tcBorders>
              <w:top w:val="single" w:color="auto" w:sz="4" w:space="0"/>
              <w:left w:val="single" w:color="auto" w:sz="4" w:space="0"/>
              <w:bottom w:val="single" w:color="auto" w:sz="4" w:space="0"/>
              <w:right w:val="single" w:color="auto" w:sz="4" w:space="0"/>
            </w:tcBorders>
            <w:vAlign w:val="center"/>
          </w:tcPr>
          <w:p w14:paraId="0977C125">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原材料检测报告</w:t>
            </w:r>
          </w:p>
        </w:tc>
      </w:tr>
      <w:tr w14:paraId="562D1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8" w:type="dxa"/>
            <w:tcBorders>
              <w:top w:val="single" w:color="auto" w:sz="4" w:space="0"/>
              <w:left w:val="single" w:color="auto" w:sz="4" w:space="0"/>
              <w:bottom w:val="single" w:color="auto" w:sz="4" w:space="0"/>
              <w:right w:val="single" w:color="auto" w:sz="4" w:space="0"/>
            </w:tcBorders>
            <w:vAlign w:val="center"/>
          </w:tcPr>
          <w:p w14:paraId="0471B243">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4</w:t>
            </w:r>
          </w:p>
        </w:tc>
        <w:tc>
          <w:tcPr>
            <w:tcW w:w="6175" w:type="dxa"/>
            <w:tcBorders>
              <w:top w:val="single" w:color="auto" w:sz="4" w:space="0"/>
              <w:left w:val="single" w:color="auto" w:sz="4" w:space="0"/>
              <w:bottom w:val="single" w:color="auto" w:sz="4" w:space="0"/>
              <w:right w:val="single" w:color="auto" w:sz="4" w:space="0"/>
            </w:tcBorders>
            <w:vAlign w:val="top"/>
          </w:tcPr>
          <w:p w14:paraId="27C49C87">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完全响应招标文件采购需求的得</w:t>
            </w:r>
            <w:r>
              <w:rPr>
                <w:rFonts w:hint="eastAsia" w:ascii="新宋体" w:hAnsi="新宋体" w:eastAsia="新宋体" w:cs="新宋体"/>
                <w:color w:val="auto"/>
                <w:szCs w:val="21"/>
                <w:highlight w:val="none"/>
                <w:lang w:val="en-US" w:eastAsia="zh-CN"/>
              </w:rPr>
              <w:t>6</w:t>
            </w:r>
            <w:r>
              <w:rPr>
                <w:rFonts w:hint="eastAsia" w:ascii="新宋体" w:hAnsi="新宋体" w:eastAsia="新宋体" w:cs="新宋体"/>
                <w:color w:val="auto"/>
                <w:szCs w:val="21"/>
                <w:highlight w:val="none"/>
              </w:rPr>
              <w:t>分，标●有一项不满足（或未响应）扣1分，其他有一项不符合扣0.5分，扣完为止。（</w:t>
            </w:r>
            <w:r>
              <w:rPr>
                <w:rFonts w:hint="eastAsia" w:ascii="新宋体" w:hAnsi="新宋体" w:eastAsia="新宋体" w:cs="新宋体"/>
                <w:b/>
                <w:bCs/>
                <w:color w:val="auto"/>
                <w:szCs w:val="21"/>
                <w:highlight w:val="none"/>
              </w:rPr>
              <w:t>样品评分涉及技术参数除外）</w:t>
            </w:r>
          </w:p>
        </w:tc>
        <w:tc>
          <w:tcPr>
            <w:tcW w:w="775" w:type="dxa"/>
            <w:tcBorders>
              <w:top w:val="single" w:color="auto" w:sz="4" w:space="0"/>
              <w:left w:val="single" w:color="auto" w:sz="4" w:space="0"/>
              <w:bottom w:val="single" w:color="auto" w:sz="4" w:space="0"/>
              <w:right w:val="single" w:color="auto" w:sz="4" w:space="0"/>
            </w:tcBorders>
            <w:vAlign w:val="center"/>
          </w:tcPr>
          <w:p w14:paraId="1BE5A734">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lang w:eastAsia="zh-CN"/>
              </w:rPr>
            </w:pPr>
            <w:r>
              <w:rPr>
                <w:rFonts w:hint="eastAsia" w:ascii="新宋体" w:hAnsi="新宋体" w:eastAsia="新宋体" w:cs="新宋体"/>
                <w:color w:val="auto"/>
                <w:szCs w:val="21"/>
                <w:highlight w:val="none"/>
                <w:lang w:val="en-US" w:eastAsia="zh-CN"/>
              </w:rPr>
              <w:t>6</w:t>
            </w:r>
          </w:p>
        </w:tc>
        <w:tc>
          <w:tcPr>
            <w:tcW w:w="914" w:type="dxa"/>
            <w:tcBorders>
              <w:top w:val="single" w:color="auto" w:sz="4" w:space="0"/>
              <w:left w:val="single" w:color="auto" w:sz="4" w:space="0"/>
              <w:bottom w:val="single" w:color="auto" w:sz="4" w:space="0"/>
              <w:right w:val="single" w:color="auto" w:sz="4" w:space="0"/>
            </w:tcBorders>
            <w:vAlign w:val="center"/>
          </w:tcPr>
          <w:p w14:paraId="4577F8C2">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客观分</w:t>
            </w:r>
          </w:p>
        </w:tc>
        <w:tc>
          <w:tcPr>
            <w:tcW w:w="1228" w:type="dxa"/>
            <w:tcBorders>
              <w:top w:val="single" w:color="auto" w:sz="4" w:space="0"/>
              <w:left w:val="single" w:color="auto" w:sz="4" w:space="0"/>
              <w:bottom w:val="single" w:color="auto" w:sz="4" w:space="0"/>
              <w:right w:val="single" w:color="auto" w:sz="4" w:space="0"/>
            </w:tcBorders>
            <w:vAlign w:val="center"/>
          </w:tcPr>
          <w:p w14:paraId="63DC4200">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技术偏离</w:t>
            </w:r>
          </w:p>
        </w:tc>
      </w:tr>
      <w:tr w14:paraId="0C283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68" w:type="dxa"/>
            <w:tcBorders>
              <w:top w:val="single" w:color="auto" w:sz="4" w:space="0"/>
              <w:left w:val="single" w:color="auto" w:sz="4" w:space="0"/>
              <w:bottom w:val="single" w:color="auto" w:sz="4" w:space="0"/>
              <w:right w:val="single" w:color="auto" w:sz="4" w:space="0"/>
            </w:tcBorders>
            <w:vAlign w:val="center"/>
          </w:tcPr>
          <w:p w14:paraId="261005F8">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5</w:t>
            </w:r>
          </w:p>
        </w:tc>
        <w:tc>
          <w:tcPr>
            <w:tcW w:w="6175" w:type="dxa"/>
            <w:tcBorders>
              <w:top w:val="single" w:color="auto" w:sz="4" w:space="0"/>
              <w:left w:val="single" w:color="auto" w:sz="4" w:space="0"/>
              <w:bottom w:val="single" w:color="auto" w:sz="4" w:space="0"/>
              <w:right w:val="single" w:color="auto" w:sz="4" w:space="0"/>
            </w:tcBorders>
            <w:vAlign w:val="center"/>
          </w:tcPr>
          <w:p w14:paraId="6FB20333">
            <w:pPr>
              <w:pageBreakBefore w:val="0"/>
              <w:widowControl/>
              <w:wordWrap/>
              <w:overflowPunct/>
              <w:topLinePunct w:val="0"/>
              <w:bidi w:val="0"/>
              <w:adjustRightInd w:val="0"/>
              <w:snapToGrid w:val="0"/>
              <w:spacing w:line="360" w:lineRule="auto"/>
              <w:jc w:val="left"/>
              <w:textAlignment w:val="center"/>
              <w:rPr>
                <w:rFonts w:hint="eastAsia" w:ascii="新宋体" w:hAnsi="新宋体" w:eastAsia="新宋体" w:cs="新宋体"/>
                <w:color w:val="auto"/>
                <w:spacing w:val="11"/>
                <w:kern w:val="0"/>
                <w:szCs w:val="21"/>
                <w:highlight w:val="none"/>
              </w:rPr>
            </w:pPr>
            <w:r>
              <w:rPr>
                <w:rFonts w:hint="eastAsia" w:ascii="新宋体" w:hAnsi="新宋体" w:eastAsia="新宋体" w:cs="新宋体"/>
                <w:b/>
                <w:bCs/>
                <w:color w:val="auto"/>
                <w:spacing w:val="11"/>
                <w:kern w:val="0"/>
                <w:szCs w:val="21"/>
                <w:highlight w:val="none"/>
                <w:lang w:val="en-US" w:eastAsia="zh-CN"/>
              </w:rPr>
              <w:t>制造商</w:t>
            </w:r>
            <w:r>
              <w:rPr>
                <w:rFonts w:hint="eastAsia" w:ascii="新宋体" w:hAnsi="新宋体" w:eastAsia="新宋体" w:cs="新宋体"/>
                <w:b/>
                <w:bCs/>
                <w:color w:val="auto"/>
                <w:spacing w:val="11"/>
                <w:kern w:val="0"/>
                <w:szCs w:val="21"/>
                <w:highlight w:val="none"/>
              </w:rPr>
              <w:t>具有的较为先进和能保证制造产品品质所需要的生产设备：</w:t>
            </w:r>
            <w:r>
              <w:rPr>
                <w:rFonts w:hint="eastAsia" w:ascii="新宋体" w:hAnsi="新宋体" w:eastAsia="新宋体" w:cs="新宋体"/>
                <w:color w:val="auto"/>
                <w:spacing w:val="11"/>
                <w:kern w:val="0"/>
                <w:szCs w:val="21"/>
                <w:highlight w:val="none"/>
              </w:rPr>
              <w:t>电子开料锯，木工镂铣床(立式镂铣机)，双端开榫机(卧式双端榫槽机)，数控榫槽机(数控开榫机)，计算机数控多功能加工中心(加工中心)，UV 漆喷涂生产线(包括输送机，流平干燥机)，封边机，数控裁板锯，热压机，数控钻孔中心(智能木工钻铣加工中心)，多排钻，冷压机，拼板机，砂光机，（设备名称允许不同，但设备使用功能需一致）</w:t>
            </w:r>
          </w:p>
          <w:p w14:paraId="597E95AA">
            <w:pPr>
              <w:pageBreakBefore w:val="0"/>
              <w:widowControl/>
              <w:wordWrap/>
              <w:overflowPunct/>
              <w:topLinePunct w:val="0"/>
              <w:bidi w:val="0"/>
              <w:adjustRightInd w:val="0"/>
              <w:snapToGrid w:val="0"/>
              <w:spacing w:line="360" w:lineRule="auto"/>
              <w:jc w:val="left"/>
              <w:textAlignment w:val="center"/>
              <w:rPr>
                <w:rFonts w:hint="eastAsia" w:ascii="新宋体" w:hAnsi="新宋体" w:eastAsia="新宋体" w:cs="新宋体"/>
                <w:color w:val="auto"/>
                <w:spacing w:val="11"/>
                <w:kern w:val="0"/>
                <w:szCs w:val="21"/>
                <w:highlight w:val="none"/>
              </w:rPr>
            </w:pPr>
            <w:r>
              <w:rPr>
                <w:rFonts w:hint="eastAsia" w:ascii="新宋体" w:hAnsi="新宋体" w:eastAsia="新宋体" w:cs="新宋体"/>
                <w:color w:val="auto"/>
                <w:spacing w:val="11"/>
                <w:kern w:val="0"/>
                <w:szCs w:val="21"/>
                <w:highlight w:val="none"/>
              </w:rPr>
              <w:t>以上生产设备每项设备得0.5分，最高得7分。</w:t>
            </w:r>
          </w:p>
          <w:p w14:paraId="41FDE5F2">
            <w:pPr>
              <w:pageBreakBefore w:val="0"/>
              <w:widowControl/>
              <w:wordWrap/>
              <w:overflowPunct/>
              <w:topLinePunct w:val="0"/>
              <w:bidi w:val="0"/>
              <w:adjustRightInd w:val="0"/>
              <w:snapToGrid w:val="0"/>
              <w:spacing w:line="360" w:lineRule="auto"/>
              <w:jc w:val="left"/>
              <w:textAlignment w:val="center"/>
              <w:rPr>
                <w:rFonts w:hint="eastAsia" w:ascii="新宋体" w:hAnsi="新宋体" w:eastAsia="新宋体" w:cs="新宋体"/>
                <w:color w:val="auto"/>
                <w:szCs w:val="21"/>
                <w:highlight w:val="none"/>
                <w:lang w:eastAsia="zh-CN"/>
              </w:rPr>
            </w:pPr>
            <w:r>
              <w:rPr>
                <w:rFonts w:hint="eastAsia" w:ascii="新宋体" w:hAnsi="新宋体" w:eastAsia="新宋体" w:cs="新宋体"/>
                <w:b/>
                <w:bCs/>
                <w:color w:val="auto"/>
                <w:spacing w:val="11"/>
                <w:kern w:val="0"/>
                <w:szCs w:val="21"/>
                <w:highlight w:val="none"/>
              </w:rPr>
              <w:t>为确保设备已经在投入使用，需提供有效证明材料：提供设备照片及购置发票扫描件（或者租赁协议及发票），材料不提供或不完整视为缺少该项设备</w:t>
            </w:r>
            <w:r>
              <w:rPr>
                <w:rFonts w:hint="eastAsia" w:ascii="新宋体" w:hAnsi="新宋体" w:eastAsia="新宋体" w:cs="新宋体"/>
                <w:b/>
                <w:bCs/>
                <w:color w:val="auto"/>
                <w:spacing w:val="11"/>
                <w:kern w:val="0"/>
                <w:szCs w:val="21"/>
                <w:highlight w:val="none"/>
                <w:lang w:eastAsia="zh-CN"/>
              </w:rPr>
              <w:t>。</w:t>
            </w:r>
          </w:p>
        </w:tc>
        <w:tc>
          <w:tcPr>
            <w:tcW w:w="775" w:type="dxa"/>
            <w:tcBorders>
              <w:top w:val="single" w:color="auto" w:sz="4" w:space="0"/>
              <w:left w:val="single" w:color="auto" w:sz="4" w:space="0"/>
              <w:bottom w:val="single" w:color="auto" w:sz="4" w:space="0"/>
              <w:right w:val="single" w:color="auto" w:sz="4" w:space="0"/>
            </w:tcBorders>
            <w:vAlign w:val="center"/>
          </w:tcPr>
          <w:p w14:paraId="09C2C66B">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7</w:t>
            </w:r>
          </w:p>
        </w:tc>
        <w:tc>
          <w:tcPr>
            <w:tcW w:w="914" w:type="dxa"/>
            <w:tcBorders>
              <w:top w:val="single" w:color="auto" w:sz="4" w:space="0"/>
              <w:left w:val="single" w:color="auto" w:sz="4" w:space="0"/>
              <w:bottom w:val="single" w:color="auto" w:sz="4" w:space="0"/>
              <w:right w:val="single" w:color="auto" w:sz="4" w:space="0"/>
            </w:tcBorders>
            <w:vAlign w:val="center"/>
          </w:tcPr>
          <w:p w14:paraId="4066E369">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客观分</w:t>
            </w:r>
          </w:p>
        </w:tc>
        <w:tc>
          <w:tcPr>
            <w:tcW w:w="1228" w:type="dxa"/>
            <w:tcBorders>
              <w:top w:val="single" w:color="auto" w:sz="4" w:space="0"/>
              <w:left w:val="single" w:color="auto" w:sz="4" w:space="0"/>
              <w:bottom w:val="single" w:color="auto" w:sz="4" w:space="0"/>
              <w:right w:val="single" w:color="auto" w:sz="4" w:space="0"/>
            </w:tcBorders>
            <w:vAlign w:val="center"/>
          </w:tcPr>
          <w:p w14:paraId="0BA76DC7">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核心专业生产设备</w:t>
            </w:r>
          </w:p>
        </w:tc>
      </w:tr>
      <w:tr w14:paraId="3A5A2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2" w:hRule="atLeast"/>
        </w:trPr>
        <w:tc>
          <w:tcPr>
            <w:tcW w:w="668" w:type="dxa"/>
            <w:tcBorders>
              <w:top w:val="single" w:color="auto" w:sz="4" w:space="0"/>
              <w:left w:val="single" w:color="auto" w:sz="4" w:space="0"/>
              <w:bottom w:val="single" w:color="auto" w:sz="4" w:space="0"/>
              <w:right w:val="single" w:color="auto" w:sz="4" w:space="0"/>
            </w:tcBorders>
            <w:vAlign w:val="center"/>
          </w:tcPr>
          <w:p w14:paraId="4A405361">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6</w:t>
            </w:r>
          </w:p>
        </w:tc>
        <w:tc>
          <w:tcPr>
            <w:tcW w:w="6175" w:type="dxa"/>
            <w:tcBorders>
              <w:top w:val="single" w:color="auto" w:sz="4" w:space="0"/>
              <w:left w:val="single" w:color="auto" w:sz="4" w:space="0"/>
              <w:bottom w:val="single" w:color="auto" w:sz="4" w:space="0"/>
              <w:right w:val="single" w:color="auto" w:sz="4" w:space="0"/>
            </w:tcBorders>
            <w:vAlign w:val="top"/>
          </w:tcPr>
          <w:p w14:paraId="1F80560B">
            <w:pPr>
              <w:snapToGrid w:val="0"/>
              <w:spacing w:line="360" w:lineRule="auto"/>
              <w:jc w:val="left"/>
              <w:rPr>
                <w:rFonts w:ascii="宋体" w:hAnsi="宋体" w:cs="仿宋"/>
                <w:color w:val="auto"/>
                <w:szCs w:val="21"/>
                <w:highlight w:val="none"/>
              </w:rPr>
            </w:pPr>
            <w:r>
              <w:rPr>
                <w:rFonts w:hint="eastAsia" w:ascii="宋体" w:hAnsi="宋体" w:cs="仿宋"/>
                <w:color w:val="auto"/>
                <w:szCs w:val="21"/>
                <w:highlight w:val="none"/>
              </w:rPr>
              <w:t>1.投标人需要提供合理的项目整体实施方案，能按照项目分解节点并可跟踪实施，根据内容完整度以及与采购需求的符合程度评分，内容完整详细、针对性强、完全符合采购需求的得2分，内容全面、但针对性一般、符合采购需求的得1分，内容欠缺、无针对性、基本满足采购需求的得0.5分，内容混乱，不满足采购需求的不得分；</w:t>
            </w:r>
          </w:p>
          <w:p w14:paraId="4D513732">
            <w:pPr>
              <w:snapToGrid w:val="0"/>
              <w:spacing w:line="360" w:lineRule="auto"/>
              <w:jc w:val="left"/>
              <w:rPr>
                <w:rFonts w:ascii="宋体" w:hAnsi="宋体" w:cs="仿宋"/>
                <w:color w:val="auto"/>
                <w:szCs w:val="21"/>
                <w:highlight w:val="none"/>
              </w:rPr>
            </w:pPr>
            <w:r>
              <w:rPr>
                <w:rFonts w:hint="eastAsia" w:ascii="宋体" w:hAnsi="宋体" w:cs="仿宋"/>
                <w:color w:val="auto"/>
                <w:szCs w:val="21"/>
                <w:highlight w:val="none"/>
              </w:rPr>
              <w:t>2.投标人需要提供生产实施方案，包括原材料采购、加工制作等各个环节的实施方案，在规定的时间内有计划的完成项目需求产品的生产和装配，根据内容完整度以及与采购需求的符合程度评分，内容完整详细、针对性强、完全符合采购需求的得2分，内容全面、但针对性一般、符合采购需求的得1分，内容欠缺、无针对性、基本满足采购需求的得0.5分，内容混乱，不满足采购需求的不得分；</w:t>
            </w:r>
          </w:p>
          <w:p w14:paraId="2371BA63">
            <w:pPr>
              <w:snapToGrid w:val="0"/>
              <w:spacing w:line="360" w:lineRule="auto"/>
              <w:jc w:val="left"/>
              <w:rPr>
                <w:rFonts w:ascii="宋体" w:hAnsi="宋体" w:cs="仿宋"/>
                <w:color w:val="auto"/>
                <w:szCs w:val="21"/>
                <w:highlight w:val="none"/>
              </w:rPr>
            </w:pPr>
            <w:r>
              <w:rPr>
                <w:rFonts w:hint="eastAsia" w:ascii="宋体" w:hAnsi="宋体" w:cs="仿宋"/>
                <w:color w:val="auto"/>
                <w:szCs w:val="21"/>
                <w:highlight w:val="none"/>
              </w:rPr>
              <w:t>3.投标人需要提供品控管理方案，对产品品质有管理管控过程，有独立品管部门和专门品管人员，确保产品生产过程中的质量控制完善，根据内容完整度以及与采购需求的符合程度评分，内容完整详细、针对性强、完全符合采购需求的得2分，内容全面、但针对性一般、符合采购需求的得1分，内容欠缺、无针对性、基本满足采购需求的得0.5分，内容混乱，不满足采购需求的不得分；</w:t>
            </w:r>
          </w:p>
          <w:p w14:paraId="7B6ACAC2">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lang w:val="en-US" w:eastAsia="zh-CN"/>
              </w:rPr>
            </w:pPr>
            <w:r>
              <w:rPr>
                <w:rFonts w:hint="eastAsia" w:ascii="宋体" w:hAnsi="宋体" w:cs="仿宋"/>
                <w:color w:val="auto"/>
                <w:szCs w:val="21"/>
                <w:highlight w:val="none"/>
              </w:rPr>
              <w:t>4.投标人需要提供安装服务实施方案，根据货物交付时间节点，落实送货安装时间和人员安排，确保按期交付使用，根据内容完整度以及与采购需求的符合程度评分，内容完整详细、针对性强、完全符合采购需求的得2分，内容全面、但针对性一般、符合采购需求的得1分，内容欠缺、无针对性、基本满足采购需求的得0.5分，内容混乱，不满足采购需求的不得分；</w:t>
            </w:r>
          </w:p>
        </w:tc>
        <w:tc>
          <w:tcPr>
            <w:tcW w:w="775" w:type="dxa"/>
            <w:tcBorders>
              <w:top w:val="single" w:color="auto" w:sz="4" w:space="0"/>
              <w:left w:val="single" w:color="auto" w:sz="4" w:space="0"/>
              <w:bottom w:val="single" w:color="auto" w:sz="4" w:space="0"/>
              <w:right w:val="single" w:color="auto" w:sz="4" w:space="0"/>
            </w:tcBorders>
            <w:vAlign w:val="center"/>
          </w:tcPr>
          <w:p w14:paraId="0B86E98B">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lang w:val="en-US" w:eastAsia="zh-CN"/>
              </w:rPr>
            </w:pPr>
            <w:r>
              <w:rPr>
                <w:rFonts w:hint="eastAsia" w:ascii="新宋体" w:hAnsi="新宋体" w:eastAsia="新宋体" w:cs="新宋体"/>
                <w:color w:val="auto"/>
                <w:szCs w:val="21"/>
                <w:highlight w:val="none"/>
                <w:lang w:val="en-US" w:eastAsia="zh-CN"/>
              </w:rPr>
              <w:t>8</w:t>
            </w:r>
          </w:p>
        </w:tc>
        <w:tc>
          <w:tcPr>
            <w:tcW w:w="914" w:type="dxa"/>
            <w:tcBorders>
              <w:top w:val="single" w:color="auto" w:sz="4" w:space="0"/>
              <w:left w:val="single" w:color="auto" w:sz="4" w:space="0"/>
              <w:bottom w:val="single" w:color="auto" w:sz="4" w:space="0"/>
              <w:right w:val="single" w:color="auto" w:sz="4" w:space="0"/>
            </w:tcBorders>
            <w:vAlign w:val="center"/>
          </w:tcPr>
          <w:p w14:paraId="004BC372">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主观分</w:t>
            </w:r>
          </w:p>
        </w:tc>
        <w:tc>
          <w:tcPr>
            <w:tcW w:w="1228" w:type="dxa"/>
            <w:tcBorders>
              <w:top w:val="single" w:color="auto" w:sz="4" w:space="0"/>
              <w:left w:val="single" w:color="auto" w:sz="4" w:space="0"/>
              <w:bottom w:val="single" w:color="auto" w:sz="4" w:space="0"/>
              <w:right w:val="single" w:color="auto" w:sz="4" w:space="0"/>
            </w:tcBorders>
            <w:vAlign w:val="center"/>
          </w:tcPr>
          <w:p w14:paraId="7C54AF42">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方案</w:t>
            </w:r>
          </w:p>
        </w:tc>
      </w:tr>
      <w:tr w14:paraId="1C837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668" w:type="dxa"/>
            <w:tcBorders>
              <w:top w:val="single" w:color="auto" w:sz="4" w:space="0"/>
              <w:left w:val="single" w:color="auto" w:sz="4" w:space="0"/>
              <w:bottom w:val="single" w:color="auto" w:sz="4" w:space="0"/>
              <w:right w:val="single" w:color="auto" w:sz="4" w:space="0"/>
            </w:tcBorders>
            <w:vAlign w:val="center"/>
          </w:tcPr>
          <w:p w14:paraId="20A46282">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7</w:t>
            </w:r>
          </w:p>
        </w:tc>
        <w:tc>
          <w:tcPr>
            <w:tcW w:w="6175" w:type="dxa"/>
            <w:tcBorders>
              <w:top w:val="single" w:color="auto" w:sz="4" w:space="0"/>
              <w:left w:val="single" w:color="auto" w:sz="4" w:space="0"/>
              <w:bottom w:val="single" w:color="auto" w:sz="4" w:space="0"/>
              <w:right w:val="single" w:color="auto" w:sz="4" w:space="0"/>
            </w:tcBorders>
            <w:vAlign w:val="top"/>
          </w:tcPr>
          <w:p w14:paraId="015DCAF7">
            <w:pPr>
              <w:pageBreakBefore w:val="0"/>
              <w:widowControl/>
              <w:tabs>
                <w:tab w:val="left" w:pos="425"/>
              </w:tabs>
              <w:kinsoku w:val="0"/>
              <w:wordWrap/>
              <w:overflowPunct/>
              <w:topLinePunct w:val="0"/>
              <w:autoSpaceDE w:val="0"/>
              <w:autoSpaceDN w:val="0"/>
              <w:bidi w:val="0"/>
              <w:adjustRightInd w:val="0"/>
              <w:snapToGrid w:val="0"/>
              <w:spacing w:before="22" w:line="360" w:lineRule="auto"/>
              <w:textAlignment w:val="baseline"/>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质保期：在满足招标文件质保期5年要求的基础上，每增加1年加</w:t>
            </w:r>
            <w:r>
              <w:rPr>
                <w:rFonts w:hint="eastAsia" w:ascii="新宋体" w:hAnsi="新宋体" w:eastAsia="新宋体" w:cs="新宋体"/>
                <w:color w:val="auto"/>
                <w:szCs w:val="21"/>
                <w:highlight w:val="none"/>
                <w:lang w:val="en-US" w:eastAsia="zh-CN"/>
              </w:rPr>
              <w:t>1</w:t>
            </w:r>
            <w:r>
              <w:rPr>
                <w:rFonts w:hint="eastAsia" w:ascii="新宋体" w:hAnsi="新宋体" w:eastAsia="新宋体" w:cs="新宋体"/>
                <w:color w:val="auto"/>
                <w:szCs w:val="21"/>
                <w:highlight w:val="none"/>
              </w:rPr>
              <w:t>分，最多得</w:t>
            </w:r>
            <w:r>
              <w:rPr>
                <w:rFonts w:hint="eastAsia" w:ascii="新宋体" w:hAnsi="新宋体" w:eastAsia="新宋体" w:cs="新宋体"/>
                <w:color w:val="auto"/>
                <w:szCs w:val="21"/>
                <w:highlight w:val="none"/>
                <w:lang w:val="en-US" w:eastAsia="zh-CN"/>
              </w:rPr>
              <w:t>3</w:t>
            </w:r>
            <w:r>
              <w:rPr>
                <w:rFonts w:hint="eastAsia" w:ascii="新宋体" w:hAnsi="新宋体" w:eastAsia="新宋体" w:cs="新宋体"/>
                <w:color w:val="auto"/>
                <w:szCs w:val="21"/>
                <w:highlight w:val="none"/>
              </w:rPr>
              <w:t>分。</w:t>
            </w:r>
          </w:p>
        </w:tc>
        <w:tc>
          <w:tcPr>
            <w:tcW w:w="775" w:type="dxa"/>
            <w:tcBorders>
              <w:top w:val="single" w:color="auto" w:sz="4" w:space="0"/>
              <w:left w:val="single" w:color="auto" w:sz="4" w:space="0"/>
              <w:bottom w:val="single" w:color="auto" w:sz="4" w:space="0"/>
              <w:right w:val="single" w:color="auto" w:sz="4" w:space="0"/>
            </w:tcBorders>
            <w:vAlign w:val="center"/>
          </w:tcPr>
          <w:p w14:paraId="50D85D81">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lang w:val="en-US" w:eastAsia="zh-CN"/>
              </w:rPr>
              <w:t>3</w:t>
            </w:r>
          </w:p>
        </w:tc>
        <w:tc>
          <w:tcPr>
            <w:tcW w:w="914" w:type="dxa"/>
            <w:tcBorders>
              <w:top w:val="single" w:color="auto" w:sz="4" w:space="0"/>
              <w:left w:val="single" w:color="auto" w:sz="4" w:space="0"/>
              <w:bottom w:val="single" w:color="auto" w:sz="4" w:space="0"/>
              <w:right w:val="single" w:color="auto" w:sz="4" w:space="0"/>
            </w:tcBorders>
            <w:vAlign w:val="center"/>
          </w:tcPr>
          <w:p w14:paraId="0EF8F7D7">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客观分</w:t>
            </w:r>
          </w:p>
        </w:tc>
        <w:tc>
          <w:tcPr>
            <w:tcW w:w="1228" w:type="dxa"/>
            <w:vMerge w:val="restart"/>
            <w:tcBorders>
              <w:top w:val="single" w:color="auto" w:sz="4" w:space="0"/>
              <w:left w:val="single" w:color="auto" w:sz="4" w:space="0"/>
              <w:bottom w:val="single" w:color="auto" w:sz="4" w:space="0"/>
              <w:right w:val="single" w:color="auto" w:sz="4" w:space="0"/>
            </w:tcBorders>
            <w:vAlign w:val="center"/>
          </w:tcPr>
          <w:p w14:paraId="3F525715">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售后服务</w:t>
            </w:r>
          </w:p>
        </w:tc>
      </w:tr>
      <w:tr w14:paraId="1FC59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668" w:type="dxa"/>
            <w:tcBorders>
              <w:top w:val="single" w:color="auto" w:sz="4" w:space="0"/>
              <w:left w:val="single" w:color="auto" w:sz="4" w:space="0"/>
              <w:bottom w:val="single" w:color="auto" w:sz="4" w:space="0"/>
              <w:right w:val="single" w:color="auto" w:sz="4" w:space="0"/>
            </w:tcBorders>
            <w:vAlign w:val="center"/>
          </w:tcPr>
          <w:p w14:paraId="042DCA18">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8</w:t>
            </w:r>
          </w:p>
        </w:tc>
        <w:tc>
          <w:tcPr>
            <w:tcW w:w="6175" w:type="dxa"/>
            <w:tcBorders>
              <w:top w:val="single" w:color="auto" w:sz="4" w:space="0"/>
              <w:left w:val="single" w:color="auto" w:sz="4" w:space="0"/>
              <w:bottom w:val="single" w:color="auto" w:sz="4" w:space="0"/>
              <w:right w:val="single" w:color="auto" w:sz="4" w:space="0"/>
            </w:tcBorders>
            <w:vAlign w:val="top"/>
          </w:tcPr>
          <w:p w14:paraId="228009E6">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供应商应承诺在质保期内，每年寒暑假由专业人员到校进行巡查维修，对家具出现破损的地方进行修复。提供承诺函，格式自拟。</w:t>
            </w:r>
          </w:p>
        </w:tc>
        <w:tc>
          <w:tcPr>
            <w:tcW w:w="775" w:type="dxa"/>
            <w:tcBorders>
              <w:top w:val="single" w:color="auto" w:sz="4" w:space="0"/>
              <w:left w:val="single" w:color="auto" w:sz="4" w:space="0"/>
              <w:bottom w:val="single" w:color="auto" w:sz="4" w:space="0"/>
              <w:right w:val="single" w:color="auto" w:sz="4" w:space="0"/>
            </w:tcBorders>
            <w:vAlign w:val="center"/>
          </w:tcPr>
          <w:p w14:paraId="465D2E42">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1</w:t>
            </w:r>
          </w:p>
        </w:tc>
        <w:tc>
          <w:tcPr>
            <w:tcW w:w="914" w:type="dxa"/>
            <w:tcBorders>
              <w:top w:val="single" w:color="auto" w:sz="4" w:space="0"/>
              <w:left w:val="single" w:color="auto" w:sz="4" w:space="0"/>
              <w:bottom w:val="single" w:color="auto" w:sz="4" w:space="0"/>
              <w:right w:val="single" w:color="auto" w:sz="4" w:space="0"/>
            </w:tcBorders>
            <w:vAlign w:val="center"/>
          </w:tcPr>
          <w:p w14:paraId="446D6269">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客观分</w:t>
            </w:r>
          </w:p>
        </w:tc>
        <w:tc>
          <w:tcPr>
            <w:tcW w:w="1228" w:type="dxa"/>
            <w:vMerge w:val="continue"/>
            <w:tcBorders>
              <w:left w:val="single" w:color="auto" w:sz="4" w:space="0"/>
              <w:right w:val="single" w:color="auto" w:sz="4" w:space="0"/>
            </w:tcBorders>
            <w:vAlign w:val="center"/>
          </w:tcPr>
          <w:p w14:paraId="5DD3DA06">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p>
        </w:tc>
      </w:tr>
      <w:tr w14:paraId="5E499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668" w:type="dxa"/>
            <w:tcBorders>
              <w:top w:val="single" w:color="auto" w:sz="4" w:space="0"/>
              <w:left w:val="single" w:color="auto" w:sz="4" w:space="0"/>
              <w:bottom w:val="single" w:color="auto" w:sz="4" w:space="0"/>
              <w:right w:val="single" w:color="auto" w:sz="4" w:space="0"/>
            </w:tcBorders>
            <w:vAlign w:val="center"/>
          </w:tcPr>
          <w:p w14:paraId="649BB381">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9</w:t>
            </w:r>
          </w:p>
        </w:tc>
        <w:tc>
          <w:tcPr>
            <w:tcW w:w="6175" w:type="dxa"/>
            <w:tcBorders>
              <w:top w:val="single" w:color="auto" w:sz="4" w:space="0"/>
              <w:left w:val="single" w:color="auto" w:sz="4" w:space="0"/>
              <w:bottom w:val="single" w:color="auto" w:sz="4" w:space="0"/>
              <w:right w:val="single" w:color="auto" w:sz="4" w:space="0"/>
            </w:tcBorders>
            <w:vAlign w:val="top"/>
          </w:tcPr>
          <w:p w14:paraId="01675FBF">
            <w:pPr>
              <w:pageBreakBefore w:val="0"/>
              <w:widowControl/>
              <w:tabs>
                <w:tab w:val="left" w:pos="425"/>
              </w:tabs>
              <w:kinsoku w:val="0"/>
              <w:wordWrap/>
              <w:overflowPunct/>
              <w:topLinePunct w:val="0"/>
              <w:autoSpaceDE w:val="0"/>
              <w:autoSpaceDN w:val="0"/>
              <w:bidi w:val="0"/>
              <w:adjustRightInd w:val="0"/>
              <w:snapToGrid w:val="0"/>
              <w:spacing w:before="22" w:line="360" w:lineRule="auto"/>
              <w:textAlignment w:val="baseline"/>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lang w:bidi="zh-CN"/>
              </w:rPr>
              <w:t>投标人提供详细完整的“三包”措施及售后服务措施和方案（包括服务措施、产品质量保证、回访、技术培训等），根据投标人提供的方案能否满足采购需求判定评分，内容完整、措施有效为符合，完全符合得2分，部分符合得1分，不符合得0分。</w:t>
            </w:r>
          </w:p>
        </w:tc>
        <w:tc>
          <w:tcPr>
            <w:tcW w:w="775" w:type="dxa"/>
            <w:tcBorders>
              <w:top w:val="single" w:color="auto" w:sz="4" w:space="0"/>
              <w:left w:val="single" w:color="auto" w:sz="4" w:space="0"/>
              <w:bottom w:val="single" w:color="auto" w:sz="4" w:space="0"/>
              <w:right w:val="single" w:color="auto" w:sz="4" w:space="0"/>
            </w:tcBorders>
            <w:vAlign w:val="center"/>
          </w:tcPr>
          <w:p w14:paraId="51952314">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2</w:t>
            </w:r>
          </w:p>
        </w:tc>
        <w:tc>
          <w:tcPr>
            <w:tcW w:w="914" w:type="dxa"/>
            <w:tcBorders>
              <w:top w:val="single" w:color="auto" w:sz="4" w:space="0"/>
              <w:left w:val="single" w:color="auto" w:sz="4" w:space="0"/>
              <w:bottom w:val="single" w:color="auto" w:sz="4" w:space="0"/>
              <w:right w:val="single" w:color="auto" w:sz="4" w:space="0"/>
            </w:tcBorders>
            <w:vAlign w:val="center"/>
          </w:tcPr>
          <w:p w14:paraId="72E64EF1">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主观分</w:t>
            </w:r>
          </w:p>
        </w:tc>
        <w:tc>
          <w:tcPr>
            <w:tcW w:w="1228" w:type="dxa"/>
            <w:vMerge w:val="continue"/>
            <w:tcBorders>
              <w:top w:val="single" w:color="auto" w:sz="4" w:space="0"/>
              <w:left w:val="single" w:color="auto" w:sz="4" w:space="0"/>
              <w:bottom w:val="single" w:color="auto" w:sz="4" w:space="0"/>
              <w:right w:val="single" w:color="auto" w:sz="4" w:space="0"/>
            </w:tcBorders>
            <w:vAlign w:val="center"/>
          </w:tcPr>
          <w:p w14:paraId="4537722A">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p>
        </w:tc>
      </w:tr>
      <w:tr w14:paraId="5BECB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3" w:hRule="atLeast"/>
        </w:trPr>
        <w:tc>
          <w:tcPr>
            <w:tcW w:w="668" w:type="dxa"/>
            <w:tcBorders>
              <w:top w:val="single" w:color="auto" w:sz="4" w:space="0"/>
              <w:left w:val="single" w:color="auto" w:sz="4" w:space="0"/>
              <w:bottom w:val="single" w:color="auto" w:sz="4" w:space="0"/>
              <w:right w:val="single" w:color="auto" w:sz="4" w:space="0"/>
            </w:tcBorders>
            <w:vAlign w:val="center"/>
          </w:tcPr>
          <w:p w14:paraId="7BF48377">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10</w:t>
            </w:r>
          </w:p>
        </w:tc>
        <w:tc>
          <w:tcPr>
            <w:tcW w:w="6175" w:type="dxa"/>
            <w:tcBorders>
              <w:top w:val="single" w:color="auto" w:sz="4" w:space="0"/>
              <w:left w:val="single" w:color="auto" w:sz="4" w:space="0"/>
              <w:bottom w:val="single" w:color="auto" w:sz="4" w:space="0"/>
              <w:right w:val="single" w:color="auto" w:sz="4" w:space="0"/>
            </w:tcBorders>
            <w:vAlign w:val="top"/>
          </w:tcPr>
          <w:p w14:paraId="2C251AAE">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kern w:val="0"/>
                <w:szCs w:val="21"/>
                <w:highlight w:val="none"/>
              </w:rPr>
              <w:t>1.</w:t>
            </w:r>
            <w:r>
              <w:rPr>
                <w:rFonts w:hint="eastAsia" w:ascii="新宋体" w:hAnsi="新宋体" w:eastAsia="新宋体" w:cs="新宋体"/>
                <w:color w:val="auto"/>
                <w:kern w:val="0"/>
                <w:szCs w:val="21"/>
                <w:highlight w:val="none"/>
                <w:lang w:val="zh-CN"/>
              </w:rPr>
              <w:t>投标人或生产商</w:t>
            </w:r>
            <w:r>
              <w:rPr>
                <w:rFonts w:hint="eastAsia" w:ascii="新宋体" w:hAnsi="新宋体" w:eastAsia="新宋体" w:cs="新宋体"/>
                <w:color w:val="auto"/>
                <w:szCs w:val="21"/>
                <w:highlight w:val="none"/>
              </w:rPr>
              <w:t>具有有效期内的质量管理体系认证证书。（1分）</w:t>
            </w:r>
          </w:p>
          <w:p w14:paraId="125560D1">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kern w:val="0"/>
                <w:szCs w:val="21"/>
                <w:highlight w:val="none"/>
              </w:rPr>
              <w:t>2.</w:t>
            </w:r>
            <w:r>
              <w:rPr>
                <w:rFonts w:hint="eastAsia" w:ascii="新宋体" w:hAnsi="新宋体" w:eastAsia="新宋体" w:cs="新宋体"/>
                <w:color w:val="auto"/>
                <w:kern w:val="0"/>
                <w:szCs w:val="21"/>
                <w:highlight w:val="none"/>
                <w:lang w:val="zh-CN"/>
              </w:rPr>
              <w:t>投标人或生产商</w:t>
            </w:r>
            <w:r>
              <w:rPr>
                <w:rFonts w:hint="eastAsia" w:ascii="新宋体" w:hAnsi="新宋体" w:eastAsia="新宋体" w:cs="新宋体"/>
                <w:color w:val="auto"/>
                <w:szCs w:val="21"/>
                <w:highlight w:val="none"/>
              </w:rPr>
              <w:t>具有有效期内的环境管理体系认证证书。（1分）</w:t>
            </w:r>
          </w:p>
          <w:p w14:paraId="141E1239">
            <w:pPr>
              <w:pageBreakBefore w:val="0"/>
              <w:wordWrap/>
              <w:overflowPunct/>
              <w:topLinePunct w:val="0"/>
              <w:bidi w:val="0"/>
              <w:adjustRightInd w:val="0"/>
              <w:snapToGrid w:val="0"/>
              <w:spacing w:line="360" w:lineRule="auto"/>
              <w:rPr>
                <w:rFonts w:hint="eastAsia" w:ascii="新宋体" w:hAnsi="新宋体" w:eastAsia="新宋体" w:cs="新宋体"/>
                <w:color w:val="auto"/>
                <w:szCs w:val="21"/>
                <w:highlight w:val="none"/>
              </w:rPr>
            </w:pPr>
            <w:r>
              <w:rPr>
                <w:rFonts w:hint="eastAsia" w:ascii="新宋体" w:hAnsi="新宋体" w:eastAsia="新宋体" w:cs="新宋体"/>
                <w:color w:val="auto"/>
                <w:kern w:val="0"/>
                <w:szCs w:val="21"/>
                <w:highlight w:val="none"/>
              </w:rPr>
              <w:t>3.</w:t>
            </w:r>
            <w:r>
              <w:rPr>
                <w:rFonts w:hint="eastAsia" w:ascii="新宋体" w:hAnsi="新宋体" w:eastAsia="新宋体" w:cs="新宋体"/>
                <w:color w:val="auto"/>
                <w:kern w:val="0"/>
                <w:szCs w:val="21"/>
                <w:highlight w:val="none"/>
                <w:lang w:val="zh-CN"/>
              </w:rPr>
              <w:t>投标人或生产商</w:t>
            </w:r>
            <w:r>
              <w:rPr>
                <w:rFonts w:hint="eastAsia" w:ascii="新宋体" w:hAnsi="新宋体" w:eastAsia="新宋体" w:cs="新宋体"/>
                <w:color w:val="auto"/>
                <w:szCs w:val="21"/>
                <w:highlight w:val="none"/>
              </w:rPr>
              <w:t>具有有效期内的职业健康安全管理体系认证证书。（1分）</w:t>
            </w:r>
          </w:p>
          <w:p w14:paraId="66AAD035">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4、投标产品获得国家确定的认证机构出具的有效期内的环境标志产品认证证书，每个产品得0.5分，最高得3分，需提供证书扫描件，否则不得分。</w:t>
            </w:r>
          </w:p>
          <w:p w14:paraId="76135F3E">
            <w:pPr>
              <w:pStyle w:val="3"/>
              <w:pageBreakBefore w:val="0"/>
              <w:widowControl/>
              <w:wordWrap/>
              <w:overflowPunct/>
              <w:topLinePunct w:val="0"/>
              <w:bidi w:val="0"/>
              <w:adjustRightInd w:val="0"/>
              <w:snapToGrid w:val="0"/>
              <w:spacing w:line="360" w:lineRule="auto"/>
              <w:rPr>
                <w:rFonts w:hint="eastAsia" w:ascii="新宋体" w:hAnsi="新宋体" w:eastAsia="新宋体" w:cs="新宋体"/>
                <w:color w:val="auto"/>
                <w:sz w:val="21"/>
                <w:szCs w:val="21"/>
                <w:highlight w:val="none"/>
                <w:lang w:val="en-US"/>
              </w:rPr>
            </w:pPr>
            <w:r>
              <w:rPr>
                <w:rFonts w:hint="eastAsia" w:ascii="新宋体" w:hAnsi="新宋体" w:eastAsia="新宋体" w:cs="新宋体"/>
                <w:color w:val="auto"/>
                <w:sz w:val="21"/>
                <w:szCs w:val="21"/>
                <w:highlight w:val="none"/>
              </w:rPr>
              <w:t>注：在投标文件中提供相应证书扫描件及“全国认证认可信息公共服务平台</w:t>
            </w:r>
            <w:r>
              <w:rPr>
                <w:rFonts w:hint="eastAsia" w:ascii="新宋体" w:hAnsi="新宋体" w:eastAsia="新宋体" w:cs="新宋体"/>
                <w:color w:val="auto"/>
                <w:sz w:val="21"/>
                <w:szCs w:val="21"/>
                <w:highlight w:val="none"/>
                <w:lang w:eastAsia="zh-CN"/>
              </w:rPr>
              <w:t>（http://cx.cnca.cn）</w:t>
            </w:r>
            <w:r>
              <w:rPr>
                <w:rFonts w:hint="eastAsia" w:ascii="新宋体" w:hAnsi="新宋体" w:eastAsia="新宋体" w:cs="新宋体"/>
                <w:color w:val="auto"/>
                <w:sz w:val="21"/>
                <w:szCs w:val="21"/>
                <w:highlight w:val="none"/>
              </w:rPr>
              <w:t>”查询网页截图，否则不得分。</w:t>
            </w:r>
          </w:p>
        </w:tc>
        <w:tc>
          <w:tcPr>
            <w:tcW w:w="775" w:type="dxa"/>
            <w:tcBorders>
              <w:top w:val="single" w:color="auto" w:sz="4" w:space="0"/>
              <w:left w:val="single" w:color="auto" w:sz="4" w:space="0"/>
              <w:bottom w:val="single" w:color="auto" w:sz="4" w:space="0"/>
              <w:right w:val="single" w:color="auto" w:sz="4" w:space="0"/>
            </w:tcBorders>
            <w:vAlign w:val="center"/>
          </w:tcPr>
          <w:p w14:paraId="637F3973">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6</w:t>
            </w:r>
          </w:p>
        </w:tc>
        <w:tc>
          <w:tcPr>
            <w:tcW w:w="914" w:type="dxa"/>
            <w:tcBorders>
              <w:top w:val="single" w:color="auto" w:sz="4" w:space="0"/>
              <w:left w:val="single" w:color="auto" w:sz="4" w:space="0"/>
              <w:bottom w:val="single" w:color="auto" w:sz="4" w:space="0"/>
              <w:right w:val="single" w:color="auto" w:sz="4" w:space="0"/>
            </w:tcBorders>
            <w:vAlign w:val="center"/>
          </w:tcPr>
          <w:p w14:paraId="4265E234">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客观分</w:t>
            </w:r>
          </w:p>
        </w:tc>
        <w:tc>
          <w:tcPr>
            <w:tcW w:w="1228" w:type="dxa"/>
            <w:tcBorders>
              <w:top w:val="single" w:color="auto" w:sz="4" w:space="0"/>
              <w:left w:val="single" w:color="auto" w:sz="4" w:space="0"/>
              <w:bottom w:val="single" w:color="auto" w:sz="4" w:space="0"/>
              <w:right w:val="single" w:color="auto" w:sz="4" w:space="0"/>
            </w:tcBorders>
            <w:vAlign w:val="center"/>
          </w:tcPr>
          <w:p w14:paraId="7214B8BF">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生产厂家（产品）证书</w:t>
            </w:r>
          </w:p>
        </w:tc>
      </w:tr>
      <w:tr w14:paraId="2D55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668" w:type="dxa"/>
            <w:tcBorders>
              <w:top w:val="single" w:color="auto" w:sz="4" w:space="0"/>
              <w:left w:val="single" w:color="auto" w:sz="4" w:space="0"/>
              <w:bottom w:val="single" w:color="auto" w:sz="4" w:space="0"/>
              <w:right w:val="single" w:color="auto" w:sz="4" w:space="0"/>
            </w:tcBorders>
            <w:vAlign w:val="center"/>
          </w:tcPr>
          <w:p w14:paraId="5758186C">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11</w:t>
            </w:r>
          </w:p>
        </w:tc>
        <w:tc>
          <w:tcPr>
            <w:tcW w:w="6175" w:type="dxa"/>
            <w:tcBorders>
              <w:top w:val="single" w:color="auto" w:sz="4" w:space="0"/>
              <w:left w:val="single" w:color="auto" w:sz="4" w:space="0"/>
              <w:bottom w:val="single" w:color="auto" w:sz="4" w:space="0"/>
              <w:right w:val="single" w:color="auto" w:sz="4" w:space="0"/>
            </w:tcBorders>
            <w:vAlign w:val="top"/>
          </w:tcPr>
          <w:p w14:paraId="45D65D6F">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投标人或</w:t>
            </w:r>
            <w:r>
              <w:rPr>
                <w:rFonts w:hint="eastAsia" w:ascii="新宋体" w:hAnsi="新宋体" w:eastAsia="新宋体" w:cs="新宋体"/>
                <w:color w:val="auto"/>
                <w:kern w:val="0"/>
                <w:szCs w:val="21"/>
                <w:highlight w:val="none"/>
                <w:lang w:val="zh-CN"/>
              </w:rPr>
              <w:t>生产商</w:t>
            </w:r>
            <w:r>
              <w:rPr>
                <w:rFonts w:hint="eastAsia" w:ascii="新宋体" w:hAnsi="新宋体" w:eastAsia="新宋体" w:cs="新宋体"/>
                <w:color w:val="auto"/>
                <w:szCs w:val="21"/>
                <w:highlight w:val="none"/>
              </w:rPr>
              <w:t>每提供一项与采购标的相关的外观、 结构、板材、工艺及技术的发明专利得1分，最多得2分；每提供一项与采购标的相关的实用新型专利得0.5分，最多得1分；本项合计最多得3分。</w:t>
            </w:r>
          </w:p>
        </w:tc>
        <w:tc>
          <w:tcPr>
            <w:tcW w:w="775" w:type="dxa"/>
            <w:tcBorders>
              <w:top w:val="single" w:color="auto" w:sz="4" w:space="0"/>
              <w:left w:val="single" w:color="auto" w:sz="4" w:space="0"/>
              <w:bottom w:val="single" w:color="auto" w:sz="4" w:space="0"/>
              <w:right w:val="single" w:color="auto" w:sz="4" w:space="0"/>
            </w:tcBorders>
            <w:vAlign w:val="center"/>
          </w:tcPr>
          <w:p w14:paraId="722DC5F4">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3</w:t>
            </w:r>
          </w:p>
        </w:tc>
        <w:tc>
          <w:tcPr>
            <w:tcW w:w="914" w:type="dxa"/>
            <w:tcBorders>
              <w:top w:val="single" w:color="auto" w:sz="4" w:space="0"/>
              <w:left w:val="single" w:color="auto" w:sz="4" w:space="0"/>
              <w:bottom w:val="single" w:color="auto" w:sz="4" w:space="0"/>
              <w:right w:val="single" w:color="auto" w:sz="4" w:space="0"/>
            </w:tcBorders>
            <w:vAlign w:val="center"/>
          </w:tcPr>
          <w:p w14:paraId="5D18FA58">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客观分</w:t>
            </w:r>
          </w:p>
        </w:tc>
        <w:tc>
          <w:tcPr>
            <w:tcW w:w="1228" w:type="dxa"/>
            <w:tcBorders>
              <w:top w:val="single" w:color="auto" w:sz="4" w:space="0"/>
              <w:left w:val="single" w:color="auto" w:sz="4" w:space="0"/>
              <w:bottom w:val="single" w:color="auto" w:sz="4" w:space="0"/>
              <w:right w:val="single" w:color="auto" w:sz="4" w:space="0"/>
            </w:tcBorders>
            <w:vAlign w:val="center"/>
          </w:tcPr>
          <w:p w14:paraId="3DDC59B3">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证书</w:t>
            </w:r>
          </w:p>
        </w:tc>
      </w:tr>
      <w:tr w14:paraId="06352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668" w:type="dxa"/>
            <w:tcBorders>
              <w:top w:val="single" w:color="auto" w:sz="4" w:space="0"/>
              <w:left w:val="single" w:color="auto" w:sz="4" w:space="0"/>
              <w:bottom w:val="single" w:color="auto" w:sz="4" w:space="0"/>
              <w:right w:val="single" w:color="auto" w:sz="4" w:space="0"/>
            </w:tcBorders>
            <w:vAlign w:val="center"/>
          </w:tcPr>
          <w:p w14:paraId="198423DF">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12</w:t>
            </w:r>
          </w:p>
        </w:tc>
        <w:tc>
          <w:tcPr>
            <w:tcW w:w="6175" w:type="dxa"/>
            <w:tcBorders>
              <w:top w:val="single" w:color="auto" w:sz="4" w:space="0"/>
              <w:left w:val="single" w:color="auto" w:sz="4" w:space="0"/>
              <w:bottom w:val="single" w:color="auto" w:sz="4" w:space="0"/>
              <w:right w:val="single" w:color="auto" w:sz="4" w:space="0"/>
            </w:tcBorders>
            <w:vAlign w:val="top"/>
          </w:tcPr>
          <w:p w14:paraId="7C0F6D78">
            <w:pPr>
              <w:pageBreakBefore w:val="0"/>
              <w:wordWrap/>
              <w:overflowPunct/>
              <w:topLinePunct w:val="0"/>
              <w:bidi w:val="0"/>
              <w:adjustRightInd w:val="0"/>
              <w:snapToGrid w:val="0"/>
              <w:spacing w:line="360" w:lineRule="auto"/>
              <w:jc w:val="lef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投标人自202</w:t>
            </w:r>
            <w:r>
              <w:rPr>
                <w:rFonts w:hint="eastAsia" w:ascii="新宋体" w:hAnsi="新宋体" w:eastAsia="新宋体" w:cs="新宋体"/>
                <w:color w:val="auto"/>
                <w:szCs w:val="21"/>
                <w:highlight w:val="none"/>
                <w:lang w:val="en-US" w:eastAsia="zh-CN"/>
              </w:rPr>
              <w:t>2</w:t>
            </w:r>
            <w:r>
              <w:rPr>
                <w:rFonts w:hint="eastAsia" w:ascii="新宋体" w:hAnsi="新宋体" w:eastAsia="新宋体" w:cs="新宋体"/>
                <w:color w:val="auto"/>
                <w:szCs w:val="21"/>
                <w:highlight w:val="none"/>
              </w:rPr>
              <w:t>年1月1日（含）以来（以合同签订时间为准）承担过类似项目成功案例。须同时提供合同、合格验收报告相关证明材料。每提供一个得1分，最高得3分。</w:t>
            </w:r>
          </w:p>
        </w:tc>
        <w:tc>
          <w:tcPr>
            <w:tcW w:w="775" w:type="dxa"/>
            <w:tcBorders>
              <w:top w:val="single" w:color="auto" w:sz="4" w:space="0"/>
              <w:left w:val="single" w:color="auto" w:sz="4" w:space="0"/>
              <w:bottom w:val="single" w:color="auto" w:sz="4" w:space="0"/>
              <w:right w:val="single" w:color="auto" w:sz="4" w:space="0"/>
            </w:tcBorders>
            <w:vAlign w:val="center"/>
          </w:tcPr>
          <w:p w14:paraId="3E8F6DDB">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3</w:t>
            </w:r>
          </w:p>
        </w:tc>
        <w:tc>
          <w:tcPr>
            <w:tcW w:w="914" w:type="dxa"/>
            <w:tcBorders>
              <w:top w:val="single" w:color="auto" w:sz="4" w:space="0"/>
              <w:left w:val="single" w:color="auto" w:sz="4" w:space="0"/>
              <w:bottom w:val="single" w:color="auto" w:sz="4" w:space="0"/>
              <w:right w:val="single" w:color="auto" w:sz="4" w:space="0"/>
            </w:tcBorders>
            <w:vAlign w:val="center"/>
          </w:tcPr>
          <w:p w14:paraId="089CCB27">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客观分</w:t>
            </w:r>
          </w:p>
        </w:tc>
        <w:tc>
          <w:tcPr>
            <w:tcW w:w="1228" w:type="dxa"/>
            <w:tcBorders>
              <w:top w:val="single" w:color="auto" w:sz="4" w:space="0"/>
              <w:left w:val="single" w:color="auto" w:sz="4" w:space="0"/>
              <w:bottom w:val="single" w:color="auto" w:sz="4" w:space="0"/>
              <w:right w:val="single" w:color="auto" w:sz="4" w:space="0"/>
            </w:tcBorders>
            <w:vAlign w:val="center"/>
          </w:tcPr>
          <w:p w14:paraId="43BC3340">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案例</w:t>
            </w:r>
          </w:p>
        </w:tc>
      </w:tr>
      <w:tr w14:paraId="4EB1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trPr>
        <w:tc>
          <w:tcPr>
            <w:tcW w:w="668" w:type="dxa"/>
            <w:tcBorders>
              <w:top w:val="single" w:color="auto" w:sz="4" w:space="0"/>
              <w:left w:val="single" w:color="auto" w:sz="4" w:space="0"/>
              <w:bottom w:val="single" w:color="auto" w:sz="4" w:space="0"/>
              <w:right w:val="single" w:color="auto" w:sz="4" w:space="0"/>
            </w:tcBorders>
            <w:vAlign w:val="center"/>
          </w:tcPr>
          <w:p w14:paraId="72B4E676">
            <w:pPr>
              <w:pageBreakBefore w:val="0"/>
              <w:wordWrap/>
              <w:overflowPunct/>
              <w:topLinePunct w:val="0"/>
              <w:bidi w:val="0"/>
              <w:adjustRightInd w:val="0"/>
              <w:snapToGrid w:val="0"/>
              <w:spacing w:line="360" w:lineRule="auto"/>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13</w:t>
            </w:r>
          </w:p>
        </w:tc>
        <w:tc>
          <w:tcPr>
            <w:tcW w:w="6175" w:type="dxa"/>
            <w:tcBorders>
              <w:top w:val="single" w:color="auto" w:sz="4" w:space="0"/>
              <w:left w:val="single" w:color="auto" w:sz="4" w:space="0"/>
              <w:bottom w:val="single" w:color="auto" w:sz="4" w:space="0"/>
              <w:right w:val="single" w:color="auto" w:sz="4" w:space="0"/>
            </w:tcBorders>
            <w:vAlign w:val="top"/>
          </w:tcPr>
          <w:p w14:paraId="7C8B0F10">
            <w:pPr>
              <w:pageBreakBefore w:val="0"/>
              <w:wordWrap/>
              <w:overflowPunct/>
              <w:topLinePunct w:val="0"/>
              <w:bidi w:val="0"/>
              <w:adjustRightInd w:val="0"/>
              <w:snapToGrid w:val="0"/>
              <w:spacing w:line="360" w:lineRule="auto"/>
              <w:outlineLvl w:val="0"/>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有效投标报价的最低价作为评标基准价，其最低报价为满分；按［投标报价得分=（评标基准价/投标报价）*30］的计算公式计算。</w:t>
            </w:r>
          </w:p>
          <w:p w14:paraId="7E02615D">
            <w:pPr>
              <w:pageBreakBefore w:val="0"/>
              <w:widowControl/>
              <w:shd w:val="clear" w:color="auto" w:fill="FFFFFF"/>
              <w:wordWrap/>
              <w:overflowPunct/>
              <w:topLinePunct w:val="0"/>
              <w:bidi w:val="0"/>
              <w:adjustRightInd w:val="0"/>
              <w:snapToGrid w:val="0"/>
              <w:spacing w:after="225" w:line="360" w:lineRule="auto"/>
              <w:ind w:firstLine="420"/>
              <w:jc w:val="left"/>
              <w:rPr>
                <w:rFonts w:hint="eastAsia" w:ascii="新宋体" w:hAnsi="新宋体" w:eastAsia="新宋体" w:cs="新宋体"/>
                <w:color w:val="auto"/>
                <w:szCs w:val="21"/>
                <w:highlight w:val="none"/>
                <w:shd w:val="clear" w:color="auto" w:fill="FFFFFF"/>
              </w:rPr>
            </w:pPr>
            <w:r>
              <w:rPr>
                <w:rFonts w:hint="eastAsia" w:ascii="新宋体" w:hAnsi="新宋体" w:eastAsia="新宋体" w:cs="新宋体"/>
                <w:color w:val="auto"/>
                <w:szCs w:val="21"/>
                <w:highlight w:val="none"/>
                <w:shd w:val="clear" w:color="auto" w:fill="FFFFFF"/>
              </w:rPr>
              <w:t>评标过程中，不得去掉报价中的最高报价和最低报价。</w:t>
            </w:r>
          </w:p>
        </w:tc>
        <w:tc>
          <w:tcPr>
            <w:tcW w:w="775" w:type="dxa"/>
            <w:tcBorders>
              <w:top w:val="single" w:color="auto" w:sz="4" w:space="0"/>
              <w:left w:val="single" w:color="auto" w:sz="4" w:space="0"/>
              <w:bottom w:val="single" w:color="auto" w:sz="4" w:space="0"/>
              <w:right w:val="single" w:color="auto" w:sz="4" w:space="0"/>
            </w:tcBorders>
            <w:vAlign w:val="center"/>
          </w:tcPr>
          <w:p w14:paraId="0B917F83">
            <w:pPr>
              <w:pageBreakBefore w:val="0"/>
              <w:wordWrap/>
              <w:overflowPunct/>
              <w:topLinePunct w:val="0"/>
              <w:bidi w:val="0"/>
              <w:adjustRightInd w:val="0"/>
              <w:snapToGrid w:val="0"/>
              <w:spacing w:line="360" w:lineRule="auto"/>
              <w:jc w:val="center"/>
              <w:outlineLvl w:val="0"/>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30</w:t>
            </w:r>
          </w:p>
        </w:tc>
        <w:tc>
          <w:tcPr>
            <w:tcW w:w="914" w:type="dxa"/>
            <w:tcBorders>
              <w:top w:val="single" w:color="auto" w:sz="4" w:space="0"/>
              <w:left w:val="single" w:color="auto" w:sz="4" w:space="0"/>
              <w:bottom w:val="single" w:color="auto" w:sz="4" w:space="0"/>
              <w:right w:val="single" w:color="auto" w:sz="4" w:space="0"/>
            </w:tcBorders>
            <w:vAlign w:val="center"/>
          </w:tcPr>
          <w:p w14:paraId="3533BAD5">
            <w:pPr>
              <w:pageBreakBefore w:val="0"/>
              <w:wordWrap/>
              <w:overflowPunct/>
              <w:topLinePunct w:val="0"/>
              <w:bidi w:val="0"/>
              <w:adjustRightInd w:val="0"/>
              <w:snapToGrid w:val="0"/>
              <w:spacing w:line="360" w:lineRule="auto"/>
              <w:jc w:val="center"/>
              <w:outlineLvl w:val="0"/>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客观分</w:t>
            </w:r>
          </w:p>
        </w:tc>
        <w:tc>
          <w:tcPr>
            <w:tcW w:w="1228" w:type="dxa"/>
            <w:tcBorders>
              <w:top w:val="single" w:color="auto" w:sz="4" w:space="0"/>
              <w:left w:val="single" w:color="auto" w:sz="4" w:space="0"/>
              <w:bottom w:val="single" w:color="auto" w:sz="4" w:space="0"/>
              <w:right w:val="single" w:color="auto" w:sz="4" w:space="0"/>
            </w:tcBorders>
            <w:vAlign w:val="center"/>
          </w:tcPr>
          <w:p w14:paraId="0FD56855">
            <w:pPr>
              <w:pageBreakBefore w:val="0"/>
              <w:wordWrap/>
              <w:overflowPunct/>
              <w:topLinePunct w:val="0"/>
              <w:bidi w:val="0"/>
              <w:adjustRightInd w:val="0"/>
              <w:snapToGrid w:val="0"/>
              <w:spacing w:line="360" w:lineRule="auto"/>
              <w:jc w:val="center"/>
              <w:outlineLvl w:val="0"/>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w:t>
            </w:r>
          </w:p>
        </w:tc>
      </w:tr>
    </w:tbl>
    <w:p w14:paraId="0D573CBF">
      <w:pPr>
        <w:rPr>
          <w:rFonts w:ascii="宋体" w:hAnsi="宋体" w:cs="宋体"/>
          <w:b/>
          <w:color w:val="auto"/>
          <w:sz w:val="24"/>
          <w:highlight w:val="none"/>
        </w:rPr>
      </w:pPr>
      <w:r>
        <w:rPr>
          <w:rFonts w:hint="eastAsia" w:ascii="宋体" w:hAnsi="宋体" w:cs="宋体"/>
          <w:color w:val="auto"/>
          <w:sz w:val="20"/>
          <w:szCs w:val="20"/>
          <w:highlight w:val="none"/>
          <w:shd w:val="clear" w:color="auto" w:fill="FFFFFF"/>
        </w:rPr>
        <w:t>*</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投标人编制投标文件（商务技术文件部分）时，建议按此目录（序号和内容）提供评标标准相应的商务技术资料。 </w:t>
      </w:r>
    </w:p>
    <w:bookmarkEnd w:id="9"/>
    <w:p w14:paraId="3C738915">
      <w:pPr>
        <w:bidi w:val="0"/>
        <w:rPr>
          <w:rFonts w:hint="eastAsia"/>
          <w:color w:val="auto"/>
          <w:highlight w:val="none"/>
        </w:rPr>
      </w:pPr>
      <w:bookmarkStart w:id="13" w:name="_Toc86217003"/>
      <w:bookmarkStart w:id="14" w:name="第五部分"/>
    </w:p>
    <w:p w14:paraId="601EDB98">
      <w:pPr>
        <w:rPr>
          <w:rFonts w:hint="eastAsia" w:ascii="宋体" w:hAnsi="宋体" w:cs="宋体"/>
          <w:b/>
          <w:color w:val="auto"/>
          <w:sz w:val="36"/>
          <w:szCs w:val="36"/>
          <w:highlight w:val="none"/>
        </w:rPr>
      </w:pPr>
      <w:r>
        <w:rPr>
          <w:rFonts w:hint="eastAsia" w:ascii="宋体" w:hAnsi="宋体" w:cs="宋体"/>
          <w:b/>
          <w:color w:val="auto"/>
          <w:sz w:val="36"/>
          <w:szCs w:val="36"/>
          <w:highlight w:val="none"/>
        </w:rPr>
        <w:br w:type="page"/>
      </w:r>
    </w:p>
    <w:p w14:paraId="7BF15DD8">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14:paraId="4C25C568">
      <w:pPr>
        <w:rPr>
          <w:rFonts w:ascii="宋体" w:hAnsi="宋体" w:cs="宋体"/>
          <w:color w:val="auto"/>
          <w:sz w:val="24"/>
          <w:highlight w:val="none"/>
          <w:u w:val="single"/>
        </w:rPr>
      </w:pPr>
      <w:r>
        <w:rPr>
          <w:rFonts w:hint="eastAsia" w:ascii="宋体" w:hAnsi="宋体" w:cs="宋体"/>
          <w:color w:val="auto"/>
          <w:sz w:val="24"/>
          <w:highlight w:val="none"/>
        </w:rPr>
        <w:t>合同编号：</w:t>
      </w:r>
      <w:r>
        <w:rPr>
          <w:rFonts w:hint="eastAsia" w:ascii="宋体" w:hAnsi="宋体" w:cs="宋体"/>
          <w:color w:val="auto"/>
          <w:sz w:val="24"/>
          <w:highlight w:val="none"/>
          <w:u w:val="single"/>
        </w:rPr>
        <w:t xml:space="preserve">           </w:t>
      </w:r>
    </w:p>
    <w:p w14:paraId="28B27AE3">
      <w:pPr>
        <w:spacing w:line="480" w:lineRule="auto"/>
        <w:jc w:val="center"/>
        <w:rPr>
          <w:rFonts w:ascii="宋体" w:hAnsi="宋体" w:cs="宋体"/>
          <w:b/>
          <w:color w:val="auto"/>
          <w:sz w:val="28"/>
          <w:szCs w:val="28"/>
          <w:highlight w:val="none"/>
        </w:rPr>
      </w:pPr>
    </w:p>
    <w:p w14:paraId="2AA707C2">
      <w:pPr>
        <w:spacing w:line="480" w:lineRule="auto"/>
        <w:jc w:val="center"/>
        <w:rPr>
          <w:rFonts w:ascii="宋体" w:hAnsi="宋体" w:cs="宋体"/>
          <w:b/>
          <w:color w:val="auto"/>
          <w:sz w:val="24"/>
          <w:highlight w:val="none"/>
        </w:rPr>
      </w:pPr>
    </w:p>
    <w:p w14:paraId="6DF3700E">
      <w:pPr>
        <w:spacing w:line="480" w:lineRule="auto"/>
        <w:jc w:val="center"/>
        <w:rPr>
          <w:rFonts w:ascii="宋体" w:hAnsi="宋体" w:cs="宋体"/>
          <w:b/>
          <w:color w:val="auto"/>
          <w:sz w:val="24"/>
          <w:highlight w:val="none"/>
        </w:rPr>
      </w:pPr>
    </w:p>
    <w:p w14:paraId="39FBC8F0">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政府采购合同参考范本</w:t>
      </w:r>
    </w:p>
    <w:p w14:paraId="021B2BD4">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（货物类）</w:t>
      </w:r>
    </w:p>
    <w:p w14:paraId="38423283">
      <w:pPr>
        <w:pStyle w:val="385"/>
        <w:rPr>
          <w:rFonts w:ascii="宋体" w:hAnsi="宋体" w:cs="宋体"/>
          <w:color w:val="auto"/>
          <w:szCs w:val="24"/>
          <w:highlight w:val="none"/>
        </w:rPr>
      </w:pPr>
    </w:p>
    <w:p w14:paraId="356B1907">
      <w:pPr>
        <w:pStyle w:val="385"/>
        <w:rPr>
          <w:rFonts w:ascii="宋体" w:hAnsi="宋体" w:cs="宋体"/>
          <w:color w:val="auto"/>
          <w:szCs w:val="24"/>
          <w:highlight w:val="none"/>
        </w:rPr>
      </w:pPr>
    </w:p>
    <w:p w14:paraId="7E235EAF">
      <w:pPr>
        <w:pStyle w:val="385"/>
        <w:jc w:val="center"/>
        <w:rPr>
          <w:rFonts w:ascii="宋体" w:hAnsi="宋体" w:cs="宋体"/>
          <w:color w:val="auto"/>
          <w:szCs w:val="24"/>
          <w:highlight w:val="none"/>
        </w:rPr>
      </w:pPr>
    </w:p>
    <w:p w14:paraId="2A4E1752">
      <w:pPr>
        <w:pStyle w:val="385"/>
        <w:ind w:firstLine="2843" w:firstLineChars="1180"/>
        <w:rPr>
          <w:rFonts w:ascii="宋体" w:hAnsi="宋体" w:cs="宋体"/>
          <w:b/>
          <w:color w:val="auto"/>
          <w:szCs w:val="24"/>
          <w:highlight w:val="none"/>
        </w:rPr>
      </w:pPr>
      <w:r>
        <w:rPr>
          <w:rFonts w:hint="eastAsia" w:ascii="宋体" w:hAnsi="宋体" w:cs="宋体"/>
          <w:b/>
          <w:color w:val="auto"/>
          <w:szCs w:val="24"/>
          <w:highlight w:val="none"/>
        </w:rPr>
        <w:t>第一部分 合同书</w:t>
      </w:r>
    </w:p>
    <w:p w14:paraId="0F46A9B3">
      <w:pPr>
        <w:pStyle w:val="385"/>
        <w:rPr>
          <w:rFonts w:ascii="宋体" w:hAnsi="宋体" w:cs="宋体"/>
          <w:color w:val="auto"/>
          <w:szCs w:val="24"/>
          <w:highlight w:val="none"/>
        </w:rPr>
      </w:pPr>
    </w:p>
    <w:p w14:paraId="23A3C201">
      <w:pPr>
        <w:pStyle w:val="385"/>
        <w:rPr>
          <w:rFonts w:ascii="宋体" w:hAnsi="宋体" w:cs="宋体"/>
          <w:color w:val="auto"/>
          <w:szCs w:val="24"/>
          <w:highlight w:val="none"/>
        </w:rPr>
      </w:pPr>
    </w:p>
    <w:p w14:paraId="04925FF7">
      <w:pPr>
        <w:spacing w:before="120" w:line="22" w:lineRule="atLeast"/>
        <w:rPr>
          <w:rFonts w:ascii="宋体" w:hAnsi="宋体" w:cs="宋体"/>
          <w:color w:val="auto"/>
          <w:sz w:val="24"/>
          <w:highlight w:val="none"/>
        </w:rPr>
      </w:pPr>
    </w:p>
    <w:p w14:paraId="683D8590">
      <w:pPr>
        <w:spacing w:before="120" w:line="22" w:lineRule="atLeast"/>
        <w:ind w:left="960"/>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14:paraId="68DAEB6F">
      <w:pPr>
        <w:pStyle w:val="282"/>
        <w:spacing w:before="120" w:line="22" w:lineRule="atLeast"/>
        <w:rPr>
          <w:rFonts w:ascii="宋体" w:hAnsi="宋体" w:eastAsia="宋体" w:cs="宋体"/>
          <w:color w:val="auto"/>
          <w:szCs w:val="24"/>
          <w:highlight w:val="none"/>
        </w:rPr>
      </w:pPr>
    </w:p>
    <w:p w14:paraId="71E8810B">
      <w:pPr>
        <w:pStyle w:val="282"/>
        <w:spacing w:before="120" w:line="22" w:lineRule="atLeast"/>
        <w:rPr>
          <w:rFonts w:ascii="宋体" w:hAnsi="宋体" w:eastAsia="宋体" w:cs="宋体"/>
          <w:color w:val="auto"/>
          <w:szCs w:val="24"/>
          <w:highlight w:val="none"/>
        </w:rPr>
      </w:pPr>
    </w:p>
    <w:p w14:paraId="3CA6602B">
      <w:pPr>
        <w:rPr>
          <w:rFonts w:ascii="宋体" w:hAnsi="宋体" w:cs="宋体"/>
          <w:color w:val="auto"/>
          <w:sz w:val="24"/>
          <w:highlight w:val="none"/>
        </w:rPr>
      </w:pPr>
    </w:p>
    <w:p w14:paraId="631E0DDB">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甲方：</w:t>
      </w:r>
      <w:r>
        <w:rPr>
          <w:rFonts w:hint="eastAsia" w:ascii="宋体" w:hAnsi="宋体" w:cs="宋体"/>
          <w:color w:val="auto"/>
          <w:sz w:val="24"/>
          <w:highlight w:val="none"/>
          <w:u w:val="single"/>
        </w:rPr>
        <w:t xml:space="preserve">                                       </w:t>
      </w:r>
    </w:p>
    <w:p w14:paraId="07EC6F13">
      <w:pPr>
        <w:spacing w:before="120" w:line="22" w:lineRule="atLeast"/>
        <w:rPr>
          <w:rFonts w:ascii="宋体" w:hAnsi="宋体" w:cs="宋体"/>
          <w:color w:val="auto"/>
          <w:sz w:val="24"/>
          <w:highlight w:val="none"/>
        </w:rPr>
      </w:pPr>
    </w:p>
    <w:p w14:paraId="5AE780DD">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乙方：</w:t>
      </w:r>
      <w:r>
        <w:rPr>
          <w:rFonts w:hint="eastAsia" w:ascii="宋体" w:hAnsi="宋体" w:cs="宋体"/>
          <w:color w:val="auto"/>
          <w:sz w:val="24"/>
          <w:highlight w:val="none"/>
          <w:u w:val="single"/>
        </w:rPr>
        <w:t xml:space="preserve">                                       </w:t>
      </w:r>
    </w:p>
    <w:p w14:paraId="3032B862">
      <w:pPr>
        <w:spacing w:before="120" w:line="22" w:lineRule="atLeast"/>
        <w:rPr>
          <w:rFonts w:ascii="宋体" w:hAnsi="宋体" w:cs="宋体"/>
          <w:color w:val="auto"/>
          <w:sz w:val="24"/>
          <w:highlight w:val="none"/>
        </w:rPr>
      </w:pPr>
    </w:p>
    <w:p w14:paraId="5E69AF86">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签订地：</w:t>
      </w:r>
      <w:r>
        <w:rPr>
          <w:rFonts w:hint="eastAsia" w:ascii="宋体" w:hAnsi="宋体" w:cs="宋体"/>
          <w:color w:val="auto"/>
          <w:sz w:val="24"/>
          <w:highlight w:val="none"/>
          <w:u w:val="single"/>
        </w:rPr>
        <w:t xml:space="preserve">                                     </w:t>
      </w:r>
    </w:p>
    <w:p w14:paraId="016E219B">
      <w:pPr>
        <w:spacing w:before="120" w:line="22" w:lineRule="atLeast"/>
        <w:rPr>
          <w:rFonts w:ascii="宋体" w:hAnsi="宋体" w:cs="宋体"/>
          <w:color w:val="auto"/>
          <w:sz w:val="24"/>
          <w:highlight w:val="none"/>
        </w:rPr>
      </w:pPr>
    </w:p>
    <w:p w14:paraId="0BADCC86">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4098440B">
      <w:pPr>
        <w:widowControl/>
        <w:jc w:val="left"/>
        <w:rPr>
          <w:rFonts w:ascii="宋体" w:hAnsi="宋体" w:cs="宋体"/>
          <w:color w:val="auto"/>
          <w:kern w:val="0"/>
          <w:sz w:val="24"/>
          <w:highlight w:val="none"/>
        </w:rPr>
        <w:sectPr>
          <w:headerReference r:id="rId8" w:type="first"/>
          <w:footerReference r:id="rId10" w:type="first"/>
          <w:headerReference r:id="rId7" w:type="default"/>
          <w:footerReference r:id="rId9" w:type="default"/>
          <w:pgSz w:w="11907" w:h="16840"/>
          <w:pgMar w:top="1134" w:right="1814" w:bottom="1474" w:left="1814" w:header="851" w:footer="851" w:gutter="0"/>
          <w:pgBorders>
            <w:top w:val="none" w:sz="0" w:space="0"/>
            <w:left w:val="none" w:sz="0" w:space="0"/>
            <w:bottom w:val="none" w:sz="0" w:space="0"/>
            <w:right w:val="none" w:sz="0" w:space="0"/>
          </w:pgBorders>
          <w:cols w:space="720" w:num="1"/>
          <w:titlePg/>
          <w:docGrid w:type="lines" w:linePitch="312" w:charSpace="0"/>
        </w:sectPr>
      </w:pPr>
    </w:p>
    <w:p w14:paraId="12117916">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年</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月</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日</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杭州师范大学附属未来科技城学校（杭州二中教育集团未来科技城学校） </w:t>
      </w:r>
      <w:r>
        <w:rPr>
          <w:rFonts w:hint="eastAsia" w:ascii="宋体" w:hAnsi="宋体" w:cs="宋体"/>
          <w:color w:val="auto"/>
          <w:sz w:val="24"/>
          <w:highlight w:val="none"/>
        </w:rPr>
        <w:t>以</w:t>
      </w:r>
      <w:r>
        <w:rPr>
          <w:rFonts w:hint="eastAsia" w:ascii="宋体" w:hAnsi="宋体"/>
          <w:color w:val="auto"/>
          <w:sz w:val="24"/>
          <w:highlight w:val="none"/>
          <w:u w:val="single"/>
        </w:rPr>
        <w:t>公开招标方式</w:t>
      </w:r>
      <w:r>
        <w:rPr>
          <w:rFonts w:hint="eastAsia" w:ascii="宋体" w:hAnsi="宋体" w:cs="宋体"/>
          <w:color w:val="auto"/>
          <w:sz w:val="24"/>
          <w:highlight w:val="none"/>
        </w:rPr>
        <w:t>对</w:t>
      </w:r>
      <w:r>
        <w:rPr>
          <w:rFonts w:hint="eastAsia" w:ascii="宋体" w:hAnsi="宋体" w:cs="宋体"/>
          <w:color w:val="auto"/>
          <w:sz w:val="24"/>
          <w:highlight w:val="none"/>
          <w:u w:val="single"/>
          <w:lang w:eastAsia="zh-CN"/>
        </w:rPr>
        <w:t>杭州师范大学附属未来科技城学校（天元公学西站校区）办公家具（二）采购项目</w:t>
      </w:r>
      <w:r>
        <w:rPr>
          <w:rFonts w:hint="eastAsia" w:ascii="宋体" w:hAnsi="宋体" w:cs="宋体"/>
          <w:color w:val="auto"/>
          <w:sz w:val="24"/>
          <w:highlight w:val="none"/>
        </w:rPr>
        <w:t>（</w:t>
      </w:r>
      <w:r>
        <w:rPr>
          <w:rFonts w:hint="eastAsia" w:ascii="宋体" w:hAnsi="宋体" w:cs="宋体"/>
          <w:color w:val="auto"/>
          <w:sz w:val="24"/>
          <w:highlight w:val="none"/>
          <w:u w:val="single"/>
        </w:rPr>
        <w:t>HZYHZFCG-2024-</w:t>
      </w:r>
      <w:r>
        <w:rPr>
          <w:rFonts w:hint="eastAsia" w:ascii="宋体" w:hAnsi="宋体" w:cs="宋体"/>
          <w:color w:val="auto"/>
          <w:sz w:val="24"/>
          <w:highlight w:val="none"/>
        </w:rPr>
        <w:t>）进行了采购。经</w:t>
      </w:r>
      <w:r>
        <w:rPr>
          <w:rFonts w:hint="eastAsia" w:ascii="宋体" w:hAnsi="宋体" w:cs="宋体"/>
          <w:color w:val="auto"/>
          <w:sz w:val="24"/>
          <w:highlight w:val="none"/>
          <w:u w:val="single"/>
        </w:rPr>
        <w:t xml:space="preserve">   （相关评定主体名称）   </w:t>
      </w:r>
      <w:r>
        <w:rPr>
          <w:rFonts w:hint="eastAsia" w:ascii="宋体" w:hAnsi="宋体" w:cs="宋体"/>
          <w:color w:val="auto"/>
          <w:sz w:val="24"/>
          <w:highlight w:val="none"/>
        </w:rPr>
        <w:t>评定，</w:t>
      </w:r>
      <w:r>
        <w:rPr>
          <w:rFonts w:hint="eastAsia" w:ascii="宋体" w:hAnsi="宋体" w:cs="宋体"/>
          <w:color w:val="auto"/>
          <w:sz w:val="24"/>
          <w:highlight w:val="none"/>
          <w:u w:val="single"/>
        </w:rPr>
        <w:t xml:space="preserve">   （中标供应商名称）</w:t>
      </w:r>
      <w:r>
        <w:rPr>
          <w:rFonts w:hint="eastAsia" w:ascii="宋体" w:hAnsi="宋体" w:cs="宋体"/>
          <w:color w:val="auto"/>
          <w:sz w:val="24"/>
          <w:highlight w:val="none"/>
        </w:rPr>
        <w:t>为该项目中标供应商。现于中标通知书发出之日起10个工作日内，按照招标文件确定的事项签订本合同。</w:t>
      </w:r>
    </w:p>
    <w:p w14:paraId="1E8A88A3">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zh-CN"/>
        </w:rPr>
        <w:t>根据《中华人民共和国民法典》《中华人民共和国政府采购法》等相关法律法规之规定，按照平等、自愿、公平、诚实信用和绿色的原则，经</w:t>
      </w:r>
      <w:r>
        <w:rPr>
          <w:rFonts w:hint="eastAsia" w:ascii="宋体" w:hAnsi="宋体" w:cs="宋体"/>
          <w:color w:val="auto"/>
          <w:sz w:val="24"/>
          <w:highlight w:val="none"/>
          <w:u w:val="single"/>
        </w:rPr>
        <w:t>杭州师范大学附属未来科技城学校（杭州二中教育集团未来科技城学校） （</w:t>
      </w:r>
      <w:r>
        <w:rPr>
          <w:rFonts w:hint="eastAsia" w:ascii="宋体" w:hAnsi="宋体" w:cs="宋体"/>
          <w:color w:val="auto"/>
          <w:sz w:val="24"/>
          <w:highlight w:val="none"/>
          <w:lang w:val="zh-CN"/>
        </w:rPr>
        <w:t>以下简称：甲方）和</w:t>
      </w:r>
      <w:r>
        <w:rPr>
          <w:rFonts w:hint="eastAsia" w:ascii="宋体" w:hAnsi="宋体" w:cs="宋体"/>
          <w:color w:val="auto"/>
          <w:sz w:val="24"/>
          <w:highlight w:val="none"/>
          <w:u w:val="single"/>
        </w:rPr>
        <w:t xml:space="preserve">   （中标供应商名称）   （</w:t>
      </w:r>
      <w:r>
        <w:rPr>
          <w:rFonts w:hint="eastAsia" w:ascii="宋体" w:hAnsi="宋体" w:cs="宋体"/>
          <w:color w:val="auto"/>
          <w:sz w:val="24"/>
          <w:highlight w:val="none"/>
          <w:lang w:val="zh-CN"/>
        </w:rPr>
        <w:t>以下简称：乙方）协商一致，约定以下合同</w:t>
      </w:r>
      <w:r>
        <w:rPr>
          <w:rFonts w:hint="eastAsia" w:ascii="宋体" w:hAnsi="宋体" w:cs="宋体"/>
          <w:color w:val="auto"/>
          <w:sz w:val="24"/>
          <w:highlight w:val="none"/>
        </w:rPr>
        <w:t>条款，以兹共同遵守、全面履行。</w:t>
      </w:r>
    </w:p>
    <w:p w14:paraId="61418F0C">
      <w:pPr>
        <w:spacing w:line="560" w:lineRule="exact"/>
        <w:ind w:firstLine="482" w:firstLineChars="200"/>
        <w:outlineLvl w:val="0"/>
        <w:rPr>
          <w:rFonts w:ascii="宋体" w:hAnsi="宋体" w:cs="宋体"/>
          <w:b/>
          <w:color w:val="auto"/>
          <w:sz w:val="24"/>
          <w:highlight w:val="none"/>
        </w:rPr>
      </w:pPr>
      <w:bookmarkStart w:id="15" w:name="_Toc3029"/>
      <w:bookmarkStart w:id="16" w:name="_Toc2232"/>
      <w:bookmarkStart w:id="17" w:name="_Toc24059"/>
      <w:r>
        <w:rPr>
          <w:rFonts w:hint="eastAsia" w:ascii="宋体" w:hAnsi="宋体" w:cs="宋体"/>
          <w:b/>
          <w:color w:val="auto"/>
          <w:sz w:val="24"/>
          <w:highlight w:val="none"/>
        </w:rPr>
        <w:t>1.1 合同组成部分</w:t>
      </w:r>
      <w:bookmarkEnd w:id="15"/>
      <w:bookmarkEnd w:id="16"/>
      <w:bookmarkEnd w:id="17"/>
    </w:p>
    <w:p w14:paraId="556E72EE">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下列文件为本合同的组成部分，并构成一个整体，需综合解释、相互补充。如果下列文件内容出现不一致的情形，那么在保证按照招标文件确定的事项的前提下，组成本合同的多个文件的优先适用顺序如下：</w:t>
      </w:r>
    </w:p>
    <w:p w14:paraId="0E08ACC7">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1.1.1 本合同及其补充合同、变更协议；</w:t>
      </w:r>
    </w:p>
    <w:p w14:paraId="4B4C2497">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1.1.2 中标通知书；</w:t>
      </w:r>
    </w:p>
    <w:p w14:paraId="7484AC00">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1.1.3 投标文件（含澄清或者说明文件）；</w:t>
      </w:r>
    </w:p>
    <w:p w14:paraId="5132C720">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1.1.4 招标文件（含澄清或者修改文件）；</w:t>
      </w:r>
    </w:p>
    <w:p w14:paraId="3FC14913">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1.1.5 其他相关采购文件。</w:t>
      </w:r>
    </w:p>
    <w:p w14:paraId="1AB7EF45">
      <w:pPr>
        <w:spacing w:line="560" w:lineRule="exact"/>
        <w:ind w:firstLine="482" w:firstLineChars="200"/>
        <w:outlineLvl w:val="0"/>
        <w:rPr>
          <w:rFonts w:ascii="宋体" w:hAnsi="宋体" w:cs="宋体"/>
          <w:b/>
          <w:color w:val="auto"/>
          <w:sz w:val="24"/>
          <w:highlight w:val="none"/>
        </w:rPr>
      </w:pPr>
      <w:bookmarkStart w:id="18" w:name="_Toc21295"/>
      <w:bookmarkStart w:id="19" w:name="_Toc24300"/>
      <w:bookmarkStart w:id="20" w:name="_Toc27126"/>
      <w:r>
        <w:rPr>
          <w:rFonts w:hint="eastAsia" w:ascii="宋体" w:hAnsi="宋体" w:cs="宋体"/>
          <w:b/>
          <w:color w:val="auto"/>
          <w:sz w:val="24"/>
          <w:highlight w:val="none"/>
        </w:rPr>
        <w:t>1.2 货物</w:t>
      </w:r>
      <w:bookmarkEnd w:id="18"/>
      <w:bookmarkEnd w:id="19"/>
      <w:bookmarkEnd w:id="20"/>
    </w:p>
    <w:p w14:paraId="6BBD32A3">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1.2.1 货物名称：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271AFECD">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1.2.2 货物数量：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097BAA30">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1.2.3 货物质量：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7C52F560">
      <w:pPr>
        <w:spacing w:line="560" w:lineRule="exact"/>
        <w:ind w:firstLine="482" w:firstLineChars="200"/>
        <w:outlineLvl w:val="0"/>
        <w:rPr>
          <w:rFonts w:ascii="宋体" w:hAnsi="宋体" w:cs="宋体"/>
          <w:b/>
          <w:color w:val="auto"/>
          <w:sz w:val="24"/>
          <w:highlight w:val="none"/>
        </w:rPr>
      </w:pPr>
      <w:bookmarkStart w:id="21" w:name="_Toc21551"/>
      <w:bookmarkStart w:id="22" w:name="_Toc23292"/>
      <w:bookmarkStart w:id="23" w:name="_Toc21631"/>
      <w:r>
        <w:rPr>
          <w:rFonts w:hint="eastAsia" w:ascii="宋体" w:hAnsi="宋体" w:cs="宋体"/>
          <w:b/>
          <w:color w:val="auto"/>
          <w:sz w:val="24"/>
          <w:highlight w:val="none"/>
        </w:rPr>
        <w:t>1.3 价款</w:t>
      </w:r>
      <w:bookmarkEnd w:id="21"/>
      <w:bookmarkEnd w:id="22"/>
      <w:bookmarkEnd w:id="23"/>
    </w:p>
    <w:p w14:paraId="5643BBB1">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本合同总价为：￥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元人民币）。</w:t>
      </w:r>
    </w:p>
    <w:p w14:paraId="49FFBB31">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E0A4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64B559A">
            <w:pPr>
              <w:pStyle w:val="106"/>
              <w:spacing w:line="560" w:lineRule="exact"/>
              <w:jc w:val="center"/>
              <w:rPr>
                <w:rFonts w:hAnsi="宋体" w:cs="宋体"/>
                <w:color w:val="auto"/>
                <w:sz w:val="24"/>
                <w:szCs w:val="24"/>
                <w:highlight w:val="none"/>
              </w:rPr>
            </w:pPr>
            <w:r>
              <w:rPr>
                <w:rFonts w:hint="eastAsia" w:hAnsi="宋体" w:cs="宋体"/>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7E90CD28">
            <w:pPr>
              <w:pStyle w:val="106"/>
              <w:spacing w:line="560" w:lineRule="exact"/>
              <w:ind w:firstLine="200"/>
              <w:jc w:val="center"/>
              <w:rPr>
                <w:rFonts w:hAnsi="宋体" w:cs="宋体"/>
                <w:color w:val="auto"/>
                <w:sz w:val="24"/>
                <w:szCs w:val="24"/>
                <w:highlight w:val="none"/>
              </w:rPr>
            </w:pPr>
            <w:r>
              <w:rPr>
                <w:rFonts w:hint="eastAsia" w:hAnsi="宋体" w:cs="宋体"/>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6667708B">
            <w:pPr>
              <w:pStyle w:val="106"/>
              <w:spacing w:line="560" w:lineRule="exact"/>
              <w:jc w:val="center"/>
              <w:rPr>
                <w:rFonts w:hAnsi="宋体" w:cs="宋体"/>
                <w:color w:val="auto"/>
                <w:sz w:val="24"/>
                <w:szCs w:val="24"/>
                <w:highlight w:val="none"/>
              </w:rPr>
            </w:pPr>
            <w:r>
              <w:rPr>
                <w:rFonts w:hint="eastAsia" w:hAnsi="宋体" w:cs="宋体"/>
                <w:color w:val="auto"/>
                <w:sz w:val="24"/>
                <w:szCs w:val="24"/>
                <w:highlight w:val="none"/>
              </w:rPr>
              <w:t>分项价格</w:t>
            </w:r>
          </w:p>
        </w:tc>
      </w:tr>
      <w:tr w14:paraId="21A20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9B7640C">
            <w:pPr>
              <w:pStyle w:val="106"/>
              <w:spacing w:line="560" w:lineRule="exact"/>
              <w:ind w:firstLine="200"/>
              <w:jc w:val="center"/>
              <w:rPr>
                <w:rFonts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526CC5CA">
            <w:pPr>
              <w:pStyle w:val="106"/>
              <w:spacing w:line="560" w:lineRule="exact"/>
              <w:ind w:firstLine="200"/>
              <w:jc w:val="center"/>
              <w:rPr>
                <w:rFonts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75F04B6">
            <w:pPr>
              <w:pStyle w:val="106"/>
              <w:spacing w:line="560" w:lineRule="exact"/>
              <w:ind w:firstLine="200"/>
              <w:jc w:val="center"/>
              <w:rPr>
                <w:rFonts w:hAnsi="宋体" w:cs="宋体"/>
                <w:color w:val="auto"/>
                <w:sz w:val="24"/>
                <w:szCs w:val="24"/>
                <w:highlight w:val="none"/>
              </w:rPr>
            </w:pPr>
          </w:p>
        </w:tc>
      </w:tr>
      <w:tr w14:paraId="47554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71A13EB">
            <w:pPr>
              <w:pStyle w:val="106"/>
              <w:spacing w:line="560" w:lineRule="exact"/>
              <w:ind w:firstLine="200"/>
              <w:jc w:val="center"/>
              <w:rPr>
                <w:rFonts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083371D">
            <w:pPr>
              <w:pStyle w:val="106"/>
              <w:spacing w:line="560" w:lineRule="exact"/>
              <w:ind w:firstLine="200"/>
              <w:jc w:val="center"/>
              <w:rPr>
                <w:rFonts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BE5090C">
            <w:pPr>
              <w:pStyle w:val="106"/>
              <w:spacing w:line="560" w:lineRule="exact"/>
              <w:ind w:firstLine="200"/>
              <w:jc w:val="center"/>
              <w:rPr>
                <w:rFonts w:hAnsi="宋体" w:cs="宋体"/>
                <w:color w:val="auto"/>
                <w:sz w:val="24"/>
                <w:szCs w:val="24"/>
                <w:highlight w:val="none"/>
              </w:rPr>
            </w:pPr>
          </w:p>
        </w:tc>
      </w:tr>
      <w:tr w14:paraId="2E65B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77F1903">
            <w:pPr>
              <w:pStyle w:val="106"/>
              <w:spacing w:line="560" w:lineRule="exact"/>
              <w:ind w:firstLine="200"/>
              <w:jc w:val="center"/>
              <w:rPr>
                <w:rFonts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64ECCF1">
            <w:pPr>
              <w:pStyle w:val="106"/>
              <w:spacing w:line="560" w:lineRule="exact"/>
              <w:ind w:firstLine="200"/>
              <w:jc w:val="center"/>
              <w:rPr>
                <w:rFonts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1718C845">
            <w:pPr>
              <w:pStyle w:val="106"/>
              <w:spacing w:line="560" w:lineRule="exact"/>
              <w:ind w:firstLine="200"/>
              <w:jc w:val="center"/>
              <w:rPr>
                <w:rFonts w:hAnsi="宋体" w:cs="宋体"/>
                <w:color w:val="auto"/>
                <w:sz w:val="24"/>
                <w:szCs w:val="24"/>
                <w:highlight w:val="none"/>
              </w:rPr>
            </w:pPr>
          </w:p>
        </w:tc>
      </w:tr>
      <w:tr w14:paraId="379F4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16A782D">
            <w:pPr>
              <w:pStyle w:val="106"/>
              <w:spacing w:line="560" w:lineRule="exact"/>
              <w:ind w:firstLine="200"/>
              <w:jc w:val="center"/>
              <w:rPr>
                <w:rFonts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4FB9B16">
            <w:pPr>
              <w:pStyle w:val="106"/>
              <w:spacing w:line="560" w:lineRule="exact"/>
              <w:ind w:firstLine="200"/>
              <w:jc w:val="center"/>
              <w:rPr>
                <w:rFonts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D7F9F93">
            <w:pPr>
              <w:pStyle w:val="106"/>
              <w:spacing w:line="560" w:lineRule="exact"/>
              <w:ind w:firstLine="200"/>
              <w:jc w:val="center"/>
              <w:rPr>
                <w:rFonts w:hAnsi="宋体" w:cs="宋体"/>
                <w:color w:val="auto"/>
                <w:sz w:val="24"/>
                <w:szCs w:val="24"/>
                <w:highlight w:val="none"/>
              </w:rPr>
            </w:pPr>
          </w:p>
        </w:tc>
      </w:tr>
      <w:tr w14:paraId="5EEE1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07BCC497">
            <w:pPr>
              <w:pStyle w:val="106"/>
              <w:spacing w:line="560" w:lineRule="exact"/>
              <w:ind w:firstLine="200"/>
              <w:jc w:val="center"/>
              <w:rPr>
                <w:rFonts w:hAnsi="宋体" w:cs="宋体"/>
                <w:color w:val="auto"/>
                <w:sz w:val="24"/>
                <w:szCs w:val="24"/>
                <w:highlight w:val="none"/>
              </w:rPr>
            </w:pPr>
            <w:r>
              <w:rPr>
                <w:rFonts w:hint="eastAsia" w:hAnsi="宋体" w:cs="宋体"/>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2691F5F7">
            <w:pPr>
              <w:pStyle w:val="106"/>
              <w:spacing w:line="560" w:lineRule="exact"/>
              <w:ind w:firstLine="200"/>
              <w:jc w:val="center"/>
              <w:rPr>
                <w:rFonts w:hAnsi="宋体" w:cs="宋体"/>
                <w:color w:val="auto"/>
                <w:sz w:val="24"/>
                <w:szCs w:val="24"/>
                <w:highlight w:val="none"/>
              </w:rPr>
            </w:pPr>
          </w:p>
        </w:tc>
      </w:tr>
    </w:tbl>
    <w:p w14:paraId="2FB33517">
      <w:pPr>
        <w:spacing w:line="560" w:lineRule="exact"/>
        <w:ind w:firstLine="482" w:firstLineChars="200"/>
        <w:outlineLvl w:val="0"/>
        <w:rPr>
          <w:rFonts w:ascii="宋体" w:hAnsi="宋体" w:cs="宋体"/>
          <w:b/>
          <w:color w:val="auto"/>
          <w:sz w:val="24"/>
          <w:highlight w:val="none"/>
        </w:rPr>
      </w:pPr>
      <w:bookmarkStart w:id="24" w:name="_Toc10340"/>
      <w:bookmarkStart w:id="25" w:name="_Toc22618"/>
      <w:bookmarkStart w:id="26" w:name="_Toc1814"/>
      <w:r>
        <w:rPr>
          <w:rFonts w:hint="eastAsia" w:ascii="宋体" w:hAnsi="宋体" w:cs="宋体"/>
          <w:b/>
          <w:color w:val="auto"/>
          <w:sz w:val="24"/>
          <w:highlight w:val="none"/>
        </w:rPr>
        <w:t>1.4 付款</w:t>
      </w:r>
      <w:bookmarkEnd w:id="24"/>
      <w:bookmarkEnd w:id="25"/>
      <w:bookmarkEnd w:id="26"/>
      <w:r>
        <w:rPr>
          <w:rFonts w:hint="eastAsia" w:ascii="宋体" w:hAnsi="宋体" w:cs="宋体"/>
          <w:b/>
          <w:color w:val="auto"/>
          <w:sz w:val="24"/>
          <w:highlight w:val="none"/>
        </w:rPr>
        <w:t>方式、时间和条件</w:t>
      </w:r>
    </w:p>
    <w:p w14:paraId="62B62EB7">
      <w:pPr>
        <w:pStyle w:val="617"/>
        <w:spacing w:before="0" w:beforeAutospacing="0" w:after="0" w:afterAutospacing="0" w:line="360" w:lineRule="auto"/>
        <w:ind w:firstLine="480"/>
        <w:rPr>
          <w:color w:val="auto"/>
          <w:highlight w:val="none"/>
        </w:rPr>
      </w:pPr>
      <w:r>
        <w:rPr>
          <w:rFonts w:hint="eastAsia"/>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B76F83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1.4.2合同预付款比例为合同金额的40％；项目分年安排预算的，每年预付款比例为项目年度计划支付资金额的40％；采购项目实施以人工投入为主的，预付款比例为合同金额的20%。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乙方可登录政采云前台大厅选择金融服务 - 【保函保险服务】出具预付款保函，具体步骤：选择产品—填写供应商信息—选择中标项目—确认信息—等待保险/保函受理—确认保单—支付保费—成功出单。政采云金融专线400-903-9583。</w:t>
      </w:r>
    </w:p>
    <w:p w14:paraId="6C5E8880">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14:paraId="54EF8F38">
      <w:pPr>
        <w:spacing w:line="56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1.4.4资金支付的方式、时间和条件详见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299A70C6">
      <w:pPr>
        <w:spacing w:line="56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1.4.5</w:t>
      </w:r>
      <w:r>
        <w:rPr>
          <w:rFonts w:hint="eastAsia" w:ascii="宋体" w:hAnsi="宋体" w:cs="宋体"/>
          <w:color w:val="auto"/>
          <w:kern w:val="0"/>
          <w:sz w:val="24"/>
          <w:highlight w:val="none"/>
        </w:rPr>
        <w:t>对于满足合同约定的采购资金支付条件的，乙方可通过政采云平台提起在线支付申请、查询支付结果，路径为政采云-我的工作台-合同管理-支付管理。对于乙方提起在线支付申请的，甲方应当按规定做好审核并完成支付。</w:t>
      </w:r>
    </w:p>
    <w:p w14:paraId="76847F13">
      <w:pPr>
        <w:spacing w:line="560" w:lineRule="exact"/>
        <w:ind w:firstLine="482" w:firstLineChars="200"/>
        <w:outlineLvl w:val="0"/>
        <w:rPr>
          <w:rFonts w:ascii="宋体" w:hAnsi="宋体" w:cs="宋体"/>
          <w:b/>
          <w:color w:val="auto"/>
          <w:sz w:val="24"/>
          <w:highlight w:val="none"/>
        </w:rPr>
      </w:pPr>
      <w:bookmarkStart w:id="27" w:name="_Toc32071"/>
      <w:bookmarkStart w:id="28" w:name="_Toc2846"/>
      <w:bookmarkStart w:id="29" w:name="_Toc19304"/>
      <w:r>
        <w:rPr>
          <w:rFonts w:hint="eastAsia" w:ascii="宋体" w:hAnsi="宋体" w:cs="宋体"/>
          <w:b/>
          <w:color w:val="auto"/>
          <w:sz w:val="24"/>
          <w:highlight w:val="none"/>
        </w:rPr>
        <w:t>1.5 货物交付期限、地点和方式</w:t>
      </w:r>
      <w:bookmarkEnd w:id="27"/>
      <w:bookmarkEnd w:id="28"/>
      <w:bookmarkEnd w:id="29"/>
    </w:p>
    <w:p w14:paraId="5AB1451E">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1.5.1 交付期限：详见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73836EB9">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1.5.2 交付地点：</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41412279">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1.5.3 交付方式：</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179E8FF4">
      <w:pPr>
        <w:spacing w:line="560" w:lineRule="exact"/>
        <w:ind w:firstLine="482" w:firstLineChars="200"/>
        <w:outlineLvl w:val="0"/>
        <w:rPr>
          <w:rFonts w:ascii="宋体" w:hAnsi="宋体" w:cs="宋体"/>
          <w:b/>
          <w:color w:val="auto"/>
          <w:sz w:val="24"/>
          <w:highlight w:val="none"/>
        </w:rPr>
      </w:pPr>
      <w:bookmarkStart w:id="30" w:name="_Toc19554"/>
      <w:bookmarkStart w:id="31" w:name="_Toc21423"/>
      <w:bookmarkStart w:id="32" w:name="_Toc27250"/>
      <w:r>
        <w:rPr>
          <w:rFonts w:hint="eastAsia" w:ascii="宋体" w:hAnsi="宋体" w:cs="宋体"/>
          <w:b/>
          <w:color w:val="auto"/>
          <w:sz w:val="24"/>
          <w:highlight w:val="none"/>
        </w:rPr>
        <w:t>1.6 违约责任</w:t>
      </w:r>
      <w:bookmarkEnd w:id="30"/>
      <w:bookmarkEnd w:id="31"/>
      <w:bookmarkEnd w:id="32"/>
    </w:p>
    <w:p w14:paraId="73D62447">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color w:val="auto"/>
          <w:sz w:val="24"/>
          <w:highlight w:val="none"/>
          <w:u w:val="single"/>
        </w:rPr>
        <w:t xml:space="preserve">  0.05  </w:t>
      </w:r>
      <w:r>
        <w:rPr>
          <w:rFonts w:hint="eastAsia" w:ascii="宋体" w:hAnsi="宋体" w:cs="宋体"/>
          <w:color w:val="auto"/>
          <w:sz w:val="24"/>
          <w:highlight w:val="none"/>
        </w:rPr>
        <w:t>%计算，最高限额为本合同价的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%；迟延交付货物的违约金计算数额达到前述最高限额之日起，甲方有权在要求乙方支付违约金的同时，书面通知乙方解除本合同；</w:t>
      </w:r>
    </w:p>
    <w:p w14:paraId="45CA2380">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1.6.2 除不可抗力外，如果甲方没有按照本合同约定的付款方式付款，那么乙方可要求甲方支付违约金，违约金按每迟延付款一日的应付而未付款的</w:t>
      </w:r>
      <w:r>
        <w:rPr>
          <w:rFonts w:hint="eastAsia" w:ascii="宋体" w:hAnsi="宋体" w:cs="宋体"/>
          <w:color w:val="auto"/>
          <w:sz w:val="24"/>
          <w:highlight w:val="none"/>
          <w:u w:val="single"/>
        </w:rPr>
        <w:t xml:space="preserve">  0.05  </w:t>
      </w:r>
      <w:r>
        <w:rPr>
          <w:rFonts w:hint="eastAsia" w:ascii="宋体" w:hAnsi="宋体" w:cs="宋体"/>
          <w:color w:val="auto"/>
          <w:sz w:val="24"/>
          <w:highlight w:val="none"/>
        </w:rPr>
        <w:t>%计算，最高限额为本合同价的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%；迟延付款的违约金计算数额达到前述最高限额之日起，乙方有权在要求甲方支付违约金的同时，书面通知甲方解除本合同；</w:t>
      </w:r>
    </w:p>
    <w:p w14:paraId="3E185357">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FAAB454">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1D3EC971">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680A881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14:paraId="0F487D88">
      <w:pPr>
        <w:spacing w:line="560" w:lineRule="exact"/>
        <w:ind w:left="-420" w:leftChars="-200" w:right="-420" w:rightChars="-200" w:firstLine="960" w:firstLineChars="400"/>
        <w:rPr>
          <w:rFonts w:ascii="宋体" w:hAnsi="宋体" w:cs="宋体"/>
          <w:color w:val="auto"/>
          <w:highlight w:val="none"/>
        </w:rPr>
      </w:pPr>
      <w:r>
        <w:rPr>
          <w:rFonts w:hint="eastAsia" w:ascii="宋体" w:hAnsi="宋体" w:cs="宋体"/>
          <w:color w:val="auto"/>
          <w:sz w:val="24"/>
          <w:highlight w:val="none"/>
        </w:rPr>
        <w:t>1.6.7违约责任</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另有约定的，从其约定。</w:t>
      </w:r>
    </w:p>
    <w:p w14:paraId="0D68A43B">
      <w:pPr>
        <w:spacing w:line="560" w:lineRule="exact"/>
        <w:ind w:firstLine="482" w:firstLineChars="200"/>
        <w:outlineLvl w:val="0"/>
        <w:rPr>
          <w:rFonts w:ascii="宋体" w:hAnsi="宋体" w:cs="宋体"/>
          <w:b/>
          <w:color w:val="auto"/>
          <w:sz w:val="24"/>
          <w:highlight w:val="none"/>
        </w:rPr>
      </w:pPr>
      <w:bookmarkStart w:id="33" w:name="_Toc16021"/>
      <w:bookmarkStart w:id="34" w:name="_Toc15583"/>
      <w:bookmarkStart w:id="35" w:name="_Toc28375"/>
      <w:r>
        <w:rPr>
          <w:rFonts w:hint="eastAsia" w:ascii="宋体" w:hAnsi="宋体" w:cs="宋体"/>
          <w:b/>
          <w:color w:val="auto"/>
          <w:sz w:val="24"/>
          <w:highlight w:val="none"/>
        </w:rPr>
        <w:t>1.7 合同争议的解决</w:t>
      </w:r>
      <w:bookmarkEnd w:id="33"/>
      <w:bookmarkEnd w:id="34"/>
      <w:bookmarkEnd w:id="35"/>
    </w:p>
    <w:p w14:paraId="2359D491">
      <w:pPr>
        <w:spacing w:line="560" w:lineRule="exact"/>
        <w:ind w:left="-61" w:leftChars="-29" w:right="-420" w:rightChars="-200" w:firstLine="240" w:firstLineChars="100"/>
        <w:rPr>
          <w:rFonts w:ascii="宋体" w:hAnsi="宋体" w:cs="宋体"/>
          <w:color w:val="auto"/>
          <w:sz w:val="24"/>
          <w:highlight w:val="none"/>
        </w:rPr>
      </w:pPr>
      <w:r>
        <w:rPr>
          <w:rFonts w:hint="eastAsia" w:ascii="宋体" w:hAnsi="宋体" w:cs="宋体"/>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cs="宋体"/>
          <w:b/>
          <w:i/>
          <w:color w:val="auto"/>
          <w:sz w:val="24"/>
          <w:highlight w:val="none"/>
          <w:u w:val="single"/>
        </w:rPr>
        <w:t xml:space="preserve"> 合同专用条款  </w:t>
      </w:r>
      <w:r>
        <w:rPr>
          <w:rFonts w:hint="eastAsia" w:ascii="宋体" w:hAnsi="宋体" w:cs="宋体"/>
          <w:color w:val="auto"/>
          <w:sz w:val="24"/>
          <w:highlight w:val="none"/>
        </w:rPr>
        <w:t>条款规定的方式解决：</w:t>
      </w:r>
    </w:p>
    <w:p w14:paraId="40A34898">
      <w:pPr>
        <w:spacing w:line="560" w:lineRule="exact"/>
        <w:ind w:left="-420" w:leftChars="-200" w:right="-420" w:rightChars="-200" w:firstLine="600" w:firstLineChars="250"/>
        <w:rPr>
          <w:rFonts w:ascii="宋体" w:hAnsi="宋体" w:cs="宋体"/>
          <w:color w:val="auto"/>
          <w:sz w:val="24"/>
          <w:highlight w:val="none"/>
        </w:rPr>
      </w:pPr>
      <w:r>
        <w:rPr>
          <w:rFonts w:hint="eastAsia" w:ascii="宋体" w:hAnsi="宋体" w:cs="宋体"/>
          <w:color w:val="auto"/>
          <w:sz w:val="24"/>
          <w:highlight w:val="none"/>
        </w:rPr>
        <w:t>1.7.1 将争议提交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仲裁委员会依申请仲裁时其现行有效的仲裁规则裁决；</w:t>
      </w:r>
    </w:p>
    <w:p w14:paraId="27E5F02C">
      <w:pPr>
        <w:spacing w:line="560" w:lineRule="exact"/>
        <w:ind w:left="-420" w:leftChars="-200" w:right="-420" w:rightChars="-200" w:firstLine="600" w:firstLineChars="250"/>
        <w:rPr>
          <w:rFonts w:ascii="宋体" w:hAnsi="宋体" w:cs="宋体"/>
          <w:color w:val="auto"/>
          <w:sz w:val="24"/>
          <w:highlight w:val="none"/>
        </w:rPr>
      </w:pPr>
      <w:r>
        <w:rPr>
          <w:rFonts w:hint="eastAsia" w:ascii="宋体" w:hAnsi="宋体" w:cs="宋体"/>
          <w:color w:val="auto"/>
          <w:sz w:val="24"/>
          <w:highlight w:val="none"/>
        </w:rPr>
        <w:t>1.7.2 向</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人民法院起诉。</w:t>
      </w:r>
    </w:p>
    <w:p w14:paraId="4B36BCC9">
      <w:pPr>
        <w:spacing w:line="560" w:lineRule="exact"/>
        <w:ind w:firstLine="482" w:firstLineChars="200"/>
        <w:outlineLvl w:val="0"/>
        <w:rPr>
          <w:rFonts w:ascii="宋体" w:hAnsi="宋体" w:cs="宋体"/>
          <w:b/>
          <w:color w:val="auto"/>
          <w:sz w:val="24"/>
          <w:highlight w:val="none"/>
        </w:rPr>
      </w:pPr>
      <w:bookmarkStart w:id="36" w:name="_Toc15322"/>
      <w:bookmarkStart w:id="37" w:name="_Toc7245"/>
      <w:bookmarkStart w:id="38" w:name="_Toc11173"/>
      <w:r>
        <w:rPr>
          <w:rFonts w:hint="eastAsia" w:ascii="宋体" w:hAnsi="宋体" w:cs="宋体"/>
          <w:b/>
          <w:color w:val="auto"/>
          <w:sz w:val="24"/>
          <w:highlight w:val="none"/>
        </w:rPr>
        <w:t>1.8 合同生效</w:t>
      </w:r>
      <w:bookmarkEnd w:id="36"/>
      <w:bookmarkEnd w:id="37"/>
      <w:bookmarkEnd w:id="38"/>
    </w:p>
    <w:p w14:paraId="03C1B564">
      <w:pPr>
        <w:spacing w:line="56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本合同自双方当事人盖章或者签字时生效。</w:t>
      </w:r>
    </w:p>
    <w:p w14:paraId="3CAE9DCD">
      <w:pPr>
        <w:autoSpaceDE w:val="0"/>
        <w:autoSpaceDN w:val="0"/>
        <w:spacing w:line="560" w:lineRule="exact"/>
        <w:rPr>
          <w:rFonts w:ascii="宋体" w:hAnsi="宋体" w:cs="宋体"/>
          <w:color w:val="auto"/>
          <w:sz w:val="24"/>
          <w:highlight w:val="none"/>
          <w:lang w:val="zh-CN"/>
        </w:rPr>
      </w:pPr>
    </w:p>
    <w:p w14:paraId="2F78FF1A">
      <w:pPr>
        <w:autoSpaceDE w:val="0"/>
        <w:autoSpaceDN w:val="0"/>
        <w:spacing w:line="560" w:lineRule="exact"/>
        <w:rPr>
          <w:rFonts w:ascii="宋体" w:hAnsi="宋体" w:cs="宋体"/>
          <w:color w:val="auto"/>
          <w:sz w:val="24"/>
          <w:highlight w:val="none"/>
          <w:lang w:val="zh-CN"/>
        </w:rPr>
      </w:pPr>
      <w:r>
        <w:rPr>
          <w:rFonts w:hint="eastAsia" w:ascii="宋体" w:hAnsi="宋体" w:cs="宋体"/>
          <w:b/>
          <w:color w:val="auto"/>
          <w:sz w:val="24"/>
          <w:highlight w:val="none"/>
          <w:lang w:val="zh-CN"/>
        </w:rPr>
        <w:t>甲方</w:t>
      </w:r>
      <w:r>
        <w:rPr>
          <w:rFonts w:hint="eastAsia" w:ascii="宋体" w:hAnsi="宋体" w:cs="宋体"/>
          <w:color w:val="auto"/>
          <w:sz w:val="24"/>
          <w:highlight w:val="none"/>
          <w:lang w:val="zh-CN"/>
        </w:rPr>
        <w:t xml:space="preserve">：                             </w:t>
      </w:r>
      <w:r>
        <w:rPr>
          <w:rFonts w:hint="eastAsia" w:ascii="宋体" w:hAnsi="宋体" w:cs="宋体"/>
          <w:b/>
          <w:color w:val="auto"/>
          <w:sz w:val="24"/>
          <w:highlight w:val="none"/>
          <w:lang w:val="zh-CN"/>
        </w:rPr>
        <w:t xml:space="preserve">      乙方</w:t>
      </w:r>
      <w:r>
        <w:rPr>
          <w:rFonts w:hint="eastAsia" w:ascii="宋体" w:hAnsi="宋体" w:cs="宋体"/>
          <w:color w:val="auto"/>
          <w:sz w:val="24"/>
          <w:highlight w:val="none"/>
          <w:lang w:val="zh-CN"/>
        </w:rPr>
        <w:t>：</w:t>
      </w:r>
    </w:p>
    <w:p w14:paraId="4BA61E4C">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统一社会信用代码：                        统一社会信用代码或身份证号码：</w:t>
      </w:r>
    </w:p>
    <w:p w14:paraId="231FCBC1">
      <w:pPr>
        <w:autoSpaceDE w:val="0"/>
        <w:autoSpaceDN w:val="0"/>
        <w:spacing w:line="560" w:lineRule="exact"/>
        <w:rPr>
          <w:rFonts w:ascii="宋体" w:hAnsi="宋体" w:cs="宋体"/>
          <w:color w:val="auto"/>
          <w:sz w:val="24"/>
          <w:highlight w:val="none"/>
          <w:lang w:val="zh-CN"/>
        </w:rPr>
      </w:pPr>
    </w:p>
    <w:p w14:paraId="489A40CB">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住所：                                   住所：</w:t>
      </w:r>
    </w:p>
    <w:p w14:paraId="56BD1A61">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法定代表人或                             法定代表人</w:t>
      </w:r>
    </w:p>
    <w:p w14:paraId="5E74D292">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 xml:space="preserve">授权代表（签字）：                        或授权代表（签字）： </w:t>
      </w:r>
    </w:p>
    <w:p w14:paraId="5E4FF34C">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联系人：                                 联系人：</w:t>
      </w:r>
    </w:p>
    <w:p w14:paraId="4B2E8B19">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约定送达地址：                           约定送达地址：</w:t>
      </w:r>
    </w:p>
    <w:p w14:paraId="2BA02C4F">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邮政编码：                               邮政编码：</w:t>
      </w:r>
    </w:p>
    <w:p w14:paraId="11A2077F">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 xml:space="preserve">电话：                                    电话： </w:t>
      </w:r>
    </w:p>
    <w:p w14:paraId="50867201">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传真：                                    传真：</w:t>
      </w:r>
    </w:p>
    <w:p w14:paraId="240ED8CC">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lang w:val="zh-CN"/>
        </w:rPr>
        <w:t>电子邮箱：                               电子邮箱：</w:t>
      </w:r>
    </w:p>
    <w:p w14:paraId="33E3F359">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rPr>
        <w:t xml:space="preserve">开户银行：                               开户银行： </w:t>
      </w:r>
    </w:p>
    <w:p w14:paraId="79DF7166">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rPr>
        <w:t xml:space="preserve">开户名称：                               开户名称： </w:t>
      </w:r>
    </w:p>
    <w:p w14:paraId="2A1AC7C8">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rPr>
        <w:t>开户账号：</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开户账号：</w:t>
      </w:r>
    </w:p>
    <w:p w14:paraId="0A73F70D">
      <w:pPr>
        <w:widowControl/>
        <w:spacing w:line="560" w:lineRule="exact"/>
        <w:jc w:val="left"/>
        <w:rPr>
          <w:rFonts w:ascii="宋体" w:hAnsi="宋体" w:cs="宋体"/>
          <w:b/>
          <w:color w:val="auto"/>
          <w:sz w:val="24"/>
          <w:highlight w:val="none"/>
        </w:rPr>
      </w:pPr>
      <w:bookmarkStart w:id="39" w:name="_Toc331685783"/>
    </w:p>
    <w:p w14:paraId="40BCAA06">
      <w:pPr>
        <w:widowControl/>
        <w:adjustRightInd/>
        <w:jc w:val="left"/>
        <w:rPr>
          <w:rFonts w:ascii="宋体" w:hAnsi="宋体" w:cs="宋体"/>
          <w:b/>
          <w:color w:val="auto"/>
          <w:sz w:val="24"/>
          <w:highlight w:val="none"/>
        </w:rPr>
      </w:pPr>
      <w:r>
        <w:rPr>
          <w:rFonts w:ascii="宋体" w:hAnsi="宋体" w:cs="宋体"/>
          <w:b/>
          <w:color w:val="auto"/>
          <w:highlight w:val="none"/>
        </w:rPr>
        <w:br w:type="page"/>
      </w:r>
    </w:p>
    <w:p w14:paraId="7F175036">
      <w:pPr>
        <w:pStyle w:val="385"/>
        <w:spacing w:line="560" w:lineRule="exact"/>
        <w:ind w:firstLine="482"/>
        <w:jc w:val="center"/>
        <w:rPr>
          <w:rFonts w:ascii="宋体" w:hAnsi="宋体" w:cs="宋体"/>
          <w:b/>
          <w:color w:val="auto"/>
          <w:szCs w:val="24"/>
          <w:highlight w:val="none"/>
        </w:rPr>
      </w:pPr>
      <w:r>
        <w:rPr>
          <w:rFonts w:hint="eastAsia" w:ascii="宋体" w:hAnsi="宋体" w:cs="宋体"/>
          <w:b/>
          <w:color w:val="auto"/>
          <w:szCs w:val="24"/>
          <w:highlight w:val="none"/>
        </w:rPr>
        <w:t>第二部分 合同一般条款</w:t>
      </w:r>
      <w:bookmarkEnd w:id="39"/>
    </w:p>
    <w:p w14:paraId="790D50C6">
      <w:pPr>
        <w:spacing w:line="560" w:lineRule="exact"/>
        <w:ind w:firstLine="482" w:firstLineChars="200"/>
        <w:outlineLvl w:val="0"/>
        <w:rPr>
          <w:rFonts w:ascii="宋体" w:hAnsi="宋体" w:cs="宋体"/>
          <w:b/>
          <w:color w:val="auto"/>
          <w:sz w:val="24"/>
          <w:highlight w:val="none"/>
        </w:rPr>
      </w:pPr>
      <w:bookmarkStart w:id="40" w:name="_Ref467379225"/>
      <w:bookmarkStart w:id="41" w:name="_Ref467378463"/>
      <w:bookmarkStart w:id="42" w:name="_Toc487900349"/>
      <w:bookmarkStart w:id="43" w:name="_Ref467379101"/>
      <w:bookmarkStart w:id="44" w:name="_Ref467379094"/>
      <w:bookmarkStart w:id="45" w:name="_Ref467379109"/>
      <w:bookmarkStart w:id="46" w:name="_Ref467378499"/>
      <w:bookmarkStart w:id="47" w:name="_Toc279701240"/>
      <w:bookmarkStart w:id="48" w:name="_Ref467379214"/>
      <w:bookmarkStart w:id="49" w:name="_Ref467378404"/>
      <w:bookmarkStart w:id="50" w:name="_Toc259093669"/>
      <w:bookmarkStart w:id="51" w:name="_Ref467379195"/>
      <w:bookmarkStart w:id="52" w:name="_Toc16917"/>
      <w:bookmarkStart w:id="53" w:name="_Toc19614"/>
      <w:bookmarkStart w:id="54" w:name="_Ref467379205"/>
      <w:bookmarkStart w:id="55" w:name="_Toc28763"/>
      <w:r>
        <w:rPr>
          <w:rFonts w:hint="eastAsia" w:ascii="宋体" w:hAnsi="宋体" w:cs="宋体"/>
          <w:b/>
          <w:color w:val="auto"/>
          <w:sz w:val="24"/>
          <w:highlight w:val="none"/>
        </w:rPr>
        <w:t>2.1 定义</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362026C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本合同中的下列词语应按以下内容进行解释：</w:t>
      </w:r>
    </w:p>
    <w:p w14:paraId="0A85EFD6">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2.1.1 “合同”系指采购人和中标供应商签订的载明双方当事人所达成的协议，并包括所有的附件、附录和构成合同的其他文件。</w:t>
      </w:r>
    </w:p>
    <w:p w14:paraId="5F1D46A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 “合同价”系指根据合同约定，中标供应商在完全履行合同义务后，采购人应支付给中标供应商的价格。</w:t>
      </w:r>
    </w:p>
    <w:p w14:paraId="4953AB5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14:paraId="3F7E09B2">
      <w:pPr>
        <w:spacing w:line="560" w:lineRule="exact"/>
        <w:ind w:firstLine="480" w:firstLineChars="200"/>
        <w:rPr>
          <w:rFonts w:ascii="宋体" w:hAnsi="宋体" w:cs="宋体"/>
          <w:color w:val="auto"/>
          <w:sz w:val="24"/>
          <w:highlight w:val="none"/>
        </w:rPr>
      </w:pPr>
      <w:bookmarkStart w:id="56" w:name="_Ref467378840"/>
      <w:r>
        <w:rPr>
          <w:rFonts w:hint="eastAsia" w:ascii="宋体" w:hAnsi="宋体" w:cs="宋体"/>
          <w:color w:val="auto"/>
          <w:sz w:val="24"/>
          <w:highlight w:val="none"/>
        </w:rPr>
        <w:t>2.1.4 “甲方”系指与中标供应商签署合同的采购人</w:t>
      </w:r>
      <w:bookmarkEnd w:id="56"/>
      <w:r>
        <w:rPr>
          <w:rFonts w:hint="eastAsia" w:ascii="宋体" w:hAnsi="宋体" w:cs="宋体"/>
          <w:color w:val="auto"/>
          <w:sz w:val="24"/>
          <w:highlight w:val="none"/>
        </w:rPr>
        <w:t>；采购人委托采购代理机构代表其与乙方签订合同的，采购人的授权委托书作为合同附件。</w:t>
      </w:r>
    </w:p>
    <w:p w14:paraId="1FF3BEDF">
      <w:pPr>
        <w:spacing w:line="560" w:lineRule="exact"/>
        <w:ind w:firstLine="480" w:firstLineChars="200"/>
        <w:rPr>
          <w:rFonts w:ascii="宋体" w:hAnsi="宋体" w:cs="宋体"/>
          <w:color w:val="auto"/>
          <w:sz w:val="24"/>
          <w:highlight w:val="none"/>
        </w:rPr>
      </w:pPr>
      <w:bookmarkStart w:id="57" w:name="_Ref467379400"/>
      <w:r>
        <w:rPr>
          <w:rFonts w:hint="eastAsia" w:ascii="宋体" w:hAnsi="宋体" w:cs="宋体"/>
          <w:color w:val="auto"/>
          <w:sz w:val="24"/>
          <w:highlight w:val="none"/>
        </w:rPr>
        <w:t>2.1.5 “乙方”系指根据合同约定交付货物的中标供应商</w:t>
      </w:r>
      <w:bookmarkEnd w:id="57"/>
      <w:r>
        <w:rPr>
          <w:rFonts w:hint="eastAsia" w:ascii="宋体" w:hAnsi="宋体" w:cs="宋体"/>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1A2D0F47">
      <w:pPr>
        <w:spacing w:line="560" w:lineRule="exact"/>
        <w:ind w:firstLine="480" w:firstLineChars="200"/>
        <w:rPr>
          <w:rFonts w:ascii="宋体" w:hAnsi="宋体" w:cs="宋体"/>
          <w:color w:val="auto"/>
          <w:sz w:val="24"/>
          <w:highlight w:val="none"/>
        </w:rPr>
      </w:pPr>
      <w:bookmarkStart w:id="58" w:name="_Ref467379436"/>
      <w:r>
        <w:rPr>
          <w:rFonts w:hint="eastAsia" w:ascii="宋体" w:hAnsi="宋体" w:cs="宋体"/>
          <w:color w:val="auto"/>
          <w:sz w:val="24"/>
          <w:highlight w:val="none"/>
        </w:rPr>
        <w:t>2.1.6 “现场”系指合同约定货物将要运至或者安装的地点。</w:t>
      </w:r>
      <w:bookmarkEnd w:id="58"/>
    </w:p>
    <w:p w14:paraId="702B8519">
      <w:pPr>
        <w:spacing w:line="560" w:lineRule="exact"/>
        <w:ind w:firstLine="482" w:firstLineChars="200"/>
        <w:outlineLvl w:val="0"/>
        <w:rPr>
          <w:rFonts w:ascii="宋体" w:hAnsi="宋体" w:cs="宋体"/>
          <w:b/>
          <w:color w:val="auto"/>
          <w:sz w:val="24"/>
          <w:highlight w:val="none"/>
        </w:rPr>
      </w:pPr>
      <w:bookmarkStart w:id="59" w:name="_Toc279701241"/>
      <w:bookmarkStart w:id="60" w:name="_Toc487900350"/>
      <w:bookmarkStart w:id="61" w:name="_Toc27635"/>
      <w:bookmarkStart w:id="62" w:name="_Toc13336"/>
      <w:bookmarkStart w:id="63" w:name="_Toc32504"/>
      <w:bookmarkStart w:id="64" w:name="_Toc259093670"/>
      <w:r>
        <w:rPr>
          <w:rFonts w:hint="eastAsia" w:ascii="宋体" w:hAnsi="宋体" w:cs="宋体"/>
          <w:b/>
          <w:color w:val="auto"/>
          <w:sz w:val="24"/>
          <w:highlight w:val="none"/>
        </w:rPr>
        <w:t>2.2 技术规范</w:t>
      </w:r>
      <w:bookmarkEnd w:id="59"/>
      <w:bookmarkEnd w:id="60"/>
      <w:bookmarkEnd w:id="61"/>
      <w:bookmarkEnd w:id="62"/>
      <w:bookmarkEnd w:id="63"/>
      <w:bookmarkEnd w:id="64"/>
    </w:p>
    <w:p w14:paraId="70B704E3">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货物所应遵守的技术规范应与招标文件规定的技术规范和技术规范附件（如果有的话）及其技术规范偏差表（如果被甲方接受的话）相一致；如果招标文件中没有技术规范的相应说明，那么应以国家有关部门最新颁布的相应标准和规范为准。</w:t>
      </w:r>
    </w:p>
    <w:p w14:paraId="70066565">
      <w:pPr>
        <w:spacing w:line="560" w:lineRule="exact"/>
        <w:ind w:firstLine="482" w:firstLineChars="200"/>
        <w:outlineLvl w:val="0"/>
        <w:rPr>
          <w:rFonts w:ascii="宋体" w:hAnsi="宋体" w:cs="宋体"/>
          <w:b/>
          <w:color w:val="auto"/>
          <w:sz w:val="24"/>
          <w:highlight w:val="none"/>
        </w:rPr>
      </w:pPr>
      <w:bookmarkStart w:id="65" w:name="_Toc31634"/>
      <w:bookmarkStart w:id="66" w:name="_Toc259093671"/>
      <w:bookmarkStart w:id="67" w:name="_Toc27853"/>
      <w:bookmarkStart w:id="68" w:name="_Toc279701242"/>
      <w:bookmarkStart w:id="69" w:name="_Toc487900351"/>
      <w:bookmarkStart w:id="70" w:name="_Toc9829"/>
      <w:r>
        <w:rPr>
          <w:rFonts w:hint="eastAsia" w:ascii="宋体" w:hAnsi="宋体" w:cs="宋体"/>
          <w:b/>
          <w:color w:val="auto"/>
          <w:sz w:val="24"/>
          <w:highlight w:val="none"/>
        </w:rPr>
        <w:t>2.3 知识产权</w:t>
      </w:r>
      <w:bookmarkEnd w:id="65"/>
      <w:bookmarkEnd w:id="66"/>
      <w:bookmarkEnd w:id="67"/>
      <w:bookmarkEnd w:id="68"/>
      <w:bookmarkEnd w:id="69"/>
      <w:bookmarkEnd w:id="70"/>
    </w:p>
    <w:p w14:paraId="037020D6">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54CF05AA">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2.3.2具有知识产权的计算机软件等货物的知识产权归属，详见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2FA89AD2">
      <w:pPr>
        <w:spacing w:line="560" w:lineRule="exact"/>
        <w:ind w:firstLine="482" w:firstLineChars="200"/>
        <w:outlineLvl w:val="0"/>
        <w:rPr>
          <w:rFonts w:ascii="宋体" w:hAnsi="宋体" w:cs="宋体"/>
          <w:b/>
          <w:color w:val="auto"/>
          <w:sz w:val="24"/>
          <w:highlight w:val="none"/>
        </w:rPr>
      </w:pPr>
      <w:bookmarkStart w:id="71" w:name="_Toc4194"/>
      <w:bookmarkStart w:id="72" w:name="_Toc29149"/>
      <w:bookmarkStart w:id="73" w:name="_Toc11932"/>
      <w:r>
        <w:rPr>
          <w:rFonts w:hint="eastAsia" w:ascii="宋体" w:hAnsi="宋体" w:cs="宋体"/>
          <w:b/>
          <w:color w:val="auto"/>
          <w:sz w:val="24"/>
          <w:highlight w:val="none"/>
        </w:rPr>
        <w:t>2.4 包装和装运</w:t>
      </w:r>
      <w:bookmarkEnd w:id="71"/>
      <w:bookmarkEnd w:id="72"/>
      <w:bookmarkEnd w:id="73"/>
    </w:p>
    <w:p w14:paraId="07750F62">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2.4.1除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5CB7765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77D66737">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2.4.3 装运货物的要求和通知，详见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7C13CC23">
      <w:pPr>
        <w:spacing w:line="560" w:lineRule="exact"/>
        <w:ind w:firstLine="482" w:firstLineChars="200"/>
        <w:outlineLvl w:val="0"/>
        <w:rPr>
          <w:rFonts w:ascii="宋体" w:hAnsi="宋体" w:cs="宋体"/>
          <w:b/>
          <w:color w:val="auto"/>
          <w:sz w:val="24"/>
          <w:highlight w:val="none"/>
        </w:rPr>
      </w:pPr>
      <w:bookmarkStart w:id="74" w:name="_Ref467379527"/>
      <w:bookmarkStart w:id="75" w:name="_Toc259093674"/>
      <w:bookmarkStart w:id="76" w:name="_Ref467379536"/>
      <w:bookmarkStart w:id="77" w:name="_Ref467378591"/>
      <w:bookmarkStart w:id="78" w:name="_Ref467378541"/>
      <w:bookmarkStart w:id="79" w:name="_Ref467379542"/>
      <w:bookmarkStart w:id="80" w:name="_Toc487900354"/>
      <w:bookmarkStart w:id="81" w:name="_Toc279701245"/>
      <w:bookmarkStart w:id="82" w:name="_Toc19074"/>
      <w:bookmarkStart w:id="83" w:name="_Toc30272"/>
      <w:bookmarkStart w:id="84" w:name="_Toc26182"/>
      <w:r>
        <w:rPr>
          <w:rFonts w:hint="eastAsia" w:ascii="宋体" w:hAnsi="宋体" w:cs="宋体"/>
          <w:b/>
          <w:color w:val="auto"/>
          <w:sz w:val="24"/>
          <w:highlight w:val="none"/>
        </w:rPr>
        <w:t>2.</w:t>
      </w:r>
      <w:bookmarkEnd w:id="74"/>
      <w:bookmarkEnd w:id="75"/>
      <w:bookmarkEnd w:id="76"/>
      <w:bookmarkEnd w:id="77"/>
      <w:bookmarkEnd w:id="78"/>
      <w:bookmarkEnd w:id="79"/>
      <w:bookmarkEnd w:id="80"/>
      <w:bookmarkEnd w:id="81"/>
      <w:r>
        <w:rPr>
          <w:rFonts w:hint="eastAsia" w:ascii="宋体" w:hAnsi="宋体" w:cs="宋体"/>
          <w:b/>
          <w:color w:val="auto"/>
          <w:sz w:val="24"/>
          <w:highlight w:val="none"/>
        </w:rPr>
        <w:t>5 履约检查和问题反馈</w:t>
      </w:r>
      <w:bookmarkEnd w:id="82"/>
      <w:bookmarkEnd w:id="83"/>
      <w:bookmarkEnd w:id="84"/>
    </w:p>
    <w:p w14:paraId="6591A836">
      <w:pPr>
        <w:spacing w:line="560" w:lineRule="exact"/>
        <w:ind w:firstLine="480" w:firstLineChars="200"/>
        <w:rPr>
          <w:rFonts w:ascii="宋体" w:hAnsi="宋体" w:cs="宋体"/>
          <w:color w:val="auto"/>
          <w:sz w:val="24"/>
          <w:highlight w:val="none"/>
        </w:rPr>
      </w:pPr>
      <w:bookmarkStart w:id="85" w:name="_Ref467379657"/>
      <w:r>
        <w:rPr>
          <w:rFonts w:hint="eastAsia" w:ascii="宋体" w:hAnsi="宋体" w:cs="宋体"/>
          <w:color w:val="auto"/>
          <w:sz w:val="24"/>
          <w:highlight w:val="none"/>
        </w:rPr>
        <w:t>2.5.1</w:t>
      </w:r>
      <w:bookmarkEnd w:id="85"/>
      <w:bookmarkStart w:id="86" w:name="_Toc186431854"/>
      <w:bookmarkStart w:id="87" w:name="_Toc279701247"/>
      <w:bookmarkStart w:id="88" w:name="_Ref467379793"/>
      <w:bookmarkStart w:id="89" w:name="_Toc259093676"/>
      <w:bookmarkStart w:id="90" w:name="_Ref467379807"/>
      <w:bookmarkStart w:id="91" w:name="_Toc487900357"/>
      <w:r>
        <w:rPr>
          <w:rFonts w:hint="eastAsia" w:ascii="宋体" w:hAnsi="宋体" w:cs="宋体"/>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70D51467">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2.5.2 合同履行期间，甲方有权将履行过程中出现的问题反馈给乙方，双方当事人应以书面形式约定需要完善和改进的内容</w:t>
      </w:r>
      <w:bookmarkEnd w:id="86"/>
      <w:bookmarkStart w:id="92" w:name="_Toc186431855"/>
      <w:r>
        <w:rPr>
          <w:rFonts w:hint="eastAsia" w:ascii="宋体" w:hAnsi="宋体" w:cs="宋体"/>
          <w:color w:val="auto"/>
          <w:sz w:val="24"/>
          <w:highlight w:val="none"/>
        </w:rPr>
        <w:t>。</w:t>
      </w:r>
    </w:p>
    <w:bookmarkEnd w:id="87"/>
    <w:bookmarkEnd w:id="88"/>
    <w:bookmarkEnd w:id="89"/>
    <w:bookmarkEnd w:id="90"/>
    <w:bookmarkEnd w:id="91"/>
    <w:bookmarkEnd w:id="92"/>
    <w:p w14:paraId="6A8A0B92">
      <w:pPr>
        <w:spacing w:line="560" w:lineRule="exact"/>
        <w:ind w:firstLine="482" w:firstLineChars="200"/>
        <w:outlineLvl w:val="0"/>
        <w:rPr>
          <w:rFonts w:ascii="宋体" w:hAnsi="宋体" w:cs="宋体"/>
          <w:b/>
          <w:color w:val="auto"/>
          <w:sz w:val="24"/>
          <w:highlight w:val="none"/>
        </w:rPr>
      </w:pPr>
      <w:bookmarkStart w:id="93" w:name="_Ref467379852"/>
      <w:bookmarkStart w:id="94" w:name="_Ref467379923"/>
      <w:bookmarkStart w:id="95" w:name="_Toc279701248"/>
      <w:bookmarkStart w:id="96" w:name="_Toc487900358"/>
      <w:bookmarkStart w:id="97" w:name="_Ref467379863"/>
      <w:bookmarkStart w:id="98" w:name="_Toc259093677"/>
      <w:bookmarkStart w:id="99" w:name="_Toc3225"/>
      <w:bookmarkStart w:id="100" w:name="_Toc16110"/>
      <w:bookmarkStart w:id="101" w:name="_Toc774"/>
      <w:r>
        <w:rPr>
          <w:rFonts w:hint="eastAsia" w:ascii="宋体" w:hAnsi="宋体" w:cs="宋体"/>
          <w:b/>
          <w:color w:val="auto"/>
          <w:sz w:val="24"/>
          <w:highlight w:val="none"/>
        </w:rPr>
        <w:t>2.6 技术资料</w:t>
      </w:r>
      <w:bookmarkEnd w:id="93"/>
      <w:bookmarkEnd w:id="94"/>
      <w:bookmarkEnd w:id="95"/>
      <w:bookmarkEnd w:id="96"/>
      <w:bookmarkEnd w:id="97"/>
      <w:bookmarkEnd w:id="98"/>
      <w:r>
        <w:rPr>
          <w:rFonts w:hint="eastAsia" w:ascii="宋体" w:hAnsi="宋体" w:cs="宋体"/>
          <w:b/>
          <w:color w:val="auto"/>
          <w:sz w:val="24"/>
          <w:highlight w:val="none"/>
        </w:rPr>
        <w:t>和保密义务</w:t>
      </w:r>
      <w:bookmarkEnd w:id="99"/>
      <w:bookmarkEnd w:id="100"/>
      <w:bookmarkEnd w:id="101"/>
    </w:p>
    <w:p w14:paraId="78E0A0C0">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2.6.1 乙方有权依据合同约定和项目需要，向甲方了解有关情况，调阅有关资料等，甲方应予积极配合；</w:t>
      </w:r>
    </w:p>
    <w:p w14:paraId="3FF0BACF">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2.6.2 乙方有义务妥善保管和保护由甲方提供的前款信息和资料等；</w:t>
      </w:r>
    </w:p>
    <w:p w14:paraId="1409018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555D283">
      <w:pPr>
        <w:spacing w:line="560" w:lineRule="exact"/>
        <w:ind w:firstLine="482" w:firstLineChars="200"/>
        <w:outlineLvl w:val="0"/>
        <w:rPr>
          <w:rFonts w:ascii="宋体" w:hAnsi="宋体" w:cs="宋体"/>
          <w:b/>
          <w:color w:val="auto"/>
          <w:sz w:val="24"/>
          <w:highlight w:val="none"/>
        </w:rPr>
      </w:pPr>
      <w:bookmarkStart w:id="102" w:name="_Toc7860"/>
      <w:r>
        <w:rPr>
          <w:rFonts w:hint="eastAsia" w:ascii="宋体" w:hAnsi="宋体" w:cs="宋体"/>
          <w:b/>
          <w:color w:val="auto"/>
          <w:sz w:val="24"/>
          <w:highlight w:val="none"/>
        </w:rPr>
        <w:t>2.7 质量保证</w:t>
      </w:r>
      <w:bookmarkEnd w:id="102"/>
    </w:p>
    <w:p w14:paraId="3226A8D3">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2.7.1 乙方应建立和完善履行合同的内部质量保证体系，并提供相关内部规章制度给甲方，以便甲方进行监督检查；</w:t>
      </w:r>
    </w:p>
    <w:p w14:paraId="0C50C37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2.7.2 乙方应保证履行合同的人员数量和素质、软件和硬件设备的配置、场地、环境和设施等满足全面履行合同的要求，并应接受甲方的监督检查。</w:t>
      </w:r>
    </w:p>
    <w:p w14:paraId="5109194F">
      <w:pPr>
        <w:spacing w:line="560" w:lineRule="exact"/>
        <w:ind w:firstLine="482" w:firstLineChars="200"/>
        <w:outlineLvl w:val="0"/>
        <w:rPr>
          <w:rFonts w:ascii="宋体" w:hAnsi="宋体" w:cs="宋体"/>
          <w:b/>
          <w:color w:val="auto"/>
          <w:sz w:val="24"/>
          <w:highlight w:val="none"/>
        </w:rPr>
      </w:pPr>
      <w:bookmarkStart w:id="103" w:name="_Toc17244"/>
      <w:bookmarkStart w:id="104" w:name="_Toc279701252"/>
      <w:bookmarkStart w:id="105" w:name="_Toc487900362"/>
      <w:bookmarkStart w:id="106" w:name="_Toc259093681"/>
      <w:r>
        <w:rPr>
          <w:rFonts w:hint="eastAsia" w:ascii="宋体" w:hAnsi="宋体" w:cs="宋体"/>
          <w:b/>
          <w:color w:val="auto"/>
          <w:sz w:val="24"/>
          <w:highlight w:val="none"/>
        </w:rPr>
        <w:t>2.8 货物的风险负担</w:t>
      </w:r>
      <w:bookmarkEnd w:id="103"/>
    </w:p>
    <w:p w14:paraId="433DB51B">
      <w:pPr>
        <w:spacing w:line="56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货物或者在途货物或者交付给第一承运人后的货物毁损、灭失的风险负担详见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61CBBFA2">
      <w:pPr>
        <w:spacing w:line="560" w:lineRule="exact"/>
        <w:ind w:firstLine="482" w:firstLineChars="200"/>
        <w:outlineLvl w:val="0"/>
        <w:rPr>
          <w:rFonts w:ascii="宋体" w:hAnsi="宋体" w:cs="宋体"/>
          <w:b/>
          <w:color w:val="auto"/>
          <w:sz w:val="24"/>
          <w:highlight w:val="none"/>
        </w:rPr>
      </w:pPr>
      <w:bookmarkStart w:id="107" w:name="_Toc14055"/>
      <w:r>
        <w:rPr>
          <w:rFonts w:hint="eastAsia" w:ascii="宋体" w:hAnsi="宋体" w:cs="宋体"/>
          <w:b/>
          <w:color w:val="auto"/>
          <w:sz w:val="24"/>
          <w:highlight w:val="none"/>
        </w:rPr>
        <w:t>2.9 延迟交货</w:t>
      </w:r>
      <w:bookmarkEnd w:id="104"/>
      <w:bookmarkEnd w:id="105"/>
      <w:bookmarkEnd w:id="106"/>
      <w:bookmarkEnd w:id="107"/>
    </w:p>
    <w:p w14:paraId="7C6081B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29BB5EAD">
      <w:pPr>
        <w:spacing w:line="560" w:lineRule="exact"/>
        <w:ind w:firstLine="482" w:firstLineChars="200"/>
        <w:outlineLvl w:val="0"/>
        <w:rPr>
          <w:rFonts w:ascii="宋体" w:hAnsi="宋体" w:cs="宋体"/>
          <w:b/>
          <w:color w:val="auto"/>
          <w:sz w:val="24"/>
          <w:highlight w:val="none"/>
        </w:rPr>
      </w:pPr>
      <w:bookmarkStart w:id="108" w:name="_Toc7502"/>
      <w:bookmarkStart w:id="109" w:name="_Toc487900364"/>
      <w:bookmarkStart w:id="110" w:name="_Ref467378121"/>
      <w:bookmarkStart w:id="111" w:name="_Toc259093683"/>
      <w:bookmarkStart w:id="112" w:name="_Toc279701254"/>
      <w:r>
        <w:rPr>
          <w:rFonts w:hint="eastAsia" w:ascii="宋体" w:hAnsi="宋体" w:cs="宋体"/>
          <w:b/>
          <w:color w:val="auto"/>
          <w:sz w:val="24"/>
          <w:highlight w:val="none"/>
        </w:rPr>
        <w:t>2.10 合同变更</w:t>
      </w:r>
      <w:bookmarkEnd w:id="108"/>
    </w:p>
    <w:p w14:paraId="023DD1C2">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13" w:name="_Toc487900369"/>
      <w:bookmarkStart w:id="114" w:name="_Toc279701259"/>
      <w:bookmarkStart w:id="115" w:name="_Toc259093688"/>
    </w:p>
    <w:p w14:paraId="1E71D32D">
      <w:pPr>
        <w:spacing w:line="560" w:lineRule="exact"/>
        <w:ind w:firstLine="482" w:firstLineChars="200"/>
        <w:outlineLvl w:val="0"/>
        <w:rPr>
          <w:rFonts w:ascii="宋体" w:hAnsi="宋体" w:cs="宋体"/>
          <w:b/>
          <w:color w:val="auto"/>
          <w:sz w:val="24"/>
          <w:highlight w:val="none"/>
        </w:rPr>
      </w:pPr>
      <w:bookmarkStart w:id="116" w:name="_Toc22955"/>
      <w:bookmarkStart w:id="117" w:name="_Toc10366"/>
      <w:bookmarkStart w:id="118" w:name="_Toc15237"/>
      <w:r>
        <w:rPr>
          <w:rFonts w:hint="eastAsia" w:ascii="宋体" w:hAnsi="宋体" w:cs="宋体"/>
          <w:b/>
          <w:color w:val="auto"/>
          <w:sz w:val="24"/>
          <w:highlight w:val="none"/>
        </w:rPr>
        <w:t>2.11 合同转让</w:t>
      </w:r>
      <w:bookmarkEnd w:id="113"/>
      <w:bookmarkEnd w:id="114"/>
      <w:bookmarkEnd w:id="115"/>
      <w:r>
        <w:rPr>
          <w:rFonts w:hint="eastAsia" w:ascii="宋体" w:hAnsi="宋体" w:cs="宋体"/>
          <w:b/>
          <w:color w:val="auto"/>
          <w:sz w:val="24"/>
          <w:highlight w:val="none"/>
        </w:rPr>
        <w:t>和分包</w:t>
      </w:r>
      <w:bookmarkEnd w:id="116"/>
      <w:bookmarkEnd w:id="117"/>
      <w:bookmarkEnd w:id="118"/>
    </w:p>
    <w:p w14:paraId="2E8C539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F1268F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2.11.2乙方采取分包方式履行合同的，甲方可直接向分包供应商支付款项。</w:t>
      </w:r>
    </w:p>
    <w:p w14:paraId="315E0A5B">
      <w:pPr>
        <w:spacing w:line="560" w:lineRule="exact"/>
        <w:ind w:firstLine="482" w:firstLineChars="200"/>
        <w:outlineLvl w:val="0"/>
        <w:rPr>
          <w:rFonts w:ascii="宋体" w:hAnsi="宋体" w:cs="宋体"/>
          <w:b/>
          <w:color w:val="auto"/>
          <w:sz w:val="24"/>
          <w:highlight w:val="none"/>
        </w:rPr>
      </w:pPr>
      <w:bookmarkStart w:id="119" w:name="_Toc13566"/>
      <w:bookmarkStart w:id="120" w:name="_Toc16508"/>
      <w:bookmarkStart w:id="121" w:name="_Toc14066"/>
      <w:r>
        <w:rPr>
          <w:rFonts w:hint="eastAsia" w:ascii="宋体" w:hAnsi="宋体" w:cs="宋体"/>
          <w:b/>
          <w:color w:val="auto"/>
          <w:sz w:val="24"/>
          <w:highlight w:val="none"/>
        </w:rPr>
        <w:t>2.12 不可抗力</w:t>
      </w:r>
      <w:bookmarkEnd w:id="119"/>
      <w:bookmarkEnd w:id="120"/>
      <w:bookmarkEnd w:id="121"/>
    </w:p>
    <w:p w14:paraId="5644540A">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2.12.1如果任何一方遭遇法律规定的不可抗力，致使合同履行受阻时，履行合同的期限应予延长，延长的期限应相当于不可抗力所影响的时间；</w:t>
      </w:r>
    </w:p>
    <w:p w14:paraId="796A917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2.12.2 因不可抗力致使不能实现合同目的的，当事人可以解除合同；</w:t>
      </w:r>
    </w:p>
    <w:p w14:paraId="75888AF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2.12.3 因不可抗力致使合同有变更必要的，双方当事人应在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约定时间内以书面形式变更合同；</w:t>
      </w:r>
    </w:p>
    <w:p w14:paraId="3AA01611">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2.12.4受不可抗力影响的一方在不可抗力发生后，应在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约定时间内以书面形式通知对方当事人，并在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约定时间内，将有关部门出具的证明文件送达对方当事人。</w:t>
      </w:r>
    </w:p>
    <w:p w14:paraId="4B25C4FE">
      <w:pPr>
        <w:spacing w:line="560" w:lineRule="exact"/>
        <w:ind w:firstLine="482" w:firstLineChars="200"/>
        <w:outlineLvl w:val="0"/>
        <w:rPr>
          <w:rFonts w:ascii="宋体" w:hAnsi="宋体" w:cs="宋体"/>
          <w:b/>
          <w:color w:val="auto"/>
          <w:sz w:val="24"/>
          <w:highlight w:val="none"/>
        </w:rPr>
      </w:pPr>
      <w:bookmarkStart w:id="122" w:name="_Toc689"/>
      <w:bookmarkStart w:id="123" w:name="_Toc6969"/>
      <w:bookmarkStart w:id="124" w:name="_Toc259093684"/>
      <w:bookmarkStart w:id="125" w:name="_Toc279701255"/>
      <w:bookmarkStart w:id="126" w:name="_Toc30676"/>
      <w:bookmarkStart w:id="127" w:name="_Toc487900365"/>
      <w:r>
        <w:rPr>
          <w:rFonts w:hint="eastAsia" w:ascii="宋体" w:hAnsi="宋体" w:cs="宋体"/>
          <w:b/>
          <w:color w:val="auto"/>
          <w:sz w:val="24"/>
          <w:highlight w:val="none"/>
        </w:rPr>
        <w:t>2.13 税费</w:t>
      </w:r>
      <w:bookmarkEnd w:id="122"/>
      <w:bookmarkEnd w:id="123"/>
      <w:bookmarkEnd w:id="124"/>
      <w:bookmarkEnd w:id="125"/>
      <w:bookmarkEnd w:id="126"/>
      <w:bookmarkEnd w:id="127"/>
    </w:p>
    <w:p w14:paraId="4BFD7FAD">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与合同有关的一切税费，均按照中华人民共和国法律的相关规定。</w:t>
      </w:r>
    </w:p>
    <w:p w14:paraId="3DB0ED65">
      <w:pPr>
        <w:spacing w:line="560" w:lineRule="exact"/>
        <w:ind w:firstLine="482" w:firstLineChars="200"/>
        <w:outlineLvl w:val="0"/>
        <w:rPr>
          <w:rFonts w:ascii="宋体" w:hAnsi="宋体" w:cs="宋体"/>
          <w:b/>
          <w:color w:val="auto"/>
          <w:sz w:val="24"/>
          <w:highlight w:val="none"/>
        </w:rPr>
      </w:pPr>
      <w:bookmarkStart w:id="128" w:name="_Toc7102"/>
      <w:bookmarkStart w:id="129" w:name="_Toc487900368"/>
      <w:bookmarkStart w:id="130" w:name="_Toc8298"/>
      <w:bookmarkStart w:id="131" w:name="_Toc259093687"/>
      <w:bookmarkStart w:id="132" w:name="_Toc279701258"/>
      <w:bookmarkStart w:id="133" w:name="_Toc16959"/>
      <w:r>
        <w:rPr>
          <w:rFonts w:hint="eastAsia" w:ascii="宋体" w:hAnsi="宋体" w:cs="宋体"/>
          <w:b/>
          <w:color w:val="auto"/>
          <w:sz w:val="24"/>
          <w:highlight w:val="none"/>
        </w:rPr>
        <w:t>2.14乙方破产</w:t>
      </w:r>
      <w:bookmarkEnd w:id="128"/>
      <w:bookmarkEnd w:id="129"/>
      <w:bookmarkEnd w:id="130"/>
      <w:bookmarkEnd w:id="131"/>
      <w:bookmarkEnd w:id="132"/>
      <w:bookmarkEnd w:id="133"/>
    </w:p>
    <w:p w14:paraId="1FB3EFCF">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C9A4B29">
      <w:pPr>
        <w:spacing w:line="560" w:lineRule="exact"/>
        <w:ind w:firstLine="482" w:firstLineChars="200"/>
        <w:outlineLvl w:val="0"/>
        <w:rPr>
          <w:rFonts w:ascii="宋体" w:hAnsi="宋体" w:cs="宋体"/>
          <w:b/>
          <w:color w:val="auto"/>
          <w:sz w:val="24"/>
          <w:highlight w:val="none"/>
        </w:rPr>
      </w:pPr>
      <w:bookmarkStart w:id="134" w:name="_Toc29333"/>
      <w:bookmarkStart w:id="135" w:name="_Toc6134"/>
      <w:bookmarkStart w:id="136" w:name="_Toc15387"/>
      <w:r>
        <w:rPr>
          <w:rFonts w:hint="eastAsia" w:ascii="宋体" w:hAnsi="宋体" w:cs="宋体"/>
          <w:b/>
          <w:color w:val="auto"/>
          <w:sz w:val="24"/>
          <w:highlight w:val="none"/>
        </w:rPr>
        <w:t>2.15 合同中止、终止</w:t>
      </w:r>
      <w:bookmarkEnd w:id="134"/>
      <w:bookmarkEnd w:id="135"/>
      <w:bookmarkEnd w:id="136"/>
    </w:p>
    <w:p w14:paraId="50B7A587">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2.15.1 双方当事人不得擅自中止或者终止合同；</w:t>
      </w:r>
    </w:p>
    <w:p w14:paraId="30B30067">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40D38169">
      <w:pPr>
        <w:spacing w:line="560" w:lineRule="exact"/>
        <w:ind w:firstLine="482" w:firstLineChars="200"/>
        <w:outlineLvl w:val="0"/>
        <w:rPr>
          <w:rFonts w:ascii="宋体" w:hAnsi="宋体" w:cs="宋体"/>
          <w:b/>
          <w:color w:val="auto"/>
          <w:sz w:val="24"/>
          <w:highlight w:val="none"/>
        </w:rPr>
      </w:pPr>
      <w:bookmarkStart w:id="137" w:name="_Toc6596"/>
      <w:bookmarkStart w:id="138" w:name="_Toc14563"/>
      <w:bookmarkStart w:id="139" w:name="_Toc1125"/>
      <w:r>
        <w:rPr>
          <w:rFonts w:hint="eastAsia" w:ascii="宋体" w:hAnsi="宋体" w:cs="宋体"/>
          <w:b/>
          <w:color w:val="auto"/>
          <w:sz w:val="24"/>
          <w:highlight w:val="none"/>
        </w:rPr>
        <w:t>2.16检验和验收</w:t>
      </w:r>
      <w:bookmarkEnd w:id="137"/>
      <w:bookmarkEnd w:id="138"/>
      <w:bookmarkEnd w:id="139"/>
    </w:p>
    <w:p w14:paraId="3615AB7C">
      <w:pPr>
        <w:tabs>
          <w:tab w:val="left" w:pos="360"/>
          <w:tab w:val="left" w:pos="540"/>
          <w:tab w:val="left" w:pos="108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2.16.1货物交付前，乙方应对货物的质量、数量等方面进行详细、全面地检验，并向甲方出具证明货物符合合同约定的文件；货物交付时，甲方在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约定时间内组织验收，并可依法邀请相关方参加，验收应出具验收书。</w:t>
      </w:r>
    </w:p>
    <w:p w14:paraId="689D9F1B">
      <w:pPr>
        <w:tabs>
          <w:tab w:val="left" w:pos="360"/>
          <w:tab w:val="left" w:pos="540"/>
          <w:tab w:val="left" w:pos="108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77ED974">
      <w:pPr>
        <w:tabs>
          <w:tab w:val="left" w:pos="360"/>
          <w:tab w:val="left" w:pos="540"/>
          <w:tab w:val="left" w:pos="108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2.16.3 检验和验收标准、程序等具体内容以及前述验收书的效力详见</w:t>
      </w:r>
      <w:r>
        <w:rPr>
          <w:rFonts w:hint="eastAsia" w:ascii="宋体" w:hAnsi="宋体" w:cs="宋体"/>
          <w:b/>
          <w:i/>
          <w:color w:val="auto"/>
          <w:sz w:val="24"/>
          <w:highlight w:val="none"/>
          <w:u w:val="single"/>
        </w:rPr>
        <w:t>合同专用条款</w:t>
      </w:r>
      <w:r>
        <w:rPr>
          <w:rFonts w:hint="eastAsia" w:ascii="宋体" w:hAnsi="宋体" w:cs="宋体"/>
          <w:i/>
          <w:color w:val="auto"/>
          <w:sz w:val="24"/>
          <w:highlight w:val="none"/>
        </w:rPr>
        <w:t>。</w:t>
      </w:r>
    </w:p>
    <w:bookmarkEnd w:id="109"/>
    <w:bookmarkEnd w:id="110"/>
    <w:bookmarkEnd w:id="111"/>
    <w:bookmarkEnd w:id="112"/>
    <w:p w14:paraId="178EB00A">
      <w:pPr>
        <w:spacing w:line="560" w:lineRule="exact"/>
        <w:ind w:firstLine="482" w:firstLineChars="200"/>
        <w:outlineLvl w:val="0"/>
        <w:rPr>
          <w:rFonts w:ascii="宋体" w:hAnsi="宋体" w:cs="宋体"/>
          <w:b/>
          <w:color w:val="auto"/>
          <w:sz w:val="24"/>
          <w:highlight w:val="none"/>
        </w:rPr>
      </w:pPr>
      <w:bookmarkStart w:id="140" w:name="_Toc279701261"/>
      <w:bookmarkStart w:id="141" w:name="_Toc487900371"/>
      <w:bookmarkStart w:id="142" w:name="_Toc259093690"/>
      <w:bookmarkStart w:id="143" w:name="_Toc19604"/>
      <w:bookmarkStart w:id="144" w:name="_Toc11284"/>
      <w:bookmarkStart w:id="145" w:name="_Toc25182"/>
      <w:r>
        <w:rPr>
          <w:rFonts w:hint="eastAsia" w:ascii="宋体" w:hAnsi="宋体" w:cs="宋体"/>
          <w:b/>
          <w:color w:val="auto"/>
          <w:sz w:val="24"/>
          <w:highlight w:val="none"/>
        </w:rPr>
        <w:t>2.17 通知</w:t>
      </w:r>
      <w:bookmarkEnd w:id="140"/>
      <w:bookmarkEnd w:id="141"/>
      <w:bookmarkEnd w:id="142"/>
      <w:r>
        <w:rPr>
          <w:rFonts w:hint="eastAsia" w:ascii="宋体" w:hAnsi="宋体" w:cs="宋体"/>
          <w:b/>
          <w:color w:val="auto"/>
          <w:sz w:val="24"/>
          <w:highlight w:val="none"/>
        </w:rPr>
        <w:t>和送达</w:t>
      </w:r>
      <w:bookmarkEnd w:id="143"/>
      <w:bookmarkEnd w:id="144"/>
      <w:bookmarkEnd w:id="145"/>
    </w:p>
    <w:p w14:paraId="563FC021">
      <w:pPr>
        <w:spacing w:line="560" w:lineRule="exact"/>
        <w:ind w:firstLine="480" w:firstLineChars="200"/>
        <w:rPr>
          <w:rFonts w:ascii="宋体" w:hAnsi="宋体" w:cs="宋体"/>
          <w:color w:val="auto"/>
          <w:sz w:val="24"/>
          <w:highlight w:val="none"/>
        </w:rPr>
      </w:pPr>
      <w:bookmarkStart w:id="146" w:name="_Toc6698"/>
      <w:bookmarkStart w:id="147" w:name="_Toc3135"/>
      <w:bookmarkStart w:id="148" w:name="_Toc259093691"/>
      <w:bookmarkStart w:id="149" w:name="_Toc279701262"/>
      <w:bookmarkStart w:id="150" w:name="_Toc487900372"/>
      <w:r>
        <w:rPr>
          <w:rFonts w:hint="eastAsia" w:ascii="宋体" w:hAnsi="宋体" w:cs="宋体"/>
          <w:color w:val="auto"/>
          <w:sz w:val="24"/>
          <w:highlight w:val="none"/>
        </w:rPr>
        <w:t xml:space="preserve">2.17.1任何一方因履行合同而以合同第一部分尾部所列明的传真或电子邮件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发出的所有通知、文件、材料，均视为已向对方当事人送达；任何一方变更上述送达方式或者地址的，应于</w:t>
      </w:r>
      <w:r>
        <w:rPr>
          <w:rFonts w:hint="eastAsia" w:ascii="宋体" w:hAnsi="宋体" w:cs="宋体"/>
          <w:color w:val="auto"/>
          <w:sz w:val="24"/>
          <w:highlight w:val="none"/>
          <w:u w:val="single"/>
        </w:rPr>
        <w:t>3</w:t>
      </w:r>
      <w:r>
        <w:rPr>
          <w:rFonts w:hint="eastAsia" w:ascii="宋体" w:hAnsi="宋体" w:cs="宋体"/>
          <w:color w:val="auto"/>
          <w:sz w:val="24"/>
          <w:highlight w:val="none"/>
        </w:rPr>
        <w:t>个工作日内书面通知对方当事人，在对方当事人收到有关变更通知之前，变更前的约定送达方式或者地址仍视为有效。</w:t>
      </w:r>
      <w:bookmarkEnd w:id="146"/>
      <w:bookmarkEnd w:id="147"/>
    </w:p>
    <w:p w14:paraId="464C1A12">
      <w:pPr>
        <w:spacing w:line="560" w:lineRule="exact"/>
        <w:ind w:firstLine="480" w:firstLineChars="200"/>
        <w:rPr>
          <w:rFonts w:ascii="宋体" w:hAnsi="宋体" w:cs="宋体"/>
          <w:color w:val="auto"/>
          <w:sz w:val="24"/>
          <w:highlight w:val="none"/>
        </w:rPr>
      </w:pPr>
      <w:bookmarkStart w:id="151" w:name="_Toc23294"/>
      <w:bookmarkStart w:id="152" w:name="_Toc23128"/>
      <w:r>
        <w:rPr>
          <w:rFonts w:hint="eastAsia" w:ascii="宋体" w:hAnsi="宋体" w:cs="宋体"/>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1"/>
      <w:bookmarkEnd w:id="152"/>
    </w:p>
    <w:p w14:paraId="283EEF10">
      <w:pPr>
        <w:spacing w:line="560" w:lineRule="exact"/>
        <w:ind w:firstLine="482" w:firstLineChars="200"/>
        <w:outlineLvl w:val="0"/>
        <w:rPr>
          <w:rFonts w:ascii="宋体" w:hAnsi="宋体" w:cs="宋体"/>
          <w:b/>
          <w:color w:val="auto"/>
          <w:sz w:val="24"/>
          <w:highlight w:val="none"/>
        </w:rPr>
      </w:pPr>
      <w:bookmarkStart w:id="153" w:name="_Toc18540"/>
      <w:bookmarkStart w:id="154" w:name="_Toc30599"/>
      <w:bookmarkStart w:id="155" w:name="_Toc4355"/>
      <w:r>
        <w:rPr>
          <w:rFonts w:hint="eastAsia" w:ascii="宋体" w:hAnsi="宋体" w:cs="宋体"/>
          <w:b/>
          <w:color w:val="auto"/>
          <w:sz w:val="24"/>
          <w:highlight w:val="none"/>
        </w:rPr>
        <w:t>2.18 计量单位</w:t>
      </w:r>
      <w:bookmarkEnd w:id="148"/>
      <w:bookmarkEnd w:id="149"/>
      <w:bookmarkEnd w:id="150"/>
      <w:bookmarkEnd w:id="153"/>
      <w:bookmarkEnd w:id="154"/>
      <w:bookmarkEnd w:id="155"/>
    </w:p>
    <w:p w14:paraId="0B1B56A7">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除技术规范中另有规定外，合同的计量单位均使用国家法定计量单位。</w:t>
      </w:r>
    </w:p>
    <w:p w14:paraId="41FA00FD">
      <w:pPr>
        <w:spacing w:line="560" w:lineRule="exact"/>
        <w:ind w:firstLine="482" w:firstLineChars="200"/>
        <w:outlineLvl w:val="0"/>
        <w:rPr>
          <w:rFonts w:ascii="宋体" w:hAnsi="宋体" w:cs="宋体"/>
          <w:b/>
          <w:color w:val="auto"/>
          <w:sz w:val="24"/>
          <w:highlight w:val="none"/>
        </w:rPr>
      </w:pPr>
      <w:bookmarkStart w:id="156" w:name="_Toc259093692"/>
      <w:bookmarkStart w:id="157" w:name="_Toc12773"/>
      <w:bookmarkStart w:id="158" w:name="_Toc279701263"/>
      <w:bookmarkStart w:id="159" w:name="_Toc487900373"/>
      <w:bookmarkStart w:id="160" w:name="_Toc10330"/>
      <w:bookmarkStart w:id="161" w:name="_Toc18567"/>
      <w:r>
        <w:rPr>
          <w:rFonts w:hint="eastAsia" w:ascii="宋体" w:hAnsi="宋体" w:cs="宋体"/>
          <w:b/>
          <w:color w:val="auto"/>
          <w:sz w:val="24"/>
          <w:highlight w:val="none"/>
        </w:rPr>
        <w:t>2.19 合同使用的文字和适用的法律</w:t>
      </w:r>
      <w:bookmarkEnd w:id="156"/>
      <w:bookmarkEnd w:id="157"/>
      <w:bookmarkEnd w:id="158"/>
      <w:bookmarkEnd w:id="159"/>
      <w:bookmarkEnd w:id="160"/>
      <w:bookmarkEnd w:id="161"/>
    </w:p>
    <w:p w14:paraId="4E6677E0">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2.19.1 合同使用汉语书就、变更和解释；</w:t>
      </w:r>
    </w:p>
    <w:p w14:paraId="319CEBA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2.19.2 合同适用中华人民共和国法律。</w:t>
      </w:r>
    </w:p>
    <w:p w14:paraId="64BB79DF">
      <w:pPr>
        <w:spacing w:line="560" w:lineRule="exact"/>
        <w:ind w:firstLine="482" w:firstLineChars="200"/>
        <w:outlineLvl w:val="0"/>
        <w:rPr>
          <w:rFonts w:ascii="宋体" w:hAnsi="宋体" w:cs="宋体"/>
          <w:b/>
          <w:color w:val="auto"/>
          <w:sz w:val="24"/>
          <w:highlight w:val="none"/>
        </w:rPr>
      </w:pPr>
      <w:bookmarkStart w:id="162" w:name="_Toc12004"/>
      <w:bookmarkStart w:id="163" w:name="_Toc16673"/>
      <w:bookmarkStart w:id="164" w:name="_Toc279701264"/>
      <w:bookmarkStart w:id="165" w:name="_Toc3148"/>
      <w:bookmarkStart w:id="166" w:name="_Toc259093693"/>
      <w:bookmarkStart w:id="167" w:name="_Toc487900374"/>
      <w:r>
        <w:rPr>
          <w:rFonts w:hint="eastAsia" w:ascii="宋体" w:hAnsi="宋体" w:cs="宋体"/>
          <w:b/>
          <w:color w:val="auto"/>
          <w:sz w:val="24"/>
          <w:highlight w:val="none"/>
        </w:rPr>
        <w:t>2.20 履约保证金</w:t>
      </w:r>
      <w:bookmarkEnd w:id="162"/>
      <w:bookmarkEnd w:id="163"/>
      <w:bookmarkEnd w:id="164"/>
      <w:bookmarkEnd w:id="165"/>
      <w:bookmarkEnd w:id="166"/>
    </w:p>
    <w:p w14:paraId="6BB36B53">
      <w:pPr>
        <w:pStyle w:val="617"/>
        <w:spacing w:before="0" w:beforeAutospacing="0" w:after="0" w:afterAutospacing="0" w:line="360" w:lineRule="auto"/>
        <w:ind w:firstLine="420"/>
        <w:rPr>
          <w:color w:val="auto"/>
          <w:highlight w:val="none"/>
        </w:rPr>
      </w:pPr>
      <w:r>
        <w:rPr>
          <w:rFonts w:hint="eastAsia"/>
          <w:color w:val="auto"/>
          <w:highlight w:val="none"/>
        </w:rPr>
        <w:t>2.20.1 招标文件要求乙方提交履约保证金的，乙方应按</w:t>
      </w:r>
      <w:r>
        <w:rPr>
          <w:rFonts w:hint="eastAsia"/>
          <w:b/>
          <w:i/>
          <w:color w:val="auto"/>
          <w:highlight w:val="none"/>
          <w:u w:val="single"/>
        </w:rPr>
        <w:t>合同专用条款</w:t>
      </w:r>
      <w:r>
        <w:rPr>
          <w:rFonts w:hint="eastAsia"/>
          <w:color w:val="auto"/>
          <w:highlight w:val="none"/>
        </w:rPr>
        <w:t>约定的方式，以支票、汇票、本票或者金融机构、担保机构出具的保函等非现金形式，提交不超过合同金额</w:t>
      </w:r>
      <w:r>
        <w:rPr>
          <w:color w:val="auto"/>
          <w:highlight w:val="none"/>
        </w:rPr>
        <w:t>1%</w:t>
      </w:r>
      <w:r>
        <w:rPr>
          <w:rFonts w:hint="eastAsia"/>
          <w:color w:val="auto"/>
          <w:highlight w:val="none"/>
        </w:rPr>
        <w:t>的履约保证金；鼓励和支持乙方以银行、保险公司出具的保函形式提供履约保证，乙方以银行、保险公司出具保函形式提交履约保证金的，甲方不得拒收。</w:t>
      </w:r>
    </w:p>
    <w:p w14:paraId="406C5E41">
      <w:pPr>
        <w:spacing w:line="560" w:lineRule="exact"/>
        <w:ind w:firstLine="480" w:firstLineChars="200"/>
        <w:rPr>
          <w:rFonts w:ascii="宋体" w:hAnsi="宋体" w:cs="宋体"/>
          <w:color w:val="auto"/>
          <w:sz w:val="24"/>
          <w:highlight w:val="none"/>
        </w:rPr>
      </w:pPr>
      <w:r>
        <w:rPr>
          <w:rFonts w:ascii="宋体" w:hAnsi="宋体" w:cs="宋体"/>
          <w:color w:val="auto"/>
          <w:sz w:val="24"/>
          <w:highlight w:val="none"/>
        </w:rPr>
        <w:t xml:space="preserve">2.20.2  </w:t>
      </w:r>
      <w:r>
        <w:rPr>
          <w:rFonts w:hint="eastAsia" w:ascii="宋体" w:hAnsi="宋体" w:cs="宋体"/>
          <w:color w:val="auto"/>
          <w:sz w:val="24"/>
          <w:highlight w:val="none"/>
        </w:rPr>
        <w:t>甲方在项目验收结束后及时退还履约保证金。甲方在项目通过验收之日起</w:t>
      </w:r>
      <w:r>
        <w:rPr>
          <w:rFonts w:hint="eastAsia" w:ascii="宋体" w:hAnsi="宋体" w:cs="宋体"/>
          <w:color w:val="auto"/>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个工作日内将履约保证金退还乙方，逾期退还的，乙方可要求甲方支付违约金，违约金按每迟延退还一日的应退还而未退还金额的</w:t>
      </w:r>
      <w:r>
        <w:rPr>
          <w:rFonts w:hint="eastAsia" w:ascii="宋体" w:hAnsi="宋体" w:cs="宋体"/>
          <w:color w:val="auto"/>
          <w:sz w:val="24"/>
          <w:highlight w:val="none"/>
          <w:u w:val="single"/>
        </w:rPr>
        <w:t xml:space="preserve">  0.05  </w:t>
      </w:r>
      <w:r>
        <w:rPr>
          <w:rFonts w:hint="eastAsia" w:ascii="宋体" w:hAnsi="宋体" w:cs="宋体"/>
          <w:color w:val="auto"/>
          <w:sz w:val="24"/>
          <w:highlight w:val="none"/>
        </w:rPr>
        <w:t>%计算，最高限额为本合同履约保证金的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 xml:space="preserve">%； </w:t>
      </w:r>
    </w:p>
    <w:p w14:paraId="6B65D640">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12635C2">
      <w:pPr>
        <w:spacing w:line="560" w:lineRule="exact"/>
        <w:ind w:firstLine="480" w:firstLineChars="200"/>
        <w:rPr>
          <w:rFonts w:ascii="宋体" w:hAnsi="宋体" w:cs="宋体"/>
          <w:color w:val="auto"/>
          <w:highlight w:val="none"/>
        </w:rPr>
      </w:pPr>
      <w:r>
        <w:rPr>
          <w:rFonts w:hint="eastAsia" w:ascii="宋体" w:hAnsi="宋体" w:cs="宋体"/>
          <w:color w:val="auto"/>
          <w:sz w:val="24"/>
          <w:highlight w:val="none"/>
        </w:rPr>
        <w:t>2.20.4甲方在乙方履行完合同约定义务事项后及时退还，延迟退还的，应当按照合同约定和法律规定承担相应的赔偿责任。</w:t>
      </w:r>
    </w:p>
    <w:p w14:paraId="0A4A1A0F">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2.21对于因甲方原因导致变更、中止或者终止政府采购合同的，甲方应当依照合同约定对供应商受到的损失予以赔偿或者补偿。</w:t>
      </w:r>
    </w:p>
    <w:bookmarkEnd w:id="167"/>
    <w:p w14:paraId="3E63A46D">
      <w:pPr>
        <w:spacing w:line="560" w:lineRule="exact"/>
        <w:ind w:firstLine="482" w:firstLineChars="200"/>
        <w:outlineLvl w:val="0"/>
        <w:rPr>
          <w:rFonts w:ascii="宋体" w:hAnsi="宋体" w:cs="宋体"/>
          <w:b/>
          <w:color w:val="auto"/>
          <w:sz w:val="24"/>
          <w:highlight w:val="none"/>
        </w:rPr>
      </w:pPr>
      <w:bookmarkStart w:id="168" w:name="_Toc6885"/>
      <w:bookmarkStart w:id="169" w:name="_Toc14001"/>
      <w:bookmarkStart w:id="170" w:name="_Toc19890"/>
      <w:r>
        <w:rPr>
          <w:rFonts w:hint="eastAsia" w:ascii="宋体" w:hAnsi="宋体" w:cs="宋体"/>
          <w:b/>
          <w:color w:val="auto"/>
          <w:sz w:val="24"/>
          <w:highlight w:val="none"/>
        </w:rPr>
        <w:t>2.22合同份数</w:t>
      </w:r>
      <w:bookmarkEnd w:id="168"/>
      <w:bookmarkEnd w:id="169"/>
      <w:bookmarkEnd w:id="170"/>
    </w:p>
    <w:p w14:paraId="5D117C62">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合同份数按</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规定，每份均具有同等法律效力。</w:t>
      </w:r>
    </w:p>
    <w:p w14:paraId="440FA783">
      <w:pPr>
        <w:adjustRightInd/>
        <w:spacing w:line="360" w:lineRule="auto"/>
        <w:ind w:firstLine="2513" w:firstLineChars="1197"/>
        <w:outlineLvl w:val="0"/>
        <w:rPr>
          <w:rFonts w:ascii="宋体" w:hAnsi="宋体" w:cs="宋体"/>
          <w:b/>
          <w:color w:val="auto"/>
          <w:highlight w:val="none"/>
        </w:rPr>
      </w:pPr>
      <w:r>
        <w:rPr>
          <w:rFonts w:hint="eastAsia" w:ascii="宋体" w:hAnsi="宋体" w:cs="宋体"/>
          <w:color w:val="auto"/>
          <w:kern w:val="0"/>
          <w:highlight w:val="none"/>
        </w:rPr>
        <w:br w:type="page"/>
      </w:r>
      <w:bookmarkStart w:id="171" w:name="_Toc331685784"/>
      <w:r>
        <w:rPr>
          <w:rFonts w:hint="eastAsia" w:ascii="宋体" w:hAnsi="宋体" w:cs="宋体"/>
          <w:b/>
          <w:color w:val="auto"/>
          <w:sz w:val="32"/>
          <w:szCs w:val="20"/>
          <w:highlight w:val="none"/>
        </w:rPr>
        <w:t xml:space="preserve"> </w:t>
      </w:r>
      <w:bookmarkEnd w:id="171"/>
      <w:r>
        <w:rPr>
          <w:rFonts w:hint="eastAsia" w:ascii="宋体" w:hAnsi="宋体" w:cs="宋体"/>
          <w:b/>
          <w:color w:val="auto"/>
          <w:sz w:val="32"/>
          <w:szCs w:val="20"/>
          <w:highlight w:val="none"/>
        </w:rPr>
        <w:t>第三部分  合同专用条款</w:t>
      </w:r>
    </w:p>
    <w:p w14:paraId="6917BCE5">
      <w:pPr>
        <w:spacing w:line="560" w:lineRule="exact"/>
        <w:ind w:left="-420" w:leftChars="-200" w:right="-420" w:rightChars="-200" w:firstLine="480" w:firstLineChars="200"/>
        <w:rPr>
          <w:rFonts w:ascii="宋体" w:hAnsi="宋体" w:cs="宋体"/>
          <w:color w:val="auto"/>
          <w:sz w:val="24"/>
          <w:highlight w:val="none"/>
        </w:rPr>
      </w:pPr>
      <w:r>
        <w:rPr>
          <w:rFonts w:hint="eastAsia" w:ascii="宋体" w:hAnsi="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14:paraId="7B7A28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0" w:hRule="atLeast"/>
        </w:trPr>
        <w:tc>
          <w:tcPr>
            <w:tcW w:w="851" w:type="dxa"/>
            <w:tcBorders>
              <w:left w:val="single" w:color="auto" w:sz="4" w:space="0"/>
            </w:tcBorders>
            <w:vAlign w:val="center"/>
          </w:tcPr>
          <w:p w14:paraId="0B0215F7">
            <w:pPr>
              <w:spacing w:line="480" w:lineRule="auto"/>
              <w:jc w:val="center"/>
              <w:rPr>
                <w:rFonts w:ascii="宋体" w:hAnsi="宋体" w:cs="宋体"/>
                <w:b/>
                <w:color w:val="auto"/>
                <w:sz w:val="24"/>
                <w:highlight w:val="none"/>
              </w:rPr>
            </w:pPr>
            <w:r>
              <w:rPr>
                <w:rFonts w:hint="eastAsia" w:ascii="宋体" w:hAnsi="宋体" w:cs="宋体"/>
                <w:b/>
                <w:color w:val="auto"/>
                <w:sz w:val="24"/>
                <w:highlight w:val="none"/>
              </w:rPr>
              <w:t>条款号</w:t>
            </w:r>
          </w:p>
        </w:tc>
        <w:tc>
          <w:tcPr>
            <w:tcW w:w="8275" w:type="dxa"/>
            <w:vAlign w:val="center"/>
          </w:tcPr>
          <w:p w14:paraId="74CD73B3">
            <w:pPr>
              <w:spacing w:line="480" w:lineRule="auto"/>
              <w:jc w:val="center"/>
              <w:rPr>
                <w:rFonts w:ascii="宋体" w:hAnsi="宋体" w:cs="宋体"/>
                <w:b/>
                <w:color w:val="auto"/>
                <w:sz w:val="24"/>
                <w:highlight w:val="none"/>
              </w:rPr>
            </w:pPr>
            <w:r>
              <w:rPr>
                <w:rFonts w:hint="eastAsia" w:ascii="宋体" w:hAnsi="宋体" w:cs="宋体"/>
                <w:b/>
                <w:color w:val="auto"/>
                <w:sz w:val="24"/>
                <w:highlight w:val="none"/>
              </w:rPr>
              <w:t>约定内容</w:t>
            </w:r>
          </w:p>
        </w:tc>
      </w:tr>
      <w:tr w14:paraId="520D3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8C885CA">
            <w:pPr>
              <w:spacing w:line="360" w:lineRule="exact"/>
              <w:rPr>
                <w:rFonts w:ascii="宋体" w:hAnsi="宋体" w:cs="宋体"/>
                <w:color w:val="auto"/>
                <w:sz w:val="24"/>
                <w:highlight w:val="none"/>
              </w:rPr>
            </w:pPr>
            <w:r>
              <w:rPr>
                <w:rFonts w:hint="eastAsia" w:ascii="宋体" w:hAnsi="宋体" w:cs="宋体"/>
                <w:color w:val="auto"/>
                <w:sz w:val="24"/>
                <w:highlight w:val="none"/>
              </w:rPr>
              <w:t>1.4.4</w:t>
            </w:r>
          </w:p>
        </w:tc>
        <w:tc>
          <w:tcPr>
            <w:tcW w:w="8275" w:type="dxa"/>
            <w:vAlign w:val="center"/>
          </w:tcPr>
          <w:p w14:paraId="60011253">
            <w:pPr>
              <w:spacing w:line="360" w:lineRule="auto"/>
              <w:rPr>
                <w:rFonts w:ascii="宋体" w:hAnsi="宋体" w:cs="宋体"/>
                <w:color w:val="auto"/>
                <w:sz w:val="24"/>
                <w:highlight w:val="none"/>
              </w:rPr>
            </w:pPr>
            <w:r>
              <w:rPr>
                <w:rFonts w:hint="eastAsia" w:ascii="宋体" w:hAnsi="宋体"/>
                <w:color w:val="auto"/>
                <w:sz w:val="24"/>
                <w:highlight w:val="none"/>
              </w:rPr>
              <w:t>资金支付的方式、时间和条件：合同签订后</w:t>
            </w:r>
            <w:r>
              <w:rPr>
                <w:rFonts w:hint="eastAsia" w:ascii="宋体" w:hAnsi="宋体"/>
                <w:color w:val="auto"/>
                <w:sz w:val="24"/>
                <w:highlight w:val="none"/>
                <w:lang w:val="en-US" w:eastAsia="zh-CN"/>
              </w:rPr>
              <w:t>5</w:t>
            </w:r>
            <w:r>
              <w:rPr>
                <w:rFonts w:hint="eastAsia" w:ascii="宋体" w:hAnsi="宋体"/>
                <w:color w:val="auto"/>
                <w:sz w:val="24"/>
                <w:highlight w:val="none"/>
              </w:rPr>
              <w:t>个工作日内甲方向乙方支付预付款为合同总价的50%预付款，在供应商根据合同规定将货物交付、根据余财采〔2020〕14号《关于转发&lt;杭州市政府采购履约验收暂行办法&gt;的通知》精神，组织验收，验收合格收到发票后7个工作日内采购人支付剩余50%货款。</w:t>
            </w:r>
          </w:p>
        </w:tc>
      </w:tr>
      <w:tr w14:paraId="6C9B39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1F4FD55">
            <w:pPr>
              <w:spacing w:line="360" w:lineRule="exact"/>
              <w:rPr>
                <w:rFonts w:ascii="宋体" w:hAnsi="宋体" w:cs="宋体"/>
                <w:color w:val="auto"/>
                <w:sz w:val="24"/>
                <w:highlight w:val="none"/>
              </w:rPr>
            </w:pPr>
            <w:r>
              <w:rPr>
                <w:rFonts w:hint="eastAsia" w:ascii="宋体" w:hAnsi="宋体" w:cs="宋体"/>
                <w:color w:val="auto"/>
                <w:sz w:val="24"/>
                <w:highlight w:val="none"/>
              </w:rPr>
              <w:t xml:space="preserve">1.5.1 </w:t>
            </w:r>
          </w:p>
        </w:tc>
        <w:tc>
          <w:tcPr>
            <w:tcW w:w="8275" w:type="dxa"/>
            <w:vAlign w:val="center"/>
          </w:tcPr>
          <w:p w14:paraId="47048CED">
            <w:pPr>
              <w:spacing w:line="360" w:lineRule="auto"/>
              <w:rPr>
                <w:rFonts w:ascii="宋体" w:hAnsi="宋体" w:cs="宋体"/>
                <w:color w:val="auto"/>
                <w:sz w:val="24"/>
                <w:highlight w:val="none"/>
              </w:rPr>
            </w:pPr>
            <w:r>
              <w:rPr>
                <w:rFonts w:hint="eastAsia" w:ascii="宋体" w:hAnsi="宋体"/>
                <w:color w:val="auto"/>
                <w:sz w:val="24"/>
                <w:highlight w:val="none"/>
              </w:rPr>
              <w:t>交付期限：合同签订后50天内完成供货、安装调试及验收。</w:t>
            </w:r>
          </w:p>
        </w:tc>
      </w:tr>
      <w:tr w14:paraId="2B2D4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98AD274">
            <w:pPr>
              <w:spacing w:line="360" w:lineRule="exact"/>
              <w:rPr>
                <w:rFonts w:ascii="宋体" w:hAnsi="宋体" w:cs="宋体"/>
                <w:color w:val="auto"/>
                <w:sz w:val="24"/>
                <w:highlight w:val="none"/>
              </w:rPr>
            </w:pPr>
            <w:r>
              <w:rPr>
                <w:rFonts w:hint="eastAsia" w:ascii="宋体" w:hAnsi="宋体" w:cs="宋体"/>
                <w:color w:val="auto"/>
                <w:sz w:val="24"/>
                <w:highlight w:val="none"/>
              </w:rPr>
              <w:t>1.5.2</w:t>
            </w:r>
          </w:p>
        </w:tc>
        <w:tc>
          <w:tcPr>
            <w:tcW w:w="8275" w:type="dxa"/>
            <w:vAlign w:val="center"/>
          </w:tcPr>
          <w:p w14:paraId="44AAE7F6">
            <w:pPr>
              <w:spacing w:line="360" w:lineRule="auto"/>
              <w:rPr>
                <w:rFonts w:ascii="宋体" w:hAnsi="宋体" w:cs="宋体"/>
                <w:color w:val="auto"/>
                <w:sz w:val="24"/>
                <w:highlight w:val="none"/>
              </w:rPr>
            </w:pPr>
            <w:r>
              <w:rPr>
                <w:rFonts w:hint="eastAsia" w:ascii="宋体" w:hAnsi="宋体" w:cs="宋体"/>
                <w:color w:val="auto"/>
                <w:sz w:val="24"/>
                <w:highlight w:val="none"/>
              </w:rPr>
              <w:t>交货地点：</w:t>
            </w:r>
            <w:r>
              <w:rPr>
                <w:rFonts w:hint="eastAsia" w:ascii="宋体" w:hAnsi="宋体" w:cs="宋体"/>
                <w:color w:val="auto"/>
                <w:sz w:val="24"/>
                <w:highlight w:val="none"/>
                <w:u w:val="single"/>
              </w:rPr>
              <w:t>浙江省杭州市余杭区天元公学西站校区景腾北路和仓兴街交叉口</w:t>
            </w:r>
            <w:r>
              <w:rPr>
                <w:rFonts w:hint="eastAsia" w:ascii="宋体" w:hAnsi="宋体" w:cs="宋体"/>
                <w:color w:val="auto"/>
                <w:sz w:val="24"/>
                <w:highlight w:val="none"/>
              </w:rPr>
              <w:t>。</w:t>
            </w:r>
          </w:p>
        </w:tc>
      </w:tr>
      <w:tr w14:paraId="643A7E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B9FA709">
            <w:pPr>
              <w:spacing w:line="360" w:lineRule="exact"/>
              <w:rPr>
                <w:rFonts w:ascii="宋体" w:hAnsi="宋体" w:cs="宋体"/>
                <w:color w:val="auto"/>
                <w:sz w:val="24"/>
                <w:highlight w:val="none"/>
              </w:rPr>
            </w:pPr>
            <w:r>
              <w:rPr>
                <w:rFonts w:hint="eastAsia" w:ascii="宋体" w:hAnsi="宋体" w:cs="宋体"/>
                <w:color w:val="auto"/>
                <w:sz w:val="24"/>
                <w:highlight w:val="none"/>
              </w:rPr>
              <w:t xml:space="preserve">1.5.3 </w:t>
            </w:r>
          </w:p>
        </w:tc>
        <w:tc>
          <w:tcPr>
            <w:tcW w:w="8275" w:type="dxa"/>
            <w:vAlign w:val="center"/>
          </w:tcPr>
          <w:p w14:paraId="7C3649A7">
            <w:pPr>
              <w:spacing w:line="360" w:lineRule="auto"/>
              <w:rPr>
                <w:rFonts w:ascii="宋体" w:hAnsi="宋体" w:cs="宋体"/>
                <w:color w:val="auto"/>
                <w:sz w:val="24"/>
                <w:highlight w:val="none"/>
              </w:rPr>
            </w:pPr>
            <w:r>
              <w:rPr>
                <w:rFonts w:hint="eastAsia" w:ascii="宋体" w:hAnsi="宋体"/>
                <w:color w:val="auto"/>
                <w:sz w:val="24"/>
                <w:highlight w:val="none"/>
              </w:rPr>
              <w:t>现场交付</w:t>
            </w:r>
          </w:p>
        </w:tc>
      </w:tr>
      <w:tr w14:paraId="7092A5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97B505B">
            <w:pPr>
              <w:spacing w:line="360" w:lineRule="exact"/>
              <w:rPr>
                <w:rFonts w:ascii="宋体" w:hAnsi="宋体" w:cs="宋体"/>
                <w:color w:val="auto"/>
                <w:sz w:val="24"/>
                <w:highlight w:val="none"/>
              </w:rPr>
            </w:pPr>
            <w:r>
              <w:rPr>
                <w:rFonts w:hint="eastAsia" w:ascii="宋体" w:hAnsi="宋体" w:cs="宋体"/>
                <w:color w:val="auto"/>
                <w:sz w:val="24"/>
                <w:highlight w:val="none"/>
              </w:rPr>
              <w:t>1.6.7</w:t>
            </w:r>
          </w:p>
        </w:tc>
        <w:tc>
          <w:tcPr>
            <w:tcW w:w="8275" w:type="dxa"/>
            <w:vAlign w:val="center"/>
          </w:tcPr>
          <w:p w14:paraId="0361D318">
            <w:pPr>
              <w:spacing w:line="360" w:lineRule="auto"/>
              <w:rPr>
                <w:rFonts w:ascii="宋体" w:hAnsi="宋体" w:cs="宋体"/>
                <w:color w:val="auto"/>
                <w:sz w:val="24"/>
                <w:highlight w:val="none"/>
              </w:rPr>
            </w:pPr>
            <w:r>
              <w:rPr>
                <w:rFonts w:hint="eastAsia" w:ascii="宋体" w:hAnsi="宋体" w:cs="宋体"/>
                <w:color w:val="auto"/>
                <w:sz w:val="24"/>
                <w:highlight w:val="none"/>
              </w:rPr>
              <w:t>违约责任详见条款</w:t>
            </w:r>
            <w:r>
              <w:rPr>
                <w:rFonts w:hint="eastAsia" w:ascii="宋体" w:hAnsi="宋体" w:cs="宋体"/>
                <w:b/>
                <w:color w:val="auto"/>
                <w:sz w:val="24"/>
                <w:highlight w:val="none"/>
              </w:rPr>
              <w:t>1.6违约责任</w:t>
            </w:r>
          </w:p>
        </w:tc>
      </w:tr>
      <w:tr w14:paraId="1FA7F0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E7B6942">
            <w:pPr>
              <w:spacing w:line="360" w:lineRule="exact"/>
              <w:rPr>
                <w:rFonts w:ascii="宋体" w:hAnsi="宋体" w:cs="宋体"/>
                <w:color w:val="auto"/>
                <w:sz w:val="24"/>
                <w:highlight w:val="none"/>
              </w:rPr>
            </w:pPr>
            <w:r>
              <w:rPr>
                <w:rFonts w:hint="eastAsia" w:ascii="宋体" w:hAnsi="宋体" w:cs="宋体"/>
                <w:color w:val="auto"/>
                <w:sz w:val="24"/>
                <w:highlight w:val="none"/>
              </w:rPr>
              <w:t>1.7</w:t>
            </w:r>
          </w:p>
        </w:tc>
        <w:tc>
          <w:tcPr>
            <w:tcW w:w="8275" w:type="dxa"/>
            <w:vAlign w:val="center"/>
          </w:tcPr>
          <w:p w14:paraId="204EAA4A">
            <w:pPr>
              <w:spacing w:line="360" w:lineRule="auto"/>
              <w:rPr>
                <w:rFonts w:ascii="宋体" w:hAnsi="宋体" w:cs="宋体"/>
                <w:color w:val="auto"/>
                <w:sz w:val="24"/>
                <w:highlight w:val="none"/>
              </w:rPr>
            </w:pPr>
            <w:r>
              <w:rPr>
                <w:rFonts w:hint="eastAsia" w:ascii="宋体" w:hAnsi="宋体"/>
                <w:color w:val="auto"/>
                <w:sz w:val="24"/>
                <w:highlight w:val="none"/>
              </w:rPr>
              <w:t>合同争议的解决：本合同履行过程中发生的任何争议，双方当事人均可通过和解或者调解解决；</w:t>
            </w:r>
          </w:p>
        </w:tc>
      </w:tr>
      <w:tr w14:paraId="5D66A9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52BE1E2">
            <w:pPr>
              <w:spacing w:line="360" w:lineRule="exact"/>
              <w:rPr>
                <w:rFonts w:ascii="宋体" w:hAnsi="宋体" w:cs="宋体"/>
                <w:color w:val="auto"/>
                <w:sz w:val="24"/>
                <w:highlight w:val="none"/>
              </w:rPr>
            </w:pPr>
            <w:r>
              <w:rPr>
                <w:rFonts w:hint="eastAsia" w:ascii="宋体" w:hAnsi="宋体" w:cs="宋体"/>
                <w:color w:val="auto"/>
                <w:sz w:val="24"/>
                <w:highlight w:val="none"/>
              </w:rPr>
              <w:t>1.7.1</w:t>
            </w:r>
          </w:p>
        </w:tc>
        <w:tc>
          <w:tcPr>
            <w:tcW w:w="8275" w:type="dxa"/>
            <w:vAlign w:val="center"/>
          </w:tcPr>
          <w:p w14:paraId="3A8861C6">
            <w:pPr>
              <w:spacing w:line="360" w:lineRule="auto"/>
              <w:rPr>
                <w:rFonts w:ascii="宋体" w:hAnsi="宋体" w:cs="宋体"/>
                <w:color w:val="auto"/>
                <w:sz w:val="24"/>
                <w:highlight w:val="none"/>
              </w:rPr>
            </w:pPr>
            <w:r>
              <w:rPr>
                <w:rFonts w:hint="eastAsia" w:ascii="宋体" w:hAnsi="宋体" w:cs="宋体"/>
                <w:color w:val="auto"/>
                <w:sz w:val="24"/>
                <w:highlight w:val="none"/>
              </w:rPr>
              <w:t>不愿和解、调解或者和解、调解不成的，可以选择将争议提交余杭区仲裁委员会依申请仲裁时其现行有效的仲裁规则裁决：</w:t>
            </w:r>
          </w:p>
        </w:tc>
      </w:tr>
      <w:tr w14:paraId="0E5145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B2E28BA">
            <w:pPr>
              <w:spacing w:line="360" w:lineRule="exact"/>
              <w:rPr>
                <w:rFonts w:ascii="宋体" w:hAnsi="宋体" w:cs="宋体"/>
                <w:color w:val="auto"/>
                <w:sz w:val="24"/>
                <w:highlight w:val="none"/>
              </w:rPr>
            </w:pPr>
            <w:r>
              <w:rPr>
                <w:rFonts w:hint="eastAsia" w:ascii="宋体" w:hAnsi="宋体" w:cs="宋体"/>
                <w:color w:val="auto"/>
                <w:sz w:val="24"/>
                <w:highlight w:val="none"/>
              </w:rPr>
              <w:t>1.7.2</w:t>
            </w:r>
          </w:p>
        </w:tc>
        <w:tc>
          <w:tcPr>
            <w:tcW w:w="8275" w:type="dxa"/>
            <w:vAlign w:val="center"/>
          </w:tcPr>
          <w:p w14:paraId="551CF891">
            <w:pPr>
              <w:spacing w:line="360" w:lineRule="auto"/>
              <w:rPr>
                <w:rFonts w:ascii="宋体" w:hAnsi="宋体" w:cs="宋体"/>
                <w:color w:val="auto"/>
                <w:sz w:val="24"/>
                <w:highlight w:val="none"/>
              </w:rPr>
            </w:pPr>
            <w:r>
              <w:rPr>
                <w:rFonts w:hint="eastAsia" w:ascii="宋体" w:hAnsi="宋体" w:cs="宋体"/>
                <w:color w:val="auto"/>
                <w:sz w:val="24"/>
                <w:highlight w:val="none"/>
              </w:rPr>
              <w:t>杭州市或项目所在地</w:t>
            </w:r>
          </w:p>
        </w:tc>
      </w:tr>
      <w:tr w14:paraId="1048C9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940D5BC">
            <w:pPr>
              <w:spacing w:line="360" w:lineRule="exact"/>
              <w:rPr>
                <w:rFonts w:ascii="宋体" w:hAnsi="宋体" w:cs="宋体"/>
                <w:color w:val="auto"/>
                <w:sz w:val="24"/>
                <w:highlight w:val="none"/>
              </w:rPr>
            </w:pPr>
            <w:r>
              <w:rPr>
                <w:rFonts w:hint="eastAsia" w:ascii="宋体" w:hAnsi="宋体" w:cs="宋体"/>
                <w:color w:val="auto"/>
                <w:sz w:val="24"/>
                <w:highlight w:val="none"/>
              </w:rPr>
              <w:t>2.3.2</w:t>
            </w:r>
          </w:p>
        </w:tc>
        <w:tc>
          <w:tcPr>
            <w:tcW w:w="8275" w:type="dxa"/>
            <w:vAlign w:val="center"/>
          </w:tcPr>
          <w:p w14:paraId="7FA7744E">
            <w:pPr>
              <w:spacing w:line="360" w:lineRule="auto"/>
              <w:rPr>
                <w:rFonts w:ascii="宋体" w:hAnsi="宋体" w:cs="宋体"/>
                <w:color w:val="auto"/>
                <w:sz w:val="24"/>
                <w:highlight w:val="none"/>
              </w:rPr>
            </w:pPr>
            <w:r>
              <w:rPr>
                <w:rFonts w:hint="eastAsia" w:ascii="宋体" w:hAnsi="宋体"/>
                <w:color w:val="auto"/>
                <w:sz w:val="24"/>
                <w:highlight w:val="none"/>
              </w:rPr>
              <w:t>具有知识产权的货物的知识产权归属：归采购人所有</w:t>
            </w:r>
          </w:p>
        </w:tc>
      </w:tr>
      <w:tr w14:paraId="7E2722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071F6CB">
            <w:pPr>
              <w:spacing w:line="360" w:lineRule="exact"/>
              <w:rPr>
                <w:rFonts w:ascii="宋体" w:hAnsi="宋体" w:cs="宋体"/>
                <w:color w:val="auto"/>
                <w:sz w:val="24"/>
                <w:highlight w:val="none"/>
              </w:rPr>
            </w:pPr>
            <w:r>
              <w:rPr>
                <w:rFonts w:hint="eastAsia" w:ascii="宋体" w:hAnsi="宋体" w:cs="宋体"/>
                <w:color w:val="auto"/>
                <w:sz w:val="24"/>
                <w:highlight w:val="none"/>
              </w:rPr>
              <w:t>2.4.1</w:t>
            </w:r>
          </w:p>
        </w:tc>
        <w:tc>
          <w:tcPr>
            <w:tcW w:w="8275" w:type="dxa"/>
            <w:vAlign w:val="center"/>
          </w:tcPr>
          <w:p w14:paraId="68D34770">
            <w:pPr>
              <w:spacing w:line="360" w:lineRule="auto"/>
              <w:rPr>
                <w:rFonts w:ascii="宋体" w:hAnsi="宋体" w:cs="宋体"/>
                <w:color w:val="auto"/>
                <w:sz w:val="24"/>
                <w:highlight w:val="none"/>
              </w:rPr>
            </w:pPr>
            <w:r>
              <w:rPr>
                <w:rFonts w:hint="eastAsia" w:ascii="宋体" w:hAnsi="宋体"/>
                <w:color w:val="auto"/>
                <w:sz w:val="24"/>
                <w:highlight w:val="none"/>
              </w:rPr>
              <w:t>包装和装运： 符合国家、省、市、区和采购人等要求</w:t>
            </w:r>
          </w:p>
        </w:tc>
      </w:tr>
      <w:tr w14:paraId="6BA0C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22C9928">
            <w:pPr>
              <w:spacing w:line="360" w:lineRule="exact"/>
              <w:rPr>
                <w:rFonts w:ascii="宋体" w:hAnsi="宋体" w:cs="宋体"/>
                <w:color w:val="auto"/>
                <w:sz w:val="24"/>
                <w:highlight w:val="none"/>
              </w:rPr>
            </w:pPr>
            <w:r>
              <w:rPr>
                <w:rFonts w:hint="eastAsia" w:ascii="宋体" w:hAnsi="宋体" w:cs="宋体"/>
                <w:color w:val="auto"/>
                <w:sz w:val="24"/>
                <w:highlight w:val="none"/>
              </w:rPr>
              <w:t>2.4.3</w:t>
            </w:r>
          </w:p>
        </w:tc>
        <w:tc>
          <w:tcPr>
            <w:tcW w:w="8275" w:type="dxa"/>
            <w:vAlign w:val="center"/>
          </w:tcPr>
          <w:p w14:paraId="7F7C1BD8">
            <w:pPr>
              <w:spacing w:line="360" w:lineRule="auto"/>
              <w:jc w:val="left"/>
              <w:rPr>
                <w:rFonts w:ascii="宋体" w:hAnsi="宋体" w:cs="宋体"/>
                <w:color w:val="auto"/>
                <w:sz w:val="24"/>
                <w:highlight w:val="none"/>
              </w:rPr>
            </w:pPr>
            <w:r>
              <w:rPr>
                <w:rFonts w:hint="eastAsia" w:ascii="宋体" w:hAnsi="宋体" w:cs="宋体"/>
                <w:color w:val="auto"/>
                <w:sz w:val="24"/>
                <w:highlight w:val="none"/>
              </w:rPr>
              <w:t>装运货物的要求和通知：</w:t>
            </w:r>
            <w:r>
              <w:rPr>
                <w:rFonts w:hint="eastAsia" w:ascii="宋体" w:hAnsi="宋体"/>
                <w:color w:val="auto"/>
                <w:sz w:val="24"/>
                <w:highlight w:val="none"/>
              </w:rPr>
              <w:t>接到甲方发货通知后，35天内将货物运输安装调试完毕交付甲方正常使用，地点由甲方指定。</w:t>
            </w:r>
          </w:p>
        </w:tc>
      </w:tr>
      <w:tr w14:paraId="74B271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top"/>
          </w:tcPr>
          <w:p w14:paraId="5A20D075">
            <w:pPr>
              <w:spacing w:line="360" w:lineRule="exact"/>
              <w:rPr>
                <w:rFonts w:ascii="宋体" w:hAnsi="宋体" w:cs="宋体"/>
                <w:color w:val="auto"/>
                <w:sz w:val="24"/>
                <w:highlight w:val="none"/>
              </w:rPr>
            </w:pPr>
            <w:r>
              <w:rPr>
                <w:rFonts w:hint="eastAsia" w:ascii="宋体" w:hAnsi="宋体" w:cs="宋体"/>
                <w:color w:val="auto"/>
                <w:sz w:val="24"/>
                <w:highlight w:val="none"/>
              </w:rPr>
              <w:t xml:space="preserve">2.8 </w:t>
            </w:r>
          </w:p>
        </w:tc>
        <w:tc>
          <w:tcPr>
            <w:tcW w:w="8275" w:type="dxa"/>
            <w:vAlign w:val="center"/>
          </w:tcPr>
          <w:p w14:paraId="1D0C81B6">
            <w:pPr>
              <w:spacing w:line="560" w:lineRule="exact"/>
              <w:outlineLvl w:val="0"/>
              <w:rPr>
                <w:rFonts w:ascii="宋体" w:hAnsi="宋体" w:cs="宋体"/>
                <w:color w:val="auto"/>
                <w:sz w:val="24"/>
                <w:highlight w:val="none"/>
              </w:rPr>
            </w:pPr>
            <w:r>
              <w:rPr>
                <w:rFonts w:hint="eastAsia" w:ascii="宋体" w:hAnsi="宋体" w:cs="宋体"/>
                <w:b/>
                <w:color w:val="auto"/>
                <w:sz w:val="24"/>
                <w:highlight w:val="none"/>
              </w:rPr>
              <w:t>货物的风险负担：</w:t>
            </w:r>
            <w:r>
              <w:rPr>
                <w:rFonts w:hint="eastAsia" w:ascii="宋体" w:hAnsi="宋体"/>
                <w:color w:val="auto"/>
                <w:sz w:val="24"/>
                <w:highlight w:val="none"/>
              </w:rPr>
              <w:t>货物或者在途货物或者交付给第一承运人后的货物毁损、灭失的风险由乙方承担一切责任并赔偿甲方损失。</w:t>
            </w:r>
          </w:p>
        </w:tc>
      </w:tr>
      <w:tr w14:paraId="5DCFE9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E5955EC">
            <w:pPr>
              <w:spacing w:line="360" w:lineRule="exact"/>
              <w:rPr>
                <w:rFonts w:ascii="宋体" w:hAnsi="宋体" w:cs="宋体"/>
                <w:color w:val="auto"/>
                <w:sz w:val="24"/>
                <w:highlight w:val="none"/>
              </w:rPr>
            </w:pPr>
            <w:r>
              <w:rPr>
                <w:rFonts w:hint="eastAsia" w:ascii="宋体" w:hAnsi="宋体" w:cs="宋体"/>
                <w:color w:val="auto"/>
                <w:sz w:val="24"/>
                <w:highlight w:val="none"/>
              </w:rPr>
              <w:t>2.12.3</w:t>
            </w:r>
          </w:p>
        </w:tc>
        <w:tc>
          <w:tcPr>
            <w:tcW w:w="8275" w:type="dxa"/>
            <w:vAlign w:val="center"/>
          </w:tcPr>
          <w:p w14:paraId="78F380D3">
            <w:pPr>
              <w:spacing w:line="360" w:lineRule="auto"/>
              <w:rPr>
                <w:rFonts w:ascii="宋体" w:hAnsi="宋体" w:cs="宋体"/>
                <w:color w:val="auto"/>
                <w:sz w:val="24"/>
                <w:highlight w:val="none"/>
              </w:rPr>
            </w:pPr>
            <w:r>
              <w:rPr>
                <w:rFonts w:hint="eastAsia" w:ascii="宋体" w:hAnsi="宋体" w:cs="宋体"/>
                <w:color w:val="auto"/>
                <w:sz w:val="24"/>
                <w:highlight w:val="none"/>
              </w:rPr>
              <w:t>因不可抗力致使合同有变更必要的，</w:t>
            </w:r>
            <w:r>
              <w:rPr>
                <w:rFonts w:hint="eastAsia" w:ascii="宋体" w:hAnsi="宋体"/>
                <w:color w:val="auto"/>
                <w:sz w:val="24"/>
                <w:highlight w:val="none"/>
              </w:rPr>
              <w:t>双方当事人应在3个工作日内以书面形式变更合同；</w:t>
            </w:r>
          </w:p>
        </w:tc>
      </w:tr>
      <w:tr w14:paraId="1206B2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B9F46DA">
            <w:pPr>
              <w:spacing w:line="360" w:lineRule="exact"/>
              <w:rPr>
                <w:rFonts w:ascii="宋体" w:hAnsi="宋体" w:cs="宋体"/>
                <w:color w:val="auto"/>
                <w:sz w:val="24"/>
                <w:highlight w:val="none"/>
              </w:rPr>
            </w:pPr>
            <w:r>
              <w:rPr>
                <w:rFonts w:hint="eastAsia" w:ascii="宋体" w:hAnsi="宋体" w:cs="宋体"/>
                <w:color w:val="auto"/>
                <w:sz w:val="24"/>
                <w:highlight w:val="none"/>
              </w:rPr>
              <w:t>2.12.4</w:t>
            </w:r>
          </w:p>
        </w:tc>
        <w:tc>
          <w:tcPr>
            <w:tcW w:w="8275" w:type="dxa"/>
            <w:vAlign w:val="top"/>
          </w:tcPr>
          <w:p w14:paraId="78CEFAF5">
            <w:pPr>
              <w:spacing w:line="360" w:lineRule="auto"/>
              <w:rPr>
                <w:rFonts w:ascii="宋体" w:hAnsi="宋体" w:cs="宋体"/>
                <w:color w:val="auto"/>
                <w:sz w:val="24"/>
                <w:highlight w:val="none"/>
              </w:rPr>
            </w:pPr>
            <w:r>
              <w:rPr>
                <w:rFonts w:hint="eastAsia" w:ascii="宋体" w:hAnsi="宋体"/>
                <w:color w:val="auto"/>
                <w:sz w:val="24"/>
                <w:highlight w:val="none"/>
              </w:rPr>
              <w:t>受不可抗力影响的一方在不可抗力发生后，应在1个工作日内以书面形式通知对方当事人，并在3个工作日内，将有关部门出具的证明文件送达对方当事人。</w:t>
            </w:r>
          </w:p>
        </w:tc>
      </w:tr>
      <w:tr w14:paraId="09CA37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B462498">
            <w:pPr>
              <w:spacing w:line="360" w:lineRule="exact"/>
              <w:rPr>
                <w:rFonts w:ascii="宋体" w:hAnsi="宋体" w:cs="宋体"/>
                <w:color w:val="auto"/>
                <w:sz w:val="24"/>
                <w:highlight w:val="none"/>
              </w:rPr>
            </w:pPr>
            <w:r>
              <w:rPr>
                <w:rFonts w:hint="eastAsia" w:ascii="宋体" w:hAnsi="宋体" w:cs="宋体"/>
                <w:color w:val="auto"/>
                <w:sz w:val="24"/>
                <w:highlight w:val="none"/>
              </w:rPr>
              <w:t>2.16.1</w:t>
            </w:r>
          </w:p>
        </w:tc>
        <w:tc>
          <w:tcPr>
            <w:tcW w:w="8275" w:type="dxa"/>
            <w:vAlign w:val="center"/>
          </w:tcPr>
          <w:p w14:paraId="38B23C11">
            <w:pPr>
              <w:spacing w:line="360" w:lineRule="auto"/>
              <w:rPr>
                <w:rFonts w:ascii="宋体" w:hAnsi="宋体" w:cs="宋体"/>
                <w:color w:val="auto"/>
                <w:sz w:val="24"/>
                <w:highlight w:val="none"/>
              </w:rPr>
            </w:pPr>
            <w:r>
              <w:rPr>
                <w:rFonts w:hint="eastAsia" w:ascii="宋体" w:hAnsi="宋体"/>
                <w:color w:val="auto"/>
                <w:sz w:val="24"/>
                <w:highlight w:val="none"/>
              </w:rPr>
              <w:t>货物交付前，乙方应对货物的质量、数量等方面进行详细、全面的检验，并向甲方出具证明货物符合合同约定的文件；货物交付后，乙方在10个工作日内组织验收，并可依法邀请相关方参加，验收应出具验收书。</w:t>
            </w:r>
          </w:p>
        </w:tc>
      </w:tr>
      <w:tr w14:paraId="0A6E17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14:paraId="013486D2">
            <w:pPr>
              <w:spacing w:line="360" w:lineRule="exact"/>
              <w:rPr>
                <w:rFonts w:ascii="宋体" w:hAnsi="宋体" w:cs="宋体"/>
                <w:color w:val="auto"/>
                <w:sz w:val="24"/>
                <w:highlight w:val="none"/>
              </w:rPr>
            </w:pPr>
            <w:r>
              <w:rPr>
                <w:rFonts w:hint="eastAsia" w:ascii="宋体" w:hAnsi="宋体" w:cs="宋体"/>
                <w:color w:val="auto"/>
                <w:sz w:val="24"/>
                <w:highlight w:val="none"/>
              </w:rPr>
              <w:t>2.16.3</w:t>
            </w:r>
          </w:p>
        </w:tc>
        <w:tc>
          <w:tcPr>
            <w:tcW w:w="8275" w:type="dxa"/>
            <w:vAlign w:val="center"/>
          </w:tcPr>
          <w:p w14:paraId="0A2D069F">
            <w:pPr>
              <w:spacing w:line="360" w:lineRule="auto"/>
              <w:rPr>
                <w:rFonts w:ascii="宋体" w:hAnsi="宋体" w:cs="宋体"/>
                <w:color w:val="auto"/>
                <w:sz w:val="24"/>
                <w:highlight w:val="none"/>
              </w:rPr>
            </w:pPr>
            <w:r>
              <w:rPr>
                <w:rFonts w:hint="eastAsia" w:ascii="宋体" w:hAnsi="宋体"/>
                <w:color w:val="auto"/>
                <w:sz w:val="24"/>
                <w:highlight w:val="none"/>
              </w:rPr>
              <w:t>检验和验收标准、程序等具体内容以及前述验收书的效力，采用本行业通用标准。</w:t>
            </w:r>
          </w:p>
        </w:tc>
      </w:tr>
      <w:tr w14:paraId="515A6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top"/>
          </w:tcPr>
          <w:p w14:paraId="7592750E">
            <w:pPr>
              <w:spacing w:line="360" w:lineRule="exact"/>
              <w:rPr>
                <w:rFonts w:ascii="宋体" w:hAnsi="宋体" w:cs="宋体"/>
                <w:color w:val="auto"/>
                <w:sz w:val="24"/>
                <w:highlight w:val="none"/>
              </w:rPr>
            </w:pPr>
            <w:r>
              <w:rPr>
                <w:rFonts w:hint="eastAsia" w:ascii="宋体" w:hAnsi="宋体" w:cs="宋体"/>
                <w:color w:val="auto"/>
                <w:sz w:val="24"/>
                <w:highlight w:val="none"/>
              </w:rPr>
              <w:t>2.20.1</w:t>
            </w:r>
          </w:p>
        </w:tc>
        <w:tc>
          <w:tcPr>
            <w:tcW w:w="8275" w:type="dxa"/>
            <w:vAlign w:val="top"/>
          </w:tcPr>
          <w:p w14:paraId="04C5D299">
            <w:pPr>
              <w:spacing w:line="360" w:lineRule="auto"/>
              <w:rPr>
                <w:rFonts w:ascii="宋体" w:hAnsi="宋体" w:cs="宋体"/>
                <w:color w:val="auto"/>
                <w:sz w:val="24"/>
                <w:highlight w:val="none"/>
              </w:rPr>
            </w:pPr>
            <w:r>
              <w:rPr>
                <w:rFonts w:hint="eastAsia" w:ascii="宋体" w:hAnsi="宋体"/>
                <w:color w:val="auto"/>
                <w:sz w:val="24"/>
                <w:highlight w:val="none"/>
              </w:rPr>
              <w:t>采购文件要求乙方提交履约保证金的，乙方应提交不超过合同价 1 %的履约保证金约定的方式，以支票、汇票、本票或者金融机构、担保机构出具的保函等非现金形式。</w:t>
            </w:r>
          </w:p>
        </w:tc>
      </w:tr>
      <w:tr w14:paraId="713893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35F68834">
            <w:pPr>
              <w:spacing w:line="360" w:lineRule="exact"/>
              <w:rPr>
                <w:rFonts w:ascii="宋体" w:hAnsi="宋体" w:cs="宋体"/>
                <w:color w:val="auto"/>
                <w:sz w:val="24"/>
                <w:highlight w:val="none"/>
              </w:rPr>
            </w:pPr>
            <w:r>
              <w:rPr>
                <w:rFonts w:hint="eastAsia" w:ascii="宋体" w:hAnsi="宋体" w:cs="宋体"/>
                <w:color w:val="auto"/>
                <w:sz w:val="24"/>
                <w:highlight w:val="none"/>
              </w:rPr>
              <w:t xml:space="preserve">2.20.2 </w:t>
            </w:r>
          </w:p>
        </w:tc>
        <w:tc>
          <w:tcPr>
            <w:tcW w:w="8275" w:type="dxa"/>
            <w:vAlign w:val="center"/>
          </w:tcPr>
          <w:p w14:paraId="3F5E4C8B">
            <w:pPr>
              <w:spacing w:line="360" w:lineRule="auto"/>
              <w:rPr>
                <w:rFonts w:ascii="宋体" w:hAnsi="宋体" w:cs="宋体"/>
                <w:color w:val="auto"/>
                <w:sz w:val="24"/>
                <w:highlight w:val="none"/>
              </w:rPr>
            </w:pPr>
            <w:r>
              <w:rPr>
                <w:rFonts w:hint="eastAsia" w:ascii="宋体" w:hAnsi="宋体"/>
                <w:color w:val="auto"/>
                <w:sz w:val="24"/>
                <w:highlight w:val="none"/>
              </w:rPr>
              <w:t>履约保证金在合同约定期间内不予退还。乙方在前述约定期间届满前能履行完合同约定义务事项的，甲方在前述约定期间届满之日起7个工作日内，将履约保证金无息退还乙方，逾期退还的，乙方可要求甲方支付违约金，违约金按每迟延退还一日的应退还而未退还金额的0.05  %计算，最高限额为本合同履约保证金的1%。项目验收结束后，甲方应及时退还。</w:t>
            </w:r>
          </w:p>
        </w:tc>
      </w:tr>
      <w:tr w14:paraId="23948C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2B240DF5">
            <w:pPr>
              <w:spacing w:line="360" w:lineRule="exact"/>
              <w:ind w:left="-420" w:leftChars="-200" w:right="-420" w:rightChars="-200" w:firstLine="480" w:firstLineChars="200"/>
              <w:outlineLvl w:val="0"/>
              <w:rPr>
                <w:rFonts w:ascii="宋体" w:hAnsi="宋体" w:cs="宋体"/>
                <w:color w:val="auto"/>
                <w:sz w:val="24"/>
                <w:highlight w:val="none"/>
              </w:rPr>
            </w:pPr>
            <w:r>
              <w:rPr>
                <w:rFonts w:hint="eastAsia" w:ascii="宋体" w:hAnsi="宋体" w:cs="宋体"/>
                <w:color w:val="auto"/>
                <w:sz w:val="24"/>
                <w:highlight w:val="none"/>
              </w:rPr>
              <w:t xml:space="preserve">2.22 </w:t>
            </w:r>
          </w:p>
        </w:tc>
        <w:tc>
          <w:tcPr>
            <w:tcW w:w="8275" w:type="dxa"/>
            <w:vAlign w:val="center"/>
          </w:tcPr>
          <w:p w14:paraId="63CB1E00">
            <w:pPr>
              <w:spacing w:line="360" w:lineRule="auto"/>
              <w:rPr>
                <w:rFonts w:ascii="宋体" w:hAnsi="宋体" w:cs="宋体"/>
                <w:color w:val="auto"/>
                <w:sz w:val="24"/>
                <w:highlight w:val="none"/>
              </w:rPr>
            </w:pPr>
            <w:r>
              <w:rPr>
                <w:rFonts w:hint="eastAsia" w:ascii="宋体" w:hAnsi="宋体"/>
                <w:color w:val="auto"/>
                <w:sz w:val="24"/>
                <w:highlight w:val="none"/>
              </w:rPr>
              <w:t>合同</w:t>
            </w:r>
            <w:r>
              <w:rPr>
                <w:rFonts w:hint="eastAsia" w:ascii="宋体" w:hAnsi="宋体"/>
                <w:color w:val="auto"/>
                <w:sz w:val="24"/>
                <w:highlight w:val="none"/>
                <w:u w:val="single"/>
              </w:rPr>
              <w:t xml:space="preserve"> 捌</w:t>
            </w:r>
            <w:r>
              <w:rPr>
                <w:rFonts w:hint="eastAsia" w:ascii="宋体" w:hAnsi="宋体"/>
                <w:color w:val="auto"/>
                <w:sz w:val="24"/>
                <w:highlight w:val="none"/>
              </w:rPr>
              <w:t xml:space="preserve">份数，每份均具有同等法律效力。 </w:t>
            </w:r>
          </w:p>
        </w:tc>
      </w:tr>
    </w:tbl>
    <w:p w14:paraId="5EDEF6D3">
      <w:pPr>
        <w:spacing w:line="480" w:lineRule="auto"/>
        <w:rPr>
          <w:rFonts w:ascii="宋体" w:hAnsi="宋体" w:cs="宋体"/>
          <w:bCs/>
          <w:color w:val="auto"/>
          <w:sz w:val="24"/>
          <w:highlight w:val="none"/>
        </w:rPr>
      </w:pPr>
    </w:p>
    <w:p w14:paraId="52F0EE63">
      <w:pPr>
        <w:spacing w:line="480" w:lineRule="auto"/>
        <w:rPr>
          <w:rFonts w:ascii="宋体" w:hAnsi="宋体" w:cs="宋体"/>
          <w:bCs/>
          <w:color w:val="auto"/>
          <w:sz w:val="24"/>
          <w:highlight w:val="none"/>
        </w:rPr>
      </w:pPr>
    </w:p>
    <w:p w14:paraId="0B0AAA62">
      <w:pPr>
        <w:spacing w:line="360" w:lineRule="auto"/>
        <w:ind w:left="-420" w:leftChars="-200" w:right="-420" w:rightChars="-200"/>
        <w:rPr>
          <w:rFonts w:ascii="宋体" w:hAnsi="宋体" w:cs="宋体"/>
          <w:color w:val="auto"/>
          <w:sz w:val="24"/>
          <w:highlight w:val="none"/>
        </w:rPr>
      </w:pPr>
    </w:p>
    <w:p w14:paraId="7E367D4C">
      <w:pPr>
        <w:pStyle w:val="3"/>
        <w:rPr>
          <w:color w:val="auto"/>
          <w:highlight w:val="none"/>
        </w:rPr>
      </w:pPr>
    </w:p>
    <w:p w14:paraId="4F2A87DA">
      <w:pPr>
        <w:rPr>
          <w:color w:val="auto"/>
          <w:highlight w:val="none"/>
        </w:rPr>
      </w:pPr>
    </w:p>
    <w:bookmarkEnd w:id="13"/>
    <w:bookmarkEnd w:id="14"/>
    <w:p w14:paraId="288C20AE">
      <w:pPr>
        <w:spacing w:line="360" w:lineRule="auto"/>
        <w:outlineLvl w:val="0"/>
        <w:rPr>
          <w:rFonts w:hint="eastAsia" w:ascii="宋体" w:hAnsi="宋体" w:cs="宋体"/>
          <w:b/>
          <w:color w:val="auto"/>
          <w:sz w:val="36"/>
          <w:szCs w:val="20"/>
          <w:highlight w:val="none"/>
        </w:rPr>
      </w:pPr>
    </w:p>
    <w:sectPr>
      <w:headerReference r:id="rId12" w:type="first"/>
      <w:footerReference r:id="rId15" w:type="first"/>
      <w:headerReference r:id="rId11" w:type="default"/>
      <w:footerReference r:id="rId13" w:type="default"/>
      <w:footerReference r:id="rId14" w:type="even"/>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auto"/>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Lucida Sans">
    <w:panose1 w:val="020B0602030504020204"/>
    <w:charset w:val="00"/>
    <w:family w:val="auto"/>
    <w:pitch w:val="default"/>
    <w:sig w:usb0="00000003" w:usb1="00000000" w:usb2="00000000" w:usb3="00000000" w:csb0="20000001" w:csb1="00000000"/>
  </w:font>
  <w:font w:name="Verdana">
    <w:panose1 w:val="020B0604030504040204"/>
    <w:charset w:val="00"/>
    <w:family w:val="auto"/>
    <w:pitch w:val="default"/>
    <w:sig w:usb0="A00006FF" w:usb1="4000205B" w:usb2="00000010" w:usb3="00000000" w:csb0="2000019F" w:csb1="00000000"/>
  </w:font>
  <w:font w:name="幼圆">
    <w:panose1 w:val="02010509060101010101"/>
    <w:charset w:val="86"/>
    <w:family w:val="auto"/>
    <w:pitch w:val="default"/>
    <w:sig w:usb0="00000001" w:usb1="080E0000" w:usb2="00000000" w:usb3="00000000" w:csb0="00040000" w:csb1="00000000"/>
  </w:font>
  <w:font w:name="Arial Narrow">
    <w:panose1 w:val="020B0606020202030204"/>
    <w:charset w:val="00"/>
    <w:family w:val="auto"/>
    <w:pitch w:val="default"/>
    <w:sig w:usb0="00000287" w:usb1="00000800" w:usb2="00000000" w:usb3="00000000" w:csb0="2000009F" w:csb1="DFD70000"/>
  </w:font>
  <w:font w:name="FHLHE E+ Futura Bk">
    <w:altName w:val="宋体"/>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altName w:val="宋体"/>
    <w:panose1 w:val="020B0604020202020204"/>
    <w:charset w:val="86"/>
    <w:family w:val="auto"/>
    <w:pitch w:val="default"/>
    <w:sig w:usb0="00000000" w:usb1="00000000" w:usb2="0000003F" w:usb3="00000000" w:csb0="603F01FF" w:csb1="FFFF0000"/>
  </w:font>
  <w:font w:name="Helvetica">
    <w:altName w:val="Arial"/>
    <w:panose1 w:val="020B0604020202020204"/>
    <w:charset w:val="00"/>
    <w:family w:val="auto"/>
    <w:pitch w:val="default"/>
    <w:sig w:usb0="00000000" w:usb1="00000000" w:usb2="00000000" w:usb3="00000000" w:csb0="00000001" w:csb1="00000000"/>
  </w:font>
  <w:font w:name="Cumberland">
    <w:altName w:val="微软雅黑"/>
    <w:panose1 w:val="00000000000000000000"/>
    <w:charset w:val="00"/>
    <w:family w:val="auto"/>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auto"/>
    <w:pitch w:val="default"/>
    <w:sig w:usb0="00000000" w:usb1="00000000" w:usb2="00000000" w:usb3="00000000" w:csb0="000001FB" w:csb1="00000000"/>
  </w:font>
  <w:font w:name="Segoe UI">
    <w:panose1 w:val="020B0502040204020203"/>
    <w:charset w:val="00"/>
    <w:family w:val="auto"/>
    <w:pitch w:val="default"/>
    <w:sig w:usb0="E4002EFF" w:usb1="C000E47F" w:usb2="00000009" w:usb3="00000000" w:csb0="200001FF" w:csb1="00000000"/>
  </w:font>
  <w:font w:name="Latha">
    <w:altName w:val="Segoe Print"/>
    <w:panose1 w:val="020B0604020202020204"/>
    <w:charset w:val="00"/>
    <w:family w:val="auto"/>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auto"/>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auto"/>
    <w:pitch w:val="default"/>
    <w:sig w:usb0="00000287" w:usb1="00000000" w:usb2="00000000" w:usb3="00000000" w:csb0="2000009F" w:csb1="DFD70000"/>
  </w:font>
  <w:font w:name="Aldine401 BT">
    <w:altName w:val="Segoe Print"/>
    <w:panose1 w:val="00000000000000000000"/>
    <w:charset w:val="00"/>
    <w:family w:val="auto"/>
    <w:pitch w:val="default"/>
    <w:sig w:usb0="00000000" w:usb1="00000000" w:usb2="00000000" w:usb3="00000000" w:csb0="00000011" w:csb1="00000000"/>
  </w:font>
  <w:font w:name=".PingFang SC">
    <w:altName w:val="微软雅黑"/>
    <w:panose1 w:val="00000000000000000000"/>
    <w:charset w:val="00"/>
    <w:family w:val="auto"/>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auto"/>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auto"/>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 w:name="MS Mincho">
    <w:altName w:val="Yu Gothic UI"/>
    <w:panose1 w:val="02020609040205080304"/>
    <w:charset w:val="80"/>
    <w:family w:val="auto"/>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292BE">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32C4E">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F7126">
    <w:pPr>
      <w:spacing w:line="183" w:lineRule="auto"/>
      <w:ind w:left="5800"/>
      <w:rPr>
        <w:rFonts w:ascii="宋体" w:hAnsi="宋体" w:cs="宋体"/>
        <w:sz w:val="12"/>
        <w:szCs w:val="12"/>
      </w:rPr>
    </w:pPr>
    <w:r>
      <w:rPr>
        <w:sz w:val="1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C291D0D">
                          <w:pPr>
                            <w:pStyle w:val="39"/>
                          </w:pPr>
                          <w:r>
                            <w:fldChar w:fldCharType="begin"/>
                          </w:r>
                          <w:r>
                            <w:instrText xml:space="preserve"> PAGE  \* MERGEFORMAT </w:instrText>
                          </w:r>
                          <w:r>
                            <w:fldChar w:fldCharType="separate"/>
                          </w:r>
                          <w:r>
                            <w:t>9</w:t>
                          </w:r>
                          <w:r>
                            <w:fldChar w:fldCharType="end"/>
                          </w: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IzLyrHjAQAAzQMAAA4A&#10;AAAAAAAAAQAgAAAAHgEAAGRycy9lMm9Eb2MueG1sUEsFBgAAAAAGAAYAWQEAAHMFAAAAAA==&#10;">
              <v:fill on="f" focussize="0,0"/>
              <v:stroke on="f"/>
              <v:imagedata o:title=""/>
              <o:lock v:ext="edit" aspectratio="f"/>
              <v:textbox inset="0mm,0mm,0mm,0mm" style="mso-fit-shape-to-text:t;">
                <w:txbxContent>
                  <w:p w14:paraId="1C291D0D">
                    <w:pPr>
                      <w:pStyle w:val="39"/>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75B98">
    <w:pPr>
      <w:pStyle w:val="3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635</wp:posOffset>
              </wp:positionV>
              <wp:extent cx="1134745" cy="154940"/>
              <wp:effectExtent l="0" t="0" r="0" b="0"/>
              <wp:wrapNone/>
              <wp:docPr id="51" name="文本框 4"/>
              <wp:cNvGraphicFramePr/>
              <a:graphic xmlns:a="http://schemas.openxmlformats.org/drawingml/2006/main">
                <a:graphicData uri="http://schemas.microsoft.com/office/word/2010/wordprocessingShape">
                  <wps:wsp>
                    <wps:cNvSpPr txBox="1"/>
                    <wps:spPr>
                      <a:xfrm>
                        <a:off x="0" y="0"/>
                        <a:ext cx="1134745" cy="154940"/>
                      </a:xfrm>
                      <a:prstGeom prst="rect">
                        <a:avLst/>
                      </a:prstGeom>
                      <a:noFill/>
                      <a:ln>
                        <a:noFill/>
                      </a:ln>
                      <a:effectLst/>
                    </wps:spPr>
                    <wps:txbx>
                      <w:txbxContent>
                        <w:p w14:paraId="79A4B04F">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t>34</w:t>
                          </w:r>
                          <w:r>
                            <w:rPr>
                              <w:rFonts w:hint="eastAsia"/>
                              <w:sz w:val="18"/>
                            </w:rPr>
                            <w:fldChar w:fldCharType="end"/>
                          </w:r>
                          <w:r>
                            <w:rPr>
                              <w:rFonts w:hint="eastAsia"/>
                              <w:sz w:val="18"/>
                            </w:rPr>
                            <w:t xml:space="preserve"> 页 共 </w:t>
                          </w:r>
                          <w:r>
                            <w:rPr>
                              <w:rFonts w:hint="eastAsia"/>
                              <w:sz w:val="18"/>
                            </w:rPr>
                            <w:fldChar w:fldCharType="begin"/>
                          </w:r>
                          <w:r>
                            <w:rPr>
                              <w:rFonts w:hint="eastAsia"/>
                              <w:sz w:val="18"/>
                            </w:rPr>
                            <w:instrText xml:space="preserve"> NUMPAGES  \* MERGEFORMAT </w:instrText>
                          </w:r>
                          <w:r>
                            <w:rPr>
                              <w:rFonts w:hint="eastAsia"/>
                              <w:sz w:val="18"/>
                            </w:rPr>
                            <w:fldChar w:fldCharType="separate"/>
                          </w:r>
                          <w:r>
                            <w:rPr>
                              <w:sz w:val="18"/>
                            </w:rPr>
                            <w:t>44</w:t>
                          </w:r>
                          <w:r>
                            <w:rPr>
                              <w:rFonts w:hint="eastAsia"/>
                              <w:sz w:val="18"/>
                            </w:rPr>
                            <w:fldChar w:fldCharType="end"/>
                          </w:r>
                          <w:r>
                            <w:rPr>
                              <w:rFonts w:hint="eastAsia"/>
                              <w:sz w:val="18"/>
                            </w:rPr>
                            <w:t xml:space="preserve"> 页</w:t>
                          </w:r>
                        </w:p>
                      </w:txbxContent>
                    </wps:txbx>
                    <wps:bodyPr vert="horz" lIns="0" tIns="0" rIns="0" bIns="0" anchor="t" anchorCtr="0" upright="1"/>
                  </wps:wsp>
                </a:graphicData>
              </a:graphic>
            </wp:anchor>
          </w:drawing>
        </mc:Choice>
        <mc:Fallback>
          <w:pict>
            <v:shape id="文本框 4" o:spid="_x0000_s1026" o:spt="202" type="#_x0000_t202" style="position:absolute;left:0pt;margin-top:0.05pt;height:12.2pt;width:89.35pt;mso-position-horizontal:center;mso-position-horizontal-relative:margin;z-index:251661312;mso-width-relative:page;mso-height-relative:page;" filled="f" stroked="f" coordsize="21600,21600" o:gfxdata="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0cuXrUAAAABAEAAA8AAAAAAAAAAQAgAAAA&#10;IgAAAGRycy9kb3ducmV2LnhtbFBLAQIUABQAAAAIAIdO4kDJ076w1gEAAKYDAAAOAAAAAAAAAAEA&#10;IAAAACMBAABkcnMvZTJvRG9jLnhtbFBLBQYAAAAABgAGAFkBAABrBQAAAAA=&#10;">
              <v:fill on="f" focussize="0,0"/>
              <v:stroke on="f"/>
              <v:imagedata o:title=""/>
              <o:lock v:ext="edit" aspectratio="f"/>
              <v:textbox inset="0mm,0mm,0mm,0mm">
                <w:txbxContent>
                  <w:p w14:paraId="79A4B04F">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t>34</w:t>
                    </w:r>
                    <w:r>
                      <w:rPr>
                        <w:rFonts w:hint="eastAsia"/>
                        <w:sz w:val="18"/>
                      </w:rPr>
                      <w:fldChar w:fldCharType="end"/>
                    </w:r>
                    <w:r>
                      <w:rPr>
                        <w:rFonts w:hint="eastAsia"/>
                        <w:sz w:val="18"/>
                      </w:rPr>
                      <w:t xml:space="preserve"> 页 共 </w:t>
                    </w:r>
                    <w:r>
                      <w:rPr>
                        <w:rFonts w:hint="eastAsia"/>
                        <w:sz w:val="18"/>
                      </w:rPr>
                      <w:fldChar w:fldCharType="begin"/>
                    </w:r>
                    <w:r>
                      <w:rPr>
                        <w:rFonts w:hint="eastAsia"/>
                        <w:sz w:val="18"/>
                      </w:rPr>
                      <w:instrText xml:space="preserve"> NUMPAGES  \* MERGEFORMAT </w:instrText>
                    </w:r>
                    <w:r>
                      <w:rPr>
                        <w:rFonts w:hint="eastAsia"/>
                        <w:sz w:val="18"/>
                      </w:rPr>
                      <w:fldChar w:fldCharType="separate"/>
                    </w:r>
                    <w:r>
                      <w:rPr>
                        <w:sz w:val="18"/>
                      </w:rPr>
                      <w:t>44</w:t>
                    </w:r>
                    <w:r>
                      <w:rPr>
                        <w:rFonts w:hint="eastAsia"/>
                        <w:sz w:val="18"/>
                      </w:rPr>
                      <w:fldChar w:fldCharType="end"/>
                    </w:r>
                    <w:r>
                      <w:rPr>
                        <w:rFonts w:hint="eastAsia"/>
                        <w:sz w:val="18"/>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B4738">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9B295">
    <w:pPr>
      <w:pStyle w:val="39"/>
      <w:framePr w:wrap="around" w:vAnchor="text" w:hAnchor="margin" w:xAlign="right" w:y="1"/>
      <w:rPr>
        <w:rStyle w:val="73"/>
      </w:rPr>
    </w:pPr>
    <w:r>
      <w:fldChar w:fldCharType="begin"/>
    </w:r>
    <w:r>
      <w:rPr>
        <w:rStyle w:val="73"/>
      </w:rPr>
      <w:instrText xml:space="preserve">PAGE  </w:instrText>
    </w:r>
    <w:r>
      <w:fldChar w:fldCharType="end"/>
    </w:r>
  </w:p>
  <w:p w14:paraId="6469E5F4">
    <w:pPr>
      <w:pStyle w:val="39"/>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07293">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72" w:name="_Toc131845147"/>
    <w:bookmarkStart w:id="173" w:name="_Toc164085800"/>
    <w:bookmarkStart w:id="174" w:name="_Toc91899912"/>
    <w:bookmarkStart w:id="175" w:name="_Toc36110187"/>
    <w:r>
      <w:rPr>
        <w:rFonts w:hint="eastAsia" w:ascii="仿宋_GB2312" w:eastAsia="仿宋_GB2312"/>
        <w:kern w:val="0"/>
        <w:szCs w:val="21"/>
      </w:rPr>
      <w:t xml:space="preserve"> 页</w:t>
    </w:r>
    <w:bookmarkEnd w:id="172"/>
    <w:bookmarkEnd w:id="173"/>
    <w:bookmarkEnd w:id="174"/>
    <w:bookmarkEnd w:id="175"/>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29C77">
    <w:pPr>
      <w:pStyle w:val="40"/>
      <w:pBdr>
        <w:bottom w:val="single" w:color="auto" w:sz="6" w:space="4"/>
      </w:pBdr>
      <w:jc w:val="right"/>
    </w:pPr>
    <w:r>
      <w:t></w:t>
    </w:r>
    <w:r>
      <w:rPr>
        <w:rFonts w:hint="eastAsia"/>
      </w:rPr>
      <w:t xml:space="preserve">       </w:t>
    </w:r>
    <w:r>
      <w:rPr>
        <w:rFonts w:hint="eastAsia"/>
        <w:lang w:eastAsia="zh-CN"/>
      </w:rPr>
      <w:t>余杭区政府采购公开招标文件</w:t>
    </w:r>
  </w:p>
  <w:p w14:paraId="12A513A8">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ADCB4">
    <w:pPr>
      <w:pStyle w:val="40"/>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rFonts w:hint="eastAsia"/>
        <w:lang w:val="zh-CN"/>
      </w:rPr>
      <w:t>余杭区政府采购公开招标文件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8FE60">
    <w:pPr>
      <w:pStyle w:val="40"/>
      <w:pBdr>
        <w:bottom w:val="single" w:color="auto" w:sz="6" w:space="4"/>
      </w:pBdr>
      <w:jc w:val="right"/>
    </w:pPr>
    <w:r>
      <w:t></w:t>
    </w:r>
    <w:r>
      <w:rPr>
        <w:rFonts w:hint="eastAsia"/>
      </w:rPr>
      <w:t xml:space="preserve">       </w:t>
    </w:r>
    <w:r>
      <w:rPr>
        <w:rFonts w:hint="eastAsia"/>
        <w:lang w:eastAsia="zh-CN"/>
      </w:rPr>
      <w:t>余杭区政府采购公开招标文件</w:t>
    </w:r>
  </w:p>
  <w:p w14:paraId="06131A61">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5B1A3">
    <w:pPr>
      <w:pStyle w:val="40"/>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rFonts w:hint="eastAsia"/>
        <w:lang w:val="zh-CN"/>
      </w:rPr>
      <w:t>余杭区政府采购公开招标文件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81AD8">
    <w:pPr>
      <w:pStyle w:val="40"/>
      <w:jc w:val="right"/>
      <w:rPr>
        <w:rFonts w:ascii="仿宋_GB2312" w:eastAsia="仿宋_GB2312"/>
        <w:b/>
        <w:i/>
        <w:iCs/>
        <w:u w:val="single"/>
      </w:rPr>
    </w:pPr>
    <w:r>
      <w:t></w:t>
    </w:r>
    <w:r>
      <w:rPr>
        <w:rFonts w:hint="eastAsia"/>
        <w:lang w:eastAsia="zh-CN"/>
      </w:rPr>
      <w:t>余杭区政府采购公开招标文件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EA6D4">
    <w:pPr>
      <w:pStyle w:val="40"/>
    </w:pPr>
    <w:r>
      <w:t></w:t>
    </w:r>
    <w:r>
      <w:rPr>
        <w:rFonts w:hint="eastAsia"/>
      </w:rPr>
      <w:t xml:space="preserve">                                             </w:t>
    </w:r>
    <w:r>
      <w:rPr>
        <w:rFonts w:hint="eastAsia"/>
        <w:lang w:eastAsia="zh-CN"/>
      </w:rPr>
      <w:t>余杭区政府采购公开招标文件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B0F5384"/>
    <w:multiLevelType w:val="singleLevel"/>
    <w:tmpl w:val="5B0F5384"/>
    <w:lvl w:ilvl="0" w:tentative="0">
      <w:start w:val="1"/>
      <w:numFmt w:val="decimal"/>
      <w:lvlText w:val="%1."/>
      <w:lvlJc w:val="left"/>
      <w:pPr>
        <w:tabs>
          <w:tab w:val="left" w:pos="420"/>
        </w:tabs>
        <w:ind w:left="845" w:hanging="425"/>
      </w:pPr>
      <w:rPr>
        <w:rFonts w:hint="default"/>
      </w:rPr>
    </w:lvl>
  </w:abstractNum>
  <w:abstractNum w:abstractNumId="1">
    <w:nsid w:val="643F66CA"/>
    <w:multiLevelType w:val="singleLevel"/>
    <w:tmpl w:val="643F66CA"/>
    <w:lvl w:ilvl="0" w:tentative="0">
      <w:start w:val="1"/>
      <w:numFmt w:val="decimal"/>
      <w:suff w:val="nothing"/>
      <w:lvlText w:val="%1．"/>
      <w:lvlJc w:val="left"/>
      <w:pPr>
        <w:ind w:left="0" w:firstLine="400"/>
      </w:pPr>
      <w:rPr>
        <w:rFonts w:hint="default"/>
      </w:rPr>
    </w:lvl>
  </w:abstractNum>
  <w:abstractNum w:abstractNumId="2">
    <w:nsid w:val="643F9109"/>
    <w:multiLevelType w:val="singleLevel"/>
    <w:tmpl w:val="643F9109"/>
    <w:lvl w:ilvl="0" w:tentative="0">
      <w:start w:val="1"/>
      <w:numFmt w:val="decimalEnclosedCircleChinese"/>
      <w:suff w:val="nothing"/>
      <w:lvlText w:val="%1　"/>
      <w:lvlJc w:val="left"/>
      <w:pPr>
        <w:ind w:left="0" w:firstLine="400"/>
      </w:pPr>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wZmNjOGJlZmNkODgzYmVjZDY3OTc4NGU5ZWQ4NzY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72557B"/>
    <w:rsid w:val="019F7441"/>
    <w:rsid w:val="01A0058F"/>
    <w:rsid w:val="01B37585"/>
    <w:rsid w:val="01D55165"/>
    <w:rsid w:val="01DF6BF8"/>
    <w:rsid w:val="01EC2C57"/>
    <w:rsid w:val="021755C7"/>
    <w:rsid w:val="022B3727"/>
    <w:rsid w:val="024C3F44"/>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8C1C12"/>
    <w:rsid w:val="05A16594"/>
    <w:rsid w:val="05A7762D"/>
    <w:rsid w:val="060E5941"/>
    <w:rsid w:val="06110FAF"/>
    <w:rsid w:val="06493CA7"/>
    <w:rsid w:val="065A6178"/>
    <w:rsid w:val="066F1CF3"/>
    <w:rsid w:val="06930BB8"/>
    <w:rsid w:val="06C70D2A"/>
    <w:rsid w:val="07245D42"/>
    <w:rsid w:val="07264C62"/>
    <w:rsid w:val="07372A27"/>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B66E63"/>
    <w:rsid w:val="09C13146"/>
    <w:rsid w:val="09E04166"/>
    <w:rsid w:val="0A1C0718"/>
    <w:rsid w:val="0A3E7710"/>
    <w:rsid w:val="0A5B6057"/>
    <w:rsid w:val="0A5B7E63"/>
    <w:rsid w:val="0AA374A5"/>
    <w:rsid w:val="0AAB7649"/>
    <w:rsid w:val="0ABC5606"/>
    <w:rsid w:val="0B30404E"/>
    <w:rsid w:val="0B4C6C14"/>
    <w:rsid w:val="0B547599"/>
    <w:rsid w:val="0B631A88"/>
    <w:rsid w:val="0B683D45"/>
    <w:rsid w:val="0B7F3F11"/>
    <w:rsid w:val="0B884417"/>
    <w:rsid w:val="0BF6188C"/>
    <w:rsid w:val="0BF73C91"/>
    <w:rsid w:val="0C0A1AE2"/>
    <w:rsid w:val="0C170175"/>
    <w:rsid w:val="0C571A41"/>
    <w:rsid w:val="0C5C1171"/>
    <w:rsid w:val="0C5E1CBC"/>
    <w:rsid w:val="0C615B50"/>
    <w:rsid w:val="0C8445DA"/>
    <w:rsid w:val="0C87121B"/>
    <w:rsid w:val="0CC007F7"/>
    <w:rsid w:val="0CC617AC"/>
    <w:rsid w:val="0CE618DF"/>
    <w:rsid w:val="0CFE707A"/>
    <w:rsid w:val="0D063BDA"/>
    <w:rsid w:val="0D08375F"/>
    <w:rsid w:val="0D131A73"/>
    <w:rsid w:val="0D184CFB"/>
    <w:rsid w:val="0D4A7419"/>
    <w:rsid w:val="0D721611"/>
    <w:rsid w:val="0D827401"/>
    <w:rsid w:val="0D84094E"/>
    <w:rsid w:val="0D8A00E9"/>
    <w:rsid w:val="0D8D589E"/>
    <w:rsid w:val="0DA01C73"/>
    <w:rsid w:val="0DD63300"/>
    <w:rsid w:val="0DF50604"/>
    <w:rsid w:val="0DF702FE"/>
    <w:rsid w:val="0E060E51"/>
    <w:rsid w:val="0E5604B2"/>
    <w:rsid w:val="0E6D5D79"/>
    <w:rsid w:val="0E9D0089"/>
    <w:rsid w:val="0EB803EE"/>
    <w:rsid w:val="0EDB472B"/>
    <w:rsid w:val="0EF94D4B"/>
    <w:rsid w:val="0F267BBE"/>
    <w:rsid w:val="0F4958DC"/>
    <w:rsid w:val="0F515DF7"/>
    <w:rsid w:val="0F596BA8"/>
    <w:rsid w:val="0F6248D2"/>
    <w:rsid w:val="0F693536"/>
    <w:rsid w:val="0F7B0511"/>
    <w:rsid w:val="0F7B76D9"/>
    <w:rsid w:val="0F816ACD"/>
    <w:rsid w:val="0F9832DB"/>
    <w:rsid w:val="0FB642BE"/>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625C4"/>
    <w:rsid w:val="127723A9"/>
    <w:rsid w:val="12862074"/>
    <w:rsid w:val="12883966"/>
    <w:rsid w:val="129E45B4"/>
    <w:rsid w:val="12D81596"/>
    <w:rsid w:val="12DD0481"/>
    <w:rsid w:val="13072A44"/>
    <w:rsid w:val="135F4BE2"/>
    <w:rsid w:val="139B1A0A"/>
    <w:rsid w:val="139D25C7"/>
    <w:rsid w:val="139F3D43"/>
    <w:rsid w:val="13BF3CE4"/>
    <w:rsid w:val="141008D8"/>
    <w:rsid w:val="14125FE6"/>
    <w:rsid w:val="14620B4B"/>
    <w:rsid w:val="146D271E"/>
    <w:rsid w:val="14982588"/>
    <w:rsid w:val="149A5AD9"/>
    <w:rsid w:val="14A7619D"/>
    <w:rsid w:val="14D63518"/>
    <w:rsid w:val="150536C3"/>
    <w:rsid w:val="150C1963"/>
    <w:rsid w:val="151447A0"/>
    <w:rsid w:val="154A6454"/>
    <w:rsid w:val="15762120"/>
    <w:rsid w:val="15A439B7"/>
    <w:rsid w:val="15E726E0"/>
    <w:rsid w:val="167B3490"/>
    <w:rsid w:val="16A8729C"/>
    <w:rsid w:val="16B33777"/>
    <w:rsid w:val="16BC70A7"/>
    <w:rsid w:val="16C6339E"/>
    <w:rsid w:val="171306A2"/>
    <w:rsid w:val="172F2D79"/>
    <w:rsid w:val="1754446E"/>
    <w:rsid w:val="17557BEF"/>
    <w:rsid w:val="176B3281"/>
    <w:rsid w:val="17D349C1"/>
    <w:rsid w:val="17FF48A3"/>
    <w:rsid w:val="18244F26"/>
    <w:rsid w:val="1830729E"/>
    <w:rsid w:val="1870062C"/>
    <w:rsid w:val="18817102"/>
    <w:rsid w:val="18830A15"/>
    <w:rsid w:val="18852B28"/>
    <w:rsid w:val="188B5321"/>
    <w:rsid w:val="18CC6513"/>
    <w:rsid w:val="198D5B01"/>
    <w:rsid w:val="19932372"/>
    <w:rsid w:val="19A20DD5"/>
    <w:rsid w:val="19AE03F1"/>
    <w:rsid w:val="19C15C39"/>
    <w:rsid w:val="1A071A03"/>
    <w:rsid w:val="1A1F16AE"/>
    <w:rsid w:val="1A2938DA"/>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616323"/>
    <w:rsid w:val="1C67350C"/>
    <w:rsid w:val="1C676ADD"/>
    <w:rsid w:val="1C88086E"/>
    <w:rsid w:val="1CB37F04"/>
    <w:rsid w:val="1D266CE1"/>
    <w:rsid w:val="1D3963AF"/>
    <w:rsid w:val="1D6A673C"/>
    <w:rsid w:val="1D9247AE"/>
    <w:rsid w:val="1DB567EC"/>
    <w:rsid w:val="1DCA0FCC"/>
    <w:rsid w:val="1DF51A98"/>
    <w:rsid w:val="1E051CD9"/>
    <w:rsid w:val="1E3D060F"/>
    <w:rsid w:val="1E3F7D2E"/>
    <w:rsid w:val="1E4134E4"/>
    <w:rsid w:val="1E5062B3"/>
    <w:rsid w:val="1E523514"/>
    <w:rsid w:val="1E714A66"/>
    <w:rsid w:val="1E802593"/>
    <w:rsid w:val="1E8B6156"/>
    <w:rsid w:val="1EA703CC"/>
    <w:rsid w:val="1EB7330C"/>
    <w:rsid w:val="1F0A0FF3"/>
    <w:rsid w:val="1F0A201B"/>
    <w:rsid w:val="1F5771FF"/>
    <w:rsid w:val="1FD52574"/>
    <w:rsid w:val="1FE868A9"/>
    <w:rsid w:val="20034907"/>
    <w:rsid w:val="20173E4B"/>
    <w:rsid w:val="204E48BC"/>
    <w:rsid w:val="20842EB5"/>
    <w:rsid w:val="2084756F"/>
    <w:rsid w:val="208921B3"/>
    <w:rsid w:val="20973DEB"/>
    <w:rsid w:val="20B26522"/>
    <w:rsid w:val="20B44310"/>
    <w:rsid w:val="211116EB"/>
    <w:rsid w:val="215E4CE0"/>
    <w:rsid w:val="216133FC"/>
    <w:rsid w:val="21CD1460"/>
    <w:rsid w:val="21D56769"/>
    <w:rsid w:val="21E52EF3"/>
    <w:rsid w:val="21FB5D7B"/>
    <w:rsid w:val="22015E94"/>
    <w:rsid w:val="220B1C3D"/>
    <w:rsid w:val="221D1D20"/>
    <w:rsid w:val="22334A87"/>
    <w:rsid w:val="22BE6801"/>
    <w:rsid w:val="233500BF"/>
    <w:rsid w:val="23377FF7"/>
    <w:rsid w:val="236B425F"/>
    <w:rsid w:val="23836192"/>
    <w:rsid w:val="23901F29"/>
    <w:rsid w:val="239C0061"/>
    <w:rsid w:val="23B908A4"/>
    <w:rsid w:val="23E95BEF"/>
    <w:rsid w:val="23FD0064"/>
    <w:rsid w:val="24396E36"/>
    <w:rsid w:val="245375B0"/>
    <w:rsid w:val="24642C0A"/>
    <w:rsid w:val="24AA1A26"/>
    <w:rsid w:val="24B22173"/>
    <w:rsid w:val="24B95AD9"/>
    <w:rsid w:val="24BE24DA"/>
    <w:rsid w:val="24CF5825"/>
    <w:rsid w:val="24D663E6"/>
    <w:rsid w:val="24D77F2B"/>
    <w:rsid w:val="258B00E2"/>
    <w:rsid w:val="25A917A6"/>
    <w:rsid w:val="25BE27CC"/>
    <w:rsid w:val="25F74A5C"/>
    <w:rsid w:val="2628662C"/>
    <w:rsid w:val="262D45DE"/>
    <w:rsid w:val="264B2FCC"/>
    <w:rsid w:val="26871DC8"/>
    <w:rsid w:val="26A53EF9"/>
    <w:rsid w:val="26A94201"/>
    <w:rsid w:val="26AC274F"/>
    <w:rsid w:val="26D1040B"/>
    <w:rsid w:val="26DE174A"/>
    <w:rsid w:val="27044A29"/>
    <w:rsid w:val="271D34C8"/>
    <w:rsid w:val="276142BF"/>
    <w:rsid w:val="27783712"/>
    <w:rsid w:val="27907362"/>
    <w:rsid w:val="2806431B"/>
    <w:rsid w:val="28333E1D"/>
    <w:rsid w:val="28454BD6"/>
    <w:rsid w:val="28455253"/>
    <w:rsid w:val="28551971"/>
    <w:rsid w:val="285B1C53"/>
    <w:rsid w:val="289F7086"/>
    <w:rsid w:val="28C32028"/>
    <w:rsid w:val="28CC490F"/>
    <w:rsid w:val="28DE40AA"/>
    <w:rsid w:val="29345E77"/>
    <w:rsid w:val="294C65AD"/>
    <w:rsid w:val="29806583"/>
    <w:rsid w:val="298B3C4C"/>
    <w:rsid w:val="29BF76E2"/>
    <w:rsid w:val="29F26D24"/>
    <w:rsid w:val="2A15033F"/>
    <w:rsid w:val="2A1662C1"/>
    <w:rsid w:val="2A1C7367"/>
    <w:rsid w:val="2A2815FA"/>
    <w:rsid w:val="2A6C52BE"/>
    <w:rsid w:val="2A6D6092"/>
    <w:rsid w:val="2A7D76B4"/>
    <w:rsid w:val="2B437463"/>
    <w:rsid w:val="2B7807EE"/>
    <w:rsid w:val="2BA50BF7"/>
    <w:rsid w:val="2BBF00EC"/>
    <w:rsid w:val="2BC37CFD"/>
    <w:rsid w:val="2BD5237F"/>
    <w:rsid w:val="2BE536CE"/>
    <w:rsid w:val="2BE758D9"/>
    <w:rsid w:val="2BF346BB"/>
    <w:rsid w:val="2C09049E"/>
    <w:rsid w:val="2C0A653C"/>
    <w:rsid w:val="2C191F85"/>
    <w:rsid w:val="2C34642F"/>
    <w:rsid w:val="2C9930F3"/>
    <w:rsid w:val="2CE82D6F"/>
    <w:rsid w:val="2D2307FE"/>
    <w:rsid w:val="2D343236"/>
    <w:rsid w:val="2D575011"/>
    <w:rsid w:val="2D7B2C21"/>
    <w:rsid w:val="2DBB01DC"/>
    <w:rsid w:val="2DD15014"/>
    <w:rsid w:val="2DF72DE4"/>
    <w:rsid w:val="2E0220AF"/>
    <w:rsid w:val="2E4B082A"/>
    <w:rsid w:val="2E5478F5"/>
    <w:rsid w:val="2E5D4E86"/>
    <w:rsid w:val="2E5D790B"/>
    <w:rsid w:val="2E6602F4"/>
    <w:rsid w:val="2E9A3C18"/>
    <w:rsid w:val="2EBB0FEE"/>
    <w:rsid w:val="2EC63002"/>
    <w:rsid w:val="2F0A6B38"/>
    <w:rsid w:val="2F5F72A3"/>
    <w:rsid w:val="2F946CCB"/>
    <w:rsid w:val="2FD25781"/>
    <w:rsid w:val="2FDC745C"/>
    <w:rsid w:val="2FFD7934"/>
    <w:rsid w:val="30733ACD"/>
    <w:rsid w:val="308C3862"/>
    <w:rsid w:val="309379D8"/>
    <w:rsid w:val="30A270F7"/>
    <w:rsid w:val="30DF1478"/>
    <w:rsid w:val="30EC586F"/>
    <w:rsid w:val="319C6071"/>
    <w:rsid w:val="31AC537E"/>
    <w:rsid w:val="31E3679B"/>
    <w:rsid w:val="31E732FD"/>
    <w:rsid w:val="32517576"/>
    <w:rsid w:val="32993295"/>
    <w:rsid w:val="32B026B6"/>
    <w:rsid w:val="32BE5C2C"/>
    <w:rsid w:val="32FB6478"/>
    <w:rsid w:val="33072028"/>
    <w:rsid w:val="33263B3F"/>
    <w:rsid w:val="336963EB"/>
    <w:rsid w:val="33816EEB"/>
    <w:rsid w:val="33EB55CD"/>
    <w:rsid w:val="33EC4C02"/>
    <w:rsid w:val="340D2360"/>
    <w:rsid w:val="3410665D"/>
    <w:rsid w:val="34211214"/>
    <w:rsid w:val="342E63AB"/>
    <w:rsid w:val="34950E68"/>
    <w:rsid w:val="34986E94"/>
    <w:rsid w:val="34A77C2B"/>
    <w:rsid w:val="34AF62C9"/>
    <w:rsid w:val="34CB4388"/>
    <w:rsid w:val="34FA6E12"/>
    <w:rsid w:val="3500706D"/>
    <w:rsid w:val="354D7158"/>
    <w:rsid w:val="358D5588"/>
    <w:rsid w:val="363A3B40"/>
    <w:rsid w:val="365302AE"/>
    <w:rsid w:val="36607A0A"/>
    <w:rsid w:val="366E227C"/>
    <w:rsid w:val="366F2E0D"/>
    <w:rsid w:val="367B6A5C"/>
    <w:rsid w:val="36A74ADA"/>
    <w:rsid w:val="36AD60D5"/>
    <w:rsid w:val="36B224F9"/>
    <w:rsid w:val="36C73A18"/>
    <w:rsid w:val="36EC0CC9"/>
    <w:rsid w:val="373F410B"/>
    <w:rsid w:val="374750E9"/>
    <w:rsid w:val="37EE7094"/>
    <w:rsid w:val="38296C89"/>
    <w:rsid w:val="383002EB"/>
    <w:rsid w:val="384C6664"/>
    <w:rsid w:val="38586797"/>
    <w:rsid w:val="385D15DF"/>
    <w:rsid w:val="38BC0149"/>
    <w:rsid w:val="38D87D1C"/>
    <w:rsid w:val="39636459"/>
    <w:rsid w:val="396B7F6C"/>
    <w:rsid w:val="39B417A9"/>
    <w:rsid w:val="39D318E6"/>
    <w:rsid w:val="39FC21BB"/>
    <w:rsid w:val="39FC5695"/>
    <w:rsid w:val="3A006D8E"/>
    <w:rsid w:val="3A3651E5"/>
    <w:rsid w:val="3A744481"/>
    <w:rsid w:val="3A830B2E"/>
    <w:rsid w:val="3A8C7BEF"/>
    <w:rsid w:val="3A906246"/>
    <w:rsid w:val="3AC1561F"/>
    <w:rsid w:val="3B2349B7"/>
    <w:rsid w:val="3B616CFF"/>
    <w:rsid w:val="3B6259F6"/>
    <w:rsid w:val="3B976654"/>
    <w:rsid w:val="3BC01EFC"/>
    <w:rsid w:val="3BCA786A"/>
    <w:rsid w:val="3BD31E2F"/>
    <w:rsid w:val="3BF15831"/>
    <w:rsid w:val="3C105946"/>
    <w:rsid w:val="3C471448"/>
    <w:rsid w:val="3C5F759A"/>
    <w:rsid w:val="3C6C525A"/>
    <w:rsid w:val="3C781A39"/>
    <w:rsid w:val="3CCE23CB"/>
    <w:rsid w:val="3CD17D17"/>
    <w:rsid w:val="3D3C7F39"/>
    <w:rsid w:val="3D440F09"/>
    <w:rsid w:val="3D4504A0"/>
    <w:rsid w:val="3D6C09D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EE432C5"/>
    <w:rsid w:val="3F060E16"/>
    <w:rsid w:val="3F1409C4"/>
    <w:rsid w:val="3F1D1096"/>
    <w:rsid w:val="3F2F0234"/>
    <w:rsid w:val="3F312907"/>
    <w:rsid w:val="3F6363FE"/>
    <w:rsid w:val="3F7145AE"/>
    <w:rsid w:val="3F756B8F"/>
    <w:rsid w:val="3F95482B"/>
    <w:rsid w:val="4019356B"/>
    <w:rsid w:val="40592157"/>
    <w:rsid w:val="406E1CAE"/>
    <w:rsid w:val="40A0133A"/>
    <w:rsid w:val="40C31A53"/>
    <w:rsid w:val="40FF545D"/>
    <w:rsid w:val="410067C8"/>
    <w:rsid w:val="411B7333"/>
    <w:rsid w:val="418F0D2A"/>
    <w:rsid w:val="41D01505"/>
    <w:rsid w:val="41E16888"/>
    <w:rsid w:val="42474939"/>
    <w:rsid w:val="424C3C57"/>
    <w:rsid w:val="42613FF3"/>
    <w:rsid w:val="42660D96"/>
    <w:rsid w:val="428667D2"/>
    <w:rsid w:val="42CD1CE0"/>
    <w:rsid w:val="42E1381E"/>
    <w:rsid w:val="42ED6459"/>
    <w:rsid w:val="42FE58DD"/>
    <w:rsid w:val="43174B3D"/>
    <w:rsid w:val="43486471"/>
    <w:rsid w:val="434B790E"/>
    <w:rsid w:val="4360274F"/>
    <w:rsid w:val="43977AB6"/>
    <w:rsid w:val="43A3342B"/>
    <w:rsid w:val="43C77C27"/>
    <w:rsid w:val="43DE09EE"/>
    <w:rsid w:val="44002FAD"/>
    <w:rsid w:val="44455036"/>
    <w:rsid w:val="449101DD"/>
    <w:rsid w:val="44DE1391"/>
    <w:rsid w:val="451B225C"/>
    <w:rsid w:val="452410C9"/>
    <w:rsid w:val="45317DFB"/>
    <w:rsid w:val="456136A2"/>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7FA538C"/>
    <w:rsid w:val="4809698F"/>
    <w:rsid w:val="4811697D"/>
    <w:rsid w:val="487A3E25"/>
    <w:rsid w:val="488B5503"/>
    <w:rsid w:val="48937E21"/>
    <w:rsid w:val="489A0361"/>
    <w:rsid w:val="48B94FF3"/>
    <w:rsid w:val="48D72771"/>
    <w:rsid w:val="48E37AAB"/>
    <w:rsid w:val="48FD4B4C"/>
    <w:rsid w:val="490A68E0"/>
    <w:rsid w:val="491055FE"/>
    <w:rsid w:val="495F5B3E"/>
    <w:rsid w:val="496F77D7"/>
    <w:rsid w:val="497654FD"/>
    <w:rsid w:val="49B64211"/>
    <w:rsid w:val="49F6167F"/>
    <w:rsid w:val="4A064FA0"/>
    <w:rsid w:val="4A16615C"/>
    <w:rsid w:val="4A4424D7"/>
    <w:rsid w:val="4A9F7724"/>
    <w:rsid w:val="4AB82D0F"/>
    <w:rsid w:val="4AEB7664"/>
    <w:rsid w:val="4AFD7C19"/>
    <w:rsid w:val="4B0567D1"/>
    <w:rsid w:val="4B236AAE"/>
    <w:rsid w:val="4B707271"/>
    <w:rsid w:val="4B8464B4"/>
    <w:rsid w:val="4B9739F7"/>
    <w:rsid w:val="4BEE2503"/>
    <w:rsid w:val="4C245A30"/>
    <w:rsid w:val="4CB6685F"/>
    <w:rsid w:val="4CC367FE"/>
    <w:rsid w:val="4D077F3C"/>
    <w:rsid w:val="4D123355"/>
    <w:rsid w:val="4D2A3B31"/>
    <w:rsid w:val="4D312C52"/>
    <w:rsid w:val="4D7A6305"/>
    <w:rsid w:val="4D905305"/>
    <w:rsid w:val="4D964A72"/>
    <w:rsid w:val="4D9C1254"/>
    <w:rsid w:val="4E1970E8"/>
    <w:rsid w:val="4E444184"/>
    <w:rsid w:val="4E604FB7"/>
    <w:rsid w:val="4E793892"/>
    <w:rsid w:val="4E800872"/>
    <w:rsid w:val="4EC569ED"/>
    <w:rsid w:val="4ED50EA1"/>
    <w:rsid w:val="4EEC050C"/>
    <w:rsid w:val="4F104EC3"/>
    <w:rsid w:val="4F47354A"/>
    <w:rsid w:val="4F911C54"/>
    <w:rsid w:val="4FBF7C3F"/>
    <w:rsid w:val="4FE625E0"/>
    <w:rsid w:val="5021480F"/>
    <w:rsid w:val="502B6873"/>
    <w:rsid w:val="50962ECB"/>
    <w:rsid w:val="50A42E38"/>
    <w:rsid w:val="50A4577F"/>
    <w:rsid w:val="50B73D1F"/>
    <w:rsid w:val="50BD5BC9"/>
    <w:rsid w:val="50C11EEE"/>
    <w:rsid w:val="50E97CFC"/>
    <w:rsid w:val="50FA4028"/>
    <w:rsid w:val="510D65B7"/>
    <w:rsid w:val="511157AB"/>
    <w:rsid w:val="5133334E"/>
    <w:rsid w:val="5142540C"/>
    <w:rsid w:val="518832C8"/>
    <w:rsid w:val="519D3C50"/>
    <w:rsid w:val="51A0432A"/>
    <w:rsid w:val="51A86090"/>
    <w:rsid w:val="51B7396D"/>
    <w:rsid w:val="51D1333E"/>
    <w:rsid w:val="522E4CC3"/>
    <w:rsid w:val="5244713B"/>
    <w:rsid w:val="52615633"/>
    <w:rsid w:val="526F4DE4"/>
    <w:rsid w:val="52977FD4"/>
    <w:rsid w:val="52A25790"/>
    <w:rsid w:val="52A96B6F"/>
    <w:rsid w:val="52B45975"/>
    <w:rsid w:val="52D94AA4"/>
    <w:rsid w:val="52EA3A62"/>
    <w:rsid w:val="52F50BB8"/>
    <w:rsid w:val="53097272"/>
    <w:rsid w:val="530D4DE2"/>
    <w:rsid w:val="534F1156"/>
    <w:rsid w:val="53544462"/>
    <w:rsid w:val="5397158E"/>
    <w:rsid w:val="54013861"/>
    <w:rsid w:val="54487265"/>
    <w:rsid w:val="544D6070"/>
    <w:rsid w:val="54605E1E"/>
    <w:rsid w:val="54B3506A"/>
    <w:rsid w:val="54CA0D16"/>
    <w:rsid w:val="54DD4057"/>
    <w:rsid w:val="54E7490F"/>
    <w:rsid w:val="54E81DBE"/>
    <w:rsid w:val="550764A4"/>
    <w:rsid w:val="550B2BF6"/>
    <w:rsid w:val="55214EB5"/>
    <w:rsid w:val="5536081F"/>
    <w:rsid w:val="55364EFD"/>
    <w:rsid w:val="555D4828"/>
    <w:rsid w:val="557A4C8B"/>
    <w:rsid w:val="558931E1"/>
    <w:rsid w:val="55923347"/>
    <w:rsid w:val="55925180"/>
    <w:rsid w:val="55983B1B"/>
    <w:rsid w:val="55A54A12"/>
    <w:rsid w:val="55A8376B"/>
    <w:rsid w:val="55DC29B6"/>
    <w:rsid w:val="55DD4241"/>
    <w:rsid w:val="566B6D1E"/>
    <w:rsid w:val="56DE4CCA"/>
    <w:rsid w:val="57032A2C"/>
    <w:rsid w:val="570F5219"/>
    <w:rsid w:val="573B2195"/>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7E0124E"/>
    <w:rsid w:val="57EE53E1"/>
    <w:rsid w:val="58917D2F"/>
    <w:rsid w:val="5894085C"/>
    <w:rsid w:val="58A734ED"/>
    <w:rsid w:val="58AE4F0C"/>
    <w:rsid w:val="58B85899"/>
    <w:rsid w:val="58E363A9"/>
    <w:rsid w:val="59166304"/>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D63A24"/>
    <w:rsid w:val="5B2E1A1D"/>
    <w:rsid w:val="5B843A1C"/>
    <w:rsid w:val="5B873E3F"/>
    <w:rsid w:val="5BE47FF0"/>
    <w:rsid w:val="5C02690E"/>
    <w:rsid w:val="5C196DA7"/>
    <w:rsid w:val="5C2A048C"/>
    <w:rsid w:val="5C7557DB"/>
    <w:rsid w:val="5C80234E"/>
    <w:rsid w:val="5C8A680C"/>
    <w:rsid w:val="5CF76AE6"/>
    <w:rsid w:val="5D0C4701"/>
    <w:rsid w:val="5D0F0395"/>
    <w:rsid w:val="5D221076"/>
    <w:rsid w:val="5D397964"/>
    <w:rsid w:val="5D5A391C"/>
    <w:rsid w:val="5D5F10C0"/>
    <w:rsid w:val="5D7C0443"/>
    <w:rsid w:val="5D891B7B"/>
    <w:rsid w:val="5DAD38EE"/>
    <w:rsid w:val="5E006862"/>
    <w:rsid w:val="5E0207B9"/>
    <w:rsid w:val="5E1834A1"/>
    <w:rsid w:val="5E261785"/>
    <w:rsid w:val="5E4A7017"/>
    <w:rsid w:val="5E552BBA"/>
    <w:rsid w:val="5E600665"/>
    <w:rsid w:val="5E611C10"/>
    <w:rsid w:val="5E6A4100"/>
    <w:rsid w:val="5E710FD1"/>
    <w:rsid w:val="5E7A0F3F"/>
    <w:rsid w:val="5EFC7377"/>
    <w:rsid w:val="5F06174D"/>
    <w:rsid w:val="5F3A3602"/>
    <w:rsid w:val="5F3F630B"/>
    <w:rsid w:val="5F45733B"/>
    <w:rsid w:val="5F6277C6"/>
    <w:rsid w:val="5F6D0B1D"/>
    <w:rsid w:val="5F8D0B82"/>
    <w:rsid w:val="5F9761AC"/>
    <w:rsid w:val="5FA45AB0"/>
    <w:rsid w:val="5FC8476A"/>
    <w:rsid w:val="5FCC5339"/>
    <w:rsid w:val="5FE34A5B"/>
    <w:rsid w:val="5FFE1E36"/>
    <w:rsid w:val="60232584"/>
    <w:rsid w:val="607330CE"/>
    <w:rsid w:val="60825176"/>
    <w:rsid w:val="609F2AC4"/>
    <w:rsid w:val="60BD39C0"/>
    <w:rsid w:val="60FA2EE8"/>
    <w:rsid w:val="61054A27"/>
    <w:rsid w:val="610A52BC"/>
    <w:rsid w:val="611D2366"/>
    <w:rsid w:val="61421856"/>
    <w:rsid w:val="615227C4"/>
    <w:rsid w:val="61654E3F"/>
    <w:rsid w:val="6182292A"/>
    <w:rsid w:val="619F7F92"/>
    <w:rsid w:val="61D76EE6"/>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7366D"/>
    <w:rsid w:val="648B6EEF"/>
    <w:rsid w:val="64C158BF"/>
    <w:rsid w:val="64CE2EAA"/>
    <w:rsid w:val="653C3090"/>
    <w:rsid w:val="657B675E"/>
    <w:rsid w:val="65854376"/>
    <w:rsid w:val="658767BE"/>
    <w:rsid w:val="65892531"/>
    <w:rsid w:val="66195831"/>
    <w:rsid w:val="662E75B1"/>
    <w:rsid w:val="66342C2E"/>
    <w:rsid w:val="663743F7"/>
    <w:rsid w:val="663E784C"/>
    <w:rsid w:val="668B6A45"/>
    <w:rsid w:val="672F3F24"/>
    <w:rsid w:val="673E055F"/>
    <w:rsid w:val="67551CE3"/>
    <w:rsid w:val="67A22552"/>
    <w:rsid w:val="67B22DCC"/>
    <w:rsid w:val="67BE71AA"/>
    <w:rsid w:val="67D90273"/>
    <w:rsid w:val="67DE5875"/>
    <w:rsid w:val="67E55852"/>
    <w:rsid w:val="67EB1AB4"/>
    <w:rsid w:val="67F5622B"/>
    <w:rsid w:val="67FA1285"/>
    <w:rsid w:val="68551F4F"/>
    <w:rsid w:val="687C10C9"/>
    <w:rsid w:val="68840C16"/>
    <w:rsid w:val="68876EFB"/>
    <w:rsid w:val="68884654"/>
    <w:rsid w:val="689F444F"/>
    <w:rsid w:val="68B96DBB"/>
    <w:rsid w:val="68CA2805"/>
    <w:rsid w:val="68E937A3"/>
    <w:rsid w:val="68F139F7"/>
    <w:rsid w:val="693E15D3"/>
    <w:rsid w:val="69627681"/>
    <w:rsid w:val="6977531D"/>
    <w:rsid w:val="69CC2BFF"/>
    <w:rsid w:val="69FD55B8"/>
    <w:rsid w:val="6A0B1C62"/>
    <w:rsid w:val="6A2406C8"/>
    <w:rsid w:val="6AB54047"/>
    <w:rsid w:val="6ADE0BD1"/>
    <w:rsid w:val="6AE96859"/>
    <w:rsid w:val="6B147746"/>
    <w:rsid w:val="6B24787C"/>
    <w:rsid w:val="6B573233"/>
    <w:rsid w:val="6B5B6274"/>
    <w:rsid w:val="6B935D53"/>
    <w:rsid w:val="6B996D63"/>
    <w:rsid w:val="6C196F71"/>
    <w:rsid w:val="6C226FCB"/>
    <w:rsid w:val="6C31226F"/>
    <w:rsid w:val="6C552F0B"/>
    <w:rsid w:val="6C7C5EF5"/>
    <w:rsid w:val="6C8C67B7"/>
    <w:rsid w:val="6C9D744C"/>
    <w:rsid w:val="6CB33FE0"/>
    <w:rsid w:val="6D167928"/>
    <w:rsid w:val="6D26299B"/>
    <w:rsid w:val="6D4772EC"/>
    <w:rsid w:val="6D9078AF"/>
    <w:rsid w:val="6DAA3FEF"/>
    <w:rsid w:val="6DC0172B"/>
    <w:rsid w:val="6DCB690C"/>
    <w:rsid w:val="6DD41A5B"/>
    <w:rsid w:val="6DE37B9E"/>
    <w:rsid w:val="6DF43C2E"/>
    <w:rsid w:val="6DF51CA3"/>
    <w:rsid w:val="6E8335BD"/>
    <w:rsid w:val="6E8E12EF"/>
    <w:rsid w:val="6E972936"/>
    <w:rsid w:val="6ED446C5"/>
    <w:rsid w:val="6F2A7D94"/>
    <w:rsid w:val="6F8331F1"/>
    <w:rsid w:val="6F8A3A57"/>
    <w:rsid w:val="6FAE1A09"/>
    <w:rsid w:val="6FD31987"/>
    <w:rsid w:val="6FD75BF8"/>
    <w:rsid w:val="6FF35B4B"/>
    <w:rsid w:val="707723D0"/>
    <w:rsid w:val="709F1E24"/>
    <w:rsid w:val="70F5661B"/>
    <w:rsid w:val="71360107"/>
    <w:rsid w:val="713B688E"/>
    <w:rsid w:val="71D43752"/>
    <w:rsid w:val="71F1796A"/>
    <w:rsid w:val="71F52B7B"/>
    <w:rsid w:val="72154626"/>
    <w:rsid w:val="72262B5D"/>
    <w:rsid w:val="72283FF7"/>
    <w:rsid w:val="722E7212"/>
    <w:rsid w:val="723A0474"/>
    <w:rsid w:val="725923E4"/>
    <w:rsid w:val="72864BF7"/>
    <w:rsid w:val="729023FC"/>
    <w:rsid w:val="72B96D66"/>
    <w:rsid w:val="73C0646E"/>
    <w:rsid w:val="73C51294"/>
    <w:rsid w:val="742222F5"/>
    <w:rsid w:val="74476126"/>
    <w:rsid w:val="74706664"/>
    <w:rsid w:val="747F3682"/>
    <w:rsid w:val="748A2D54"/>
    <w:rsid w:val="749C4185"/>
    <w:rsid w:val="75067759"/>
    <w:rsid w:val="752E6DCD"/>
    <w:rsid w:val="7551380D"/>
    <w:rsid w:val="75563DD8"/>
    <w:rsid w:val="75600BE5"/>
    <w:rsid w:val="7564475C"/>
    <w:rsid w:val="7583797F"/>
    <w:rsid w:val="759209C6"/>
    <w:rsid w:val="75D20F1D"/>
    <w:rsid w:val="75DA2C18"/>
    <w:rsid w:val="75F54412"/>
    <w:rsid w:val="761D08E0"/>
    <w:rsid w:val="765D347C"/>
    <w:rsid w:val="76826699"/>
    <w:rsid w:val="76C87133"/>
    <w:rsid w:val="76CD08D5"/>
    <w:rsid w:val="76DB4B92"/>
    <w:rsid w:val="77052AA4"/>
    <w:rsid w:val="77136511"/>
    <w:rsid w:val="77340A39"/>
    <w:rsid w:val="77351FD0"/>
    <w:rsid w:val="77472422"/>
    <w:rsid w:val="77485C3A"/>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05CCE"/>
    <w:rsid w:val="7A1D1975"/>
    <w:rsid w:val="7A287E87"/>
    <w:rsid w:val="7A3E5150"/>
    <w:rsid w:val="7A4670D6"/>
    <w:rsid w:val="7A486617"/>
    <w:rsid w:val="7A534B63"/>
    <w:rsid w:val="7A5B7F77"/>
    <w:rsid w:val="7A615382"/>
    <w:rsid w:val="7A67303B"/>
    <w:rsid w:val="7AAB1D04"/>
    <w:rsid w:val="7ABA4368"/>
    <w:rsid w:val="7AC8695B"/>
    <w:rsid w:val="7AD05746"/>
    <w:rsid w:val="7B257FFD"/>
    <w:rsid w:val="7B343476"/>
    <w:rsid w:val="7B5A2978"/>
    <w:rsid w:val="7B5A7E4C"/>
    <w:rsid w:val="7B667AF9"/>
    <w:rsid w:val="7B7468F8"/>
    <w:rsid w:val="7B980BFC"/>
    <w:rsid w:val="7BBA3F55"/>
    <w:rsid w:val="7BEE0103"/>
    <w:rsid w:val="7C0A0FE4"/>
    <w:rsid w:val="7C254906"/>
    <w:rsid w:val="7C590818"/>
    <w:rsid w:val="7C7C10F6"/>
    <w:rsid w:val="7C853BEA"/>
    <w:rsid w:val="7C881368"/>
    <w:rsid w:val="7CD50BCE"/>
    <w:rsid w:val="7CE27788"/>
    <w:rsid w:val="7D015090"/>
    <w:rsid w:val="7D0C32F1"/>
    <w:rsid w:val="7D0F408D"/>
    <w:rsid w:val="7D491C6C"/>
    <w:rsid w:val="7D4E22FA"/>
    <w:rsid w:val="7D4E5E48"/>
    <w:rsid w:val="7D5429C0"/>
    <w:rsid w:val="7D6E6D43"/>
    <w:rsid w:val="7D823547"/>
    <w:rsid w:val="7DA939D5"/>
    <w:rsid w:val="7DA96C7A"/>
    <w:rsid w:val="7DB57A34"/>
    <w:rsid w:val="7DE60973"/>
    <w:rsid w:val="7DEF0916"/>
    <w:rsid w:val="7E1A405B"/>
    <w:rsid w:val="7E1E5218"/>
    <w:rsid w:val="7E9A4E1F"/>
    <w:rsid w:val="7EA7723A"/>
    <w:rsid w:val="7EAB4C8A"/>
    <w:rsid w:val="7EF56FBB"/>
    <w:rsid w:val="7F0768EB"/>
    <w:rsid w:val="7F143BEC"/>
    <w:rsid w:val="7F3E2D39"/>
    <w:rsid w:val="7F715AF2"/>
    <w:rsid w:val="7F886E69"/>
    <w:rsid w:val="BB7FA927"/>
    <w:rsid w:val="F5FFD31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98"/>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3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808"/>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67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820"/>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865"/>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708"/>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link w:val="70"/>
    <w:unhideWhenUsed/>
    <w:qFormat/>
    <w:uiPriority w:val="1"/>
    <w:rPr>
      <w:rFonts w:ascii="仿宋_GB2312" w:eastAsia="仿宋_GB2312"/>
      <w:b/>
      <w:sz w:val="32"/>
      <w:szCs w:val="32"/>
    </w:rPr>
  </w:style>
  <w:style w:type="table" w:default="1" w:styleId="62">
    <w:name w:val="Normal Table"/>
    <w:unhideWhenUsed/>
    <w:qFormat/>
    <w:uiPriority w:val="99"/>
    <w:tblPr>
      <w:tblCellMar>
        <w:top w:w="0" w:type="dxa"/>
        <w:left w:w="108" w:type="dxa"/>
        <w:bottom w:w="0" w:type="dxa"/>
        <w:right w:w="108" w:type="dxa"/>
      </w:tblCellMar>
    </w:tblPr>
  </w:style>
  <w:style w:type="paragraph" w:styleId="5">
    <w:name w:val="Normal Indent"/>
    <w:basedOn w:val="1"/>
    <w:link w:val="718"/>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75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725"/>
    <w:qFormat/>
    <w:uiPriority w:val="0"/>
    <w:pPr>
      <w:shd w:val="clear" w:color="auto" w:fill="000080"/>
    </w:pPr>
  </w:style>
  <w:style w:type="paragraph" w:styleId="19">
    <w:name w:val="annotation text"/>
    <w:basedOn w:val="1"/>
    <w:link w:val="853"/>
    <w:qFormat/>
    <w:uiPriority w:val="99"/>
    <w:pPr>
      <w:jc w:val="left"/>
    </w:pPr>
  </w:style>
  <w:style w:type="paragraph" w:styleId="20">
    <w:name w:val="Salutation"/>
    <w:basedOn w:val="1"/>
    <w:next w:val="1"/>
    <w:link w:val="813"/>
    <w:qFormat/>
    <w:uiPriority w:val="0"/>
    <w:rPr>
      <w:rFonts w:ascii="仿宋_GB2312" w:eastAsia="仿宋_GB2312"/>
      <w:sz w:val="28"/>
      <w:szCs w:val="20"/>
    </w:rPr>
  </w:style>
  <w:style w:type="paragraph" w:styleId="21">
    <w:name w:val="Body Text 3"/>
    <w:basedOn w:val="1"/>
    <w:link w:val="841"/>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link w:val="9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781"/>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742"/>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657"/>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707"/>
    <w:qFormat/>
    <w:uiPriority w:val="0"/>
    <w:pPr>
      <w:ind w:left="100" w:leftChars="2500"/>
    </w:pPr>
    <w:rPr>
      <w:rFonts w:ascii="宋体"/>
      <w:sz w:val="24"/>
      <w:szCs w:val="21"/>
      <w:lang w:val="zh-CN"/>
    </w:rPr>
  </w:style>
  <w:style w:type="paragraph" w:styleId="36">
    <w:name w:val="Body Text Indent 2"/>
    <w:basedOn w:val="1"/>
    <w:link w:val="821"/>
    <w:qFormat/>
    <w:uiPriority w:val="0"/>
    <w:pPr>
      <w:spacing w:line="360" w:lineRule="auto"/>
      <w:ind w:firstLine="601"/>
      <w:textAlignment w:val="baseline"/>
    </w:pPr>
    <w:rPr>
      <w:rFonts w:ascii="宋体"/>
      <w:kern w:val="0"/>
      <w:sz w:val="28"/>
      <w:szCs w:val="20"/>
    </w:rPr>
  </w:style>
  <w:style w:type="paragraph" w:styleId="37">
    <w:name w:val="endnote text"/>
    <w:basedOn w:val="1"/>
    <w:link w:val="938"/>
    <w:qFormat/>
    <w:uiPriority w:val="0"/>
    <w:rPr>
      <w:lang w:val="zh-CN"/>
    </w:rPr>
  </w:style>
  <w:style w:type="paragraph" w:styleId="38">
    <w:name w:val="Balloon Text"/>
    <w:basedOn w:val="1"/>
    <w:link w:val="714"/>
    <w:qFormat/>
    <w:uiPriority w:val="0"/>
    <w:rPr>
      <w:sz w:val="18"/>
      <w:szCs w:val="18"/>
    </w:rPr>
  </w:style>
  <w:style w:type="paragraph" w:styleId="39">
    <w:name w:val="footer"/>
    <w:basedOn w:val="1"/>
    <w:link w:val="889"/>
    <w:qFormat/>
    <w:uiPriority w:val="99"/>
    <w:pPr>
      <w:tabs>
        <w:tab w:val="center" w:pos="4153"/>
        <w:tab w:val="right" w:pos="8306"/>
      </w:tabs>
      <w:snapToGrid w:val="0"/>
      <w:jc w:val="left"/>
    </w:pPr>
    <w:rPr>
      <w:sz w:val="18"/>
      <w:szCs w:val="18"/>
    </w:rPr>
  </w:style>
  <w:style w:type="paragraph" w:styleId="40">
    <w:name w:val="header"/>
    <w:basedOn w:val="1"/>
    <w:link w:val="897"/>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854"/>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66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823"/>
    <w:qFormat/>
    <w:uiPriority w:val="0"/>
    <w:pPr>
      <w:adjustRightInd/>
      <w:snapToGrid/>
      <w:spacing w:before="60" w:after="60" w:line="300" w:lineRule="exact"/>
      <w:ind w:firstLine="0"/>
    </w:pPr>
    <w:rPr>
      <w:rFonts w:ascii="Calibri"/>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882"/>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817"/>
    <w:qFormat/>
    <w:uiPriority w:val="0"/>
    <w:pPr>
      <w:spacing w:after="120" w:line="480" w:lineRule="auto"/>
    </w:pPr>
  </w:style>
  <w:style w:type="paragraph" w:styleId="56">
    <w:name w:val="HTML Preformatted"/>
    <w:basedOn w:val="1"/>
    <w:link w:val="81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801"/>
    <w:qFormat/>
    <w:uiPriority w:val="10"/>
    <w:pPr>
      <w:widowControl/>
      <w:overflowPunct w:val="0"/>
      <w:autoSpaceDE w:val="0"/>
      <w:autoSpaceDN w:val="0"/>
      <w:jc w:val="center"/>
      <w:textAlignment w:val="baseline"/>
    </w:pPr>
    <w:rPr>
      <w:b/>
      <w:kern w:val="0"/>
      <w:sz w:val="24"/>
      <w:szCs w:val="20"/>
    </w:rPr>
  </w:style>
  <w:style w:type="paragraph" w:styleId="59">
    <w:name w:val="annotation subject"/>
    <w:basedOn w:val="19"/>
    <w:next w:val="19"/>
    <w:link w:val="630"/>
    <w:qFormat/>
    <w:uiPriority w:val="0"/>
    <w:rPr>
      <w:b/>
      <w:bCs/>
    </w:rPr>
  </w:style>
  <w:style w:type="paragraph" w:styleId="60">
    <w:name w:val="Body Text First Indent"/>
    <w:basedOn w:val="23"/>
    <w:link w:val="832"/>
    <w:qFormat/>
    <w:uiPriority w:val="0"/>
    <w:pPr>
      <w:ind w:firstLine="420"/>
    </w:pPr>
    <w:rPr>
      <w:rFonts w:hAnsi="Calibri" w:cs="Times New Roman"/>
      <w:szCs w:val="20"/>
    </w:rPr>
  </w:style>
  <w:style w:type="paragraph" w:styleId="61">
    <w:name w:val="Body Text First Indent 2"/>
    <w:basedOn w:val="24"/>
    <w:link w:val="653"/>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paragraph" w:customStyle="1" w:styleId="70">
    <w:name w:val="Char1"/>
    <w:basedOn w:val="1"/>
    <w:link w:val="69"/>
    <w:qFormat/>
    <w:uiPriority w:val="0"/>
    <w:rPr>
      <w:rFonts w:ascii="仿宋_GB2312" w:eastAsia="仿宋_GB2312"/>
      <w:b/>
      <w:sz w:val="32"/>
      <w:szCs w:val="32"/>
    </w:r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69"/>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69"/>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表格非标题文字"/>
    <w:link w:val="619"/>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82">
    <w:name w:val="*正文"/>
    <w:basedOn w:val="1"/>
    <w:link w:val="620"/>
    <w:qFormat/>
    <w:uiPriority w:val="0"/>
    <w:pPr>
      <w:snapToGrid w:val="0"/>
      <w:spacing w:line="360" w:lineRule="auto"/>
      <w:ind w:firstLine="482"/>
      <w:jc w:val="left"/>
    </w:pPr>
    <w:rPr>
      <w:rFonts w:ascii="宋体" w:hAnsi="宋体"/>
      <w:kern w:val="0"/>
      <w:sz w:val="24"/>
      <w:szCs w:val="20"/>
    </w:rPr>
  </w:style>
  <w:style w:type="paragraph" w:customStyle="1" w:styleId="83">
    <w:name w:val="U_正文"/>
    <w:basedOn w:val="1"/>
    <w:link w:val="628"/>
    <w:qFormat/>
    <w:uiPriority w:val="0"/>
    <w:pPr>
      <w:adjustRightInd/>
      <w:spacing w:beforeLines="20" w:afterLines="20" w:line="300" w:lineRule="auto"/>
      <w:ind w:firstLine="200" w:firstLineChars="200"/>
    </w:pPr>
    <w:rPr>
      <w:kern w:val="0"/>
      <w:sz w:val="24"/>
    </w:rPr>
  </w:style>
  <w:style w:type="paragraph" w:customStyle="1" w:styleId="84">
    <w:name w:val="哈哈正文"/>
    <w:basedOn w:val="1"/>
    <w:link w:val="635"/>
    <w:qFormat/>
    <w:uiPriority w:val="0"/>
    <w:pPr>
      <w:adjustRightInd/>
      <w:spacing w:line="360" w:lineRule="auto"/>
      <w:ind w:firstLine="200" w:firstLineChars="200"/>
    </w:pPr>
    <w:rPr>
      <w:rFonts w:ascii="宋体" w:hAnsi="宋体"/>
      <w:sz w:val="24"/>
      <w:szCs w:val="20"/>
    </w:rPr>
  </w:style>
  <w:style w:type="paragraph" w:customStyle="1" w:styleId="85">
    <w:name w:val="5正文"/>
    <w:basedOn w:val="1"/>
    <w:link w:val="648"/>
    <w:qFormat/>
    <w:uiPriority w:val="0"/>
    <w:pPr>
      <w:adjustRightInd/>
      <w:spacing w:line="360" w:lineRule="auto"/>
      <w:ind w:firstLine="566" w:firstLineChars="202"/>
      <w:jc w:val="left"/>
    </w:pPr>
    <w:rPr>
      <w:rFonts w:ascii="仿宋_GB2312" w:hAnsi="微软雅黑" w:eastAsia="仿宋_GB2312"/>
      <w:kern w:val="0"/>
      <w:sz w:val="28"/>
      <w:szCs w:val="21"/>
    </w:rPr>
  </w:style>
  <w:style w:type="paragraph" w:customStyle="1" w:styleId="86">
    <w:name w:val="正文2"/>
    <w:basedOn w:val="1"/>
    <w:link w:val="662"/>
    <w:qFormat/>
    <w:uiPriority w:val="0"/>
    <w:pPr>
      <w:spacing w:before="156" w:line="360" w:lineRule="auto"/>
      <w:ind w:firstLine="510" w:firstLineChars="200"/>
    </w:pPr>
    <w:rPr>
      <w:sz w:val="24"/>
      <w:szCs w:val="20"/>
    </w:rPr>
  </w:style>
  <w:style w:type="paragraph" w:customStyle="1" w:styleId="87">
    <w:name w:val="无间隔1"/>
    <w:link w:val="670"/>
    <w:qFormat/>
    <w:uiPriority w:val="1"/>
    <w:rPr>
      <w:rFonts w:ascii="Times New Roman" w:hAnsi="Times New Roman" w:eastAsia="宋体" w:cs="Times New Roman"/>
      <w:sz w:val="22"/>
      <w:szCs w:val="22"/>
      <w:lang w:val="en-US" w:eastAsia="zh-CN" w:bidi="ar-SA"/>
    </w:rPr>
  </w:style>
  <w:style w:type="paragraph" w:customStyle="1" w:styleId="88">
    <w:name w:val="纯文本_0_0"/>
    <w:basedOn w:val="89"/>
    <w:link w:val="678"/>
    <w:qFormat/>
    <w:uiPriority w:val="0"/>
    <w:rPr>
      <w:rFonts w:ascii="宋体" w:hAnsi="Courier New"/>
      <w:szCs w:val="21"/>
    </w:rPr>
  </w:style>
  <w:style w:type="paragraph" w:customStyle="1" w:styleId="8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0">
    <w:name w:val="正文（绿盟科技）"/>
    <w:link w:val="688"/>
    <w:qFormat/>
    <w:uiPriority w:val="0"/>
    <w:pPr>
      <w:spacing w:line="300" w:lineRule="auto"/>
    </w:pPr>
    <w:rPr>
      <w:rFonts w:ascii="Arial" w:hAnsi="Arial" w:eastAsia="宋体" w:cs="Times New Roman"/>
      <w:sz w:val="21"/>
      <w:szCs w:val="21"/>
      <w:lang w:val="en-US" w:eastAsia="zh-CN" w:bidi="ar-SA"/>
    </w:rPr>
  </w:style>
  <w:style w:type="paragraph" w:customStyle="1" w:styleId="91">
    <w:name w:val="表格名称"/>
    <w:basedOn w:val="3"/>
    <w:link w:val="697"/>
    <w:qFormat/>
    <w:uiPriority w:val="0"/>
    <w:pPr>
      <w:snapToGrid w:val="0"/>
      <w:spacing w:before="240" w:after="240" w:line="240" w:lineRule="auto"/>
      <w:ind w:left="0" w:firstLine="0"/>
      <w:jc w:val="center"/>
    </w:pPr>
    <w:rPr>
      <w:rFonts w:ascii="Calibri" w:hAnsi="Calibri" w:eastAsia="宋体"/>
      <w:b w:val="0"/>
      <w:bCs w:val="0"/>
      <w:kern w:val="0"/>
      <w:szCs w:val="20"/>
    </w:rPr>
  </w:style>
  <w:style w:type="paragraph" w:customStyle="1" w:styleId="92">
    <w:name w:val="my正文"/>
    <w:basedOn w:val="1"/>
    <w:link w:val="717"/>
    <w:qFormat/>
    <w:uiPriority w:val="0"/>
    <w:pPr>
      <w:adjustRightInd/>
      <w:spacing w:line="360" w:lineRule="auto"/>
      <w:ind w:firstLine="480" w:firstLineChars="200"/>
    </w:pPr>
    <w:rPr>
      <w:rFonts w:ascii="Tahoma" w:hAnsi="Tahoma"/>
      <w:kern w:val="0"/>
      <w:sz w:val="24"/>
    </w:rPr>
  </w:style>
  <w:style w:type="paragraph" w:customStyle="1" w:styleId="93">
    <w:name w:val="3级"/>
    <w:basedOn w:val="94"/>
    <w:link w:val="723"/>
    <w:qFormat/>
    <w:uiPriority w:val="0"/>
    <w:pPr>
      <w:ind w:left="0" w:right="466" w:firstLine="288"/>
    </w:pPr>
    <w:rPr>
      <w:rFonts w:hAnsi="宋体"/>
    </w:rPr>
  </w:style>
  <w:style w:type="paragraph" w:customStyle="1" w:styleId="94">
    <w:name w:val="样式 标题 3h33rd level3BOD 0H3l3CTHeading 3 - oldLevel 3 He..."/>
    <w:basedOn w:val="4"/>
    <w:qFormat/>
    <w:uiPriority w:val="99"/>
    <w:pPr>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paragraph" w:customStyle="1" w:styleId="95">
    <w:name w:val="标题4-dyf"/>
    <w:basedOn w:val="6"/>
    <w:link w:val="745"/>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96">
    <w:name w:val="冯"/>
    <w:basedOn w:val="1"/>
    <w:link w:val="747"/>
    <w:qFormat/>
    <w:uiPriority w:val="0"/>
    <w:pPr>
      <w:widowControl/>
      <w:adjustRightInd/>
      <w:spacing w:line="360" w:lineRule="auto"/>
      <w:ind w:firstLine="480" w:firstLineChars="200"/>
    </w:pPr>
    <w:rPr>
      <w:rFonts w:ascii="宋体" w:hAnsi="宋体"/>
      <w:color w:val="000000"/>
      <w:kern w:val="0"/>
      <w:sz w:val="24"/>
    </w:rPr>
  </w:style>
  <w:style w:type="paragraph" w:customStyle="1" w:styleId="97">
    <w:name w:val="Default"/>
    <w:link w:val="75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98">
    <w:name w:val="正文样式"/>
    <w:basedOn w:val="1"/>
    <w:link w:val="765"/>
    <w:qFormat/>
    <w:uiPriority w:val="0"/>
    <w:pPr>
      <w:adjustRightInd/>
      <w:spacing w:line="360" w:lineRule="auto"/>
      <w:ind w:firstLine="480" w:firstLineChars="200"/>
    </w:pPr>
    <w:rPr>
      <w:kern w:val="0"/>
      <w:sz w:val="24"/>
    </w:rPr>
  </w:style>
  <w:style w:type="paragraph" w:customStyle="1" w:styleId="99">
    <w:name w:val="gf正文1"/>
    <w:basedOn w:val="1"/>
    <w:link w:val="771"/>
    <w:qFormat/>
    <w:uiPriority w:val="0"/>
    <w:pPr>
      <w:tabs>
        <w:tab w:val="left" w:pos="3240"/>
        <w:tab w:val="left" w:pos="3960"/>
      </w:tabs>
      <w:snapToGrid w:val="0"/>
      <w:spacing w:line="360" w:lineRule="auto"/>
      <w:ind w:firstLine="480" w:firstLineChars="200"/>
    </w:pPr>
    <w:rPr>
      <w:rFonts w:ascii="宋体" w:hAnsi="宋体"/>
      <w:sz w:val="24"/>
    </w:rPr>
  </w:style>
  <w:style w:type="paragraph" w:customStyle="1" w:styleId="100">
    <w:name w:val="列表1"/>
    <w:basedOn w:val="1"/>
    <w:next w:val="101"/>
    <w:link w:val="77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101">
    <w:name w:val="List Paragraph"/>
    <w:basedOn w:val="1"/>
    <w:qFormat/>
    <w:uiPriority w:val="34"/>
    <w:pPr>
      <w:spacing w:line="360" w:lineRule="auto"/>
      <w:ind w:firstLine="200" w:firstLineChars="200"/>
    </w:pPr>
    <w:rPr>
      <w:rFonts w:eastAsia="楷体_GB2312" w:cs="Lucida Sans"/>
      <w:sz w:val="24"/>
    </w:rPr>
  </w:style>
  <w:style w:type="paragraph" w:customStyle="1" w:styleId="102">
    <w:name w:val="此正文"/>
    <w:basedOn w:val="1"/>
    <w:link w:val="796"/>
    <w:qFormat/>
    <w:uiPriority w:val="0"/>
    <w:pPr>
      <w:adjustRightInd/>
      <w:spacing w:line="360" w:lineRule="auto"/>
      <w:ind w:firstLine="200" w:firstLineChars="200"/>
    </w:pPr>
    <w:rPr>
      <w:sz w:val="24"/>
    </w:rPr>
  </w:style>
  <w:style w:type="paragraph" w:customStyle="1" w:styleId="103">
    <w:name w:val="样式 样式 标题 4h4H4Fab-4T5Ref Heading 1rh1Heading sqlsect 1.2.3.... +..."/>
    <w:basedOn w:val="104"/>
    <w:link w:val="818"/>
    <w:qFormat/>
    <w:uiPriority w:val="0"/>
    <w:pPr>
      <w:tabs>
        <w:tab w:val="left" w:pos="2356"/>
      </w:tabs>
    </w:pPr>
  </w:style>
  <w:style w:type="paragraph" w:customStyle="1" w:styleId="104">
    <w:name w:val="样式 标题 4h4H4Fab-4T5Ref Heading 1rh1Heading sqlsect 1.2.3...."/>
    <w:basedOn w:val="6"/>
    <w:link w:val="915"/>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05">
    <w:name w:val="Item List"/>
    <w:link w:val="82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106">
    <w:name w:val="纯文本1"/>
    <w:basedOn w:val="1"/>
    <w:link w:val="831"/>
    <w:qFormat/>
    <w:uiPriority w:val="0"/>
    <w:pPr>
      <w:adjustRightInd/>
    </w:pPr>
    <w:rPr>
      <w:rFonts w:ascii="宋体" w:hAnsi="Courier New"/>
      <w:kern w:val="0"/>
      <w:sz w:val="20"/>
      <w:szCs w:val="20"/>
    </w:rPr>
  </w:style>
  <w:style w:type="paragraph" w:customStyle="1" w:styleId="107">
    <w:name w:val="正文说明"/>
    <w:basedOn w:val="1"/>
    <w:link w:val="843"/>
    <w:qFormat/>
    <w:uiPriority w:val="0"/>
    <w:pPr>
      <w:adjustRightInd/>
      <w:spacing w:line="360" w:lineRule="auto"/>
    </w:pPr>
    <w:rPr>
      <w:kern w:val="0"/>
      <w:sz w:val="24"/>
    </w:rPr>
  </w:style>
  <w:style w:type="paragraph" w:customStyle="1" w:styleId="108">
    <w:name w:val="Table Text"/>
    <w:basedOn w:val="1"/>
    <w:link w:val="849"/>
    <w:qFormat/>
    <w:uiPriority w:val="0"/>
    <w:pPr>
      <w:widowControl/>
      <w:spacing w:before="60" w:after="60"/>
      <w:jc w:val="left"/>
    </w:pPr>
    <w:rPr>
      <w:kern w:val="0"/>
      <w:sz w:val="24"/>
    </w:rPr>
  </w:style>
  <w:style w:type="paragraph" w:customStyle="1" w:styleId="109">
    <w:name w:val="公文正文"/>
    <w:basedOn w:val="1"/>
    <w:link w:val="861"/>
    <w:qFormat/>
    <w:uiPriority w:val="0"/>
    <w:pPr>
      <w:adjustRightInd/>
      <w:spacing w:before="156" w:line="360" w:lineRule="auto"/>
      <w:ind w:firstLine="360" w:firstLineChars="200"/>
    </w:pPr>
    <w:rPr>
      <w:rFonts w:ascii="仿宋_GB2312" w:eastAsia="仿宋_GB2312"/>
      <w:sz w:val="24"/>
    </w:rPr>
  </w:style>
  <w:style w:type="paragraph" w:customStyle="1" w:styleId="110">
    <w:name w:val="正文（缩进2汉字）"/>
    <w:basedOn w:val="1"/>
    <w:link w:val="86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111">
    <w:name w:val="b11_01b"/>
    <w:basedOn w:val="1"/>
    <w:next w:val="1"/>
    <w:link w:val="88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112">
    <w:name w:val="段落"/>
    <w:basedOn w:val="1"/>
    <w:link w:val="894"/>
    <w:qFormat/>
    <w:uiPriority w:val="0"/>
    <w:pPr>
      <w:adjustRightInd/>
      <w:spacing w:line="360" w:lineRule="auto"/>
      <w:ind w:firstLine="480" w:firstLineChars="200"/>
    </w:pPr>
    <w:rPr>
      <w:rFonts w:ascii="宋体" w:hAnsi="宋体"/>
      <w:kern w:val="0"/>
      <w:sz w:val="24"/>
      <w:szCs w:val="20"/>
    </w:rPr>
  </w:style>
  <w:style w:type="paragraph" w:customStyle="1" w:styleId="113">
    <w:name w:val="正文段"/>
    <w:basedOn w:val="1"/>
    <w:link w:val="901"/>
    <w:qFormat/>
    <w:uiPriority w:val="0"/>
    <w:pPr>
      <w:widowControl/>
      <w:snapToGrid w:val="0"/>
      <w:spacing w:after="156" w:afterLines="50"/>
      <w:ind w:firstLine="200" w:firstLineChars="200"/>
    </w:pPr>
    <w:rPr>
      <w:kern w:val="0"/>
      <w:sz w:val="24"/>
      <w:szCs w:val="20"/>
    </w:rPr>
  </w:style>
  <w:style w:type="paragraph" w:customStyle="1" w:styleId="114">
    <w:name w:val="冯广丽"/>
    <w:basedOn w:val="1"/>
    <w:link w:val="904"/>
    <w:qFormat/>
    <w:uiPriority w:val="0"/>
    <w:pPr>
      <w:adjustRightInd/>
      <w:spacing w:line="360" w:lineRule="auto"/>
      <w:ind w:firstLine="480" w:firstLineChars="200"/>
    </w:pPr>
    <w:rPr>
      <w:rFonts w:ascii="宋体" w:hAnsi="宋体"/>
      <w:sz w:val="24"/>
      <w:szCs w:val="22"/>
    </w:rPr>
  </w:style>
  <w:style w:type="paragraph" w:customStyle="1" w:styleId="115">
    <w:name w:val="编号，小四"/>
    <w:basedOn w:val="1"/>
    <w:link w:val="910"/>
    <w:qFormat/>
    <w:uiPriority w:val="0"/>
    <w:pPr>
      <w:tabs>
        <w:tab w:val="left" w:pos="432"/>
      </w:tabs>
      <w:adjustRightInd/>
      <w:spacing w:line="360" w:lineRule="auto"/>
      <w:ind w:left="432" w:hanging="432"/>
    </w:pPr>
    <w:rPr>
      <w:rFonts w:ascii="Arial" w:hAnsi="Arial"/>
      <w:kern w:val="0"/>
      <w:sz w:val="24"/>
      <w:szCs w:val="20"/>
    </w:rPr>
  </w:style>
  <w:style w:type="paragraph" w:customStyle="1" w:styleId="116">
    <w:name w:val="仿宋正文"/>
    <w:basedOn w:val="1"/>
    <w:link w:val="917"/>
    <w:qFormat/>
    <w:uiPriority w:val="0"/>
    <w:pPr>
      <w:adjustRightInd/>
      <w:spacing w:line="360" w:lineRule="auto"/>
      <w:ind w:firstLine="480" w:firstLineChars="200"/>
    </w:pPr>
    <w:rPr>
      <w:rFonts w:ascii="仿宋_GB2312" w:eastAsia="仿宋_GB2312"/>
      <w:sz w:val="24"/>
      <w:szCs w:val="20"/>
    </w:rPr>
  </w:style>
  <w:style w:type="paragraph" w:customStyle="1" w:styleId="117">
    <w:name w:val="样式 正文缩进 + 首行缩进:  2 字符"/>
    <w:basedOn w:val="5"/>
    <w:link w:val="929"/>
    <w:qFormat/>
    <w:uiPriority w:val="0"/>
    <w:pPr>
      <w:widowControl w:val="0"/>
      <w:adjustRightInd/>
      <w:snapToGrid/>
      <w:spacing w:line="360" w:lineRule="auto"/>
      <w:ind w:firstLine="200" w:firstLineChars="200"/>
    </w:pPr>
    <w:rPr>
      <w:rFonts w:ascii="Calibri"/>
      <w:color w:val="auto"/>
      <w:kern w:val="2"/>
      <w:sz w:val="24"/>
    </w:rPr>
  </w:style>
  <w:style w:type="paragraph" w:customStyle="1" w:styleId="118">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9">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120">
    <w:name w:val="正文文本 221"/>
    <w:basedOn w:val="1"/>
    <w:qFormat/>
    <w:uiPriority w:val="0"/>
    <w:pPr>
      <w:widowControl/>
      <w:overflowPunct w:val="0"/>
      <w:autoSpaceDE w:val="0"/>
      <w:autoSpaceDN w:val="0"/>
      <w:ind w:left="720" w:hanging="720"/>
      <w:textAlignment w:val="baseline"/>
    </w:pPr>
    <w:rPr>
      <w:kern w:val="0"/>
      <w:sz w:val="24"/>
      <w:szCs w:val="20"/>
    </w:rPr>
  </w:style>
  <w:style w:type="paragraph" w:customStyle="1" w:styleId="121">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122">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123">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124">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125">
    <w:name w:val="标题4_自定义"/>
    <w:basedOn w:val="6"/>
    <w:qFormat/>
    <w:uiPriority w:val="0"/>
    <w:pPr>
      <w:adjustRightInd/>
      <w:spacing w:before="0" w:after="0" w:line="360" w:lineRule="auto"/>
    </w:pPr>
    <w:rPr>
      <w:rFonts w:ascii="Verdana" w:eastAsia="Verdana"/>
      <w:sz w:val="21"/>
      <w:lang w:val="en-US"/>
    </w:rPr>
  </w:style>
  <w:style w:type="paragraph" w:customStyle="1" w:styleId="126">
    <w:name w:val="正文 内标 序号标"/>
    <w:basedOn w:val="127"/>
    <w:qFormat/>
    <w:uiPriority w:val="0"/>
    <w:pPr>
      <w:tabs>
        <w:tab w:val="left" w:pos="0"/>
      </w:tabs>
      <w:adjustRightInd/>
      <w:spacing w:before="0"/>
      <w:ind w:firstLine="482"/>
    </w:pPr>
    <w:rPr>
      <w:rFonts w:ascii="微软雅黑" w:hAnsi="微软雅黑"/>
      <w:sz w:val="24"/>
      <w:szCs w:val="24"/>
    </w:rPr>
  </w:style>
  <w:style w:type="paragraph" w:customStyle="1" w:styleId="127">
    <w:name w:val="My正文"/>
    <w:basedOn w:val="1"/>
    <w:qFormat/>
    <w:uiPriority w:val="0"/>
    <w:pPr>
      <w:spacing w:before="120" w:line="360" w:lineRule="auto"/>
      <w:ind w:firstLine="567"/>
    </w:pPr>
    <w:rPr>
      <w:rFonts w:ascii="Arial" w:hAnsi="Arial"/>
      <w:sz w:val="20"/>
      <w:szCs w:val="20"/>
    </w:rPr>
  </w:style>
  <w:style w:type="paragraph" w:customStyle="1" w:styleId="128">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129">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130">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31">
    <w:name w:val="修订2"/>
    <w:qFormat/>
    <w:uiPriority w:val="0"/>
    <w:rPr>
      <w:rFonts w:ascii="Times New Roman" w:hAnsi="Times New Roman" w:eastAsia="宋体" w:cs="Times New Roman"/>
      <w:kern w:val="2"/>
      <w:sz w:val="21"/>
      <w:lang w:val="en-US" w:eastAsia="zh-CN" w:bidi="ar-SA"/>
    </w:rPr>
  </w:style>
  <w:style w:type="paragraph" w:customStyle="1" w:styleId="132">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33">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34">
    <w:name w:val="文章标题"/>
    <w:next w:val="135"/>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135">
    <w:name w:val="封面公司名"/>
    <w:qFormat/>
    <w:uiPriority w:val="0"/>
    <w:pPr>
      <w:jc w:val="center"/>
    </w:pPr>
    <w:rPr>
      <w:rFonts w:ascii="Arial" w:hAnsi="Arial" w:eastAsia="楷体_GB2312" w:cs="宋体"/>
      <w:bCs/>
      <w:kern w:val="2"/>
      <w:sz w:val="28"/>
      <w:lang w:val="en-US" w:eastAsia="zh-CN" w:bidi="ar-SA"/>
    </w:rPr>
  </w:style>
  <w:style w:type="paragraph" w:customStyle="1" w:styleId="136">
    <w:name w:val="Char1 Char Char Char5"/>
    <w:basedOn w:val="1"/>
    <w:qFormat/>
    <w:uiPriority w:val="0"/>
    <w:pPr>
      <w:adjustRightInd/>
      <w:ind w:firstLine="200" w:firstLineChars="200"/>
    </w:pPr>
    <w:rPr>
      <w:rFonts w:ascii="Tahoma" w:hAnsi="Tahoma"/>
      <w:sz w:val="24"/>
      <w:szCs w:val="20"/>
    </w:rPr>
  </w:style>
  <w:style w:type="paragraph" w:customStyle="1" w:styleId="137">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138">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39">
    <w:name w:val="Char Char Char Char Char Char Char Char"/>
    <w:basedOn w:val="1"/>
    <w:qFormat/>
    <w:uiPriority w:val="0"/>
    <w:pPr>
      <w:tabs>
        <w:tab w:val="left" w:pos="360"/>
      </w:tabs>
    </w:pPr>
    <w:rPr>
      <w:sz w:val="24"/>
      <w:szCs w:val="20"/>
    </w:rPr>
  </w:style>
  <w:style w:type="paragraph" w:customStyle="1" w:styleId="140">
    <w:name w:val="Char Char11 Char Char Char"/>
    <w:basedOn w:val="1"/>
    <w:qFormat/>
    <w:uiPriority w:val="0"/>
    <w:pPr>
      <w:spacing w:line="360" w:lineRule="auto"/>
    </w:pPr>
    <w:rPr>
      <w:szCs w:val="20"/>
    </w:rPr>
  </w:style>
  <w:style w:type="paragraph" w:customStyle="1" w:styleId="141">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val="none" w:color="000000"/>
      <w:lang w:val="en-US" w:eastAsia="zh-CN" w:bidi="ar-SA"/>
    </w:rPr>
  </w:style>
  <w:style w:type="paragraph" w:customStyle="1" w:styleId="142">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143">
    <w:name w:val="样式3"/>
    <w:basedOn w:val="144"/>
    <w:qFormat/>
    <w:uiPriority w:val="0"/>
    <w:pPr>
      <w:tabs>
        <w:tab w:val="left" w:pos="2790"/>
        <w:tab w:val="left" w:pos="4230"/>
      </w:tabs>
      <w:spacing w:before="312" w:beforeLines="100"/>
      <w:jc w:val="left"/>
    </w:pPr>
  </w:style>
  <w:style w:type="paragraph" w:customStyle="1" w:styleId="144">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145">
    <w:name w:val="Char Char1 Char Char1 Char Char1"/>
    <w:basedOn w:val="1"/>
    <w:qFormat/>
    <w:uiPriority w:val="0"/>
    <w:pPr>
      <w:tabs>
        <w:tab w:val="left" w:pos="840"/>
      </w:tabs>
      <w:ind w:left="840" w:hanging="420"/>
    </w:pPr>
    <w:rPr>
      <w:rFonts w:ascii="Tahoma" w:hAnsi="Tahoma"/>
      <w:sz w:val="24"/>
    </w:rPr>
  </w:style>
  <w:style w:type="paragraph" w:customStyle="1" w:styleId="146">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147">
    <w:name w:val="标书标题2"/>
    <w:basedOn w:val="3"/>
    <w:qFormat/>
    <w:uiPriority w:val="0"/>
    <w:pPr>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148">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149">
    <w:name w:val="正文21"/>
    <w:basedOn w:val="1"/>
    <w:qFormat/>
    <w:uiPriority w:val="0"/>
    <w:pPr>
      <w:adjustRightInd/>
      <w:spacing w:before="156" w:line="360" w:lineRule="auto"/>
      <w:ind w:firstLine="510" w:firstLineChars="200"/>
    </w:pPr>
    <w:rPr>
      <w:sz w:val="24"/>
      <w:szCs w:val="20"/>
    </w:rPr>
  </w:style>
  <w:style w:type="paragraph" w:customStyle="1" w:styleId="150">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151">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5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5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154">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155">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156">
    <w:name w:val="6级标题"/>
    <w:basedOn w:val="157"/>
    <w:qFormat/>
    <w:uiPriority w:val="0"/>
    <w:pPr>
      <w:keepNext/>
      <w:tabs>
        <w:tab w:val="left" w:pos="360"/>
      </w:tabs>
      <w:spacing w:before="0" w:after="0"/>
      <w:outlineLvl w:val="5"/>
    </w:pPr>
  </w:style>
  <w:style w:type="paragraph" w:customStyle="1" w:styleId="157">
    <w:name w:val="5级标题"/>
    <w:basedOn w:val="158"/>
    <w:qFormat/>
    <w:uiPriority w:val="0"/>
    <w:pPr>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158">
    <w:name w:val="4级标题"/>
    <w:basedOn w:val="101"/>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159">
    <w:name w:val="样式 正文文本缩进 + 段前: 2 字符"/>
    <w:basedOn w:val="1"/>
    <w:qFormat/>
    <w:uiPriority w:val="0"/>
    <w:pPr>
      <w:adjustRightInd/>
      <w:ind w:left="420" w:leftChars="200"/>
      <w:jc w:val="left"/>
    </w:pPr>
    <w:rPr>
      <w:sz w:val="28"/>
      <w:szCs w:val="20"/>
      <w:lang w:eastAsia="zh-TW"/>
    </w:rPr>
  </w:style>
  <w:style w:type="paragraph" w:customStyle="1" w:styleId="160">
    <w:name w:val="Char2 Char Char"/>
    <w:basedOn w:val="1"/>
    <w:qFormat/>
    <w:uiPriority w:val="0"/>
    <w:pPr>
      <w:adjustRightInd/>
    </w:pPr>
    <w:rPr>
      <w:rFonts w:ascii="Tahoma" w:hAnsi="Tahoma"/>
      <w:sz w:val="24"/>
      <w:szCs w:val="20"/>
    </w:rPr>
  </w:style>
  <w:style w:type="paragraph" w:customStyle="1" w:styleId="161">
    <w:name w:val="_Style 11"/>
    <w:basedOn w:val="1"/>
    <w:qFormat/>
    <w:uiPriority w:val="34"/>
    <w:pPr>
      <w:adjustRightInd/>
      <w:ind w:firstLine="420" w:firstLineChars="200"/>
    </w:pPr>
    <w:rPr>
      <w:rFonts w:eastAsia="仿宋_GB2312"/>
      <w:sz w:val="28"/>
    </w:rPr>
  </w:style>
  <w:style w:type="paragraph" w:customStyle="1" w:styleId="162">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163">
    <w:name w:val="Char Char Char"/>
    <w:basedOn w:val="1"/>
    <w:qFormat/>
    <w:uiPriority w:val="0"/>
    <w:rPr>
      <w:rFonts w:ascii="Tahoma" w:hAnsi="Tahoma"/>
      <w:sz w:val="24"/>
      <w:szCs w:val="20"/>
    </w:rPr>
  </w:style>
  <w:style w:type="paragraph" w:customStyle="1" w:styleId="164">
    <w:name w:val="数字标题6"/>
    <w:basedOn w:val="8"/>
    <w:next w:val="1"/>
    <w:qFormat/>
    <w:uiPriority w:val="0"/>
    <w:pPr>
      <w:tabs>
        <w:tab w:val="left" w:pos="1080"/>
        <w:tab w:val="clear" w:pos="1152"/>
      </w:tabs>
      <w:ind w:left="1080" w:hanging="1080"/>
    </w:pPr>
    <w:rPr>
      <w:rFonts w:ascii="Times New Roman" w:hAnsi="Times New Roman" w:eastAsia="宋体"/>
      <w:i/>
    </w:rPr>
  </w:style>
  <w:style w:type="paragraph" w:customStyle="1" w:styleId="16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166">
    <w:name w:val="No Spacing"/>
    <w:basedOn w:val="1"/>
    <w:link w:val="939"/>
    <w:qFormat/>
    <w:uiPriority w:val="99"/>
    <w:rPr>
      <w:szCs w:val="22"/>
    </w:rPr>
  </w:style>
  <w:style w:type="paragraph" w:customStyle="1" w:styleId="16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168">
    <w:name w:val="Char Char Char Char Char Char Char Char Char Char Char Char1 Char1"/>
    <w:basedOn w:val="1"/>
    <w:qFormat/>
    <w:uiPriority w:val="6"/>
    <w:rPr>
      <w:rFonts w:ascii="Tahoma" w:hAnsi="Tahoma" w:cs="仿宋_GB2312"/>
      <w:sz w:val="24"/>
      <w:szCs w:val="20"/>
    </w:rPr>
  </w:style>
  <w:style w:type="paragraph" w:customStyle="1" w:styleId="16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17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17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172">
    <w:name w:val="MM Topic 2"/>
    <w:basedOn w:val="3"/>
    <w:qFormat/>
    <w:uiPriority w:val="0"/>
    <w:pPr>
      <w:tabs>
        <w:tab w:val="left" w:pos="1260"/>
        <w:tab w:val="clear" w:pos="432"/>
      </w:tabs>
      <w:ind w:left="1260" w:hanging="420"/>
    </w:pPr>
    <w:rPr>
      <w:rFonts w:ascii="Arial" w:hAnsi="Arial" w:eastAsia="黑体"/>
      <w:lang w:val="en-US"/>
    </w:rPr>
  </w:style>
  <w:style w:type="paragraph" w:customStyle="1" w:styleId="173">
    <w:name w:val="五级无标题条"/>
    <w:basedOn w:val="1"/>
    <w:qFormat/>
    <w:uiPriority w:val="0"/>
    <w:pPr>
      <w:adjustRightInd/>
    </w:pPr>
  </w:style>
  <w:style w:type="paragraph" w:customStyle="1" w:styleId="174">
    <w:name w:val="Char5"/>
    <w:basedOn w:val="1"/>
    <w:qFormat/>
    <w:uiPriority w:val="0"/>
    <w:rPr>
      <w:rFonts w:ascii="仿宋_GB2312" w:eastAsia="仿宋_GB2312"/>
      <w:b/>
      <w:sz w:val="32"/>
      <w:szCs w:val="32"/>
    </w:rPr>
  </w:style>
  <w:style w:type="paragraph" w:customStyle="1" w:styleId="175">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76">
    <w:name w:val="彩色列表 - 强调文字颜色 12"/>
    <w:basedOn w:val="1"/>
    <w:qFormat/>
    <w:uiPriority w:val="0"/>
    <w:pPr>
      <w:adjustRightInd/>
      <w:ind w:firstLine="420" w:firstLineChars="200"/>
    </w:pPr>
    <w:rPr>
      <w:rFonts w:ascii="Calibri" w:hAnsi="Calibri"/>
      <w:szCs w:val="22"/>
    </w:rPr>
  </w:style>
  <w:style w:type="paragraph" w:customStyle="1" w:styleId="17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178">
    <w:name w:val="Char2"/>
    <w:basedOn w:val="1"/>
    <w:qFormat/>
    <w:uiPriority w:val="0"/>
    <w:rPr>
      <w:rFonts w:ascii="仿宋_GB2312" w:eastAsia="仿宋_GB2312"/>
      <w:b/>
      <w:sz w:val="32"/>
      <w:szCs w:val="32"/>
    </w:rPr>
  </w:style>
  <w:style w:type="paragraph" w:customStyle="1" w:styleId="179">
    <w:name w:val="数字标题3"/>
    <w:basedOn w:val="4"/>
    <w:next w:val="1"/>
    <w:qFormat/>
    <w:uiPriority w:val="0"/>
    <w:pPr>
      <w:spacing w:line="240" w:lineRule="auto"/>
    </w:pPr>
    <w:rPr>
      <w:sz w:val="28"/>
      <w:szCs w:val="28"/>
    </w:rPr>
  </w:style>
  <w:style w:type="paragraph" w:customStyle="1" w:styleId="180">
    <w:name w:val="FA正文"/>
    <w:basedOn w:val="1"/>
    <w:qFormat/>
    <w:uiPriority w:val="0"/>
    <w:pPr>
      <w:spacing w:line="360" w:lineRule="auto"/>
      <w:ind w:firstLine="480" w:firstLineChars="200"/>
    </w:pPr>
    <w:rPr>
      <w:rFonts w:hAnsi="宋体"/>
      <w:sz w:val="24"/>
      <w:szCs w:val="20"/>
    </w:rPr>
  </w:style>
  <w:style w:type="paragraph" w:customStyle="1" w:styleId="181">
    <w:name w:val="MM Topic 5"/>
    <w:basedOn w:val="7"/>
    <w:qFormat/>
    <w:uiPriority w:val="0"/>
    <w:pPr>
      <w:tabs>
        <w:tab w:val="left" w:pos="2520"/>
        <w:tab w:val="clear" w:pos="1008"/>
      </w:tabs>
      <w:adjustRightInd/>
      <w:ind w:left="2520" w:hanging="420"/>
    </w:pPr>
  </w:style>
  <w:style w:type="paragraph" w:customStyle="1" w:styleId="182">
    <w:name w:val="Char Char Char Char Char Char Char Char Char Char1"/>
    <w:basedOn w:val="1"/>
    <w:qFormat/>
    <w:uiPriority w:val="0"/>
    <w:rPr>
      <w:rFonts w:ascii="仿宋_GB2312" w:eastAsia="仿宋_GB2312"/>
      <w:b/>
      <w:sz w:val="32"/>
      <w:szCs w:val="32"/>
    </w:rPr>
  </w:style>
  <w:style w:type="paragraph" w:customStyle="1" w:styleId="18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184">
    <w:name w:val="修订1"/>
    <w:qFormat/>
    <w:uiPriority w:val="3"/>
    <w:rPr>
      <w:rFonts w:ascii="Times New Roman" w:hAnsi="Times New Roman" w:eastAsia="宋体" w:cs="Times New Roman"/>
      <w:color w:val="000000"/>
      <w:kern w:val="1"/>
      <w:sz w:val="21"/>
      <w:lang w:val="en-US" w:eastAsia="zh-CN" w:bidi="ar-SA"/>
    </w:rPr>
  </w:style>
  <w:style w:type="paragraph" w:customStyle="1" w:styleId="185">
    <w:name w:val="Char2 Char Char Char"/>
    <w:basedOn w:val="1"/>
    <w:qFormat/>
    <w:uiPriority w:val="0"/>
    <w:rPr>
      <w:rFonts w:ascii="仿宋_GB2312" w:eastAsia="仿宋_GB2312"/>
      <w:b/>
      <w:sz w:val="32"/>
      <w:szCs w:val="32"/>
    </w:rPr>
  </w:style>
  <w:style w:type="paragraph" w:customStyle="1" w:styleId="186">
    <w:name w:val="Char2 Char Char Char1"/>
    <w:basedOn w:val="1"/>
    <w:qFormat/>
    <w:uiPriority w:val="6"/>
    <w:rPr>
      <w:rFonts w:ascii="仿宋_GB2312" w:eastAsia="仿宋_GB2312"/>
      <w:b/>
      <w:sz w:val="32"/>
      <w:szCs w:val="32"/>
    </w:rPr>
  </w:style>
  <w:style w:type="paragraph" w:customStyle="1" w:styleId="187">
    <w:name w:val="默认段落样式"/>
    <w:basedOn w:val="86"/>
    <w:qFormat/>
    <w:uiPriority w:val="0"/>
    <w:pPr>
      <w:spacing w:before="0"/>
      <w:ind w:firstLine="480"/>
      <w:outlineLvl w:val="2"/>
    </w:pPr>
    <w:rPr>
      <w:rFonts w:ascii="仿宋_GB2312" w:hAnsi="宋体" w:eastAsia="仿宋_GB2312"/>
      <w:color w:val="000000"/>
      <w:szCs w:val="24"/>
    </w:rPr>
  </w:style>
  <w:style w:type="paragraph" w:customStyle="1" w:styleId="188">
    <w:name w:val="图中文字"/>
    <w:basedOn w:val="1"/>
    <w:qFormat/>
    <w:uiPriority w:val="0"/>
    <w:pPr>
      <w:snapToGrid w:val="0"/>
      <w:spacing w:line="0" w:lineRule="atLeast"/>
      <w:ind w:firstLine="200" w:firstLineChars="200"/>
      <w:jc w:val="center"/>
    </w:pPr>
    <w:rPr>
      <w:sz w:val="24"/>
      <w:szCs w:val="20"/>
    </w:rPr>
  </w:style>
  <w:style w:type="paragraph" w:customStyle="1" w:styleId="18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90">
    <w:name w:val="MM Topic 3"/>
    <w:basedOn w:val="4"/>
    <w:qFormat/>
    <w:uiPriority w:val="0"/>
    <w:pPr>
      <w:tabs>
        <w:tab w:val="left" w:pos="1680"/>
        <w:tab w:val="clear" w:pos="900"/>
      </w:tabs>
      <w:adjustRightInd/>
      <w:ind w:left="1680" w:hanging="420"/>
    </w:pPr>
  </w:style>
  <w:style w:type="paragraph" w:customStyle="1" w:styleId="191">
    <w:name w:val="标准小四"/>
    <w:basedOn w:val="1"/>
    <w:qFormat/>
    <w:uiPriority w:val="0"/>
    <w:pPr>
      <w:spacing w:line="360" w:lineRule="auto"/>
      <w:ind w:firstLine="480" w:firstLineChars="200"/>
    </w:pPr>
    <w:rPr>
      <w:rFonts w:ascii="Arial" w:hAnsi="Arial"/>
      <w:sz w:val="24"/>
      <w:szCs w:val="21"/>
    </w:rPr>
  </w:style>
  <w:style w:type="paragraph" w:customStyle="1" w:styleId="192">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193">
    <w:name w:val="表格（小）"/>
    <w:basedOn w:val="1"/>
    <w:qFormat/>
    <w:uiPriority w:val="0"/>
    <w:pPr>
      <w:adjustRightInd/>
      <w:snapToGrid w:val="0"/>
      <w:spacing w:line="300" w:lineRule="auto"/>
    </w:pPr>
    <w:rPr>
      <w:rFonts w:eastAsia="仿宋"/>
      <w:szCs w:val="21"/>
    </w:rPr>
  </w:style>
  <w:style w:type="paragraph" w:customStyle="1" w:styleId="19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195">
    <w:name w:val="Char2 Char Char1"/>
    <w:basedOn w:val="1"/>
    <w:qFormat/>
    <w:uiPriority w:val="6"/>
    <w:pPr>
      <w:adjustRightInd/>
    </w:pPr>
    <w:rPr>
      <w:rFonts w:ascii="Tahoma" w:hAnsi="Tahoma"/>
      <w:sz w:val="24"/>
      <w:szCs w:val="20"/>
    </w:rPr>
  </w:style>
  <w:style w:type="paragraph" w:customStyle="1" w:styleId="196">
    <w:name w:val="列出段落5"/>
    <w:basedOn w:val="1"/>
    <w:qFormat/>
    <w:uiPriority w:val="0"/>
    <w:pPr>
      <w:spacing w:line="360" w:lineRule="auto"/>
      <w:ind w:firstLine="200" w:firstLineChars="200"/>
    </w:pPr>
    <w:rPr>
      <w:rFonts w:eastAsia="楷体_GB2312" w:cs="Lucida Sans"/>
      <w:sz w:val="24"/>
    </w:rPr>
  </w:style>
  <w:style w:type="paragraph" w:customStyle="1" w:styleId="19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98">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19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200">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20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20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20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04">
    <w:name w:val="_Style 3"/>
    <w:basedOn w:val="1"/>
    <w:qFormat/>
    <w:uiPriority w:val="0"/>
    <w:pPr>
      <w:adjustRightInd/>
      <w:ind w:firstLine="420" w:firstLineChars="200"/>
    </w:pPr>
    <w:rPr>
      <w:rFonts w:eastAsia="仿宋_GB2312"/>
      <w:sz w:val="28"/>
    </w:rPr>
  </w:style>
  <w:style w:type="paragraph" w:customStyle="1" w:styleId="20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06">
    <w:name w:val="Bulleting First Indent 1"/>
    <w:basedOn w:val="60"/>
    <w:qFormat/>
    <w:uiPriority w:val="0"/>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207">
    <w:name w:val="左对齐表格文字"/>
    <w:basedOn w:val="1"/>
    <w:qFormat/>
    <w:uiPriority w:val="0"/>
    <w:pPr>
      <w:adjustRightInd/>
      <w:ind w:firstLine="200" w:firstLineChars="200"/>
      <w:jc w:val="right"/>
    </w:pPr>
  </w:style>
  <w:style w:type="paragraph" w:customStyle="1" w:styleId="208">
    <w:name w:val="Char Char11 Char Char Char Char Char Char Char Char Char"/>
    <w:basedOn w:val="1"/>
    <w:qFormat/>
    <w:uiPriority w:val="0"/>
    <w:pPr>
      <w:spacing w:line="360" w:lineRule="auto"/>
    </w:pPr>
    <w:rPr>
      <w:szCs w:val="20"/>
    </w:rPr>
  </w:style>
  <w:style w:type="paragraph" w:customStyle="1" w:styleId="209">
    <w:name w:val="正文1.25"/>
    <w:basedOn w:val="1"/>
    <w:qFormat/>
    <w:uiPriority w:val="0"/>
    <w:pPr>
      <w:adjustRightInd/>
      <w:spacing w:line="300" w:lineRule="auto"/>
      <w:ind w:firstLine="480" w:firstLineChars="200"/>
    </w:pPr>
    <w:rPr>
      <w:sz w:val="24"/>
      <w:szCs w:val="20"/>
    </w:rPr>
  </w:style>
  <w:style w:type="paragraph" w:customStyle="1" w:styleId="210">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21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21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13">
    <w:name w:val="Char Char1 Char Char Char1"/>
    <w:basedOn w:val="1"/>
    <w:qFormat/>
    <w:uiPriority w:val="6"/>
    <w:rPr>
      <w:rFonts w:ascii="仿宋_GB2312" w:eastAsia="仿宋_GB2312"/>
      <w:b/>
      <w:sz w:val="32"/>
      <w:szCs w:val="20"/>
    </w:rPr>
  </w:style>
  <w:style w:type="paragraph" w:customStyle="1" w:styleId="214">
    <w:name w:val="列出段落2"/>
    <w:basedOn w:val="1"/>
    <w:qFormat/>
    <w:uiPriority w:val="0"/>
    <w:pPr>
      <w:adjustRightInd/>
      <w:ind w:firstLine="420" w:firstLineChars="200"/>
    </w:pPr>
    <w:rPr>
      <w:rFonts w:ascii="宋体" w:hAnsi="宋体"/>
      <w:sz w:val="24"/>
    </w:rPr>
  </w:style>
  <w:style w:type="paragraph" w:customStyle="1" w:styleId="215">
    <w:name w:val="默认段落字体 Para Char Char Char Char Char Char Char"/>
    <w:basedOn w:val="1"/>
    <w:qFormat/>
    <w:uiPriority w:val="0"/>
    <w:rPr>
      <w:rFonts w:eastAsia="仿宋_GB2312"/>
      <w:sz w:val="28"/>
      <w:szCs w:val="20"/>
    </w:rPr>
  </w:style>
  <w:style w:type="paragraph" w:customStyle="1" w:styleId="21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217">
    <w:name w:val="样式 标题 4PIM 4H4h4bulletblbbH41H42H43H44H45H46H47H48...1"/>
    <w:basedOn w:val="6"/>
    <w:qFormat/>
    <w:uiPriority w:val="0"/>
    <w:pPr>
      <w:widowControl/>
      <w:jc w:val="left"/>
    </w:pPr>
    <w:rPr>
      <w:rFonts w:cs="宋体"/>
      <w:sz w:val="24"/>
      <w:szCs w:val="20"/>
    </w:rPr>
  </w:style>
  <w:style w:type="paragraph" w:customStyle="1" w:styleId="218">
    <w:name w:val="彩色列表 - 强调文字颜色 11"/>
    <w:basedOn w:val="1"/>
    <w:qFormat/>
    <w:uiPriority w:val="0"/>
    <w:pPr>
      <w:adjustRightInd/>
      <w:ind w:firstLine="420" w:firstLineChars="200"/>
    </w:pPr>
    <w:rPr>
      <w:rFonts w:ascii="Calibri" w:hAnsi="Calibri"/>
      <w:szCs w:val="22"/>
    </w:rPr>
  </w:style>
  <w:style w:type="paragraph" w:customStyle="1" w:styleId="219">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22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22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222">
    <w:name w:val="Char Char Char1 Char1"/>
    <w:basedOn w:val="1"/>
    <w:qFormat/>
    <w:uiPriority w:val="6"/>
    <w:rPr>
      <w:szCs w:val="20"/>
    </w:rPr>
  </w:style>
  <w:style w:type="paragraph" w:customStyle="1" w:styleId="22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224">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22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22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22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28">
    <w:name w:val="CM14"/>
    <w:basedOn w:val="97"/>
    <w:next w:val="97"/>
    <w:qFormat/>
    <w:uiPriority w:val="0"/>
    <w:pPr>
      <w:spacing w:after="68"/>
    </w:pPr>
    <w:rPr>
      <w:rFonts w:ascii="FHLHE E+ Futura Bk" w:eastAsia="FHLHE E+ Futura Bk" w:cs="Times New Roman"/>
      <w:color w:val="auto"/>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23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231">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232">
    <w:name w:val="正文文字 2"/>
    <w:basedOn w:val="97"/>
    <w:next w:val="97"/>
    <w:qFormat/>
    <w:uiPriority w:val="0"/>
    <w:rPr>
      <w:rFonts w:ascii="宋体" w:eastAsia="宋体" w:cs="Times New Roman"/>
      <w:color w:val="auto"/>
    </w:rPr>
  </w:style>
  <w:style w:type="paragraph" w:customStyle="1" w:styleId="233">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234">
    <w:name w:val="Char Char1 Char"/>
    <w:basedOn w:val="1"/>
    <w:qFormat/>
    <w:uiPriority w:val="0"/>
    <w:rPr>
      <w:rFonts w:ascii="仿宋_GB2312" w:eastAsia="仿宋_GB2312"/>
      <w:b/>
      <w:sz w:val="32"/>
      <w:szCs w:val="32"/>
    </w:rPr>
  </w:style>
  <w:style w:type="paragraph" w:customStyle="1" w:styleId="23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3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237">
    <w:name w:val="Char Char111"/>
    <w:basedOn w:val="1"/>
    <w:qFormat/>
    <w:uiPriority w:val="0"/>
    <w:pPr>
      <w:spacing w:line="360" w:lineRule="auto"/>
    </w:pPr>
    <w:rPr>
      <w:szCs w:val="20"/>
    </w:rPr>
  </w:style>
  <w:style w:type="paragraph" w:customStyle="1" w:styleId="238">
    <w:name w:val="Char"/>
    <w:basedOn w:val="1"/>
    <w:qFormat/>
    <w:uiPriority w:val="0"/>
    <w:rPr>
      <w:rFonts w:ascii="仿宋_GB2312" w:eastAsia="仿宋_GB2312"/>
      <w:b/>
      <w:sz w:val="32"/>
      <w:szCs w:val="32"/>
    </w:rPr>
  </w:style>
  <w:style w:type="paragraph" w:customStyle="1" w:styleId="23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eastAsia="en-US"/>
    </w:rPr>
  </w:style>
  <w:style w:type="paragraph" w:customStyle="1" w:styleId="24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41">
    <w:name w:val="Char Char Char1 Char"/>
    <w:basedOn w:val="1"/>
    <w:qFormat/>
    <w:uiPriority w:val="0"/>
    <w:rPr>
      <w:szCs w:val="20"/>
    </w:rPr>
  </w:style>
  <w:style w:type="paragraph" w:customStyle="1" w:styleId="242">
    <w:name w:val="正文标准"/>
    <w:basedOn w:val="1"/>
    <w:qFormat/>
    <w:uiPriority w:val="0"/>
    <w:pPr>
      <w:adjustRightInd/>
      <w:spacing w:line="360" w:lineRule="auto"/>
      <w:ind w:firstLine="200" w:firstLineChars="200"/>
    </w:pPr>
    <w:rPr>
      <w:rFonts w:ascii="宋体" w:hAnsi="Calibri"/>
      <w:sz w:val="24"/>
    </w:rPr>
  </w:style>
  <w:style w:type="paragraph" w:customStyle="1" w:styleId="24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24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4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246">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24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24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24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5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25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54">
    <w:name w:val="标准有序列表（L1）"/>
    <w:basedOn w:val="5"/>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55">
    <w:name w:val="Char Char Char Char Char Char Char Char Char Char"/>
    <w:basedOn w:val="1"/>
    <w:qFormat/>
    <w:uiPriority w:val="0"/>
    <w:rPr>
      <w:rFonts w:ascii="仿宋_GB2312" w:eastAsia="仿宋_GB2312"/>
      <w:b/>
      <w:sz w:val="32"/>
      <w:szCs w:val="32"/>
    </w:rPr>
  </w:style>
  <w:style w:type="paragraph" w:customStyle="1" w:styleId="25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57">
    <w:name w:val="_正文段落"/>
    <w:basedOn w:val="1"/>
    <w:qFormat/>
    <w:uiPriority w:val="0"/>
    <w:pPr>
      <w:adjustRightInd/>
      <w:ind w:firstLine="560"/>
    </w:pPr>
    <w:rPr>
      <w:rFonts w:ascii="仿宋_GB2312" w:hAnsi="仿宋" w:eastAsia="仿宋_GB2312"/>
      <w:kern w:val="0"/>
      <w:sz w:val="28"/>
      <w:szCs w:val="28"/>
    </w:rPr>
  </w:style>
  <w:style w:type="paragraph" w:customStyle="1" w:styleId="25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25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60">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26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6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26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264">
    <w:name w:val="Char Char Char1 Char2"/>
    <w:basedOn w:val="1"/>
    <w:qFormat/>
    <w:uiPriority w:val="0"/>
    <w:rPr>
      <w:szCs w:val="20"/>
    </w:rPr>
  </w:style>
  <w:style w:type="paragraph" w:customStyle="1" w:styleId="26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6">
    <w:name w:val="默认段落字体 Para Char"/>
    <w:basedOn w:val="1"/>
    <w:qFormat/>
    <w:uiPriority w:val="0"/>
    <w:rPr>
      <w:rFonts w:ascii="Tahoma" w:hAnsi="Tahoma"/>
      <w:sz w:val="24"/>
      <w:szCs w:val="20"/>
    </w:rPr>
  </w:style>
  <w:style w:type="paragraph" w:customStyle="1" w:styleId="267">
    <w:name w:val="标题五"/>
    <w:basedOn w:val="1"/>
    <w:qFormat/>
    <w:uiPriority w:val="0"/>
    <w:pPr>
      <w:adjustRightInd/>
      <w:spacing w:before="156" w:beforeLines="50" w:line="360" w:lineRule="auto"/>
    </w:pPr>
    <w:rPr>
      <w:b/>
      <w:sz w:val="24"/>
    </w:rPr>
  </w:style>
  <w:style w:type="paragraph" w:customStyle="1" w:styleId="268">
    <w:name w:val="Char Char1101"/>
    <w:basedOn w:val="1"/>
    <w:qFormat/>
    <w:uiPriority w:val="0"/>
    <w:pPr>
      <w:spacing w:line="360" w:lineRule="auto"/>
    </w:pPr>
    <w:rPr>
      <w:rFonts w:ascii="Tahoma" w:hAnsi="Tahoma"/>
      <w:sz w:val="24"/>
      <w:szCs w:val="20"/>
    </w:rPr>
  </w:style>
  <w:style w:type="paragraph" w:customStyle="1" w:styleId="269">
    <w:name w:val="Char Char Char Char Char Char Char Char1"/>
    <w:basedOn w:val="1"/>
    <w:qFormat/>
    <w:uiPriority w:val="0"/>
    <w:pPr>
      <w:tabs>
        <w:tab w:val="left" w:pos="360"/>
      </w:tabs>
    </w:pPr>
    <w:rPr>
      <w:sz w:val="24"/>
      <w:szCs w:val="20"/>
    </w:rPr>
  </w:style>
  <w:style w:type="paragraph" w:customStyle="1" w:styleId="270">
    <w:name w:val="Char Char Char 字元 字元"/>
    <w:basedOn w:val="1"/>
    <w:qFormat/>
    <w:uiPriority w:val="0"/>
    <w:pPr>
      <w:adjustRightInd/>
      <w:spacing w:line="360" w:lineRule="auto"/>
      <w:ind w:firstLine="200" w:firstLineChars="200"/>
    </w:pPr>
    <w:rPr>
      <w:szCs w:val="20"/>
    </w:rPr>
  </w:style>
  <w:style w:type="paragraph" w:customStyle="1" w:styleId="27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72">
    <w:name w:val="Char Char Char Char Char Char Char"/>
    <w:basedOn w:val="1"/>
    <w:qFormat/>
    <w:uiPriority w:val="0"/>
    <w:rPr>
      <w:rFonts w:ascii="仿宋_GB2312" w:eastAsia="仿宋_GB2312"/>
      <w:b/>
      <w:sz w:val="32"/>
      <w:szCs w:val="32"/>
    </w:rPr>
  </w:style>
  <w:style w:type="paragraph" w:customStyle="1" w:styleId="27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27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75">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276">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277">
    <w:name w:val="批注框文本 Char Char"/>
    <w:basedOn w:val="1"/>
    <w:qFormat/>
    <w:uiPriority w:val="0"/>
    <w:pPr>
      <w:adjustRightInd/>
    </w:pPr>
    <w:rPr>
      <w:sz w:val="18"/>
      <w:szCs w:val="20"/>
    </w:rPr>
  </w:style>
  <w:style w:type="paragraph" w:customStyle="1" w:styleId="27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27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8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8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val="none" w:color="000000"/>
      <w:lang w:val="en-US" w:eastAsia="zh-CN" w:bidi="ar-SA"/>
    </w:rPr>
  </w:style>
  <w:style w:type="paragraph" w:customStyle="1" w:styleId="282">
    <w:name w:val="索引 11"/>
    <w:basedOn w:val="1"/>
    <w:next w:val="1"/>
    <w:qFormat/>
    <w:uiPriority w:val="99"/>
    <w:pPr>
      <w:adjustRightInd/>
      <w:spacing w:line="360" w:lineRule="auto"/>
    </w:pPr>
    <w:rPr>
      <w:rFonts w:ascii="仿宋_GB2312" w:eastAsia="仿宋_GB2312"/>
      <w:sz w:val="24"/>
      <w:szCs w:val="20"/>
    </w:rPr>
  </w:style>
  <w:style w:type="paragraph" w:customStyle="1" w:styleId="28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8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285">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286">
    <w:name w:val="文档正文"/>
    <w:basedOn w:val="1"/>
    <w:qFormat/>
    <w:uiPriority w:val="0"/>
    <w:pPr>
      <w:spacing w:line="480" w:lineRule="atLeast"/>
      <w:ind w:firstLine="567"/>
      <w:textAlignment w:val="baseline"/>
    </w:pPr>
    <w:rPr>
      <w:kern w:val="0"/>
      <w:sz w:val="24"/>
      <w:szCs w:val="20"/>
    </w:rPr>
  </w:style>
  <w:style w:type="paragraph" w:customStyle="1" w:styleId="287">
    <w:name w:val="正文文字表格居中"/>
    <w:basedOn w:val="1"/>
    <w:next w:val="55"/>
    <w:qFormat/>
    <w:uiPriority w:val="0"/>
    <w:pPr>
      <w:snapToGrid w:val="0"/>
      <w:spacing w:line="360" w:lineRule="auto"/>
    </w:pPr>
    <w:rPr>
      <w:rFonts w:ascii="宋体"/>
      <w:b/>
      <w:sz w:val="24"/>
      <w:szCs w:val="20"/>
    </w:rPr>
  </w:style>
  <w:style w:type="paragraph" w:customStyle="1" w:styleId="288">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289">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290">
    <w:name w:val="Plain Text1"/>
    <w:basedOn w:val="1"/>
    <w:qFormat/>
    <w:uiPriority w:val="7"/>
    <w:pPr>
      <w:adjustRightInd/>
    </w:pPr>
    <w:rPr>
      <w:rFonts w:ascii="宋体" w:hAnsi="Courier New"/>
    </w:rPr>
  </w:style>
  <w:style w:type="paragraph" w:customStyle="1" w:styleId="291">
    <w:name w:val="Char3"/>
    <w:basedOn w:val="1"/>
    <w:qFormat/>
    <w:uiPriority w:val="0"/>
    <w:pPr>
      <w:adjustRightInd/>
    </w:pPr>
    <w:rPr>
      <w:rFonts w:ascii="仿宋_GB2312" w:eastAsia="仿宋_GB2312"/>
      <w:b/>
      <w:sz w:val="32"/>
      <w:szCs w:val="32"/>
    </w:rPr>
  </w:style>
  <w:style w:type="paragraph" w:customStyle="1" w:styleId="29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9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294">
    <w:name w:val="标题2"/>
    <w:basedOn w:val="3"/>
    <w:next w:val="1"/>
    <w:qFormat/>
    <w:uiPriority w:val="0"/>
    <w:pPr>
      <w:tabs>
        <w:tab w:val="left" w:pos="578"/>
        <w:tab w:val="left" w:pos="900"/>
        <w:tab w:val="left" w:pos="1440"/>
        <w:tab w:val="clear" w:pos="432"/>
      </w:tabs>
      <w:ind w:left="1440" w:hanging="360"/>
    </w:pPr>
    <w:rPr>
      <w:rFonts w:ascii="仿宋" w:eastAsia="仿宋" w:cs="宋体"/>
      <w:bCs w:val="0"/>
      <w:szCs w:val="28"/>
    </w:rPr>
  </w:style>
  <w:style w:type="paragraph" w:customStyle="1" w:styleId="295">
    <w:name w:val="List Paragraph1"/>
    <w:basedOn w:val="1"/>
    <w:qFormat/>
    <w:uiPriority w:val="0"/>
    <w:pPr>
      <w:spacing w:line="360" w:lineRule="auto"/>
      <w:ind w:firstLine="200" w:firstLineChars="200"/>
    </w:pPr>
    <w:rPr>
      <w:rFonts w:eastAsia="楷体_GB2312" w:cs="Lucida Sans"/>
      <w:sz w:val="24"/>
    </w:rPr>
  </w:style>
  <w:style w:type="paragraph" w:customStyle="1" w:styleId="296">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29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9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299">
    <w:name w:val="Char3 Char Char Char"/>
    <w:basedOn w:val="1"/>
    <w:qFormat/>
    <w:uiPriority w:val="0"/>
    <w:pPr>
      <w:widowControl/>
      <w:adjustRightInd/>
      <w:spacing w:after="160" w:line="240" w:lineRule="exact"/>
      <w:jc w:val="left"/>
    </w:pPr>
    <w:rPr>
      <w:szCs w:val="20"/>
    </w:rPr>
  </w:style>
  <w:style w:type="paragraph" w:customStyle="1" w:styleId="300">
    <w:name w:val="表格标题2"/>
    <w:basedOn w:val="301"/>
    <w:qFormat/>
    <w:uiPriority w:val="0"/>
    <w:rPr>
      <w:b/>
    </w:rPr>
  </w:style>
  <w:style w:type="paragraph" w:customStyle="1" w:styleId="301">
    <w:name w:val="表格内文"/>
    <w:basedOn w:val="1"/>
    <w:qFormat/>
    <w:uiPriority w:val="0"/>
    <w:pPr>
      <w:adjustRightInd/>
      <w:spacing w:line="360" w:lineRule="auto"/>
    </w:pPr>
    <w:rPr>
      <w:rFonts w:ascii="宋体" w:hAnsi="宋体" w:cs="宋体"/>
      <w:color w:val="000000"/>
      <w:szCs w:val="20"/>
    </w:rPr>
  </w:style>
  <w:style w:type="paragraph" w:customStyle="1" w:styleId="302">
    <w:name w:val="Char Char Char Char Char Char Char Char Char Char2"/>
    <w:basedOn w:val="1"/>
    <w:qFormat/>
    <w:uiPriority w:val="0"/>
    <w:rPr>
      <w:rFonts w:ascii="仿宋_GB2312" w:eastAsia="仿宋_GB2312"/>
      <w:b/>
      <w:sz w:val="32"/>
      <w:szCs w:val="32"/>
    </w:rPr>
  </w:style>
  <w:style w:type="paragraph" w:customStyle="1" w:styleId="30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30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05">
    <w:name w:val="Char Char11 Char Char Char Char Char Char Char Char Char11"/>
    <w:basedOn w:val="1"/>
    <w:qFormat/>
    <w:uiPriority w:val="0"/>
    <w:pPr>
      <w:spacing w:line="360" w:lineRule="auto"/>
    </w:pPr>
    <w:rPr>
      <w:szCs w:val="20"/>
    </w:rPr>
  </w:style>
  <w:style w:type="paragraph" w:customStyle="1" w:styleId="30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30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308">
    <w:name w:val="MM Topic 1"/>
    <w:basedOn w:val="2"/>
    <w:qFormat/>
    <w:uiPriority w:val="0"/>
    <w:pPr>
      <w:tabs>
        <w:tab w:val="left" w:pos="840"/>
        <w:tab w:val="clear" w:pos="432"/>
      </w:tabs>
      <w:adjustRightInd/>
      <w:ind w:left="840" w:hanging="420"/>
    </w:pPr>
  </w:style>
  <w:style w:type="paragraph" w:customStyle="1" w:styleId="309">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310">
    <w:name w:val="文本正文 Char"/>
    <w:basedOn w:val="1"/>
    <w:qFormat/>
    <w:uiPriority w:val="0"/>
    <w:pPr>
      <w:spacing w:line="360" w:lineRule="auto"/>
      <w:ind w:firstLine="200" w:firstLineChars="200"/>
    </w:pPr>
    <w:rPr>
      <w:kern w:val="0"/>
      <w:sz w:val="24"/>
      <w:szCs w:val="20"/>
    </w:rPr>
  </w:style>
  <w:style w:type="paragraph" w:customStyle="1" w:styleId="311">
    <w:name w:val="表格"/>
    <w:basedOn w:val="1"/>
    <w:qFormat/>
    <w:uiPriority w:val="0"/>
    <w:pPr>
      <w:snapToGrid w:val="0"/>
      <w:ind w:firstLine="42" w:firstLineChars="21"/>
    </w:pPr>
    <w:rPr>
      <w:rFonts w:ascii="宋体" w:hAnsi="宋体"/>
      <w:kern w:val="0"/>
      <w:sz w:val="20"/>
      <w:szCs w:val="20"/>
    </w:rPr>
  </w:style>
  <w:style w:type="paragraph" w:customStyle="1" w:styleId="312">
    <w:name w:val="标书标题4"/>
    <w:basedOn w:val="6"/>
    <w:qFormat/>
    <w:uiPriority w:val="0"/>
    <w:pPr>
      <w:snapToGrid w:val="0"/>
      <w:spacing w:before="0" w:after="0" w:line="300" w:lineRule="auto"/>
    </w:pPr>
    <w:rPr>
      <w:rFonts w:ascii="Arial Narrow" w:hAnsi="Arial Narrow" w:eastAsia="仿宋_GB2312"/>
      <w:bCs w:val="0"/>
      <w:color w:val="000000"/>
      <w:kern w:val="0"/>
      <w:szCs w:val="32"/>
      <w:lang w:val="en-US"/>
    </w:rPr>
  </w:style>
  <w:style w:type="paragraph" w:customStyle="1" w:styleId="313">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31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315">
    <w:name w:val="表格项目符号 2"/>
    <w:basedOn w:val="28"/>
    <w:qFormat/>
    <w:uiPriority w:val="0"/>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316">
    <w:name w:val="EB_表格"/>
    <w:basedOn w:val="1"/>
    <w:qFormat/>
    <w:uiPriority w:val="0"/>
    <w:pPr>
      <w:adjustRightInd/>
      <w:spacing w:line="300" w:lineRule="auto"/>
      <w:jc w:val="center"/>
    </w:pPr>
  </w:style>
  <w:style w:type="paragraph" w:customStyle="1" w:styleId="317">
    <w:name w:val="_Style 6"/>
    <w:basedOn w:val="1"/>
    <w:qFormat/>
    <w:uiPriority w:val="34"/>
    <w:pPr>
      <w:adjustRightInd/>
      <w:ind w:firstLine="420" w:firstLineChars="200"/>
    </w:pPr>
    <w:rPr>
      <w:rFonts w:eastAsia="仿宋_GB2312"/>
      <w:sz w:val="28"/>
    </w:rPr>
  </w:style>
  <w:style w:type="paragraph" w:customStyle="1" w:styleId="31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1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320">
    <w:name w:val="!大节"/>
    <w:basedOn w:val="3"/>
    <w:qFormat/>
    <w:uiPriority w:val="0"/>
    <w:pPr>
      <w:spacing w:before="260" w:after="260" w:line="415" w:lineRule="auto"/>
      <w:ind w:left="420" w:hanging="420"/>
    </w:pPr>
    <w:rPr>
      <w:rFonts w:ascii="Arial" w:hAnsi="Arial" w:eastAsia="微软雅黑"/>
      <w:lang w:val="en-US"/>
    </w:rPr>
  </w:style>
  <w:style w:type="paragraph" w:customStyle="1" w:styleId="321">
    <w:name w:val="正文文本 22"/>
    <w:basedOn w:val="1"/>
    <w:qFormat/>
    <w:uiPriority w:val="0"/>
    <w:pPr>
      <w:widowControl/>
      <w:overflowPunct w:val="0"/>
      <w:autoSpaceDE w:val="0"/>
      <w:autoSpaceDN w:val="0"/>
      <w:ind w:left="720" w:hanging="720"/>
      <w:textAlignment w:val="baseline"/>
    </w:pPr>
    <w:rPr>
      <w:kern w:val="0"/>
      <w:sz w:val="24"/>
      <w:szCs w:val="20"/>
    </w:rPr>
  </w:style>
  <w:style w:type="paragraph" w:customStyle="1" w:styleId="322">
    <w:name w:val="正文表标题"/>
    <w:next w:val="32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2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4">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325">
    <w:name w:val="trademark"/>
    <w:qFormat/>
    <w:uiPriority w:val="0"/>
    <w:pPr>
      <w:spacing w:after="60"/>
    </w:pPr>
    <w:rPr>
      <w:rFonts w:ascii="Futura Bk" w:hAnsi="Futura Bk" w:eastAsia="宋体" w:cs="Times New Roman"/>
      <w:sz w:val="15"/>
      <w:lang w:val="en-US" w:eastAsia="en-US" w:bidi="ar-SA"/>
    </w:rPr>
  </w:style>
  <w:style w:type="paragraph" w:customStyle="1" w:styleId="32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eastAsia="en-US"/>
    </w:rPr>
  </w:style>
  <w:style w:type="paragraph" w:customStyle="1" w:styleId="327">
    <w:name w:val="Char Char1 Char Char Char Char Char Char1"/>
    <w:basedOn w:val="1"/>
    <w:qFormat/>
    <w:uiPriority w:val="0"/>
    <w:rPr>
      <w:rFonts w:ascii="仿宋_GB2312" w:eastAsia="仿宋_GB2312"/>
      <w:b/>
      <w:sz w:val="32"/>
      <w:szCs w:val="20"/>
    </w:rPr>
  </w:style>
  <w:style w:type="paragraph" w:customStyle="1" w:styleId="32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329">
    <w:name w:val="Char1 Char Char Char1"/>
    <w:basedOn w:val="1"/>
    <w:qFormat/>
    <w:uiPriority w:val="0"/>
    <w:pPr>
      <w:adjustRightInd/>
      <w:ind w:firstLine="200" w:firstLineChars="200"/>
    </w:pPr>
    <w:rPr>
      <w:rFonts w:ascii="Tahoma" w:hAnsi="Tahoma"/>
      <w:sz w:val="24"/>
      <w:szCs w:val="20"/>
    </w:rPr>
  </w:style>
  <w:style w:type="paragraph" w:customStyle="1" w:styleId="330">
    <w:name w:val="a1"/>
    <w:basedOn w:val="1"/>
    <w:qFormat/>
    <w:uiPriority w:val="0"/>
    <w:pPr>
      <w:widowControl/>
      <w:spacing w:line="300" w:lineRule="atLeast"/>
      <w:jc w:val="left"/>
    </w:pPr>
    <w:rPr>
      <w:rFonts w:ascii="宋体" w:hAnsi="宋体"/>
      <w:kern w:val="0"/>
      <w:sz w:val="18"/>
      <w:szCs w:val="20"/>
    </w:rPr>
  </w:style>
  <w:style w:type="paragraph" w:customStyle="1" w:styleId="331">
    <w:name w:val="样式7"/>
    <w:basedOn w:val="332"/>
    <w:next w:val="1"/>
    <w:qFormat/>
    <w:uiPriority w:val="0"/>
    <w:pPr>
      <w:spacing w:after="156" w:afterLines="50"/>
      <w:jc w:val="left"/>
      <w:outlineLvl w:val="3"/>
    </w:pPr>
    <w:rPr>
      <w:sz w:val="24"/>
      <w:szCs w:val="24"/>
    </w:rPr>
  </w:style>
  <w:style w:type="paragraph" w:customStyle="1" w:styleId="33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3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3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335">
    <w:name w:val="样式 样式2 + 左侧:  1 字符 右侧:  1 字符"/>
    <w:basedOn w:val="144"/>
    <w:qFormat/>
    <w:uiPriority w:val="0"/>
    <w:pPr>
      <w:tabs>
        <w:tab w:val="clear" w:pos="2790"/>
        <w:tab w:val="clear" w:pos="4230"/>
      </w:tabs>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36">
    <w:name w:val="Char2 Char Char2"/>
    <w:basedOn w:val="1"/>
    <w:qFormat/>
    <w:uiPriority w:val="0"/>
    <w:pPr>
      <w:adjustRightInd/>
    </w:pPr>
    <w:rPr>
      <w:rFonts w:ascii="Tahoma" w:hAnsi="Tahoma"/>
      <w:sz w:val="24"/>
      <w:szCs w:val="20"/>
    </w:rPr>
  </w:style>
  <w:style w:type="paragraph" w:customStyle="1" w:styleId="33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38">
    <w:name w:val="三级条标题"/>
    <w:basedOn w:val="339"/>
    <w:next w:val="323"/>
    <w:qFormat/>
    <w:uiPriority w:val="0"/>
    <w:pPr>
      <w:tabs>
        <w:tab w:val="left" w:pos="1260"/>
        <w:tab w:val="left" w:pos="1680"/>
        <w:tab w:val="left" w:pos="2100"/>
        <w:tab w:val="left" w:pos="2520"/>
      </w:tabs>
      <w:ind w:left="2520"/>
      <w:outlineLvl w:val="4"/>
    </w:pPr>
  </w:style>
  <w:style w:type="paragraph" w:customStyle="1" w:styleId="339">
    <w:name w:val="二级条标题"/>
    <w:basedOn w:val="340"/>
    <w:next w:val="323"/>
    <w:qFormat/>
    <w:uiPriority w:val="0"/>
    <w:pPr>
      <w:tabs>
        <w:tab w:val="left" w:pos="1260"/>
        <w:tab w:val="left" w:pos="1680"/>
        <w:tab w:val="left" w:pos="2100"/>
      </w:tabs>
      <w:ind w:left="0"/>
      <w:outlineLvl w:val="3"/>
    </w:pPr>
  </w:style>
  <w:style w:type="paragraph" w:customStyle="1" w:styleId="340">
    <w:name w:val="一级条标题"/>
    <w:basedOn w:val="341"/>
    <w:next w:val="323"/>
    <w:qFormat/>
    <w:uiPriority w:val="0"/>
    <w:pPr>
      <w:tabs>
        <w:tab w:val="left" w:pos="1260"/>
        <w:tab w:val="left" w:pos="1680"/>
      </w:tabs>
      <w:spacing w:before="0" w:beforeLines="0" w:after="0" w:afterLines="0"/>
      <w:ind w:left="1680"/>
      <w:outlineLvl w:val="2"/>
    </w:pPr>
  </w:style>
  <w:style w:type="paragraph" w:customStyle="1" w:styleId="341">
    <w:name w:val="章标题"/>
    <w:next w:val="323"/>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342">
    <w:name w:val="数字标题2"/>
    <w:basedOn w:val="3"/>
    <w:next w:val="1"/>
    <w:qFormat/>
    <w:uiPriority w:val="0"/>
    <w:pPr>
      <w:tabs>
        <w:tab w:val="left" w:pos="480"/>
        <w:tab w:val="clear" w:pos="432"/>
      </w:tabs>
      <w:ind w:left="480" w:hanging="480"/>
    </w:pPr>
    <w:rPr>
      <w:rFonts w:ascii="Times New Roman" w:eastAsia="宋体"/>
      <w:i/>
      <w:sz w:val="36"/>
      <w:szCs w:val="36"/>
      <w:lang w:val="en-US"/>
    </w:rPr>
  </w:style>
  <w:style w:type="paragraph" w:customStyle="1" w:styleId="34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44">
    <w:name w:val="样式 标题 1Level 1 HeadPIM 1Section Headh1l11Heading 0Datash..."/>
    <w:basedOn w:val="2"/>
    <w:qFormat/>
    <w:uiPriority w:val="0"/>
    <w:pPr>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34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46">
    <w:name w:val="样式 标题 1章节第一层h1H"/>
    <w:basedOn w:val="2"/>
    <w:qFormat/>
    <w:uiPriority w:val="0"/>
    <w:pPr>
      <w:autoSpaceDE w:val="0"/>
      <w:autoSpaceDN w:val="0"/>
      <w:spacing w:before="0" w:after="0" w:line="240" w:lineRule="auto"/>
      <w:ind w:left="0" w:firstLine="0"/>
      <w:jc w:val="left"/>
      <w:outlineLvl w:val="9"/>
    </w:pPr>
    <w:rPr>
      <w:kern w:val="0"/>
      <w:sz w:val="52"/>
      <w:szCs w:val="52"/>
      <w:lang w:val="zh-CN"/>
    </w:rPr>
  </w:style>
  <w:style w:type="paragraph" w:customStyle="1" w:styleId="34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48">
    <w:name w:val="正文 项目2"/>
    <w:basedOn w:val="349"/>
    <w:qFormat/>
    <w:uiPriority w:val="0"/>
    <w:pPr>
      <w:tabs>
        <w:tab w:val="left" w:pos="840"/>
      </w:tabs>
      <w:spacing w:after="0"/>
      <w:ind w:left="900"/>
    </w:pPr>
  </w:style>
  <w:style w:type="paragraph" w:customStyle="1" w:styleId="34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50">
    <w:name w:val="Body Text 2*"/>
    <w:basedOn w:val="1"/>
    <w:qFormat/>
    <w:uiPriority w:val="6"/>
    <w:pPr>
      <w:widowControl/>
      <w:adjustRightInd/>
      <w:ind w:left="720" w:hanging="720"/>
    </w:pPr>
    <w:rPr>
      <w:color w:val="000000"/>
      <w:kern w:val="0"/>
      <w:sz w:val="24"/>
      <w:szCs w:val="20"/>
    </w:rPr>
  </w:style>
  <w:style w:type="paragraph" w:customStyle="1" w:styleId="351">
    <w:name w:val="表1"/>
    <w:basedOn w:val="1"/>
    <w:qFormat/>
    <w:uiPriority w:val="0"/>
    <w:pPr>
      <w:tabs>
        <w:tab w:val="left" w:pos="703"/>
      </w:tabs>
      <w:adjustRightInd/>
      <w:spacing w:line="360" w:lineRule="auto"/>
      <w:ind w:left="703"/>
      <w:jc w:val="center"/>
    </w:pPr>
  </w:style>
  <w:style w:type="paragraph" w:customStyle="1" w:styleId="35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35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354">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355">
    <w:name w:val="2级标题"/>
    <w:basedOn w:val="356"/>
    <w:qFormat/>
    <w:uiPriority w:val="0"/>
    <w:pPr>
      <w:jc w:val="left"/>
      <w:outlineLvl w:val="1"/>
    </w:pPr>
    <w:rPr>
      <w:rFonts w:ascii="Times New Roman" w:hAnsi="Times New Roman" w:eastAsia="仿宋"/>
      <w:sz w:val="30"/>
    </w:rPr>
  </w:style>
  <w:style w:type="paragraph" w:customStyle="1" w:styleId="356">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35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35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5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6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61">
    <w:name w:val="bullet"/>
    <w:basedOn w:val="1"/>
    <w:qFormat/>
    <w:uiPriority w:val="0"/>
    <w:pPr>
      <w:tabs>
        <w:tab w:val="left" w:pos="840"/>
      </w:tabs>
      <w:adjustRightInd/>
      <w:ind w:left="840" w:hanging="420"/>
    </w:pPr>
  </w:style>
  <w:style w:type="paragraph" w:customStyle="1" w:styleId="36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6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36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36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36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6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36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369">
    <w:name w:val="MM Topic 4"/>
    <w:basedOn w:val="6"/>
    <w:qFormat/>
    <w:uiPriority w:val="0"/>
    <w:pPr>
      <w:tabs>
        <w:tab w:val="left" w:pos="2100"/>
        <w:tab w:val="clear" w:pos="864"/>
      </w:tabs>
      <w:adjustRightInd/>
      <w:ind w:left="2100" w:hanging="420"/>
    </w:pPr>
    <w:rPr>
      <w:lang w:val="en-US"/>
    </w:rPr>
  </w:style>
  <w:style w:type="paragraph" w:customStyle="1" w:styleId="370">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37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val="none" w:color="000000"/>
      <w:lang w:val="en-US" w:eastAsia="zh-CN" w:bidi="ar-SA"/>
    </w:rPr>
  </w:style>
  <w:style w:type="paragraph" w:customStyle="1" w:styleId="372">
    <w:name w:val="Char Char11 Char Char Char Char Char Char Char Char Char1"/>
    <w:basedOn w:val="1"/>
    <w:qFormat/>
    <w:uiPriority w:val="6"/>
    <w:pPr>
      <w:spacing w:line="360" w:lineRule="auto"/>
    </w:pPr>
    <w:rPr>
      <w:szCs w:val="20"/>
    </w:rPr>
  </w:style>
  <w:style w:type="paragraph" w:customStyle="1" w:styleId="37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37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375">
    <w:name w:val="body text bold"/>
    <w:basedOn w:val="23"/>
    <w:qFormat/>
    <w:uiPriority w:val="0"/>
    <w:pPr>
      <w:widowControl/>
      <w:adjustRightInd/>
      <w:spacing w:line="240" w:lineRule="auto"/>
      <w:ind w:firstLine="200" w:firstLineChars="200"/>
      <w:jc w:val="left"/>
    </w:pPr>
    <w:rPr>
      <w:rFonts w:ascii="Futura Hv" w:hAnsi="Futura Hv"/>
      <w:kern w:val="0"/>
      <w:sz w:val="18"/>
      <w:szCs w:val="20"/>
      <w:lang w:val="en-US" w:eastAsia="en-US"/>
    </w:rPr>
  </w:style>
  <w:style w:type="paragraph" w:customStyle="1" w:styleId="37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7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37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37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8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8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82">
    <w:name w:val="单元格居中"/>
    <w:basedOn w:val="1"/>
    <w:qFormat/>
    <w:uiPriority w:val="0"/>
    <w:pPr>
      <w:adjustRightInd/>
      <w:spacing w:line="360" w:lineRule="auto"/>
      <w:jc w:val="center"/>
    </w:pPr>
    <w:rPr>
      <w:sz w:val="24"/>
    </w:rPr>
  </w:style>
  <w:style w:type="paragraph" w:customStyle="1" w:styleId="383">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384">
    <w:name w:val="Char Char Char Char Char Char Char1"/>
    <w:basedOn w:val="1"/>
    <w:qFormat/>
    <w:uiPriority w:val="6"/>
    <w:rPr>
      <w:rFonts w:ascii="仿宋_GB2312" w:eastAsia="仿宋_GB2312"/>
      <w:b/>
      <w:sz w:val="32"/>
      <w:szCs w:val="32"/>
    </w:rPr>
  </w:style>
  <w:style w:type="paragraph" w:customStyle="1" w:styleId="385">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8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387">
    <w:name w:val="Char3 Char Char Char11"/>
    <w:basedOn w:val="1"/>
    <w:qFormat/>
    <w:uiPriority w:val="0"/>
    <w:pPr>
      <w:widowControl/>
      <w:adjustRightInd/>
      <w:spacing w:after="160" w:line="240" w:lineRule="exact"/>
      <w:jc w:val="left"/>
    </w:pPr>
    <w:rPr>
      <w:szCs w:val="20"/>
    </w:rPr>
  </w:style>
  <w:style w:type="paragraph" w:customStyle="1" w:styleId="388">
    <w:name w:val="Char Char1121"/>
    <w:basedOn w:val="1"/>
    <w:qFormat/>
    <w:uiPriority w:val="0"/>
    <w:pPr>
      <w:spacing w:line="360" w:lineRule="auto"/>
    </w:pPr>
    <w:rPr>
      <w:szCs w:val="20"/>
    </w:rPr>
  </w:style>
  <w:style w:type="paragraph" w:customStyle="1" w:styleId="38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9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val="none" w:color="000000"/>
      <w:lang w:val="en-US" w:eastAsia="zh-CN" w:bidi="ar-SA"/>
    </w:rPr>
  </w:style>
  <w:style w:type="paragraph" w:customStyle="1" w:styleId="391">
    <w:name w:val="Normal0"/>
    <w:qFormat/>
    <w:uiPriority w:val="0"/>
    <w:rPr>
      <w:rFonts w:ascii="Times New Roman" w:hAnsi="Times New Roman" w:eastAsia="宋体" w:cs="Times New Roman"/>
      <w:lang w:val="en-US" w:eastAsia="en-US" w:bidi="ar-SA"/>
    </w:rPr>
  </w:style>
  <w:style w:type="paragraph" w:customStyle="1" w:styleId="392">
    <w:name w:val="带编号样式"/>
    <w:basedOn w:val="310"/>
    <w:qFormat/>
    <w:uiPriority w:val="0"/>
    <w:pPr>
      <w:tabs>
        <w:tab w:val="left" w:pos="840"/>
      </w:tabs>
      <w:snapToGrid w:val="0"/>
      <w:ind w:left="840" w:hanging="420" w:firstLineChars="0"/>
    </w:pPr>
    <w:rPr>
      <w:rFonts w:ascii="仿宋_GB2312" w:eastAsia="仿宋_GB2312"/>
      <w:color w:val="000000"/>
    </w:rPr>
  </w:style>
  <w:style w:type="paragraph" w:customStyle="1" w:styleId="393">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39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395">
    <w:name w:val="封面"/>
    <w:basedOn w:val="1"/>
    <w:qFormat/>
    <w:uiPriority w:val="0"/>
    <w:pPr>
      <w:spacing w:line="360" w:lineRule="atLeast"/>
      <w:jc w:val="right"/>
      <w:textAlignment w:val="baseline"/>
    </w:pPr>
    <w:rPr>
      <w:rFonts w:ascii="Symbol" w:hAnsi="Symbol"/>
      <w:kern w:val="0"/>
      <w:szCs w:val="20"/>
    </w:rPr>
  </w:style>
  <w:style w:type="paragraph" w:customStyle="1" w:styleId="39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39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398">
    <w:name w:val="默认段落字体 Para Char Char Char1 Char"/>
    <w:basedOn w:val="1"/>
    <w:qFormat/>
    <w:uiPriority w:val="0"/>
    <w:pPr>
      <w:spacing w:line="240" w:lineRule="atLeast"/>
      <w:ind w:left="420" w:firstLine="420"/>
    </w:pPr>
    <w:rPr>
      <w:sz w:val="24"/>
    </w:rPr>
  </w:style>
  <w:style w:type="paragraph" w:customStyle="1" w:styleId="399">
    <w:name w:val="WW-正文文字缩进 2"/>
    <w:basedOn w:val="1"/>
    <w:qFormat/>
    <w:uiPriority w:val="0"/>
    <w:pPr>
      <w:suppressAutoHyphens/>
      <w:adjustRightInd/>
      <w:ind w:firstLine="420"/>
    </w:pPr>
    <w:rPr>
      <w:kern w:val="1"/>
      <w:szCs w:val="20"/>
    </w:rPr>
  </w:style>
  <w:style w:type="paragraph" w:customStyle="1" w:styleId="40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01">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402">
    <w:name w:val="有符号正文"/>
    <w:basedOn w:val="1"/>
    <w:qFormat/>
    <w:uiPriority w:val="0"/>
    <w:pPr>
      <w:adjustRightInd/>
      <w:spacing w:line="400" w:lineRule="exact"/>
      <w:ind w:firstLine="200" w:firstLineChars="200"/>
    </w:pPr>
    <w:rPr>
      <w:rFonts w:ascii="Arial" w:hAnsi="Arial"/>
    </w:rPr>
  </w:style>
  <w:style w:type="paragraph" w:customStyle="1" w:styleId="40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40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405">
    <w:name w:val="4"/>
    <w:basedOn w:val="1"/>
    <w:next w:val="36"/>
    <w:qFormat/>
    <w:uiPriority w:val="0"/>
    <w:pPr>
      <w:spacing w:after="120" w:line="480" w:lineRule="auto"/>
      <w:ind w:left="420" w:leftChars="200"/>
    </w:pPr>
    <w:rPr>
      <w:sz w:val="24"/>
      <w:szCs w:val="20"/>
    </w:rPr>
  </w:style>
  <w:style w:type="paragraph" w:customStyle="1" w:styleId="40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0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08">
    <w:name w:val="样式 标题 3H3 + 两端对齐"/>
    <w:basedOn w:val="4"/>
    <w:qFormat/>
    <w:uiPriority w:val="0"/>
    <w:pPr>
      <w:spacing w:before="0" w:after="0" w:line="240" w:lineRule="auto"/>
      <w:jc w:val="left"/>
    </w:pPr>
    <w:rPr>
      <w:rFonts w:cs="宋体"/>
      <w:sz w:val="21"/>
      <w:szCs w:val="20"/>
    </w:rPr>
  </w:style>
  <w:style w:type="paragraph" w:customStyle="1" w:styleId="40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410">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11">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2">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413">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414">
    <w:name w:val="Char Char1 Char Char Char"/>
    <w:basedOn w:val="1"/>
    <w:qFormat/>
    <w:uiPriority w:val="0"/>
    <w:rPr>
      <w:rFonts w:ascii="仿宋_GB2312" w:eastAsia="仿宋_GB2312"/>
      <w:b/>
      <w:sz w:val="32"/>
      <w:szCs w:val="20"/>
    </w:rPr>
  </w:style>
  <w:style w:type="paragraph" w:customStyle="1" w:styleId="415">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41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17">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418">
    <w:name w:val="Char Char1 Char Char Char2"/>
    <w:basedOn w:val="1"/>
    <w:qFormat/>
    <w:uiPriority w:val="0"/>
    <w:rPr>
      <w:rFonts w:ascii="仿宋_GB2312" w:eastAsia="仿宋_GB2312"/>
      <w:b/>
      <w:sz w:val="32"/>
      <w:szCs w:val="32"/>
    </w:rPr>
  </w:style>
  <w:style w:type="paragraph" w:customStyle="1" w:styleId="419">
    <w:name w:val="Char3 Char Char Char1"/>
    <w:basedOn w:val="1"/>
    <w:qFormat/>
    <w:uiPriority w:val="6"/>
    <w:pPr>
      <w:widowControl/>
      <w:adjustRightInd/>
      <w:spacing w:after="160" w:line="240" w:lineRule="exact"/>
      <w:jc w:val="left"/>
    </w:pPr>
    <w:rPr>
      <w:szCs w:val="20"/>
    </w:rPr>
  </w:style>
  <w:style w:type="paragraph" w:customStyle="1" w:styleId="420">
    <w:name w:val="Char1 Char Char Char21"/>
    <w:basedOn w:val="1"/>
    <w:qFormat/>
    <w:uiPriority w:val="0"/>
    <w:rPr>
      <w:rFonts w:ascii="Tahoma" w:hAnsi="Tahoma"/>
      <w:sz w:val="24"/>
      <w:szCs w:val="20"/>
    </w:rPr>
  </w:style>
  <w:style w:type="paragraph" w:customStyle="1" w:styleId="421">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22">
    <w:name w:val="正文（标题三）"/>
    <w:basedOn w:val="1"/>
    <w:qFormat/>
    <w:uiPriority w:val="0"/>
    <w:pPr>
      <w:spacing w:line="360" w:lineRule="auto"/>
      <w:ind w:firstLine="200" w:firstLineChars="200"/>
    </w:pPr>
    <w:rPr>
      <w:sz w:val="24"/>
    </w:rPr>
  </w:style>
  <w:style w:type="paragraph" w:customStyle="1" w:styleId="42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424">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25">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42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427">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428">
    <w:name w:val="Char1 Char Char Char4"/>
    <w:basedOn w:val="1"/>
    <w:qFormat/>
    <w:uiPriority w:val="0"/>
    <w:pPr>
      <w:adjustRightInd/>
      <w:ind w:firstLine="200" w:firstLineChars="200"/>
    </w:pPr>
    <w:rPr>
      <w:rFonts w:ascii="Tahoma" w:hAnsi="Tahoma"/>
      <w:sz w:val="24"/>
      <w:szCs w:val="20"/>
    </w:rPr>
  </w:style>
  <w:style w:type="paragraph" w:customStyle="1" w:styleId="429">
    <w:name w:val="_标题2"/>
    <w:basedOn w:val="396"/>
    <w:next w:val="396"/>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430">
    <w:name w:val="样式1 + (中宋体"/>
    <w:basedOn w:val="407"/>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431">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3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433">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434">
    <w:name w:val="四号　首行缩进"/>
    <w:basedOn w:val="1"/>
    <w:qFormat/>
    <w:uiPriority w:val="0"/>
    <w:pPr>
      <w:adjustRightInd/>
      <w:spacing w:line="360" w:lineRule="auto"/>
    </w:pPr>
    <w:rPr>
      <w:rFonts w:ascii="宋体" w:hAnsi="宋体"/>
      <w:szCs w:val="20"/>
    </w:rPr>
  </w:style>
  <w:style w:type="paragraph" w:customStyle="1" w:styleId="43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36">
    <w:name w:val="Char Char Char Char Char Char Char Char Char Char Char1 Char"/>
    <w:basedOn w:val="1"/>
    <w:qFormat/>
    <w:uiPriority w:val="0"/>
    <w:pPr>
      <w:adjustRightInd/>
    </w:pPr>
    <w:rPr>
      <w:rFonts w:ascii="Tahoma" w:hAnsi="Tahoma"/>
      <w:sz w:val="24"/>
    </w:rPr>
  </w:style>
  <w:style w:type="paragraph" w:customStyle="1" w:styleId="437">
    <w:name w:val="Char Char Char Char11"/>
    <w:basedOn w:val="1"/>
    <w:qFormat/>
    <w:uiPriority w:val="0"/>
    <w:rPr>
      <w:rFonts w:ascii="Tahoma" w:hAnsi="Tahoma"/>
      <w:sz w:val="24"/>
      <w:szCs w:val="20"/>
    </w:rPr>
  </w:style>
  <w:style w:type="paragraph" w:customStyle="1" w:styleId="438">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439">
    <w:name w:val="Char Char Char Char"/>
    <w:basedOn w:val="1"/>
    <w:qFormat/>
    <w:uiPriority w:val="0"/>
    <w:rPr>
      <w:rFonts w:ascii="Tahoma" w:hAnsi="Tahoma"/>
      <w:sz w:val="24"/>
      <w:szCs w:val="20"/>
    </w:rPr>
  </w:style>
  <w:style w:type="paragraph" w:customStyle="1" w:styleId="440">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41">
    <w:name w:val="Char19"/>
    <w:basedOn w:val="1"/>
    <w:qFormat/>
    <w:uiPriority w:val="0"/>
    <w:pPr>
      <w:adjustRightInd/>
    </w:pPr>
    <w:rPr>
      <w:szCs w:val="20"/>
    </w:rPr>
  </w:style>
  <w:style w:type="paragraph" w:customStyle="1" w:styleId="44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43">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444">
    <w:name w:val="_Style 5"/>
    <w:basedOn w:val="1"/>
    <w:qFormat/>
    <w:uiPriority w:val="34"/>
    <w:pPr>
      <w:adjustRightInd/>
      <w:ind w:firstLine="420" w:firstLineChars="200"/>
    </w:pPr>
    <w:rPr>
      <w:rFonts w:eastAsia="仿宋_GB2312"/>
      <w:sz w:val="28"/>
    </w:rPr>
  </w:style>
  <w:style w:type="paragraph" w:customStyle="1" w:styleId="445">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46">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44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448">
    <w:name w:val="标书表格字体格式"/>
    <w:next w:val="442"/>
    <w:qFormat/>
    <w:uiPriority w:val="0"/>
    <w:rPr>
      <w:rFonts w:ascii="Times New Roman" w:hAnsi="Times New Roman" w:eastAsia="宋体" w:cs="Times New Roman"/>
      <w:kern w:val="2"/>
      <w:sz w:val="21"/>
      <w:szCs w:val="24"/>
      <w:lang w:val="en-US" w:eastAsia="zh-CN" w:bidi="ar-SA"/>
    </w:rPr>
  </w:style>
  <w:style w:type="paragraph" w:customStyle="1" w:styleId="44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450">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51">
    <w:name w:val="修订3"/>
    <w:qFormat/>
    <w:uiPriority w:val="0"/>
    <w:rPr>
      <w:rFonts w:ascii="Times New Roman" w:hAnsi="Times New Roman" w:eastAsia="宋体" w:cs="Times New Roman"/>
      <w:kern w:val="2"/>
      <w:sz w:val="21"/>
      <w:lang w:val="en-US" w:eastAsia="zh-CN" w:bidi="ar-SA"/>
    </w:rPr>
  </w:style>
  <w:style w:type="paragraph" w:customStyle="1" w:styleId="452">
    <w:name w:val="CSS1级正文 Char"/>
    <w:basedOn w:val="23"/>
    <w:qFormat/>
    <w:uiPriority w:val="0"/>
    <w:pPr>
      <w:snapToGrid w:val="0"/>
      <w:ind w:firstLine="480" w:firstLineChars="200"/>
    </w:pPr>
    <w:rPr>
      <w:rFonts w:ascii="Times New Roman"/>
      <w:szCs w:val="24"/>
      <w:lang w:val="en-US"/>
    </w:rPr>
  </w:style>
  <w:style w:type="paragraph" w:customStyle="1" w:styleId="453">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4">
    <w:name w:val="表文字"/>
    <w:qFormat/>
    <w:uiPriority w:val="0"/>
    <w:rPr>
      <w:rFonts w:ascii="宋体" w:hAnsi="Times New Roman" w:eastAsia="宋体" w:cs="Times New Roman"/>
      <w:kern w:val="2"/>
      <w:lang w:val="en-US" w:eastAsia="zh-CN" w:bidi="ar-SA"/>
    </w:rPr>
  </w:style>
  <w:style w:type="paragraph" w:customStyle="1" w:styleId="455">
    <w:name w:val="MM Title"/>
    <w:basedOn w:val="58"/>
    <w:qFormat/>
    <w:uiPriority w:val="0"/>
    <w:pPr>
      <w:widowControl w:val="0"/>
      <w:adjustRightInd/>
      <w:spacing w:before="240" w:after="60"/>
      <w:textAlignment w:val="auto"/>
      <w:outlineLvl w:val="0"/>
    </w:pPr>
    <w:rPr>
      <w:rFonts w:ascii="Arial" w:hAnsi="Arial" w:cs="Arial"/>
      <w:bCs/>
      <w:kern w:val="2"/>
      <w:sz w:val="32"/>
      <w:szCs w:val="32"/>
      <w:lang w:val="en-US"/>
    </w:rPr>
  </w:style>
  <w:style w:type="paragraph" w:customStyle="1" w:styleId="456">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5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58">
    <w:name w:val="Char Char Char Char Char Char Char Char2"/>
    <w:basedOn w:val="1"/>
    <w:qFormat/>
    <w:uiPriority w:val="0"/>
    <w:pPr>
      <w:tabs>
        <w:tab w:val="left" w:pos="360"/>
      </w:tabs>
    </w:pPr>
    <w:rPr>
      <w:sz w:val="24"/>
      <w:szCs w:val="20"/>
    </w:rPr>
  </w:style>
  <w:style w:type="paragraph" w:customStyle="1" w:styleId="459">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460">
    <w:name w:val="正文文本 21"/>
    <w:basedOn w:val="1"/>
    <w:qFormat/>
    <w:uiPriority w:val="0"/>
    <w:pPr>
      <w:widowControl/>
      <w:overflowPunct w:val="0"/>
      <w:autoSpaceDE w:val="0"/>
      <w:autoSpaceDN w:val="0"/>
      <w:ind w:left="720" w:hanging="720"/>
      <w:textAlignment w:val="baseline"/>
    </w:pPr>
    <w:rPr>
      <w:kern w:val="0"/>
      <w:sz w:val="24"/>
      <w:szCs w:val="20"/>
    </w:rPr>
  </w:style>
  <w:style w:type="paragraph" w:customStyle="1" w:styleId="461">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462">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46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64">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465">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466">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467">
    <w:name w:val="p0"/>
    <w:basedOn w:val="1"/>
    <w:qFormat/>
    <w:uiPriority w:val="0"/>
    <w:pPr>
      <w:widowControl/>
      <w:adjustRightInd/>
    </w:pPr>
    <w:rPr>
      <w:kern w:val="0"/>
      <w:szCs w:val="21"/>
    </w:rPr>
  </w:style>
  <w:style w:type="paragraph" w:customStyle="1" w:styleId="468">
    <w:name w:val="Char6"/>
    <w:basedOn w:val="1"/>
    <w:qFormat/>
    <w:uiPriority w:val="0"/>
    <w:rPr>
      <w:rFonts w:ascii="仿宋_GB2312" w:eastAsia="仿宋_GB2312"/>
      <w:b/>
      <w:sz w:val="32"/>
      <w:szCs w:val="32"/>
    </w:rPr>
  </w:style>
  <w:style w:type="paragraph" w:customStyle="1" w:styleId="469">
    <w:name w:val="Char111"/>
    <w:basedOn w:val="1"/>
    <w:qFormat/>
    <w:uiPriority w:val="0"/>
    <w:rPr>
      <w:rFonts w:ascii="仿宋_GB2312" w:eastAsia="仿宋_GB2312"/>
      <w:b/>
      <w:sz w:val="32"/>
      <w:szCs w:val="32"/>
    </w:rPr>
  </w:style>
  <w:style w:type="paragraph" w:customStyle="1" w:styleId="470">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471">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472">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473">
    <w:name w:val="Char1 Char Char Char2"/>
    <w:basedOn w:val="1"/>
    <w:qFormat/>
    <w:uiPriority w:val="0"/>
    <w:pPr>
      <w:adjustRightInd/>
      <w:ind w:firstLine="200" w:firstLineChars="200"/>
    </w:pPr>
    <w:rPr>
      <w:rFonts w:ascii="Tahoma" w:hAnsi="Tahoma"/>
      <w:sz w:val="24"/>
      <w:szCs w:val="20"/>
    </w:rPr>
  </w:style>
  <w:style w:type="paragraph" w:customStyle="1" w:styleId="474">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475">
    <w:name w:val="样式 标题 1 + 黑色 段前: 0.5 行 段后: 0.5 行1"/>
    <w:basedOn w:val="2"/>
    <w:qFormat/>
    <w:uiPriority w:val="0"/>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476">
    <w:name w:val="Char Char Char Char Char Char Char2"/>
    <w:basedOn w:val="1"/>
    <w:qFormat/>
    <w:uiPriority w:val="0"/>
    <w:rPr>
      <w:rFonts w:ascii="仿宋_GB2312" w:eastAsia="仿宋_GB2312"/>
      <w:b/>
      <w:sz w:val="32"/>
      <w:szCs w:val="32"/>
    </w:rPr>
  </w:style>
  <w:style w:type="paragraph" w:customStyle="1" w:styleId="477">
    <w:name w:val="五级条标题"/>
    <w:basedOn w:val="478"/>
    <w:next w:val="323"/>
    <w:qFormat/>
    <w:uiPriority w:val="0"/>
    <w:pPr>
      <w:tabs>
        <w:tab w:val="left" w:pos="1260"/>
        <w:tab w:val="left" w:pos="1680"/>
        <w:tab w:val="left" w:pos="2100"/>
        <w:tab w:val="left" w:pos="2940"/>
        <w:tab w:val="left" w:pos="3360"/>
      </w:tabs>
      <w:ind w:left="3360"/>
      <w:outlineLvl w:val="6"/>
    </w:pPr>
  </w:style>
  <w:style w:type="paragraph" w:customStyle="1" w:styleId="478">
    <w:name w:val="四级条标题"/>
    <w:basedOn w:val="338"/>
    <w:next w:val="323"/>
    <w:qFormat/>
    <w:uiPriority w:val="0"/>
    <w:pPr>
      <w:tabs>
        <w:tab w:val="left" w:pos="2940"/>
        <w:tab w:val="clear" w:pos="1260"/>
        <w:tab w:val="clear" w:pos="1680"/>
        <w:tab w:val="clear" w:pos="2100"/>
        <w:tab w:val="clear" w:pos="2520"/>
      </w:tabs>
      <w:ind w:left="2940"/>
      <w:outlineLvl w:val="5"/>
    </w:pPr>
  </w:style>
  <w:style w:type="paragraph" w:customStyle="1" w:styleId="479">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480">
    <w:name w:val="Char23"/>
    <w:basedOn w:val="1"/>
    <w:qFormat/>
    <w:uiPriority w:val="0"/>
    <w:rPr>
      <w:rFonts w:ascii="仿宋_GB2312" w:eastAsia="仿宋_GB2312"/>
      <w:b/>
      <w:sz w:val="32"/>
      <w:szCs w:val="32"/>
    </w:rPr>
  </w:style>
  <w:style w:type="paragraph" w:customStyle="1" w:styleId="481">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482">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483">
    <w:name w:val="首行缩进"/>
    <w:basedOn w:val="1"/>
    <w:qFormat/>
    <w:uiPriority w:val="0"/>
    <w:pPr>
      <w:spacing w:line="360" w:lineRule="auto"/>
      <w:ind w:firstLine="480" w:firstLineChars="200"/>
    </w:pPr>
    <w:rPr>
      <w:rFonts w:ascii="宋体"/>
      <w:sz w:val="24"/>
      <w:szCs w:val="20"/>
    </w:rPr>
  </w:style>
  <w:style w:type="paragraph" w:customStyle="1" w:styleId="484">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485">
    <w:name w:val="单元格左对齐"/>
    <w:basedOn w:val="1"/>
    <w:qFormat/>
    <w:uiPriority w:val="0"/>
    <w:pPr>
      <w:adjustRightInd/>
      <w:spacing w:line="360" w:lineRule="auto"/>
    </w:pPr>
    <w:rPr>
      <w:sz w:val="24"/>
    </w:rPr>
  </w:style>
  <w:style w:type="paragraph" w:customStyle="1" w:styleId="486">
    <w:name w:val="正文主体"/>
    <w:basedOn w:val="307"/>
    <w:qFormat/>
    <w:uiPriority w:val="0"/>
  </w:style>
  <w:style w:type="paragraph" w:customStyle="1" w:styleId="487">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88">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489">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490">
    <w:name w:val="正文（首行缩进2字符）"/>
    <w:basedOn w:val="1"/>
    <w:qFormat/>
    <w:uiPriority w:val="0"/>
    <w:pPr>
      <w:adjustRightInd/>
      <w:spacing w:line="360" w:lineRule="auto"/>
      <w:ind w:firstLine="480" w:firstLineChars="200"/>
    </w:pPr>
    <w:rPr>
      <w:sz w:val="24"/>
      <w:szCs w:val="20"/>
    </w:rPr>
  </w:style>
  <w:style w:type="paragraph" w:customStyle="1" w:styleId="491">
    <w:name w:val="P1"/>
    <w:basedOn w:val="1"/>
    <w:qFormat/>
    <w:uiPriority w:val="0"/>
    <w:pPr>
      <w:adjustRightInd/>
      <w:spacing w:line="288" w:lineRule="auto"/>
      <w:ind w:firstLine="425" w:firstLineChars="200"/>
    </w:pPr>
  </w:style>
  <w:style w:type="paragraph" w:customStyle="1" w:styleId="492">
    <w:name w:val="列表内容"/>
    <w:basedOn w:val="1"/>
    <w:next w:val="1"/>
    <w:qFormat/>
    <w:uiPriority w:val="0"/>
    <w:pPr>
      <w:widowControl/>
      <w:tabs>
        <w:tab w:val="left" w:pos="840"/>
      </w:tabs>
      <w:ind w:left="840" w:hanging="420"/>
      <w:jc w:val="left"/>
    </w:pPr>
    <w:rPr>
      <w:kern w:val="0"/>
      <w:sz w:val="18"/>
    </w:rPr>
  </w:style>
  <w:style w:type="paragraph" w:customStyle="1" w:styleId="493">
    <w:name w:val="Char Char11 Char Char Char1"/>
    <w:basedOn w:val="1"/>
    <w:qFormat/>
    <w:uiPriority w:val="6"/>
    <w:pPr>
      <w:spacing w:line="360" w:lineRule="auto"/>
    </w:pPr>
    <w:rPr>
      <w:szCs w:val="20"/>
    </w:rPr>
  </w:style>
  <w:style w:type="paragraph" w:customStyle="1" w:styleId="494">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495">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496">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49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498">
    <w:name w:val="正文文字缩进2字"/>
    <w:basedOn w:val="23"/>
    <w:qFormat/>
    <w:uiPriority w:val="0"/>
    <w:pPr>
      <w:adjustRightInd/>
      <w:spacing w:before="60" w:after="60"/>
      <w:ind w:firstLine="200" w:firstLineChars="200"/>
    </w:pPr>
    <w:rPr>
      <w:rFonts w:ascii="Times New Roman"/>
      <w:szCs w:val="20"/>
      <w:lang w:val="en-US"/>
    </w:rPr>
  </w:style>
  <w:style w:type="paragraph" w:customStyle="1" w:styleId="499">
    <w:name w:val="默认段落字体 Para Char Char Char Char"/>
    <w:basedOn w:val="1"/>
    <w:qFormat/>
    <w:uiPriority w:val="0"/>
    <w:pPr>
      <w:spacing w:line="360" w:lineRule="auto"/>
    </w:pPr>
    <w:rPr>
      <w:szCs w:val="20"/>
    </w:rPr>
  </w:style>
  <w:style w:type="paragraph" w:customStyle="1" w:styleId="500">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501">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02">
    <w:name w:val="Char2 Char Char Char2"/>
    <w:basedOn w:val="1"/>
    <w:qFormat/>
    <w:uiPriority w:val="0"/>
    <w:rPr>
      <w:rFonts w:ascii="仿宋_GB2312" w:eastAsia="仿宋_GB2312"/>
      <w:b/>
      <w:sz w:val="32"/>
      <w:szCs w:val="32"/>
    </w:rPr>
  </w:style>
  <w:style w:type="paragraph" w:customStyle="1" w:styleId="503">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504">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05">
    <w:name w:val="正文 首行缩进:  2 字符 Char"/>
    <w:basedOn w:val="1"/>
    <w:qFormat/>
    <w:uiPriority w:val="0"/>
    <w:pPr>
      <w:adjustRightInd/>
      <w:spacing w:line="360" w:lineRule="auto"/>
      <w:ind w:firstLine="480"/>
    </w:pPr>
    <w:rPr>
      <w:rFonts w:cs="宋体"/>
      <w:sz w:val="24"/>
      <w:szCs w:val="20"/>
    </w:rPr>
  </w:style>
  <w:style w:type="paragraph" w:customStyle="1" w:styleId="506">
    <w:name w:val="Char Char4 Char Char"/>
    <w:basedOn w:val="1"/>
    <w:qFormat/>
    <w:uiPriority w:val="0"/>
    <w:pPr>
      <w:widowControl/>
      <w:adjustRightInd/>
      <w:spacing w:after="160" w:line="240" w:lineRule="exact"/>
      <w:jc w:val="left"/>
    </w:pPr>
  </w:style>
  <w:style w:type="paragraph" w:customStyle="1" w:styleId="50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08">
    <w:name w:val="Char Char11 Char Char Char2"/>
    <w:basedOn w:val="1"/>
    <w:qFormat/>
    <w:uiPriority w:val="0"/>
    <w:pPr>
      <w:spacing w:line="360" w:lineRule="auto"/>
    </w:pPr>
    <w:rPr>
      <w:szCs w:val="20"/>
    </w:rPr>
  </w:style>
  <w:style w:type="paragraph" w:customStyle="1" w:styleId="50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10">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1">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512">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51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514">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15">
    <w:name w:val="Char311"/>
    <w:basedOn w:val="1"/>
    <w:qFormat/>
    <w:uiPriority w:val="0"/>
    <w:pPr>
      <w:adjustRightInd/>
      <w:ind w:firstLine="200" w:firstLineChars="200"/>
    </w:pPr>
    <w:rPr>
      <w:rFonts w:ascii="Tahoma" w:hAnsi="Tahoma"/>
      <w:sz w:val="24"/>
      <w:szCs w:val="20"/>
    </w:rPr>
  </w:style>
  <w:style w:type="paragraph" w:customStyle="1" w:styleId="516">
    <w:name w:val="正文文本 23"/>
    <w:basedOn w:val="1"/>
    <w:qFormat/>
    <w:uiPriority w:val="0"/>
    <w:pPr>
      <w:widowControl/>
      <w:overflowPunct w:val="0"/>
      <w:autoSpaceDE w:val="0"/>
      <w:autoSpaceDN w:val="0"/>
      <w:ind w:left="720" w:hanging="720"/>
      <w:textAlignment w:val="baseline"/>
    </w:pPr>
    <w:rPr>
      <w:kern w:val="0"/>
      <w:sz w:val="24"/>
      <w:szCs w:val="20"/>
    </w:rPr>
  </w:style>
  <w:style w:type="paragraph" w:customStyle="1" w:styleId="51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518">
    <w:name w:val="正文 内标"/>
    <w:basedOn w:val="433"/>
    <w:qFormat/>
    <w:uiPriority w:val="0"/>
    <w:pPr>
      <w:tabs>
        <w:tab w:val="left" w:pos="0"/>
      </w:tabs>
      <w:ind w:left="900" w:firstLine="0" w:firstLineChars="0"/>
    </w:pPr>
  </w:style>
  <w:style w:type="paragraph" w:customStyle="1" w:styleId="519">
    <w:name w:val="Bulleted List"/>
    <w:basedOn w:val="1"/>
    <w:qFormat/>
    <w:uiPriority w:val="0"/>
    <w:pPr>
      <w:tabs>
        <w:tab w:val="left" w:pos="1260"/>
      </w:tabs>
      <w:adjustRightInd/>
      <w:ind w:left="1260" w:hanging="420"/>
    </w:pPr>
  </w:style>
  <w:style w:type="paragraph" w:customStyle="1" w:styleId="520">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521">
    <w:name w:val="样式 左侧:  0.85 厘米"/>
    <w:basedOn w:val="1"/>
    <w:qFormat/>
    <w:uiPriority w:val="2"/>
    <w:pPr>
      <w:adjustRightInd/>
      <w:spacing w:line="360" w:lineRule="auto"/>
    </w:pPr>
    <w:rPr>
      <w:rFonts w:cs="宋体"/>
      <w:sz w:val="24"/>
      <w:szCs w:val="20"/>
    </w:rPr>
  </w:style>
  <w:style w:type="paragraph" w:customStyle="1" w:styleId="522">
    <w:name w:val="Char Char Char Char Char Char Char Char Char Char Char Char1 Char"/>
    <w:basedOn w:val="1"/>
    <w:qFormat/>
    <w:uiPriority w:val="0"/>
    <w:rPr>
      <w:rFonts w:ascii="Tahoma" w:hAnsi="Tahoma" w:cs="仿宋_GB2312"/>
      <w:sz w:val="24"/>
      <w:szCs w:val="20"/>
    </w:rPr>
  </w:style>
  <w:style w:type="paragraph" w:customStyle="1" w:styleId="523">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524">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525">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6">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527">
    <w:name w:val="Char Char1 Char Char Char Char Char Char"/>
    <w:basedOn w:val="1"/>
    <w:qFormat/>
    <w:uiPriority w:val="0"/>
    <w:rPr>
      <w:rFonts w:ascii="仿宋_GB2312" w:eastAsia="仿宋_GB2312"/>
      <w:b/>
      <w:sz w:val="32"/>
      <w:szCs w:val="20"/>
    </w:rPr>
  </w:style>
  <w:style w:type="paragraph" w:customStyle="1" w:styleId="528">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529">
    <w:name w:val="Char Char1 Char Char Char Char Char Char2"/>
    <w:basedOn w:val="1"/>
    <w:qFormat/>
    <w:uiPriority w:val="0"/>
    <w:rPr>
      <w:rFonts w:ascii="仿宋_GB2312" w:eastAsia="仿宋_GB2312"/>
      <w:b/>
      <w:sz w:val="32"/>
      <w:szCs w:val="20"/>
    </w:rPr>
  </w:style>
  <w:style w:type="paragraph" w:customStyle="1" w:styleId="530">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531">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532">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533">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34">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535">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536">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537">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8">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39">
    <w:name w:val="Char31"/>
    <w:basedOn w:val="1"/>
    <w:qFormat/>
    <w:uiPriority w:val="0"/>
    <w:pPr>
      <w:adjustRightInd/>
    </w:pPr>
    <w:rPr>
      <w:rFonts w:ascii="仿宋_GB2312" w:eastAsia="仿宋_GB2312"/>
      <w:b/>
      <w:sz w:val="32"/>
      <w:szCs w:val="32"/>
    </w:rPr>
  </w:style>
  <w:style w:type="paragraph" w:customStyle="1" w:styleId="540">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541">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542">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43">
    <w:name w:val="Char Char1"/>
    <w:basedOn w:val="1"/>
    <w:qFormat/>
    <w:uiPriority w:val="0"/>
    <w:pPr>
      <w:widowControl/>
      <w:spacing w:after="160" w:line="240" w:lineRule="exact"/>
      <w:jc w:val="left"/>
    </w:pPr>
    <w:rPr>
      <w:rFonts w:eastAsia="仿宋_GB2312"/>
      <w:sz w:val="28"/>
    </w:rPr>
  </w:style>
  <w:style w:type="paragraph" w:customStyle="1" w:styleId="544">
    <w:name w:val="Char21"/>
    <w:basedOn w:val="1"/>
    <w:qFormat/>
    <w:uiPriority w:val="0"/>
    <w:pPr>
      <w:adjustRightInd/>
      <w:ind w:firstLine="200" w:firstLineChars="200"/>
    </w:pPr>
    <w:rPr>
      <w:rFonts w:ascii="仿宋_GB2312" w:eastAsia="仿宋_GB2312"/>
      <w:b/>
      <w:sz w:val="32"/>
      <w:szCs w:val="32"/>
    </w:rPr>
  </w:style>
  <w:style w:type="paragraph" w:customStyle="1" w:styleId="545">
    <w:name w:val="列表段落1"/>
    <w:basedOn w:val="1"/>
    <w:qFormat/>
    <w:uiPriority w:val="34"/>
    <w:pPr>
      <w:adjustRightInd/>
      <w:ind w:right="238" w:firstLine="420"/>
    </w:pPr>
    <w:rPr>
      <w:rFonts w:ascii="Calibri" w:hAnsi="Calibri"/>
      <w:sz w:val="24"/>
    </w:rPr>
  </w:style>
  <w:style w:type="paragraph" w:customStyle="1" w:styleId="546">
    <w:name w:val="Char Char110"/>
    <w:basedOn w:val="1"/>
    <w:qFormat/>
    <w:uiPriority w:val="6"/>
    <w:pPr>
      <w:spacing w:line="360" w:lineRule="auto"/>
    </w:pPr>
    <w:rPr>
      <w:rFonts w:ascii="Tahoma" w:hAnsi="Tahoma"/>
      <w:sz w:val="24"/>
      <w:szCs w:val="20"/>
    </w:rPr>
  </w:style>
  <w:style w:type="paragraph" w:customStyle="1" w:styleId="547">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548">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49">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55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551">
    <w:name w:val="Char Char Char Char Char Char Char Char Char Char Char Char1 Char2"/>
    <w:basedOn w:val="1"/>
    <w:qFormat/>
    <w:uiPriority w:val="0"/>
    <w:rPr>
      <w:rFonts w:ascii="Tahoma" w:hAnsi="Tahoma" w:cs="仿宋_GB2312"/>
      <w:sz w:val="24"/>
      <w:szCs w:val="20"/>
    </w:rPr>
  </w:style>
  <w:style w:type="paragraph" w:customStyle="1" w:styleId="552">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553">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554">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555">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556">
    <w:name w:val="_Style 12"/>
    <w:basedOn w:val="18"/>
    <w:qFormat/>
    <w:uiPriority w:val="0"/>
    <w:pPr>
      <w:snapToGrid w:val="0"/>
      <w:spacing w:line="360" w:lineRule="auto"/>
    </w:pPr>
  </w:style>
  <w:style w:type="paragraph" w:customStyle="1" w:styleId="557">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558">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59">
    <w:name w:val="_Style 94"/>
    <w:basedOn w:val="1"/>
    <w:next w:val="101"/>
    <w:qFormat/>
    <w:uiPriority w:val="34"/>
    <w:pPr>
      <w:adjustRightInd/>
      <w:spacing w:line="360" w:lineRule="auto"/>
      <w:ind w:firstLine="200" w:firstLineChars="200"/>
    </w:pPr>
    <w:rPr>
      <w:rFonts w:ascii="Calibri" w:hAnsi="Calibri"/>
      <w:sz w:val="28"/>
      <w:szCs w:val="20"/>
    </w:rPr>
  </w:style>
  <w:style w:type="paragraph" w:customStyle="1" w:styleId="560">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61">
    <w:name w:val="正文 A"/>
    <w:qFormat/>
    <w:uiPriority w:val="0"/>
    <w:pPr>
      <w:widowControl w:val="0"/>
      <w:jc w:val="both"/>
    </w:pPr>
    <w:rPr>
      <w:rFonts w:ascii="Times New Roman" w:hAnsi="Times New Roman" w:eastAsia="Arial Unicode MS" w:cs="Arial Unicode MS"/>
      <w:color w:val="000000"/>
      <w:kern w:val="2"/>
      <w:sz w:val="21"/>
      <w:szCs w:val="21"/>
      <w:u w:val="none" w:color="000000"/>
      <w:lang w:val="en-US" w:eastAsia="zh-CN" w:bidi="ar-SA"/>
    </w:rPr>
  </w:style>
  <w:style w:type="paragraph" w:customStyle="1" w:styleId="562">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563">
    <w:name w:val="3级标题"/>
    <w:basedOn w:val="355"/>
    <w:qFormat/>
    <w:uiPriority w:val="0"/>
    <w:pPr>
      <w:outlineLvl w:val="2"/>
    </w:pPr>
  </w:style>
  <w:style w:type="paragraph" w:customStyle="1" w:styleId="564">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65">
    <w:name w:val="Char1 Char Char Char3"/>
    <w:basedOn w:val="1"/>
    <w:qFormat/>
    <w:uiPriority w:val="0"/>
    <w:pPr>
      <w:adjustRightInd/>
      <w:ind w:firstLine="200" w:firstLineChars="200"/>
    </w:pPr>
    <w:rPr>
      <w:rFonts w:ascii="Tahoma" w:hAnsi="Tahoma"/>
      <w:sz w:val="24"/>
      <w:szCs w:val="20"/>
    </w:rPr>
  </w:style>
  <w:style w:type="paragraph" w:customStyle="1" w:styleId="566">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567">
    <w:name w:val="MM Empty"/>
    <w:basedOn w:val="1"/>
    <w:qFormat/>
    <w:uiPriority w:val="0"/>
    <w:pPr>
      <w:adjustRightInd/>
    </w:pPr>
  </w:style>
  <w:style w:type="paragraph" w:customStyle="1" w:styleId="568">
    <w:name w:val="Char24"/>
    <w:basedOn w:val="1"/>
    <w:qFormat/>
    <w:uiPriority w:val="0"/>
    <w:rPr>
      <w:rFonts w:ascii="仿宋_GB2312" w:eastAsia="仿宋_GB2312"/>
      <w:b/>
      <w:sz w:val="32"/>
      <w:szCs w:val="32"/>
    </w:rPr>
  </w:style>
  <w:style w:type="paragraph" w:customStyle="1" w:styleId="569">
    <w:name w:val="正文箭头"/>
    <w:basedOn w:val="221"/>
    <w:qFormat/>
    <w:uiPriority w:val="0"/>
  </w:style>
  <w:style w:type="paragraph" w:customStyle="1" w:styleId="570">
    <w:name w:val="U_编号2"/>
    <w:basedOn w:val="1"/>
    <w:qFormat/>
    <w:uiPriority w:val="0"/>
    <w:pPr>
      <w:tabs>
        <w:tab w:val="left" w:pos="785"/>
      </w:tabs>
      <w:adjustRightInd/>
      <w:spacing w:beforeLines="10" w:afterLines="10" w:line="300" w:lineRule="auto"/>
    </w:pPr>
    <w:rPr>
      <w:sz w:val="24"/>
    </w:rPr>
  </w:style>
  <w:style w:type="paragraph" w:customStyle="1" w:styleId="571">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72">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73">
    <w:name w:val="标书标题3"/>
    <w:basedOn w:val="4"/>
    <w:qFormat/>
    <w:uiPriority w:val="0"/>
    <w:pPr>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74">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75">
    <w:name w:val="_Style 1"/>
    <w:basedOn w:val="1"/>
    <w:qFormat/>
    <w:uiPriority w:val="34"/>
    <w:pPr>
      <w:adjustRightInd/>
      <w:ind w:firstLine="420" w:firstLineChars="200"/>
    </w:pPr>
    <w:rPr>
      <w:rFonts w:eastAsia="仿宋_GB2312"/>
      <w:sz w:val="28"/>
    </w:rPr>
  </w:style>
  <w:style w:type="paragraph" w:customStyle="1" w:styleId="576">
    <w:name w:val="表格 内容"/>
    <w:basedOn w:val="412"/>
    <w:qFormat/>
    <w:uiPriority w:val="0"/>
    <w:rPr>
      <w:b w:val="0"/>
      <w:sz w:val="20"/>
    </w:rPr>
  </w:style>
  <w:style w:type="paragraph" w:customStyle="1" w:styleId="577">
    <w:name w:val="正文首行缩进1"/>
    <w:basedOn w:val="23"/>
    <w:qFormat/>
    <w:uiPriority w:val="0"/>
    <w:pPr>
      <w:suppressAutoHyphens/>
      <w:adjustRightInd/>
      <w:spacing w:after="120" w:line="240" w:lineRule="auto"/>
      <w:ind w:firstLine="420"/>
      <w:jc w:val="left"/>
    </w:pPr>
    <w:rPr>
      <w:rFonts w:ascii="Times New Roman"/>
      <w:kern w:val="1"/>
      <w:sz w:val="28"/>
      <w:szCs w:val="24"/>
      <w:lang w:val="en-US" w:eastAsia="ar-SA"/>
    </w:rPr>
  </w:style>
  <w:style w:type="paragraph" w:customStyle="1" w:styleId="578">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579">
    <w:name w:val="数字标题5"/>
    <w:basedOn w:val="7"/>
    <w:next w:val="1"/>
    <w:qFormat/>
    <w:uiPriority w:val="0"/>
    <w:pPr>
      <w:tabs>
        <w:tab w:val="left" w:pos="1080"/>
        <w:tab w:val="clear" w:pos="1008"/>
      </w:tabs>
      <w:ind w:left="1080" w:hanging="1080"/>
    </w:pPr>
  </w:style>
  <w:style w:type="paragraph" w:customStyle="1" w:styleId="580">
    <w:name w:val="数字标题1"/>
    <w:basedOn w:val="2"/>
    <w:next w:val="1"/>
    <w:qFormat/>
    <w:uiPriority w:val="0"/>
    <w:pPr>
      <w:tabs>
        <w:tab w:val="left" w:pos="480"/>
        <w:tab w:val="clear" w:pos="432"/>
      </w:tabs>
      <w:ind w:left="480" w:hanging="480"/>
    </w:pPr>
  </w:style>
  <w:style w:type="paragraph" w:customStyle="1" w:styleId="581">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58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83">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84">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eastAsia="en-US"/>
    </w:rPr>
  </w:style>
  <w:style w:type="paragraph" w:customStyle="1" w:styleId="585">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586">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587">
    <w:name w:val="0"/>
    <w:basedOn w:val="1"/>
    <w:qFormat/>
    <w:uiPriority w:val="0"/>
    <w:pPr>
      <w:widowControl/>
    </w:pPr>
    <w:rPr>
      <w:kern w:val="0"/>
      <w:sz w:val="24"/>
      <w:szCs w:val="20"/>
    </w:rPr>
  </w:style>
  <w:style w:type="paragraph" w:customStyle="1" w:styleId="588">
    <w:name w:val="Char Char113"/>
    <w:basedOn w:val="1"/>
    <w:qFormat/>
    <w:uiPriority w:val="0"/>
    <w:pPr>
      <w:widowControl/>
      <w:spacing w:after="160" w:line="240" w:lineRule="exact"/>
      <w:jc w:val="left"/>
    </w:pPr>
    <w:rPr>
      <w:rFonts w:eastAsia="仿宋_GB2312"/>
      <w:sz w:val="28"/>
    </w:rPr>
  </w:style>
  <w:style w:type="paragraph" w:customStyle="1" w:styleId="589">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590">
    <w:name w:val="_Style 8"/>
    <w:basedOn w:val="1"/>
    <w:qFormat/>
    <w:uiPriority w:val="34"/>
    <w:pPr>
      <w:adjustRightInd/>
      <w:ind w:firstLine="420" w:firstLineChars="200"/>
    </w:pPr>
    <w:rPr>
      <w:rFonts w:eastAsia="仿宋_GB2312"/>
      <w:sz w:val="28"/>
    </w:rPr>
  </w:style>
  <w:style w:type="paragraph" w:customStyle="1" w:styleId="591">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92">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593">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595">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596">
    <w:name w:val="Char Char112"/>
    <w:basedOn w:val="1"/>
    <w:qFormat/>
    <w:uiPriority w:val="6"/>
    <w:pPr>
      <w:widowControl/>
      <w:spacing w:after="160" w:line="240" w:lineRule="exact"/>
      <w:jc w:val="left"/>
    </w:pPr>
    <w:rPr>
      <w:rFonts w:eastAsia="仿宋_GB2312"/>
      <w:sz w:val="28"/>
    </w:rPr>
  </w:style>
  <w:style w:type="paragraph" w:customStyle="1" w:styleId="597">
    <w:name w:val="正文 图"/>
    <w:basedOn w:val="127"/>
    <w:qFormat/>
    <w:uiPriority w:val="0"/>
    <w:pPr>
      <w:adjustRightInd/>
      <w:spacing w:before="0"/>
      <w:ind w:firstLine="0"/>
      <w:jc w:val="center"/>
    </w:pPr>
    <w:rPr>
      <w:rFonts w:ascii="微软雅黑" w:hAnsi="微软雅黑"/>
    </w:rPr>
  </w:style>
  <w:style w:type="paragraph" w:customStyle="1" w:styleId="598">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99">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600">
    <w:name w:val="Thf"/>
    <w:basedOn w:val="245"/>
    <w:qFormat/>
    <w:uiPriority w:val="0"/>
    <w:pPr>
      <w:ind w:left="0"/>
    </w:pPr>
  </w:style>
  <w:style w:type="paragraph" w:customStyle="1" w:styleId="601">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6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603">
    <w:name w:val="注释"/>
    <w:basedOn w:val="1"/>
    <w:qFormat/>
    <w:uiPriority w:val="0"/>
    <w:pPr>
      <w:adjustRightInd/>
      <w:spacing w:line="360" w:lineRule="auto"/>
      <w:ind w:firstLine="480"/>
    </w:pPr>
    <w:rPr>
      <w:sz w:val="24"/>
    </w:rPr>
  </w:style>
  <w:style w:type="paragraph" w:customStyle="1" w:styleId="604">
    <w:name w:val="列出段落111"/>
    <w:basedOn w:val="1"/>
    <w:qFormat/>
    <w:uiPriority w:val="34"/>
    <w:pPr>
      <w:ind w:firstLine="420" w:firstLineChars="200"/>
    </w:pPr>
  </w:style>
  <w:style w:type="paragraph" w:customStyle="1" w:styleId="605">
    <w:name w:val="标准文本"/>
    <w:basedOn w:val="1"/>
    <w:link w:val="940"/>
    <w:qFormat/>
    <w:uiPriority w:val="0"/>
    <w:pPr>
      <w:adjustRightInd/>
      <w:spacing w:line="360" w:lineRule="auto"/>
      <w:ind w:firstLine="480" w:firstLineChars="200"/>
    </w:pPr>
    <w:rPr>
      <w:rFonts w:cs="宋体"/>
      <w:sz w:val="24"/>
      <w:szCs w:val="20"/>
    </w:rPr>
  </w:style>
  <w:style w:type="paragraph" w:customStyle="1" w:styleId="606">
    <w:name w:val="_Style 947"/>
    <w:basedOn w:val="1"/>
    <w:next w:val="101"/>
    <w:qFormat/>
    <w:uiPriority w:val="34"/>
    <w:pPr>
      <w:adjustRightInd/>
      <w:ind w:firstLine="420" w:firstLineChars="200"/>
    </w:pPr>
  </w:style>
  <w:style w:type="paragraph" w:customStyle="1" w:styleId="60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608">
    <w:name w:val="纯文本2"/>
    <w:basedOn w:val="1"/>
    <w:qFormat/>
    <w:uiPriority w:val="0"/>
    <w:pPr>
      <w:adjustRightInd/>
      <w:snapToGrid w:val="0"/>
      <w:jc w:val="left"/>
    </w:pPr>
    <w:rPr>
      <w:rFonts w:ascii="Century Gothic" w:hAnsi="楷体_GB2312" w:eastAsia="Century Gothic"/>
      <w:szCs w:val="20"/>
    </w:rPr>
  </w:style>
  <w:style w:type="paragraph" w:customStyle="1" w:styleId="60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61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611">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612">
    <w:name w:val="Blockquote"/>
    <w:basedOn w:val="1"/>
    <w:qFormat/>
    <w:uiPriority w:val="0"/>
    <w:pPr>
      <w:autoSpaceDE w:val="0"/>
      <w:autoSpaceDN w:val="0"/>
      <w:spacing w:before="100" w:after="100"/>
      <w:ind w:left="360" w:right="360"/>
      <w:jc w:val="left"/>
    </w:pPr>
    <w:rPr>
      <w:kern w:val="0"/>
      <w:sz w:val="24"/>
      <w:szCs w:val="20"/>
    </w:rPr>
  </w:style>
  <w:style w:type="paragraph" w:customStyle="1" w:styleId="613">
    <w:name w:val="p1"/>
    <w:basedOn w:val="1"/>
    <w:qFormat/>
    <w:uiPriority w:val="0"/>
    <w:pPr>
      <w:widowControl/>
      <w:adjustRightInd/>
      <w:jc w:val="left"/>
    </w:pPr>
    <w:rPr>
      <w:rFonts w:ascii=".PingFang SC" w:eastAsia=".PingFang SC"/>
      <w:color w:val="454545"/>
      <w:kern w:val="0"/>
      <w:sz w:val="18"/>
      <w:szCs w:val="18"/>
    </w:rPr>
  </w:style>
  <w:style w:type="paragraph" w:customStyle="1" w:styleId="614">
    <w:name w:val="Table Paragraph"/>
    <w:basedOn w:val="1"/>
    <w:qFormat/>
    <w:uiPriority w:val="0"/>
    <w:pPr>
      <w:adjustRightInd/>
      <w:jc w:val="left"/>
    </w:pPr>
    <w:rPr>
      <w:rFonts w:ascii="Calibri" w:hAnsi="Calibri"/>
      <w:kern w:val="0"/>
      <w:sz w:val="22"/>
      <w:szCs w:val="22"/>
      <w:lang w:eastAsia="en-US"/>
    </w:rPr>
  </w:style>
  <w:style w:type="paragraph" w:customStyle="1" w:styleId="61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61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61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18">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619">
    <w:name w:val="表格非标题文字 Char"/>
    <w:link w:val="81"/>
    <w:qFormat/>
    <w:uiPriority w:val="0"/>
    <w:rPr>
      <w:rFonts w:ascii="Futura Bk" w:hAnsi="Futura Bk"/>
      <w:kern w:val="2"/>
      <w:sz w:val="18"/>
      <w:szCs w:val="21"/>
      <w:lang w:val="en-US" w:eastAsia="zh-CN" w:bidi="ar-SA"/>
    </w:rPr>
  </w:style>
  <w:style w:type="character" w:customStyle="1" w:styleId="620">
    <w:name w:val="*正文 Char"/>
    <w:link w:val="82"/>
    <w:qFormat/>
    <w:locked/>
    <w:uiPriority w:val="0"/>
    <w:rPr>
      <w:rFonts w:ascii="宋体" w:hAnsi="宋体"/>
      <w:sz w:val="24"/>
    </w:rPr>
  </w:style>
  <w:style w:type="character" w:customStyle="1" w:styleId="621">
    <w:name w:val="Char Char71"/>
    <w:semiHidden/>
    <w:qFormat/>
    <w:uiPriority w:val="0"/>
    <w:rPr>
      <w:rFonts w:eastAsia="宋体"/>
      <w:kern w:val="2"/>
      <w:sz w:val="21"/>
      <w:szCs w:val="24"/>
      <w:lang w:val="en-US" w:eastAsia="zh-CN" w:bidi="ar-SA"/>
    </w:rPr>
  </w:style>
  <w:style w:type="character" w:customStyle="1" w:styleId="622">
    <w:name w:val="Char Char6"/>
    <w:qFormat/>
    <w:uiPriority w:val="0"/>
    <w:rPr>
      <w:rFonts w:eastAsia="宋体"/>
      <w:kern w:val="2"/>
      <w:sz w:val="21"/>
      <w:szCs w:val="24"/>
      <w:lang w:val="en-US" w:eastAsia="zh-CN" w:bidi="ar-SA"/>
    </w:rPr>
  </w:style>
  <w:style w:type="character" w:customStyle="1" w:styleId="623">
    <w:name w:val="正文缩进 Char"/>
    <w:qFormat/>
    <w:uiPriority w:val="0"/>
    <w:rPr>
      <w:rFonts w:eastAsia="宋体"/>
      <w:kern w:val="2"/>
      <w:sz w:val="21"/>
      <w:lang w:val="en-US" w:eastAsia="zh-CN"/>
    </w:rPr>
  </w:style>
  <w:style w:type="character" w:customStyle="1" w:styleId="624">
    <w:name w:val="正文首行缩进 Char1"/>
    <w:qFormat/>
    <w:uiPriority w:val="0"/>
    <w:rPr>
      <w:rFonts w:ascii="宋体" w:hAnsi="Times New Roman" w:eastAsia="宋体" w:cs="Times New Roman"/>
      <w:snapToGrid w:val="0"/>
      <w:kern w:val="2"/>
      <w:sz w:val="24"/>
      <w:szCs w:val="21"/>
      <w:lang w:val="zh-CN"/>
    </w:rPr>
  </w:style>
  <w:style w:type="character" w:customStyle="1" w:styleId="625">
    <w:name w:val="Char Char28"/>
    <w:qFormat/>
    <w:uiPriority w:val="6"/>
    <w:rPr>
      <w:rFonts w:ascii="仿宋_GB2312" w:hAnsi="仿宋_GB2312" w:eastAsia="仿宋_GB2312"/>
      <w:kern w:val="1"/>
      <w:sz w:val="28"/>
    </w:rPr>
  </w:style>
  <w:style w:type="character" w:customStyle="1" w:styleId="626">
    <w:name w:val="标题 3 Char1"/>
    <w:qFormat/>
    <w:uiPriority w:val="0"/>
    <w:rPr>
      <w:rFonts w:hint="eastAsia" w:ascii="华文中宋" w:hAnsi="华文中宋" w:eastAsia="华文中宋"/>
      <w:b/>
      <w:bCs/>
      <w:kern w:val="2"/>
      <w:sz w:val="32"/>
      <w:szCs w:val="32"/>
      <w:lang w:val="en-US" w:eastAsia="zh-CN" w:bidi="ar-SA"/>
    </w:rPr>
  </w:style>
  <w:style w:type="character" w:customStyle="1" w:styleId="627">
    <w:name w:val="Heading 1 Char"/>
    <w:qFormat/>
    <w:uiPriority w:val="6"/>
    <w:rPr>
      <w:rFonts w:ascii="Times New Roman" w:hAnsi="Times New Roman" w:eastAsia="黑体" w:cs="Times New Roman"/>
      <w:b/>
      <w:kern w:val="0"/>
      <w:sz w:val="24"/>
      <w:szCs w:val="24"/>
    </w:rPr>
  </w:style>
  <w:style w:type="character" w:customStyle="1" w:styleId="628">
    <w:name w:val="U_正文 Char"/>
    <w:link w:val="83"/>
    <w:qFormat/>
    <w:uiPriority w:val="0"/>
    <w:rPr>
      <w:sz w:val="24"/>
      <w:szCs w:val="24"/>
    </w:rPr>
  </w:style>
  <w:style w:type="character" w:customStyle="1" w:styleId="629">
    <w:name w:val="HTML 地址 Char1"/>
    <w:qFormat/>
    <w:uiPriority w:val="0"/>
    <w:rPr>
      <w:rFonts w:ascii="Times New Roman" w:hAnsi="Times New Roman" w:eastAsia="宋体" w:cs="Times New Roman"/>
      <w:i/>
      <w:iCs/>
      <w:szCs w:val="24"/>
    </w:rPr>
  </w:style>
  <w:style w:type="character" w:customStyle="1" w:styleId="630">
    <w:name w:val="批注主题 Char1"/>
    <w:link w:val="59"/>
    <w:qFormat/>
    <w:uiPriority w:val="0"/>
    <w:rPr>
      <w:b/>
      <w:bCs/>
      <w:kern w:val="2"/>
      <w:sz w:val="21"/>
      <w:szCs w:val="24"/>
    </w:rPr>
  </w:style>
  <w:style w:type="character" w:customStyle="1" w:styleId="631">
    <w:name w:val="Char Char51"/>
    <w:qFormat/>
    <w:uiPriority w:val="0"/>
    <w:rPr>
      <w:rFonts w:ascii="宋体" w:hAnsi="Courier New" w:eastAsia="宋体"/>
      <w:kern w:val="2"/>
      <w:sz w:val="21"/>
      <w:lang w:val="en-US" w:eastAsia="zh-CN"/>
    </w:rPr>
  </w:style>
  <w:style w:type="character" w:customStyle="1" w:styleId="632">
    <w:name w:val="表正文 Char"/>
    <w:qFormat/>
    <w:uiPriority w:val="0"/>
    <w:rPr>
      <w:rFonts w:ascii="宋体" w:eastAsia="宋体"/>
      <w:snapToGrid w:val="0"/>
      <w:color w:val="000000"/>
      <w:kern w:val="28"/>
      <w:sz w:val="28"/>
      <w:lang w:val="en-US" w:eastAsia="zh-CN" w:bidi="ar-SA"/>
    </w:rPr>
  </w:style>
  <w:style w:type="character" w:customStyle="1" w:styleId="633">
    <w:name w:val="Char Char34"/>
    <w:qFormat/>
    <w:uiPriority w:val="6"/>
    <w:rPr>
      <w:b/>
      <w:kern w:val="1"/>
      <w:sz w:val="28"/>
      <w:szCs w:val="28"/>
    </w:rPr>
  </w:style>
  <w:style w:type="character" w:customStyle="1" w:styleId="634">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635">
    <w:name w:val="哈哈正文 Char"/>
    <w:link w:val="84"/>
    <w:qFormat/>
    <w:uiPriority w:val="0"/>
    <w:rPr>
      <w:rFonts w:ascii="宋体" w:hAnsi="宋体" w:eastAsia="宋体"/>
      <w:kern w:val="2"/>
      <w:sz w:val="24"/>
      <w:lang w:bidi="ar-SA"/>
    </w:rPr>
  </w:style>
  <w:style w:type="character" w:customStyle="1" w:styleId="636">
    <w:name w:val="未处理的提及1"/>
    <w:qFormat/>
    <w:uiPriority w:val="0"/>
    <w:rPr>
      <w:color w:val="808080"/>
      <w:shd w:val="clear" w:color="auto" w:fill="E6E6E6"/>
    </w:rPr>
  </w:style>
  <w:style w:type="character" w:customStyle="1" w:styleId="637">
    <w:name w:val="txt"/>
    <w:qFormat/>
    <w:uiPriority w:val="0"/>
    <w:rPr>
      <w:rFonts w:ascii="仿宋_GB2312" w:eastAsia="微软雅黑"/>
      <w:b/>
      <w:kern w:val="2"/>
      <w:sz w:val="32"/>
      <w:szCs w:val="32"/>
      <w:lang w:val="en-US" w:eastAsia="zh-CN" w:bidi="ar-SA"/>
    </w:rPr>
  </w:style>
  <w:style w:type="character" w:customStyle="1" w:styleId="638">
    <w:name w:val="二级标题 Char Char"/>
    <w:qFormat/>
    <w:uiPriority w:val="0"/>
    <w:rPr>
      <w:rFonts w:ascii="宋体" w:hAnsi="宋体" w:eastAsia="宋体"/>
      <w:b/>
      <w:snapToGrid w:val="0"/>
      <w:kern w:val="2"/>
      <w:sz w:val="24"/>
      <w:szCs w:val="24"/>
      <w:lang w:val="en-US" w:eastAsia="zh-CN" w:bidi="ar-SA"/>
    </w:rPr>
  </w:style>
  <w:style w:type="character" w:customStyle="1" w:styleId="639">
    <w:name w:val="Char Char32"/>
    <w:qFormat/>
    <w:uiPriority w:val="6"/>
    <w:rPr>
      <w:b/>
      <w:kern w:val="1"/>
      <w:sz w:val="24"/>
      <w:szCs w:val="24"/>
    </w:rPr>
  </w:style>
  <w:style w:type="character" w:customStyle="1" w:styleId="640">
    <w:name w:val="PI Char1"/>
    <w:qFormat/>
    <w:uiPriority w:val="0"/>
    <w:rPr>
      <w:rFonts w:ascii="宋体" w:hAnsi="宋体"/>
      <w:kern w:val="2"/>
      <w:sz w:val="24"/>
      <w:szCs w:val="24"/>
    </w:rPr>
  </w:style>
  <w:style w:type="character" w:customStyle="1" w:styleId="641">
    <w:name w:val="tw4winTerm"/>
    <w:qFormat/>
    <w:uiPriority w:val="0"/>
    <w:rPr>
      <w:color w:val="0000FF"/>
    </w:rPr>
  </w:style>
  <w:style w:type="character" w:customStyle="1" w:styleId="642">
    <w:name w:val="Footer Char"/>
    <w:qFormat/>
    <w:locked/>
    <w:uiPriority w:val="0"/>
    <w:rPr>
      <w:rFonts w:eastAsia="宋体"/>
      <w:kern w:val="2"/>
      <w:sz w:val="18"/>
      <w:lang w:val="en-US" w:eastAsia="zh-CN" w:bidi="ar-SA"/>
    </w:rPr>
  </w:style>
  <w:style w:type="character" w:customStyle="1" w:styleId="643">
    <w:name w:val="普通文字 Char Char1"/>
    <w:qFormat/>
    <w:uiPriority w:val="0"/>
    <w:rPr>
      <w:rFonts w:ascii="宋体" w:hAnsi="Courier New"/>
      <w:kern w:val="2"/>
      <w:sz w:val="21"/>
    </w:rPr>
  </w:style>
  <w:style w:type="character" w:customStyle="1" w:styleId="644">
    <w:name w:val="Char Char101"/>
    <w:qFormat/>
    <w:uiPriority w:val="6"/>
    <w:rPr>
      <w:rFonts w:ascii="宋体" w:hAnsi="宋体"/>
      <w:kern w:val="2"/>
      <w:sz w:val="21"/>
      <w:szCs w:val="24"/>
      <w:lang w:val="en-US" w:eastAsia="zh-CN"/>
    </w:rPr>
  </w:style>
  <w:style w:type="character" w:customStyle="1" w:styleId="645">
    <w:name w:val="标题 4 Char"/>
    <w:qFormat/>
    <w:uiPriority w:val="0"/>
    <w:rPr>
      <w:rFonts w:ascii="Arial" w:hAnsi="Arial" w:eastAsia="黑体"/>
      <w:b/>
      <w:kern w:val="2"/>
      <w:sz w:val="28"/>
    </w:rPr>
  </w:style>
  <w:style w:type="character" w:customStyle="1" w:styleId="646">
    <w:name w:val="链接"/>
    <w:qFormat/>
    <w:uiPriority w:val="0"/>
    <w:rPr>
      <w:color w:val="0000FF"/>
      <w:sz w:val="21"/>
      <w:szCs w:val="21"/>
      <w:u w:val="single"/>
    </w:rPr>
  </w:style>
  <w:style w:type="character" w:customStyle="1" w:styleId="647">
    <w:name w:val="h4 Char"/>
    <w:qFormat/>
    <w:uiPriority w:val="0"/>
    <w:rPr>
      <w:rFonts w:ascii="Arial" w:hAnsi="Arial" w:eastAsia="黑体"/>
      <w:b/>
      <w:bCs/>
      <w:kern w:val="2"/>
      <w:sz w:val="28"/>
      <w:szCs w:val="28"/>
      <w:lang w:val="zh-CN" w:eastAsia="zh-CN" w:bidi="ar-SA"/>
    </w:rPr>
  </w:style>
  <w:style w:type="character" w:customStyle="1" w:styleId="648">
    <w:name w:val="5正文 Char"/>
    <w:link w:val="85"/>
    <w:qFormat/>
    <w:uiPriority w:val="0"/>
    <w:rPr>
      <w:rFonts w:ascii="仿宋_GB2312" w:hAnsi="微软雅黑" w:eastAsia="仿宋_GB2312"/>
      <w:sz w:val="28"/>
      <w:szCs w:val="21"/>
    </w:rPr>
  </w:style>
  <w:style w:type="character" w:customStyle="1" w:styleId="649">
    <w:name w:val="标题 3 字符"/>
    <w:qFormat/>
    <w:uiPriority w:val="9"/>
    <w:rPr>
      <w:b/>
      <w:bCs/>
      <w:kern w:val="2"/>
      <w:sz w:val="32"/>
      <w:szCs w:val="32"/>
    </w:rPr>
  </w:style>
  <w:style w:type="character" w:customStyle="1" w:styleId="650">
    <w:name w:val="样式6 Char"/>
    <w:qFormat/>
    <w:uiPriority w:val="0"/>
    <w:rPr>
      <w:rFonts w:ascii="仿宋_GB2312" w:hAnsi="宋体" w:eastAsia="仿宋_GB2312"/>
      <w:b/>
      <w:bCs/>
      <w:kern w:val="2"/>
      <w:sz w:val="24"/>
      <w:szCs w:val="24"/>
      <w:lang w:val="en-US" w:eastAsia="zh-CN" w:bidi="ar-SA"/>
    </w:rPr>
  </w:style>
  <w:style w:type="character" w:customStyle="1" w:styleId="651">
    <w:name w:val="Char Char14"/>
    <w:qFormat/>
    <w:uiPriority w:val="6"/>
    <w:rPr>
      <w:rFonts w:ascii="黑体" w:hAnsi="黑体" w:eastAsia="黑体"/>
    </w:rPr>
  </w:style>
  <w:style w:type="character" w:customStyle="1" w:styleId="652">
    <w:name w:val="Heading 2 Hidden Char"/>
    <w:qFormat/>
    <w:uiPriority w:val="0"/>
    <w:rPr>
      <w:rFonts w:ascii="仿宋_GB2312" w:eastAsia="仿宋_GB2312"/>
      <w:b/>
      <w:bCs/>
      <w:kern w:val="2"/>
      <w:sz w:val="24"/>
      <w:szCs w:val="24"/>
      <w:lang w:val="zh-CN" w:eastAsia="zh-CN" w:bidi="ar-SA"/>
    </w:rPr>
  </w:style>
  <w:style w:type="character" w:customStyle="1" w:styleId="653">
    <w:name w:val="正文首行缩进 2 Char"/>
    <w:link w:val="61"/>
    <w:qFormat/>
    <w:uiPriority w:val="0"/>
    <w:rPr>
      <w:rFonts w:ascii="宋体" w:hAnsi="宋体"/>
      <w:kern w:val="2"/>
      <w:sz w:val="21"/>
      <w:szCs w:val="24"/>
    </w:rPr>
  </w:style>
  <w:style w:type="character" w:customStyle="1" w:styleId="654">
    <w:name w:val="font11"/>
    <w:qFormat/>
    <w:uiPriority w:val="0"/>
    <w:rPr>
      <w:rFonts w:hint="default" w:ascii="Times New Roman" w:hAnsi="Times New Roman" w:cs="Times New Roman"/>
      <w:color w:val="000000"/>
      <w:sz w:val="22"/>
      <w:szCs w:val="22"/>
      <w:u w:val="none"/>
    </w:rPr>
  </w:style>
  <w:style w:type="character" w:customStyle="1" w:styleId="655">
    <w:name w:val="表正文 Char1"/>
    <w:qFormat/>
    <w:uiPriority w:val="0"/>
    <w:rPr>
      <w:rFonts w:ascii="宋体" w:eastAsia="宋体"/>
      <w:snapToGrid w:val="0"/>
      <w:color w:val="000000"/>
      <w:kern w:val="28"/>
      <w:sz w:val="28"/>
    </w:rPr>
  </w:style>
  <w:style w:type="character" w:customStyle="1" w:styleId="656">
    <w:name w:val="blue1"/>
    <w:basedOn w:val="69"/>
    <w:qFormat/>
    <w:uiPriority w:val="0"/>
    <w:rPr>
      <w:rFonts w:ascii="Arial" w:hAnsi="Arial" w:eastAsia="黑体" w:cs="Arial"/>
      <w:snapToGrid w:val="0"/>
      <w:kern w:val="0"/>
      <w:szCs w:val="21"/>
    </w:rPr>
  </w:style>
  <w:style w:type="character" w:customStyle="1" w:styleId="657">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658">
    <w:name w:val="标书1 Char"/>
    <w:qFormat/>
    <w:uiPriority w:val="0"/>
    <w:rPr>
      <w:rFonts w:eastAsia="宋体"/>
      <w:b/>
      <w:bCs/>
      <w:kern w:val="44"/>
      <w:sz w:val="44"/>
      <w:szCs w:val="44"/>
      <w:lang w:val="en-US" w:eastAsia="zh-CN" w:bidi="ar-SA"/>
    </w:rPr>
  </w:style>
  <w:style w:type="character" w:customStyle="1" w:styleId="659">
    <w:name w:val="样式5 Char"/>
    <w:qFormat/>
    <w:uiPriority w:val="0"/>
    <w:rPr>
      <w:rFonts w:ascii="仿宋_GB2312" w:hAnsi="仿宋" w:eastAsia="仿宋_GB2312"/>
      <w:kern w:val="2"/>
      <w:sz w:val="24"/>
      <w:szCs w:val="24"/>
    </w:rPr>
  </w:style>
  <w:style w:type="character" w:customStyle="1" w:styleId="660">
    <w:name w:val="样式4 Char"/>
    <w:qFormat/>
    <w:uiPriority w:val="0"/>
    <w:rPr>
      <w:rFonts w:ascii="仿宋_GB2312" w:hAnsi="仿宋" w:eastAsia="仿宋_GB2312"/>
      <w:b/>
      <w:kern w:val="2"/>
      <w:sz w:val="32"/>
      <w:szCs w:val="32"/>
      <w:lang w:bidi="ar-SA"/>
    </w:rPr>
  </w:style>
  <w:style w:type="character" w:customStyle="1" w:styleId="661">
    <w:name w:val="插图说明 Char"/>
    <w:qFormat/>
    <w:uiPriority w:val="0"/>
    <w:rPr>
      <w:rFonts w:eastAsia="黑体"/>
      <w:sz w:val="24"/>
      <w:lang w:val="en-US" w:eastAsia="zh-CN"/>
    </w:rPr>
  </w:style>
  <w:style w:type="character" w:customStyle="1" w:styleId="662">
    <w:name w:val="正文2 Char Char"/>
    <w:link w:val="86"/>
    <w:qFormat/>
    <w:uiPriority w:val="0"/>
    <w:rPr>
      <w:rFonts w:eastAsia="宋体"/>
      <w:kern w:val="2"/>
      <w:sz w:val="24"/>
      <w:lang w:val="en-US" w:eastAsia="zh-CN" w:bidi="ar-SA"/>
    </w:rPr>
  </w:style>
  <w:style w:type="character" w:customStyle="1" w:styleId="663">
    <w:name w:val="Char Char24"/>
    <w:qFormat/>
    <w:uiPriority w:val="6"/>
    <w:rPr>
      <w:kern w:val="1"/>
      <w:sz w:val="21"/>
    </w:rPr>
  </w:style>
  <w:style w:type="character" w:customStyle="1" w:styleId="664">
    <w:name w:val="副标题 Char"/>
    <w:link w:val="46"/>
    <w:qFormat/>
    <w:uiPriority w:val="0"/>
    <w:rPr>
      <w:rFonts w:ascii="Arial" w:hAnsi="Arial" w:eastAsia="隶书"/>
      <w:b/>
      <w:bCs/>
      <w:kern w:val="28"/>
      <w:sz w:val="44"/>
      <w:szCs w:val="32"/>
      <w:lang w:val="en-US" w:eastAsia="zh-CN" w:bidi="ar-SA"/>
    </w:rPr>
  </w:style>
  <w:style w:type="character" w:customStyle="1" w:styleId="665">
    <w:name w:val="普通文字 Char1 Char"/>
    <w:qFormat/>
    <w:uiPriority w:val="0"/>
    <w:rPr>
      <w:rFonts w:ascii="宋体" w:hAnsi="Courier New" w:eastAsia="宋体"/>
      <w:kern w:val="2"/>
      <w:sz w:val="21"/>
      <w:szCs w:val="24"/>
      <w:lang w:val="en-US" w:eastAsia="zh-CN" w:bidi="ar-SA"/>
    </w:rPr>
  </w:style>
  <w:style w:type="character" w:customStyle="1" w:styleId="666">
    <w:name w:val="h3 Char1"/>
    <w:qFormat/>
    <w:uiPriority w:val="0"/>
    <w:rPr>
      <w:rFonts w:eastAsia="宋体"/>
      <w:b/>
      <w:bCs/>
      <w:kern w:val="2"/>
      <w:sz w:val="32"/>
      <w:szCs w:val="32"/>
      <w:lang w:bidi="ar-SA"/>
    </w:rPr>
  </w:style>
  <w:style w:type="character" w:customStyle="1" w:styleId="667">
    <w:name w:val="标题 Char1"/>
    <w:qFormat/>
    <w:uiPriority w:val="0"/>
    <w:rPr>
      <w:rFonts w:ascii="Cambria" w:hAnsi="Cambria" w:eastAsia="宋体" w:cs="Times New Roman"/>
      <w:b/>
      <w:bCs/>
      <w:sz w:val="32"/>
      <w:szCs w:val="32"/>
      <w:lang w:bidi="ar-SA"/>
    </w:rPr>
  </w:style>
  <w:style w:type="character" w:customStyle="1" w:styleId="668">
    <w:name w:val="gf正文1 Char"/>
    <w:qFormat/>
    <w:uiPriority w:val="0"/>
    <w:rPr>
      <w:rFonts w:ascii="宋体" w:hAnsi="宋体" w:eastAsia="宋体" w:cs="宋体"/>
      <w:kern w:val="2"/>
      <w:sz w:val="24"/>
      <w:szCs w:val="24"/>
      <w:lang w:val="en-US" w:eastAsia="zh-CN" w:bidi="ar-SA"/>
    </w:rPr>
  </w:style>
  <w:style w:type="character" w:customStyle="1" w:styleId="669">
    <w:name w:val="正文文本缩进 Char1"/>
    <w:qFormat/>
    <w:uiPriority w:val="0"/>
    <w:rPr>
      <w:rFonts w:ascii="Calibri" w:hAnsi="Calibri"/>
      <w:sz w:val="28"/>
    </w:rPr>
  </w:style>
  <w:style w:type="character" w:customStyle="1" w:styleId="670">
    <w:name w:val="No Spacing Char"/>
    <w:link w:val="87"/>
    <w:qFormat/>
    <w:uiPriority w:val="1"/>
    <w:rPr>
      <w:sz w:val="22"/>
      <w:szCs w:val="22"/>
      <w:lang w:val="en-US" w:eastAsia="zh-CN" w:bidi="ar-SA"/>
    </w:rPr>
  </w:style>
  <w:style w:type="character" w:customStyle="1" w:styleId="671">
    <w:name w:val="样式7 Char"/>
    <w:qFormat/>
    <w:uiPriority w:val="0"/>
    <w:rPr>
      <w:rFonts w:ascii="仿宋_GB2312" w:hAnsi="仿宋" w:eastAsia="仿宋_GB2312"/>
      <w:b/>
      <w:kern w:val="2"/>
      <w:sz w:val="24"/>
      <w:szCs w:val="24"/>
    </w:rPr>
  </w:style>
  <w:style w:type="character" w:customStyle="1" w:styleId="672">
    <w:name w:val="font12gray1"/>
    <w:qFormat/>
    <w:uiPriority w:val="0"/>
    <w:rPr>
      <w:rFonts w:ascii="仿宋_GB2312" w:eastAsia="微软雅黑"/>
      <w:b/>
      <w:spacing w:val="300"/>
      <w:kern w:val="2"/>
      <w:sz w:val="18"/>
      <w:szCs w:val="18"/>
      <w:lang w:val="en-US" w:eastAsia="zh-CN" w:bidi="ar-SA"/>
    </w:rPr>
  </w:style>
  <w:style w:type="character" w:customStyle="1" w:styleId="673">
    <w:name w:val="Char Char7"/>
    <w:semiHidden/>
    <w:qFormat/>
    <w:uiPriority w:val="0"/>
    <w:rPr>
      <w:rFonts w:eastAsia="宋体"/>
      <w:kern w:val="2"/>
      <w:sz w:val="21"/>
      <w:szCs w:val="24"/>
      <w:lang w:val="en-US" w:eastAsia="zh-CN" w:bidi="ar-SA"/>
    </w:rPr>
  </w:style>
  <w:style w:type="character" w:customStyle="1" w:styleId="674">
    <w:name w:val="表名 Char"/>
    <w:qFormat/>
    <w:uiPriority w:val="0"/>
    <w:rPr>
      <w:rFonts w:eastAsia="宋体"/>
      <w:b/>
      <w:bCs/>
      <w:kern w:val="2"/>
      <w:sz w:val="24"/>
      <w:szCs w:val="24"/>
      <w:lang w:val="en-US" w:eastAsia="zh-CN" w:bidi="ar-SA"/>
    </w:rPr>
  </w:style>
  <w:style w:type="character" w:customStyle="1" w:styleId="675">
    <w:name w:val="Document Map Char"/>
    <w:qFormat/>
    <w:locked/>
    <w:uiPriority w:val="0"/>
    <w:rPr>
      <w:rFonts w:eastAsia="宋体"/>
      <w:kern w:val="2"/>
      <w:sz w:val="21"/>
      <w:szCs w:val="24"/>
      <w:lang w:val="en-US" w:eastAsia="zh-CN" w:bidi="ar-SA"/>
    </w:rPr>
  </w:style>
  <w:style w:type="character" w:customStyle="1" w:styleId="676">
    <w:name w:val="font41"/>
    <w:qFormat/>
    <w:uiPriority w:val="0"/>
    <w:rPr>
      <w:rFonts w:hint="eastAsia" w:ascii="仿宋_GB2312" w:eastAsia="仿宋_GB2312" w:cs="仿宋_GB2312"/>
      <w:color w:val="000000"/>
      <w:sz w:val="22"/>
      <w:szCs w:val="22"/>
      <w:u w:val="none"/>
    </w:rPr>
  </w:style>
  <w:style w:type="character" w:customStyle="1" w:styleId="677">
    <w:name w:val="标题 6 Char"/>
    <w:link w:val="8"/>
    <w:qFormat/>
    <w:uiPriority w:val="0"/>
    <w:rPr>
      <w:rFonts w:ascii="Arial" w:hAnsi="Arial" w:eastAsia="黑体"/>
      <w:b/>
      <w:bCs/>
      <w:kern w:val="2"/>
      <w:sz w:val="24"/>
      <w:szCs w:val="24"/>
    </w:rPr>
  </w:style>
  <w:style w:type="character" w:customStyle="1" w:styleId="678">
    <w:name w:val="纯文本 Char_0"/>
    <w:link w:val="88"/>
    <w:qFormat/>
    <w:uiPriority w:val="0"/>
    <w:rPr>
      <w:rFonts w:ascii="宋体" w:hAnsi="Courier New"/>
      <w:kern w:val="2"/>
      <w:sz w:val="21"/>
      <w:szCs w:val="21"/>
      <w:lang w:val="en-US" w:eastAsia="zh-CN"/>
    </w:rPr>
  </w:style>
  <w:style w:type="character" w:customStyle="1" w:styleId="679">
    <w:name w:val="Balloon Text Char"/>
    <w:qFormat/>
    <w:locked/>
    <w:uiPriority w:val="0"/>
    <w:rPr>
      <w:rFonts w:eastAsia="宋体"/>
      <w:kern w:val="2"/>
      <w:sz w:val="18"/>
      <w:szCs w:val="18"/>
      <w:lang w:val="en-US" w:eastAsia="zh-CN" w:bidi="ar-SA"/>
    </w:rPr>
  </w:style>
  <w:style w:type="character" w:customStyle="1" w:styleId="680">
    <w:name w:val="正文 项目2 Char"/>
    <w:basedOn w:val="681"/>
    <w:qFormat/>
    <w:uiPriority w:val="0"/>
    <w:rPr>
      <w:rFonts w:ascii="仿宋_GB2312" w:hAnsi="仿宋_GB2312" w:eastAsia="仿宋_GB2312"/>
      <w:kern w:val="2"/>
      <w:sz w:val="24"/>
      <w:lang w:bidi="ar-SA"/>
    </w:rPr>
  </w:style>
  <w:style w:type="character" w:customStyle="1" w:styleId="681">
    <w:name w:val="正文 项目 Char"/>
    <w:qFormat/>
    <w:uiPriority w:val="0"/>
    <w:rPr>
      <w:rFonts w:ascii="仿宋_GB2312" w:hAnsi="仿宋_GB2312" w:eastAsia="仿宋_GB2312"/>
      <w:kern w:val="2"/>
      <w:sz w:val="24"/>
      <w:lang w:bidi="ar-SA"/>
    </w:rPr>
  </w:style>
  <w:style w:type="character" w:customStyle="1" w:styleId="682">
    <w:name w:val="h Char Char1"/>
    <w:qFormat/>
    <w:uiPriority w:val="0"/>
    <w:rPr>
      <w:rFonts w:eastAsia="宋体"/>
      <w:kern w:val="2"/>
      <w:sz w:val="18"/>
      <w:szCs w:val="18"/>
      <w:lang w:val="en-US" w:eastAsia="zh-CN" w:bidi="ar-SA"/>
    </w:rPr>
  </w:style>
  <w:style w:type="character" w:customStyle="1" w:styleId="683">
    <w:name w:val="Char Char27"/>
    <w:qFormat/>
    <w:uiPriority w:val="6"/>
    <w:rPr>
      <w:rFonts w:ascii="宋体" w:hAnsi="宋体" w:eastAsia="宋体"/>
      <w:color w:val="000000"/>
      <w:kern w:val="1"/>
      <w:sz w:val="28"/>
      <w:lang w:val="en-US" w:eastAsia="zh-CN" w:bidi="ar-SA"/>
    </w:rPr>
  </w:style>
  <w:style w:type="character" w:customStyle="1" w:styleId="684">
    <w:name w:val="px14"/>
    <w:qFormat/>
    <w:uiPriority w:val="0"/>
    <w:rPr>
      <w:rFonts w:ascii="仿宋_GB2312" w:eastAsia="微软雅黑" w:cs="Times New Roman"/>
      <w:b/>
      <w:kern w:val="2"/>
      <w:sz w:val="32"/>
      <w:szCs w:val="32"/>
      <w:lang w:val="en-US" w:eastAsia="zh-CN" w:bidi="ar-SA"/>
    </w:rPr>
  </w:style>
  <w:style w:type="character" w:customStyle="1" w:styleId="685">
    <w:name w:val="HTML 预设格式 Char1"/>
    <w:qFormat/>
    <w:uiPriority w:val="0"/>
    <w:rPr>
      <w:rFonts w:ascii="Courier New" w:hAnsi="Courier New" w:eastAsia="宋体" w:cs="Courier New"/>
      <w:sz w:val="20"/>
      <w:szCs w:val="20"/>
    </w:rPr>
  </w:style>
  <w:style w:type="character" w:customStyle="1" w:styleId="686">
    <w:name w:val="普通文字 Char1"/>
    <w:qFormat/>
    <w:uiPriority w:val="0"/>
    <w:rPr>
      <w:rFonts w:ascii="宋体" w:hAnsi="Courier New" w:eastAsia="宋体"/>
      <w:kern w:val="2"/>
      <w:sz w:val="21"/>
      <w:lang w:val="en-US" w:eastAsia="zh-CN"/>
    </w:rPr>
  </w:style>
  <w:style w:type="character" w:customStyle="1" w:styleId="687">
    <w:name w:val="hei16b1"/>
    <w:qFormat/>
    <w:uiPriority w:val="0"/>
    <w:rPr>
      <w:rFonts w:hint="default" w:ascii="Arial" w:hAnsi="Arial" w:cs="Arial"/>
      <w:b/>
      <w:bCs/>
      <w:color w:val="000000"/>
      <w:sz w:val="24"/>
      <w:szCs w:val="24"/>
    </w:rPr>
  </w:style>
  <w:style w:type="character" w:customStyle="1" w:styleId="688">
    <w:name w:val="正文（绿盟科技） Char"/>
    <w:link w:val="90"/>
    <w:qFormat/>
    <w:uiPriority w:val="0"/>
    <w:rPr>
      <w:rFonts w:ascii="Arial" w:hAnsi="Arial"/>
      <w:sz w:val="21"/>
      <w:szCs w:val="21"/>
    </w:rPr>
  </w:style>
  <w:style w:type="character" w:customStyle="1" w:styleId="689">
    <w:name w:val="Char Char19"/>
    <w:qFormat/>
    <w:uiPriority w:val="6"/>
    <w:rPr>
      <w:rFonts w:ascii="宋体" w:hAnsi="宋体"/>
      <w:i/>
      <w:sz w:val="24"/>
      <w:szCs w:val="24"/>
    </w:rPr>
  </w:style>
  <w:style w:type="character" w:customStyle="1" w:styleId="690">
    <w:name w:val="页脚 Char"/>
    <w:qFormat/>
    <w:uiPriority w:val="0"/>
    <w:rPr>
      <w:rFonts w:eastAsia="仿宋_GB2312"/>
      <w:kern w:val="2"/>
      <w:sz w:val="18"/>
      <w:lang w:val="en-US" w:eastAsia="zh-CN"/>
    </w:rPr>
  </w:style>
  <w:style w:type="character" w:customStyle="1" w:styleId="691">
    <w:name w:val="批注主题 Char"/>
    <w:qFormat/>
    <w:uiPriority w:val="0"/>
    <w:rPr>
      <w:rFonts w:eastAsia="宋体"/>
      <w:b/>
      <w:bCs/>
      <w:kern w:val="2"/>
      <w:sz w:val="21"/>
      <w:szCs w:val="24"/>
      <w:lang w:val="en-US" w:eastAsia="zh-CN" w:bidi="ar-SA"/>
    </w:rPr>
  </w:style>
  <w:style w:type="character" w:customStyle="1" w:styleId="692">
    <w:name w:val="Comment Text Char"/>
    <w:qFormat/>
    <w:locked/>
    <w:uiPriority w:val="0"/>
    <w:rPr>
      <w:rFonts w:ascii="宋体" w:hAnsi="宋体" w:eastAsia="宋体"/>
      <w:kern w:val="2"/>
      <w:sz w:val="24"/>
      <w:lang w:val="en-US" w:eastAsia="zh-CN" w:bidi="ar-SA"/>
    </w:rPr>
  </w:style>
  <w:style w:type="character" w:customStyle="1" w:styleId="693">
    <w:name w:val="标题 2 字符"/>
    <w:qFormat/>
    <w:uiPriority w:val="1"/>
    <w:rPr>
      <w:rFonts w:ascii="仿宋_GB2312" w:hAnsi="Times New Roman" w:eastAsia="仿宋_GB2312" w:cs="Times New Roman"/>
      <w:b/>
      <w:kern w:val="2"/>
      <w:sz w:val="24"/>
      <w:lang w:val="zh-CN"/>
    </w:rPr>
  </w:style>
  <w:style w:type="character" w:customStyle="1" w:styleId="694">
    <w:name w:val="Char Char72"/>
    <w:qFormat/>
    <w:uiPriority w:val="0"/>
    <w:rPr>
      <w:rFonts w:eastAsia="宋体"/>
      <w:kern w:val="2"/>
      <w:sz w:val="21"/>
      <w:szCs w:val="24"/>
      <w:lang w:val="en-US" w:eastAsia="zh-CN" w:bidi="ar-SA"/>
    </w:rPr>
  </w:style>
  <w:style w:type="character" w:customStyle="1" w:styleId="695">
    <w:name w:val="正文文本缩进 Char2"/>
    <w:qFormat/>
    <w:uiPriority w:val="0"/>
    <w:rPr>
      <w:rFonts w:ascii="Times New Roman" w:hAnsi="Times New Roman" w:eastAsia="宋体" w:cs="Times New Roman"/>
      <w:snapToGrid w:val="0"/>
      <w:kern w:val="0"/>
      <w:szCs w:val="24"/>
    </w:rPr>
  </w:style>
  <w:style w:type="character" w:customStyle="1" w:styleId="696">
    <w:name w:val="样式2 Char"/>
    <w:qFormat/>
    <w:uiPriority w:val="0"/>
    <w:rPr>
      <w:rFonts w:ascii="仿宋_GB2312" w:hAnsi="仿宋" w:eastAsia="仿宋_GB2312" w:cs="仿宋_GB2312"/>
      <w:b/>
      <w:bCs/>
      <w:sz w:val="32"/>
      <w:szCs w:val="30"/>
      <w:lang w:val="zh-CN"/>
    </w:rPr>
  </w:style>
  <w:style w:type="character" w:customStyle="1" w:styleId="697">
    <w:name w:val="表格名称[858D7CFB-ED40-4347-BF05-701D383B685F]"/>
    <w:link w:val="91"/>
    <w:qFormat/>
    <w:uiPriority w:val="0"/>
    <w:rPr>
      <w:sz w:val="32"/>
    </w:rPr>
  </w:style>
  <w:style w:type="character" w:customStyle="1" w:styleId="698">
    <w:name w:val="Char Char4"/>
    <w:qFormat/>
    <w:uiPriority w:val="0"/>
    <w:rPr>
      <w:rFonts w:eastAsia="宋体"/>
      <w:b/>
      <w:sz w:val="24"/>
      <w:lang w:eastAsia="zh-CN" w:bidi="ar-SA"/>
    </w:rPr>
  </w:style>
  <w:style w:type="character" w:customStyle="1" w:styleId="699">
    <w:name w:val="c7 style3"/>
    <w:qFormat/>
    <w:uiPriority w:val="0"/>
  </w:style>
  <w:style w:type="character" w:customStyle="1" w:styleId="700">
    <w:name w:val="正文文本 3 Char1"/>
    <w:semiHidden/>
    <w:qFormat/>
    <w:uiPriority w:val="99"/>
    <w:rPr>
      <w:rFonts w:ascii="Times New Roman" w:hAnsi="Times New Roman" w:eastAsia="宋体" w:cs="Times New Roman"/>
      <w:sz w:val="16"/>
      <w:szCs w:val="16"/>
    </w:rPr>
  </w:style>
  <w:style w:type="character" w:customStyle="1" w:styleId="701">
    <w:name w:val="tw4winInternal"/>
    <w:qFormat/>
    <w:uiPriority w:val="0"/>
    <w:rPr>
      <w:rFonts w:ascii="Courier New" w:hAnsi="Courier New" w:cs="Courier New"/>
      <w:color w:val="FF0000"/>
      <w:lang w:val="en-US" w:eastAsia="zh-CN"/>
    </w:rPr>
  </w:style>
  <w:style w:type="character" w:customStyle="1" w:styleId="702">
    <w:name w:val="Char Char10"/>
    <w:semiHidden/>
    <w:qFormat/>
    <w:uiPriority w:val="0"/>
    <w:rPr>
      <w:rFonts w:ascii="宋体" w:hAnsi="宋体"/>
      <w:kern w:val="2"/>
      <w:sz w:val="21"/>
      <w:szCs w:val="24"/>
      <w:lang w:val="en-US" w:eastAsia="zh-CN"/>
    </w:rPr>
  </w:style>
  <w:style w:type="character" w:customStyle="1" w:styleId="703">
    <w:name w:val="shadow11"/>
    <w:qFormat/>
    <w:uiPriority w:val="0"/>
    <w:rPr>
      <w:color w:val="000000"/>
      <w:sz w:val="21"/>
    </w:rPr>
  </w:style>
  <w:style w:type="character" w:customStyle="1" w:styleId="704">
    <w:name w:val="正文非缩进 Char3"/>
    <w:qFormat/>
    <w:uiPriority w:val="0"/>
    <w:rPr>
      <w:rFonts w:ascii="宋体" w:eastAsia="宋体"/>
      <w:snapToGrid w:val="0"/>
      <w:color w:val="000000"/>
      <w:kern w:val="28"/>
      <w:sz w:val="28"/>
      <w:lang w:val="en-US" w:eastAsia="zh-CN" w:bidi="ar-SA"/>
    </w:rPr>
  </w:style>
  <w:style w:type="character" w:customStyle="1" w:styleId="705">
    <w:name w:val="Char Char"/>
    <w:qFormat/>
    <w:uiPriority w:val="0"/>
    <w:rPr>
      <w:rFonts w:ascii="宋体" w:hAnsi="Courier New" w:eastAsia="宋体"/>
      <w:kern w:val="2"/>
      <w:sz w:val="21"/>
      <w:lang w:val="en-US" w:eastAsia="zh-CN" w:bidi="ar-SA"/>
    </w:rPr>
  </w:style>
  <w:style w:type="character" w:customStyle="1" w:styleId="706">
    <w:name w:val="签名 Char1"/>
    <w:qFormat/>
    <w:uiPriority w:val="0"/>
    <w:rPr>
      <w:rFonts w:ascii="Times New Roman" w:hAnsi="Times New Roman" w:eastAsia="宋体" w:cs="Times New Roman"/>
      <w:szCs w:val="24"/>
    </w:rPr>
  </w:style>
  <w:style w:type="character" w:customStyle="1" w:styleId="707">
    <w:name w:val="日期 Char"/>
    <w:link w:val="35"/>
    <w:qFormat/>
    <w:uiPriority w:val="0"/>
    <w:rPr>
      <w:rFonts w:ascii="宋体"/>
      <w:kern w:val="2"/>
      <w:sz w:val="24"/>
      <w:szCs w:val="21"/>
      <w:lang w:val="zh-CN"/>
    </w:rPr>
  </w:style>
  <w:style w:type="character" w:customStyle="1" w:styleId="708">
    <w:name w:val="标题 9 Char"/>
    <w:link w:val="11"/>
    <w:qFormat/>
    <w:uiPriority w:val="0"/>
    <w:rPr>
      <w:rFonts w:ascii="Arial" w:hAnsi="Arial" w:eastAsia="黑体"/>
      <w:kern w:val="2"/>
      <w:sz w:val="21"/>
      <w:szCs w:val="21"/>
    </w:rPr>
  </w:style>
  <w:style w:type="character" w:customStyle="1" w:styleId="709">
    <w:name w:val="Char Char18"/>
    <w:qFormat/>
    <w:uiPriority w:val="6"/>
    <w:rPr>
      <w:rFonts w:ascii="宋体" w:hAnsi="宋体"/>
      <w:sz w:val="28"/>
    </w:rPr>
  </w:style>
  <w:style w:type="character" w:customStyle="1" w:styleId="710">
    <w:name w:val="批注文字 Char"/>
    <w:qFormat/>
    <w:uiPriority w:val="0"/>
    <w:rPr>
      <w:kern w:val="2"/>
      <w:sz w:val="21"/>
      <w:szCs w:val="24"/>
    </w:rPr>
  </w:style>
  <w:style w:type="character" w:customStyle="1" w:styleId="711">
    <w:name w:val="Char Char22"/>
    <w:qFormat/>
    <w:uiPriority w:val="6"/>
    <w:rPr>
      <w:rFonts w:ascii="宋体" w:hAnsi="宋体"/>
      <w:kern w:val="1"/>
      <w:sz w:val="24"/>
      <w:szCs w:val="24"/>
    </w:rPr>
  </w:style>
  <w:style w:type="character" w:customStyle="1" w:styleId="712">
    <w:name w:val="pt141"/>
    <w:qFormat/>
    <w:uiPriority w:val="0"/>
    <w:rPr>
      <w:color w:val="330066"/>
      <w:sz w:val="22"/>
      <w:szCs w:val="22"/>
    </w:rPr>
  </w:style>
  <w:style w:type="character" w:customStyle="1" w:styleId="713">
    <w:name w:val="正文文本缩进 2 Char1"/>
    <w:semiHidden/>
    <w:qFormat/>
    <w:uiPriority w:val="99"/>
    <w:rPr>
      <w:rFonts w:ascii="Times New Roman" w:hAnsi="Times New Roman" w:eastAsia="宋体" w:cs="Times New Roman"/>
      <w:szCs w:val="24"/>
    </w:rPr>
  </w:style>
  <w:style w:type="character" w:customStyle="1" w:styleId="714">
    <w:name w:val="批注框文本 Char"/>
    <w:link w:val="38"/>
    <w:qFormat/>
    <w:uiPriority w:val="0"/>
    <w:rPr>
      <w:kern w:val="2"/>
      <w:sz w:val="18"/>
      <w:szCs w:val="18"/>
    </w:rPr>
  </w:style>
  <w:style w:type="character" w:customStyle="1" w:styleId="715">
    <w:name w:val="Char Char611"/>
    <w:qFormat/>
    <w:uiPriority w:val="0"/>
    <w:rPr>
      <w:rFonts w:eastAsia="宋体"/>
      <w:kern w:val="2"/>
      <w:sz w:val="21"/>
      <w:szCs w:val="24"/>
      <w:lang w:val="en-US" w:eastAsia="zh-CN" w:bidi="ar-SA"/>
    </w:rPr>
  </w:style>
  <w:style w:type="character" w:customStyle="1" w:styleId="716">
    <w:name w:val="highlight1"/>
    <w:qFormat/>
    <w:uiPriority w:val="0"/>
    <w:rPr>
      <w:rFonts w:ascii="仿宋_GB2312" w:eastAsia="微软雅黑"/>
      <w:b/>
      <w:kern w:val="2"/>
      <w:sz w:val="23"/>
      <w:szCs w:val="23"/>
      <w:lang w:val="en-US" w:eastAsia="zh-CN" w:bidi="ar-SA"/>
    </w:rPr>
  </w:style>
  <w:style w:type="character" w:customStyle="1" w:styleId="717">
    <w:name w:val="my正文 Char"/>
    <w:link w:val="92"/>
    <w:qFormat/>
    <w:locked/>
    <w:uiPriority w:val="0"/>
    <w:rPr>
      <w:rFonts w:ascii="Tahoma" w:hAnsi="Tahoma"/>
      <w:sz w:val="24"/>
      <w:szCs w:val="24"/>
    </w:rPr>
  </w:style>
  <w:style w:type="character" w:customStyle="1" w:styleId="718">
    <w:name w:val="正文缩进 Char2"/>
    <w:link w:val="5"/>
    <w:qFormat/>
    <w:uiPriority w:val="0"/>
    <w:rPr>
      <w:rFonts w:ascii="宋体" w:eastAsia="宋体"/>
      <w:snapToGrid w:val="0"/>
      <w:color w:val="000000"/>
      <w:kern w:val="28"/>
      <w:sz w:val="28"/>
      <w:lang w:val="en-US" w:eastAsia="zh-CN" w:bidi="ar-SA"/>
    </w:rPr>
  </w:style>
  <w:style w:type="character" w:customStyle="1" w:styleId="719">
    <w:name w:val="Used by Word for text of Help footnotes Char Char1"/>
    <w:qFormat/>
    <w:uiPriority w:val="0"/>
    <w:rPr>
      <w:color w:val="0000FF"/>
      <w:sz w:val="21"/>
    </w:rPr>
  </w:style>
  <w:style w:type="character" w:customStyle="1" w:styleId="720">
    <w:name w:val="页眉 Char"/>
    <w:qFormat/>
    <w:uiPriority w:val="0"/>
    <w:rPr>
      <w:rFonts w:eastAsia="仿宋_GB2312"/>
      <w:kern w:val="2"/>
      <w:sz w:val="18"/>
      <w:lang w:val="en-US" w:eastAsia="zh-CN"/>
    </w:rPr>
  </w:style>
  <w:style w:type="character" w:customStyle="1" w:styleId="721">
    <w:name w:val="FA正文 Char Char"/>
    <w:qFormat/>
    <w:uiPriority w:val="0"/>
    <w:rPr>
      <w:rFonts w:hAnsi="宋体"/>
      <w:kern w:val="2"/>
      <w:sz w:val="24"/>
      <w:lang w:bidi="ar-SA"/>
    </w:rPr>
  </w:style>
  <w:style w:type="character" w:customStyle="1" w:styleId="722">
    <w:name w:val="纯文本 字符"/>
    <w:qFormat/>
    <w:uiPriority w:val="0"/>
    <w:rPr>
      <w:rFonts w:ascii="宋体" w:hAnsi="Courier New" w:eastAsia="宋体" w:cs="Arial"/>
      <w:snapToGrid w:val="0"/>
      <w:kern w:val="2"/>
      <w:sz w:val="21"/>
      <w:szCs w:val="21"/>
      <w:lang w:val="en-US" w:eastAsia="zh-CN" w:bidi="ar-SA"/>
    </w:rPr>
  </w:style>
  <w:style w:type="character" w:customStyle="1" w:styleId="723">
    <w:name w:val="3级 Char"/>
    <w:link w:val="93"/>
    <w:qFormat/>
    <w:uiPriority w:val="0"/>
    <w:rPr>
      <w:rFonts w:ascii="宋体" w:hAnsi="宋体"/>
      <w:b/>
      <w:bCs/>
      <w:sz w:val="28"/>
    </w:rPr>
  </w:style>
  <w:style w:type="character" w:customStyle="1" w:styleId="724">
    <w:name w:val="myp11"/>
    <w:qFormat/>
    <w:uiPriority w:val="0"/>
    <w:rPr>
      <w:rFonts w:ascii="仿宋_GB2312" w:eastAsia="微软雅黑"/>
      <w:b/>
      <w:kern w:val="2"/>
      <w:sz w:val="32"/>
      <w:szCs w:val="32"/>
      <w:lang w:val="en-US" w:eastAsia="zh-CN" w:bidi="ar-SA"/>
    </w:rPr>
  </w:style>
  <w:style w:type="character" w:customStyle="1" w:styleId="725">
    <w:name w:val="文档结构图 Char1"/>
    <w:link w:val="18"/>
    <w:qFormat/>
    <w:uiPriority w:val="0"/>
    <w:rPr>
      <w:kern w:val="2"/>
      <w:sz w:val="21"/>
      <w:szCs w:val="24"/>
      <w:shd w:val="clear" w:color="auto" w:fill="000080"/>
    </w:rPr>
  </w:style>
  <w:style w:type="character" w:customStyle="1" w:styleId="726">
    <w:name w:val="H6 Char"/>
    <w:qFormat/>
    <w:uiPriority w:val="0"/>
    <w:rPr>
      <w:rFonts w:ascii="Arial" w:hAnsi="Arial" w:eastAsia="黑体"/>
      <w:b/>
      <w:bCs/>
      <w:kern w:val="2"/>
      <w:sz w:val="24"/>
      <w:szCs w:val="24"/>
    </w:rPr>
  </w:style>
  <w:style w:type="character" w:customStyle="1" w:styleId="727">
    <w:name w:val="Char Char91"/>
    <w:qFormat/>
    <w:uiPriority w:val="0"/>
    <w:rPr>
      <w:rFonts w:eastAsia="宋体"/>
      <w:kern w:val="2"/>
      <w:sz w:val="18"/>
      <w:szCs w:val="18"/>
      <w:lang w:val="en-US" w:eastAsia="zh-CN" w:bidi="ar-SA"/>
    </w:rPr>
  </w:style>
  <w:style w:type="character" w:customStyle="1" w:styleId="728">
    <w:name w:val="副标题 Char1"/>
    <w:qFormat/>
    <w:uiPriority w:val="0"/>
    <w:rPr>
      <w:rFonts w:ascii="Cambria" w:hAnsi="Cambria" w:eastAsia="宋体" w:cs="Times New Roman"/>
      <w:b/>
      <w:bCs/>
      <w:snapToGrid w:val="0"/>
      <w:kern w:val="28"/>
      <w:sz w:val="32"/>
      <w:szCs w:val="32"/>
    </w:rPr>
  </w:style>
  <w:style w:type="character" w:customStyle="1" w:styleId="729">
    <w:name w:val="font61"/>
    <w:qFormat/>
    <w:uiPriority w:val="0"/>
    <w:rPr>
      <w:rFonts w:hint="eastAsia" w:ascii="仿宋" w:hAnsi="仿宋" w:eastAsia="仿宋" w:cs="仿宋"/>
      <w:color w:val="000000"/>
      <w:sz w:val="20"/>
      <w:szCs w:val="20"/>
      <w:u w:val="none"/>
    </w:rPr>
  </w:style>
  <w:style w:type="character" w:customStyle="1" w:styleId="730">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731">
    <w:name w:val="Char Char211"/>
    <w:qFormat/>
    <w:uiPriority w:val="0"/>
    <w:rPr>
      <w:rFonts w:eastAsia="宋体"/>
      <w:b/>
      <w:bCs/>
      <w:kern w:val="2"/>
      <w:sz w:val="21"/>
      <w:szCs w:val="24"/>
      <w:lang w:val="en-US" w:eastAsia="zh-CN" w:bidi="ar-SA"/>
    </w:rPr>
  </w:style>
  <w:style w:type="character" w:customStyle="1" w:styleId="732">
    <w:name w:val="标题 2 Char"/>
    <w:qFormat/>
    <w:uiPriority w:val="0"/>
    <w:rPr>
      <w:rFonts w:ascii="Arial" w:hAnsi="Arial" w:eastAsia="黑体"/>
      <w:b/>
      <w:kern w:val="2"/>
      <w:sz w:val="32"/>
      <w:lang w:val="en-US" w:eastAsia="zh-CN"/>
    </w:rPr>
  </w:style>
  <w:style w:type="character" w:customStyle="1" w:styleId="733">
    <w:name w:val="maywed421"/>
    <w:qFormat/>
    <w:uiPriority w:val="0"/>
    <w:rPr>
      <w:color w:val="366FB6"/>
      <w:u w:val="none"/>
    </w:rPr>
  </w:style>
  <w:style w:type="character" w:customStyle="1" w:styleId="734">
    <w:name w:val="正文文本缩进 Char"/>
    <w:qFormat/>
    <w:uiPriority w:val="0"/>
    <w:rPr>
      <w:rFonts w:ascii="宋体" w:hAnsi="宋体"/>
      <w:kern w:val="2"/>
      <w:sz w:val="24"/>
      <w:szCs w:val="24"/>
    </w:rPr>
  </w:style>
  <w:style w:type="character" w:customStyle="1" w:styleId="735">
    <w:name w:val="Char Char102"/>
    <w:semiHidden/>
    <w:qFormat/>
    <w:uiPriority w:val="0"/>
    <w:rPr>
      <w:rFonts w:ascii="宋体" w:hAnsi="宋体"/>
      <w:kern w:val="2"/>
      <w:sz w:val="21"/>
      <w:szCs w:val="24"/>
      <w:lang w:val="en-US" w:eastAsia="zh-CN"/>
    </w:rPr>
  </w:style>
  <w:style w:type="character" w:customStyle="1" w:styleId="736">
    <w:name w:val="页眉 Char1"/>
    <w:qFormat/>
    <w:uiPriority w:val="0"/>
    <w:rPr>
      <w:rFonts w:eastAsia="宋体"/>
      <w:kern w:val="2"/>
      <w:sz w:val="18"/>
      <w:szCs w:val="18"/>
      <w:lang w:val="en-US" w:eastAsia="zh-CN" w:bidi="ar-SA"/>
    </w:rPr>
  </w:style>
  <w:style w:type="character" w:customStyle="1" w:styleId="737">
    <w:name w:val="md"/>
    <w:basedOn w:val="69"/>
    <w:qFormat/>
    <w:uiPriority w:val="0"/>
    <w:rPr>
      <w:rFonts w:ascii="Arial" w:hAnsi="Arial" w:eastAsia="黑体" w:cs="Arial"/>
      <w:snapToGrid w:val="0"/>
      <w:kern w:val="0"/>
      <w:szCs w:val="21"/>
    </w:rPr>
  </w:style>
  <w:style w:type="character" w:customStyle="1" w:styleId="738">
    <w:name w:val="big1"/>
    <w:qFormat/>
    <w:uiPriority w:val="0"/>
    <w:rPr>
      <w:rFonts w:hint="eastAsia" w:ascii="宋体" w:hAnsi="宋体" w:eastAsia="宋体"/>
      <w:color w:val="333333"/>
      <w:sz w:val="22"/>
      <w:szCs w:val="22"/>
    </w:rPr>
  </w:style>
  <w:style w:type="character" w:customStyle="1" w:styleId="739">
    <w:name w:val="Char Char311"/>
    <w:qFormat/>
    <w:uiPriority w:val="0"/>
    <w:rPr>
      <w:rFonts w:eastAsia="宋体"/>
      <w:kern w:val="2"/>
      <w:sz w:val="21"/>
      <w:szCs w:val="24"/>
      <w:lang w:val="en-US" w:eastAsia="zh-CN" w:bidi="ar-SA"/>
    </w:rPr>
  </w:style>
  <w:style w:type="character" w:customStyle="1" w:styleId="740">
    <w:name w:val="Char Char81"/>
    <w:qFormat/>
    <w:uiPriority w:val="6"/>
    <w:rPr>
      <w:rFonts w:eastAsia="宋体"/>
      <w:b/>
      <w:sz w:val="24"/>
      <w:lang w:eastAsia="zh-CN"/>
    </w:rPr>
  </w:style>
  <w:style w:type="character" w:customStyle="1" w:styleId="741">
    <w:name w:val="样式3 Char"/>
    <w:basedOn w:val="696"/>
    <w:qFormat/>
    <w:uiPriority w:val="0"/>
    <w:rPr>
      <w:rFonts w:ascii="仿宋_GB2312" w:hAnsi="仿宋" w:eastAsia="仿宋_GB2312" w:cs="仿宋_GB2312"/>
      <w:sz w:val="32"/>
      <w:szCs w:val="30"/>
      <w:lang w:val="zh-CN"/>
    </w:rPr>
  </w:style>
  <w:style w:type="character" w:customStyle="1" w:styleId="742">
    <w:name w:val="HTML 地址 Char"/>
    <w:link w:val="29"/>
    <w:qFormat/>
    <w:uiPriority w:val="0"/>
    <w:rPr>
      <w:rFonts w:ascii="宋体" w:hAnsi="宋体"/>
      <w:i/>
      <w:iCs/>
      <w:sz w:val="24"/>
      <w:szCs w:val="24"/>
    </w:rPr>
  </w:style>
  <w:style w:type="character" w:customStyle="1" w:styleId="743">
    <w:name w:val="正文首行缩进 2 Char1"/>
    <w:qFormat/>
    <w:uiPriority w:val="0"/>
    <w:rPr>
      <w:rFonts w:ascii="Times New Roman" w:hAnsi="Times New Roman" w:eastAsia="宋体" w:cs="Times New Roman"/>
      <w:kern w:val="2"/>
      <w:sz w:val="24"/>
      <w:szCs w:val="24"/>
    </w:rPr>
  </w:style>
  <w:style w:type="character" w:customStyle="1" w:styleId="744">
    <w:name w:val="副标题 Char2"/>
    <w:qFormat/>
    <w:uiPriority w:val="0"/>
    <w:rPr>
      <w:rFonts w:ascii="Cambria" w:hAnsi="Cambria" w:eastAsia="宋体" w:cs="Times New Roman"/>
      <w:b/>
      <w:bCs/>
      <w:snapToGrid w:val="0"/>
      <w:kern w:val="28"/>
      <w:sz w:val="32"/>
      <w:szCs w:val="32"/>
    </w:rPr>
  </w:style>
  <w:style w:type="character" w:customStyle="1" w:styleId="745">
    <w:name w:val="标题4-dyf Char"/>
    <w:link w:val="95"/>
    <w:qFormat/>
    <w:uiPriority w:val="0"/>
    <w:rPr>
      <w:rFonts w:ascii="Cambria" w:hAnsi="Cambria"/>
      <w:b/>
      <w:bCs/>
      <w:color w:val="000000"/>
      <w:kern w:val="2"/>
      <w:sz w:val="21"/>
      <w:szCs w:val="21"/>
    </w:rPr>
  </w:style>
  <w:style w:type="character" w:customStyle="1" w:styleId="746">
    <w:name w:val="dectext1"/>
    <w:qFormat/>
    <w:uiPriority w:val="0"/>
    <w:rPr>
      <w:rFonts w:ascii="宋体" w:hAnsi="宋体" w:eastAsia="宋体"/>
      <w:color w:val="333333"/>
      <w:sz w:val="21"/>
      <w:szCs w:val="21"/>
      <w:u w:val="none"/>
    </w:rPr>
  </w:style>
  <w:style w:type="character" w:customStyle="1" w:styleId="747">
    <w:name w:val="冯 Char"/>
    <w:link w:val="96"/>
    <w:qFormat/>
    <w:uiPriority w:val="0"/>
    <w:rPr>
      <w:rFonts w:ascii="宋体" w:hAnsi="宋体"/>
      <w:color w:val="000000"/>
      <w:sz w:val="24"/>
      <w:szCs w:val="24"/>
    </w:rPr>
  </w:style>
  <w:style w:type="character" w:customStyle="1" w:styleId="748">
    <w:name w:val="Header Char"/>
    <w:qFormat/>
    <w:locked/>
    <w:uiPriority w:val="0"/>
    <w:rPr>
      <w:rFonts w:eastAsia="宋体"/>
      <w:kern w:val="2"/>
      <w:sz w:val="18"/>
      <w:szCs w:val="18"/>
      <w:lang w:val="en-US" w:eastAsia="zh-CN" w:bidi="ar-SA"/>
    </w:rPr>
  </w:style>
  <w:style w:type="character" w:customStyle="1" w:styleId="749">
    <w:name w:val="Char Char12"/>
    <w:qFormat/>
    <w:uiPriority w:val="0"/>
    <w:rPr>
      <w:rFonts w:ascii="仿宋_GB2312" w:eastAsia="仿宋_GB2312"/>
      <w:b/>
      <w:bCs/>
      <w:kern w:val="2"/>
      <w:sz w:val="24"/>
      <w:szCs w:val="24"/>
      <w:lang w:val="zh-CN" w:eastAsia="zh-CN" w:bidi="ar-SA"/>
    </w:rPr>
  </w:style>
  <w:style w:type="character" w:customStyle="1" w:styleId="750">
    <w:name w:val="题注 Char"/>
    <w:link w:val="16"/>
    <w:qFormat/>
    <w:uiPriority w:val="0"/>
    <w:rPr>
      <w:b/>
      <w:kern w:val="2"/>
      <w:sz w:val="28"/>
    </w:rPr>
  </w:style>
  <w:style w:type="character" w:customStyle="1" w:styleId="751">
    <w:name w:val="普通文字 Char3"/>
    <w:qFormat/>
    <w:uiPriority w:val="0"/>
    <w:rPr>
      <w:rFonts w:ascii="宋体" w:hAnsi="Courier New" w:eastAsia="宋体"/>
      <w:kern w:val="2"/>
      <w:sz w:val="21"/>
      <w:lang w:val="en-US" w:eastAsia="zh-CN" w:bidi="ar-SA"/>
    </w:rPr>
  </w:style>
  <w:style w:type="character" w:customStyle="1" w:styleId="752">
    <w:name w:val="公文正文 Char"/>
    <w:qFormat/>
    <w:uiPriority w:val="0"/>
    <w:rPr>
      <w:rFonts w:ascii="仿宋_GB2312" w:eastAsia="仿宋_GB2312"/>
      <w:kern w:val="2"/>
      <w:sz w:val="24"/>
      <w:szCs w:val="24"/>
      <w:lang w:val="en-US" w:eastAsia="zh-CN" w:bidi="ar-SA"/>
    </w:rPr>
  </w:style>
  <w:style w:type="character" w:customStyle="1" w:styleId="753">
    <w:name w:val="正文首行缩进 Char Char Char Char Char"/>
    <w:qFormat/>
    <w:uiPriority w:val="0"/>
    <w:rPr>
      <w:rFonts w:ascii="宋体"/>
      <w:kern w:val="2"/>
      <w:sz w:val="24"/>
      <w:lang w:val="zh-CN"/>
    </w:rPr>
  </w:style>
  <w:style w:type="character" w:customStyle="1" w:styleId="754">
    <w:name w:val="PI Char"/>
    <w:qFormat/>
    <w:uiPriority w:val="0"/>
    <w:rPr>
      <w:rFonts w:ascii="宋体" w:hAnsi="宋体" w:eastAsia="宋体"/>
      <w:kern w:val="2"/>
      <w:sz w:val="24"/>
      <w:szCs w:val="24"/>
      <w:lang w:val="en-US" w:eastAsia="zh-CN" w:bidi="ar-SA"/>
    </w:rPr>
  </w:style>
  <w:style w:type="character" w:customStyle="1" w:styleId="755">
    <w:name w:val="Default Char"/>
    <w:link w:val="97"/>
    <w:qFormat/>
    <w:uiPriority w:val="0"/>
    <w:rPr>
      <w:rFonts w:ascii="仿宋_GB2312" w:eastAsia="仿宋_GB2312" w:cs="仿宋_GB2312"/>
      <w:color w:val="000000"/>
      <w:sz w:val="24"/>
      <w:szCs w:val="24"/>
      <w:lang w:val="en-US" w:eastAsia="zh-CN" w:bidi="ar-SA"/>
    </w:rPr>
  </w:style>
  <w:style w:type="character" w:customStyle="1" w:styleId="756">
    <w:name w:val="style91"/>
    <w:qFormat/>
    <w:uiPriority w:val="0"/>
    <w:rPr>
      <w:color w:val="333333"/>
    </w:rPr>
  </w:style>
  <w:style w:type="character" w:customStyle="1" w:styleId="757">
    <w:name w:val="列出段落 Char2"/>
    <w:qFormat/>
    <w:uiPriority w:val="34"/>
    <w:rPr>
      <w:rFonts w:ascii="Calibri" w:hAnsi="Calibri"/>
      <w:kern w:val="2"/>
      <w:sz w:val="28"/>
    </w:rPr>
  </w:style>
  <w:style w:type="character" w:customStyle="1" w:styleId="758">
    <w:name w:val="mdeck"/>
    <w:qFormat/>
    <w:uiPriority w:val="0"/>
    <w:rPr>
      <w:rFonts w:ascii="仿宋_GB2312" w:eastAsia="微软雅黑"/>
      <w:b/>
      <w:kern w:val="2"/>
      <w:sz w:val="32"/>
      <w:szCs w:val="32"/>
      <w:lang w:val="en-US" w:eastAsia="zh-CN" w:bidi="ar-SA"/>
    </w:rPr>
  </w:style>
  <w:style w:type="character" w:customStyle="1" w:styleId="759">
    <w:name w:val="unnamed11"/>
    <w:qFormat/>
    <w:uiPriority w:val="0"/>
    <w:rPr>
      <w:sz w:val="20"/>
      <w:szCs w:val="20"/>
    </w:rPr>
  </w:style>
  <w:style w:type="character" w:customStyle="1" w:styleId="760">
    <w:name w:val="正文文本 Char2"/>
    <w:semiHidden/>
    <w:qFormat/>
    <w:uiPriority w:val="99"/>
    <w:rPr>
      <w:rFonts w:ascii="Times New Roman" w:hAnsi="Times New Roman" w:eastAsia="宋体" w:cs="Times New Roman"/>
      <w:snapToGrid w:val="0"/>
      <w:kern w:val="0"/>
      <w:szCs w:val="24"/>
    </w:rPr>
  </w:style>
  <w:style w:type="character" w:customStyle="1" w:styleId="761">
    <w:name w:val="标书正文格式 Char"/>
    <w:qFormat/>
    <w:uiPriority w:val="0"/>
    <w:rPr>
      <w:rFonts w:eastAsia="楷体_GB2312"/>
      <w:kern w:val="2"/>
      <w:sz w:val="24"/>
      <w:szCs w:val="24"/>
      <w:lang w:bidi="ar-SA"/>
    </w:rPr>
  </w:style>
  <w:style w:type="character" w:customStyle="1" w:styleId="762">
    <w:name w:val="Char Char11"/>
    <w:qFormat/>
    <w:locked/>
    <w:uiPriority w:val="0"/>
    <w:rPr>
      <w:rFonts w:ascii="宋体" w:hAnsi="宋体" w:eastAsia="宋体"/>
      <w:b/>
      <w:kern w:val="2"/>
      <w:sz w:val="24"/>
      <w:szCs w:val="24"/>
      <w:lang w:val="en-US" w:eastAsia="zh-CN" w:bidi="ar-SA"/>
    </w:rPr>
  </w:style>
  <w:style w:type="character" w:customStyle="1" w:styleId="763">
    <w:name w:val="ca-131"/>
    <w:qFormat/>
    <w:uiPriority w:val="0"/>
    <w:rPr>
      <w:rFonts w:hint="eastAsia" w:ascii="仿宋_GB2312" w:eastAsia="仿宋_GB2312"/>
      <w:b/>
      <w:bCs/>
      <w:color w:val="000000"/>
      <w:spacing w:val="-20"/>
      <w:sz w:val="24"/>
      <w:szCs w:val="24"/>
    </w:rPr>
  </w:style>
  <w:style w:type="character" w:customStyle="1" w:styleId="764">
    <w:name w:val="tw4winMark"/>
    <w:qFormat/>
    <w:uiPriority w:val="0"/>
    <w:rPr>
      <w:rFonts w:ascii="Courier New" w:hAnsi="Courier New" w:cs="Courier New"/>
      <w:vanish/>
      <w:color w:val="800080"/>
      <w:sz w:val="24"/>
      <w:szCs w:val="24"/>
      <w:vertAlign w:val="subscript"/>
    </w:rPr>
  </w:style>
  <w:style w:type="character" w:customStyle="1" w:styleId="765">
    <w:name w:val="正文样式 Char"/>
    <w:link w:val="98"/>
    <w:qFormat/>
    <w:uiPriority w:val="0"/>
    <w:rPr>
      <w:rFonts w:ascii="Calibri" w:hAnsi="Calibri"/>
      <w:sz w:val="24"/>
      <w:szCs w:val="24"/>
    </w:rPr>
  </w:style>
  <w:style w:type="character" w:customStyle="1" w:styleId="766">
    <w:name w:val="表正文 Char3"/>
    <w:qFormat/>
    <w:uiPriority w:val="0"/>
    <w:rPr>
      <w:rFonts w:eastAsia="宋体"/>
    </w:rPr>
  </w:style>
  <w:style w:type="character" w:customStyle="1" w:styleId="767">
    <w:name w:val="H5 Char"/>
    <w:qFormat/>
    <w:uiPriority w:val="0"/>
    <w:rPr>
      <w:b/>
      <w:bCs/>
      <w:kern w:val="2"/>
      <w:sz w:val="28"/>
      <w:szCs w:val="28"/>
    </w:rPr>
  </w:style>
  <w:style w:type="character" w:customStyle="1" w:styleId="768">
    <w:name w:val="Char Char3"/>
    <w:qFormat/>
    <w:uiPriority w:val="0"/>
    <w:rPr>
      <w:rFonts w:eastAsia="宋体"/>
      <w:kern w:val="2"/>
      <w:sz w:val="21"/>
      <w:szCs w:val="24"/>
      <w:lang w:val="en-US" w:eastAsia="zh-CN" w:bidi="ar-SA"/>
    </w:rPr>
  </w:style>
  <w:style w:type="character" w:customStyle="1" w:styleId="769">
    <w:name w:val="正文 编号 Char"/>
    <w:qFormat/>
    <w:uiPriority w:val="0"/>
    <w:rPr>
      <w:rFonts w:ascii="仿宋_GB2312" w:hAnsi="仿宋_GB2312" w:eastAsia="仿宋_GB2312"/>
      <w:kern w:val="2"/>
      <w:sz w:val="24"/>
      <w:lang w:bidi="ar-SA"/>
    </w:rPr>
  </w:style>
  <w:style w:type="character" w:customStyle="1" w:styleId="770">
    <w:name w:val="question-title2"/>
    <w:qFormat/>
    <w:uiPriority w:val="6"/>
    <w:rPr>
      <w:rFonts w:ascii="Arial" w:hAnsi="Arial" w:eastAsia="黑体" w:cs="Arial"/>
      <w:snapToGrid w:val="0"/>
      <w:kern w:val="0"/>
      <w:szCs w:val="21"/>
    </w:rPr>
  </w:style>
  <w:style w:type="character" w:customStyle="1" w:styleId="771">
    <w:name w:val="gf正文1 Char Char"/>
    <w:link w:val="99"/>
    <w:qFormat/>
    <w:uiPriority w:val="0"/>
    <w:rPr>
      <w:rFonts w:ascii="宋体" w:hAnsi="宋体" w:cs="宋体"/>
      <w:kern w:val="2"/>
      <w:sz w:val="24"/>
      <w:szCs w:val="24"/>
    </w:rPr>
  </w:style>
  <w:style w:type="character" w:customStyle="1" w:styleId="772">
    <w:name w:val="Char Char15"/>
    <w:qFormat/>
    <w:uiPriority w:val="6"/>
    <w:rPr>
      <w:rFonts w:ascii="宋体" w:hAnsi="宋体"/>
      <w:kern w:val="1"/>
      <w:sz w:val="21"/>
    </w:rPr>
  </w:style>
  <w:style w:type="character" w:customStyle="1" w:styleId="773">
    <w:name w:val="正文缩进 Char3"/>
    <w:qFormat/>
    <w:uiPriority w:val="0"/>
    <w:rPr>
      <w:rFonts w:ascii="宋体" w:eastAsia="宋体"/>
      <w:snapToGrid w:val="0"/>
      <w:color w:val="000000"/>
      <w:kern w:val="28"/>
      <w:sz w:val="28"/>
      <w:lang w:val="en-US" w:eastAsia="zh-CN" w:bidi="ar-SA"/>
    </w:rPr>
  </w:style>
  <w:style w:type="character" w:customStyle="1" w:styleId="774">
    <w:name w:val="列出段落 Char1"/>
    <w:link w:val="100"/>
    <w:qFormat/>
    <w:uiPriority w:val="0"/>
    <w:rPr>
      <w:rFonts w:ascii="Calibri" w:hAnsi="Calibri"/>
      <w:sz w:val="24"/>
      <w:lang w:eastAsia="en-US"/>
    </w:rPr>
  </w:style>
  <w:style w:type="character" w:customStyle="1" w:styleId="775">
    <w:name w:val="Char Char8"/>
    <w:qFormat/>
    <w:uiPriority w:val="0"/>
    <w:rPr>
      <w:rFonts w:eastAsia="宋体"/>
      <w:b/>
      <w:sz w:val="24"/>
      <w:lang w:eastAsia="zh-CN"/>
    </w:rPr>
  </w:style>
  <w:style w:type="character" w:customStyle="1" w:styleId="776">
    <w:name w:val="Normal Indent Char Char"/>
    <w:qFormat/>
    <w:uiPriority w:val="0"/>
    <w:rPr>
      <w:rFonts w:eastAsia="宋体"/>
      <w:kern w:val="2"/>
      <w:sz w:val="21"/>
      <w:lang w:val="en-US" w:eastAsia="zh-CN" w:bidi="ar-SA"/>
    </w:rPr>
  </w:style>
  <w:style w:type="character" w:customStyle="1" w:styleId="777">
    <w:name w:val="列表段落 字符"/>
    <w:qFormat/>
    <w:uiPriority w:val="99"/>
  </w:style>
  <w:style w:type="character" w:customStyle="1" w:styleId="778">
    <w:name w:val="Ò³Ã¼ Char Char1"/>
    <w:qFormat/>
    <w:uiPriority w:val="0"/>
    <w:rPr>
      <w:rFonts w:eastAsia="宋体"/>
      <w:kern w:val="2"/>
      <w:sz w:val="18"/>
      <w:szCs w:val="18"/>
      <w:lang w:val="en-US" w:eastAsia="zh-CN" w:bidi="ar-SA"/>
    </w:rPr>
  </w:style>
  <w:style w:type="character" w:customStyle="1" w:styleId="779">
    <w:name w:val="方案正文 Char"/>
    <w:qFormat/>
    <w:uiPriority w:val="0"/>
    <w:rPr>
      <w:rFonts w:ascii="仿宋_GB2312" w:eastAsia="仿宋_GB2312"/>
      <w:b/>
      <w:color w:val="000000"/>
      <w:kern w:val="2"/>
      <w:sz w:val="24"/>
      <w:lang w:val="en-US" w:eastAsia="zh-CN" w:bidi="ar-SA"/>
    </w:rPr>
  </w:style>
  <w:style w:type="character" w:customStyle="1" w:styleId="780">
    <w:name w:val="Char Char30"/>
    <w:qFormat/>
    <w:uiPriority w:val="6"/>
    <w:rPr>
      <w:rFonts w:ascii="Arial" w:hAnsi="Arial" w:eastAsia="黑体"/>
      <w:kern w:val="1"/>
      <w:sz w:val="21"/>
      <w:szCs w:val="21"/>
    </w:rPr>
  </w:style>
  <w:style w:type="character" w:customStyle="1" w:styleId="781">
    <w:name w:val="正文文本缩进 Char3"/>
    <w:link w:val="24"/>
    <w:qFormat/>
    <w:uiPriority w:val="0"/>
    <w:rPr>
      <w:rFonts w:ascii="宋体" w:hAnsi="宋体"/>
      <w:kern w:val="2"/>
      <w:sz w:val="24"/>
      <w:szCs w:val="24"/>
    </w:rPr>
  </w:style>
  <w:style w:type="character" w:customStyle="1" w:styleId="782">
    <w:name w:val="font01"/>
    <w:qFormat/>
    <w:uiPriority w:val="0"/>
    <w:rPr>
      <w:rFonts w:hint="eastAsia" w:ascii="微软雅黑" w:hAnsi="微软雅黑" w:eastAsia="微软雅黑" w:cs="微软雅黑"/>
      <w:color w:val="000000"/>
      <w:sz w:val="20"/>
      <w:szCs w:val="20"/>
      <w:u w:val="none"/>
    </w:rPr>
  </w:style>
  <w:style w:type="character" w:customStyle="1" w:styleId="783">
    <w:name w:val="Char Char20"/>
    <w:qFormat/>
    <w:uiPriority w:val="6"/>
    <w:rPr>
      <w:kern w:val="1"/>
      <w:sz w:val="24"/>
    </w:rPr>
  </w:style>
  <w:style w:type="character" w:customStyle="1" w:styleId="784">
    <w:name w:val="tw4winExternal"/>
    <w:qFormat/>
    <w:uiPriority w:val="0"/>
    <w:rPr>
      <w:rFonts w:ascii="Courier New" w:hAnsi="Courier New" w:cs="Courier New"/>
      <w:color w:val="808080"/>
      <w:lang w:val="en-US" w:eastAsia="zh-CN"/>
    </w:rPr>
  </w:style>
  <w:style w:type="character" w:customStyle="1" w:styleId="785">
    <w:name w:val="标题 4 Char1"/>
    <w:qFormat/>
    <w:uiPriority w:val="9"/>
    <w:rPr>
      <w:rFonts w:ascii="Cambria" w:hAnsi="Cambria" w:eastAsia="宋体" w:cs="Times New Roman"/>
      <w:b/>
      <w:bCs/>
      <w:kern w:val="2"/>
      <w:sz w:val="28"/>
      <w:szCs w:val="28"/>
    </w:rPr>
  </w:style>
  <w:style w:type="character" w:customStyle="1" w:styleId="786">
    <w:name w:val="批注文字 Char2"/>
    <w:qFormat/>
    <w:uiPriority w:val="99"/>
    <w:rPr>
      <w:rFonts w:ascii="Times New Roman" w:hAnsi="Times New Roman" w:eastAsia="宋体" w:cs="Times New Roman"/>
      <w:snapToGrid w:val="0"/>
      <w:kern w:val="0"/>
      <w:szCs w:val="24"/>
    </w:rPr>
  </w:style>
  <w:style w:type="character" w:customStyle="1" w:styleId="787">
    <w:name w:val="正文文本 2 Char"/>
    <w:qFormat/>
    <w:uiPriority w:val="0"/>
    <w:rPr>
      <w:rFonts w:eastAsia="宋体"/>
      <w:kern w:val="2"/>
      <w:sz w:val="21"/>
      <w:szCs w:val="24"/>
      <w:lang w:val="en-US" w:eastAsia="zh-CN" w:bidi="ar-SA"/>
    </w:rPr>
  </w:style>
  <w:style w:type="character" w:customStyle="1" w:styleId="788">
    <w:name w:val="Ò³Ã¼ Char Char"/>
    <w:qFormat/>
    <w:uiPriority w:val="0"/>
    <w:rPr>
      <w:rFonts w:eastAsia="宋体"/>
      <w:kern w:val="2"/>
      <w:sz w:val="18"/>
      <w:lang w:val="en-US" w:eastAsia="zh-CN" w:bidi="ar-SA"/>
    </w:rPr>
  </w:style>
  <w:style w:type="character" w:customStyle="1" w:styleId="789">
    <w:name w:val="message1"/>
    <w:qFormat/>
    <w:uiPriority w:val="0"/>
    <w:rPr>
      <w:rFonts w:hint="default" w:ascii="Tahoma" w:hAnsi="Tahoma" w:cs="Tahoma"/>
      <w:sz w:val="18"/>
      <w:szCs w:val="18"/>
    </w:rPr>
  </w:style>
  <w:style w:type="character" w:customStyle="1" w:styleId="790">
    <w:name w:val="Char Char23"/>
    <w:qFormat/>
    <w:uiPriority w:val="6"/>
    <w:rPr>
      <w:color w:val="0000FF"/>
      <w:sz w:val="21"/>
    </w:rPr>
  </w:style>
  <w:style w:type="character" w:customStyle="1" w:styleId="791">
    <w:name w:val="批注框文本 字符"/>
    <w:qFormat/>
    <w:uiPriority w:val="0"/>
    <w:rPr>
      <w:rFonts w:ascii="Arial" w:hAnsi="Arial" w:eastAsia="黑体" w:cs="Arial"/>
      <w:snapToGrid w:val="0"/>
      <w:kern w:val="0"/>
      <w:sz w:val="18"/>
      <w:szCs w:val="18"/>
    </w:rPr>
  </w:style>
  <w:style w:type="character" w:customStyle="1" w:styleId="792">
    <w:name w:val="纯文本 Char2"/>
    <w:semiHidden/>
    <w:qFormat/>
    <w:uiPriority w:val="99"/>
    <w:rPr>
      <w:rFonts w:ascii="宋体" w:hAnsi="Courier New" w:eastAsia="宋体" w:cs="Courier New"/>
    </w:rPr>
  </w:style>
  <w:style w:type="character" w:customStyle="1" w:styleId="793">
    <w:name w:val="Char Char25"/>
    <w:qFormat/>
    <w:uiPriority w:val="6"/>
    <w:rPr>
      <w:rFonts w:ascii="宋体" w:hAnsi="宋体"/>
      <w:kern w:val="1"/>
      <w:sz w:val="24"/>
      <w:lang w:val="zh-CN"/>
    </w:rPr>
  </w:style>
  <w:style w:type="character" w:customStyle="1" w:styleId="794">
    <w:name w:val="Char Char411"/>
    <w:qFormat/>
    <w:uiPriority w:val="0"/>
    <w:rPr>
      <w:rFonts w:eastAsia="宋体"/>
      <w:b/>
      <w:sz w:val="24"/>
      <w:lang w:eastAsia="zh-CN" w:bidi="ar-SA"/>
    </w:rPr>
  </w:style>
  <w:style w:type="character" w:customStyle="1" w:styleId="795">
    <w:name w:val="Heading 7 Char"/>
    <w:qFormat/>
    <w:locked/>
    <w:uiPriority w:val="0"/>
    <w:rPr>
      <w:rFonts w:ascii="宋体" w:hAnsi="宋体" w:eastAsia="宋体"/>
      <w:b/>
      <w:bCs/>
      <w:kern w:val="2"/>
      <w:sz w:val="24"/>
      <w:szCs w:val="24"/>
      <w:lang w:val="en-US" w:eastAsia="zh-CN" w:bidi="ar-SA"/>
    </w:rPr>
  </w:style>
  <w:style w:type="character" w:customStyle="1" w:styleId="796">
    <w:name w:val="此正文 Char"/>
    <w:link w:val="102"/>
    <w:qFormat/>
    <w:uiPriority w:val="0"/>
    <w:rPr>
      <w:kern w:val="2"/>
      <w:sz w:val="24"/>
      <w:szCs w:val="24"/>
    </w:rPr>
  </w:style>
  <w:style w:type="character" w:customStyle="1" w:styleId="797">
    <w:name w:val="Char Char2"/>
    <w:qFormat/>
    <w:uiPriority w:val="0"/>
    <w:rPr>
      <w:rFonts w:eastAsia="宋体"/>
      <w:b/>
      <w:bCs/>
      <w:kern w:val="2"/>
      <w:sz w:val="21"/>
      <w:szCs w:val="24"/>
      <w:lang w:val="en-US" w:eastAsia="zh-CN" w:bidi="ar-SA"/>
    </w:rPr>
  </w:style>
  <w:style w:type="character" w:customStyle="1" w:styleId="798">
    <w:name w:val="标题 1 Char"/>
    <w:link w:val="2"/>
    <w:qFormat/>
    <w:uiPriority w:val="9"/>
    <w:rPr>
      <w:b/>
      <w:bCs/>
      <w:kern w:val="44"/>
      <w:sz w:val="44"/>
      <w:szCs w:val="44"/>
    </w:rPr>
  </w:style>
  <w:style w:type="character" w:customStyle="1" w:styleId="799">
    <w:name w:val="Footer-Even Char1"/>
    <w:qFormat/>
    <w:uiPriority w:val="0"/>
    <w:rPr>
      <w:rFonts w:eastAsia="宋体"/>
      <w:kern w:val="2"/>
      <w:sz w:val="18"/>
      <w:szCs w:val="18"/>
      <w:lang w:val="en-US" w:eastAsia="zh-CN" w:bidi="ar-SA"/>
    </w:rPr>
  </w:style>
  <w:style w:type="character" w:customStyle="1" w:styleId="800">
    <w:name w:val="Char Char29"/>
    <w:qFormat/>
    <w:uiPriority w:val="6"/>
    <w:rPr>
      <w:rFonts w:ascii="Arial" w:hAnsi="Arial" w:eastAsia="微软雅黑"/>
      <w:b/>
      <w:kern w:val="1"/>
      <w:sz w:val="44"/>
      <w:szCs w:val="32"/>
      <w:lang w:val="en-US" w:eastAsia="zh-CN" w:bidi="ar-SA"/>
    </w:rPr>
  </w:style>
  <w:style w:type="character" w:customStyle="1" w:styleId="801">
    <w:name w:val="标题 Char2"/>
    <w:link w:val="58"/>
    <w:qFormat/>
    <w:uiPriority w:val="10"/>
    <w:rPr>
      <w:b/>
      <w:sz w:val="24"/>
    </w:rPr>
  </w:style>
  <w:style w:type="character" w:customStyle="1" w:styleId="802">
    <w:name w:val="font81"/>
    <w:qFormat/>
    <w:uiPriority w:val="0"/>
    <w:rPr>
      <w:rFonts w:ascii="微软雅黑" w:hAnsi="微软雅黑" w:eastAsia="微软雅黑" w:cs="微软雅黑"/>
      <w:color w:val="000000"/>
      <w:sz w:val="20"/>
      <w:szCs w:val="20"/>
      <w:u w:val="none"/>
    </w:rPr>
  </w:style>
  <w:style w:type="character" w:customStyle="1" w:styleId="803">
    <w:name w:val="Char Char312"/>
    <w:qFormat/>
    <w:uiPriority w:val="0"/>
    <w:rPr>
      <w:rFonts w:ascii="Times New Roman" w:hAnsi="Times New Roman" w:eastAsia="宋体" w:cs="Times New Roman"/>
      <w:b/>
      <w:kern w:val="2"/>
      <w:sz w:val="32"/>
      <w:szCs w:val="24"/>
      <w:lang w:val="en-US" w:eastAsia="zh-CN" w:bidi="ar-SA"/>
    </w:rPr>
  </w:style>
  <w:style w:type="character" w:customStyle="1" w:styleId="804">
    <w:name w:val="t21"/>
    <w:qFormat/>
    <w:uiPriority w:val="0"/>
    <w:rPr>
      <w:rFonts w:ascii="仿宋_GB2312" w:eastAsia="微软雅黑"/>
      <w:b/>
      <w:kern w:val="2"/>
      <w:sz w:val="23"/>
      <w:szCs w:val="23"/>
      <w:lang w:val="en-US" w:eastAsia="zh-CN" w:bidi="ar-SA"/>
    </w:rPr>
  </w:style>
  <w:style w:type="character" w:customStyle="1" w:styleId="805">
    <w:name w:val="样式8 Char"/>
    <w:qFormat/>
    <w:uiPriority w:val="0"/>
    <w:rPr>
      <w:rFonts w:ascii="仿宋_GB2312" w:hAnsi="宋体" w:eastAsia="仿宋_GB2312"/>
      <w:b/>
      <w:bCs/>
      <w:kern w:val="2"/>
      <w:sz w:val="24"/>
      <w:szCs w:val="24"/>
    </w:rPr>
  </w:style>
  <w:style w:type="character" w:customStyle="1" w:styleId="806">
    <w:name w:val="表格 Char Char"/>
    <w:qFormat/>
    <w:uiPriority w:val="0"/>
    <w:rPr>
      <w:rFonts w:ascii="宋体" w:hAnsi="宋体" w:eastAsia="宋体"/>
      <w:lang w:bidi="ar-SA"/>
    </w:rPr>
  </w:style>
  <w:style w:type="character" w:customStyle="1" w:styleId="807">
    <w:name w:val="正文文本 字符1"/>
    <w:qFormat/>
    <w:uiPriority w:val="0"/>
    <w:rPr>
      <w:rFonts w:ascii="Calibri" w:hAnsi="Calibri" w:eastAsia="黑体" w:cs="Arial"/>
      <w:snapToGrid w:val="0"/>
      <w:kern w:val="2"/>
      <w:sz w:val="28"/>
      <w:szCs w:val="21"/>
    </w:rPr>
  </w:style>
  <w:style w:type="character" w:customStyle="1" w:styleId="808">
    <w:name w:val="标题 5 Char"/>
    <w:link w:val="7"/>
    <w:qFormat/>
    <w:uiPriority w:val="9"/>
    <w:rPr>
      <w:b/>
      <w:bCs/>
      <w:kern w:val="2"/>
      <w:sz w:val="28"/>
      <w:szCs w:val="28"/>
    </w:rPr>
  </w:style>
  <w:style w:type="character" w:customStyle="1" w:styleId="809">
    <w:name w:val="标题 6 Char1"/>
    <w:qFormat/>
    <w:uiPriority w:val="0"/>
    <w:rPr>
      <w:rFonts w:ascii="Arial" w:hAnsi="Arial" w:eastAsia="黑体" w:cs="Times New Roman"/>
      <w:b/>
      <w:sz w:val="24"/>
      <w:szCs w:val="20"/>
      <w:lang w:bidi="ar-SA"/>
    </w:rPr>
  </w:style>
  <w:style w:type="character" w:customStyle="1" w:styleId="810">
    <w:name w:val="带编号样式 Char"/>
    <w:qFormat/>
    <w:uiPriority w:val="0"/>
    <w:rPr>
      <w:rFonts w:ascii="仿宋_GB2312" w:eastAsia="仿宋_GB2312"/>
      <w:color w:val="000000"/>
      <w:sz w:val="24"/>
      <w:lang w:bidi="ar-SA"/>
    </w:rPr>
  </w:style>
  <w:style w:type="character" w:customStyle="1" w:styleId="811">
    <w:name w:val="unnamed31"/>
    <w:qFormat/>
    <w:uiPriority w:val="0"/>
    <w:rPr>
      <w:rFonts w:ascii="Tahoma" w:hAnsi="Tahoma" w:eastAsia="宋体"/>
      <w:b/>
      <w:kern w:val="2"/>
      <w:sz w:val="24"/>
      <w:szCs w:val="32"/>
      <w:u w:val="none"/>
      <w:lang w:val="en-US" w:eastAsia="zh-CN" w:bidi="ar-SA"/>
    </w:rPr>
  </w:style>
  <w:style w:type="character" w:customStyle="1" w:styleId="812">
    <w:name w:val="正文首行缩进 Char Char Char Char Char Char1"/>
    <w:qFormat/>
    <w:uiPriority w:val="0"/>
    <w:rPr>
      <w:rFonts w:ascii="宋体" w:eastAsia="宋体"/>
      <w:kern w:val="2"/>
      <w:sz w:val="24"/>
      <w:szCs w:val="24"/>
      <w:lang w:val="zh-CN" w:bidi="ar-SA"/>
    </w:rPr>
  </w:style>
  <w:style w:type="character" w:customStyle="1" w:styleId="813">
    <w:name w:val="称呼 Char"/>
    <w:link w:val="20"/>
    <w:qFormat/>
    <w:uiPriority w:val="0"/>
    <w:rPr>
      <w:rFonts w:ascii="仿宋_GB2312" w:eastAsia="仿宋_GB2312"/>
      <w:kern w:val="2"/>
      <w:sz w:val="28"/>
    </w:rPr>
  </w:style>
  <w:style w:type="character" w:customStyle="1" w:styleId="814">
    <w:name w:val="文本正文 Char Char"/>
    <w:qFormat/>
    <w:locked/>
    <w:uiPriority w:val="0"/>
    <w:rPr>
      <w:sz w:val="24"/>
      <w:lang w:bidi="ar-SA"/>
    </w:rPr>
  </w:style>
  <w:style w:type="character" w:customStyle="1" w:styleId="815">
    <w:name w:val="正文缩进 字符"/>
    <w:qFormat/>
    <w:uiPriority w:val="0"/>
    <w:rPr>
      <w:rFonts w:ascii="宋体" w:eastAsia="宋体"/>
      <w:snapToGrid w:val="0"/>
      <w:color w:val="000000"/>
      <w:kern w:val="28"/>
      <w:sz w:val="28"/>
      <w:lang w:val="en-US" w:eastAsia="zh-CN" w:bidi="ar-SA"/>
    </w:rPr>
  </w:style>
  <w:style w:type="character" w:customStyle="1" w:styleId="816">
    <w:name w:val="HTML 预设格式 Char"/>
    <w:link w:val="56"/>
    <w:qFormat/>
    <w:uiPriority w:val="0"/>
    <w:rPr>
      <w:rFonts w:ascii="黑体" w:hAnsi="Courier New" w:eastAsia="黑体"/>
    </w:rPr>
  </w:style>
  <w:style w:type="character" w:customStyle="1" w:styleId="817">
    <w:name w:val="正文文本 2 Char1"/>
    <w:link w:val="55"/>
    <w:qFormat/>
    <w:uiPriority w:val="0"/>
    <w:rPr>
      <w:kern w:val="2"/>
      <w:sz w:val="21"/>
      <w:szCs w:val="24"/>
    </w:rPr>
  </w:style>
  <w:style w:type="character" w:customStyle="1" w:styleId="818">
    <w:name w:val="样式 样式 标题 4h4H4Fab-4T5Ref Heading 1rh1Heading sqlsect 1.2.3.... +... Char"/>
    <w:link w:val="103"/>
    <w:qFormat/>
    <w:uiPriority w:val="0"/>
    <w:rPr>
      <w:rFonts w:ascii="微软雅黑" w:hAnsi="微软雅黑" w:eastAsia="微软雅黑"/>
      <w:b/>
      <w:bCs/>
      <w:kern w:val="2"/>
      <w:sz w:val="24"/>
      <w:szCs w:val="28"/>
    </w:rPr>
  </w:style>
  <w:style w:type="character" w:customStyle="1" w:styleId="819">
    <w:name w:val="正文非缩进 Char"/>
    <w:qFormat/>
    <w:uiPriority w:val="0"/>
    <w:rPr>
      <w:rFonts w:ascii="宋体" w:eastAsia="宋体"/>
      <w:snapToGrid w:val="0"/>
      <w:color w:val="000000"/>
      <w:kern w:val="28"/>
      <w:sz w:val="28"/>
      <w:lang w:val="en-US" w:eastAsia="zh-CN" w:bidi="ar-SA"/>
    </w:rPr>
  </w:style>
  <w:style w:type="character" w:customStyle="1" w:styleId="820">
    <w:name w:val="标题 7 Char"/>
    <w:link w:val="9"/>
    <w:qFormat/>
    <w:uiPriority w:val="0"/>
    <w:rPr>
      <w:b/>
      <w:bCs/>
      <w:kern w:val="2"/>
      <w:sz w:val="24"/>
      <w:szCs w:val="24"/>
    </w:rPr>
  </w:style>
  <w:style w:type="character" w:customStyle="1" w:styleId="821">
    <w:name w:val="正文文本缩进 2 Char"/>
    <w:link w:val="36"/>
    <w:qFormat/>
    <w:uiPriority w:val="0"/>
    <w:rPr>
      <w:rFonts w:ascii="宋体"/>
      <w:sz w:val="28"/>
    </w:rPr>
  </w:style>
  <w:style w:type="character" w:customStyle="1" w:styleId="822">
    <w:name w:val="Char Char5"/>
    <w:qFormat/>
    <w:uiPriority w:val="0"/>
    <w:rPr>
      <w:rFonts w:ascii="宋体" w:hAnsi="Courier New" w:eastAsia="宋体"/>
      <w:kern w:val="2"/>
      <w:sz w:val="21"/>
      <w:lang w:val="en-US" w:eastAsia="zh-CN"/>
    </w:rPr>
  </w:style>
  <w:style w:type="character" w:customStyle="1" w:styleId="823">
    <w:name w:val="脚注文本 Char"/>
    <w:link w:val="49"/>
    <w:qFormat/>
    <w:uiPriority w:val="0"/>
    <w:rPr>
      <w:color w:val="0000FF"/>
      <w:sz w:val="21"/>
    </w:rPr>
  </w:style>
  <w:style w:type="character" w:customStyle="1" w:styleId="824">
    <w:name w:val="称呼 Char1"/>
    <w:qFormat/>
    <w:uiPriority w:val="0"/>
    <w:rPr>
      <w:rFonts w:ascii="Times New Roman" w:hAnsi="Times New Roman" w:eastAsia="宋体" w:cs="Times New Roman"/>
      <w:szCs w:val="24"/>
    </w:rPr>
  </w:style>
  <w:style w:type="character" w:customStyle="1" w:styleId="825">
    <w:name w:val="正文1 Char"/>
    <w:qFormat/>
    <w:uiPriority w:val="0"/>
    <w:rPr>
      <w:rFonts w:ascii="宋体" w:eastAsia="宋体"/>
      <w:snapToGrid w:val="0"/>
      <w:color w:val="000000"/>
      <w:kern w:val="28"/>
      <w:sz w:val="28"/>
      <w:lang w:val="en-US" w:eastAsia="zh-CN" w:bidi="ar-SA"/>
    </w:rPr>
  </w:style>
  <w:style w:type="character" w:customStyle="1" w:styleId="826">
    <w:name w:val="正文缩进 Char1"/>
    <w:qFormat/>
    <w:uiPriority w:val="0"/>
    <w:rPr>
      <w:rFonts w:ascii="宋体" w:eastAsia="宋体"/>
      <w:snapToGrid w:val="0"/>
      <w:color w:val="000000"/>
      <w:kern w:val="28"/>
      <w:sz w:val="28"/>
      <w:lang w:val="en-US" w:eastAsia="zh-CN" w:bidi="ar-SA"/>
    </w:rPr>
  </w:style>
  <w:style w:type="character" w:customStyle="1" w:styleId="827">
    <w:name w:val="font21"/>
    <w:qFormat/>
    <w:uiPriority w:val="0"/>
    <w:rPr>
      <w:rFonts w:hint="eastAsia" w:ascii="宋体" w:hAnsi="宋体" w:eastAsia="宋体"/>
      <w:kern w:val="2"/>
      <w:sz w:val="28"/>
      <w:szCs w:val="28"/>
      <w:lang w:val="en-US" w:eastAsia="zh-CN" w:bidi="ar-SA"/>
    </w:rPr>
  </w:style>
  <w:style w:type="character" w:customStyle="1" w:styleId="828">
    <w:name w:val="Char Char26"/>
    <w:qFormat/>
    <w:uiPriority w:val="6"/>
    <w:rPr>
      <w:kern w:val="1"/>
      <w:sz w:val="21"/>
      <w:szCs w:val="24"/>
    </w:rPr>
  </w:style>
  <w:style w:type="character" w:customStyle="1" w:styleId="829">
    <w:name w:val="Item List Char"/>
    <w:link w:val="105"/>
    <w:qFormat/>
    <w:uiPriority w:val="0"/>
    <w:rPr>
      <w:rFonts w:ascii="Arial"/>
      <w:bCs/>
      <w:sz w:val="21"/>
      <w:szCs w:val="21"/>
      <w:lang w:val="en-US" w:eastAsia="zh-CN" w:bidi="ar-SA"/>
    </w:rPr>
  </w:style>
  <w:style w:type="character" w:customStyle="1" w:styleId="830">
    <w:name w:val="批注框文本 Char1"/>
    <w:qFormat/>
    <w:uiPriority w:val="0"/>
    <w:rPr>
      <w:rFonts w:ascii="Times New Roman" w:hAnsi="Times New Roman" w:eastAsia="宋体" w:cs="Times New Roman"/>
      <w:sz w:val="18"/>
      <w:szCs w:val="18"/>
    </w:rPr>
  </w:style>
  <w:style w:type="character" w:customStyle="1" w:styleId="831">
    <w:name w:val="纯文本 Char1"/>
    <w:link w:val="106"/>
    <w:qFormat/>
    <w:uiPriority w:val="0"/>
    <w:rPr>
      <w:rFonts w:ascii="宋体" w:hAnsi="Courier New"/>
    </w:rPr>
  </w:style>
  <w:style w:type="character" w:customStyle="1" w:styleId="832">
    <w:name w:val="正文首行缩进 Char"/>
    <w:link w:val="60"/>
    <w:qFormat/>
    <w:uiPriority w:val="0"/>
    <w:rPr>
      <w:rFonts w:ascii="宋体"/>
      <w:kern w:val="2"/>
      <w:sz w:val="24"/>
      <w:lang w:val="zh-CN"/>
    </w:rPr>
  </w:style>
  <w:style w:type="character" w:customStyle="1" w:styleId="833">
    <w:name w:val="h3 Char"/>
    <w:qFormat/>
    <w:uiPriority w:val="0"/>
    <w:rPr>
      <w:rFonts w:eastAsia="宋体"/>
      <w:b/>
      <w:kern w:val="2"/>
      <w:sz w:val="32"/>
      <w:lang w:val="en-US" w:eastAsia="zh-CN" w:bidi="ar-SA"/>
    </w:rPr>
  </w:style>
  <w:style w:type="character" w:customStyle="1" w:styleId="834">
    <w:name w:val="dandyren_title1"/>
    <w:qFormat/>
    <w:uiPriority w:val="0"/>
    <w:rPr>
      <w:b/>
      <w:bCs/>
      <w:color w:val="FF6633"/>
      <w:sz w:val="18"/>
      <w:szCs w:val="18"/>
    </w:rPr>
  </w:style>
  <w:style w:type="character" w:customStyle="1" w:styleId="835">
    <w:name w:val="Char Char31"/>
    <w:qFormat/>
    <w:uiPriority w:val="6"/>
    <w:rPr>
      <w:rFonts w:ascii="Arial" w:hAnsi="Arial" w:eastAsia="黑体"/>
      <w:kern w:val="1"/>
      <w:sz w:val="24"/>
      <w:szCs w:val="24"/>
    </w:rPr>
  </w:style>
  <w:style w:type="character" w:customStyle="1" w:styleId="836">
    <w:name w:val="h Char1"/>
    <w:qFormat/>
    <w:uiPriority w:val="0"/>
    <w:rPr>
      <w:sz w:val="18"/>
      <w:szCs w:val="18"/>
    </w:rPr>
  </w:style>
  <w:style w:type="character" w:customStyle="1" w:styleId="837">
    <w:name w:val="solutionfonts"/>
    <w:qFormat/>
    <w:uiPriority w:val="0"/>
  </w:style>
  <w:style w:type="character" w:customStyle="1" w:styleId="838">
    <w:name w:val="标题 4 Char2"/>
    <w:link w:val="6"/>
    <w:qFormat/>
    <w:uiPriority w:val="9"/>
    <w:rPr>
      <w:rFonts w:ascii="Arial" w:hAnsi="Arial" w:eastAsia="黑体"/>
      <w:b/>
      <w:bCs/>
      <w:kern w:val="2"/>
      <w:sz w:val="28"/>
      <w:szCs w:val="28"/>
      <w:lang w:val="zh-CN"/>
    </w:rPr>
  </w:style>
  <w:style w:type="character" w:customStyle="1" w:styleId="839">
    <w:name w:val="首行缩进 Char"/>
    <w:qFormat/>
    <w:uiPriority w:val="0"/>
    <w:rPr>
      <w:rFonts w:ascii="宋体" w:eastAsia="宋体"/>
      <w:kern w:val="2"/>
      <w:sz w:val="24"/>
      <w:lang w:val="en-US" w:eastAsia="zh-CN" w:bidi="ar-SA"/>
    </w:rPr>
  </w:style>
  <w:style w:type="character" w:customStyle="1" w:styleId="840">
    <w:name w:val="Char Char52"/>
    <w:qFormat/>
    <w:uiPriority w:val="0"/>
    <w:rPr>
      <w:rFonts w:ascii="宋体" w:hAnsi="Courier New" w:eastAsia="宋体"/>
      <w:kern w:val="2"/>
      <w:sz w:val="21"/>
      <w:lang w:val="en-US" w:eastAsia="zh-CN"/>
    </w:rPr>
  </w:style>
  <w:style w:type="character" w:customStyle="1" w:styleId="841">
    <w:name w:val="正文文本 3 Char"/>
    <w:link w:val="21"/>
    <w:qFormat/>
    <w:uiPriority w:val="0"/>
    <w:rPr>
      <w:kern w:val="2"/>
      <w:sz w:val="21"/>
    </w:rPr>
  </w:style>
  <w:style w:type="character" w:customStyle="1" w:styleId="842">
    <w:name w:val="font31"/>
    <w:qFormat/>
    <w:uiPriority w:val="0"/>
    <w:rPr>
      <w:rFonts w:hint="eastAsia" w:ascii="仿宋" w:hAnsi="仿宋" w:eastAsia="仿宋" w:cs="仿宋"/>
      <w:color w:val="000000"/>
      <w:sz w:val="20"/>
      <w:szCs w:val="20"/>
      <w:u w:val="none"/>
    </w:rPr>
  </w:style>
  <w:style w:type="character" w:customStyle="1" w:styleId="843">
    <w:name w:val="正文说明 Char"/>
    <w:link w:val="107"/>
    <w:qFormat/>
    <w:uiPriority w:val="0"/>
    <w:rPr>
      <w:sz w:val="24"/>
      <w:szCs w:val="24"/>
    </w:rPr>
  </w:style>
  <w:style w:type="character" w:customStyle="1" w:styleId="844">
    <w:name w:val="脚注文本 Char1"/>
    <w:qFormat/>
    <w:uiPriority w:val="0"/>
    <w:rPr>
      <w:rFonts w:ascii="Times New Roman" w:hAnsi="Times New Roman" w:eastAsia="宋体" w:cs="Times New Roman"/>
      <w:sz w:val="18"/>
      <w:szCs w:val="18"/>
    </w:rPr>
  </w:style>
  <w:style w:type="character" w:customStyle="1" w:styleId="845">
    <w:name w:val="Char Char1211"/>
    <w:qFormat/>
    <w:uiPriority w:val="0"/>
    <w:rPr>
      <w:rFonts w:ascii="仿宋_GB2312" w:eastAsia="仿宋_GB2312"/>
      <w:b/>
      <w:bCs/>
      <w:kern w:val="2"/>
      <w:sz w:val="24"/>
      <w:szCs w:val="24"/>
      <w:lang w:val="zh-CN" w:eastAsia="zh-CN" w:bidi="ar-SA"/>
    </w:rPr>
  </w:style>
  <w:style w:type="character" w:customStyle="1" w:styleId="846">
    <w:name w:val="标题 Char"/>
    <w:qFormat/>
    <w:uiPriority w:val="0"/>
    <w:rPr>
      <w:rFonts w:eastAsia="宋体"/>
      <w:b/>
      <w:sz w:val="24"/>
      <w:lang w:eastAsia="zh-CN" w:bidi="ar-SA"/>
    </w:rPr>
  </w:style>
  <w:style w:type="character" w:customStyle="1" w:styleId="847">
    <w:name w:val="Char Char35"/>
    <w:qFormat/>
    <w:uiPriority w:val="6"/>
    <w:rPr>
      <w:rFonts w:ascii="Arial" w:hAnsi="Arial" w:eastAsia="黑体"/>
      <w:b/>
      <w:kern w:val="1"/>
      <w:sz w:val="28"/>
      <w:szCs w:val="28"/>
      <w:lang w:val="zh-CN"/>
    </w:rPr>
  </w:style>
  <w:style w:type="character" w:customStyle="1" w:styleId="848">
    <w:name w:val="纯文本 Char Char Char"/>
    <w:qFormat/>
    <w:uiPriority w:val="0"/>
    <w:rPr>
      <w:rFonts w:ascii="宋体" w:hAnsi="Courier New" w:eastAsia="宋体"/>
      <w:kern w:val="2"/>
      <w:sz w:val="21"/>
      <w:lang w:val="en-US" w:eastAsia="zh-CN" w:bidi="ar-SA"/>
    </w:rPr>
  </w:style>
  <w:style w:type="character" w:customStyle="1" w:styleId="849">
    <w:name w:val="Table Text Char"/>
    <w:link w:val="108"/>
    <w:qFormat/>
    <w:uiPriority w:val="0"/>
    <w:rPr>
      <w:sz w:val="24"/>
      <w:szCs w:val="24"/>
    </w:rPr>
  </w:style>
  <w:style w:type="character" w:customStyle="1" w:styleId="850">
    <w:name w:val="正文1 Char1"/>
    <w:qFormat/>
    <w:uiPriority w:val="0"/>
    <w:rPr>
      <w:rFonts w:ascii="仿宋_GB2312" w:hAnsi="Courier New" w:eastAsia="仿宋_GB2312"/>
      <w:kern w:val="28"/>
      <w:sz w:val="24"/>
      <w:szCs w:val="24"/>
      <w:lang w:val="en-US" w:eastAsia="zh-CN"/>
    </w:rPr>
  </w:style>
  <w:style w:type="character" w:customStyle="1" w:styleId="851">
    <w:name w:val="页脚 Char1"/>
    <w:qFormat/>
    <w:uiPriority w:val="0"/>
    <w:rPr>
      <w:rFonts w:eastAsia="宋体"/>
      <w:kern w:val="2"/>
      <w:sz w:val="18"/>
      <w:szCs w:val="18"/>
      <w:lang w:val="en-US" w:eastAsia="zh-CN" w:bidi="ar-SA"/>
    </w:rPr>
  </w:style>
  <w:style w:type="character" w:customStyle="1" w:styleId="852">
    <w:name w:val="Bold"/>
    <w:qFormat/>
    <w:uiPriority w:val="0"/>
    <w:rPr>
      <w:rFonts w:ascii="Arial" w:hAnsi="Arial" w:eastAsia="黑体" w:cs="Times New Roman"/>
      <w:b/>
      <w:kern w:val="2"/>
      <w:sz w:val="32"/>
      <w:szCs w:val="32"/>
      <w:lang w:val="en-US" w:eastAsia="zh-CN" w:bidi="ar-SA"/>
    </w:rPr>
  </w:style>
  <w:style w:type="character" w:customStyle="1" w:styleId="853">
    <w:name w:val="批注文字 Char1"/>
    <w:link w:val="19"/>
    <w:qFormat/>
    <w:uiPriority w:val="0"/>
    <w:rPr>
      <w:kern w:val="2"/>
      <w:sz w:val="21"/>
      <w:szCs w:val="24"/>
    </w:rPr>
  </w:style>
  <w:style w:type="character" w:customStyle="1" w:styleId="854">
    <w:name w:val="签名 Char"/>
    <w:link w:val="41"/>
    <w:qFormat/>
    <w:uiPriority w:val="0"/>
    <w:rPr>
      <w:rFonts w:eastAsia="仿宋_GB2312"/>
      <w:sz w:val="24"/>
    </w:rPr>
  </w:style>
  <w:style w:type="character" w:customStyle="1" w:styleId="855">
    <w:name w:val="hui3"/>
    <w:qFormat/>
    <w:uiPriority w:val="0"/>
    <w:rPr>
      <w:color w:val="333333"/>
    </w:rPr>
  </w:style>
  <w:style w:type="character" w:customStyle="1" w:styleId="856">
    <w:name w:val="Char Char17"/>
    <w:qFormat/>
    <w:uiPriority w:val="6"/>
    <w:rPr>
      <w:rFonts w:eastAsia="仿宋_GB2312"/>
      <w:sz w:val="24"/>
    </w:rPr>
  </w:style>
  <w:style w:type="character" w:customStyle="1" w:styleId="857">
    <w:name w:val="标题 4 字符"/>
    <w:qFormat/>
    <w:uiPriority w:val="9"/>
    <w:rPr>
      <w:rFonts w:ascii="等线 Light" w:hAnsi="等线 Light" w:eastAsia="等线 Light" w:cs="Times New Roman"/>
      <w:b/>
      <w:bCs/>
      <w:snapToGrid w:val="0"/>
      <w:kern w:val="0"/>
      <w:sz w:val="28"/>
      <w:szCs w:val="28"/>
    </w:rPr>
  </w:style>
  <w:style w:type="character" w:customStyle="1" w:styleId="858">
    <w:name w:val="Char Char37"/>
    <w:qFormat/>
    <w:uiPriority w:val="6"/>
    <w:rPr>
      <w:b/>
      <w:kern w:val="1"/>
      <w:sz w:val="44"/>
      <w:szCs w:val="44"/>
    </w:rPr>
  </w:style>
  <w:style w:type="character" w:customStyle="1" w:styleId="859">
    <w:name w:val="列出段落 Char"/>
    <w:qFormat/>
    <w:uiPriority w:val="0"/>
    <w:rPr>
      <w:rFonts w:eastAsia="楷体_GB2312" w:cs="Lucida Sans"/>
      <w:kern w:val="2"/>
      <w:sz w:val="24"/>
      <w:szCs w:val="24"/>
      <w:lang w:val="en-US" w:eastAsia="zh-CN" w:bidi="ar-SA"/>
    </w:rPr>
  </w:style>
  <w:style w:type="character" w:customStyle="1" w:styleId="860">
    <w:name w:val="正文文本缩进 3 Char1"/>
    <w:semiHidden/>
    <w:qFormat/>
    <w:uiPriority w:val="99"/>
    <w:rPr>
      <w:rFonts w:ascii="Times New Roman" w:hAnsi="Times New Roman" w:eastAsia="宋体" w:cs="Times New Roman"/>
      <w:sz w:val="16"/>
      <w:szCs w:val="16"/>
    </w:rPr>
  </w:style>
  <w:style w:type="character" w:customStyle="1" w:styleId="861">
    <w:name w:val="公文正文 Char Char"/>
    <w:link w:val="109"/>
    <w:qFormat/>
    <w:uiPriority w:val="0"/>
    <w:rPr>
      <w:rFonts w:ascii="仿宋_GB2312" w:eastAsia="仿宋_GB2312"/>
      <w:kern w:val="2"/>
      <w:sz w:val="24"/>
      <w:szCs w:val="24"/>
    </w:rPr>
  </w:style>
  <w:style w:type="character" w:customStyle="1" w:styleId="862">
    <w:name w:val="Table Text Char1"/>
    <w:qFormat/>
    <w:uiPriority w:val="0"/>
    <w:rPr>
      <w:rFonts w:eastAsia="宋体"/>
      <w:sz w:val="24"/>
      <w:szCs w:val="24"/>
      <w:lang w:val="en-US" w:eastAsia="zh-CN" w:bidi="ar-SA"/>
    </w:rPr>
  </w:style>
  <w:style w:type="character" w:customStyle="1" w:styleId="863">
    <w:name w:val="标题 1 Char Char"/>
    <w:qFormat/>
    <w:uiPriority w:val="0"/>
    <w:rPr>
      <w:rFonts w:hint="eastAsia" w:ascii="宋体" w:hAnsi="宋体" w:eastAsia="宋体"/>
      <w:b/>
      <w:spacing w:val="-2"/>
      <w:sz w:val="24"/>
      <w:lang w:val="en-US" w:eastAsia="zh-CN" w:bidi="ar-SA"/>
    </w:rPr>
  </w:style>
  <w:style w:type="character" w:customStyle="1" w:styleId="864">
    <w:name w:val="正文（缩进2汉字） Char"/>
    <w:link w:val="110"/>
    <w:qFormat/>
    <w:uiPriority w:val="0"/>
    <w:rPr>
      <w:rFonts w:ascii="宋体"/>
    </w:rPr>
  </w:style>
  <w:style w:type="character" w:customStyle="1" w:styleId="865">
    <w:name w:val="标题 8 Char"/>
    <w:link w:val="10"/>
    <w:qFormat/>
    <w:uiPriority w:val="0"/>
    <w:rPr>
      <w:rFonts w:ascii="Arial" w:hAnsi="Arial" w:eastAsia="黑体"/>
      <w:kern w:val="2"/>
      <w:sz w:val="24"/>
      <w:szCs w:val="24"/>
    </w:rPr>
  </w:style>
  <w:style w:type="character" w:customStyle="1" w:styleId="866">
    <w:name w:val="标书表格字体格式 Char"/>
    <w:qFormat/>
    <w:uiPriority w:val="0"/>
    <w:rPr>
      <w:kern w:val="2"/>
      <w:sz w:val="21"/>
      <w:szCs w:val="24"/>
      <w:lang w:bidi="ar-SA"/>
    </w:rPr>
  </w:style>
  <w:style w:type="character" w:customStyle="1" w:styleId="867">
    <w:name w:val="tw4winError"/>
    <w:qFormat/>
    <w:uiPriority w:val="0"/>
    <w:rPr>
      <w:rFonts w:ascii="Courier New" w:hAnsi="Courier New" w:cs="Courier New"/>
      <w:color w:val="00FF00"/>
      <w:sz w:val="40"/>
      <w:szCs w:val="40"/>
    </w:rPr>
  </w:style>
  <w:style w:type="character" w:customStyle="1" w:styleId="868">
    <w:name w:val="Body Text(ch) Char Char"/>
    <w:qFormat/>
    <w:uiPriority w:val="0"/>
    <w:rPr>
      <w:rFonts w:ascii="宋体"/>
      <w:kern w:val="2"/>
      <w:sz w:val="24"/>
      <w:szCs w:val="21"/>
      <w:lang w:val="zh-CN"/>
    </w:rPr>
  </w:style>
  <w:style w:type="character" w:customStyle="1" w:styleId="869">
    <w:name w:val="正文首行缩进两字 Char"/>
    <w:qFormat/>
    <w:uiPriority w:val="0"/>
    <w:rPr>
      <w:sz w:val="24"/>
      <w:szCs w:val="24"/>
      <w:lang w:val="en-US" w:eastAsia="zh-CN" w:bidi="ar-SA"/>
    </w:rPr>
  </w:style>
  <w:style w:type="character" w:customStyle="1" w:styleId="870">
    <w:name w:val="正文文本 Char"/>
    <w:qFormat/>
    <w:uiPriority w:val="0"/>
    <w:rPr>
      <w:rFonts w:eastAsia="宋体"/>
      <w:kern w:val="2"/>
      <w:sz w:val="24"/>
      <w:szCs w:val="24"/>
      <w:lang w:val="en-US" w:eastAsia="zh-CN" w:bidi="ar-SA"/>
    </w:rPr>
  </w:style>
  <w:style w:type="character" w:customStyle="1" w:styleId="871">
    <w:name w:val="文档结构图 字符1"/>
    <w:qFormat/>
    <w:uiPriority w:val="0"/>
    <w:rPr>
      <w:rFonts w:ascii="宋体" w:hAnsi="Calibri" w:eastAsia="黑体" w:cs="Arial"/>
      <w:snapToGrid w:val="0"/>
      <w:kern w:val="2"/>
      <w:sz w:val="18"/>
      <w:szCs w:val="18"/>
    </w:rPr>
  </w:style>
  <w:style w:type="character" w:customStyle="1" w:styleId="872">
    <w:name w:val="content"/>
    <w:qFormat/>
    <w:uiPriority w:val="0"/>
  </w:style>
  <w:style w:type="character" w:customStyle="1" w:styleId="873">
    <w:name w:val="tw4winPopup"/>
    <w:qFormat/>
    <w:uiPriority w:val="0"/>
    <w:rPr>
      <w:rFonts w:ascii="Courier New" w:hAnsi="Courier New" w:cs="Courier New"/>
      <w:color w:val="008000"/>
      <w:lang w:val="en-US" w:eastAsia="zh-CN"/>
    </w:rPr>
  </w:style>
  <w:style w:type="character" w:customStyle="1" w:styleId="874">
    <w:name w:val="param-name"/>
    <w:qFormat/>
    <w:uiPriority w:val="99"/>
    <w:rPr>
      <w:rFonts w:ascii="Arial" w:hAnsi="Arial" w:eastAsia="黑体" w:cs="Arial"/>
      <w:snapToGrid w:val="0"/>
      <w:kern w:val="0"/>
      <w:szCs w:val="21"/>
    </w:rPr>
  </w:style>
  <w:style w:type="character" w:customStyle="1" w:styleId="875">
    <w:name w:val="标准正文格式 Char"/>
    <w:qFormat/>
    <w:uiPriority w:val="0"/>
    <w:rPr>
      <w:rFonts w:ascii="宋体" w:eastAsia="仿宋_GB2312" w:cs="宋体"/>
      <w:color w:val="000000"/>
      <w:sz w:val="24"/>
      <w:lang w:val="en-US" w:eastAsia="zh-CN" w:bidi="ar-SA"/>
    </w:rPr>
  </w:style>
  <w:style w:type="character" w:customStyle="1" w:styleId="876">
    <w:name w:val="Char Char212"/>
    <w:qFormat/>
    <w:uiPriority w:val="0"/>
    <w:rPr>
      <w:rFonts w:eastAsia="宋体"/>
      <w:b/>
      <w:bCs/>
      <w:kern w:val="2"/>
      <w:sz w:val="21"/>
      <w:szCs w:val="24"/>
      <w:lang w:val="en-US" w:eastAsia="zh-CN" w:bidi="ar-SA"/>
    </w:rPr>
  </w:style>
  <w:style w:type="character" w:customStyle="1" w:styleId="877">
    <w:name w:val="文档结构图 Char"/>
    <w:qFormat/>
    <w:uiPriority w:val="0"/>
    <w:rPr>
      <w:rFonts w:eastAsia="宋体"/>
      <w:kern w:val="2"/>
      <w:sz w:val="21"/>
      <w:szCs w:val="24"/>
      <w:lang w:val="en-US" w:eastAsia="zh-CN" w:bidi="ar-SA"/>
    </w:rPr>
  </w:style>
  <w:style w:type="character" w:customStyle="1" w:styleId="878">
    <w:name w:val="zbggmain style9"/>
    <w:qFormat/>
    <w:uiPriority w:val="0"/>
  </w:style>
  <w:style w:type="character" w:customStyle="1" w:styleId="879">
    <w:name w:val="Char Char16"/>
    <w:qFormat/>
    <w:uiPriority w:val="6"/>
    <w:rPr>
      <w:kern w:val="1"/>
      <w:sz w:val="18"/>
      <w:szCs w:val="18"/>
    </w:rPr>
  </w:style>
  <w:style w:type="character" w:customStyle="1" w:styleId="880">
    <w:name w:val="font51"/>
    <w:qFormat/>
    <w:uiPriority w:val="0"/>
    <w:rPr>
      <w:rFonts w:hint="eastAsia" w:ascii="仿宋" w:hAnsi="仿宋" w:eastAsia="仿宋" w:cs="仿宋"/>
      <w:color w:val="000000"/>
      <w:sz w:val="20"/>
      <w:szCs w:val="20"/>
      <w:u w:val="none"/>
    </w:rPr>
  </w:style>
  <w:style w:type="character" w:customStyle="1" w:styleId="881">
    <w:name w:val="Char Char82"/>
    <w:qFormat/>
    <w:uiPriority w:val="0"/>
    <w:rPr>
      <w:rFonts w:eastAsia="宋体"/>
      <w:b/>
      <w:sz w:val="24"/>
      <w:lang w:eastAsia="zh-CN"/>
    </w:rPr>
  </w:style>
  <w:style w:type="character" w:customStyle="1" w:styleId="882">
    <w:name w:val="正文文本缩进 3 Char"/>
    <w:link w:val="52"/>
    <w:qFormat/>
    <w:uiPriority w:val="0"/>
    <w:rPr>
      <w:kern w:val="2"/>
      <w:sz w:val="24"/>
    </w:rPr>
  </w:style>
  <w:style w:type="character" w:customStyle="1" w:styleId="883">
    <w:name w:val="日期 Char1"/>
    <w:semiHidden/>
    <w:qFormat/>
    <w:uiPriority w:val="99"/>
    <w:rPr>
      <w:rFonts w:ascii="Times New Roman" w:hAnsi="Times New Roman" w:eastAsia="宋体" w:cs="Times New Roman"/>
      <w:szCs w:val="24"/>
    </w:rPr>
  </w:style>
  <w:style w:type="character" w:customStyle="1" w:styleId="884">
    <w:name w:val="页眉 字符"/>
    <w:qFormat/>
    <w:uiPriority w:val="99"/>
    <w:rPr>
      <w:kern w:val="2"/>
      <w:sz w:val="18"/>
      <w:szCs w:val="18"/>
    </w:rPr>
  </w:style>
  <w:style w:type="character" w:customStyle="1" w:styleId="885">
    <w:name w:val="Char Char33"/>
    <w:qFormat/>
    <w:uiPriority w:val="6"/>
    <w:rPr>
      <w:rFonts w:ascii="Arial" w:hAnsi="Arial" w:eastAsia="黑体"/>
      <w:b/>
      <w:kern w:val="1"/>
      <w:sz w:val="24"/>
      <w:szCs w:val="24"/>
    </w:rPr>
  </w:style>
  <w:style w:type="character" w:customStyle="1" w:styleId="886">
    <w:name w:val="b11_01b Char"/>
    <w:link w:val="111"/>
    <w:qFormat/>
    <w:uiPriority w:val="0"/>
    <w:rPr>
      <w:rFonts w:ascii="Verdana" w:hAnsi="Verdana"/>
      <w:b/>
      <w:bCs/>
      <w:color w:val="4A82CA"/>
      <w:sz w:val="17"/>
      <w:szCs w:val="17"/>
    </w:rPr>
  </w:style>
  <w:style w:type="character" w:customStyle="1" w:styleId="887">
    <w:name w:val="Char Char121"/>
    <w:qFormat/>
    <w:uiPriority w:val="6"/>
    <w:rPr>
      <w:rFonts w:ascii="仿宋_GB2312" w:eastAsia="仿宋_GB2312"/>
      <w:b/>
      <w:bCs/>
      <w:kern w:val="2"/>
      <w:sz w:val="24"/>
      <w:szCs w:val="24"/>
      <w:lang w:val="zh-CN" w:eastAsia="zh-CN" w:bidi="ar-SA"/>
    </w:rPr>
  </w:style>
  <w:style w:type="character" w:customStyle="1" w:styleId="888">
    <w:name w:val="Footer-Even Char"/>
    <w:qFormat/>
    <w:uiPriority w:val="0"/>
    <w:rPr>
      <w:rFonts w:eastAsia="宋体"/>
      <w:kern w:val="2"/>
      <w:sz w:val="18"/>
      <w:lang w:val="en-US" w:eastAsia="zh-CN" w:bidi="ar-SA"/>
    </w:rPr>
  </w:style>
  <w:style w:type="character" w:customStyle="1" w:styleId="889">
    <w:name w:val="页脚 Char2"/>
    <w:link w:val="39"/>
    <w:qFormat/>
    <w:locked/>
    <w:uiPriority w:val="99"/>
    <w:rPr>
      <w:kern w:val="2"/>
      <w:sz w:val="18"/>
      <w:szCs w:val="18"/>
    </w:rPr>
  </w:style>
  <w:style w:type="character" w:customStyle="1" w:styleId="890">
    <w:name w:val="Char Char36"/>
    <w:qFormat/>
    <w:uiPriority w:val="6"/>
    <w:rPr>
      <w:rFonts w:ascii="仿宋_GB2312" w:hAnsi="仿宋_GB2312" w:eastAsia="仿宋_GB2312" w:cs="Arial"/>
      <w:b/>
      <w:kern w:val="1"/>
      <w:sz w:val="32"/>
      <w:szCs w:val="32"/>
      <w:lang w:val="zh-CN" w:eastAsia="zh-CN" w:bidi="ar-SA"/>
    </w:rPr>
  </w:style>
  <w:style w:type="character" w:customStyle="1" w:styleId="891">
    <w:name w:val="Char Char61"/>
    <w:qFormat/>
    <w:uiPriority w:val="6"/>
    <w:rPr>
      <w:rFonts w:eastAsia="宋体"/>
      <w:kern w:val="2"/>
      <w:sz w:val="21"/>
      <w:szCs w:val="24"/>
      <w:lang w:val="en-US" w:eastAsia="zh-CN" w:bidi="ar-SA"/>
    </w:rPr>
  </w:style>
  <w:style w:type="character" w:customStyle="1" w:styleId="892">
    <w:name w:val="正文文字缩进 2 Char Char"/>
    <w:qFormat/>
    <w:uiPriority w:val="0"/>
    <w:rPr>
      <w:rFonts w:ascii="宋体"/>
      <w:sz w:val="28"/>
    </w:rPr>
  </w:style>
  <w:style w:type="character" w:customStyle="1" w:styleId="893">
    <w:name w:val="f141"/>
    <w:qFormat/>
    <w:uiPriority w:val="0"/>
    <w:rPr>
      <w:rFonts w:ascii="Tahoma" w:hAnsi="Tahoma" w:eastAsia="宋体"/>
      <w:b/>
      <w:kern w:val="2"/>
      <w:sz w:val="21"/>
      <w:szCs w:val="21"/>
      <w:lang w:val="en-US" w:eastAsia="zh-CN" w:bidi="ar-SA"/>
    </w:rPr>
  </w:style>
  <w:style w:type="character" w:customStyle="1" w:styleId="894">
    <w:name w:val="段落 Char Char"/>
    <w:link w:val="112"/>
    <w:qFormat/>
    <w:uiPriority w:val="0"/>
    <w:rPr>
      <w:rFonts w:ascii="宋体" w:hAnsi="宋体"/>
      <w:sz w:val="24"/>
    </w:rPr>
  </w:style>
  <w:style w:type="character" w:customStyle="1" w:styleId="895">
    <w:name w:val="标题 3 Char2"/>
    <w:qFormat/>
    <w:uiPriority w:val="0"/>
    <w:rPr>
      <w:rFonts w:eastAsia="宋体"/>
      <w:b/>
      <w:bCs/>
      <w:kern w:val="2"/>
      <w:sz w:val="32"/>
      <w:szCs w:val="32"/>
      <w:lang w:val="en-US" w:eastAsia="zh-CN" w:bidi="ar-SA"/>
    </w:rPr>
  </w:style>
  <w:style w:type="character" w:customStyle="1" w:styleId="896">
    <w:name w:val="apple-converted-space"/>
    <w:qFormat/>
    <w:uiPriority w:val="0"/>
  </w:style>
  <w:style w:type="character" w:customStyle="1" w:styleId="897">
    <w:name w:val="页眉 Char2"/>
    <w:link w:val="40"/>
    <w:qFormat/>
    <w:uiPriority w:val="99"/>
    <w:rPr>
      <w:kern w:val="2"/>
      <w:sz w:val="18"/>
      <w:szCs w:val="18"/>
    </w:rPr>
  </w:style>
  <w:style w:type="character" w:customStyle="1" w:styleId="898">
    <w:name w:val="Char Char9"/>
    <w:qFormat/>
    <w:uiPriority w:val="0"/>
    <w:rPr>
      <w:rFonts w:eastAsia="宋体"/>
      <w:kern w:val="2"/>
      <w:sz w:val="18"/>
      <w:szCs w:val="18"/>
      <w:lang w:val="en-US" w:eastAsia="zh-CN" w:bidi="ar-SA"/>
    </w:rPr>
  </w:style>
  <w:style w:type="character" w:customStyle="1" w:styleId="899">
    <w:name w:val="Char Char41"/>
    <w:qFormat/>
    <w:uiPriority w:val="0"/>
    <w:rPr>
      <w:rFonts w:eastAsia="宋体"/>
      <w:b/>
      <w:sz w:val="24"/>
      <w:lang w:eastAsia="zh-CN" w:bidi="ar-SA"/>
    </w:rPr>
  </w:style>
  <w:style w:type="character" w:customStyle="1" w:styleId="900">
    <w:name w:val="large1"/>
    <w:qFormat/>
    <w:uiPriority w:val="0"/>
    <w:rPr>
      <w:rFonts w:hint="eastAsia" w:ascii="宋体" w:hAnsi="宋体" w:eastAsia="宋体"/>
      <w:sz w:val="21"/>
      <w:szCs w:val="21"/>
    </w:rPr>
  </w:style>
  <w:style w:type="character" w:customStyle="1" w:styleId="901">
    <w:name w:val="正文段 Char"/>
    <w:link w:val="113"/>
    <w:qFormat/>
    <w:uiPriority w:val="0"/>
    <w:rPr>
      <w:sz w:val="24"/>
    </w:rPr>
  </w:style>
  <w:style w:type="character" w:customStyle="1" w:styleId="902">
    <w:name w:val="Char Char13"/>
    <w:qFormat/>
    <w:uiPriority w:val="6"/>
    <w:rPr>
      <w:rFonts w:ascii="宋体" w:hAnsi="宋体"/>
      <w:kern w:val="1"/>
      <w:sz w:val="21"/>
      <w:szCs w:val="24"/>
    </w:rPr>
  </w:style>
  <w:style w:type="character" w:customStyle="1" w:styleId="90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904">
    <w:name w:val="冯广丽 Char"/>
    <w:link w:val="114"/>
    <w:qFormat/>
    <w:uiPriority w:val="0"/>
    <w:rPr>
      <w:rFonts w:ascii="宋体" w:hAnsi="宋体"/>
      <w:kern w:val="2"/>
      <w:sz w:val="24"/>
      <w:szCs w:val="22"/>
    </w:rPr>
  </w:style>
  <w:style w:type="character" w:customStyle="1" w:styleId="905">
    <w:name w:val="批注文字 字符"/>
    <w:qFormat/>
    <w:uiPriority w:val="0"/>
    <w:rPr>
      <w:rFonts w:ascii="Arial" w:hAnsi="Arial" w:eastAsia="黑体" w:cs="Arial"/>
      <w:snapToGrid w:val="0"/>
      <w:kern w:val="0"/>
      <w:szCs w:val="21"/>
    </w:rPr>
  </w:style>
  <w:style w:type="character" w:customStyle="1" w:styleId="906">
    <w:name w:val="Char Char161"/>
    <w:qFormat/>
    <w:uiPriority w:val="0"/>
    <w:rPr>
      <w:rFonts w:eastAsia="宋体"/>
      <w:b/>
      <w:kern w:val="2"/>
      <w:sz w:val="32"/>
      <w:lang w:val="en-US" w:eastAsia="zh-CN"/>
    </w:rPr>
  </w:style>
  <w:style w:type="character" w:customStyle="1" w:styleId="907">
    <w:name w:val="javascript"/>
    <w:qFormat/>
    <w:uiPriority w:val="0"/>
  </w:style>
  <w:style w:type="character" w:customStyle="1" w:styleId="908">
    <w:name w:val="图名 Char"/>
    <w:qFormat/>
    <w:uiPriority w:val="0"/>
    <w:rPr>
      <w:rFonts w:ascii="Arial" w:hAnsi="Arial" w:eastAsia="黑体"/>
      <w:kern w:val="2"/>
      <w:sz w:val="24"/>
      <w:szCs w:val="24"/>
      <w:lang w:val="en-US" w:eastAsia="zh-CN" w:bidi="ar-SA"/>
    </w:rPr>
  </w:style>
  <w:style w:type="character" w:customStyle="1" w:styleId="909">
    <w:name w:val="Used by Word for text of Help footnotes Char Char"/>
    <w:qFormat/>
    <w:uiPriority w:val="0"/>
    <w:rPr>
      <w:rFonts w:ascii="Times New Roman" w:hAnsi="Times New Roman" w:eastAsia="宋体" w:cs="Times New Roman"/>
      <w:sz w:val="20"/>
      <w:szCs w:val="20"/>
    </w:rPr>
  </w:style>
  <w:style w:type="character" w:customStyle="1" w:styleId="910">
    <w:name w:val="编号，小四 Char"/>
    <w:link w:val="115"/>
    <w:qFormat/>
    <w:uiPriority w:val="0"/>
    <w:rPr>
      <w:rFonts w:ascii="Arial" w:hAnsi="Arial"/>
      <w:sz w:val="24"/>
    </w:rPr>
  </w:style>
  <w:style w:type="character" w:customStyle="1" w:styleId="911">
    <w:name w:val="Font Style82"/>
    <w:qFormat/>
    <w:uiPriority w:val="99"/>
    <w:rPr>
      <w:rFonts w:ascii="宋体" w:eastAsia="宋体" w:cs="宋体"/>
      <w:color w:val="000000"/>
      <w:sz w:val="14"/>
      <w:szCs w:val="14"/>
    </w:rPr>
  </w:style>
  <w:style w:type="character" w:customStyle="1" w:styleId="912">
    <w:name w:val="标题 2 Char Char"/>
    <w:qFormat/>
    <w:uiPriority w:val="0"/>
    <w:rPr>
      <w:rFonts w:ascii="楷体_GB2312" w:hAnsi="Arial" w:eastAsia="楷体_GB2312"/>
      <w:b/>
      <w:bCs/>
      <w:kern w:val="2"/>
      <w:sz w:val="24"/>
      <w:szCs w:val="32"/>
      <w:lang w:val="en-US" w:eastAsia="zh-CN" w:bidi="ar-SA"/>
    </w:rPr>
  </w:style>
  <w:style w:type="character" w:customStyle="1" w:styleId="913">
    <w:name w:val="未用 Char"/>
    <w:qFormat/>
    <w:uiPriority w:val="0"/>
    <w:rPr>
      <w:rFonts w:ascii="Arial" w:hAnsi="Arial" w:eastAsia="黑体"/>
      <w:kern w:val="2"/>
      <w:sz w:val="21"/>
      <w:szCs w:val="21"/>
      <w:lang w:val="en-US" w:eastAsia="zh-CN" w:bidi="ar-SA"/>
    </w:rPr>
  </w:style>
  <w:style w:type="character" w:customStyle="1" w:styleId="914">
    <w:name w:val="myp1111"/>
    <w:qFormat/>
    <w:uiPriority w:val="0"/>
    <w:rPr>
      <w:rFonts w:hint="default" w:ascii="ˎ̥" w:hAnsi="ˎ̥"/>
      <w:color w:val="000000"/>
      <w:sz w:val="20"/>
      <w:szCs w:val="20"/>
      <w:u w:val="none"/>
    </w:rPr>
  </w:style>
  <w:style w:type="character" w:customStyle="1" w:styleId="915">
    <w:name w:val="样式 标题 4h4H4Fab-4T5Ref Heading 1rh1Heading sqlsect 1.2.3.... Char"/>
    <w:link w:val="104"/>
    <w:qFormat/>
    <w:uiPriority w:val="0"/>
    <w:rPr>
      <w:rFonts w:ascii="微软雅黑" w:hAnsi="微软雅黑" w:eastAsia="微软雅黑"/>
      <w:b/>
      <w:bCs/>
      <w:kern w:val="2"/>
      <w:sz w:val="24"/>
      <w:szCs w:val="28"/>
    </w:rPr>
  </w:style>
  <w:style w:type="character" w:customStyle="1" w:styleId="916">
    <w:name w:val="h Char Char"/>
    <w:qFormat/>
    <w:uiPriority w:val="0"/>
    <w:rPr>
      <w:rFonts w:eastAsia="宋体"/>
      <w:kern w:val="2"/>
      <w:sz w:val="18"/>
      <w:lang w:val="en-US" w:eastAsia="zh-CN" w:bidi="ar-SA"/>
    </w:rPr>
  </w:style>
  <w:style w:type="character" w:customStyle="1" w:styleId="917">
    <w:name w:val="仿宋正文 Char"/>
    <w:link w:val="116"/>
    <w:qFormat/>
    <w:uiPriority w:val="0"/>
    <w:rPr>
      <w:rFonts w:ascii="仿宋_GB2312" w:eastAsia="仿宋_GB2312"/>
      <w:kern w:val="2"/>
      <w:sz w:val="24"/>
      <w:lang w:val="en-US" w:eastAsia="zh-CN" w:bidi="ar-SA"/>
    </w:rPr>
  </w:style>
  <w:style w:type="character" w:customStyle="1" w:styleId="918">
    <w:name w:val="正文首行缩进 Char Char Char Char Char Char"/>
    <w:qFormat/>
    <w:uiPriority w:val="0"/>
    <w:rPr>
      <w:rFonts w:ascii="宋体" w:eastAsia="宋体"/>
      <w:kern w:val="2"/>
      <w:sz w:val="24"/>
      <w:lang w:val="zh-CN" w:bidi="ar-SA"/>
    </w:rPr>
  </w:style>
  <w:style w:type="character" w:customStyle="1" w:styleId="919">
    <w:name w:val="样式 宋体"/>
    <w:qFormat/>
    <w:uiPriority w:val="0"/>
    <w:rPr>
      <w:rFonts w:ascii="宋体" w:hAnsi="宋体"/>
      <w:sz w:val="24"/>
    </w:rPr>
  </w:style>
  <w:style w:type="character" w:customStyle="1" w:styleId="920">
    <w:name w:val="tw4winJump"/>
    <w:qFormat/>
    <w:uiPriority w:val="0"/>
    <w:rPr>
      <w:rFonts w:ascii="Courier New" w:hAnsi="Courier New" w:cs="Courier New"/>
      <w:color w:val="008080"/>
      <w:lang w:val="en-US" w:eastAsia="zh-CN"/>
    </w:rPr>
  </w:style>
  <w:style w:type="character" w:customStyle="1" w:styleId="921">
    <w:name w:val="标题 1 字符"/>
    <w:qFormat/>
    <w:uiPriority w:val="9"/>
    <w:rPr>
      <w:rFonts w:ascii="Arial" w:hAnsi="Arial" w:eastAsia="黑体" w:cs="Arial"/>
      <w:b/>
      <w:bCs/>
      <w:snapToGrid w:val="0"/>
      <w:kern w:val="44"/>
      <w:sz w:val="44"/>
      <w:szCs w:val="44"/>
    </w:rPr>
  </w:style>
  <w:style w:type="character" w:customStyle="1" w:styleId="922">
    <w:name w:val="style36"/>
    <w:basedOn w:val="69"/>
    <w:qFormat/>
    <w:uiPriority w:val="0"/>
    <w:rPr>
      <w:rFonts w:ascii="Arial" w:hAnsi="Arial" w:eastAsia="黑体" w:cs="Arial"/>
      <w:snapToGrid w:val="0"/>
      <w:kern w:val="0"/>
      <w:szCs w:val="21"/>
    </w:rPr>
  </w:style>
  <w:style w:type="character" w:customStyle="1" w:styleId="923">
    <w:name w:val="pt9"/>
    <w:qFormat/>
    <w:uiPriority w:val="0"/>
    <w:rPr>
      <w:rFonts w:ascii="仿宋_GB2312" w:eastAsia="微软雅黑"/>
      <w:b/>
      <w:kern w:val="2"/>
      <w:sz w:val="32"/>
      <w:szCs w:val="32"/>
      <w:lang w:val="en-US" w:eastAsia="zh-CN" w:bidi="ar-SA"/>
    </w:rPr>
  </w:style>
  <w:style w:type="character" w:customStyle="1" w:styleId="924">
    <w:name w:val="DO_NOT_TRANSLATE"/>
    <w:qFormat/>
    <w:uiPriority w:val="0"/>
    <w:rPr>
      <w:rFonts w:ascii="Courier New" w:hAnsi="Courier New" w:cs="Courier New"/>
      <w:color w:val="800000"/>
      <w:lang w:val="en-US" w:eastAsia="zh-CN"/>
    </w:rPr>
  </w:style>
  <w:style w:type="character" w:customStyle="1" w:styleId="925">
    <w:name w:val="标书1 Char1"/>
    <w:qFormat/>
    <w:uiPriority w:val="0"/>
    <w:rPr>
      <w:rFonts w:eastAsia="宋体"/>
      <w:b/>
      <w:bCs/>
      <w:kern w:val="44"/>
      <w:sz w:val="44"/>
      <w:szCs w:val="44"/>
      <w:lang w:val="en-US" w:eastAsia="zh-CN" w:bidi="ar-SA"/>
    </w:rPr>
  </w:style>
  <w:style w:type="character" w:customStyle="1" w:styleId="926">
    <w:name w:val="页脚 字符"/>
    <w:qFormat/>
    <w:uiPriority w:val="99"/>
    <w:rPr>
      <w:kern w:val="2"/>
      <w:sz w:val="18"/>
      <w:szCs w:val="18"/>
    </w:rPr>
  </w:style>
  <w:style w:type="character" w:customStyle="1" w:styleId="927">
    <w:name w:val="正文2 Char"/>
    <w:qFormat/>
    <w:uiPriority w:val="0"/>
    <w:rPr>
      <w:rFonts w:eastAsia="宋体"/>
      <w:kern w:val="2"/>
      <w:sz w:val="24"/>
      <w:lang w:val="en-US" w:eastAsia="zh-CN" w:bidi="ar-SA"/>
    </w:rPr>
  </w:style>
  <w:style w:type="character" w:customStyle="1" w:styleId="928">
    <w:name w:val="Char Char21"/>
    <w:qFormat/>
    <w:uiPriority w:val="6"/>
    <w:rPr>
      <w:rFonts w:ascii="宋体" w:hAnsi="宋体"/>
      <w:kern w:val="1"/>
      <w:sz w:val="24"/>
      <w:szCs w:val="21"/>
      <w:lang w:val="zh-CN"/>
    </w:rPr>
  </w:style>
  <w:style w:type="character" w:customStyle="1" w:styleId="929">
    <w:name w:val="样式 正文缩进 + 首行缩进:  2 字符 Char Char"/>
    <w:link w:val="117"/>
    <w:qFormat/>
    <w:uiPriority w:val="0"/>
    <w:rPr>
      <w:rFonts w:cs="宋体"/>
      <w:kern w:val="2"/>
      <w:sz w:val="24"/>
    </w:rPr>
  </w:style>
  <w:style w:type="character" w:customStyle="1" w:styleId="9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931">
    <w:name w:val="gray6"/>
    <w:basedOn w:val="69"/>
    <w:qFormat/>
    <w:uiPriority w:val="0"/>
    <w:rPr>
      <w:rFonts w:ascii="Arial" w:hAnsi="Arial" w:eastAsia="黑体" w:cs="Arial"/>
      <w:snapToGrid w:val="0"/>
      <w:kern w:val="0"/>
      <w:szCs w:val="21"/>
    </w:rPr>
  </w:style>
  <w:style w:type="character" w:customStyle="1" w:styleId="932">
    <w:name w:val="hui"/>
    <w:basedOn w:val="69"/>
    <w:qFormat/>
    <w:uiPriority w:val="0"/>
    <w:rPr>
      <w:rFonts w:ascii="Arial" w:hAnsi="Arial" w:eastAsia="黑体" w:cs="Arial"/>
      <w:snapToGrid w:val="0"/>
      <w:kern w:val="0"/>
      <w:szCs w:val="21"/>
    </w:rPr>
  </w:style>
  <w:style w:type="character" w:customStyle="1" w:styleId="933">
    <w:name w:val="哈哈正文 Char Char"/>
    <w:qFormat/>
    <w:uiPriority w:val="0"/>
    <w:rPr>
      <w:rFonts w:ascii="宋体" w:hAnsi="宋体" w:eastAsia="宋体" w:cs="宋体"/>
      <w:kern w:val="2"/>
      <w:sz w:val="24"/>
      <w:lang w:val="en-US" w:eastAsia="zh-CN" w:bidi="ar-SA"/>
    </w:rPr>
  </w:style>
  <w:style w:type="character" w:customStyle="1" w:styleId="934">
    <w:name w:val="交叉引用"/>
    <w:qFormat/>
    <w:uiPriority w:val="1"/>
    <w:rPr>
      <w:rFonts w:ascii="Arial" w:hAnsi="Arial" w:eastAsia="黑体"/>
      <w:snapToGrid w:val="0"/>
      <w:color w:val="0000FF"/>
      <w:kern w:val="0"/>
      <w:sz w:val="20"/>
      <w:szCs w:val="21"/>
      <w:u w:val="single"/>
      <w:lang w:val="en-US" w:eastAsia="zh-CN"/>
    </w:rPr>
  </w:style>
  <w:style w:type="character" w:customStyle="1" w:styleId="935">
    <w:name w:val="正文缩进 字符1"/>
    <w:qFormat/>
    <w:uiPriority w:val="0"/>
    <w:rPr>
      <w:rFonts w:ascii="宋体" w:eastAsia="宋体"/>
      <w:snapToGrid w:val="0"/>
      <w:color w:val="000000"/>
      <w:kern w:val="28"/>
      <w:sz w:val="28"/>
      <w:lang w:val="en-US" w:eastAsia="zh-CN" w:bidi="ar-SA"/>
    </w:rPr>
  </w:style>
  <w:style w:type="character" w:customStyle="1" w:styleId="936">
    <w:name w:val="页脚 字符1"/>
    <w:qFormat/>
    <w:locked/>
    <w:uiPriority w:val="99"/>
    <w:rPr>
      <w:kern w:val="2"/>
      <w:sz w:val="18"/>
      <w:szCs w:val="18"/>
    </w:rPr>
  </w:style>
  <w:style w:type="character" w:customStyle="1" w:styleId="937">
    <w:name w:val="页眉 字符1"/>
    <w:qFormat/>
    <w:uiPriority w:val="99"/>
    <w:rPr>
      <w:kern w:val="2"/>
      <w:sz w:val="18"/>
      <w:szCs w:val="18"/>
    </w:rPr>
  </w:style>
  <w:style w:type="character" w:customStyle="1" w:styleId="938">
    <w:name w:val="尾注文本 Char"/>
    <w:link w:val="37"/>
    <w:qFormat/>
    <w:uiPriority w:val="0"/>
    <w:rPr>
      <w:kern w:val="2"/>
      <w:sz w:val="21"/>
      <w:szCs w:val="24"/>
      <w:lang w:val="zh-CN"/>
    </w:rPr>
  </w:style>
  <w:style w:type="character" w:customStyle="1" w:styleId="939">
    <w:name w:val="无间隔 Char"/>
    <w:link w:val="166"/>
    <w:qFormat/>
    <w:uiPriority w:val="99"/>
    <w:rPr>
      <w:kern w:val="2"/>
      <w:sz w:val="21"/>
      <w:szCs w:val="22"/>
    </w:rPr>
  </w:style>
  <w:style w:type="character" w:customStyle="1" w:styleId="940">
    <w:name w:val="标准文本 Char Char"/>
    <w:link w:val="605"/>
    <w:qFormat/>
    <w:uiPriority w:val="0"/>
    <w:rPr>
      <w:rFonts w:cs="宋体"/>
      <w:kern w:val="2"/>
      <w:sz w:val="24"/>
    </w:rPr>
  </w:style>
  <w:style w:type="character" w:customStyle="1" w:styleId="941">
    <w:name w:val="Char Char213"/>
    <w:qFormat/>
    <w:uiPriority w:val="0"/>
    <w:rPr>
      <w:rFonts w:eastAsia="Century Gothic"/>
      <w:b/>
      <w:bCs/>
      <w:kern w:val="44"/>
      <w:sz w:val="32"/>
      <w:szCs w:val="44"/>
      <w:lang w:val="en-US" w:eastAsia="zh-CN" w:bidi="ar-SA"/>
    </w:rPr>
  </w:style>
  <w:style w:type="character" w:customStyle="1" w:styleId="942">
    <w:name w:val="apple-style-span"/>
    <w:qFormat/>
    <w:uiPriority w:val="0"/>
    <w:rPr>
      <w:rFonts w:ascii="Arial" w:hAnsi="Arial" w:eastAsia="黑体" w:cs="Arial"/>
      <w:snapToGrid w:val="0"/>
      <w:kern w:val="0"/>
      <w:szCs w:val="21"/>
    </w:rPr>
  </w:style>
  <w:style w:type="character" w:customStyle="1" w:styleId="943">
    <w:name w:val="15"/>
    <w:qFormat/>
    <w:uiPriority w:val="0"/>
    <w:rPr>
      <w:rFonts w:hint="default" w:ascii="Calibri" w:hAnsi="Calibri"/>
      <w:color w:val="0000FF"/>
      <w:u w:val="single"/>
    </w:rPr>
  </w:style>
  <w:style w:type="character" w:customStyle="1" w:styleId="944">
    <w:name w:val="16"/>
    <w:qFormat/>
    <w:uiPriority w:val="0"/>
    <w:rPr>
      <w:rFonts w:hint="eastAsia" w:ascii="宋体" w:hAnsi="宋体" w:eastAsia="宋体"/>
      <w:color w:val="000000"/>
      <w:sz w:val="20"/>
      <w:szCs w:val="20"/>
    </w:rPr>
  </w:style>
  <w:style w:type="character" w:customStyle="1" w:styleId="945">
    <w:name w:val="edui-unclickable"/>
    <w:qFormat/>
    <w:uiPriority w:val="0"/>
    <w:rPr>
      <w:color w:val="808080"/>
    </w:rPr>
  </w:style>
  <w:style w:type="character" w:customStyle="1" w:styleId="946">
    <w:name w:val="tpc_content1"/>
    <w:qFormat/>
    <w:uiPriority w:val="0"/>
    <w:rPr>
      <w:sz w:val="20"/>
      <w:szCs w:val="20"/>
    </w:rPr>
  </w:style>
  <w:style w:type="character" w:customStyle="1" w:styleId="947">
    <w:name w:val="正文文本缩进 字符"/>
    <w:qFormat/>
    <w:uiPriority w:val="0"/>
    <w:rPr>
      <w:rFonts w:ascii="Century Gothic" w:hAnsi="Century Gothic" w:eastAsia="Century Gothic"/>
      <w:kern w:val="2"/>
      <w:sz w:val="24"/>
      <w:lang w:val="en-US" w:eastAsia="zh-CN" w:bidi="ar-SA"/>
    </w:rPr>
  </w:style>
  <w:style w:type="character" w:customStyle="1" w:styleId="948">
    <w:name w:val="正文文本 2 字符"/>
    <w:qFormat/>
    <w:uiPriority w:val="0"/>
    <w:rPr>
      <w:rFonts w:ascii="Arial" w:hAnsi="Arial" w:eastAsia="宋体"/>
      <w:kern w:val="2"/>
      <w:sz w:val="24"/>
      <w:szCs w:val="24"/>
      <w:lang w:val="en-US" w:eastAsia="zh-CN" w:bidi="ar-SA"/>
    </w:rPr>
  </w:style>
  <w:style w:type="character" w:customStyle="1" w:styleId="949">
    <w:name w:val="edui-clickable2"/>
    <w:qFormat/>
    <w:uiPriority w:val="0"/>
    <w:rPr>
      <w:color w:val="0000FF"/>
      <w:u w:val="single"/>
    </w:rPr>
  </w:style>
  <w:style w:type="character" w:customStyle="1" w:styleId="950">
    <w:name w:val="style1"/>
    <w:qFormat/>
    <w:uiPriority w:val="0"/>
    <w:rPr>
      <w:rFonts w:ascii="Arial" w:hAnsi="Arial" w:eastAsia="黑体" w:cs="Arial"/>
      <w:snapToGrid w:val="0"/>
      <w:kern w:val="0"/>
      <w:szCs w:val="21"/>
    </w:rPr>
  </w:style>
  <w:style w:type="character" w:customStyle="1" w:styleId="951">
    <w:name w:val="zbggtop11 style5"/>
    <w:qFormat/>
    <w:uiPriority w:val="0"/>
    <w:rPr>
      <w:rFonts w:ascii="Arial" w:hAnsi="Arial" w:eastAsia="黑体" w:cs="Arial"/>
      <w:snapToGrid w:val="0"/>
      <w:kern w:val="0"/>
      <w:szCs w:val="21"/>
    </w:rPr>
  </w:style>
  <w:style w:type="character" w:customStyle="1" w:styleId="952">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3">
    <w:name w:val="bulletintext1"/>
    <w:qFormat/>
    <w:uiPriority w:val="0"/>
    <w:rPr>
      <w:color w:val="000000"/>
      <w:sz w:val="18"/>
    </w:rPr>
  </w:style>
  <w:style w:type="character" w:customStyle="1" w:styleId="954">
    <w:name w:val="ksfind_class_select1"/>
    <w:basedOn w:val="69"/>
    <w:qFormat/>
    <w:uiPriority w:val="0"/>
    <w:rPr>
      <w:color w:val="000000"/>
      <w:shd w:val="clear" w:color="auto" w:fill="EFD200"/>
    </w:rPr>
  </w:style>
  <w:style w:type="character" w:customStyle="1" w:styleId="955">
    <w:name w:val="font71"/>
    <w:qFormat/>
    <w:uiPriority w:val="0"/>
    <w:rPr>
      <w:rFonts w:hint="eastAsia" w:ascii="宋体" w:hAnsi="宋体" w:eastAsia="宋体" w:cs="宋体"/>
      <w:color w:val="000000"/>
      <w:sz w:val="22"/>
      <w:szCs w:val="22"/>
      <w:u w:val="none"/>
    </w:rPr>
  </w:style>
  <w:style w:type="character" w:customStyle="1" w:styleId="956">
    <w:name w:val="font91"/>
    <w:qFormat/>
    <w:uiPriority w:val="0"/>
    <w:rPr>
      <w:rFonts w:hint="eastAsia" w:ascii="仿宋" w:hAnsi="仿宋" w:eastAsia="仿宋" w:cs="仿宋"/>
      <w:color w:val="000000"/>
      <w:sz w:val="22"/>
      <w:szCs w:val="22"/>
      <w:u w:val="none"/>
    </w:rPr>
  </w:style>
  <w:style w:type="table" w:customStyle="1" w:styleId="957">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58">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59">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0">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1">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2">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83.png"/><Relationship Id="rId98" Type="http://schemas.openxmlformats.org/officeDocument/2006/relationships/image" Target="media/image82.png"/><Relationship Id="rId97" Type="http://schemas.openxmlformats.org/officeDocument/2006/relationships/image" Target="media/image81.png"/><Relationship Id="rId96" Type="http://schemas.openxmlformats.org/officeDocument/2006/relationships/image" Target="media/image80.png"/><Relationship Id="rId95" Type="http://schemas.openxmlformats.org/officeDocument/2006/relationships/image" Target="media/image79.png"/><Relationship Id="rId94" Type="http://schemas.openxmlformats.org/officeDocument/2006/relationships/image" Target="media/image78.png"/><Relationship Id="rId93" Type="http://schemas.openxmlformats.org/officeDocument/2006/relationships/image" Target="media/image77.png"/><Relationship Id="rId92" Type="http://schemas.openxmlformats.org/officeDocument/2006/relationships/image" Target="media/image76.png"/><Relationship Id="rId91" Type="http://schemas.openxmlformats.org/officeDocument/2006/relationships/image" Target="media/image75.png"/><Relationship Id="rId90" Type="http://schemas.openxmlformats.org/officeDocument/2006/relationships/image" Target="media/image74.png"/><Relationship Id="rId9" Type="http://schemas.openxmlformats.org/officeDocument/2006/relationships/footer" Target="footer3.xml"/><Relationship Id="rId89" Type="http://schemas.openxmlformats.org/officeDocument/2006/relationships/image" Target="media/image73.png"/><Relationship Id="rId88" Type="http://schemas.openxmlformats.org/officeDocument/2006/relationships/image" Target="media/image72.png"/><Relationship Id="rId87" Type="http://schemas.openxmlformats.org/officeDocument/2006/relationships/image" Target="media/image71.png"/><Relationship Id="rId86" Type="http://schemas.openxmlformats.org/officeDocument/2006/relationships/image" Target="media/image70.png"/><Relationship Id="rId85" Type="http://schemas.openxmlformats.org/officeDocument/2006/relationships/image" Target="media/image69.png"/><Relationship Id="rId84" Type="http://schemas.openxmlformats.org/officeDocument/2006/relationships/image" Target="media/image68.png"/><Relationship Id="rId83" Type="http://schemas.openxmlformats.org/officeDocument/2006/relationships/image" Target="media/image67.png"/><Relationship Id="rId82" Type="http://schemas.openxmlformats.org/officeDocument/2006/relationships/image" Target="media/image66.png"/><Relationship Id="rId81" Type="http://schemas.openxmlformats.org/officeDocument/2006/relationships/image" Target="media/image65.png"/><Relationship Id="rId80" Type="http://schemas.openxmlformats.org/officeDocument/2006/relationships/image" Target="media/image64.png"/><Relationship Id="rId8" Type="http://schemas.openxmlformats.org/officeDocument/2006/relationships/header" Target="header4.xml"/><Relationship Id="rId79" Type="http://schemas.openxmlformats.org/officeDocument/2006/relationships/image" Target="media/image63.png"/><Relationship Id="rId78" Type="http://schemas.openxmlformats.org/officeDocument/2006/relationships/image" Target="media/image62.png"/><Relationship Id="rId77" Type="http://schemas.openxmlformats.org/officeDocument/2006/relationships/image" Target="media/image61.png"/><Relationship Id="rId76" Type="http://schemas.openxmlformats.org/officeDocument/2006/relationships/image" Target="media/image60.png"/><Relationship Id="rId75" Type="http://schemas.openxmlformats.org/officeDocument/2006/relationships/image" Target="media/image59.png"/><Relationship Id="rId74" Type="http://schemas.openxmlformats.org/officeDocument/2006/relationships/image" Target="media/image58.png"/><Relationship Id="rId73" Type="http://schemas.openxmlformats.org/officeDocument/2006/relationships/image" Target="media/image57.png"/><Relationship Id="rId72" Type="http://schemas.openxmlformats.org/officeDocument/2006/relationships/image" Target="media/image56.png"/><Relationship Id="rId71" Type="http://schemas.openxmlformats.org/officeDocument/2006/relationships/image" Target="media/image55.png"/><Relationship Id="rId70" Type="http://schemas.openxmlformats.org/officeDocument/2006/relationships/image" Target="media/image54.png"/><Relationship Id="rId7" Type="http://schemas.openxmlformats.org/officeDocument/2006/relationships/header" Target="header3.xml"/><Relationship Id="rId69" Type="http://schemas.openxmlformats.org/officeDocument/2006/relationships/image" Target="media/image53.png"/><Relationship Id="rId68" Type="http://schemas.openxmlformats.org/officeDocument/2006/relationships/image" Target="media/image52.png"/><Relationship Id="rId67" Type="http://schemas.openxmlformats.org/officeDocument/2006/relationships/image" Target="media/image51.png"/><Relationship Id="rId66" Type="http://schemas.openxmlformats.org/officeDocument/2006/relationships/image" Target="media/image50.png"/><Relationship Id="rId65" Type="http://schemas.openxmlformats.org/officeDocument/2006/relationships/image" Target="media/image49.png"/><Relationship Id="rId64" Type="http://schemas.openxmlformats.org/officeDocument/2006/relationships/image" Target="media/image48.png"/><Relationship Id="rId63" Type="http://schemas.openxmlformats.org/officeDocument/2006/relationships/image" Target="media/image47.png"/><Relationship Id="rId62" Type="http://schemas.openxmlformats.org/officeDocument/2006/relationships/image" Target="media/image46.png"/><Relationship Id="rId61" Type="http://schemas.openxmlformats.org/officeDocument/2006/relationships/image" Target="media/image45.png"/><Relationship Id="rId60" Type="http://schemas.openxmlformats.org/officeDocument/2006/relationships/image" Target="media/image44.png"/><Relationship Id="rId6" Type="http://schemas.openxmlformats.org/officeDocument/2006/relationships/footer" Target="footer2.xml"/><Relationship Id="rId59" Type="http://schemas.openxmlformats.org/officeDocument/2006/relationships/image" Target="media/image43.png"/><Relationship Id="rId58" Type="http://schemas.openxmlformats.org/officeDocument/2006/relationships/image" Target="media/image42.png"/><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footer" Target="footer1.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header" Target="header2.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9" Type="http://schemas.openxmlformats.org/officeDocument/2006/relationships/fontTable" Target="fontTable.xml"/><Relationship Id="rId138" Type="http://schemas.openxmlformats.org/officeDocument/2006/relationships/numbering" Target="numbering.xml"/><Relationship Id="rId137" Type="http://schemas.openxmlformats.org/officeDocument/2006/relationships/customXml" Target="../customXml/item1.xml"/><Relationship Id="rId136" Type="http://schemas.openxmlformats.org/officeDocument/2006/relationships/image" Target="media/image120.png"/><Relationship Id="rId135" Type="http://schemas.openxmlformats.org/officeDocument/2006/relationships/image" Target="media/image119.jpeg"/><Relationship Id="rId134" Type="http://schemas.openxmlformats.org/officeDocument/2006/relationships/image" Target="media/image118.png"/><Relationship Id="rId133" Type="http://schemas.openxmlformats.org/officeDocument/2006/relationships/image" Target="media/image117.png"/><Relationship Id="rId132" Type="http://schemas.openxmlformats.org/officeDocument/2006/relationships/image" Target="media/image116.png"/><Relationship Id="rId131" Type="http://schemas.openxmlformats.org/officeDocument/2006/relationships/image" Target="media/image115.png"/><Relationship Id="rId130" Type="http://schemas.openxmlformats.org/officeDocument/2006/relationships/image" Target="media/image114.png"/><Relationship Id="rId13" Type="http://schemas.openxmlformats.org/officeDocument/2006/relationships/footer" Target="footer5.xml"/><Relationship Id="rId129" Type="http://schemas.openxmlformats.org/officeDocument/2006/relationships/image" Target="media/image113.png"/><Relationship Id="rId128" Type="http://schemas.openxmlformats.org/officeDocument/2006/relationships/image" Target="media/image112.png"/><Relationship Id="rId127" Type="http://schemas.openxmlformats.org/officeDocument/2006/relationships/image" Target="media/image111.png"/><Relationship Id="rId126" Type="http://schemas.openxmlformats.org/officeDocument/2006/relationships/image" Target="media/image110.png"/><Relationship Id="rId125" Type="http://schemas.openxmlformats.org/officeDocument/2006/relationships/image" Target="media/image109.png"/><Relationship Id="rId124" Type="http://schemas.openxmlformats.org/officeDocument/2006/relationships/image" Target="media/image108.png"/><Relationship Id="rId123" Type="http://schemas.openxmlformats.org/officeDocument/2006/relationships/image" Target="media/image107.png"/><Relationship Id="rId122" Type="http://schemas.openxmlformats.org/officeDocument/2006/relationships/image" Target="media/image106.png"/><Relationship Id="rId121" Type="http://schemas.openxmlformats.org/officeDocument/2006/relationships/image" Target="media/image105.png"/><Relationship Id="rId120" Type="http://schemas.openxmlformats.org/officeDocument/2006/relationships/image" Target="media/image104.png"/><Relationship Id="rId12" Type="http://schemas.openxmlformats.org/officeDocument/2006/relationships/header" Target="header6.xml"/><Relationship Id="rId119" Type="http://schemas.openxmlformats.org/officeDocument/2006/relationships/image" Target="media/image103.png"/><Relationship Id="rId118" Type="http://schemas.openxmlformats.org/officeDocument/2006/relationships/image" Target="media/image102.png"/><Relationship Id="rId117" Type="http://schemas.openxmlformats.org/officeDocument/2006/relationships/image" Target="media/image101.png"/><Relationship Id="rId116" Type="http://schemas.openxmlformats.org/officeDocument/2006/relationships/image" Target="media/image100.png"/><Relationship Id="rId115" Type="http://schemas.openxmlformats.org/officeDocument/2006/relationships/image" Target="media/image99.png"/><Relationship Id="rId114" Type="http://schemas.openxmlformats.org/officeDocument/2006/relationships/image" Target="media/image98.png"/><Relationship Id="rId113" Type="http://schemas.openxmlformats.org/officeDocument/2006/relationships/image" Target="media/image97.png"/><Relationship Id="rId112" Type="http://schemas.openxmlformats.org/officeDocument/2006/relationships/image" Target="media/image96.png"/><Relationship Id="rId111" Type="http://schemas.openxmlformats.org/officeDocument/2006/relationships/image" Target="media/image95.png"/><Relationship Id="rId110" Type="http://schemas.openxmlformats.org/officeDocument/2006/relationships/image" Target="media/image94.png"/><Relationship Id="rId11" Type="http://schemas.openxmlformats.org/officeDocument/2006/relationships/header" Target="header5.xml"/><Relationship Id="rId109" Type="http://schemas.openxmlformats.org/officeDocument/2006/relationships/image" Target="media/image93.png"/><Relationship Id="rId108" Type="http://schemas.openxmlformats.org/officeDocument/2006/relationships/image" Target="media/image92.png"/><Relationship Id="rId107" Type="http://schemas.openxmlformats.org/officeDocument/2006/relationships/image" Target="media/image91.png"/><Relationship Id="rId106" Type="http://schemas.openxmlformats.org/officeDocument/2006/relationships/image" Target="media/image90.png"/><Relationship Id="rId105" Type="http://schemas.openxmlformats.org/officeDocument/2006/relationships/image" Target="media/image89.png"/><Relationship Id="rId104" Type="http://schemas.openxmlformats.org/officeDocument/2006/relationships/image" Target="media/image88.png"/><Relationship Id="rId103" Type="http://schemas.openxmlformats.org/officeDocument/2006/relationships/image" Target="media/image87.png"/><Relationship Id="rId102" Type="http://schemas.openxmlformats.org/officeDocument/2006/relationships/image" Target="media/image86.png"/><Relationship Id="rId101" Type="http://schemas.openxmlformats.org/officeDocument/2006/relationships/image" Target="media/image85.png"/><Relationship Id="rId100" Type="http://schemas.openxmlformats.org/officeDocument/2006/relationships/image" Target="media/image84.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100</Pages>
  <Words>3531</Words>
  <Characters>3753</Characters>
  <Lines>279</Lines>
  <Paragraphs>78</Paragraphs>
  <TotalTime>3</TotalTime>
  <ScaleCrop>false</ScaleCrop>
  <LinksUpToDate>false</LinksUpToDate>
  <CharactersWithSpaces>4030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兮兮爱学习</cp:lastModifiedBy>
  <cp:lastPrinted>2021-12-27T03:06:00Z</cp:lastPrinted>
  <dcterms:modified xsi:type="dcterms:W3CDTF">2025-01-17T10:39:25Z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20B1801F03FF4198B0D13FB3D6CA0B0A_13</vt:lpwstr>
  </property>
  <property fmtid="{D5CDD505-2E9C-101B-9397-08002B2CF9AE}" pid="5" name="KSOTemplateDocerSaveRecord">
    <vt:lpwstr>eyJoZGlkIjoiMzRjNWE1OGE1ZDU4MzIyNzUzMDVjYTNiOGQwYmQ5YzQiLCJ1c2VySWQiOiIxOTg5NzQ2MzMifQ==</vt:lpwstr>
  </property>
</Properties>
</file>