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48"/>
          <w:szCs w:val="48"/>
          <w:highlight w:val="none"/>
        </w:rPr>
      </w:pPr>
      <w:bookmarkStart w:id="0" w:name="_Toc20384570"/>
    </w:p>
    <w:p>
      <w:pPr>
        <w:spacing w:line="360" w:lineRule="auto"/>
        <w:jc w:val="center"/>
        <w:rPr>
          <w:rFonts w:hint="eastAsia" w:ascii="宋体" w:hAnsi="宋体" w:eastAsia="宋体" w:cs="宋体"/>
          <w:color w:val="auto"/>
          <w:sz w:val="48"/>
          <w:szCs w:val="48"/>
          <w:highlight w:val="none"/>
        </w:rPr>
      </w:pPr>
    </w:p>
    <w:p>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杭州市政府采购项目</w:t>
      </w:r>
    </w:p>
    <w:p>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采购需求</w:t>
      </w: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杭州市余杭区人民政府五常街道办事处</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五常街道食品和特种设备安全管理服务项目</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编制单位：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杭州市余杭区人民政府五常街道办事处</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编制时间：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2025年5月9日</w:t>
      </w:r>
      <w:r>
        <w:rPr>
          <w:rFonts w:hint="eastAsia" w:ascii="宋体" w:hAnsi="宋体" w:eastAsia="宋体" w:cs="宋体"/>
          <w:color w:val="auto"/>
          <w:sz w:val="28"/>
          <w:szCs w:val="28"/>
          <w:highlight w:val="none"/>
          <w:u w:val="single"/>
        </w:rPr>
        <w:t xml:space="preserve">      </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28"/>
          <w:szCs w:val="28"/>
          <w:highlight w:val="none"/>
          <w:lang w:eastAsia="zh-CN"/>
        </w:rPr>
        <w:t>第一部分</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需求调查情况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本项目是否需要开展需求调查：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是</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本项目是否属于可以不再重复开展需求调查情形：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否</w:t>
      </w:r>
      <w:r>
        <w:rPr>
          <w:rFonts w:hint="eastAsia" w:ascii="宋体" w:hAnsi="宋体" w:eastAsia="宋体" w:cs="宋体"/>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需求调查方式</w:t>
      </w:r>
      <w:r>
        <w:rPr>
          <w:rFonts w:hint="eastAsia" w:ascii="宋体" w:hAnsi="宋体" w:eastAsia="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市场查询</w:t>
      </w:r>
      <w:r>
        <w:rPr>
          <w:rFonts w:hint="eastAsia" w:ascii="宋体" w:hAnsi="宋体" w:eastAsia="宋体" w:cs="宋体"/>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需求调查对象</w:t>
      </w:r>
      <w:r>
        <w:rPr>
          <w:rFonts w:hint="eastAsia" w:ascii="宋体" w:hAnsi="宋体" w:eastAsia="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市场咨询</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政采平台已招标完成项目参数参考</w:t>
      </w:r>
      <w:r>
        <w:rPr>
          <w:rFonts w:hint="eastAsia" w:ascii="宋体" w:hAnsi="宋体" w:eastAsia="宋体" w:cs="宋体"/>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需求调查结果</w:t>
      </w:r>
      <w:r>
        <w:rPr>
          <w:rFonts w:hint="eastAsia" w:ascii="宋体" w:hAnsi="宋体" w:eastAsia="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1.相关产业发展情况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品安全与特种设备安全紧密关乎民众生命健康及生活质量。为规范食品（餐饮）经营管理，确保食品安全，并强化特种设备的管理</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2.市场供给情况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能完成此类项目的潜在供应商较多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3.同类采购项目历史成交信息情况</w:t>
      </w:r>
    </w:p>
    <w:p>
      <w:pPr>
        <w:keepNext w:val="0"/>
        <w:keepLines w:val="0"/>
        <w:pageBreakBefore w:val="0"/>
        <w:widowControl w:val="0"/>
        <w:kinsoku/>
        <w:wordWrap w:val="0"/>
        <w:overflowPunct/>
        <w:topLinePunct/>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①良渚街道食品安全和特种设备服务采购项目（服务期二年）项目编号：</w:t>
      </w:r>
      <w:r>
        <w:rPr>
          <w:rFonts w:hint="eastAsia" w:ascii="宋体" w:hAnsi="宋体" w:eastAsia="宋体" w:cs="宋体"/>
          <w:color w:val="auto"/>
          <w:sz w:val="24"/>
          <w:highlight w:val="none"/>
          <w:u w:val="single"/>
        </w:rPr>
        <w:t>TSZFCG2024-001</w:t>
      </w:r>
      <w:r>
        <w:rPr>
          <w:rFonts w:hint="eastAsia" w:ascii="宋体" w:hAnsi="宋体" w:eastAsia="宋体" w:cs="宋体"/>
          <w:color w:val="auto"/>
          <w:sz w:val="24"/>
          <w:highlight w:val="none"/>
          <w:u w:val="single"/>
          <w:lang w:val="en-US" w:eastAsia="zh-CN"/>
        </w:rPr>
        <w:t xml:space="preserve"> 中标价：388.8万元 ②仓前街道企业特种设备安全监管社会化服务项目（服务期二年）项目编号：ZFCGY2023-054 中标价：499万元。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4.可能涉及的运行维护、升级更新、备品备件、耗材等后续采购情况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本项目为服务项目，不涉及运行维护、升级更新、备品备件、耗材等后续采购情况。</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5.其他相关情况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pPr>
        <w:spacing w:before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第二部分</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采购需求内容</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u w:val="none"/>
        </w:rPr>
        <w:t>元</w:t>
      </w:r>
      <w:r>
        <w:rPr>
          <w:rFonts w:hint="eastAsia" w:ascii="宋体" w:hAnsi="宋体" w:eastAsia="宋体" w:cs="宋体"/>
          <w:color w:val="auto"/>
          <w:sz w:val="24"/>
          <w:highlight w:val="none"/>
        </w:rPr>
        <w:t>）：单年预算金额（元）：</w:t>
      </w:r>
      <w:r>
        <w:rPr>
          <w:rFonts w:hint="eastAsia" w:ascii="宋体" w:hAnsi="宋体" w:eastAsia="宋体" w:cs="宋体"/>
          <w:color w:val="auto"/>
          <w:sz w:val="24"/>
          <w:highlight w:val="none"/>
          <w:lang w:val="en-US" w:eastAsia="zh-CN"/>
        </w:rPr>
        <w:t>1850000；</w:t>
      </w:r>
      <w:r>
        <w:rPr>
          <w:rFonts w:hint="eastAsia" w:ascii="宋体" w:hAnsi="宋体" w:eastAsia="宋体" w:cs="宋体"/>
          <w:color w:val="auto"/>
          <w:sz w:val="24"/>
          <w:highlight w:val="none"/>
        </w:rPr>
        <w:t>总项目预算金额（元）：</w:t>
      </w:r>
      <w:r>
        <w:rPr>
          <w:rFonts w:hint="eastAsia" w:ascii="宋体" w:hAnsi="宋体" w:eastAsia="宋体" w:cs="宋体"/>
          <w:color w:val="auto"/>
          <w:sz w:val="24"/>
          <w:highlight w:val="none"/>
          <w:lang w:val="en-US" w:eastAsia="zh-CN"/>
        </w:rPr>
        <w:t>5550000</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二</w:t>
      </w:r>
      <w:r>
        <w:rPr>
          <w:rFonts w:hint="eastAsia" w:ascii="宋体" w:hAnsi="宋体" w:eastAsia="宋体" w:cs="宋体"/>
          <w:color w:val="auto"/>
          <w:sz w:val="24"/>
          <w:highlight w:val="none"/>
          <w:u w:val="none"/>
        </w:rPr>
        <w:t>）需满足的政府采购政策目标和具体支持对象</w:t>
      </w:r>
      <w:r>
        <w:rPr>
          <w:rFonts w:hint="eastAsia" w:ascii="宋体" w:hAnsi="宋体" w:eastAsia="宋体" w:cs="宋体"/>
          <w:color w:val="auto"/>
          <w:sz w:val="24"/>
          <w:highlight w:val="none"/>
          <w:u w:val="none"/>
          <w:lang w:eastAsia="zh-CN"/>
        </w:rPr>
        <w:t>：</w:t>
      </w:r>
      <w:r>
        <w:rPr>
          <w:rFonts w:hint="eastAsia" w:ascii="宋体" w:hAnsi="宋体" w:eastAsia="宋体" w:cs="宋体"/>
          <w:i w:val="0"/>
          <w:iCs w:val="0"/>
          <w:color w:val="auto"/>
          <w:sz w:val="24"/>
          <w:highlight w:val="none"/>
          <w:u w:val="none"/>
        </w:rPr>
        <w:t>扶持中小企业</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三</w:t>
      </w:r>
      <w:r>
        <w:rPr>
          <w:rFonts w:hint="eastAsia" w:ascii="宋体" w:hAnsi="宋体" w:eastAsia="宋体" w:cs="宋体"/>
          <w:color w:val="auto"/>
          <w:sz w:val="24"/>
          <w:highlight w:val="none"/>
          <w:u w:val="none"/>
        </w:rPr>
        <w:t>）采购标的是否进口产品：</w:t>
      </w:r>
      <w:r>
        <w:rPr>
          <w:rFonts w:hint="eastAsia" w:ascii="宋体" w:hAnsi="宋体" w:eastAsia="宋体" w:cs="宋体"/>
          <w:i w:val="0"/>
          <w:iCs w:val="0"/>
          <w:color w:val="auto"/>
          <w:sz w:val="24"/>
          <w:highlight w:val="none"/>
          <w:u w:val="none"/>
          <w:lang w:eastAsia="zh-CN"/>
        </w:rPr>
        <w:t>否</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（四）本项目为“购买服务”项目，采购内容包括提供符合采购人要求的服务人员，在服务期内完成五常街道食品和特种设备安全管理服务项目所有服务工作，投标报价需充分考虑项目成本，须包含不少于 15 名派驻人员的工资、养老保险费、各类其他保险、加班费、绩效考核奖、餐费、车辆补贴、高温补贴、服装、办公设备、办公车辆等全部费用、政策性文件规定及合同包含的所有风险、责任、税费、合理利润等各项费用。采购人除中标价外，不再提供任何额外费用补贴。此外，中标单位需自行配备交通工具，用于出行检查工作。</w:t>
      </w:r>
    </w:p>
    <w:p>
      <w:pPr>
        <w:keepNext w:val="0"/>
        <w:keepLines w:val="0"/>
        <w:pageBreakBefore w:val="0"/>
        <w:kinsoku/>
        <w:wordWrap/>
        <w:topLinePunct w:val="0"/>
        <w:bidi w:val="0"/>
        <w:adjustRightInd w:val="0"/>
        <w:snapToGrid/>
        <w:spacing w:line="360" w:lineRule="auto"/>
        <w:jc w:val="both"/>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二、主要服务要求​</w:t>
      </w:r>
    </w:p>
    <w:p>
      <w:pPr>
        <w:keepNext w:val="0"/>
        <w:keepLines w:val="0"/>
        <w:pageBreakBefore w:val="0"/>
        <w:kinsoku/>
        <w:wordWrap/>
        <w:topLinePunct w:val="0"/>
        <w:bidi w:val="0"/>
        <w:adjustRightInd w:val="0"/>
        <w:snapToGrid/>
        <w:spacing w:line="360" w:lineRule="auto"/>
        <w:ind w:firstLine="482" w:firstLineChars="200"/>
        <w:jc w:val="both"/>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（一）食品安全管理服务​</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1、检査应坚持公平公正、依据充分、绩效量化、过程严谨的原则。</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2、在服务期内对五常街道全域范围内食品经营单位进行逐一检查，提供整改意见，并督促整改。对检查发现存在的问题应建立发现问题——指导整改——督查规范的监督闭环。</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3、供应商应于每月10日前向采购人提交上月检查相关资料（一式五份），包括月度现场隐患排查原始记录和月度总结报告。报告应包括检查数量、检查单位、检查结果描述、问题汇总、整改建议、整改情况等。</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日常检查，对存在问题的单位按问题严重程度及整改难度督促指导其整改，必须在10-20工作日内完成整改。对于拒不整改或整改不到位的单位，应及时上报给采购人。小餐饮店、小食杂店检查频率不少于每月1次，其余食品经营单位不少于两个月1次。</w:t>
      </w:r>
    </w:p>
    <w:p>
      <w:pPr>
        <w:keepNext w:val="0"/>
        <w:keepLines w:val="0"/>
        <w:pageBreakBefore w:val="0"/>
        <w:kinsoku/>
        <w:wordWrap/>
        <w:topLinePunct w:val="0"/>
        <w:bidi w:val="0"/>
        <w:adjustRightInd w:val="0"/>
        <w:snapToGrid/>
        <w:spacing w:line="360" w:lineRule="auto"/>
        <w:ind w:firstLine="482" w:firstLineChars="200"/>
        <w:jc w:val="both"/>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（二）特种设备安全管理服务</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根据企业行业特点和特种设备安全管理现状，协助市场监管部门帮助企业制定有针对性的管理计划；帮助企业完善特种设备相关安全管理制度、操作规程和安全台账资料等，做到“一机一档”；帮助企业有计划定期开展管理人员、操作人员特种设备安全教育培训；帮助企业做好特种设备三项制度、分类评价；帮助企业制订特种设备应急预案并按要求组织演练； </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2、每月针对临检设备及其安全附件，安排专人配合市场监管部门工作人员进行电话和微信提醒企业报检，具体工作流程为：月初电话提醒报检-月中跟踪报检情况-月末再次督促报检； </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3、及时向采购人反应企业特种设备安全现状。</w:t>
      </w:r>
    </w:p>
    <w:p>
      <w:pPr>
        <w:keepNext w:val="0"/>
        <w:keepLines w:val="0"/>
        <w:pageBreakBefore w:val="0"/>
        <w:kinsoku/>
        <w:wordWrap/>
        <w:topLinePunct w:val="0"/>
        <w:bidi w:val="0"/>
        <w:adjustRightInd w:val="0"/>
        <w:snapToGrid/>
        <w:spacing w:line="360" w:lineRule="auto"/>
        <w:ind w:firstLine="482" w:firstLineChars="200"/>
        <w:jc w:val="both"/>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（三）完成采购人指定的与该服务项目的其他相关工作。</w:t>
      </w:r>
    </w:p>
    <w:p>
      <w:pPr>
        <w:keepNext w:val="0"/>
        <w:keepLines w:val="0"/>
        <w:pageBreakBefore w:val="0"/>
        <w:kinsoku/>
        <w:wordWrap/>
        <w:topLinePunct w:val="0"/>
        <w:bidi w:val="0"/>
        <w:adjustRightInd w:val="0"/>
        <w:snapToGrid/>
        <w:spacing w:line="360" w:lineRule="auto"/>
        <w:ind w:firstLine="482" w:firstLineChars="200"/>
        <w:jc w:val="both"/>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（四）工作清单</w:t>
      </w:r>
    </w:p>
    <w:tbl>
      <w:tblPr>
        <w:tblStyle w:val="33"/>
        <w:tblpPr w:leftFromText="180" w:rightFromText="180" w:vertAnchor="text" w:horzAnchor="page" w:tblpX="1809" w:tblpY="63"/>
        <w:tblOverlap w:val="never"/>
        <w:tblW w:w="5028" w:type="pct"/>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705"/>
        <w:gridCol w:w="755"/>
        <w:gridCol w:w="3052"/>
        <w:gridCol w:w="440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5" w:hRule="atLeast"/>
        </w:trPr>
        <w:tc>
          <w:tcPr>
            <w:tcW w:w="5000" w:type="pct"/>
            <w:gridSpan w:val="4"/>
            <w:noWrap w:val="0"/>
            <w:vAlign w:val="center"/>
          </w:tcPr>
          <w:p>
            <w:pPr>
              <w:pStyle w:val="32"/>
              <w:keepNext w:val="0"/>
              <w:keepLines w:val="0"/>
              <w:pageBreakBefore w:val="0"/>
              <w:widowControl/>
              <w:kinsoku/>
              <w:wordWrap/>
              <w:overflowPunct/>
              <w:topLinePunct w:val="0"/>
              <w:autoSpaceDE/>
              <w:autoSpaceDN/>
              <w:bidi w:val="0"/>
              <w:adjustRightInd/>
              <w:snapToGrid w:val="0"/>
              <w:spacing w:before="39" w:line="240" w:lineRule="auto"/>
              <w:ind w:left="4238"/>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工作内容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1" w:hRule="atLeast"/>
        </w:trPr>
        <w:tc>
          <w:tcPr>
            <w:tcW w:w="395" w:type="pct"/>
            <w:vMerge w:val="restart"/>
            <w:tcBorders>
              <w:bottom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2"/>
                <w:szCs w:val="22"/>
                <w:highlight w:val="none"/>
              </w:rPr>
            </w:pPr>
          </w:p>
          <w:p>
            <w:pPr>
              <w:pStyle w:val="32"/>
              <w:keepNext w:val="0"/>
              <w:keepLines w:val="0"/>
              <w:pageBreakBefore w:val="0"/>
              <w:widowControl/>
              <w:kinsoku/>
              <w:wordWrap/>
              <w:overflowPunct/>
              <w:topLinePunct w:val="0"/>
              <w:autoSpaceDE/>
              <w:autoSpaceDN/>
              <w:bidi w:val="0"/>
              <w:adjustRightInd/>
              <w:snapToGrid w:val="0"/>
              <w:spacing w:before="109" w:line="240" w:lineRule="auto"/>
              <w:ind w:left="107" w:right="10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食品</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安全</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监管</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服务</w:t>
            </w:r>
          </w:p>
        </w:tc>
        <w:tc>
          <w:tcPr>
            <w:tcW w:w="423"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25" w:line="240" w:lineRule="auto"/>
              <w:ind w:left="123"/>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序号</w:t>
            </w:r>
          </w:p>
        </w:tc>
        <w:tc>
          <w:tcPr>
            <w:tcW w:w="1711"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25"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0"/>
                <w:sz w:val="22"/>
                <w:szCs w:val="22"/>
                <w:highlight w:val="none"/>
              </w:rPr>
              <w:t>内容</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25"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描述</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35"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pStyle w:val="32"/>
              <w:keepNext w:val="0"/>
              <w:keepLines w:val="0"/>
              <w:pageBreakBefore w:val="0"/>
              <w:widowControl/>
              <w:kinsoku/>
              <w:wordWrap/>
              <w:overflowPunct/>
              <w:topLinePunct w:val="0"/>
              <w:autoSpaceDE/>
              <w:autoSpaceDN/>
              <w:bidi w:val="0"/>
              <w:adjustRightInd/>
              <w:snapToGrid w:val="0"/>
              <w:spacing w:before="109" w:line="240" w:lineRule="auto"/>
              <w:ind w:left="32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150"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食品安全相关单位日常监督、检</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z w:val="22"/>
                <w:szCs w:val="22"/>
                <w:highlight w:val="none"/>
              </w:rPr>
              <w:t>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147" w:line="240" w:lineRule="auto"/>
              <w:ind w:right="16"/>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目前</w:t>
            </w:r>
            <w:r>
              <w:rPr>
                <w:rFonts w:hint="eastAsia" w:ascii="宋体" w:hAnsi="宋体" w:eastAsia="宋体" w:cs="宋体"/>
                <w:color w:val="auto"/>
                <w:spacing w:val="-11"/>
                <w:sz w:val="22"/>
                <w:szCs w:val="22"/>
                <w:highlight w:val="none"/>
                <w:lang w:val="en-US" w:eastAsia="zh-CN"/>
              </w:rPr>
              <w:t>2502</w:t>
            </w:r>
            <w:r>
              <w:rPr>
                <w:rFonts w:hint="eastAsia" w:ascii="宋体" w:hAnsi="宋体" w:eastAsia="宋体" w:cs="宋体"/>
                <w:color w:val="auto"/>
                <w:spacing w:val="-11"/>
                <w:sz w:val="22"/>
                <w:szCs w:val="22"/>
                <w:highlight w:val="none"/>
              </w:rPr>
              <w:t>家食品生产经营单位，发现问题及时上门督促整改并复查</w:t>
            </w:r>
            <w:r>
              <w:rPr>
                <w:rFonts w:hint="eastAsia" w:ascii="宋体" w:hAnsi="宋体" w:eastAsia="宋体" w:cs="宋体"/>
                <w:color w:val="auto"/>
                <w:spacing w:val="-4"/>
                <w:sz w:val="22"/>
                <w:szCs w:val="22"/>
                <w:highlight w:val="none"/>
              </w:rPr>
              <w:t>，实施闭环管理。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43" w:hRule="atLeast"/>
        </w:trPr>
        <w:tc>
          <w:tcPr>
            <w:tcW w:w="395" w:type="pct"/>
            <w:vMerge w:val="continue"/>
            <w:tcBorders>
              <w:top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pStyle w:val="32"/>
              <w:keepNext w:val="0"/>
              <w:keepLines w:val="0"/>
              <w:pageBreakBefore w:val="0"/>
              <w:widowControl/>
              <w:kinsoku/>
              <w:wordWrap/>
              <w:overflowPunct/>
              <w:topLinePunct w:val="0"/>
              <w:autoSpaceDE/>
              <w:autoSpaceDN/>
              <w:bidi w:val="0"/>
              <w:adjustRightInd/>
              <w:snapToGrid w:val="0"/>
              <w:spacing w:before="110" w:line="240" w:lineRule="auto"/>
              <w:ind w:left="30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263"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协助街道对食品安全其他相关工</w:t>
            </w:r>
            <w:r>
              <w:rPr>
                <w:rFonts w:hint="eastAsia" w:ascii="宋体" w:hAnsi="宋体" w:eastAsia="宋体" w:cs="宋体"/>
                <w:color w:val="auto"/>
                <w:spacing w:val="-3"/>
                <w:sz w:val="22"/>
                <w:szCs w:val="22"/>
                <w:highlight w:val="none"/>
              </w:rPr>
              <w:t>作的落实</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32" w:line="240" w:lineRule="auto"/>
              <w:ind w:right="147"/>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协助街道做好食品安全专项整治、上级荣誉创建等各类创建工作及相关重点工作的落实，保障其工作快速有效开展。</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1" w:hRule="atLeast"/>
        </w:trPr>
        <w:tc>
          <w:tcPr>
            <w:tcW w:w="395" w:type="pct"/>
            <w:vMerge w:val="restart"/>
            <w:tcBorders>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pStyle w:val="32"/>
              <w:keepNext w:val="0"/>
              <w:keepLines w:val="0"/>
              <w:pageBreakBefore w:val="0"/>
              <w:widowControl/>
              <w:kinsoku/>
              <w:wordWrap/>
              <w:overflowPunct/>
              <w:topLinePunct w:val="0"/>
              <w:autoSpaceDE/>
              <w:autoSpaceDN/>
              <w:bidi w:val="0"/>
              <w:adjustRightInd/>
              <w:snapToGrid w:val="0"/>
              <w:spacing w:before="110" w:line="240" w:lineRule="auto"/>
              <w:ind w:left="107" w:right="104" w:firstLine="3"/>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企业</w:t>
            </w:r>
            <w:r>
              <w:rPr>
                <w:rFonts w:hint="eastAsia" w:ascii="宋体" w:hAnsi="宋体" w:eastAsia="宋体" w:cs="宋体"/>
                <w:color w:val="auto"/>
                <w:spacing w:val="-5"/>
                <w:sz w:val="22"/>
                <w:szCs w:val="22"/>
                <w:highlight w:val="none"/>
              </w:rPr>
              <w:t>特种设备安全监管服务</w:t>
            </w:r>
          </w:p>
        </w:tc>
        <w:tc>
          <w:tcPr>
            <w:tcW w:w="423"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3" w:line="240" w:lineRule="auto"/>
              <w:ind w:left="12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序号</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3" w:line="240" w:lineRule="auto"/>
              <w:ind w:left="157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0"/>
                <w:sz w:val="22"/>
                <w:szCs w:val="22"/>
                <w:highlight w:val="none"/>
              </w:rPr>
              <w:t>内容</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34"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预估数量（具体以实际为准）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05" w:line="240" w:lineRule="auto"/>
              <w:ind w:left="32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5" w:line="240" w:lineRule="auto"/>
              <w:ind w:left="220" w:right="97" w:hanging="8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lang w:eastAsia="zh-CN"/>
              </w:rPr>
              <w:t>五常</w:t>
            </w:r>
            <w:r>
              <w:rPr>
                <w:rFonts w:hint="eastAsia" w:ascii="宋体" w:hAnsi="宋体" w:eastAsia="宋体" w:cs="宋体"/>
                <w:color w:val="auto"/>
                <w:spacing w:val="-4"/>
                <w:sz w:val="22"/>
                <w:szCs w:val="22"/>
                <w:highlight w:val="none"/>
              </w:rPr>
              <w:t>街道辖区范围内特种设备使用单位</w:t>
            </w:r>
            <w:r>
              <w:rPr>
                <w:rFonts w:hint="eastAsia" w:ascii="宋体" w:hAnsi="宋体" w:eastAsia="宋体" w:cs="宋体"/>
                <w:color w:val="auto"/>
                <w:spacing w:val="-1"/>
                <w:sz w:val="22"/>
                <w:szCs w:val="22"/>
                <w:highlight w:val="none"/>
              </w:rPr>
              <w:t>开展特种设备排摸、巡查。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35" w:line="240" w:lineRule="auto"/>
              <w:ind w:right="147"/>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目前</w:t>
            </w:r>
            <w:r>
              <w:rPr>
                <w:rFonts w:hint="eastAsia" w:ascii="宋体" w:hAnsi="宋体" w:eastAsia="宋体" w:cs="宋体"/>
                <w:color w:val="auto"/>
                <w:spacing w:val="-8"/>
                <w:sz w:val="22"/>
                <w:szCs w:val="22"/>
                <w:highlight w:val="none"/>
                <w:lang w:val="en-US" w:eastAsia="zh-CN"/>
              </w:rPr>
              <w:t>367</w:t>
            </w:r>
            <w:r>
              <w:rPr>
                <w:rFonts w:hint="eastAsia" w:ascii="宋体" w:hAnsi="宋体" w:eastAsia="宋体" w:cs="宋体"/>
                <w:color w:val="auto"/>
                <w:spacing w:val="-8"/>
                <w:sz w:val="22"/>
                <w:szCs w:val="22"/>
                <w:highlight w:val="none"/>
              </w:rPr>
              <w:t>家</w:t>
            </w:r>
            <w:r>
              <w:rPr>
                <w:rFonts w:hint="eastAsia" w:ascii="宋体" w:hAnsi="宋体" w:eastAsia="宋体" w:cs="宋体"/>
                <w:color w:val="auto"/>
                <w:spacing w:val="-2"/>
                <w:sz w:val="22"/>
                <w:szCs w:val="22"/>
                <w:highlight w:val="none"/>
              </w:rPr>
              <w:t>特种设备使用单位</w:t>
            </w:r>
            <w:r>
              <w:rPr>
                <w:rFonts w:hint="eastAsia" w:ascii="宋体" w:hAnsi="宋体" w:eastAsia="宋体" w:cs="宋体"/>
                <w:color w:val="auto"/>
                <w:spacing w:val="-8"/>
                <w:sz w:val="22"/>
                <w:szCs w:val="22"/>
                <w:highlight w:val="none"/>
              </w:rPr>
              <w:t>，发现问题及时上门督促整改并复查</w:t>
            </w:r>
            <w:r>
              <w:rPr>
                <w:rFonts w:hint="eastAsia" w:ascii="宋体" w:hAnsi="宋体" w:eastAsia="宋体" w:cs="宋体"/>
                <w:color w:val="auto"/>
                <w:spacing w:val="-2"/>
                <w:sz w:val="22"/>
                <w:szCs w:val="22"/>
                <w:highlight w:val="none"/>
              </w:rPr>
              <w:t>，实施闭环管理。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8"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pStyle w:val="32"/>
              <w:keepNext w:val="0"/>
              <w:keepLines w:val="0"/>
              <w:pageBreakBefore w:val="0"/>
              <w:widowControl/>
              <w:kinsoku/>
              <w:wordWrap/>
              <w:overflowPunct/>
              <w:topLinePunct w:val="0"/>
              <w:autoSpaceDE/>
              <w:autoSpaceDN/>
              <w:bidi w:val="0"/>
              <w:adjustRightInd/>
              <w:snapToGrid w:val="0"/>
              <w:spacing w:before="109" w:line="240" w:lineRule="auto"/>
              <w:ind w:left="30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6"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特种设备数据库构建（配合省市场监管局开展</w:t>
            </w:r>
            <w:r>
              <w:rPr>
                <w:rFonts w:hint="eastAsia" w:ascii="宋体" w:hAnsi="宋体" w:eastAsia="宋体" w:cs="宋体"/>
                <w:color w:val="auto"/>
                <w:spacing w:val="-1"/>
                <w:sz w:val="22"/>
                <w:szCs w:val="22"/>
                <w:highlight w:val="none"/>
                <w:lang w:eastAsia="zh-CN"/>
              </w:rPr>
              <w:t>五常</w:t>
            </w:r>
            <w:r>
              <w:rPr>
                <w:rFonts w:hint="eastAsia" w:ascii="宋体" w:hAnsi="宋体" w:eastAsia="宋体" w:cs="宋体"/>
                <w:color w:val="auto"/>
                <w:spacing w:val="-1"/>
                <w:sz w:val="22"/>
                <w:szCs w:val="22"/>
                <w:highlight w:val="none"/>
              </w:rPr>
              <w:t>街道辖区范围</w:t>
            </w:r>
            <w:r>
              <w:rPr>
                <w:rFonts w:hint="eastAsia" w:ascii="宋体" w:hAnsi="宋体" w:eastAsia="宋体" w:cs="宋体"/>
                <w:color w:val="auto"/>
                <w:spacing w:val="-3"/>
                <w:sz w:val="22"/>
                <w:szCs w:val="22"/>
                <w:highlight w:val="none"/>
              </w:rPr>
              <w:t>内所有特种设备全生命周期监</w:t>
            </w:r>
            <w:r>
              <w:rPr>
                <w:rFonts w:hint="eastAsia" w:ascii="宋体" w:hAnsi="宋体" w:eastAsia="宋体" w:cs="宋体"/>
                <w:color w:val="auto"/>
                <w:spacing w:val="-5"/>
                <w:sz w:val="22"/>
                <w:szCs w:val="22"/>
                <w:highlight w:val="none"/>
              </w:rPr>
              <w:t>管，形成特种设备管理清单。）</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110" w:line="240" w:lineRule="auto"/>
              <w:ind w:right="96"/>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lang w:eastAsia="zh-CN"/>
              </w:rPr>
              <w:t>目</w:t>
            </w:r>
            <w:r>
              <w:rPr>
                <w:rFonts w:hint="eastAsia" w:ascii="宋体" w:hAnsi="宋体" w:eastAsia="宋体" w:cs="宋体"/>
                <w:color w:val="auto"/>
                <w:spacing w:val="-11"/>
                <w:sz w:val="22"/>
                <w:szCs w:val="22"/>
                <w:highlight w:val="none"/>
              </w:rPr>
              <w:t>前</w:t>
            </w:r>
            <w:r>
              <w:rPr>
                <w:rFonts w:hint="eastAsia" w:ascii="宋体" w:hAnsi="宋体" w:eastAsia="宋体" w:cs="宋体"/>
                <w:color w:val="auto"/>
                <w:spacing w:val="-11"/>
                <w:sz w:val="22"/>
                <w:szCs w:val="22"/>
                <w:highlight w:val="none"/>
                <w:lang w:val="en-US" w:eastAsia="zh-CN"/>
              </w:rPr>
              <w:t>6360</w:t>
            </w:r>
            <w:r>
              <w:rPr>
                <w:rFonts w:hint="eastAsia" w:ascii="宋体" w:hAnsi="宋体" w:eastAsia="宋体" w:cs="宋体"/>
                <w:color w:val="auto"/>
                <w:spacing w:val="-11"/>
                <w:sz w:val="22"/>
                <w:szCs w:val="22"/>
                <w:highlight w:val="none"/>
              </w:rPr>
              <w:t>台特种设备，建立数据库，实</w:t>
            </w:r>
            <w:r>
              <w:rPr>
                <w:rFonts w:hint="eastAsia" w:ascii="宋体" w:hAnsi="宋体" w:eastAsia="宋体" w:cs="宋体"/>
                <w:color w:val="auto"/>
                <w:spacing w:val="-2"/>
                <w:sz w:val="22"/>
                <w:szCs w:val="22"/>
                <w:highlight w:val="none"/>
              </w:rPr>
              <w:t>施动态管理。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11" w:line="240" w:lineRule="auto"/>
              <w:ind w:left="30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8"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lang w:eastAsia="zh-CN"/>
              </w:rPr>
              <w:t>五常</w:t>
            </w:r>
            <w:r>
              <w:rPr>
                <w:rFonts w:hint="eastAsia" w:ascii="宋体" w:hAnsi="宋体" w:eastAsia="宋体" w:cs="宋体"/>
                <w:color w:val="auto"/>
                <w:spacing w:val="-4"/>
                <w:sz w:val="22"/>
                <w:szCs w:val="22"/>
                <w:highlight w:val="none"/>
              </w:rPr>
              <w:t>街道辖区范围内所有电梯监</w:t>
            </w:r>
            <w:r>
              <w:rPr>
                <w:rFonts w:hint="eastAsia" w:ascii="宋体" w:hAnsi="宋体" w:eastAsia="宋体" w:cs="宋体"/>
                <w:color w:val="auto"/>
                <w:spacing w:val="-5"/>
                <w:sz w:val="22"/>
                <w:szCs w:val="22"/>
                <w:highlight w:val="none"/>
              </w:rPr>
              <w:t>督检查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42" w:line="240" w:lineRule="auto"/>
              <w:ind w:right="147"/>
              <w:jc w:val="both"/>
              <w:textAlignment w:val="auto"/>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目前</w:t>
            </w:r>
            <w:r>
              <w:rPr>
                <w:rFonts w:hint="eastAsia" w:ascii="宋体" w:hAnsi="宋体" w:eastAsia="宋体" w:cs="宋体"/>
                <w:color w:val="auto"/>
                <w:spacing w:val="-9"/>
                <w:sz w:val="22"/>
                <w:szCs w:val="22"/>
                <w:highlight w:val="none"/>
                <w:lang w:val="en-US" w:eastAsia="zh-CN"/>
              </w:rPr>
              <w:t>5375</w:t>
            </w:r>
            <w:r>
              <w:rPr>
                <w:rFonts w:hint="eastAsia" w:ascii="宋体" w:hAnsi="宋体" w:eastAsia="宋体" w:cs="宋体"/>
                <w:color w:val="auto"/>
                <w:spacing w:val="-9"/>
                <w:sz w:val="22"/>
                <w:szCs w:val="22"/>
                <w:highlight w:val="none"/>
              </w:rPr>
              <w:t>台电梯，发现问题及时上门督促整改并复查，实施闭环管理。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13" w:line="240" w:lineRule="auto"/>
              <w:ind w:left="303"/>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42"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lang w:eastAsia="zh-CN"/>
              </w:rPr>
              <w:t>五常</w:t>
            </w:r>
            <w:r>
              <w:rPr>
                <w:rFonts w:hint="eastAsia" w:ascii="宋体" w:hAnsi="宋体" w:eastAsia="宋体" w:cs="宋体"/>
                <w:color w:val="auto"/>
                <w:spacing w:val="-4"/>
                <w:sz w:val="22"/>
                <w:szCs w:val="22"/>
                <w:highlight w:val="none"/>
              </w:rPr>
              <w:t>街道辖区范围内起重机械监</w:t>
            </w:r>
            <w:r>
              <w:rPr>
                <w:rFonts w:hint="eastAsia" w:ascii="宋体" w:hAnsi="宋体" w:eastAsia="宋体" w:cs="宋体"/>
                <w:color w:val="auto"/>
                <w:spacing w:val="-5"/>
                <w:sz w:val="22"/>
                <w:szCs w:val="22"/>
                <w:highlight w:val="none"/>
              </w:rPr>
              <w:t>督检查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42" w:line="240" w:lineRule="auto"/>
              <w:ind w:right="147"/>
              <w:jc w:val="both"/>
              <w:textAlignment w:val="auto"/>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目前</w:t>
            </w:r>
            <w:r>
              <w:rPr>
                <w:rFonts w:hint="eastAsia" w:ascii="宋体" w:hAnsi="宋体" w:eastAsia="宋体" w:cs="宋体"/>
                <w:color w:val="auto"/>
                <w:spacing w:val="-9"/>
                <w:sz w:val="22"/>
                <w:szCs w:val="22"/>
                <w:highlight w:val="none"/>
                <w:lang w:val="en-US" w:eastAsia="zh-CN"/>
              </w:rPr>
              <w:t>649</w:t>
            </w:r>
            <w:r>
              <w:rPr>
                <w:rFonts w:hint="eastAsia" w:ascii="宋体" w:hAnsi="宋体" w:eastAsia="宋体" w:cs="宋体"/>
                <w:color w:val="auto"/>
                <w:spacing w:val="-9"/>
                <w:sz w:val="22"/>
                <w:szCs w:val="22"/>
                <w:highlight w:val="none"/>
              </w:rPr>
              <w:t>台起重机，发现问题及时上门督促整改并复查，实施闭环管理。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16" w:line="240" w:lineRule="auto"/>
              <w:ind w:left="30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42"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lang w:eastAsia="zh-CN"/>
              </w:rPr>
              <w:t>五常</w:t>
            </w:r>
            <w:r>
              <w:rPr>
                <w:rFonts w:hint="eastAsia" w:ascii="宋体" w:hAnsi="宋体" w:eastAsia="宋体" w:cs="宋体"/>
                <w:color w:val="auto"/>
                <w:spacing w:val="-4"/>
                <w:sz w:val="22"/>
                <w:szCs w:val="22"/>
                <w:highlight w:val="none"/>
              </w:rPr>
              <w:t>街道辖区范围内固定式压力</w:t>
            </w:r>
            <w:r>
              <w:rPr>
                <w:rFonts w:hint="eastAsia" w:ascii="宋体" w:hAnsi="宋体" w:eastAsia="宋体" w:cs="宋体"/>
                <w:color w:val="auto"/>
                <w:spacing w:val="-3"/>
                <w:sz w:val="22"/>
                <w:szCs w:val="22"/>
                <w:highlight w:val="none"/>
              </w:rPr>
              <w:t>容器监督检查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42" w:line="240" w:lineRule="auto"/>
              <w:ind w:right="147"/>
              <w:jc w:val="both"/>
              <w:textAlignment w:val="auto"/>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目前</w:t>
            </w:r>
            <w:r>
              <w:rPr>
                <w:rFonts w:hint="eastAsia" w:ascii="宋体" w:hAnsi="宋体" w:eastAsia="宋体" w:cs="宋体"/>
                <w:color w:val="auto"/>
                <w:spacing w:val="-9"/>
                <w:sz w:val="22"/>
                <w:szCs w:val="22"/>
                <w:highlight w:val="none"/>
                <w:lang w:val="en-US" w:eastAsia="zh-CN"/>
              </w:rPr>
              <w:t>242</w:t>
            </w:r>
            <w:r>
              <w:rPr>
                <w:rFonts w:hint="eastAsia" w:ascii="宋体" w:hAnsi="宋体" w:eastAsia="宋体" w:cs="宋体"/>
                <w:color w:val="auto"/>
                <w:spacing w:val="-9"/>
                <w:sz w:val="22"/>
                <w:szCs w:val="22"/>
                <w:highlight w:val="none"/>
              </w:rPr>
              <w:t>台固定式压力容器，发现问题及时上门督促整改并复查，实施闭环管理。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2" w:hRule="atLeast"/>
        </w:trPr>
        <w:tc>
          <w:tcPr>
            <w:tcW w:w="395" w:type="pct"/>
            <w:vMerge w:val="continue"/>
            <w:tcBorders>
              <w:top w:val="nil"/>
              <w:bottom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pPr>
              <w:pStyle w:val="32"/>
              <w:keepNext w:val="0"/>
              <w:keepLines w:val="0"/>
              <w:pageBreakBefore w:val="0"/>
              <w:widowControl/>
              <w:kinsoku/>
              <w:wordWrap/>
              <w:overflowPunct/>
              <w:topLinePunct w:val="0"/>
              <w:autoSpaceDE/>
              <w:autoSpaceDN/>
              <w:bidi w:val="0"/>
              <w:adjustRightInd/>
              <w:snapToGrid w:val="0"/>
              <w:spacing w:before="109" w:line="240" w:lineRule="auto"/>
              <w:ind w:left="30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279"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lang w:eastAsia="zh-CN"/>
              </w:rPr>
              <w:t>五常</w:t>
            </w:r>
            <w:r>
              <w:rPr>
                <w:rFonts w:hint="eastAsia" w:ascii="宋体" w:hAnsi="宋体" w:eastAsia="宋体" w:cs="宋体"/>
                <w:color w:val="auto"/>
                <w:spacing w:val="-7"/>
                <w:sz w:val="22"/>
                <w:szCs w:val="22"/>
                <w:highlight w:val="none"/>
              </w:rPr>
              <w:t>街道辖区范围内厂（场）内</w:t>
            </w:r>
            <w:r>
              <w:rPr>
                <w:rFonts w:hint="eastAsia" w:ascii="宋体" w:hAnsi="宋体" w:eastAsia="宋体" w:cs="宋体"/>
                <w:color w:val="auto"/>
                <w:spacing w:val="-2"/>
                <w:sz w:val="22"/>
                <w:szCs w:val="22"/>
                <w:highlight w:val="none"/>
              </w:rPr>
              <w:t>机动车辆监督检查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42" w:line="240" w:lineRule="auto"/>
              <w:ind w:right="147"/>
              <w:jc w:val="both"/>
              <w:textAlignment w:val="auto"/>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目前</w:t>
            </w:r>
            <w:r>
              <w:rPr>
                <w:rFonts w:hint="eastAsia" w:ascii="宋体" w:hAnsi="宋体" w:eastAsia="宋体" w:cs="宋体"/>
                <w:color w:val="auto"/>
                <w:spacing w:val="-9"/>
                <w:sz w:val="22"/>
                <w:szCs w:val="22"/>
                <w:highlight w:val="none"/>
                <w:lang w:val="en-US" w:eastAsia="zh-CN"/>
              </w:rPr>
              <w:t>94</w:t>
            </w:r>
            <w:r>
              <w:rPr>
                <w:rFonts w:hint="eastAsia" w:ascii="宋体" w:hAnsi="宋体" w:eastAsia="宋体" w:cs="宋体"/>
                <w:color w:val="auto"/>
                <w:spacing w:val="-9"/>
                <w:sz w:val="22"/>
                <w:szCs w:val="22"/>
                <w:highlight w:val="none"/>
              </w:rPr>
              <w:t>台厂（场）内机动车辆，发现问题及时上门督促整改并复查，实施闭环管理。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395" w:type="pct"/>
            <w:vMerge w:val="continue"/>
            <w:tcBorders>
              <w:top w:val="nil"/>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tc>
        <w:tc>
          <w:tcPr>
            <w:tcW w:w="423"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322" w:line="240" w:lineRule="auto"/>
              <w:ind w:left="31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711" w:type="pct"/>
            <w:noWrap w:val="0"/>
            <w:vAlign w:val="top"/>
          </w:tcPr>
          <w:p>
            <w:pPr>
              <w:pStyle w:val="32"/>
              <w:keepNext w:val="0"/>
              <w:keepLines w:val="0"/>
              <w:pageBreakBefore w:val="0"/>
              <w:widowControl/>
              <w:kinsoku/>
              <w:wordWrap/>
              <w:overflowPunct/>
              <w:topLinePunct w:val="0"/>
              <w:autoSpaceDE/>
              <w:autoSpaceDN/>
              <w:bidi w:val="0"/>
              <w:adjustRightInd/>
              <w:snapToGrid w:val="0"/>
              <w:spacing w:before="49" w:line="240" w:lineRule="auto"/>
              <w:ind w:right="97"/>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lang w:eastAsia="zh-CN"/>
              </w:rPr>
              <w:t>五常</w:t>
            </w:r>
            <w:r>
              <w:rPr>
                <w:rFonts w:hint="eastAsia" w:ascii="宋体" w:hAnsi="宋体" w:eastAsia="宋体" w:cs="宋体"/>
                <w:color w:val="auto"/>
                <w:spacing w:val="-4"/>
                <w:sz w:val="22"/>
                <w:szCs w:val="22"/>
                <w:highlight w:val="none"/>
              </w:rPr>
              <w:t>街道辖区范围内锅炉监督检</w:t>
            </w:r>
            <w:r>
              <w:rPr>
                <w:rFonts w:hint="eastAsia" w:ascii="宋体" w:hAnsi="宋体" w:eastAsia="宋体" w:cs="宋体"/>
                <w:color w:val="auto"/>
                <w:sz w:val="22"/>
                <w:szCs w:val="22"/>
                <w:highlight w:val="none"/>
              </w:rPr>
              <w:t>查</w:t>
            </w:r>
          </w:p>
        </w:tc>
        <w:tc>
          <w:tcPr>
            <w:tcW w:w="2469" w:type="pct"/>
            <w:noWrap w:val="0"/>
            <w:vAlign w:val="center"/>
          </w:tcPr>
          <w:p>
            <w:pPr>
              <w:pStyle w:val="32"/>
              <w:keepNext w:val="0"/>
              <w:keepLines w:val="0"/>
              <w:pageBreakBefore w:val="0"/>
              <w:widowControl/>
              <w:kinsoku/>
              <w:wordWrap/>
              <w:overflowPunct/>
              <w:topLinePunct w:val="0"/>
              <w:autoSpaceDE/>
              <w:autoSpaceDN/>
              <w:bidi w:val="0"/>
              <w:adjustRightInd/>
              <w:snapToGrid w:val="0"/>
              <w:spacing w:before="49" w:line="240" w:lineRule="auto"/>
              <w:ind w:right="96"/>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目前</w:t>
            </w:r>
            <w:r>
              <w:rPr>
                <w:rFonts w:hint="eastAsia" w:ascii="宋体" w:hAnsi="宋体" w:eastAsia="宋体" w:cs="宋体"/>
                <w:color w:val="auto"/>
                <w:spacing w:val="-6"/>
                <w:sz w:val="22"/>
                <w:szCs w:val="22"/>
                <w:highlight w:val="none"/>
                <w:lang w:val="en-US" w:eastAsia="zh-CN"/>
              </w:rPr>
              <w:t>0</w:t>
            </w:r>
            <w:r>
              <w:rPr>
                <w:rFonts w:hint="eastAsia" w:ascii="宋体" w:hAnsi="宋体" w:eastAsia="宋体" w:cs="宋体"/>
                <w:color w:val="auto"/>
                <w:spacing w:val="-6"/>
                <w:sz w:val="22"/>
                <w:szCs w:val="22"/>
                <w:highlight w:val="none"/>
              </w:rPr>
              <w:t>台锅炉，发现问题及时上门整改</w:t>
            </w:r>
            <w:r>
              <w:rPr>
                <w:rFonts w:hint="eastAsia" w:ascii="宋体" w:hAnsi="宋体" w:eastAsia="宋体" w:cs="宋体"/>
                <w:color w:val="auto"/>
                <w:spacing w:val="-2"/>
                <w:sz w:val="22"/>
                <w:szCs w:val="22"/>
                <w:highlight w:val="none"/>
              </w:rPr>
              <w:t>并复审，实施闭环管理。</w:t>
            </w:r>
          </w:p>
        </w:tc>
      </w:tr>
    </w:tbl>
    <w:p>
      <w:pPr>
        <w:keepNext w:val="0"/>
        <w:keepLines w:val="0"/>
        <w:pageBreakBefore w:val="0"/>
        <w:kinsoku/>
        <w:wordWrap/>
        <w:topLinePunct w:val="0"/>
        <w:bidi w:val="0"/>
        <w:adjustRightInd w:val="0"/>
        <w:snapToGrid/>
        <w:spacing w:line="360" w:lineRule="auto"/>
        <w:jc w:val="both"/>
        <w:outlineLvl w:val="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eastAsia="zh-CN"/>
        </w:rPr>
        <w:t>人员要求</w:t>
      </w:r>
      <w:r>
        <w:rPr>
          <w:rFonts w:hint="eastAsia" w:ascii="宋体" w:hAnsi="宋体" w:eastAsia="宋体" w:cs="宋体"/>
          <w:b/>
          <w:bCs/>
          <w:color w:val="auto"/>
          <w:kern w:val="0"/>
          <w:sz w:val="24"/>
          <w:szCs w:val="24"/>
          <w:highlight w:val="none"/>
        </w:rPr>
        <w:t>：</w:t>
      </w:r>
    </w:p>
    <w:p>
      <w:pPr>
        <w:keepNext w:val="0"/>
        <w:keepLines w:val="0"/>
        <w:pageBreakBefore w:val="0"/>
        <w:kinsoku/>
        <w:wordWrap/>
        <w:topLinePunct w:val="0"/>
        <w:bidi w:val="0"/>
        <w:adjustRightInd w:val="0"/>
        <w:snapToGrid/>
        <w:spacing w:line="360" w:lineRule="auto"/>
        <w:jc w:val="both"/>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1.岗位及职数要求：</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1.1配置</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lang w:val="en-US" w:eastAsia="zh-CN"/>
        </w:rPr>
        <w:t>人员</w:t>
      </w:r>
      <w:r>
        <w:rPr>
          <w:rFonts w:hint="eastAsia" w:ascii="宋体" w:hAnsi="宋体" w:eastAsia="宋体" w:cs="宋体"/>
          <w:snapToGrid w:val="0"/>
          <w:color w:val="auto"/>
          <w:kern w:val="0"/>
          <w:sz w:val="24"/>
          <w:highlight w:val="none"/>
        </w:rPr>
        <w:t>不少于15人</w:t>
      </w:r>
      <w:r>
        <w:rPr>
          <w:rFonts w:hint="eastAsia" w:ascii="宋体" w:hAnsi="宋体" w:eastAsia="宋体" w:cs="宋体"/>
          <w:color w:val="auto"/>
          <w:kern w:val="0"/>
          <w:sz w:val="24"/>
          <w:szCs w:val="24"/>
          <w:highlight w:val="none"/>
        </w:rPr>
        <w:t>。</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要求：</w:t>
      </w:r>
      <w:r>
        <w:rPr>
          <w:rFonts w:hint="eastAsia" w:ascii="宋体" w:hAnsi="宋体" w:eastAsia="宋体" w:cs="宋体"/>
          <w:b/>
          <w:color w:val="auto"/>
          <w:sz w:val="24"/>
          <w:szCs w:val="24"/>
          <w:highlight w:val="none"/>
          <w:lang w:val="en-US" w:eastAsia="zh-CN"/>
        </w:rPr>
        <w:t>年龄需在40周岁及以下且同时具有大专及以上学历（若拥有镇街或市场监管相关工作经验三年以上者，年龄可放宽至45周岁以下，学历可放宽至高中及以上学历或教育局出具学历证明），</w:t>
      </w:r>
      <w:r>
        <w:rPr>
          <w:rFonts w:hint="eastAsia" w:ascii="宋体" w:hAnsi="宋体" w:eastAsia="宋体" w:cs="宋体"/>
          <w:color w:val="auto"/>
          <w:kern w:val="0"/>
          <w:sz w:val="24"/>
          <w:szCs w:val="24"/>
          <w:highlight w:val="none"/>
          <w:lang w:eastAsia="zh-CN"/>
        </w:rPr>
        <w:t>服务人员需身体健康，体质良好，能吃苦耐劳，熟练操作office办公软件，并具备较强的组织协调能力、活动策划能力和文字表达能力，能够兼顾内外勤工作，适应夜班及不定期加班要求。</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 xml:space="preserve">要求: </w:t>
      </w:r>
      <w:r>
        <w:rPr>
          <w:rFonts w:hint="eastAsia" w:ascii="宋体" w:hAnsi="宋体" w:eastAsia="宋体" w:cs="宋体"/>
          <w:color w:val="auto"/>
          <w:kern w:val="0"/>
          <w:sz w:val="24"/>
          <w:szCs w:val="24"/>
          <w:highlight w:val="none"/>
          <w:lang w:eastAsia="zh-CN"/>
        </w:rPr>
        <w:t>派驻人员派驻前须通过采购人审核。</w:t>
      </w:r>
      <w:r>
        <w:rPr>
          <w:rFonts w:hint="eastAsia" w:ascii="宋体" w:hAnsi="宋体" w:eastAsia="宋体" w:cs="宋体"/>
          <w:color w:val="auto"/>
          <w:kern w:val="0"/>
          <w:sz w:val="24"/>
          <w:szCs w:val="24"/>
          <w:highlight w:val="none"/>
        </w:rPr>
        <w:t>相关人员入职前需提供无犯罪记录、个人征信等资料证明。同时，专门服务本项目的拟投入人员班子不得随意更换、离职，如确实有需要，需事先进行书面申请并经由街道同意。如擅自更换人员或者人员数量不足的，每发现一次，街道有权从第三方当月结算款中扣除（具体金额明细按缺少人员数量和每日基础工资进行累加叠算），同时，扣除合同价2%作为扣除违约金。如因此导致街道工作无法正常开展的，街道有权解除合同，且第三方应向街道支付违约金，违约金为当年合同价的25%；</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素质要求:</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应当遵纪守法，品行端正，身体健康，作风正派，有团队合作精神，无违法犯罪记录。</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进驻采购人指定工作岗位后，必须服从采购人的安排和管理，严格遵守采购人有关规章制度并接受采购人领导和员工的监督，遵纪守法、着装整洁、礼貌待客、认真负责；</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在工作时，必须按规定着装，佩戴标志，做到文明执勤，礼貌待人；</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的仪容仪表和执勤规范：</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应衣冠整洁，</w:t>
      </w:r>
      <w:r>
        <w:rPr>
          <w:rFonts w:hint="eastAsia" w:ascii="宋体" w:hAnsi="宋体" w:eastAsia="宋体" w:cs="宋体"/>
          <w:color w:val="auto"/>
          <w:kern w:val="0"/>
          <w:sz w:val="24"/>
          <w:szCs w:val="24"/>
          <w:highlight w:val="none"/>
          <w:lang w:eastAsia="zh-CN"/>
        </w:rPr>
        <w:t>工作服装需符合招标人要求，</w:t>
      </w:r>
      <w:r>
        <w:rPr>
          <w:rFonts w:hint="eastAsia" w:ascii="宋体" w:hAnsi="宋体" w:eastAsia="宋体" w:cs="宋体"/>
          <w:color w:val="auto"/>
          <w:kern w:val="0"/>
          <w:sz w:val="24"/>
          <w:szCs w:val="24"/>
          <w:highlight w:val="none"/>
        </w:rPr>
        <w:t>胸佩工作卡；坚守工作岗位。</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服务机构派驻人员根据采购人要求实行下上班制度，如采购人需中标单位服务人员加班办公，中标单位人员需无条件的配合采购人安排。</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须在中标后30日内完全到位，超出时间按照违约处理，解除合同，并保留追究中标供应商责任的权利。</w:t>
      </w:r>
    </w:p>
    <w:p>
      <w:pPr>
        <w:keepNext w:val="0"/>
        <w:keepLines w:val="0"/>
        <w:pageBreakBefore w:val="0"/>
        <w:kinsoku/>
        <w:wordWrap/>
        <w:topLinePunct w:val="0"/>
        <w:bidi w:val="0"/>
        <w:adjustRightInd w:val="0"/>
        <w:snapToGrid/>
        <w:spacing w:line="360" w:lineRule="auto"/>
        <w:jc w:val="both"/>
        <w:outlineLvl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四、其他相关服务要求：</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1、中标单位须按招标单位要求，提供包括工作电脑在内的办公设备及工作服装。同时，应配备不少于 1 辆轿车、SUV 或商务车，用于开展出行检查工作，并自行承担出行检查过程中的全部交通费用。此外，若因工作需要增配轿车、SUV 或商务车，新增车辆同样由中标单位自行配备，且出行检查产生的全部交通需求均由其承担。</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服务人员出现问题响应要求：服务期内中标单位自身出现了问题，如缺岗、离岗、与采购人工作人员发生纠纷等影响采购人及采购人声誉的所有事件，中标单位的主要负责人应立即响应，2小时内到达现场，3小时内解决问题，现场解决不了的应采取应急措施，应立即阻止事态的发展，确保无任何影响采购人的事件发生。</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中标单位在</w:t>
      </w:r>
      <w:r>
        <w:rPr>
          <w:rFonts w:hint="eastAsia" w:ascii="宋体" w:hAnsi="宋体" w:eastAsia="宋体" w:cs="宋体"/>
          <w:color w:val="auto"/>
          <w:kern w:val="0"/>
          <w:sz w:val="24"/>
          <w:szCs w:val="24"/>
          <w:highlight w:val="none"/>
          <w:lang w:val="en-US" w:eastAsia="zh-CN"/>
        </w:rPr>
        <w:t>服务过程中</w:t>
      </w:r>
      <w:r>
        <w:rPr>
          <w:rFonts w:hint="eastAsia" w:ascii="宋体" w:hAnsi="宋体" w:eastAsia="宋体" w:cs="宋体"/>
          <w:color w:val="auto"/>
          <w:kern w:val="0"/>
          <w:sz w:val="24"/>
          <w:szCs w:val="24"/>
          <w:highlight w:val="none"/>
          <w:lang w:eastAsia="zh-CN"/>
        </w:rPr>
        <w:t>发生的劳资纠纷、工伤纠纷、人身意外伤亡等事件，由中标单位自行承担，如因此造成</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eastAsia="zh-CN"/>
        </w:rPr>
        <w:t>被第三方索赔，</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eastAsia="zh-CN"/>
        </w:rPr>
        <w:t>有权向中标单位进行追偿。</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中标单位</w:t>
      </w:r>
      <w:r>
        <w:rPr>
          <w:rFonts w:hint="eastAsia" w:ascii="宋体" w:hAnsi="宋体" w:eastAsia="宋体" w:cs="宋体"/>
          <w:color w:val="auto"/>
          <w:kern w:val="0"/>
          <w:sz w:val="24"/>
          <w:szCs w:val="24"/>
          <w:highlight w:val="none"/>
          <w:lang w:val="en-US" w:eastAsia="zh-CN"/>
        </w:rPr>
        <w:t>需建立完整的台账，便于街道等相关部门的审计及检查。</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、针对街道临时突击性的检查、上级文件要求的检查等，做到随叫随到。</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五、服务期限：</w:t>
      </w:r>
      <w:r>
        <w:rPr>
          <w:rFonts w:hint="eastAsia" w:ascii="宋体" w:hAnsi="宋体" w:eastAsia="宋体" w:cs="宋体"/>
          <w:color w:val="auto"/>
          <w:kern w:val="0"/>
          <w:sz w:val="24"/>
          <w:szCs w:val="24"/>
          <w:highlight w:val="none"/>
          <w:lang w:eastAsia="zh-CN"/>
        </w:rPr>
        <w:t>服务期限为叁年，服务合同壹年壹签</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服务费</w:t>
      </w:r>
      <w:r>
        <w:rPr>
          <w:rFonts w:hint="eastAsia" w:ascii="宋体" w:hAnsi="宋体" w:eastAsia="宋体" w:cs="宋体"/>
          <w:b/>
          <w:bCs/>
          <w:color w:val="auto"/>
          <w:sz w:val="24"/>
          <w:szCs w:val="24"/>
          <w:highlight w:val="none"/>
        </w:rPr>
        <w:t>支付</w:t>
      </w:r>
      <w:r>
        <w:rPr>
          <w:rFonts w:hint="eastAsia" w:ascii="宋体" w:hAnsi="宋体" w:eastAsia="宋体" w:cs="宋体"/>
          <w:b/>
          <w:bCs/>
          <w:color w:val="auto"/>
          <w:sz w:val="24"/>
          <w:szCs w:val="24"/>
          <w:highlight w:val="none"/>
          <w:lang w:eastAsia="zh-CN"/>
        </w:rPr>
        <w:t>：</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1、每季度根据考核结果支付当年合同价25%的进度款。</w:t>
      </w:r>
    </w:p>
    <w:p>
      <w:pPr>
        <w:keepNext w:val="0"/>
        <w:keepLines w:val="0"/>
        <w:pageBreakBefore w:val="0"/>
        <w:kinsoku/>
        <w:wordWrap/>
        <w:topLinePunct w:val="0"/>
        <w:bidi w:val="0"/>
        <w:adjustRightInd w:val="0"/>
        <w:snapToGrid/>
        <w:spacing w:line="360" w:lineRule="auto"/>
        <w:ind w:firstLine="480" w:firstLineChars="200"/>
        <w:jc w:val="both"/>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支付款项时，对中标单位的工作进行考核，主要包括：在日常工作中上下班制度的保证、团队的专业性及配合能力、中标单位对分派任务的及时响应性等。如考核不达标，采购人有权延期支付尾款。</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七、本项目履约保证金：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1、中标人在签订合同时需向招标人提交合同</w:t>
      </w:r>
      <w:r>
        <w:rPr>
          <w:rFonts w:hint="eastAsia" w:ascii="宋体" w:hAnsi="宋体" w:eastAsia="宋体" w:cs="宋体"/>
          <w:color w:val="auto"/>
          <w:sz w:val="24"/>
          <w:highlight w:val="none"/>
          <w:lang w:eastAsia="zh-CN"/>
        </w:rPr>
        <w:t>总价的</w:t>
      </w:r>
      <w:r>
        <w:rPr>
          <w:rFonts w:hint="eastAsia" w:ascii="宋体" w:hAnsi="宋体" w:eastAsia="宋体" w:cs="宋体"/>
          <w:color w:val="auto"/>
          <w:sz w:val="24"/>
          <w:highlight w:val="none"/>
        </w:rPr>
        <w:t>1%履约保证金；合同履行完毕无服务或质量问题的，7个工作日内无息退还。</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2、在承包期内如因承包人原因造成招标人财产损失的，招标人有权酌情扣去履约保证金。</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八、投标人在投标报价需注意事项：</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投标人的报价应全面涵盖完成本项目所需的一切费用，并自行承担由此产生的全部风险及责任。​</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2、中标服务期内，中标单位须承担员工全部安全责任，包括工伤及其他各类安全事故。因上述情况产生的所有费用，均由中标单位承担。​</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3、中标单位拟派的驻点人员须仅服务于五常街道，不得同时兼任其他项目工作。</w:t>
      </w:r>
    </w:p>
    <w:p>
      <w:pPr>
        <w:spacing w:line="360" w:lineRule="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lang w:eastAsia="zh-CN"/>
        </w:rPr>
        <w:t>九</w:t>
      </w:r>
      <w:r>
        <w:rPr>
          <w:rFonts w:hint="eastAsia" w:ascii="宋体" w:hAnsi="宋体" w:eastAsia="宋体" w:cs="宋体"/>
          <w:b/>
          <w:bCs/>
          <w:snapToGrid w:val="0"/>
          <w:color w:val="auto"/>
          <w:kern w:val="0"/>
          <w:sz w:val="24"/>
          <w:highlight w:val="none"/>
        </w:rPr>
        <w:t>、考核细则：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采购人对中标单位的服务质量及成效进行监督管理，安全社会化服务完成后，将企业和属地满意度、绩效情况作为对中标单位综合考核依据。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由于群众举报、新闻媒体曝光而影响街道整体形象的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核实是由第三方引起的将予以扣除违约金，扣除违约金额度为每次壹万元；如因第三方工作失误导致街道被上级部门通报批评，影响评优、评先的，街道有权对第三方进行扣除违约金，扣除违约金额度为每次壹万元。影响严重的，街道有权解除合同，且第三方应向街道支付违约金，违约金为当年合同价的25%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如中标单位在服务期间发生以下情况之一的，相应扣除中标单位合同总价格的10%-50%并追究相关责任，造成安全责任事故的，终止合同，扣除全部费用：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1、已检查单位发生因中标单位未按要求履行工作职责而造成的安全死亡事故或造成较大社会影响的其他事故；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2、已检查单位发生因中标单位未按要求履行工作职责而被上级部门检查发现重大安全隐患的；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街道</w:t>
      </w:r>
      <w:r>
        <w:rPr>
          <w:rFonts w:hint="eastAsia" w:ascii="宋体" w:hAnsi="宋体" w:eastAsia="宋体" w:cs="宋体"/>
          <w:color w:val="auto"/>
          <w:sz w:val="24"/>
          <w:highlight w:val="none"/>
        </w:rPr>
        <w:t>将不定期组织专家对被服务单位进行抽查，被抽查单位被发现因中标单位未按要求履行工作职责存在重大安全隐患的；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单位服务人员在开展隐患诊断服务过程中推销产品或其他服务项目的。发现中标单位有违反国家咨询服务相关规定，弄虚作假、出具虚假检查报告、泄漏企业技术秘密等行为，一经查实确认，报有关部门作相应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5、其他未尽事宜，合同签订前提供详细考核细则。</w:t>
      </w:r>
    </w:p>
    <w:p>
      <w:pPr>
        <w:pStyle w:val="1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 xml:space="preserve">    6、考核管理办法附后。</w:t>
      </w:r>
    </w:p>
    <w:p>
      <w:pPr>
        <w:jc w:val="center"/>
        <w:rPr>
          <w:rFonts w:hint="eastAsia" w:ascii="宋体" w:hAnsi="宋体" w:eastAsia="宋体" w:cs="宋体"/>
          <w:color w:val="auto"/>
          <w:sz w:val="29"/>
          <w:szCs w:val="29"/>
          <w:highlight w:val="none"/>
          <w:shd w:val="clear" w:color="auto" w:fill="FFFFFF"/>
        </w:rPr>
      </w:pPr>
      <w:r>
        <w:rPr>
          <w:rFonts w:hint="eastAsia" w:ascii="宋体" w:hAnsi="宋体" w:eastAsia="宋体" w:cs="宋体"/>
          <w:b/>
          <w:bCs/>
          <w:color w:val="auto"/>
          <w:kern w:val="44"/>
          <w:sz w:val="29"/>
          <w:szCs w:val="29"/>
          <w:highlight w:val="none"/>
          <w:shd w:val="clear" w:color="auto" w:fill="FFFFFF"/>
          <w:lang w:eastAsia="zh-CN"/>
        </w:rPr>
        <w:t>五常街道食品和特种设备安全管理服务</w:t>
      </w:r>
      <w:r>
        <w:rPr>
          <w:rFonts w:hint="eastAsia" w:ascii="宋体" w:hAnsi="宋体" w:eastAsia="宋体" w:cs="宋体"/>
          <w:b/>
          <w:bCs/>
          <w:color w:val="auto"/>
          <w:kern w:val="44"/>
          <w:sz w:val="29"/>
          <w:szCs w:val="29"/>
          <w:highlight w:val="none"/>
          <w:shd w:val="clear" w:color="auto" w:fill="FFFFFF"/>
        </w:rPr>
        <w:t>考核管理办法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一、五常街道通过购买五常街道食品和特种设备安全管理服务，并每月对中标单位工作开展情况进行考核奖惩（详见附件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派驻人员必须持有合同要求的资格证，且人员由街道进行审核。同时，中标单位提供的派驻人员不得随意更换、离职，如确实有需要，需事先进行书面申请并经由街道同意。如擅自更换人员或者人员数量不足的，每发现一次，街道有权从中标单位当月结算款中扣除（具体金额明细按缺少人员数量和每日基础工资进行累加叠算），同时，扣除合同价2%作为扣除违约金。如因此导致街道工作无法正常开展的，街道有权解除合同，且中标单位应向街道支付违约金，违约金为当年合同价的25%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三、派驻人员在岗工作期间，严格按照上班时间</w:t>
      </w:r>
      <w:r>
        <w:rPr>
          <w:rFonts w:hint="eastAsia" w:ascii="宋体" w:hAnsi="宋体" w:eastAsia="宋体" w:cs="宋体"/>
          <w:color w:val="auto"/>
          <w:sz w:val="24"/>
          <w:highlight w:val="none"/>
          <w:lang w:eastAsia="zh-CN"/>
        </w:rPr>
        <w:t>按发包人要求</w:t>
      </w:r>
      <w:r>
        <w:rPr>
          <w:rFonts w:hint="eastAsia" w:ascii="宋体" w:hAnsi="宋体" w:eastAsia="宋体" w:cs="宋体"/>
          <w:color w:val="auto"/>
          <w:sz w:val="24"/>
          <w:highlight w:val="none"/>
        </w:rPr>
        <w:t>开展工作；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四、街道有权要求中标单位在派驻人员工作开展过程中严格对照绩效考核表的相关要求，落实好人员奖惩机制和管理，并对涉及的派驻人员进行奖惩（详见附件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由于群众举报、新闻媒体曝光而影响街道整体形象的,经核实是由中标单位引起的将予以扣除违约金，扣除违约金额度为每次壹万元；如因中标单位工作失误导致街道被上级部门通报批评，影响评优、评先的，街道有权对中标单位进行扣除违约金，扣除违约金额度为每次壹万元。影响严重的，街道有权解除合同，且中标单位应向街道支付违约金，违约金为当年合同价的25%。</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六、</w:t>
      </w:r>
      <w:r>
        <w:rPr>
          <w:rFonts w:hint="eastAsia" w:ascii="宋体" w:hAnsi="宋体" w:eastAsia="宋体" w:cs="宋体"/>
          <w:color w:val="auto"/>
          <w:sz w:val="24"/>
          <w:highlight w:val="none"/>
        </w:rPr>
        <w:t>执业要求：</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中标单位要遵纪守法，严格遵守法律、法规、规章和执业准则；要健全完善提升企业服务质量和水平；加强本单位工作人员管理，规范言行举止、仪容仪表。</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不提供虚假信息、资料，出具虚假、失实或者存在重大疏漏的社会化服务技术报告，损害</w:t>
      </w:r>
      <w:r>
        <w:rPr>
          <w:rFonts w:hint="eastAsia" w:ascii="宋体" w:hAnsi="宋体" w:eastAsia="宋体" w:cs="宋体"/>
          <w:color w:val="auto"/>
          <w:sz w:val="24"/>
          <w:highlight w:val="none"/>
          <w:shd w:val="clear" w:color="auto" w:fill="FFFFFF"/>
          <w:lang w:eastAsia="zh-CN"/>
        </w:rPr>
        <w:t>采购人</w:t>
      </w:r>
      <w:r>
        <w:rPr>
          <w:rFonts w:hint="eastAsia" w:ascii="宋体" w:hAnsi="宋体" w:eastAsia="宋体" w:cs="宋体"/>
          <w:color w:val="auto"/>
          <w:sz w:val="24"/>
          <w:highlight w:val="none"/>
          <w:shd w:val="clear" w:color="auto" w:fill="FFFFFF"/>
        </w:rPr>
        <w:t>或者他人利益。</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自觉遵守市场竞争规则，以不正当手段承揽业务或者利用执业便利谋取不正当利益。</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不采取欺诈、胁迫、贿赂、串通等非法手段，损害</w:t>
      </w:r>
      <w:r>
        <w:rPr>
          <w:rFonts w:hint="eastAsia" w:ascii="宋体" w:hAnsi="宋体" w:eastAsia="宋体" w:cs="宋体"/>
          <w:color w:val="auto"/>
          <w:sz w:val="24"/>
          <w:highlight w:val="none"/>
          <w:shd w:val="clear" w:color="auto" w:fill="FFFFFF"/>
          <w:lang w:eastAsia="zh-CN"/>
        </w:rPr>
        <w:t>采购人</w:t>
      </w:r>
      <w:r>
        <w:rPr>
          <w:rFonts w:hint="eastAsia" w:ascii="宋体" w:hAnsi="宋体" w:eastAsia="宋体" w:cs="宋体"/>
          <w:color w:val="auto"/>
          <w:sz w:val="24"/>
          <w:highlight w:val="none"/>
          <w:shd w:val="clear" w:color="auto" w:fill="FFFFFF"/>
        </w:rPr>
        <w:t>或者他人利益。</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不以区街道及其工作人员等名义或假借、冒用他人名义要求服务对象接受有偿服务。</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不出具虚假或者严重失实的服务报告。</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不非法转包服务项目，或者未经</w:t>
      </w:r>
      <w:r>
        <w:rPr>
          <w:rFonts w:hint="eastAsia" w:ascii="宋体" w:hAnsi="宋体" w:eastAsia="宋体" w:cs="宋体"/>
          <w:color w:val="auto"/>
          <w:sz w:val="24"/>
          <w:highlight w:val="none"/>
          <w:shd w:val="clear" w:color="auto" w:fill="FFFFFF"/>
          <w:lang w:eastAsia="zh-CN"/>
        </w:rPr>
        <w:t>采购人</w:t>
      </w:r>
      <w:r>
        <w:rPr>
          <w:rFonts w:hint="eastAsia" w:ascii="宋体" w:hAnsi="宋体" w:eastAsia="宋体" w:cs="宋体"/>
          <w:color w:val="auto"/>
          <w:sz w:val="24"/>
          <w:highlight w:val="none"/>
          <w:shd w:val="clear" w:color="auto" w:fill="FFFFFF"/>
        </w:rPr>
        <w:t>允许对服务项目进行转包、分包。</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不违反有关法规标准规定，更改或者简化安全技术、管理服务程序和相关内容。</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不应到而不到现场开展安全技术、管理服务活动。</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不冒用他人名义或者允许他人冒用本人名义在服务报告、原始记录、证明等材料上签名。</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不泄露被检查单位的技术或者商业秘密。</w:t>
      </w:r>
    </w:p>
    <w:p>
      <w:pPr>
        <w:numPr>
          <w:ilvl w:val="0"/>
          <w:numId w:val="2"/>
        </w:num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遵守廉洁自律相关规定。</w:t>
      </w:r>
    </w:p>
    <w:p>
      <w:pPr>
        <w:numPr>
          <w:ilvl w:val="0"/>
          <w:numId w:val="2"/>
        </w:num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遵守五常街道规章制度。</w:t>
      </w:r>
    </w:p>
    <w:p>
      <w:pPr>
        <w:numPr>
          <w:ilvl w:val="0"/>
          <w:numId w:val="2"/>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法律、法规和规章规定的其他违法、违规行为。</w:t>
      </w: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pPr>
        <w:widowControl/>
        <w:adjustRightInd/>
        <w:spacing w:before="120" w:beforeLines="50" w:after="120" w:afterLines="50" w:line="360" w:lineRule="auto"/>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五常街道食品和特种设备安全管理服务</w:t>
      </w:r>
      <w:r>
        <w:rPr>
          <w:rFonts w:hint="eastAsia" w:ascii="宋体" w:hAnsi="宋体" w:eastAsia="宋体" w:cs="宋体"/>
          <w:b/>
          <w:bCs/>
          <w:color w:val="auto"/>
          <w:sz w:val="28"/>
          <w:szCs w:val="28"/>
          <w:highlight w:val="none"/>
        </w:rPr>
        <w:t>考核细则</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381"/>
        <w:gridCol w:w="5458"/>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noWrap w:val="0"/>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62" w:type="pct"/>
            <w:noWrap w:val="0"/>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考核内容</w:t>
            </w:r>
          </w:p>
        </w:tc>
        <w:tc>
          <w:tcPr>
            <w:tcW w:w="3012" w:type="pct"/>
            <w:noWrap w:val="0"/>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考核标准</w:t>
            </w:r>
          </w:p>
        </w:tc>
        <w:tc>
          <w:tcPr>
            <w:tcW w:w="772" w:type="pct"/>
            <w:noWrap w:val="0"/>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2"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bidi="ar"/>
              </w:rPr>
              <w:t>出勤工作</w:t>
            </w: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按规定时间作息，不得上班迟到或早退；</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非工作原因不得未请假外出，不按时请销假；</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无故旷工的；旷工一天及以上者作违纪辞退处理；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未按领导要求完成工作，或未按时间要求完成工作的，扣分情况由领导视工作实际情况酌情考虑</w:t>
            </w:r>
          </w:p>
        </w:tc>
        <w:tc>
          <w:tcPr>
            <w:tcW w:w="772"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bidi="ar"/>
              </w:rPr>
              <w:t>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2"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bidi="ar"/>
              </w:rPr>
              <w:t>遵纪守法</w:t>
            </w: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严重失职而造成重大事故的，作违纪辞退处理或交有关部门处理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请假未提前一天请假或未经街道领导同意批准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利用职务之便，收受利害关系方财物或者其他好处的，违纪者作违纪辞退处理；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严格落实保密制度，严守本单位及被检查单位机密，如有不符合规范要求的扣分,如造成严重后果的作违纪辞退处理。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严禁酒后上岗或工作期间饮酒、严禁打架斗殴；违纪者作违纪辞退处理；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诚实公正廉洁、遵守本单位各项规章制度，服从领导、听从指挥，对领导工作指示及安排不执行或蓄意违抗现象；违纪者作违纪辞退处理</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派驻人员私接业务、业务转入其他公司，或被企业举报</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其他不遵守国家的法律法规及规章制度，而造成严重法律后果的，追究承担相关的法律责任；</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62"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工作内容</w:t>
            </w: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打着工作的幌子，上班期间做与工作无关的事情</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上班期间玩手机、戴耳机听歌，玩游戏（午休时间除外）</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开会无故缺席、迟到、早退</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工作被相关政府部门约谈、批评</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领导派发的工作未能按时间节点、质量完成</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领导群内发送的工作，无回复、安排的工作未落实</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工作总结、计划不及时上交</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企业安全检查时发现疑难杂症、难改隐患不记录或不上报领导</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企业安全检查时发现重大隐患隐瞒不报</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企业安全检查时未发现企业重大隐患</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现场检查记录、责令整改指令书、整改复查意见书填写不规范，整改电子报告不符合要求</w:t>
            </w:r>
          </w:p>
        </w:tc>
        <w:tc>
          <w:tcPr>
            <w:tcW w:w="772"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52" w:type="pct"/>
            <w:vMerge w:val="continue"/>
            <w:noWrap w:val="0"/>
            <w:vAlign w:val="center"/>
          </w:tcPr>
          <w:p>
            <w:pPr>
              <w:jc w:val="center"/>
              <w:rPr>
                <w:rFonts w:hint="eastAsia" w:ascii="宋体" w:hAnsi="宋体" w:eastAsia="宋体" w:cs="宋体"/>
                <w:color w:val="auto"/>
                <w:sz w:val="24"/>
                <w:highlight w:val="none"/>
              </w:rPr>
            </w:pPr>
          </w:p>
        </w:tc>
        <w:tc>
          <w:tcPr>
            <w:tcW w:w="762" w:type="pct"/>
            <w:vMerge w:val="continue"/>
            <w:noWrap w:val="0"/>
            <w:vAlign w:val="center"/>
          </w:tcPr>
          <w:p>
            <w:pPr>
              <w:jc w:val="center"/>
              <w:rPr>
                <w:rFonts w:hint="eastAsia" w:ascii="宋体" w:hAnsi="宋体" w:eastAsia="宋体" w:cs="宋体"/>
                <w:color w:val="auto"/>
                <w:sz w:val="24"/>
                <w:highlight w:val="none"/>
              </w:rPr>
            </w:pPr>
          </w:p>
        </w:tc>
        <w:tc>
          <w:tcPr>
            <w:tcW w:w="3012"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企业隐患整改造假</w:t>
            </w:r>
          </w:p>
        </w:tc>
        <w:tc>
          <w:tcPr>
            <w:tcW w:w="772" w:type="pct"/>
            <w:noWrap w:val="0"/>
            <w:vAlign w:val="center"/>
          </w:tcPr>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52" w:type="pct"/>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4547" w:type="pct"/>
            <w:gridSpan w:val="3"/>
            <w:noWrap w:val="0"/>
            <w:vAlign w:val="center"/>
          </w:tcPr>
          <w:p>
            <w:pPr>
              <w:jc w:val="both"/>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 w:val="24"/>
                <w:highlight w:val="none"/>
              </w:rPr>
              <w:t>初始分值为100分。每一分500元；考核结果在</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0分（含）以下为不</w:t>
            </w:r>
            <w:r>
              <w:rPr>
                <w:rFonts w:hint="eastAsia" w:ascii="宋体" w:hAnsi="宋体" w:eastAsia="宋体" w:cs="宋体"/>
                <w:color w:val="auto"/>
                <w:sz w:val="24"/>
                <w:highlight w:val="none"/>
                <w:lang w:eastAsia="zh-CN"/>
              </w:rPr>
              <w:t>合格</w:t>
            </w:r>
            <w:r>
              <w:rPr>
                <w:rFonts w:hint="eastAsia" w:ascii="宋体" w:hAnsi="宋体" w:eastAsia="宋体" w:cs="宋体"/>
                <w:color w:val="auto"/>
                <w:sz w:val="24"/>
                <w:highlight w:val="none"/>
              </w:rPr>
              <w:t>，全年累计3次</w:t>
            </w:r>
            <w:r>
              <w:rPr>
                <w:rFonts w:hint="eastAsia" w:ascii="宋体" w:hAnsi="宋体" w:eastAsia="宋体" w:cs="宋体"/>
                <w:color w:val="auto"/>
                <w:sz w:val="24"/>
                <w:highlight w:val="none"/>
                <w:lang w:eastAsia="zh-CN"/>
              </w:rPr>
              <w:t>月度</w:t>
            </w:r>
            <w:r>
              <w:rPr>
                <w:rFonts w:hint="eastAsia" w:ascii="宋体" w:hAnsi="宋体" w:eastAsia="宋体" w:cs="宋体"/>
                <w:color w:val="auto"/>
                <w:sz w:val="24"/>
                <w:highlight w:val="none"/>
              </w:rPr>
              <w:t>得分低于</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0分（含）</w:t>
            </w:r>
            <w:r>
              <w:rPr>
                <w:rFonts w:hint="eastAsia" w:ascii="宋体" w:hAnsi="宋体" w:eastAsia="宋体" w:cs="宋体"/>
                <w:color w:val="auto"/>
                <w:sz w:val="24"/>
                <w:highlight w:val="none"/>
                <w:lang w:eastAsia="zh-CN"/>
              </w:rPr>
              <w:t>或</w:t>
            </w:r>
            <w:r>
              <w:rPr>
                <w:rFonts w:hint="eastAsia" w:ascii="宋体" w:hAnsi="宋体" w:eastAsia="宋体" w:cs="宋体"/>
                <w:color w:val="auto"/>
                <w:kern w:val="0"/>
                <w:sz w:val="24"/>
                <w:szCs w:val="24"/>
                <w:highlight w:val="none"/>
                <w:lang w:eastAsia="zh-CN"/>
              </w:rPr>
              <w:t>月度考核平均分</w:t>
            </w:r>
            <w:r>
              <w:rPr>
                <w:rFonts w:hint="eastAsia" w:ascii="宋体" w:hAnsi="宋体" w:eastAsia="宋体" w:cs="宋体"/>
                <w:color w:val="auto"/>
                <w:sz w:val="24"/>
                <w:highlight w:val="none"/>
              </w:rPr>
              <w:t>低于</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含）予以解除合同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且第三方应向街道支付违约金，违约金为当年合同价的25%。</w:t>
            </w:r>
            <w:r>
              <w:rPr>
                <w:rFonts w:hint="eastAsia" w:ascii="宋体" w:hAnsi="宋体" w:eastAsia="宋体" w:cs="宋体"/>
                <w:color w:val="auto"/>
                <w:sz w:val="24"/>
                <w:highlight w:val="none"/>
                <w:lang w:eastAsia="zh-CN"/>
              </w:rPr>
              <w:t>考核等级为“不合格”的，依据计分规则扣除相应金额，并额外扣除违约金</w:t>
            </w:r>
            <w:r>
              <w:rPr>
                <w:rFonts w:hint="eastAsia" w:ascii="宋体" w:hAnsi="宋体" w:eastAsia="宋体" w:cs="宋体"/>
                <w:color w:val="auto"/>
                <w:sz w:val="24"/>
                <w:highlight w:val="none"/>
                <w:lang w:val="en-US" w:eastAsia="zh-CN"/>
              </w:rPr>
              <w:t>20000元人民币。</w:t>
            </w:r>
          </w:p>
        </w:tc>
      </w:tr>
    </w:tbl>
    <w:p>
      <w:pPr>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月度考核表</w:t>
      </w:r>
    </w:p>
    <w:p>
      <w:pPr>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岗位：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   姓名：</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49"/>
        <w:gridCol w:w="4184"/>
        <w:gridCol w:w="145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noWrap w:val="0"/>
            <w:vAlign w:val="center"/>
          </w:tcPr>
          <w:p>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45" w:type="pct"/>
            <w:noWrap w:val="0"/>
            <w:vAlign w:val="center"/>
          </w:tcPr>
          <w:p>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考核内容</w:t>
            </w:r>
          </w:p>
        </w:tc>
        <w:tc>
          <w:tcPr>
            <w:tcW w:w="2310" w:type="pct"/>
            <w:noWrap w:val="0"/>
            <w:vAlign w:val="center"/>
          </w:tcPr>
          <w:p>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考核标准</w:t>
            </w:r>
          </w:p>
        </w:tc>
        <w:tc>
          <w:tcPr>
            <w:tcW w:w="801" w:type="pct"/>
            <w:noWrap w:val="0"/>
            <w:vAlign w:val="center"/>
          </w:tcPr>
          <w:p>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701" w:type="pct"/>
            <w:noWrap w:val="0"/>
            <w:vAlign w:val="center"/>
          </w:tcPr>
          <w:p>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5" w:type="pct"/>
            <w:vMerge w:val="restart"/>
            <w:noWrap w:val="0"/>
            <w:vAlign w:val="center"/>
          </w:tcPr>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出勤工作</w:t>
            </w:r>
          </w:p>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sz w:val="24"/>
                <w:highlight w:val="none"/>
              </w:rPr>
              <w:t>20分</w:t>
            </w:r>
            <w:r>
              <w:rPr>
                <w:rFonts w:hint="eastAsia" w:ascii="宋体" w:hAnsi="宋体" w:eastAsia="宋体" w:cs="宋体"/>
                <w:color w:val="auto"/>
                <w:kern w:val="0"/>
                <w:szCs w:val="21"/>
                <w:highlight w:val="none"/>
                <w:lang w:bidi="ar"/>
              </w:rPr>
              <w:t>）</w:t>
            </w: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按规定时间作息，不得上班迟到或早退；</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非工作原因不得未请假外出，不按时请销假；</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无故旷工的；旷工一天及以上者作违纪辞退处理；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未按领导要求完成工作，或未按时间要求完成工作的，扣分情况由领导视工作实际情况酌情考虑；</w:t>
            </w:r>
          </w:p>
        </w:tc>
        <w:tc>
          <w:tcPr>
            <w:tcW w:w="801"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bidi="ar"/>
              </w:rPr>
              <w:t>上不封顶</w:t>
            </w:r>
          </w:p>
        </w:tc>
        <w:tc>
          <w:tcPr>
            <w:tcW w:w="701" w:type="pct"/>
            <w:noWrap w:val="0"/>
            <w:vAlign w:val="center"/>
          </w:tcPr>
          <w:p>
            <w:pPr>
              <w:jc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45" w:type="pct"/>
            <w:vMerge w:val="restart"/>
            <w:noWrap w:val="0"/>
            <w:vAlign w:val="center"/>
          </w:tcPr>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遵纪守法</w:t>
            </w:r>
          </w:p>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sz w:val="24"/>
                <w:highlight w:val="none"/>
              </w:rPr>
              <w:t>40分</w:t>
            </w:r>
            <w:r>
              <w:rPr>
                <w:rFonts w:hint="eastAsia" w:ascii="宋体" w:hAnsi="宋体" w:eastAsia="宋体" w:cs="宋体"/>
                <w:color w:val="auto"/>
                <w:kern w:val="0"/>
                <w:szCs w:val="21"/>
                <w:highlight w:val="none"/>
                <w:lang w:bidi="ar"/>
              </w:rPr>
              <w:t>）</w:t>
            </w: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严重失职而造成重大事故的，作违纪辞退处理或交有关部门处理；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请假未提前一天请假或未经街道领导同意批准；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利用职务之便，收受利害关系方财物或者其他好处的，违纪者作违纪辞退处理；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严格落实保密制度，严守本单位及被检查单位机密，如有不符合规范要求的扣分,如造成严重后果的作违纪辞退处理。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严禁赌博、嫖娼、打架斗殴、吸毒、偷盗、诈骗等严重违反治安管理的行为，违纪者作违纪辞退处理；严禁酒后上岗或工作期间饮酒、严禁打架斗殴；违纪者作违纪辞退处理；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诚实公正廉洁、遵守本单位各项规章制度，服从领导、听从指挥，对领导工作指示及安排无不执行或蓄意违抗现象；作违纪辞退处理；</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5-10分/次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派驻人员私接业务、业务转入其他公司，或被企业举报；</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其他不遵守国家的法律法规及公司的规章制度，而造成严重法律后果的，追究承担相关的法律责任；</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45" w:type="pct"/>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工作内容</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（40分）</w:t>
            </w: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打着工作的幌子，上班期间做与工作无关的事情，；</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上班期间玩手机、戴耳机听歌，玩游戏（午休时间除外）；</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开会无故缺席、迟到、早退；</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工作被相关政府部门约谈、批评；</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领导派发的工作未能按时间节点、质量完成；</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领导群内发送的工作，无回复、安排的工作未落实；</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工作总结、计划不及时上交；</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企业安全检查时发现疑难杂症、难改隐患不记录或不上报领导；</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企业安全检查时发现重大隐患隐瞒不报；</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企业安全检查时未发现企业重大隐患；</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现场检查记录、责令整改指令书、整改复查意见书填写不规范，整改电子报告不符合要求；</w:t>
            </w:r>
          </w:p>
        </w:tc>
        <w:tc>
          <w:tcPr>
            <w:tcW w:w="801" w:type="pct"/>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2分/次</w:t>
            </w:r>
          </w:p>
        </w:tc>
        <w:tc>
          <w:tcPr>
            <w:tcW w:w="701" w:type="pct"/>
            <w:noWrap w:val="0"/>
            <w:vAlign w:val="center"/>
          </w:tcPr>
          <w:p>
            <w:pPr>
              <w:widowControl/>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0"/>
            <w:vAlign w:val="center"/>
          </w:tcPr>
          <w:p>
            <w:pPr>
              <w:jc w:val="center"/>
              <w:rPr>
                <w:rFonts w:hint="eastAsia" w:ascii="宋体" w:hAnsi="宋体" w:eastAsia="宋体" w:cs="宋体"/>
                <w:color w:val="auto"/>
                <w:sz w:val="24"/>
                <w:highlight w:val="none"/>
              </w:rPr>
            </w:pPr>
          </w:p>
        </w:tc>
        <w:tc>
          <w:tcPr>
            <w:tcW w:w="745" w:type="pct"/>
            <w:vMerge w:val="continue"/>
            <w:noWrap w:val="0"/>
            <w:vAlign w:val="center"/>
          </w:tcPr>
          <w:p>
            <w:pPr>
              <w:jc w:val="center"/>
              <w:rPr>
                <w:rFonts w:hint="eastAsia" w:ascii="宋体" w:hAnsi="宋体" w:eastAsia="宋体" w:cs="宋体"/>
                <w:color w:val="auto"/>
                <w:sz w:val="24"/>
                <w:highlight w:val="none"/>
              </w:rPr>
            </w:pPr>
          </w:p>
        </w:tc>
        <w:tc>
          <w:tcPr>
            <w:tcW w:w="2310" w:type="pct"/>
            <w:noWrap w:val="0"/>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企业隐患整改造假；</w:t>
            </w:r>
          </w:p>
        </w:tc>
        <w:tc>
          <w:tcPr>
            <w:tcW w:w="801" w:type="pct"/>
            <w:noWrap w:val="0"/>
            <w:vAlign w:val="center"/>
          </w:tcPr>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2-5分/次</w:t>
            </w:r>
          </w:p>
        </w:tc>
        <w:tc>
          <w:tcPr>
            <w:tcW w:w="701" w:type="pct"/>
            <w:noWrap w:val="0"/>
            <w:vAlign w:val="center"/>
          </w:tcPr>
          <w:p>
            <w:pPr>
              <w:jc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298" w:type="pct"/>
            <w:gridSpan w:val="4"/>
            <w:noWrap w:val="0"/>
            <w:vAlign w:val="center"/>
          </w:tcPr>
          <w:p>
            <w:pPr>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最终得分</w:t>
            </w:r>
          </w:p>
        </w:tc>
        <w:tc>
          <w:tcPr>
            <w:tcW w:w="701" w:type="pct"/>
            <w:noWrap w:val="0"/>
            <w:vAlign w:val="center"/>
          </w:tcPr>
          <w:p>
            <w:pPr>
              <w:jc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000" w:type="pct"/>
            <w:gridSpan w:val="5"/>
            <w:noWrap w:val="0"/>
            <w:vAlign w:val="center"/>
          </w:tcPr>
          <w:p>
            <w:p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000" w:type="pct"/>
            <w:gridSpan w:val="5"/>
            <w:noWrap w:val="0"/>
            <w:vAlign w:val="center"/>
          </w:tcPr>
          <w:p>
            <w:p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注：每一分扣500元</w:t>
            </w:r>
          </w:p>
        </w:tc>
      </w:tr>
    </w:tbl>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p>
    <w:p>
      <w:pPr>
        <w:widowControl/>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五常街道食品和特种设备安全管理服务</w:t>
      </w:r>
      <w:r>
        <w:rPr>
          <w:rFonts w:hint="eastAsia" w:ascii="宋体" w:hAnsi="宋体" w:eastAsia="宋体" w:cs="宋体"/>
          <w:b/>
          <w:bCs/>
          <w:color w:val="auto"/>
          <w:sz w:val="28"/>
          <w:szCs w:val="28"/>
          <w:highlight w:val="none"/>
        </w:rPr>
        <w:t>从业人员执业承诺书</w:t>
      </w:r>
    </w:p>
    <w:p>
      <w:pPr>
        <w:pStyle w:val="16"/>
        <w:rPr>
          <w:rFonts w:hint="eastAsia" w:ascii="宋体" w:hAnsi="宋体" w:eastAsia="宋体" w:cs="宋体"/>
          <w:color w:val="auto"/>
          <w:highlight w:val="none"/>
        </w:rPr>
      </w:pP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不提供虚假信息、资料，出具虚假、失实或者存在重大疏漏的社会化服务技术报告，损害街道或者他人利益。</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自觉遵守市场竞争规则，不承揽街道辖区业务或者利用执业便利谋取不正当利益。</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不采取欺诈、胁迫、贿赂、串通等非法手段，损害单位或者他人利益。</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不以街道及其工作人员的名义或假借、冒用他人名义要求服务对象接受有偿服务。</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不出具虚假或者严重失实的服务报告。</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不违反有关法规标准规定，更改或者简化安全技术、管理服务程序和相关内容。</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不应到而不到现场开展安全技术、管理服务活动。</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不冒用他人名义或者允许他人冒用本人名义在服务报告、原始记录、证明等材料上签名。</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不泄露被检查单位的技术或者商业秘密。</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遵守廉洁自律相关规定。</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遵守五常街道规章制度。</w:t>
      </w:r>
    </w:p>
    <w:p>
      <w:pPr>
        <w:numPr>
          <w:ilvl w:val="0"/>
          <w:numId w:val="3"/>
        </w:num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法律、法规和规章规定的其他违法、违规行为。</w:t>
      </w:r>
    </w:p>
    <w:p>
      <w:pPr>
        <w:spacing w:line="360" w:lineRule="auto"/>
        <w:rPr>
          <w:rFonts w:hint="eastAsia" w:ascii="宋体" w:hAnsi="宋体" w:eastAsia="宋体" w:cs="宋体"/>
          <w:color w:val="auto"/>
          <w:sz w:val="24"/>
          <w:highlight w:val="none"/>
          <w:shd w:val="clear" w:color="auto" w:fill="FFFFFF"/>
        </w:rPr>
      </w:pPr>
    </w:p>
    <w:p>
      <w:pPr>
        <w:spacing w:line="360" w:lineRule="auto"/>
        <w:ind w:firstLine="480" w:firstLineChars="200"/>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                                               承诺人：</w:t>
      </w:r>
    </w:p>
    <w:p>
      <w:pP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lang w:val="en-US"/>
        </w:rPr>
        <w:t xml:space="preserve">                                                 </w:t>
      </w:r>
      <w:r>
        <w:rPr>
          <w:rFonts w:hint="eastAsia" w:ascii="宋体" w:hAnsi="宋体" w:eastAsia="宋体" w:cs="宋体"/>
          <w:color w:val="auto"/>
          <w:sz w:val="24"/>
          <w:highlight w:val="none"/>
          <w:shd w:val="clear" w:color="auto" w:fill="FFFFFF"/>
        </w:rPr>
        <w:t>年     月     日</w:t>
      </w:r>
    </w:p>
    <w:p>
      <w:pPr>
        <w:pStyle w:val="16"/>
        <w:rPr>
          <w:rFonts w:hint="eastAsia" w:ascii="宋体" w:hAnsi="宋体" w:eastAsia="宋体" w:cs="宋体"/>
          <w:color w:val="auto"/>
          <w:highlight w:val="none"/>
        </w:rPr>
      </w:pPr>
    </w:p>
    <w:bookmarkEnd w:id="0"/>
    <w:p>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pPr>
        <w:spacing w:beforeLines="10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第三部分</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合同订立安排</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（一）采购项目预算</w:t>
      </w:r>
      <w:r>
        <w:rPr>
          <w:rFonts w:hint="eastAsia" w:ascii="宋体" w:hAnsi="宋体" w:eastAsia="宋体" w:cs="宋体"/>
          <w:sz w:val="24"/>
          <w:highlight w:val="none"/>
          <w:lang w:val="en-US" w:eastAsia="zh-CN"/>
        </w:rPr>
        <w:t>价</w:t>
      </w:r>
      <w:r>
        <w:rPr>
          <w:rFonts w:hint="eastAsia" w:ascii="宋体" w:hAnsi="宋体" w:eastAsia="宋体" w:cs="宋体"/>
          <w:sz w:val="24"/>
          <w:highlight w:val="none"/>
        </w:rPr>
        <w:t>（元）：单年预算金额（元）：</w:t>
      </w:r>
      <w:r>
        <w:rPr>
          <w:rFonts w:hint="eastAsia" w:ascii="宋体" w:hAnsi="宋体" w:eastAsia="宋体" w:cs="宋体"/>
          <w:sz w:val="24"/>
          <w:highlight w:val="none"/>
          <w:lang w:val="en-US" w:eastAsia="zh-CN"/>
        </w:rPr>
        <w:t>1850000；</w:t>
      </w:r>
      <w:r>
        <w:rPr>
          <w:rFonts w:hint="eastAsia" w:ascii="宋体" w:hAnsi="宋体" w:eastAsia="宋体" w:cs="宋体"/>
          <w:sz w:val="24"/>
          <w:highlight w:val="none"/>
        </w:rPr>
        <w:t>总项目预算金额（元）：</w:t>
      </w:r>
      <w:r>
        <w:rPr>
          <w:rFonts w:hint="eastAsia" w:ascii="宋体" w:hAnsi="宋体" w:eastAsia="宋体" w:cs="宋体"/>
          <w:sz w:val="24"/>
          <w:highlight w:val="none"/>
          <w:lang w:val="en-US" w:eastAsia="zh-CN"/>
        </w:rPr>
        <w:t>5550000；</w:t>
      </w:r>
      <w:r>
        <w:rPr>
          <w:rFonts w:hint="eastAsia" w:ascii="宋体" w:hAnsi="宋体" w:eastAsia="宋体" w:cs="宋体"/>
          <w:sz w:val="24"/>
          <w:highlight w:val="none"/>
        </w:rPr>
        <w:t>最高限价（元）：</w:t>
      </w:r>
      <w:r>
        <w:rPr>
          <w:rFonts w:hint="eastAsia" w:ascii="宋体" w:hAnsi="宋体" w:eastAsia="宋体" w:cs="宋体"/>
          <w:sz w:val="24"/>
          <w:highlight w:val="none"/>
          <w:lang w:val="en-US" w:eastAsia="zh-CN"/>
        </w:rPr>
        <w:t>5550000。</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（二）开展采购活动的时间安排：</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2025年5月</w:t>
      </w:r>
      <w:r>
        <w:rPr>
          <w:rFonts w:hint="eastAsia" w:ascii="宋体" w:hAnsi="宋体" w:eastAsia="宋体" w:cs="宋体"/>
          <w:sz w:val="24"/>
          <w:highlight w:val="none"/>
          <w:u w:val="single"/>
        </w:rPr>
        <w:t xml:space="preserve">    </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（三）采购组织形式：</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 xml:space="preserve">分散采购 </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（四）委托代理安排</w:t>
      </w:r>
    </w:p>
    <w:p>
      <w:pPr>
        <w:spacing w:line="360" w:lineRule="auto"/>
        <w:ind w:firstLine="42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（五）采购包划分：</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 xml:space="preserve">不分标项 </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（六）合同分包：</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不允许分包</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（七）供应商资格条件</w:t>
      </w:r>
    </w:p>
    <w:p>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2.落实政府采购政策需满足的资格要求：</w:t>
      </w:r>
    </w:p>
    <w:p>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szCs w:val="24"/>
          <w:highlight w:val="none"/>
          <w:lang w:val="en-US" w:eastAsia="zh-CN" w:bidi="ar-SA"/>
        </w:rPr>
        <w:sym w:font="Wingdings" w:char="00A8"/>
      </w:r>
      <w:r>
        <w:rPr>
          <w:rFonts w:hint="eastAsia" w:ascii="宋体" w:hAnsi="宋体" w:eastAsia="宋体" w:cs="宋体"/>
          <w:color w:val="000000"/>
          <w:sz w:val="24"/>
          <w:highlight w:val="none"/>
        </w:rPr>
        <w:t>无</w:t>
      </w:r>
      <w:r>
        <w:rPr>
          <w:rFonts w:hint="eastAsia" w:ascii="宋体" w:hAnsi="宋体" w:eastAsia="宋体" w:cs="宋体"/>
          <w:snapToGrid w:val="0"/>
          <w:color w:val="000000"/>
          <w:kern w:val="28"/>
          <w:sz w:val="24"/>
          <w:szCs w:val="20"/>
          <w:highlight w:val="none"/>
        </w:rPr>
        <w:t>（注：不得限制大中型企业与小微企业组成联合体参与投标）</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宋体" w:hAnsi="宋体" w:eastAsia="宋体" w:cs="宋体"/>
          <w:sz w:val="24"/>
          <w:highlight w:val="none"/>
        </w:rPr>
        <w:t>。</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 ，小微企业合同金额应当达到% ;</w:t>
      </w:r>
      <w:r>
        <w:rPr>
          <w:rFonts w:hint="eastAsia" w:ascii="宋体" w:hAnsi="宋体" w:eastAsia="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pPr>
        <w:numPr>
          <w:ilvl w:val="0"/>
          <w:numId w:val="4"/>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000000" w:themeColor="text1"/>
          <w:kern w:val="0"/>
          <w:sz w:val="24"/>
          <w:highlight w:val="none"/>
          <w:lang w:val="en-US" w:eastAsia="zh-CN"/>
          <w14:textFill>
            <w14:solidFill>
              <w14:schemeClr w14:val="tx1"/>
            </w14:solidFill>
          </w14:textFill>
        </w:rPr>
        <w:t>无。</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，该特定条件的法律法规依据：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（八）采购方式</w:t>
      </w:r>
    </w:p>
    <w:p>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公开招标</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□邀请招标</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□竞争性谈判</w:t>
      </w:r>
    </w:p>
    <w:p>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□竞争性磋商</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□询价</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□单一来源采购</w:t>
      </w:r>
    </w:p>
    <w:p>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□电子卖场</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□其他采购方式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（九）选择采购方式的理由</w:t>
      </w:r>
    </w:p>
    <w:p>
      <w:pPr>
        <w:spacing w:line="360" w:lineRule="auto"/>
        <w:jc w:val="left"/>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rPr>
        <w:t xml:space="preserve">    公开招标应作为政府采购的主要采购方式</w:t>
      </w:r>
      <w:r>
        <w:rPr>
          <w:rFonts w:hint="eastAsia" w:ascii="宋体" w:hAnsi="宋体" w:eastAsia="宋体" w:cs="宋体"/>
          <w:sz w:val="24"/>
          <w:highlight w:val="none"/>
          <w:u w:val="single"/>
          <w:lang w:val="en-US" w:eastAsia="zh-CN"/>
        </w:rPr>
        <w:t xml:space="preserve">    </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（十）竞</w:t>
      </w:r>
      <w:r>
        <w:rPr>
          <w:rFonts w:hint="eastAsia" w:ascii="宋体" w:hAnsi="宋体" w:eastAsia="宋体" w:cs="宋体"/>
          <w:color w:val="000000" w:themeColor="text1"/>
          <w:sz w:val="24"/>
          <w:highlight w:val="none"/>
          <w14:textFill>
            <w14:solidFill>
              <w14:schemeClr w14:val="tx1"/>
            </w14:solidFill>
          </w14:textFill>
        </w:rPr>
        <w:t>争范围：</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公开发布</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（十一）评审规则：</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综合评分</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 xml:space="preserve"> </w:t>
      </w:r>
    </w:p>
    <w:p>
      <w:pP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br w:type="page"/>
      </w:r>
    </w:p>
    <w:p>
      <w:pPr>
        <w:spacing w:before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第四部分</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合同管理安排</w:t>
      </w:r>
    </w:p>
    <w:p>
      <w:pPr>
        <w:spacing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一、合同类型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 xml:space="preserve">服务合同。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highlight w:val="none"/>
        </w:rPr>
        <w:tab/>
      </w:r>
    </w:p>
    <w:p>
      <w:pPr>
        <w:numPr>
          <w:ilvl w:val="0"/>
          <w:numId w:val="5"/>
        </w:numPr>
        <w:spacing w:beforeLines="100"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定价方式</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固定总价</w:t>
      </w:r>
    </w:p>
    <w:p>
      <w:pPr>
        <w:spacing w:beforeLines="100"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三：合同文本的主要条款</w:t>
      </w:r>
    </w:p>
    <w:p>
      <w:pP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1.合同主要标的</w:t>
      </w:r>
    </w:p>
    <w:tbl>
      <w:tblPr>
        <w:tblStyle w:val="17"/>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978"/>
        <w:gridCol w:w="188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97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标的内容</w:t>
            </w:r>
          </w:p>
        </w:tc>
        <w:tc>
          <w:tcPr>
            <w:tcW w:w="6284" w:type="dxa"/>
            <w:gridSpan w:val="3"/>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五常街道食品和特种设备安全管理服务项目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97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889"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36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303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978"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功能和质量要求</w:t>
            </w:r>
          </w:p>
        </w:tc>
        <w:tc>
          <w:tcPr>
            <w:tcW w:w="6284" w:type="dxa"/>
            <w:gridSpan w:val="3"/>
            <w:vAlign w:val="top"/>
          </w:tcPr>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详见前述采购需求内容</w:t>
            </w:r>
          </w:p>
        </w:tc>
      </w:tr>
    </w:tbl>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2.履行时间（期限）：</w:t>
      </w:r>
      <w:r>
        <w:rPr>
          <w:rFonts w:hint="eastAsia" w:ascii="宋体" w:hAnsi="宋体" w:eastAsia="宋体" w:cs="宋体"/>
          <w:iCs/>
          <w:color w:val="auto"/>
          <w:sz w:val="24"/>
          <w:highlight w:val="none"/>
          <w:u w:val="single"/>
        </w:rPr>
        <w:t xml:space="preserve">  </w:t>
      </w:r>
      <w:r>
        <w:rPr>
          <w:rFonts w:hint="eastAsia" w:ascii="宋体" w:hAnsi="宋体" w:eastAsia="宋体" w:cs="宋体"/>
          <w:iCs/>
          <w:color w:val="auto"/>
          <w:sz w:val="24"/>
          <w:highlight w:val="none"/>
          <w:u w:val="single"/>
          <w:lang w:eastAsia="zh-CN"/>
        </w:rPr>
        <w:t>服务期限为叁年，服务合同壹年壹签</w:t>
      </w:r>
      <w:r>
        <w:rPr>
          <w:rFonts w:hint="eastAsia" w:ascii="宋体" w:hAnsi="宋体" w:eastAsia="宋体" w:cs="宋体"/>
          <w:iCs/>
          <w:color w:val="auto"/>
          <w:sz w:val="24"/>
          <w:highlight w:val="none"/>
          <w:u w:val="single"/>
        </w:rPr>
        <w:t xml:space="preserve">   </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3.履约地点和方式：</w:t>
      </w:r>
      <w:r>
        <w:rPr>
          <w:rFonts w:hint="eastAsia" w:ascii="宋体" w:hAnsi="宋体" w:eastAsia="宋体" w:cs="宋体"/>
          <w:iCs/>
          <w:color w:val="auto"/>
          <w:sz w:val="24"/>
          <w:highlight w:val="none"/>
          <w:u w:val="single"/>
        </w:rPr>
        <w:t xml:space="preserve">   </w:t>
      </w:r>
      <w:r>
        <w:rPr>
          <w:rFonts w:hint="eastAsia" w:ascii="宋体" w:hAnsi="宋体" w:eastAsia="宋体" w:cs="宋体"/>
          <w:iCs/>
          <w:color w:val="auto"/>
          <w:sz w:val="24"/>
          <w:highlight w:val="none"/>
          <w:u w:val="single"/>
          <w:lang w:val="en-US" w:eastAsia="zh-CN"/>
        </w:rPr>
        <w:t>五常街道</w:t>
      </w:r>
      <w:r>
        <w:rPr>
          <w:rFonts w:hint="eastAsia" w:ascii="宋体" w:hAnsi="宋体" w:eastAsia="宋体" w:cs="宋体"/>
          <w:iCs/>
          <w:color w:val="auto"/>
          <w:sz w:val="24"/>
          <w:highlight w:val="none"/>
          <w:u w:val="single"/>
        </w:rPr>
        <w:t xml:space="preserve">           </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4.价款或者报酬：</w:t>
      </w:r>
      <w:r>
        <w:rPr>
          <w:rFonts w:hint="eastAsia" w:ascii="宋体" w:hAnsi="宋体" w:eastAsia="宋体" w:cs="宋体"/>
          <w:iCs/>
          <w:color w:val="auto"/>
          <w:sz w:val="24"/>
          <w:highlight w:val="none"/>
          <w:u w:val="single"/>
        </w:rPr>
        <w:t xml:space="preserve">    以实际中标价为准    </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5.考核要求和付款进度安排</w:t>
      </w:r>
    </w:p>
    <w:p>
      <w:pPr>
        <w:spacing w:line="360" w:lineRule="auto"/>
        <w:ind w:firstLine="42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1）、每季度根据考核结果支付当年合同价25%的进度款。</w:t>
      </w:r>
    </w:p>
    <w:p>
      <w:pPr>
        <w:spacing w:line="360" w:lineRule="auto"/>
        <w:ind w:firstLine="42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支付款项时，对中标单位的工作进行考核，主要包括：在日常工作中上下班制度的保证、团队的专业性及配合能力、中标单位对分派任务的及时响应性等。如考核不达标，采购人有权延期支付尾款</w:t>
      </w:r>
      <w:r>
        <w:rPr>
          <w:rFonts w:hint="eastAsia" w:ascii="宋体" w:hAnsi="宋体" w:eastAsia="宋体" w:cs="宋体"/>
          <w:color w:val="auto"/>
          <w:sz w:val="24"/>
          <w:highlight w:val="none"/>
          <w:lang w:val="en-US" w:eastAsia="zh-CN"/>
        </w:rPr>
        <w:t>。</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6.资金支付方式：</w:t>
      </w:r>
      <w:r>
        <w:rPr>
          <w:rFonts w:hint="eastAsia" w:ascii="宋体" w:hAnsi="宋体" w:eastAsia="宋体" w:cs="宋体"/>
          <w:iCs/>
          <w:color w:val="auto"/>
          <w:sz w:val="24"/>
          <w:highlight w:val="none"/>
          <w:u w:val="single"/>
        </w:rPr>
        <w:t>分期支付方式.</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iCs/>
          <w:color w:val="auto"/>
          <w:sz w:val="24"/>
          <w:highlight w:val="none"/>
        </w:rPr>
        <w:t>7.验收、交付标准和方法</w:t>
      </w:r>
      <w:r>
        <w:rPr>
          <w:rFonts w:hint="eastAsia" w:ascii="宋体" w:hAnsi="宋体" w:eastAsia="宋体" w:cs="宋体"/>
          <w:iCs/>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iCs/>
          <w:color w:val="auto"/>
          <w:sz w:val="24"/>
          <w:highlight w:val="none"/>
        </w:rPr>
        <w:t>8.质量保修范围和保修期：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single"/>
        </w:rPr>
        <w:t xml:space="preserve">   </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9.知识产权归属、处理方式：</w:t>
      </w:r>
      <w:r>
        <w:rPr>
          <w:rFonts w:hint="eastAsia" w:ascii="宋体" w:hAnsi="宋体" w:eastAsia="宋体" w:cs="宋体"/>
          <w:iCs/>
          <w:color w:val="auto"/>
          <w:sz w:val="24"/>
          <w:highlight w:val="none"/>
          <w:u w:val="single"/>
        </w:rPr>
        <w:t xml:space="preserve">   </w:t>
      </w:r>
      <w:r>
        <w:rPr>
          <w:rFonts w:hint="eastAsia" w:ascii="宋体" w:hAnsi="宋体" w:eastAsia="宋体" w:cs="宋体"/>
          <w:color w:val="auto"/>
          <w:sz w:val="24"/>
          <w:highlight w:val="none"/>
          <w:u w:val="single"/>
          <w:lang w:val="en-US" w:eastAsia="zh-CN"/>
        </w:rPr>
        <w:t>本项目不涉及</w:t>
      </w:r>
      <w:r>
        <w:rPr>
          <w:rFonts w:hint="eastAsia" w:ascii="宋体" w:hAnsi="宋体" w:eastAsia="宋体" w:cs="宋体"/>
          <w:iCs/>
          <w:color w:val="auto"/>
          <w:sz w:val="24"/>
          <w:highlight w:val="none"/>
          <w:u w:val="single"/>
        </w:rPr>
        <w:t xml:space="preserve">     </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iCs/>
          <w:color w:val="auto"/>
          <w:sz w:val="24"/>
          <w:highlight w:val="none"/>
        </w:rPr>
        <w:t>10.成本补偿、风险分担约定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single"/>
        </w:rPr>
        <w:t xml:space="preserve">     </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rPr>
        <w:t>11.违约责任与解决争议的方法：</w:t>
      </w:r>
      <w:r>
        <w:rPr>
          <w:rFonts w:hint="eastAsia" w:ascii="宋体" w:hAnsi="宋体" w:eastAsia="宋体" w:cs="宋体"/>
          <w:iCs/>
          <w:color w:val="auto"/>
          <w:sz w:val="24"/>
          <w:highlight w:val="none"/>
          <w:u w:val="single"/>
        </w:rPr>
        <w:t xml:space="preserve">    </w:t>
      </w:r>
      <w:r>
        <w:rPr>
          <w:rFonts w:hint="eastAsia" w:ascii="宋体" w:hAnsi="宋体" w:eastAsia="宋体" w:cs="宋体"/>
          <w:iCs/>
          <w:color w:val="auto"/>
          <w:sz w:val="24"/>
          <w:highlight w:val="none"/>
          <w:u w:val="single"/>
          <w:lang w:val="en-US" w:eastAsia="zh-CN"/>
        </w:rPr>
        <w:t>按合同约定</w:t>
      </w:r>
      <w:r>
        <w:rPr>
          <w:rFonts w:hint="eastAsia" w:ascii="宋体" w:hAnsi="宋体" w:eastAsia="宋体" w:cs="宋体"/>
          <w:iCs/>
          <w:color w:val="auto"/>
          <w:sz w:val="24"/>
          <w:highlight w:val="none"/>
          <w:u w:val="single"/>
        </w:rPr>
        <w:t xml:space="preserve">    </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iCs/>
          <w:color w:val="auto"/>
          <w:sz w:val="24"/>
          <w:highlight w:val="none"/>
        </w:rPr>
        <w:t>12.其他条款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single"/>
        </w:rPr>
        <w:t xml:space="preserve">     </w:t>
      </w:r>
    </w:p>
    <w:p>
      <w:pPr>
        <w:spacing w:beforeLines="100"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、履约验收方案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（一）履约验收主体</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1.采购单位：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杭州市余杭区人民政府五常街道办事处</w:t>
      </w:r>
      <w:r>
        <w:rPr>
          <w:rFonts w:hint="eastAsia" w:ascii="宋体" w:hAnsi="宋体" w:eastAsia="宋体" w:cs="宋体"/>
          <w:color w:val="auto"/>
          <w:sz w:val="24"/>
          <w:highlight w:val="none"/>
          <w:u w:val="single"/>
        </w:rPr>
        <w:t xml:space="preserve">     </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2.是否选择代理机构：</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否（自行验收）</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3.是否邀请本项目的其他供应商：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4.是否邀请专家：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5.是否邀请服务对象：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single"/>
        </w:rPr>
        <w:t xml:space="preserve">            </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（二）履约验收时间：</w:t>
      </w:r>
      <w:r>
        <w:rPr>
          <w:rFonts w:hint="eastAsia" w:ascii="宋体" w:hAnsi="宋体" w:eastAsia="宋体" w:cs="宋体"/>
          <w:color w:val="auto"/>
          <w:sz w:val="24"/>
          <w:highlight w:val="none"/>
          <w:u w:val="single"/>
        </w:rPr>
        <w:t xml:space="preserve">    项目服务期结束</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（三）履约验收方式：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eastAsia="zh-CN"/>
        </w:rPr>
        <w:t>简易程序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（四）履约验收程序：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一次性验收</w:t>
      </w:r>
      <w:r>
        <w:rPr>
          <w:rFonts w:hint="eastAsia" w:ascii="宋体" w:hAnsi="宋体" w:eastAsia="宋体" w:cs="宋体"/>
          <w:color w:val="auto"/>
          <w:sz w:val="24"/>
          <w:highlight w:val="none"/>
        </w:rPr>
        <w:tab/>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（五）履约验收内容</w:t>
      </w:r>
    </w:p>
    <w:p>
      <w:pP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1.技术履约内容</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符合招标文件要求  </w:t>
      </w:r>
    </w:p>
    <w:p>
      <w:pP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2.商务履约内容</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符合招标文件要求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（六）履约验收标准</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符合招标文件要求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（七）履约验收其他事项</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符合招标文件要求  </w:t>
      </w:r>
    </w:p>
    <w:p>
      <w:pPr>
        <w:spacing w:beforeLines="100"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、风险控制措施和替代方案</w:t>
      </w:r>
    </w:p>
    <w:p>
      <w:pP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该采购项目按照《政府采购需求管理办法》第二十五条规定，是否需要组织风险判断、提出处置措施和替代方案：</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（一）国家政策变化应对措施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（二）实施环境变化应对措施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（三）重大技术变化应对措施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（四）预算项目调整应对措施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（五）因质疑投诉影响采购进度应对措施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（六）采购失败应对措施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（七）不按规定签订或者履行合同应对措施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（八）出现损害国家利益和社会公共利益情形应对措施</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符合招标文件要求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（九）其他采购和合同履行过程的风险及应对措施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符合招标文件要求   </w:t>
      </w:r>
    </w:p>
    <w:p>
      <w:pPr>
        <w:spacing w:line="360" w:lineRule="auto"/>
        <w:jc w:val="both"/>
        <w:rPr>
          <w:rFonts w:hint="eastAsia" w:ascii="宋体" w:hAnsi="宋体" w:eastAsia="宋体" w:cs="宋体"/>
          <w:color w:val="auto"/>
          <w:sz w:val="24"/>
          <w:highlight w:val="none"/>
        </w:rPr>
      </w:pPr>
      <w:bookmarkStart w:id="1" w:name="_GoBack"/>
      <w:bookmarkEnd w:id="1"/>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00"/>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0BD35"/>
    <w:multiLevelType w:val="singleLevel"/>
    <w:tmpl w:val="AA50BD35"/>
    <w:lvl w:ilvl="0" w:tentative="0">
      <w:start w:val="2"/>
      <w:numFmt w:val="chineseCounting"/>
      <w:suff w:val="nothing"/>
      <w:lvlText w:val="%1、"/>
      <w:lvlJc w:val="left"/>
      <w:rPr>
        <w:rFonts w:hint="eastAsia"/>
      </w:rPr>
    </w:lvl>
  </w:abstractNum>
  <w:abstractNum w:abstractNumId="1">
    <w:nsid w:val="D7B1A686"/>
    <w:multiLevelType w:val="singleLevel"/>
    <w:tmpl w:val="D7B1A686"/>
    <w:lvl w:ilvl="0" w:tentative="0">
      <w:start w:val="2"/>
      <w:numFmt w:val="chineseCounting"/>
      <w:suff w:val="nothing"/>
      <w:lvlText w:val="%1、"/>
      <w:lvlJc w:val="left"/>
      <w:rPr>
        <w:rFonts w:hint="eastAsia"/>
      </w:rPr>
    </w:lvl>
  </w:abstractNum>
  <w:abstractNum w:abstractNumId="2">
    <w:nsid w:val="E380DD6F"/>
    <w:multiLevelType w:val="singleLevel"/>
    <w:tmpl w:val="E380DD6F"/>
    <w:lvl w:ilvl="0" w:tentative="0">
      <w:start w:val="4"/>
      <w:numFmt w:val="decimal"/>
      <w:lvlText w:val="%1."/>
      <w:lvlJc w:val="left"/>
      <w:pPr>
        <w:tabs>
          <w:tab w:val="left" w:pos="312"/>
        </w:tabs>
      </w:pPr>
    </w:lvl>
  </w:abstractNum>
  <w:abstractNum w:abstractNumId="3">
    <w:nsid w:val="E6BB08D4"/>
    <w:multiLevelType w:val="singleLevel"/>
    <w:tmpl w:val="E6BB08D4"/>
    <w:lvl w:ilvl="0" w:tentative="0">
      <w:start w:val="1"/>
      <w:numFmt w:val="chineseCounting"/>
      <w:suff w:val="nothing"/>
      <w:lvlText w:val="（%1）"/>
      <w:lvlJc w:val="left"/>
      <w:rPr>
        <w:rFonts w:hint="eastAsia"/>
      </w:rPr>
    </w:lvl>
  </w:abstractNum>
  <w:abstractNum w:abstractNumId="4">
    <w:nsid w:val="0325FDFA"/>
    <w:multiLevelType w:val="singleLevel"/>
    <w:tmpl w:val="0325FDFA"/>
    <w:lvl w:ilvl="0" w:tentative="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Dg3MjZlNzU4YmE4NDllMmJlYjBlNmI0M2ViYzkifQ=="/>
  </w:docVars>
  <w:rsids>
    <w:rsidRoot w:val="006F0877"/>
    <w:rsid w:val="00021224"/>
    <w:rsid w:val="000311FD"/>
    <w:rsid w:val="00064381"/>
    <w:rsid w:val="00073752"/>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15B6D94"/>
    <w:rsid w:val="037C06C8"/>
    <w:rsid w:val="04FD0C1C"/>
    <w:rsid w:val="08043EAB"/>
    <w:rsid w:val="0ACB174A"/>
    <w:rsid w:val="0F0A1DF9"/>
    <w:rsid w:val="0FFAA126"/>
    <w:rsid w:val="124C253A"/>
    <w:rsid w:val="149411FE"/>
    <w:rsid w:val="14983A03"/>
    <w:rsid w:val="14A23B16"/>
    <w:rsid w:val="157BD8C4"/>
    <w:rsid w:val="164652CE"/>
    <w:rsid w:val="1A6C5716"/>
    <w:rsid w:val="1BA319F5"/>
    <w:rsid w:val="1DA2597B"/>
    <w:rsid w:val="1F6317DE"/>
    <w:rsid w:val="1FBF5987"/>
    <w:rsid w:val="20CF2BB7"/>
    <w:rsid w:val="21912C0D"/>
    <w:rsid w:val="22F4099F"/>
    <w:rsid w:val="239623F7"/>
    <w:rsid w:val="25343810"/>
    <w:rsid w:val="29B27027"/>
    <w:rsid w:val="2B9710D5"/>
    <w:rsid w:val="2CFDEC3D"/>
    <w:rsid w:val="2D7256E9"/>
    <w:rsid w:val="2E026E7B"/>
    <w:rsid w:val="2E834ACF"/>
    <w:rsid w:val="2F3A598B"/>
    <w:rsid w:val="2FF78ACD"/>
    <w:rsid w:val="30EC65A5"/>
    <w:rsid w:val="34312947"/>
    <w:rsid w:val="3F9B14D2"/>
    <w:rsid w:val="3FFFE3D5"/>
    <w:rsid w:val="45F865F8"/>
    <w:rsid w:val="47FA28D6"/>
    <w:rsid w:val="490769CA"/>
    <w:rsid w:val="49A843B3"/>
    <w:rsid w:val="4E1C29D4"/>
    <w:rsid w:val="4F6C16D9"/>
    <w:rsid w:val="4FB77C3C"/>
    <w:rsid w:val="5BBF1A8D"/>
    <w:rsid w:val="5D9F79E0"/>
    <w:rsid w:val="5DBFE6CB"/>
    <w:rsid w:val="5EFB6B15"/>
    <w:rsid w:val="5F5DEEF0"/>
    <w:rsid w:val="5F7AD8B6"/>
    <w:rsid w:val="5F7B0613"/>
    <w:rsid w:val="66CD160B"/>
    <w:rsid w:val="67D81B6B"/>
    <w:rsid w:val="67F5AD5B"/>
    <w:rsid w:val="696D240E"/>
    <w:rsid w:val="6AA32A5E"/>
    <w:rsid w:val="6BC749A9"/>
    <w:rsid w:val="6BFFC72E"/>
    <w:rsid w:val="6C7FD9C9"/>
    <w:rsid w:val="6D667370"/>
    <w:rsid w:val="6E0C008C"/>
    <w:rsid w:val="6E601AA5"/>
    <w:rsid w:val="6FC9F4BB"/>
    <w:rsid w:val="6FEF5868"/>
    <w:rsid w:val="74BFF378"/>
    <w:rsid w:val="74EEFC90"/>
    <w:rsid w:val="75FB23CF"/>
    <w:rsid w:val="7685201E"/>
    <w:rsid w:val="77364A4A"/>
    <w:rsid w:val="7747C58A"/>
    <w:rsid w:val="7775E090"/>
    <w:rsid w:val="77FDC161"/>
    <w:rsid w:val="788A7D09"/>
    <w:rsid w:val="790550FD"/>
    <w:rsid w:val="79AA1223"/>
    <w:rsid w:val="79E44F47"/>
    <w:rsid w:val="79F006D6"/>
    <w:rsid w:val="7A2C2590"/>
    <w:rsid w:val="7A7F1594"/>
    <w:rsid w:val="7AAD905A"/>
    <w:rsid w:val="7B73C17C"/>
    <w:rsid w:val="7BEA5002"/>
    <w:rsid w:val="7BF55B1A"/>
    <w:rsid w:val="7CF3DF71"/>
    <w:rsid w:val="7CF76844"/>
    <w:rsid w:val="7D500D30"/>
    <w:rsid w:val="7D7F47CC"/>
    <w:rsid w:val="7DBBA619"/>
    <w:rsid w:val="7DFF8764"/>
    <w:rsid w:val="7E396595"/>
    <w:rsid w:val="7E774BE7"/>
    <w:rsid w:val="7EFD2AA6"/>
    <w:rsid w:val="7EFEA21F"/>
    <w:rsid w:val="7F1BAFBB"/>
    <w:rsid w:val="7F364DF4"/>
    <w:rsid w:val="7FE6BFB7"/>
    <w:rsid w:val="7FFF23F9"/>
    <w:rsid w:val="863FD9B8"/>
    <w:rsid w:val="8DAF712B"/>
    <w:rsid w:val="8DFD7E3C"/>
    <w:rsid w:val="8FF68B1A"/>
    <w:rsid w:val="9BE7792B"/>
    <w:rsid w:val="9EDCEB3E"/>
    <w:rsid w:val="ABFD0AD8"/>
    <w:rsid w:val="AF230823"/>
    <w:rsid w:val="AFF76641"/>
    <w:rsid w:val="BF5FE6FA"/>
    <w:rsid w:val="BF7FCB72"/>
    <w:rsid w:val="BFCBECE1"/>
    <w:rsid w:val="BFDF593B"/>
    <w:rsid w:val="BFFF317F"/>
    <w:rsid w:val="C7FF0A76"/>
    <w:rsid w:val="CFDD797F"/>
    <w:rsid w:val="D78F1D07"/>
    <w:rsid w:val="D7ADD1FB"/>
    <w:rsid w:val="D7F1A469"/>
    <w:rsid w:val="DA3B467A"/>
    <w:rsid w:val="DEBD8E72"/>
    <w:rsid w:val="DEDF7BEB"/>
    <w:rsid w:val="DF4F7E4B"/>
    <w:rsid w:val="DFDE6D44"/>
    <w:rsid w:val="E3FF6071"/>
    <w:rsid w:val="E4FA2343"/>
    <w:rsid w:val="E6D70A22"/>
    <w:rsid w:val="E6E64C1F"/>
    <w:rsid w:val="E7B92E4B"/>
    <w:rsid w:val="EA66F35A"/>
    <w:rsid w:val="EEFBD0D8"/>
    <w:rsid w:val="EF8E1714"/>
    <w:rsid w:val="EFAB0267"/>
    <w:rsid w:val="EFBFA9A5"/>
    <w:rsid w:val="F677CB77"/>
    <w:rsid w:val="F7F39ECB"/>
    <w:rsid w:val="F7FFC0E2"/>
    <w:rsid w:val="FAF78EC6"/>
    <w:rsid w:val="FB6E436B"/>
    <w:rsid w:val="FBEDC0BF"/>
    <w:rsid w:val="FBEE60A5"/>
    <w:rsid w:val="FBFF6034"/>
    <w:rsid w:val="FD5FE2C3"/>
    <w:rsid w:val="FD7FE3EB"/>
    <w:rsid w:val="FDE732DF"/>
    <w:rsid w:val="FDFD932C"/>
    <w:rsid w:val="FE9F133B"/>
    <w:rsid w:val="FEDF98BF"/>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0" w:semiHidden="0"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locked/>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link w:val="20"/>
    <w:semiHidden/>
    <w:qFormat/>
    <w:uiPriority w:val="99"/>
    <w:rPr>
      <w:szCs w:val="20"/>
    </w:rPr>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qFormat/>
    <w:locked/>
    <w:uiPriority w:val="0"/>
    <w:pPr>
      <w:ind w:firstLine="420"/>
    </w:pPr>
    <w:rPr>
      <w:rFonts w:hAnsi="Calibri" w:cs="Times New Roman"/>
      <w:szCs w:val="20"/>
    </w:rPr>
  </w:style>
  <w:style w:type="paragraph" w:styleId="3">
    <w:name w:val="Body Text"/>
    <w:basedOn w:val="1"/>
    <w:next w:val="4"/>
    <w:qFormat/>
    <w:locked/>
    <w:uiPriority w:val="0"/>
    <w:pPr>
      <w:autoSpaceDE w:val="0"/>
      <w:autoSpaceDN w:val="0"/>
      <w:spacing w:line="360" w:lineRule="auto"/>
    </w:pPr>
    <w:rPr>
      <w:rFonts w:ascii="宋体" w:hAnsi="Arial" w:cs="Arial"/>
      <w:snapToGrid w:val="0"/>
      <w:sz w:val="24"/>
      <w:szCs w:val="21"/>
      <w:lang w:val="zh-CN"/>
    </w:rPr>
  </w:style>
  <w:style w:type="paragraph" w:styleId="4">
    <w:name w:val="Subtitle"/>
    <w:basedOn w:val="1"/>
    <w:next w:val="1"/>
    <w:qFormat/>
    <w:locked/>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
    <w:name w:val="toc 6"/>
    <w:basedOn w:val="1"/>
    <w:next w:val="1"/>
    <w:qFormat/>
    <w:locked/>
    <w:uiPriority w:val="0"/>
    <w:pPr>
      <w:ind w:left="2100" w:leftChars="1000"/>
    </w:pPr>
  </w:style>
  <w:style w:type="paragraph" w:styleId="7">
    <w:name w:val="Normal Indent"/>
    <w:basedOn w:val="1"/>
    <w:unhideWhenUsed/>
    <w:qFormat/>
    <w:locked/>
    <w:uiPriority w:val="99"/>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qFormat/>
    <w:locked/>
    <w:uiPriority w:val="0"/>
    <w:pPr>
      <w:spacing w:line="480" w:lineRule="exact"/>
      <w:ind w:firstLine="480" w:firstLineChars="200"/>
    </w:pPr>
    <w:rPr>
      <w:rFonts w:ascii="宋体" w:hAnsi="宋体"/>
      <w:sz w:val="24"/>
    </w:rPr>
  </w:style>
  <w:style w:type="paragraph" w:styleId="9">
    <w:name w:val="toc 3"/>
    <w:basedOn w:val="1"/>
    <w:next w:val="1"/>
    <w:autoRedefine/>
    <w:qFormat/>
    <w:locked/>
    <w:uiPriority w:val="0"/>
    <w:pPr>
      <w:tabs>
        <w:tab w:val="right" w:leader="dot" w:pos="8268"/>
      </w:tabs>
      <w:spacing w:line="460" w:lineRule="exact"/>
      <w:ind w:left="840" w:leftChars="400" w:firstLine="482"/>
    </w:pPr>
    <w:rPr>
      <w:rFonts w:ascii="宋体" w:hAnsi="宋体"/>
    </w:rPr>
  </w:style>
  <w:style w:type="paragraph" w:styleId="10">
    <w:name w:val="Plain Text"/>
    <w:basedOn w:val="1"/>
    <w:next w:val="1"/>
    <w:autoRedefine/>
    <w:qFormat/>
    <w:locked/>
    <w:uiPriority w:val="0"/>
    <w:rPr>
      <w:rFonts w:ascii="宋体" w:hAnsi="Courier New" w:cs="Arial"/>
      <w:snapToGrid w:val="0"/>
      <w:szCs w:val="21"/>
    </w:rPr>
  </w:style>
  <w:style w:type="paragraph" w:styleId="11">
    <w:name w:val="Date"/>
    <w:basedOn w:val="1"/>
    <w:next w:val="1"/>
    <w:link w:val="23"/>
    <w:qFormat/>
    <w:uiPriority w:val="99"/>
    <w:pPr>
      <w:ind w:left="100" w:leftChars="2500"/>
    </w:p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next w:val="1"/>
    <w:qFormat/>
    <w:locked/>
    <w:uiPriority w:val="10"/>
    <w:pPr>
      <w:widowControl/>
      <w:overflowPunct w:val="0"/>
      <w:autoSpaceDE w:val="0"/>
      <w:autoSpaceDN w:val="0"/>
      <w:jc w:val="center"/>
      <w:textAlignment w:val="baseline"/>
    </w:pPr>
    <w:rPr>
      <w:b/>
      <w:kern w:val="0"/>
      <w:sz w:val="24"/>
      <w:szCs w:val="20"/>
    </w:rPr>
  </w:style>
  <w:style w:type="paragraph" w:styleId="16">
    <w:name w:val="Body Text First Indent 2"/>
    <w:basedOn w:val="8"/>
    <w:qFormat/>
    <w:locked/>
    <w:uiPriority w:val="0"/>
    <w:pPr>
      <w:adjustRightInd/>
      <w:spacing w:after="120" w:line="240" w:lineRule="auto"/>
      <w:ind w:left="420" w:leftChars="200" w:firstLine="210"/>
    </w:pPr>
    <w:rPr>
      <w:sz w:val="21"/>
    </w:rPr>
  </w:style>
  <w:style w:type="table" w:styleId="18">
    <w:name w:val="Table Grid"/>
    <w:basedOn w:val="17"/>
    <w:autoRedefine/>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 Char"/>
    <w:basedOn w:val="1"/>
    <w:link w:val="19"/>
    <w:qFormat/>
    <w:uiPriority w:val="0"/>
    <w:rPr>
      <w:szCs w:val="20"/>
    </w:rPr>
  </w:style>
  <w:style w:type="character" w:styleId="21">
    <w:name w:val="page number"/>
    <w:basedOn w:val="19"/>
    <w:qFormat/>
    <w:uiPriority w:val="99"/>
    <w:rPr>
      <w:rFonts w:cs="Times New Roman"/>
    </w:rPr>
  </w:style>
  <w:style w:type="paragraph" w:customStyle="1" w:styleId="22">
    <w:name w:val="[Normal]"/>
    <w:qFormat/>
    <w:uiPriority w:val="0"/>
    <w:rPr>
      <w:rFonts w:ascii="宋体" w:hAnsi="宋体" w:eastAsia="宋体" w:cs="Times New Roman"/>
      <w:sz w:val="24"/>
      <w:szCs w:val="22"/>
      <w:lang w:val="zh-CN" w:eastAsia="zh-CN" w:bidi="ar-SA"/>
    </w:rPr>
  </w:style>
  <w:style w:type="character" w:customStyle="1" w:styleId="23">
    <w:name w:val="Date Char"/>
    <w:basedOn w:val="19"/>
    <w:link w:val="11"/>
    <w:semiHidden/>
    <w:qFormat/>
    <w:locked/>
    <w:uiPriority w:val="99"/>
    <w:rPr>
      <w:rFonts w:cs="Times New Roman"/>
      <w:sz w:val="24"/>
      <w:szCs w:val="24"/>
    </w:rPr>
  </w:style>
  <w:style w:type="character" w:customStyle="1" w:styleId="24">
    <w:name w:val="Balloon Text Char"/>
    <w:basedOn w:val="19"/>
    <w:link w:val="12"/>
    <w:autoRedefine/>
    <w:semiHidden/>
    <w:qFormat/>
    <w:locked/>
    <w:uiPriority w:val="99"/>
    <w:rPr>
      <w:rFonts w:cs="Times New Roman"/>
      <w:sz w:val="2"/>
    </w:rPr>
  </w:style>
  <w:style w:type="character" w:customStyle="1" w:styleId="25">
    <w:name w:val="Footer Char"/>
    <w:basedOn w:val="19"/>
    <w:link w:val="13"/>
    <w:qFormat/>
    <w:locked/>
    <w:uiPriority w:val="99"/>
    <w:rPr>
      <w:rFonts w:cs="Times New Roman"/>
      <w:kern w:val="2"/>
      <w:sz w:val="18"/>
    </w:rPr>
  </w:style>
  <w:style w:type="character" w:customStyle="1" w:styleId="26">
    <w:name w:val="Header Char"/>
    <w:basedOn w:val="19"/>
    <w:link w:val="14"/>
    <w:autoRedefine/>
    <w:semiHidden/>
    <w:qFormat/>
    <w:locked/>
    <w:uiPriority w:val="99"/>
    <w:rPr>
      <w:rFonts w:cs="Times New Roman"/>
      <w:sz w:val="18"/>
      <w:szCs w:val="18"/>
    </w:rPr>
  </w:style>
  <w:style w:type="character" w:customStyle="1" w:styleId="27">
    <w:name w:val="页脚 Char"/>
    <w:qFormat/>
    <w:uiPriority w:val="99"/>
    <w:rPr>
      <w:rFonts w:eastAsia="Times New Roman"/>
      <w:sz w:val="21"/>
    </w:rPr>
  </w:style>
  <w:style w:type="paragraph" w:customStyle="1" w:styleId="28">
    <w:name w:val="正文1"/>
    <w:basedOn w:val="9"/>
    <w:next w:val="1"/>
    <w:qFormat/>
    <w:uiPriority w:val="0"/>
    <w:pPr>
      <w:ind w:left="0" w:leftChars="0" w:firstLine="480" w:firstLineChars="200"/>
    </w:pPr>
    <w:rPr>
      <w:rFonts w:ascii="仿宋_GB2312" w:hAnsi="Courier New" w:eastAsia="仿宋_GB2312"/>
      <w:kern w:val="28"/>
      <w:sz w:val="24"/>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BodyTextIndent"/>
    <w:basedOn w:val="1"/>
    <w:next w:val="31"/>
    <w:autoRedefine/>
    <w:qFormat/>
    <w:uiPriority w:val="0"/>
    <w:pPr>
      <w:spacing w:line="480" w:lineRule="auto"/>
      <w:ind w:firstLine="600"/>
      <w:textAlignment w:val="baseline"/>
    </w:pPr>
    <w:rPr>
      <w:sz w:val="28"/>
    </w:rPr>
  </w:style>
  <w:style w:type="paragraph" w:customStyle="1" w:styleId="31">
    <w:name w:val="UserStyle_460"/>
    <w:basedOn w:val="30"/>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32">
    <w:name w:val="Table Text"/>
    <w:basedOn w:val="1"/>
    <w:qFormat/>
    <w:uiPriority w:val="0"/>
    <w:pPr>
      <w:widowControl/>
      <w:spacing w:before="60" w:after="60"/>
      <w:jc w:val="left"/>
    </w:pPr>
    <w:rPr>
      <w:kern w:val="0"/>
      <w:sz w:val="24"/>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28</Pages>
  <Words>953</Words>
  <Characters>1024</Characters>
  <Lines>0</Lines>
  <Paragraphs>0</Paragraphs>
  <TotalTime>0</TotalTime>
  <ScaleCrop>false</ScaleCrop>
  <LinksUpToDate>false</LinksUpToDate>
  <CharactersWithSpaces>1071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2021-09-14T06:10:00Z</dcterms:created>
  <dc:creator>MC SYSTEM</dc:creator>
  <cp:lastModifiedBy>隐身的孤寂</cp:lastModifiedBy>
  <cp:lastPrinted>2021-07-31T17:17:00Z</cp:lastPrinted>
  <dcterms:modified xsi:type="dcterms:W3CDTF">2025-05-12T07:33:15Z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7EFD434724613DFFF795AD678F7DEE17_43</vt:lpwstr>
  </property>
  <property fmtid="{D5CDD505-2E9C-101B-9397-08002B2CF9AE}" pid="4" name="KSOTemplateDocerSaveRecord">
    <vt:lpwstr>eyJoZGlkIjoiN2I4ZTI0MmIxMDZlZmY1NzM4Mjg5NjVmZmM4NmQyMDgiLCJ1c2VySWQiOiIxOTg3NDMyMjgifQ==</vt:lpwstr>
  </property>
</Properties>
</file>