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3B217">
      <w:pPr>
        <w:pStyle w:val="7"/>
        <w:ind w:left="0" w:leftChars="0" w:firstLine="0" w:firstLineChars="0"/>
        <w:rPr>
          <w:rFonts w:hint="eastAsia" w:ascii="宋体" w:hAnsi="宋体" w:eastAsia="宋体" w:cs="宋体"/>
          <w:sz w:val="48"/>
          <w:szCs w:val="48"/>
        </w:rPr>
      </w:pPr>
    </w:p>
    <w:p w14:paraId="5DA0283C">
      <w:pPr>
        <w:pStyle w:val="27"/>
        <w:ind w:left="0" w:leftChars="0" w:firstLine="0" w:firstLineChars="0"/>
        <w:rPr>
          <w:rFonts w:hint="eastAsia" w:ascii="宋体" w:hAnsi="宋体" w:cs="宋体"/>
          <w:b/>
          <w:bCs/>
          <w:sz w:val="52"/>
          <w:szCs w:val="52"/>
          <w:lang w:eastAsia="zh-CN"/>
        </w:rPr>
      </w:pPr>
      <w:r>
        <w:rPr>
          <w:rFonts w:hint="eastAsia" w:ascii="宋体" w:hAnsi="宋体" w:cs="宋体"/>
          <w:b/>
          <w:bCs/>
          <w:sz w:val="52"/>
          <w:szCs w:val="52"/>
          <w:lang w:eastAsia="zh-CN"/>
        </w:rPr>
        <w:t>2025年度桐庐县计生系列保险服务项目</w:t>
      </w:r>
    </w:p>
    <w:p w14:paraId="41359E26">
      <w:pPr>
        <w:pStyle w:val="36"/>
        <w:rPr>
          <w:rFonts w:hint="eastAsia"/>
          <w:lang w:val="en-US"/>
        </w:rPr>
      </w:pPr>
    </w:p>
    <w:p w14:paraId="01B49F6C">
      <w:pPr>
        <w:pStyle w:val="27"/>
        <w:rPr>
          <w:rFonts w:hint="eastAsia" w:ascii="宋体" w:hAnsi="宋体" w:eastAsia="宋体" w:cs="宋体"/>
        </w:rPr>
      </w:pPr>
    </w:p>
    <w:p w14:paraId="7F290A6C">
      <w:pPr>
        <w:snapToGrid w:val="0"/>
        <w:spacing w:line="360" w:lineRule="auto"/>
        <w:jc w:val="center"/>
        <w:rPr>
          <w:rFonts w:hint="eastAsia" w:ascii="宋体" w:hAnsi="宋体" w:eastAsia="宋体" w:cs="宋体"/>
          <w:bCs/>
          <w:sz w:val="44"/>
          <w:szCs w:val="44"/>
        </w:rPr>
      </w:pPr>
      <w:r>
        <w:rPr>
          <w:rFonts w:hint="eastAsia" w:ascii="宋体" w:hAnsi="宋体" w:eastAsia="宋体" w:cs="宋体"/>
          <w:snapToGrid w:val="0"/>
          <w:sz w:val="48"/>
          <w:szCs w:val="48"/>
        </w:rPr>
        <w:t>竞争性磋商文件</w:t>
      </w:r>
    </w:p>
    <w:p w14:paraId="5EE2B41C">
      <w:pPr>
        <w:snapToGrid w:val="0"/>
        <w:spacing w:line="360" w:lineRule="auto"/>
        <w:jc w:val="center"/>
        <w:rPr>
          <w:rFonts w:hint="eastAsia" w:ascii="宋体" w:hAnsi="宋体" w:eastAsia="宋体" w:cs="宋体"/>
        </w:rPr>
      </w:pPr>
      <w:r>
        <w:rPr>
          <w:rFonts w:hint="eastAsia" w:ascii="宋体" w:hAnsi="宋体" w:eastAsia="宋体" w:cs="宋体"/>
          <w:bCs/>
          <w:sz w:val="44"/>
          <w:szCs w:val="44"/>
        </w:rPr>
        <w:t xml:space="preserve"> （电子招投标）</w:t>
      </w:r>
    </w:p>
    <w:p w14:paraId="0606E26C">
      <w:pPr>
        <w:snapToGrid w:val="0"/>
        <w:spacing w:line="360" w:lineRule="auto"/>
        <w:jc w:val="center"/>
        <w:rPr>
          <w:rFonts w:hint="eastAsia" w:ascii="宋体" w:hAnsi="宋体" w:eastAsia="宋体" w:cs="宋体"/>
          <w:sz w:val="30"/>
          <w:szCs w:val="30"/>
          <w:lang w:eastAsia="zh-CN"/>
        </w:rPr>
      </w:pPr>
      <w:r>
        <w:rPr>
          <w:rFonts w:hint="eastAsia" w:ascii="宋体" w:hAnsi="宋体" w:eastAsia="宋体" w:cs="宋体"/>
          <w:sz w:val="30"/>
          <w:szCs w:val="30"/>
        </w:rPr>
        <w:t>编号</w:t>
      </w:r>
      <w:r>
        <w:rPr>
          <w:rFonts w:hint="eastAsia" w:ascii="宋体" w:hAnsi="宋体" w:eastAsia="宋体" w:cs="宋体"/>
          <w:sz w:val="30"/>
          <w:szCs w:val="30"/>
          <w:lang w:eastAsia="zh-CN"/>
        </w:rPr>
        <w:t>：</w:t>
      </w:r>
      <w:r>
        <w:rPr>
          <w:rFonts w:hint="eastAsia" w:ascii="宋体" w:hAnsi="宋体" w:cs="宋体"/>
          <w:sz w:val="30"/>
          <w:szCs w:val="30"/>
          <w:lang w:eastAsia="zh-CN"/>
        </w:rPr>
        <w:t>QZ23301222025002</w:t>
      </w:r>
    </w:p>
    <w:p w14:paraId="7B4997F5">
      <w:pPr>
        <w:snapToGrid w:val="0"/>
        <w:spacing w:line="360" w:lineRule="auto"/>
        <w:jc w:val="center"/>
        <w:rPr>
          <w:rFonts w:hint="eastAsia" w:ascii="宋体" w:hAnsi="宋体" w:eastAsia="宋体" w:cs="宋体"/>
          <w:sz w:val="30"/>
          <w:szCs w:val="30"/>
        </w:rPr>
      </w:pPr>
    </w:p>
    <w:p w14:paraId="7ED18445">
      <w:pPr>
        <w:adjustRightInd/>
        <w:spacing w:line="360" w:lineRule="auto"/>
        <w:rPr>
          <w:rFonts w:hint="eastAsia" w:ascii="宋体" w:hAnsi="宋体" w:eastAsia="宋体" w:cs="宋体"/>
          <w:sz w:val="28"/>
          <w:szCs w:val="20"/>
        </w:rPr>
      </w:pPr>
    </w:p>
    <w:p w14:paraId="27DB4FBE">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3F5B9BB8">
      <w:pPr>
        <w:pStyle w:val="7"/>
        <w:tabs>
          <w:tab w:val="clear" w:pos="1152"/>
        </w:tabs>
        <w:ind w:left="0" w:firstLine="0"/>
        <w:jc w:val="center"/>
        <w:rPr>
          <w:rFonts w:hint="eastAsia" w:ascii="宋体" w:hAnsi="宋体" w:eastAsia="宋体" w:cs="宋体"/>
        </w:rPr>
      </w:pPr>
    </w:p>
    <w:p w14:paraId="1DB0F2A2">
      <w:pPr>
        <w:pStyle w:val="26"/>
        <w:ind w:left="0" w:leftChars="0" w:firstLine="0" w:firstLineChars="0"/>
        <w:rPr>
          <w:rFonts w:hint="eastAsia" w:ascii="宋体" w:hAnsi="宋体" w:eastAsia="宋体" w:cs="宋体"/>
        </w:rPr>
      </w:pPr>
    </w:p>
    <w:p w14:paraId="5D5D87A9">
      <w:pPr>
        <w:rPr>
          <w:rFonts w:hint="eastAsia" w:ascii="宋体" w:hAnsi="宋体" w:eastAsia="宋体" w:cs="宋体"/>
        </w:rPr>
      </w:pPr>
    </w:p>
    <w:p w14:paraId="3FE66D6B">
      <w:pPr>
        <w:pStyle w:val="36"/>
        <w:rPr>
          <w:rFonts w:hint="eastAsia" w:ascii="宋体" w:hAnsi="宋体" w:eastAsia="宋体" w:cs="宋体"/>
        </w:rPr>
      </w:pPr>
    </w:p>
    <w:p w14:paraId="7EDA24C8">
      <w:pPr>
        <w:rPr>
          <w:rFonts w:hint="eastAsia"/>
        </w:rPr>
      </w:pPr>
    </w:p>
    <w:p w14:paraId="270241EC">
      <w:pPr>
        <w:pStyle w:val="27"/>
        <w:rPr>
          <w:rFonts w:hint="eastAsia"/>
        </w:rPr>
      </w:pPr>
    </w:p>
    <w:p w14:paraId="7D6B020F">
      <w:pPr>
        <w:rPr>
          <w:rFonts w:hint="eastAsia"/>
        </w:rPr>
      </w:pPr>
    </w:p>
    <w:p w14:paraId="273373C1">
      <w:pPr>
        <w:spacing w:line="360" w:lineRule="auto"/>
        <w:jc w:val="both"/>
        <w:rPr>
          <w:rFonts w:hint="eastAsia" w:ascii="宋体" w:hAnsi="宋体" w:eastAsia="宋体" w:cs="宋体"/>
          <w:sz w:val="30"/>
          <w:szCs w:val="30"/>
        </w:rPr>
      </w:pPr>
    </w:p>
    <w:p w14:paraId="3043D745">
      <w:pPr>
        <w:pStyle w:val="4"/>
        <w:rPr>
          <w:rFonts w:hint="eastAsia"/>
        </w:rPr>
      </w:pPr>
    </w:p>
    <w:p w14:paraId="1CC074A7">
      <w:pPr>
        <w:rPr>
          <w:rFonts w:hint="eastAsia"/>
        </w:rPr>
      </w:pPr>
    </w:p>
    <w:p w14:paraId="3B093181">
      <w:pPr>
        <w:pStyle w:val="36"/>
        <w:rPr>
          <w:rFonts w:hint="eastAsia"/>
        </w:rPr>
      </w:pPr>
    </w:p>
    <w:p w14:paraId="79469761">
      <w:pPr>
        <w:keepNext w:val="0"/>
        <w:keepLines w:val="0"/>
        <w:pageBreakBefore w:val="0"/>
        <w:widowControl w:val="0"/>
        <w:kinsoku/>
        <w:wordWrap/>
        <w:overflowPunct/>
        <w:topLinePunct w:val="0"/>
        <w:autoSpaceDE/>
        <w:autoSpaceDN/>
        <w:bidi w:val="0"/>
        <w:adjustRightInd w:val="0"/>
        <w:snapToGrid/>
        <w:spacing w:line="600" w:lineRule="auto"/>
        <w:ind w:firstLine="900" w:firstLineChars="300"/>
        <w:jc w:val="both"/>
        <w:textAlignment w:val="auto"/>
        <w:rPr>
          <w:rFonts w:hint="eastAsia" w:ascii="宋体" w:hAnsi="宋体" w:eastAsia="宋体" w:cs="宋体"/>
          <w:sz w:val="30"/>
          <w:szCs w:val="30"/>
          <w:lang w:eastAsia="zh-CN"/>
        </w:rPr>
      </w:pPr>
      <w:r>
        <w:rPr>
          <w:rFonts w:hint="eastAsia" w:ascii="宋体" w:hAnsi="宋体" w:eastAsia="宋体" w:cs="宋体"/>
          <w:sz w:val="30"/>
          <w:szCs w:val="30"/>
        </w:rPr>
        <w:t>采   购   人（盖公章）：</w:t>
      </w:r>
      <w:r>
        <w:rPr>
          <w:rFonts w:hint="eastAsia" w:ascii="宋体" w:hAnsi="宋体" w:cs="宋体"/>
          <w:sz w:val="30"/>
          <w:szCs w:val="30"/>
          <w:lang w:eastAsia="zh-CN"/>
        </w:rPr>
        <w:t>桐庐县卫生健康局</w:t>
      </w:r>
    </w:p>
    <w:p w14:paraId="53436A16">
      <w:pPr>
        <w:keepNext w:val="0"/>
        <w:keepLines w:val="0"/>
        <w:pageBreakBefore w:val="0"/>
        <w:widowControl w:val="0"/>
        <w:kinsoku/>
        <w:wordWrap/>
        <w:overflowPunct/>
        <w:topLinePunct w:val="0"/>
        <w:autoSpaceDE/>
        <w:autoSpaceDN/>
        <w:bidi w:val="0"/>
        <w:adjustRightInd w:val="0"/>
        <w:snapToGrid/>
        <w:spacing w:line="600" w:lineRule="auto"/>
        <w:ind w:firstLine="900" w:firstLineChars="300"/>
        <w:jc w:val="both"/>
        <w:textAlignment w:val="auto"/>
        <w:rPr>
          <w:rFonts w:hint="eastAsia" w:ascii="宋体" w:hAnsi="宋体" w:eastAsia="宋体" w:cs="宋体"/>
          <w:sz w:val="30"/>
          <w:szCs w:val="30"/>
        </w:rPr>
      </w:pPr>
      <w:r>
        <w:rPr>
          <w:rFonts w:hint="eastAsia" w:ascii="宋体" w:hAnsi="宋体" w:eastAsia="宋体" w:cs="宋体"/>
          <w:sz w:val="30"/>
          <w:szCs w:val="30"/>
        </w:rPr>
        <w:t>采购代理机构（盖公章）：杭州全咨项目管理有限公司</w:t>
      </w:r>
    </w:p>
    <w:p w14:paraId="42634E54">
      <w:pPr>
        <w:keepNext w:val="0"/>
        <w:keepLines w:val="0"/>
        <w:pageBreakBefore w:val="0"/>
        <w:widowControl w:val="0"/>
        <w:kinsoku/>
        <w:wordWrap/>
        <w:overflowPunct/>
        <w:topLinePunct w:val="0"/>
        <w:autoSpaceDE/>
        <w:autoSpaceDN/>
        <w:bidi w:val="0"/>
        <w:adjustRightInd w:val="0"/>
        <w:snapToGrid/>
        <w:spacing w:line="600" w:lineRule="auto"/>
        <w:jc w:val="center"/>
        <w:textAlignment w:val="auto"/>
        <w:rPr>
          <w:rFonts w:hint="eastAsia" w:ascii="宋体" w:hAnsi="宋体" w:eastAsia="宋体" w:cs="宋体"/>
          <w:sz w:val="30"/>
          <w:szCs w:val="30"/>
        </w:rPr>
      </w:pPr>
      <w:r>
        <w:rPr>
          <w:rFonts w:hint="eastAsia" w:ascii="宋体" w:hAnsi="宋体" w:eastAsia="宋体" w:cs="宋体"/>
          <w:sz w:val="30"/>
          <w:szCs w:val="30"/>
        </w:rPr>
        <w:t>二〇二</w:t>
      </w:r>
      <w:r>
        <w:rPr>
          <w:rFonts w:hint="eastAsia" w:ascii="宋体" w:hAnsi="宋体" w:cs="宋体"/>
          <w:sz w:val="30"/>
          <w:szCs w:val="30"/>
          <w:lang w:val="en-US" w:eastAsia="zh-CN"/>
        </w:rPr>
        <w:t>五</w:t>
      </w:r>
      <w:r>
        <w:rPr>
          <w:rFonts w:hint="eastAsia" w:ascii="宋体" w:hAnsi="宋体" w:eastAsia="宋体" w:cs="宋体"/>
          <w:sz w:val="30"/>
          <w:szCs w:val="30"/>
        </w:rPr>
        <w:t>年</w:t>
      </w:r>
      <w:r>
        <w:rPr>
          <w:rFonts w:hint="eastAsia" w:ascii="宋体" w:hAnsi="宋体" w:cs="宋体"/>
          <w:sz w:val="30"/>
          <w:szCs w:val="30"/>
          <w:lang w:val="en-US" w:eastAsia="zh-CN"/>
        </w:rPr>
        <w:t>三</w:t>
      </w:r>
      <w:r>
        <w:rPr>
          <w:rFonts w:hint="eastAsia" w:ascii="宋体" w:hAnsi="宋体" w:eastAsia="宋体" w:cs="宋体"/>
          <w:sz w:val="30"/>
          <w:szCs w:val="30"/>
        </w:rPr>
        <w:t>月</w:t>
      </w:r>
    </w:p>
    <w:p w14:paraId="7E338815">
      <w:pPr>
        <w:pStyle w:val="3"/>
        <w:rPr>
          <w:rFonts w:hint="eastAsia" w:ascii="宋体" w:hAnsi="宋体" w:eastAsia="宋体" w:cs="宋体"/>
        </w:rPr>
        <w:sectPr>
          <w:headerReference r:id="rId4" w:type="first"/>
          <w:headerReference r:id="rId3" w:type="default"/>
          <w:pgSz w:w="11906" w:h="16838"/>
          <w:pgMar w:top="1417" w:right="1474" w:bottom="1417" w:left="1474" w:header="851" w:footer="992" w:gutter="0"/>
          <w:pgNumType w:fmt="decimal"/>
          <w:cols w:space="720" w:num="1"/>
          <w:titlePg/>
          <w:docGrid w:linePitch="312" w:charSpace="0"/>
        </w:sectPr>
      </w:pPr>
    </w:p>
    <w:p w14:paraId="43FB36B0">
      <w:pPr>
        <w:rPr>
          <w:rFonts w:hint="eastAsia"/>
        </w:rPr>
      </w:pPr>
    </w:p>
    <w:p w14:paraId="1BC3896C">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5B8504DD">
      <w:pPr>
        <w:spacing w:line="360" w:lineRule="auto"/>
        <w:rPr>
          <w:rFonts w:hint="eastAsia" w:ascii="宋体" w:hAnsi="宋体" w:eastAsia="宋体" w:cs="宋体"/>
          <w:sz w:val="32"/>
          <w:szCs w:val="32"/>
        </w:rPr>
      </w:pPr>
    </w:p>
    <w:p w14:paraId="4A15E44C">
      <w:pPr>
        <w:spacing w:line="360" w:lineRule="auto"/>
        <w:rPr>
          <w:rFonts w:hint="eastAsia" w:ascii="宋体" w:hAnsi="宋体" w:eastAsia="宋体" w:cs="宋体"/>
          <w:sz w:val="32"/>
          <w:szCs w:val="32"/>
        </w:rPr>
      </w:pPr>
    </w:p>
    <w:p w14:paraId="65A764E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竞争性磋商公告</w:t>
      </w:r>
    </w:p>
    <w:p w14:paraId="10D3635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第二部分      磋商供应商须知</w:t>
      </w:r>
    </w:p>
    <w:p w14:paraId="583CABF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1367D313">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07966DF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09C5B65B">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61BF66AF">
      <w:pPr>
        <w:spacing w:line="360" w:lineRule="auto"/>
        <w:ind w:firstLine="1280" w:firstLineChars="400"/>
        <w:rPr>
          <w:rFonts w:hint="eastAsia" w:ascii="宋体" w:hAnsi="宋体" w:eastAsia="宋体" w:cs="宋体"/>
          <w:color w:val="auto"/>
          <w:sz w:val="32"/>
          <w:szCs w:val="32"/>
          <w:highlight w:val="none"/>
        </w:rPr>
      </w:pPr>
      <w:bookmarkStart w:id="0" w:name="_Hlt91233176"/>
      <w:bookmarkEnd w:id="0"/>
      <w:bookmarkStart w:id="1" w:name="_Toc91899869"/>
      <w:r>
        <w:rPr>
          <w:rFonts w:hint="eastAsia" w:ascii="宋体" w:hAnsi="宋体" w:eastAsia="宋体" w:cs="宋体"/>
          <w:color w:val="auto"/>
          <w:sz w:val="32"/>
          <w:szCs w:val="32"/>
          <w:highlight w:val="none"/>
        </w:rPr>
        <w:t>第</w:t>
      </w: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部分      最后报价格式</w:t>
      </w:r>
    </w:p>
    <w:p w14:paraId="40470366">
      <w:pPr>
        <w:spacing w:line="360" w:lineRule="auto"/>
        <w:ind w:firstLine="549" w:firstLineChars="229"/>
        <w:rPr>
          <w:rFonts w:hint="eastAsia" w:ascii="宋体" w:hAnsi="宋体" w:eastAsia="宋体" w:cs="宋体"/>
          <w:sz w:val="24"/>
        </w:rPr>
      </w:pPr>
    </w:p>
    <w:p w14:paraId="20F686C7">
      <w:pPr>
        <w:spacing w:line="360" w:lineRule="auto"/>
        <w:ind w:firstLine="549" w:firstLineChars="229"/>
        <w:rPr>
          <w:rFonts w:hint="eastAsia" w:ascii="宋体" w:hAnsi="宋体" w:eastAsia="宋体" w:cs="宋体"/>
          <w:sz w:val="24"/>
        </w:rPr>
      </w:pPr>
    </w:p>
    <w:p w14:paraId="6790C803">
      <w:pPr>
        <w:spacing w:line="360" w:lineRule="auto"/>
        <w:ind w:firstLine="549" w:firstLineChars="229"/>
        <w:rPr>
          <w:rFonts w:hint="eastAsia" w:ascii="宋体" w:hAnsi="宋体" w:eastAsia="宋体" w:cs="宋体"/>
          <w:sz w:val="24"/>
        </w:rPr>
      </w:pPr>
    </w:p>
    <w:p w14:paraId="57BB6E75">
      <w:pPr>
        <w:spacing w:line="360" w:lineRule="auto"/>
        <w:ind w:firstLine="549" w:firstLineChars="229"/>
        <w:rPr>
          <w:rFonts w:hint="eastAsia" w:ascii="宋体" w:hAnsi="宋体" w:eastAsia="宋体" w:cs="宋体"/>
          <w:sz w:val="24"/>
        </w:rPr>
      </w:pPr>
    </w:p>
    <w:p w14:paraId="2AFA6FD5">
      <w:pPr>
        <w:spacing w:line="360" w:lineRule="auto"/>
        <w:ind w:firstLine="549" w:firstLineChars="229"/>
        <w:rPr>
          <w:rFonts w:hint="eastAsia" w:ascii="宋体" w:hAnsi="宋体" w:eastAsia="宋体" w:cs="宋体"/>
          <w:sz w:val="24"/>
        </w:rPr>
      </w:pPr>
    </w:p>
    <w:p w14:paraId="30676742">
      <w:pPr>
        <w:spacing w:line="360" w:lineRule="auto"/>
        <w:ind w:firstLine="549" w:firstLineChars="229"/>
        <w:rPr>
          <w:rFonts w:hint="eastAsia" w:ascii="宋体" w:hAnsi="宋体" w:eastAsia="宋体" w:cs="宋体"/>
          <w:sz w:val="24"/>
        </w:rPr>
      </w:pPr>
    </w:p>
    <w:p w14:paraId="7E34B783">
      <w:pPr>
        <w:spacing w:line="360" w:lineRule="auto"/>
        <w:ind w:firstLine="549" w:firstLineChars="229"/>
        <w:rPr>
          <w:rFonts w:hint="eastAsia" w:ascii="宋体" w:hAnsi="宋体" w:eastAsia="宋体" w:cs="宋体"/>
          <w:sz w:val="24"/>
        </w:rPr>
      </w:pPr>
    </w:p>
    <w:p w14:paraId="1727D467">
      <w:pPr>
        <w:spacing w:line="360" w:lineRule="auto"/>
        <w:ind w:firstLine="549" w:firstLineChars="229"/>
        <w:rPr>
          <w:rFonts w:hint="eastAsia" w:ascii="宋体" w:hAnsi="宋体" w:eastAsia="宋体" w:cs="宋体"/>
          <w:sz w:val="24"/>
        </w:rPr>
      </w:pPr>
    </w:p>
    <w:p w14:paraId="4027BB41">
      <w:pPr>
        <w:spacing w:line="360" w:lineRule="auto"/>
        <w:ind w:firstLine="549" w:firstLineChars="229"/>
        <w:rPr>
          <w:rFonts w:hint="eastAsia" w:ascii="宋体" w:hAnsi="宋体" w:eastAsia="宋体" w:cs="宋体"/>
          <w:sz w:val="24"/>
        </w:rPr>
      </w:pPr>
    </w:p>
    <w:p w14:paraId="08446891">
      <w:pPr>
        <w:spacing w:line="360" w:lineRule="auto"/>
        <w:ind w:firstLine="549" w:firstLineChars="229"/>
        <w:rPr>
          <w:rFonts w:hint="eastAsia" w:ascii="宋体" w:hAnsi="宋体" w:eastAsia="宋体" w:cs="宋体"/>
          <w:sz w:val="24"/>
        </w:rPr>
      </w:pPr>
    </w:p>
    <w:p w14:paraId="2A6A9066">
      <w:pPr>
        <w:spacing w:line="360" w:lineRule="auto"/>
        <w:ind w:firstLine="549" w:firstLineChars="229"/>
        <w:rPr>
          <w:rFonts w:hint="eastAsia" w:ascii="宋体" w:hAnsi="宋体" w:eastAsia="宋体" w:cs="宋体"/>
          <w:sz w:val="24"/>
        </w:rPr>
      </w:pPr>
    </w:p>
    <w:p w14:paraId="449B62FC">
      <w:pPr>
        <w:spacing w:line="360" w:lineRule="auto"/>
        <w:ind w:firstLine="549" w:firstLineChars="229"/>
        <w:rPr>
          <w:rFonts w:hint="eastAsia" w:ascii="宋体" w:hAnsi="宋体" w:eastAsia="宋体" w:cs="宋体"/>
          <w:sz w:val="24"/>
        </w:rPr>
      </w:pPr>
    </w:p>
    <w:p w14:paraId="4627EE5D">
      <w:pPr>
        <w:pStyle w:val="4"/>
        <w:rPr>
          <w:rFonts w:hint="eastAsia"/>
        </w:rPr>
      </w:pPr>
    </w:p>
    <w:p w14:paraId="3892AEB8">
      <w:pPr>
        <w:spacing w:line="360" w:lineRule="auto"/>
        <w:rPr>
          <w:rFonts w:hint="eastAsia" w:ascii="宋体" w:hAnsi="宋体" w:eastAsia="宋体" w:cs="宋体"/>
          <w:sz w:val="24"/>
        </w:rPr>
      </w:pPr>
    </w:p>
    <w:bookmarkEnd w:id="1"/>
    <w:p w14:paraId="42AD3373">
      <w:pPr>
        <w:adjustRightInd/>
        <w:spacing w:line="360" w:lineRule="auto"/>
        <w:jc w:val="center"/>
        <w:outlineLvl w:val="0"/>
        <w:rPr>
          <w:rFonts w:hint="eastAsia" w:ascii="宋体" w:hAnsi="宋体" w:eastAsia="宋体" w:cs="宋体"/>
          <w:b/>
          <w:sz w:val="36"/>
          <w:szCs w:val="20"/>
        </w:r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r>
        <w:rPr>
          <w:rFonts w:hint="eastAsia" w:ascii="宋体" w:hAnsi="宋体" w:eastAsia="宋体" w:cs="宋体"/>
          <w:b/>
          <w:sz w:val="36"/>
          <w:szCs w:val="20"/>
        </w:rPr>
        <w:t>第一部分 竞争性磋商公告</w:t>
      </w:r>
    </w:p>
    <w:p w14:paraId="1C751CD4">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before="157" w:beforeLines="5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项目概况</w:t>
      </w:r>
    </w:p>
    <w:p w14:paraId="52F0AE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u w:val="single"/>
        </w:rPr>
      </w:pPr>
      <w:r>
        <w:rPr>
          <w:rFonts w:hint="eastAsia" w:ascii="宋体" w:hAnsi="宋体" w:cs="宋体"/>
          <w:sz w:val="24"/>
          <w:u w:val="single"/>
          <w:lang w:eastAsia="zh-CN"/>
        </w:rPr>
        <w:t>2025年度桐庐县计生系列保险服务项目</w:t>
      </w:r>
      <w:r>
        <w:rPr>
          <w:rFonts w:hint="eastAsia" w:ascii="宋体" w:hAnsi="宋体" w:eastAsia="宋体" w:cs="宋体"/>
          <w:sz w:val="24"/>
        </w:rPr>
        <w:t>的潜在供应商应在政采云平台（</w:t>
      </w:r>
      <w:r>
        <w:rPr>
          <w:rFonts w:hint="eastAsia" w:ascii="宋体" w:hAnsi="宋体" w:eastAsia="宋体" w:cs="宋体"/>
        </w:rPr>
        <w:fldChar w:fldCharType="begin"/>
      </w:r>
      <w:r>
        <w:rPr>
          <w:rFonts w:hint="eastAsia" w:ascii="宋体" w:hAnsi="宋体" w:eastAsia="宋体" w:cs="宋体"/>
        </w:rPr>
        <w:instrText xml:space="preserve"> HYPERLINK "https://www.zcygov.cn/）获取（下载）招标文件，并于2021年" </w:instrText>
      </w:r>
      <w:r>
        <w:rPr>
          <w:rFonts w:hint="eastAsia" w:ascii="宋体" w:hAnsi="宋体" w:eastAsia="宋体" w:cs="宋体"/>
        </w:rPr>
        <w:fldChar w:fldCharType="separate"/>
      </w:r>
      <w:r>
        <w:rPr>
          <w:rStyle w:val="77"/>
          <w:rFonts w:hint="eastAsia" w:ascii="宋体" w:hAnsi="宋体" w:eastAsia="宋体" w:cs="宋体"/>
          <w:snapToGrid/>
          <w:color w:val="auto"/>
          <w:kern w:val="2"/>
          <w:sz w:val="24"/>
          <w:szCs w:val="24"/>
        </w:rPr>
        <w:t>https://www.zcygov.cn/）获取（下载）竞争性磋商文件，并于</w:t>
      </w:r>
      <w:r>
        <w:rPr>
          <w:rFonts w:hint="eastAsia" w:ascii="宋体" w:hAnsi="宋体" w:cs="宋体"/>
          <w:color w:val="FF0000"/>
          <w:sz w:val="24"/>
          <w:u w:val="single"/>
          <w:lang w:eastAsia="zh-CN"/>
        </w:rPr>
        <w:t>2025年4月14日10点00分00秒</w:t>
      </w:r>
      <w:r>
        <w:rPr>
          <w:rFonts w:hint="eastAsia" w:ascii="宋体" w:hAnsi="宋体" w:eastAsia="宋体" w:cs="宋体"/>
          <w:bCs/>
          <w:color w:val="FF0000"/>
          <w:sz w:val="24"/>
          <w:u w:val="single"/>
        </w:rPr>
        <w:fldChar w:fldCharType="end"/>
      </w:r>
      <w:r>
        <w:rPr>
          <w:rFonts w:hint="eastAsia" w:ascii="宋体" w:hAnsi="宋体" w:eastAsia="宋体" w:cs="宋体"/>
          <w:bCs/>
          <w:sz w:val="24"/>
        </w:rPr>
        <w:t>（北京时间）前</w:t>
      </w:r>
      <w:r>
        <w:rPr>
          <w:rFonts w:hint="eastAsia" w:ascii="宋体" w:hAnsi="宋体" w:eastAsia="宋体" w:cs="宋体"/>
          <w:sz w:val="24"/>
        </w:rPr>
        <w:t>递交（上传）磋商响应文件。</w:t>
      </w:r>
    </w:p>
    <w:p w14:paraId="5E3E91E1">
      <w:pPr>
        <w:keepNext w:val="0"/>
        <w:keepLines w:val="0"/>
        <w:pageBreakBefore w:val="0"/>
        <w:widowControl w:val="0"/>
        <w:kinsoku/>
        <w:wordWrap/>
        <w:overflowPunct/>
        <w:topLinePunct w:val="0"/>
        <w:autoSpaceDE/>
        <w:autoSpaceDN/>
        <w:bidi w:val="0"/>
        <w:adjustRightInd w:val="0"/>
        <w:snapToGrid/>
        <w:spacing w:before="313" w:beforeLines="100" w:line="360" w:lineRule="auto"/>
        <w:textAlignment w:val="auto"/>
        <w:rPr>
          <w:rFonts w:hint="eastAsia" w:ascii="宋体" w:hAnsi="宋体" w:eastAsia="宋体" w:cs="宋体"/>
          <w:b/>
          <w:sz w:val="24"/>
        </w:rPr>
      </w:pPr>
      <w:r>
        <w:rPr>
          <w:rFonts w:hint="eastAsia" w:ascii="宋体" w:hAnsi="宋体" w:eastAsia="宋体" w:cs="宋体"/>
          <w:b/>
          <w:sz w:val="24"/>
        </w:rPr>
        <w:t xml:space="preserve">一、项目基本情况                                            </w:t>
      </w:r>
    </w:p>
    <w:p w14:paraId="608DD094">
      <w:pPr>
        <w:spacing w:line="360" w:lineRule="auto"/>
        <w:rPr>
          <w:rFonts w:hint="eastAsia"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b/>
          <w:sz w:val="24"/>
        </w:rPr>
        <w:t>项目编号：</w:t>
      </w:r>
      <w:r>
        <w:rPr>
          <w:rFonts w:hint="eastAsia" w:ascii="宋体" w:hAnsi="宋体" w:cs="宋体"/>
          <w:bCs/>
          <w:color w:val="000000"/>
          <w:sz w:val="24"/>
          <w:lang w:eastAsia="zh-CN"/>
        </w:rPr>
        <w:t>QZ23301222025002</w:t>
      </w:r>
    </w:p>
    <w:p w14:paraId="4C9CA275">
      <w:pPr>
        <w:spacing w:line="360" w:lineRule="auto"/>
        <w:rPr>
          <w:rFonts w:hint="eastAsia" w:ascii="宋体" w:hAnsi="宋体" w:eastAsia="宋体" w:cs="宋体"/>
          <w:sz w:val="24"/>
          <w:highlight w:val="none"/>
          <w:lang w:eastAsia="zh-CN"/>
        </w:rPr>
      </w:pPr>
      <w:r>
        <w:rPr>
          <w:rFonts w:hint="eastAsia" w:ascii="宋体" w:hAnsi="宋体" w:eastAsia="宋体" w:cs="宋体"/>
          <w:sz w:val="24"/>
          <w:highlight w:val="none"/>
        </w:rPr>
        <w:t xml:space="preserve">  </w:t>
      </w:r>
      <w:r>
        <w:rPr>
          <w:rFonts w:hint="eastAsia" w:ascii="宋体" w:hAnsi="宋体" w:eastAsia="宋体" w:cs="宋体"/>
          <w:b/>
          <w:sz w:val="24"/>
          <w:highlight w:val="none"/>
        </w:rPr>
        <w:t>项目名称：</w:t>
      </w:r>
      <w:r>
        <w:rPr>
          <w:rFonts w:hint="eastAsia" w:ascii="宋体" w:hAnsi="宋体" w:cs="宋体"/>
          <w:sz w:val="24"/>
          <w:highlight w:val="none"/>
          <w:lang w:eastAsia="zh-CN"/>
        </w:rPr>
        <w:t>2025年度桐庐县计生系列保险服务项目</w:t>
      </w:r>
    </w:p>
    <w:p w14:paraId="34E037D1">
      <w:pPr>
        <w:spacing w:line="360" w:lineRule="auto"/>
        <w:rPr>
          <w:rFonts w:hint="eastAsia" w:ascii="宋体" w:hAnsi="宋体" w:eastAsia="宋体" w:cs="宋体"/>
          <w:b/>
          <w:sz w:val="24"/>
          <w:highlight w:val="none"/>
        </w:rPr>
      </w:pPr>
      <w:r>
        <w:rPr>
          <w:rFonts w:hint="eastAsia" w:ascii="宋体" w:hAnsi="宋体" w:eastAsia="宋体" w:cs="宋体"/>
          <w:sz w:val="24"/>
          <w:highlight w:val="none"/>
        </w:rPr>
        <w:t xml:space="preserve">  </w:t>
      </w:r>
      <w:r>
        <w:rPr>
          <w:rFonts w:hint="eastAsia" w:ascii="宋体" w:hAnsi="宋体" w:eastAsia="宋体" w:cs="宋体"/>
          <w:b/>
          <w:sz w:val="24"/>
          <w:highlight w:val="none"/>
        </w:rPr>
        <w:t>预算金额：</w:t>
      </w:r>
      <w:r>
        <w:rPr>
          <w:rFonts w:hint="eastAsia" w:ascii="宋体" w:hAnsi="宋体" w:eastAsia="宋体" w:cs="宋体"/>
          <w:sz w:val="24"/>
          <w:highlight w:val="none"/>
          <w:lang w:val="en-US" w:eastAsia="zh-CN"/>
        </w:rPr>
        <w:t>108</w:t>
      </w:r>
      <w:r>
        <w:rPr>
          <w:rFonts w:hint="eastAsia" w:ascii="宋体" w:hAnsi="宋体" w:cs="宋体"/>
          <w:sz w:val="24"/>
          <w:highlight w:val="none"/>
          <w:lang w:val="en-US" w:eastAsia="zh-CN"/>
        </w:rPr>
        <w:t>00</w:t>
      </w:r>
      <w:r>
        <w:rPr>
          <w:rFonts w:hint="eastAsia" w:ascii="宋体" w:hAnsi="宋体" w:eastAsia="宋体" w:cs="宋体"/>
          <w:sz w:val="24"/>
          <w:highlight w:val="none"/>
          <w:lang w:val="en-US" w:eastAsia="zh-CN"/>
        </w:rPr>
        <w:t>00</w:t>
      </w:r>
      <w:r>
        <w:rPr>
          <w:rFonts w:hint="eastAsia" w:ascii="宋体" w:hAnsi="宋体" w:eastAsia="宋体" w:cs="宋体"/>
          <w:sz w:val="24"/>
          <w:highlight w:val="none"/>
          <w:lang w:eastAsia="zh-CN"/>
        </w:rPr>
        <w:t>元</w:t>
      </w:r>
      <w:r>
        <w:rPr>
          <w:rFonts w:hint="eastAsia" w:ascii="宋体" w:hAnsi="宋体" w:eastAsia="宋体" w:cs="宋体"/>
          <w:sz w:val="24"/>
          <w:highlight w:val="none"/>
          <w:lang w:val="en-US" w:eastAsia="zh-CN"/>
        </w:rPr>
        <w:t>/年</w:t>
      </w:r>
    </w:p>
    <w:p w14:paraId="4913DEE9">
      <w:pPr>
        <w:spacing w:line="360" w:lineRule="auto"/>
        <w:ind w:firstLine="241" w:firstLineChars="100"/>
        <w:rPr>
          <w:rFonts w:hint="eastAsia" w:ascii="宋体" w:hAnsi="宋体" w:eastAsia="宋体" w:cs="宋体"/>
          <w:b/>
          <w:sz w:val="24"/>
          <w:highlight w:val="none"/>
        </w:rPr>
      </w:pPr>
      <w:r>
        <w:rPr>
          <w:rFonts w:hint="eastAsia" w:ascii="宋体" w:hAnsi="宋体" w:eastAsia="宋体" w:cs="宋体"/>
          <w:b/>
          <w:sz w:val="24"/>
          <w:highlight w:val="none"/>
        </w:rPr>
        <w:t>最高限价：</w:t>
      </w:r>
      <w:r>
        <w:rPr>
          <w:rFonts w:hint="eastAsia" w:ascii="宋体" w:hAnsi="宋体" w:eastAsia="宋体" w:cs="宋体"/>
          <w:sz w:val="24"/>
          <w:highlight w:val="none"/>
          <w:lang w:val="en-US" w:eastAsia="zh-CN"/>
        </w:rPr>
        <w:t>108</w:t>
      </w:r>
      <w:r>
        <w:rPr>
          <w:rFonts w:hint="eastAsia" w:ascii="宋体" w:hAnsi="宋体" w:cs="宋体"/>
          <w:sz w:val="24"/>
          <w:highlight w:val="none"/>
          <w:lang w:val="en-US" w:eastAsia="zh-CN"/>
        </w:rPr>
        <w:t>00</w:t>
      </w:r>
      <w:r>
        <w:rPr>
          <w:rFonts w:hint="eastAsia" w:ascii="宋体" w:hAnsi="宋体" w:eastAsia="宋体" w:cs="宋体"/>
          <w:sz w:val="24"/>
          <w:highlight w:val="none"/>
          <w:lang w:val="en-US" w:eastAsia="zh-CN"/>
        </w:rPr>
        <w:t>00</w:t>
      </w:r>
      <w:r>
        <w:rPr>
          <w:rFonts w:hint="eastAsia" w:ascii="宋体" w:hAnsi="宋体" w:eastAsia="宋体" w:cs="宋体"/>
          <w:sz w:val="24"/>
          <w:highlight w:val="none"/>
          <w:lang w:eastAsia="zh-CN"/>
        </w:rPr>
        <w:t>元</w:t>
      </w:r>
      <w:r>
        <w:rPr>
          <w:rFonts w:hint="eastAsia" w:ascii="宋体" w:hAnsi="宋体" w:eastAsia="宋体" w:cs="宋体"/>
          <w:sz w:val="24"/>
          <w:highlight w:val="none"/>
          <w:lang w:val="en-US" w:eastAsia="zh-CN"/>
        </w:rPr>
        <w:t>/年</w:t>
      </w:r>
    </w:p>
    <w:p w14:paraId="3DE58E75">
      <w:pPr>
        <w:spacing w:line="360" w:lineRule="auto"/>
        <w:ind w:left="1444" w:leftChars="114" w:hanging="1205" w:hangingChars="500"/>
        <w:rPr>
          <w:rFonts w:hint="eastAsia" w:ascii="宋体" w:hAnsi="宋体" w:eastAsia="宋体" w:cs="宋体"/>
          <w:sz w:val="24"/>
          <w:highlight w:val="none"/>
        </w:rPr>
      </w:pPr>
      <w:r>
        <w:rPr>
          <w:rFonts w:hint="eastAsia" w:ascii="宋体" w:hAnsi="宋体" w:eastAsia="宋体" w:cs="宋体"/>
          <w:b/>
          <w:sz w:val="24"/>
          <w:highlight w:val="none"/>
        </w:rPr>
        <w:t>采购需求：</w:t>
      </w:r>
      <w:r>
        <w:rPr>
          <w:rFonts w:hint="eastAsia" w:ascii="宋体" w:hAnsi="宋体" w:eastAsia="宋体" w:cs="宋体"/>
          <w:b w:val="0"/>
          <w:bCs/>
          <w:sz w:val="24"/>
          <w:highlight w:val="none"/>
        </w:rPr>
        <w:t>为全县18周岁以下独生子女家庭、计生特殊家庭提供保险服务,详见招标文件第三部分采购需求。</w:t>
      </w:r>
      <w:r>
        <w:rPr>
          <w:rFonts w:hint="eastAsia" w:ascii="宋体" w:hAnsi="宋体" w:eastAsia="宋体" w:cs="宋体"/>
          <w:sz w:val="24"/>
          <w:highlight w:val="none"/>
        </w:rPr>
        <w:t xml:space="preserve"> </w:t>
      </w:r>
    </w:p>
    <w:tbl>
      <w:tblPr>
        <w:tblStyle w:val="63"/>
        <w:tblW w:w="914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04"/>
        <w:gridCol w:w="1428"/>
        <w:gridCol w:w="1740"/>
        <w:gridCol w:w="1968"/>
      </w:tblGrid>
      <w:tr w14:paraId="67DB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04" w:type="dxa"/>
            <w:vAlign w:val="center"/>
          </w:tcPr>
          <w:p w14:paraId="48AF401C">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序号</w:t>
            </w:r>
          </w:p>
        </w:tc>
        <w:tc>
          <w:tcPr>
            <w:tcW w:w="3204" w:type="dxa"/>
            <w:vAlign w:val="center"/>
          </w:tcPr>
          <w:p w14:paraId="26D8690C">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险种</w:t>
            </w:r>
          </w:p>
        </w:tc>
        <w:tc>
          <w:tcPr>
            <w:tcW w:w="1428" w:type="dxa"/>
            <w:shd w:val="clear" w:color="auto" w:fill="auto"/>
            <w:vAlign w:val="center"/>
          </w:tcPr>
          <w:p w14:paraId="0D0AA340">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预计数量</w:t>
            </w:r>
          </w:p>
        </w:tc>
        <w:tc>
          <w:tcPr>
            <w:tcW w:w="1740" w:type="dxa"/>
            <w:shd w:val="clear" w:color="auto" w:fill="auto"/>
            <w:vAlign w:val="center"/>
          </w:tcPr>
          <w:p w14:paraId="16C0DFF1">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单价最高限价</w:t>
            </w:r>
          </w:p>
          <w:p w14:paraId="6513791E">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（元/年）</w:t>
            </w:r>
          </w:p>
        </w:tc>
        <w:tc>
          <w:tcPr>
            <w:tcW w:w="1968" w:type="dxa"/>
            <w:shd w:val="clear" w:color="auto" w:fill="auto"/>
            <w:vAlign w:val="center"/>
          </w:tcPr>
          <w:p w14:paraId="5550EB06">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总价最高限价（元/年）</w:t>
            </w:r>
          </w:p>
        </w:tc>
      </w:tr>
      <w:tr w14:paraId="3DEF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04" w:type="dxa"/>
            <w:vAlign w:val="center"/>
          </w:tcPr>
          <w:p w14:paraId="2FCB285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1</w:t>
            </w:r>
          </w:p>
        </w:tc>
        <w:tc>
          <w:tcPr>
            <w:tcW w:w="3204" w:type="dxa"/>
            <w:vAlign w:val="center"/>
          </w:tcPr>
          <w:p w14:paraId="2525469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独生子女家庭意外伤害保险</w:t>
            </w:r>
          </w:p>
        </w:tc>
        <w:tc>
          <w:tcPr>
            <w:tcW w:w="1428" w:type="dxa"/>
            <w:shd w:val="clear" w:color="auto" w:fill="auto"/>
            <w:vAlign w:val="center"/>
          </w:tcPr>
          <w:p w14:paraId="424E34E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9</w:t>
            </w:r>
            <w:r>
              <w:rPr>
                <w:rFonts w:hint="eastAsia" w:ascii="宋体" w:hAnsi="宋体" w:cs="宋体"/>
                <w:snapToGrid/>
                <w:kern w:val="0"/>
                <w:sz w:val="24"/>
                <w:szCs w:val="24"/>
                <w:highlight w:val="none"/>
                <w:lang w:val="en-US" w:eastAsia="zh-CN" w:bidi="ar-SA"/>
              </w:rPr>
              <w:t>300</w:t>
            </w:r>
            <w:r>
              <w:rPr>
                <w:rFonts w:hint="eastAsia" w:ascii="宋体" w:hAnsi="宋体" w:eastAsia="宋体" w:cs="宋体"/>
                <w:snapToGrid/>
                <w:kern w:val="0"/>
                <w:sz w:val="24"/>
                <w:szCs w:val="24"/>
                <w:highlight w:val="none"/>
                <w:lang w:val="en-US" w:eastAsia="zh-CN" w:bidi="ar-SA"/>
              </w:rPr>
              <w:t>户</w:t>
            </w:r>
          </w:p>
        </w:tc>
        <w:tc>
          <w:tcPr>
            <w:tcW w:w="1740" w:type="dxa"/>
            <w:vAlign w:val="center"/>
          </w:tcPr>
          <w:p w14:paraId="167CBF64">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70</w:t>
            </w:r>
          </w:p>
        </w:tc>
        <w:tc>
          <w:tcPr>
            <w:tcW w:w="1968" w:type="dxa"/>
            <w:vAlign w:val="center"/>
          </w:tcPr>
          <w:p w14:paraId="4010CC8D">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snapToGrid/>
                <w:kern w:val="0"/>
                <w:sz w:val="24"/>
                <w:szCs w:val="24"/>
                <w:highlight w:val="none"/>
                <w:lang w:val="en-US" w:eastAsia="zh-CN" w:bidi="ar-SA"/>
              </w:rPr>
            </w:pPr>
            <w:r>
              <w:rPr>
                <w:rFonts w:hint="eastAsia" w:ascii="宋体" w:hAnsi="宋体" w:cs="宋体"/>
                <w:snapToGrid/>
                <w:kern w:val="0"/>
                <w:sz w:val="24"/>
                <w:szCs w:val="24"/>
                <w:highlight w:val="none"/>
                <w:lang w:val="en-US" w:eastAsia="zh-CN" w:bidi="ar-SA"/>
              </w:rPr>
              <w:t>651000</w:t>
            </w:r>
          </w:p>
        </w:tc>
      </w:tr>
      <w:tr w14:paraId="194E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04" w:type="dxa"/>
            <w:vAlign w:val="center"/>
          </w:tcPr>
          <w:p w14:paraId="29FEF46E">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2</w:t>
            </w:r>
          </w:p>
        </w:tc>
        <w:tc>
          <w:tcPr>
            <w:tcW w:w="3204" w:type="dxa"/>
            <w:vAlign w:val="center"/>
          </w:tcPr>
          <w:p w14:paraId="758503D5">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计生特殊家庭保险</w:t>
            </w:r>
          </w:p>
        </w:tc>
        <w:tc>
          <w:tcPr>
            <w:tcW w:w="1428" w:type="dxa"/>
            <w:shd w:val="clear" w:color="auto" w:fill="auto"/>
            <w:vAlign w:val="center"/>
          </w:tcPr>
          <w:p w14:paraId="3A5FF452">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1</w:t>
            </w:r>
            <w:r>
              <w:rPr>
                <w:rFonts w:hint="eastAsia" w:ascii="宋体" w:hAnsi="宋体" w:cs="宋体"/>
                <w:snapToGrid/>
                <w:kern w:val="0"/>
                <w:sz w:val="24"/>
                <w:szCs w:val="24"/>
                <w:highlight w:val="none"/>
                <w:lang w:val="en-US" w:eastAsia="zh-CN" w:bidi="ar-SA"/>
              </w:rPr>
              <w:t>100</w:t>
            </w:r>
            <w:r>
              <w:rPr>
                <w:rFonts w:hint="eastAsia" w:ascii="宋体" w:hAnsi="宋体" w:eastAsia="宋体" w:cs="宋体"/>
                <w:snapToGrid/>
                <w:kern w:val="0"/>
                <w:sz w:val="24"/>
                <w:szCs w:val="24"/>
                <w:highlight w:val="none"/>
                <w:lang w:val="en-US" w:eastAsia="zh-CN" w:bidi="ar-SA"/>
              </w:rPr>
              <w:t>人</w:t>
            </w:r>
          </w:p>
        </w:tc>
        <w:tc>
          <w:tcPr>
            <w:tcW w:w="1740" w:type="dxa"/>
            <w:vAlign w:val="center"/>
          </w:tcPr>
          <w:p w14:paraId="58F98E3B">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390</w:t>
            </w:r>
          </w:p>
        </w:tc>
        <w:tc>
          <w:tcPr>
            <w:tcW w:w="1968" w:type="dxa"/>
            <w:vAlign w:val="center"/>
          </w:tcPr>
          <w:p w14:paraId="002CAB2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snapToGrid/>
                <w:kern w:val="0"/>
                <w:sz w:val="24"/>
                <w:szCs w:val="24"/>
                <w:highlight w:val="none"/>
                <w:lang w:val="en-US" w:eastAsia="zh-CN" w:bidi="ar-SA"/>
              </w:rPr>
            </w:pPr>
            <w:r>
              <w:rPr>
                <w:rFonts w:hint="eastAsia" w:ascii="宋体" w:hAnsi="宋体" w:cs="宋体"/>
                <w:snapToGrid/>
                <w:kern w:val="0"/>
                <w:sz w:val="24"/>
                <w:szCs w:val="24"/>
                <w:highlight w:val="none"/>
                <w:lang w:val="en-US" w:eastAsia="zh-CN" w:bidi="ar-SA"/>
              </w:rPr>
              <w:t>429000</w:t>
            </w:r>
          </w:p>
        </w:tc>
      </w:tr>
      <w:tr w14:paraId="63B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76" w:type="dxa"/>
            <w:gridSpan w:val="4"/>
            <w:vAlign w:val="center"/>
          </w:tcPr>
          <w:p w14:paraId="6A6F0D8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最高限价（元）</w:t>
            </w:r>
          </w:p>
        </w:tc>
        <w:tc>
          <w:tcPr>
            <w:tcW w:w="1968" w:type="dxa"/>
            <w:vAlign w:val="center"/>
          </w:tcPr>
          <w:p w14:paraId="0CE4B3BE">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108</w:t>
            </w:r>
            <w:r>
              <w:rPr>
                <w:rFonts w:hint="eastAsia" w:ascii="宋体" w:hAnsi="宋体" w:cs="宋体"/>
                <w:snapToGrid/>
                <w:kern w:val="0"/>
                <w:sz w:val="24"/>
                <w:szCs w:val="24"/>
                <w:highlight w:val="none"/>
                <w:lang w:val="en-US" w:eastAsia="zh-CN" w:bidi="ar-SA"/>
              </w:rPr>
              <w:t>0000</w:t>
            </w:r>
          </w:p>
        </w:tc>
      </w:tr>
    </w:tbl>
    <w:p w14:paraId="48ACEBD0">
      <w:pPr>
        <w:pStyle w:val="2"/>
        <w:spacing w:before="0" w:after="0" w:line="240" w:lineRule="auto"/>
        <w:ind w:left="0" w:leftChars="0" w:firstLine="0" w:firstLineChars="0"/>
        <w:rPr>
          <w:rFonts w:hint="eastAsia"/>
          <w:highlight w:val="none"/>
        </w:rPr>
      </w:pPr>
    </w:p>
    <w:p w14:paraId="0C940445">
      <w:pPr>
        <w:keepNext w:val="0"/>
        <w:keepLines w:val="0"/>
        <w:pageBreakBefore w:val="0"/>
        <w:widowControl w:val="0"/>
        <w:kinsoku/>
        <w:wordWrap/>
        <w:overflowPunct/>
        <w:topLinePunct w:val="0"/>
        <w:autoSpaceDE/>
        <w:autoSpaceDN/>
        <w:bidi w:val="0"/>
        <w:adjustRightInd w:val="0"/>
        <w:snapToGrid w:val="0"/>
        <w:spacing w:line="360" w:lineRule="auto"/>
        <w:ind w:left="1449" w:leftChars="116" w:hanging="1205" w:hangingChars="500"/>
        <w:textAlignment w:val="auto"/>
        <w:rPr>
          <w:rFonts w:hint="eastAsia" w:ascii="宋体" w:hAnsi="宋体" w:eastAsia="宋体" w:cs="宋体"/>
          <w:b/>
          <w:sz w:val="24"/>
          <w:lang w:eastAsia="zh-CN"/>
        </w:rPr>
      </w:pPr>
      <w:r>
        <w:rPr>
          <w:rFonts w:hint="eastAsia" w:ascii="宋体" w:hAnsi="宋体" w:eastAsia="宋体" w:cs="宋体"/>
          <w:b/>
          <w:sz w:val="24"/>
          <w:highlight w:val="none"/>
        </w:rPr>
        <w:t>合同期限：</w:t>
      </w:r>
      <w:r>
        <w:rPr>
          <w:rFonts w:hint="eastAsia" w:ascii="宋体" w:hAnsi="宋体" w:eastAsia="宋体" w:cs="宋体"/>
          <w:b/>
          <w:bCs w:val="0"/>
          <w:sz w:val="24"/>
          <w:highlight w:val="none"/>
          <w:lang w:val="en-US" w:eastAsia="zh-CN"/>
        </w:rPr>
        <w:t>两</w:t>
      </w:r>
      <w:r>
        <w:rPr>
          <w:rFonts w:hint="eastAsia" w:ascii="宋体" w:hAnsi="宋体" w:eastAsia="宋体" w:cs="宋体"/>
          <w:b/>
          <w:bCs w:val="0"/>
          <w:sz w:val="24"/>
          <w:highlight w:val="none"/>
          <w:lang w:eastAsia="zh-CN"/>
        </w:rPr>
        <w:t>年</w:t>
      </w:r>
      <w:r>
        <w:rPr>
          <w:rFonts w:hint="eastAsia" w:ascii="宋体" w:hAnsi="宋体" w:cs="宋体"/>
          <w:b/>
          <w:bCs w:val="0"/>
          <w:sz w:val="24"/>
          <w:highlight w:val="none"/>
          <w:lang w:eastAsia="zh-CN"/>
        </w:rPr>
        <w:t>（</w:t>
      </w:r>
      <w:r>
        <w:rPr>
          <w:rFonts w:hint="eastAsia" w:ascii="宋体" w:hAnsi="宋体" w:cs="宋体"/>
          <w:b/>
          <w:bCs w:val="0"/>
          <w:sz w:val="24"/>
          <w:highlight w:val="none"/>
          <w:lang w:val="en-US" w:eastAsia="zh-CN"/>
        </w:rPr>
        <w:t>每年一签</w:t>
      </w:r>
      <w:r>
        <w:rPr>
          <w:rFonts w:hint="eastAsia" w:ascii="宋体" w:hAnsi="宋体" w:cs="宋体"/>
          <w:b/>
          <w:bCs w:val="0"/>
          <w:sz w:val="24"/>
          <w:highlight w:val="none"/>
          <w:lang w:eastAsia="zh-CN"/>
        </w:rPr>
        <w:t>）。</w:t>
      </w:r>
      <w:r>
        <w:rPr>
          <w:rFonts w:hint="eastAsia" w:ascii="宋体" w:hAnsi="宋体" w:eastAsia="宋体" w:cs="宋体"/>
          <w:b w:val="0"/>
          <w:bCs/>
          <w:sz w:val="24"/>
          <w:highlight w:val="none"/>
        </w:rPr>
        <w:t>本项目作为民生事项服务</w:t>
      </w:r>
      <w:r>
        <w:rPr>
          <w:rFonts w:hint="eastAsia" w:ascii="宋体" w:hAnsi="宋体" w:eastAsia="宋体" w:cs="宋体"/>
          <w:b w:val="0"/>
          <w:bCs/>
          <w:sz w:val="24"/>
        </w:rPr>
        <w:t>项目</w:t>
      </w:r>
      <w:r>
        <w:rPr>
          <w:rFonts w:hint="eastAsia" w:ascii="宋体" w:hAnsi="宋体" w:cs="宋体"/>
          <w:b w:val="0"/>
          <w:bCs/>
          <w:sz w:val="24"/>
          <w:lang w:eastAsia="zh-CN"/>
        </w:rPr>
        <w:t>，</w:t>
      </w:r>
      <w:r>
        <w:rPr>
          <w:rFonts w:hint="eastAsia" w:ascii="宋体" w:hAnsi="宋体" w:eastAsia="宋体" w:cs="宋体"/>
          <w:b w:val="0"/>
          <w:bCs/>
          <w:sz w:val="24"/>
        </w:rPr>
        <w:t>具有长期性特征。鉴于其服务属性及市场实际情况，价格变化幅度较小，在</w:t>
      </w:r>
      <w:r>
        <w:rPr>
          <w:rFonts w:hint="eastAsia" w:ascii="宋体" w:hAnsi="宋体" w:cs="宋体"/>
          <w:b w:val="0"/>
          <w:bCs/>
          <w:sz w:val="24"/>
          <w:lang w:val="en-US" w:eastAsia="zh-CN"/>
        </w:rPr>
        <w:t>第一年</w:t>
      </w:r>
      <w:r>
        <w:rPr>
          <w:rFonts w:hint="eastAsia" w:ascii="宋体" w:hAnsi="宋体" w:eastAsia="宋体" w:cs="宋体"/>
          <w:b w:val="0"/>
          <w:bCs/>
          <w:sz w:val="24"/>
        </w:rPr>
        <w:t>合同有效期终止前三个月，采购人将根据</w:t>
      </w:r>
      <w:r>
        <w:rPr>
          <w:rFonts w:hint="eastAsia" w:ascii="宋体" w:hAnsi="宋体" w:eastAsia="宋体" w:cs="宋体"/>
          <w:b w:val="0"/>
          <w:bCs/>
          <w:sz w:val="24"/>
          <w:lang w:val="en-US" w:eastAsia="zh-CN"/>
        </w:rPr>
        <w:t>中标</w:t>
      </w:r>
      <w:r>
        <w:rPr>
          <w:rFonts w:hint="eastAsia" w:ascii="宋体" w:hAnsi="宋体" w:cs="宋体"/>
          <w:b w:val="0"/>
          <w:bCs/>
          <w:sz w:val="24"/>
          <w:lang w:val="en-US" w:eastAsia="zh-CN"/>
        </w:rPr>
        <w:t>单位</w:t>
      </w:r>
      <w:r>
        <w:rPr>
          <w:rFonts w:hint="eastAsia" w:ascii="宋体" w:hAnsi="宋体" w:eastAsia="宋体" w:cs="宋体"/>
          <w:b w:val="0"/>
          <w:bCs/>
          <w:sz w:val="24"/>
        </w:rPr>
        <w:t>的年度总结报告，进行最终考核，考核结果优秀的，在年度预算保障的前提下，合同</w:t>
      </w:r>
      <w:r>
        <w:rPr>
          <w:rFonts w:hint="eastAsia" w:ascii="宋体" w:hAnsi="宋体" w:cs="宋体"/>
          <w:b w:val="0"/>
          <w:bCs/>
          <w:sz w:val="24"/>
          <w:lang w:val="en-US" w:eastAsia="zh-CN"/>
        </w:rPr>
        <w:t>续签一年</w:t>
      </w:r>
      <w:r>
        <w:rPr>
          <w:rFonts w:hint="eastAsia" w:ascii="宋体" w:hAnsi="宋体" w:eastAsia="宋体" w:cs="宋体"/>
          <w:b w:val="0"/>
          <w:bCs/>
          <w:sz w:val="24"/>
        </w:rPr>
        <w:t>。（备注：参照《浙江省财政厅关于进一步规范政府购买服务采购管理的通知》浙财采监[2021]2号文件执行）</w:t>
      </w:r>
    </w:p>
    <w:p w14:paraId="03F86517">
      <w:pPr>
        <w:spacing w:line="360" w:lineRule="auto"/>
        <w:ind w:firstLine="241" w:firstLineChars="100"/>
        <w:rPr>
          <w:rFonts w:hint="eastAsia" w:ascii="宋体" w:hAnsi="宋体" w:eastAsia="宋体" w:cs="宋体"/>
          <w:b/>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b/>
          <w:color w:val="auto"/>
          <w:sz w:val="24"/>
        </w:rPr>
        <w:t>是，</w:t>
      </w:r>
      <w:sdt>
        <w:sdtPr>
          <w:rPr>
            <w:rFonts w:hint="eastAsia" w:ascii="宋体" w:hAnsi="宋体" w:eastAsia="宋体" w:cs="宋体"/>
            <w:color w:val="auto"/>
            <w:kern w:val="0"/>
            <w:sz w:val="24"/>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ascii="宋体" w:hAnsi="宋体" w:eastAsia="宋体" w:cs="宋体"/>
          <w:b/>
          <w:color w:val="auto"/>
          <w:sz w:val="24"/>
        </w:rPr>
        <w:t>否</w:t>
      </w:r>
      <w:r>
        <w:rPr>
          <w:rFonts w:hint="eastAsia" w:ascii="宋体" w:hAnsi="宋体" w:eastAsia="宋体" w:cs="宋体"/>
          <w:color w:val="auto"/>
          <w:kern w:val="0"/>
          <w:sz w:val="24"/>
        </w:rPr>
        <w:t>。</w:t>
      </w:r>
    </w:p>
    <w:p w14:paraId="26C70FF1">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sz w:val="24"/>
        </w:rPr>
      </w:pPr>
      <w:r>
        <w:rPr>
          <w:rFonts w:hint="eastAsia" w:ascii="宋体" w:hAnsi="宋体" w:eastAsia="宋体" w:cs="宋体"/>
          <w:b/>
          <w:sz w:val="24"/>
        </w:rPr>
        <w:t>二、申请人的资格要求：</w:t>
      </w:r>
    </w:p>
    <w:p w14:paraId="7FE48698">
      <w:pPr>
        <w:spacing w:line="360" w:lineRule="auto"/>
        <w:ind w:firstLine="48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rPr>
        <w:t>1. 满足《中华人民共和国政府采购法》第二十二条规定；未被“信用中国”（www.creditchina.gov.cn)、中国政府采购网（www.ccgp.gov.cn）列入失信被执行人、重大</w:t>
      </w:r>
      <w:r>
        <w:rPr>
          <w:rFonts w:hint="eastAsia" w:ascii="宋体" w:hAnsi="宋体" w:eastAsia="宋体" w:cs="宋体"/>
          <w:snapToGrid w:val="0"/>
          <w:kern w:val="28"/>
          <w:sz w:val="24"/>
          <w:szCs w:val="20"/>
          <w:highlight w:val="none"/>
        </w:rPr>
        <w:t>税收违法案件当事人名单、政府采购严重违法失信行为记录名单；</w:t>
      </w:r>
    </w:p>
    <w:p w14:paraId="65FDA92F">
      <w:pPr>
        <w:spacing w:line="360" w:lineRule="auto"/>
        <w:ind w:firstLine="482" w:firstLineChars="200"/>
        <w:rPr>
          <w:rFonts w:hint="eastAsia" w:ascii="宋体" w:hAnsi="宋体" w:eastAsia="宋体" w:cs="宋体"/>
          <w:b/>
          <w:bCs/>
          <w:snapToGrid w:val="0"/>
          <w:kern w:val="28"/>
          <w:sz w:val="24"/>
          <w:szCs w:val="20"/>
          <w:highlight w:val="none"/>
          <w:lang w:eastAsia="zh-CN"/>
        </w:rPr>
      </w:pPr>
      <w:r>
        <w:rPr>
          <w:rFonts w:hint="eastAsia" w:ascii="宋体" w:hAnsi="宋体" w:eastAsia="宋体" w:cs="宋体"/>
          <w:b/>
          <w:bCs/>
          <w:snapToGrid w:val="0"/>
          <w:kern w:val="28"/>
          <w:sz w:val="24"/>
          <w:szCs w:val="20"/>
          <w:highlight w:val="none"/>
        </w:rPr>
        <w:t>2.落实政府采购政策需满足的资格要求：</w:t>
      </w:r>
      <w:r>
        <w:rPr>
          <w:rFonts w:hint="eastAsia" w:ascii="宋体" w:hAnsi="宋体" w:eastAsia="宋体" w:cs="宋体"/>
          <w:b/>
          <w:bCs/>
          <w:snapToGrid w:val="0"/>
          <w:kern w:val="28"/>
          <w:sz w:val="24"/>
          <w:szCs w:val="20"/>
          <w:highlight w:val="none"/>
          <w:lang w:eastAsia="zh-CN"/>
        </w:rPr>
        <w:t>无</w:t>
      </w:r>
    </w:p>
    <w:p w14:paraId="1082CF8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27B9F5">
      <w:pPr>
        <w:snapToGrid w:val="0"/>
        <w:spacing w:line="360" w:lineRule="auto"/>
        <w:ind w:firstLine="480" w:firstLineChars="200"/>
        <w:rPr>
          <w:rFonts w:hint="eastAsia" w:ascii="宋体" w:hAnsi="宋体" w:eastAsia="宋体" w:cs="宋体"/>
          <w:b/>
          <w:bCs/>
          <w:color w:val="FF0000"/>
          <w:sz w:val="24"/>
        </w:rPr>
      </w:pPr>
      <w:r>
        <w:rPr>
          <w:rFonts w:hint="eastAsia" w:ascii="宋体" w:hAnsi="宋体" w:eastAsia="宋体" w:cs="宋体"/>
          <w:sz w:val="24"/>
        </w:rPr>
        <w:t>4</w:t>
      </w:r>
      <w:r>
        <w:rPr>
          <w:rFonts w:hint="eastAsia" w:ascii="宋体" w:hAnsi="宋体" w:eastAsia="宋体" w:cs="宋体"/>
          <w:sz w:val="24"/>
          <w:lang w:val="zh-CN"/>
        </w:rPr>
        <w:t>.</w:t>
      </w:r>
      <w:r>
        <w:rPr>
          <w:rFonts w:hint="eastAsia" w:ascii="宋体" w:hAnsi="宋体" w:eastAsia="宋体" w:cs="宋体"/>
          <w:sz w:val="24"/>
        </w:rPr>
        <w:t>拟响应方必须是在中华人民共和国境内注册，且能提供本招标须知相适应的技术服务内容（包括供应能力、售后服务等）的供应商以及个体工商户、个人独资企业、合伙企业。总公司所设立的区域性分支机构（分公司），必须获得总公司（总机构）授权；</w:t>
      </w:r>
    </w:p>
    <w:p w14:paraId="541D24DE">
      <w:pPr>
        <w:spacing w:line="360" w:lineRule="auto"/>
        <w:ind w:firstLine="482" w:firstLineChars="200"/>
        <w:rPr>
          <w:rFonts w:hint="eastAsia" w:ascii="宋体" w:hAnsi="宋体" w:eastAsia="宋体" w:cs="宋体"/>
        </w:rPr>
      </w:pPr>
      <w:r>
        <w:rPr>
          <w:rFonts w:hint="eastAsia" w:ascii="宋体" w:hAnsi="宋体" w:eastAsia="宋体" w:cs="宋体"/>
          <w:b/>
          <w:bCs/>
          <w:color w:val="auto"/>
          <w:sz w:val="24"/>
          <w:szCs w:val="24"/>
        </w:rPr>
        <w:t>5.本项目的特定资格要求：</w:t>
      </w:r>
      <w:r>
        <w:rPr>
          <w:rFonts w:hint="eastAsia" w:ascii="宋体" w:hAnsi="宋体" w:eastAsia="宋体" w:cs="宋体"/>
          <w:b/>
          <w:bCs/>
          <w:color w:val="auto"/>
          <w:sz w:val="24"/>
          <w:szCs w:val="24"/>
          <w:highlight w:val="yellow"/>
          <w:lang w:val="en-US" w:eastAsia="zh-CN"/>
        </w:rPr>
        <w:t>1</w:t>
      </w:r>
      <w:r>
        <w:rPr>
          <w:rFonts w:hint="eastAsia" w:ascii="宋体" w:hAnsi="宋体" w:eastAsia="宋体" w:cs="宋体"/>
          <w:b/>
          <w:bCs/>
          <w:color w:val="auto"/>
          <w:sz w:val="24"/>
          <w:szCs w:val="24"/>
          <w:highlight w:val="yellow"/>
        </w:rPr>
        <w:t>、投标人必须为经国家保险监督管理机构批准在中华人民共和国境内设立和营业的，并具有《保险公司法人许可证》或《经营保险业务许可证》</w:t>
      </w:r>
      <w:r>
        <w:rPr>
          <w:rFonts w:hint="eastAsia" w:ascii="宋体" w:hAnsi="宋体" w:eastAsia="宋体" w:cs="宋体"/>
          <w:b/>
          <w:bCs/>
          <w:color w:val="auto"/>
          <w:sz w:val="24"/>
          <w:szCs w:val="24"/>
          <w:highlight w:val="yellow"/>
          <w:lang w:eastAsia="zh-CN"/>
        </w:rPr>
        <w:t>；</w:t>
      </w:r>
      <w:r>
        <w:rPr>
          <w:rFonts w:hint="eastAsia" w:ascii="宋体" w:hAnsi="宋体" w:cs="宋体"/>
          <w:b/>
          <w:bCs/>
          <w:color w:val="auto"/>
          <w:sz w:val="24"/>
          <w:szCs w:val="24"/>
          <w:highlight w:val="yellow"/>
          <w:lang w:val="en-US" w:eastAsia="zh-CN"/>
        </w:rPr>
        <w:t>2、</w:t>
      </w:r>
      <w:r>
        <w:rPr>
          <w:rFonts w:hint="eastAsia" w:ascii="宋体" w:hAnsi="宋体" w:eastAsia="宋体" w:cs="宋体"/>
          <w:b/>
          <w:bCs/>
          <w:color w:val="auto"/>
          <w:sz w:val="24"/>
          <w:szCs w:val="24"/>
          <w:highlight w:val="yellow"/>
        </w:rPr>
        <w:t>无独立法人资格的分公司[保险等特定行业的全国性企业所设立的区域性分支机构]参加投标的，需提供总公司授权投标主体</w:t>
      </w:r>
      <w:r>
        <w:rPr>
          <w:rFonts w:hint="eastAsia" w:ascii="宋体" w:hAnsi="宋体" w:eastAsia="宋体" w:cs="宋体"/>
          <w:b/>
          <w:bCs/>
          <w:color w:val="auto"/>
          <w:sz w:val="24"/>
          <w:szCs w:val="24"/>
          <w:highlight w:val="yellow"/>
          <w:lang w:eastAsia="zh-CN"/>
        </w:rPr>
        <w:t>的</w:t>
      </w:r>
      <w:r>
        <w:rPr>
          <w:rFonts w:hint="eastAsia" w:ascii="宋体" w:hAnsi="宋体" w:eastAsia="宋体" w:cs="宋体"/>
          <w:b/>
          <w:bCs/>
          <w:color w:val="auto"/>
          <w:sz w:val="24"/>
          <w:szCs w:val="24"/>
          <w:highlight w:val="yellow"/>
        </w:rPr>
        <w:t>授权书并盖总公司公章</w:t>
      </w:r>
      <w:r>
        <w:rPr>
          <w:rFonts w:hint="eastAsia" w:ascii="宋体" w:hAnsi="宋体" w:eastAsia="宋体" w:cs="宋体"/>
          <w:b/>
          <w:bCs/>
          <w:color w:val="auto"/>
          <w:sz w:val="24"/>
          <w:szCs w:val="24"/>
          <w:highlight w:val="yellow"/>
          <w:lang w:eastAsia="zh-CN"/>
        </w:rPr>
        <w:t>。</w:t>
      </w:r>
    </w:p>
    <w:p w14:paraId="2DE264A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sz w:val="24"/>
        </w:rPr>
      </w:pPr>
      <w:r>
        <w:rPr>
          <w:rFonts w:hint="eastAsia" w:ascii="宋体" w:hAnsi="宋体" w:eastAsia="宋体" w:cs="宋体"/>
          <w:b/>
          <w:sz w:val="24"/>
        </w:rPr>
        <w:t>三、获取竞争性磋商文件</w:t>
      </w:r>
      <w:r>
        <w:rPr>
          <w:rFonts w:hint="eastAsia" w:ascii="宋体" w:hAnsi="宋体" w:eastAsia="宋体" w:cs="宋体"/>
          <w:b/>
          <w:sz w:val="24"/>
          <w:lang w:eastAsia="zh-CN"/>
        </w:rPr>
        <w:t>：</w:t>
      </w:r>
    </w:p>
    <w:p w14:paraId="3B4A1BA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eastAsia="宋体" w:cs="宋体"/>
          <w:sz w:val="24"/>
        </w:rPr>
        <w:t>/至</w:t>
      </w:r>
      <w:r>
        <w:rPr>
          <w:rFonts w:hint="eastAsia" w:ascii="宋体" w:hAnsi="宋体" w:cs="宋体"/>
          <w:color w:val="FF0000"/>
          <w:sz w:val="24"/>
          <w:u w:val="single"/>
          <w:lang w:eastAsia="zh-CN"/>
        </w:rPr>
        <w:t>2025年4月14日10点00分00秒</w:t>
      </w:r>
      <w:r>
        <w:rPr>
          <w:rFonts w:hint="eastAsia" w:ascii="宋体" w:hAnsi="宋体" w:eastAsia="宋体" w:cs="宋体"/>
          <w:color w:val="FF0000"/>
          <w:sz w:val="24"/>
        </w:rPr>
        <w:t>，</w:t>
      </w:r>
      <w:r>
        <w:rPr>
          <w:rFonts w:hint="eastAsia" w:ascii="宋体" w:hAnsi="宋体" w:eastAsia="宋体" w:cs="宋体"/>
          <w:sz w:val="24"/>
        </w:rPr>
        <w:t>每天上午00:00至12:00 ，下午12:00至23:59（北京时间，线上获取法定节假日均可，线下获取文件法定节假日除外）</w:t>
      </w:r>
    </w:p>
    <w:p w14:paraId="7A64116C">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1F501F1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778E580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5230BADC">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sz w:val="24"/>
        </w:rPr>
      </w:pPr>
      <w:r>
        <w:rPr>
          <w:rFonts w:hint="eastAsia" w:ascii="宋体" w:hAnsi="宋体" w:eastAsia="宋体" w:cs="宋体"/>
          <w:b/>
          <w:sz w:val="24"/>
        </w:rPr>
        <w:t>四、提交磋商响应文件截止时间、开标时间和地点</w:t>
      </w:r>
    </w:p>
    <w:p w14:paraId="17B8FC7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提交磋商响应文件截止时间：</w:t>
      </w:r>
      <w:r>
        <w:rPr>
          <w:rFonts w:hint="eastAsia" w:ascii="宋体" w:hAnsi="宋体" w:cs="宋体"/>
          <w:color w:val="FF0000"/>
          <w:sz w:val="24"/>
          <w:u w:val="single"/>
          <w:lang w:eastAsia="zh-CN"/>
        </w:rPr>
        <w:t>2025年4月14日10点00分00秒</w:t>
      </w:r>
      <w:r>
        <w:rPr>
          <w:rFonts w:hint="eastAsia" w:ascii="宋体" w:hAnsi="宋体" w:eastAsia="宋体" w:cs="宋体"/>
          <w:sz w:val="24"/>
        </w:rPr>
        <w:t>（北京时间）</w:t>
      </w:r>
    </w:p>
    <w:p w14:paraId="5D49F399">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投标地点（网址）：</w:t>
      </w:r>
      <w:r>
        <w:rPr>
          <w:rFonts w:hint="eastAsia" w:ascii="宋体" w:hAnsi="宋体" w:eastAsia="宋体" w:cs="宋体"/>
          <w:sz w:val="24"/>
        </w:rPr>
        <w:t xml:space="preserve">政采云平台（https://www.zcygov.cn/） </w:t>
      </w:r>
    </w:p>
    <w:p w14:paraId="6EBFEFCE">
      <w:pPr>
        <w:spacing w:line="360" w:lineRule="auto"/>
        <w:ind w:firstLine="482" w:firstLineChars="200"/>
        <w:rPr>
          <w:rFonts w:hint="eastAsia" w:ascii="宋体" w:hAnsi="宋体" w:eastAsia="宋体" w:cs="宋体"/>
          <w:bCs/>
          <w:sz w:val="24"/>
          <w:u w:val="single"/>
          <w:lang w:eastAsia="zh-CN"/>
        </w:rPr>
      </w:pPr>
      <w:r>
        <w:rPr>
          <w:rFonts w:hint="eastAsia" w:ascii="宋体" w:hAnsi="宋体" w:eastAsia="宋体" w:cs="宋体"/>
          <w:b/>
          <w:sz w:val="24"/>
        </w:rPr>
        <w:t>开标时间：</w:t>
      </w:r>
      <w:r>
        <w:rPr>
          <w:rFonts w:hint="eastAsia" w:ascii="宋体" w:hAnsi="宋体" w:cs="宋体"/>
          <w:color w:val="FF0000"/>
          <w:sz w:val="24"/>
          <w:u w:val="single"/>
          <w:lang w:eastAsia="zh-CN"/>
        </w:rPr>
        <w:t>2025年4月14日10点00分00秒</w:t>
      </w:r>
    </w:p>
    <w:p w14:paraId="2764CBA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开标地点（网址）：</w:t>
      </w:r>
      <w:r>
        <w:rPr>
          <w:rFonts w:hint="eastAsia" w:ascii="宋体" w:hAnsi="宋体" w:eastAsia="宋体" w:cs="宋体"/>
          <w:sz w:val="24"/>
        </w:rPr>
        <w:t>政采云平台（https://www.zcygov.cn/）</w:t>
      </w:r>
    </w:p>
    <w:p w14:paraId="0097761F">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sz w:val="24"/>
        </w:rPr>
      </w:pPr>
      <w:r>
        <w:rPr>
          <w:rFonts w:hint="eastAsia" w:ascii="宋体" w:hAnsi="宋体" w:eastAsia="宋体" w:cs="宋体"/>
          <w:b/>
          <w:sz w:val="24"/>
        </w:rPr>
        <w:t xml:space="preserve">五、公告期限 </w:t>
      </w:r>
    </w:p>
    <w:p w14:paraId="3B7B8342">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自本公告发布之日起3个工作日。</w:t>
      </w:r>
    </w:p>
    <w:p w14:paraId="18A715E0">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sz w:val="24"/>
          <w:lang w:eastAsia="zh-CN"/>
        </w:rPr>
      </w:pPr>
      <w:r>
        <w:rPr>
          <w:rFonts w:hint="eastAsia" w:ascii="宋体" w:hAnsi="宋体" w:eastAsia="宋体" w:cs="宋体"/>
          <w:b/>
          <w:sz w:val="24"/>
          <w:lang w:val="en-US" w:eastAsia="zh-CN"/>
        </w:rPr>
        <w:t>六、</w:t>
      </w:r>
      <w:r>
        <w:rPr>
          <w:rFonts w:hint="eastAsia" w:ascii="宋体" w:hAnsi="宋体" w:eastAsia="宋体" w:cs="宋体"/>
          <w:b/>
          <w:sz w:val="24"/>
          <w:lang w:eastAsia="zh-CN"/>
        </w:rPr>
        <w:t>采购意向公示</w:t>
      </w:r>
    </w:p>
    <w:p w14:paraId="32B9C751">
      <w:pPr>
        <w:spacing w:line="360" w:lineRule="auto"/>
        <w:rPr>
          <w:rFonts w:hint="eastAsia"/>
        </w:rPr>
      </w:pPr>
      <w:r>
        <w:rPr>
          <w:rFonts w:hint="eastAsia"/>
          <w:sz w:val="24"/>
          <w:szCs w:val="24"/>
          <w:lang w:eastAsia="zh-CN"/>
        </w:rPr>
        <w:t>https://zfcg.czt.zj.gov.cn/site/detail?parentId=600007&amp;articleId=kz8rFrqEihaTXathS9ZZIg%3D%3D</w:t>
      </w:r>
    </w:p>
    <w:p w14:paraId="3D004543">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sz w:val="24"/>
        </w:rPr>
      </w:pPr>
      <w:r>
        <w:rPr>
          <w:rFonts w:hint="eastAsia" w:ascii="宋体" w:hAnsi="宋体" w:cs="宋体"/>
          <w:b/>
          <w:sz w:val="24"/>
          <w:lang w:eastAsia="zh-CN"/>
        </w:rPr>
        <w:t>七</w:t>
      </w:r>
      <w:r>
        <w:rPr>
          <w:rFonts w:hint="eastAsia" w:ascii="宋体" w:hAnsi="宋体" w:eastAsia="宋体" w:cs="宋体"/>
          <w:b/>
          <w:sz w:val="24"/>
        </w:rPr>
        <w:t>、其他补充事宜</w:t>
      </w:r>
    </w:p>
    <w:p w14:paraId="2F25DE58">
      <w:pPr>
        <w:spacing w:line="360" w:lineRule="auto"/>
        <w:ind w:firstLine="480" w:firstLineChars="200"/>
        <w:rPr>
          <w:rFonts w:hint="eastAsia" w:ascii="宋体" w:hAnsi="宋体" w:eastAsia="宋体" w:cs="宋体"/>
          <w:sz w:val="24"/>
        </w:rPr>
      </w:pPr>
      <w:r>
        <w:rPr>
          <w:rFonts w:hint="eastAsia" w:ascii="宋体" w:hAnsi="宋体" w:eastAsia="宋体" w:cs="宋体"/>
          <w:sz w:val="24"/>
        </w:rPr>
        <w:t>1.供应商认为竞争性磋商文件使自己的权益受到损害的，可以自获取竞争性磋商文件之日或者竞争性磋商公告期限届满之日（公告期限届满后获取竞争性磋商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C0B8FC">
      <w:pPr>
        <w:spacing w:line="360" w:lineRule="auto"/>
        <w:ind w:firstLine="480" w:firstLineChars="200"/>
        <w:rPr>
          <w:rFonts w:hint="eastAsia" w:ascii="宋体" w:hAnsi="宋体" w:eastAsia="宋体" w:cs="宋体"/>
          <w:sz w:val="24"/>
        </w:rPr>
      </w:pPr>
      <w:r>
        <w:rPr>
          <w:rFonts w:hint="eastAsia" w:ascii="宋体" w:hAnsi="宋体" w:eastAsia="宋体" w:cs="宋体"/>
          <w:sz w:val="24"/>
        </w:rPr>
        <w:t>2.其他事项：（1）需要落实的政府采购政策：包括节约资源、保护环境、支持创新、促进中小企业发展等。详见竞争性磋商文件的第二部分总则。（2）电子招投标的说明：①电子招投标：本项目以数据电文形式，依托“政府采购云平台（www.zcygov.cn）”进行招投标活动，不接受纸质磋商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竞争性磋商文件的获取：使用账号登录或者使用CA登录政采云平台；进入“项目采购”应用，在获取采购文件菜单中选择项目，获取竞争性磋商文件；④磋商响应文件的制作：在“政采云电子交易客户端”中完成“填写基本信息”、“导入磋商响应文件”、“标书关联”、“标书检查”、“电子签名”、“生成电子标书”等操作；⑤采购人、采购机构将依托政采云平台完成本项目的电子交易活动，平台不接受未按上述方式获取竞争性磋商文件的供应商进行投标活动； ⑥对未按上述方式获取竞争性磋商文件的供应商对该文件提出的质疑，采购人或采购代理机构将不予处理；⑦不提供竞争性磋商文件纸质版；⑧磋商响应文件的传输递交：供应商在投标截止时间前将加密的磋商响应文件上传至政府采购云平台，还可以在投标截止时间前直接提交或者以邮政快递方式递交备份磋商响应文件1份。备份磋商响应文件的制作、存储、密封详见竞争性磋商文件第二部分第15点—“备份磋商响应文件”；⑨磋商响应文件的解密：供应商按照平台提示和竞争性磋商文件的规定在半小时内完成在线解密。通过“政府采购云平台”上传递交的磋商响应文件无法按时解密，投标供应商递交了备份磋商响应文件的，以备份磋商响应文件为依据，否则视为磋商响应文件撤回。通过“政府采购云平台”上传递交的磋商响应文件已按时解密的，备份磋商响应文件自动失效。供应商仅提交备份磋商响应文件，没有在电子交易平台传输递交磋商响应文件的，投标无效；⑩具体操作指南：详见政采云平台“服务中心-帮助文档-项目采购-操作流程-电子招投标-政府采购项目电子交易管理操作指南-供应商”。</w:t>
      </w:r>
    </w:p>
    <w:p w14:paraId="507473B2">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textAlignment w:val="auto"/>
        <w:rPr>
          <w:rFonts w:hint="eastAsia" w:ascii="宋体" w:hAnsi="宋体" w:eastAsia="宋体" w:cs="宋体"/>
          <w:b/>
          <w:sz w:val="24"/>
        </w:rPr>
      </w:pPr>
      <w:r>
        <w:rPr>
          <w:rFonts w:hint="eastAsia" w:ascii="宋体" w:hAnsi="宋体" w:cs="宋体"/>
          <w:b/>
          <w:sz w:val="24"/>
          <w:lang w:eastAsia="zh-CN"/>
        </w:rPr>
        <w:t>八</w:t>
      </w:r>
      <w:r>
        <w:rPr>
          <w:rFonts w:hint="eastAsia" w:ascii="宋体" w:hAnsi="宋体" w:eastAsia="宋体" w:cs="宋体"/>
          <w:b/>
          <w:sz w:val="24"/>
        </w:rPr>
        <w:t>、对本次采购提出询问、质疑、投诉，请按以下方式联系</w:t>
      </w:r>
    </w:p>
    <w:p w14:paraId="38435D0D">
      <w:pPr>
        <w:spacing w:line="360" w:lineRule="auto"/>
        <w:rPr>
          <w:rFonts w:hint="eastAsia" w:ascii="宋体" w:hAnsi="宋体" w:eastAsia="宋体" w:cs="宋体"/>
          <w:sz w:val="24"/>
        </w:rPr>
      </w:pPr>
      <w:r>
        <w:rPr>
          <w:rFonts w:hint="eastAsia" w:ascii="宋体" w:hAnsi="宋体" w:eastAsia="宋体" w:cs="宋体"/>
          <w:sz w:val="24"/>
        </w:rPr>
        <w:t xml:space="preserve">    1.采购人信息</w:t>
      </w:r>
    </w:p>
    <w:p w14:paraId="76C7456A">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rPr>
        <w:t>名    称：</w:t>
      </w:r>
      <w:r>
        <w:rPr>
          <w:rFonts w:hint="eastAsia" w:ascii="宋体" w:hAnsi="宋体" w:eastAsia="宋体" w:cs="宋体"/>
          <w:color w:val="000000"/>
          <w:sz w:val="24"/>
          <w:lang w:eastAsia="zh-CN"/>
        </w:rPr>
        <w:t>桐庐县卫生健康局</w:t>
      </w:r>
    </w:p>
    <w:p w14:paraId="63C45E81">
      <w:pPr>
        <w:spacing w:line="360" w:lineRule="auto"/>
        <w:ind w:firstLine="480"/>
        <w:rPr>
          <w:rFonts w:hint="eastAsia" w:ascii="宋体" w:hAnsi="宋体" w:eastAsia="宋体" w:cs="宋体"/>
          <w:color w:val="000000"/>
          <w:sz w:val="24"/>
          <w:lang w:eastAsia="zh-CN"/>
        </w:rPr>
      </w:pPr>
      <w:r>
        <w:rPr>
          <w:rFonts w:hint="eastAsia" w:ascii="宋体" w:hAnsi="宋体" w:eastAsia="宋体" w:cs="宋体"/>
          <w:color w:val="000000"/>
          <w:sz w:val="24"/>
        </w:rPr>
        <w:t xml:space="preserve">地    址： </w:t>
      </w:r>
      <w:r>
        <w:rPr>
          <w:rFonts w:hint="eastAsia" w:ascii="宋体" w:hAnsi="宋体" w:eastAsia="宋体" w:cs="宋体"/>
          <w:color w:val="000000"/>
          <w:sz w:val="24"/>
          <w:lang w:eastAsia="zh-CN"/>
        </w:rPr>
        <w:t>桐庐县云栖中路478号</w:t>
      </w:r>
    </w:p>
    <w:p w14:paraId="08AC9087">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color w:val="000000"/>
          <w:sz w:val="24"/>
        </w:rPr>
        <w:t>项目联系人（询问）</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许丽芬</w:t>
      </w:r>
    </w:p>
    <w:p w14:paraId="049F3F92">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项目联系方式（询问）：</w:t>
      </w:r>
      <w:r>
        <w:rPr>
          <w:rFonts w:hint="eastAsia" w:ascii="宋体" w:hAnsi="宋体" w:cs="宋体"/>
          <w:color w:val="000000"/>
          <w:sz w:val="24"/>
          <w:lang w:val="en-US" w:eastAsia="zh-CN"/>
        </w:rPr>
        <w:t xml:space="preserve"> 0571-89547112</w:t>
      </w:r>
    </w:p>
    <w:p w14:paraId="1F3E3BA9">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14:paraId="5B9A9005">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名    称：杭州全咨项目管理有限公司</w:t>
      </w:r>
    </w:p>
    <w:p w14:paraId="230D28EF">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 xml:space="preserve">地    址： 浙江省杭州市桐庐县城南街道春江路719号国贸大厦7楼           </w:t>
      </w:r>
    </w:p>
    <w:p w14:paraId="01AEEC88">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项目联系人（询问）：周苗苗         </w:t>
      </w:r>
    </w:p>
    <w:p w14:paraId="36E5D531">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项目联系方式（询问）</w:t>
      </w:r>
      <w:bookmarkStart w:id="416" w:name="_GoBack"/>
      <w:bookmarkEnd w:id="416"/>
      <w:r>
        <w:rPr>
          <w:rFonts w:hint="eastAsia" w:ascii="宋体" w:hAnsi="宋体" w:eastAsia="宋体" w:cs="宋体"/>
          <w:color w:val="000000"/>
          <w:sz w:val="24"/>
        </w:rPr>
        <w:t>： 13136568260</w:t>
      </w:r>
    </w:p>
    <w:p w14:paraId="777AA32E">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质疑联系人：</w:t>
      </w:r>
      <w:r>
        <w:rPr>
          <w:rFonts w:hint="eastAsia" w:ascii="宋体" w:hAnsi="宋体" w:cs="宋体"/>
          <w:color w:val="000000" w:themeColor="text1"/>
          <w:sz w:val="24"/>
          <w14:textFill>
            <w14:solidFill>
              <w14:schemeClr w14:val="tx1"/>
            </w14:solidFill>
          </w14:textFill>
        </w:rPr>
        <w:t>许红霞</w:t>
      </w:r>
      <w:r>
        <w:rPr>
          <w:rFonts w:hint="eastAsia" w:ascii="宋体" w:hAnsi="宋体" w:eastAsia="宋体" w:cs="宋体"/>
          <w:color w:val="000000"/>
          <w:sz w:val="24"/>
        </w:rPr>
        <w:t xml:space="preserve">          </w:t>
      </w:r>
    </w:p>
    <w:p w14:paraId="271215A0">
      <w:pPr>
        <w:spacing w:line="360" w:lineRule="auto"/>
        <w:ind w:firstLine="480" w:firstLineChars="200"/>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color w:val="000000"/>
          <w:sz w:val="24"/>
        </w:rPr>
        <w:t xml:space="preserve">质疑联系方式： </w:t>
      </w:r>
      <w:r>
        <w:rPr>
          <w:rFonts w:hint="eastAsia" w:ascii="宋体" w:hAnsi="宋体" w:cs="宋体"/>
          <w:color w:val="000000" w:themeColor="text1"/>
          <w:sz w:val="24"/>
          <w:lang w:val="en-US" w:eastAsia="zh-CN"/>
          <w14:textFill>
            <w14:solidFill>
              <w14:schemeClr w14:val="tx1"/>
            </w14:solidFill>
          </w14:textFill>
        </w:rPr>
        <w:t>15888884013</w:t>
      </w:r>
    </w:p>
    <w:p w14:paraId="36E33238">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3.同级政府采购监督管理部门</w:t>
      </w:r>
    </w:p>
    <w:p w14:paraId="57C371D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称：桐庐县财政局、浙江省政府采购行政裁决服务中心（杭州）</w:t>
      </w:r>
    </w:p>
    <w:p w14:paraId="2DB8570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址：杭州市上城区清泰街549号城建综合大楼11楼（快递仅限ems或顺丰）</w:t>
      </w:r>
    </w:p>
    <w:p w14:paraId="6ECD4A9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 系 人：朱女士、王女士</w:t>
      </w:r>
    </w:p>
    <w:p w14:paraId="6AAE6AED">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监督投诉电话：0571-87227671,0571-87800218</w:t>
      </w:r>
    </w:p>
    <w:p w14:paraId="6C093A5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61913ED0">
      <w:pPr>
        <w:spacing w:line="360" w:lineRule="auto"/>
        <w:ind w:firstLine="480" w:firstLineChars="200"/>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w:t>
      </w:r>
    </w:p>
    <w:p w14:paraId="249BA747">
      <w:pPr>
        <w:spacing w:line="360" w:lineRule="auto"/>
        <w:ind w:firstLine="480" w:firstLineChars="200"/>
        <w:rPr>
          <w:rFonts w:hint="eastAsia" w:ascii="宋体" w:hAnsi="宋体" w:eastAsia="宋体" w:cs="宋体"/>
          <w:b/>
          <w:sz w:val="36"/>
          <w:szCs w:val="20"/>
        </w:rPr>
      </w:pPr>
      <w:r>
        <w:rPr>
          <w:rFonts w:hint="eastAsia" w:ascii="宋体" w:hAnsi="宋体" w:eastAsia="宋体" w:cs="宋体"/>
          <w:sz w:val="24"/>
        </w:rPr>
        <w:t>CA问题联系电话（人工）：汇信CA 400-888-4636；天谷CA 400-087-8198。</w:t>
      </w:r>
    </w:p>
    <w:p w14:paraId="67903037">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6"/>
      <w:r>
        <w:rPr>
          <w:rFonts w:hint="eastAsia" w:ascii="宋体" w:hAnsi="宋体" w:eastAsia="宋体" w:cs="宋体"/>
          <w:b/>
          <w:sz w:val="36"/>
          <w:szCs w:val="20"/>
        </w:rPr>
        <w:t xml:space="preserve"> 磋商供应商须知</w:t>
      </w:r>
      <w:bookmarkEnd w:id="7"/>
    </w:p>
    <w:p w14:paraId="538A8419">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08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1"/>
      </w:tblGrid>
      <w:tr w14:paraId="39355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tcPr>
          <w:p w14:paraId="182AD581">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rPr>
            </w:pPr>
            <w:r>
              <w:rPr>
                <w:rFonts w:hint="eastAsia" w:ascii="宋体" w:hAnsi="宋体" w:eastAsia="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6B3020A">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rPr>
            </w:pPr>
            <w:r>
              <w:rPr>
                <w:rFonts w:hint="eastAsia" w:ascii="宋体" w:hAnsi="宋体" w:eastAsia="宋体" w:cs="宋体"/>
                <w:b/>
                <w:sz w:val="24"/>
              </w:rPr>
              <w:t>事项</w:t>
            </w:r>
          </w:p>
        </w:tc>
        <w:tc>
          <w:tcPr>
            <w:tcW w:w="6611" w:type="dxa"/>
            <w:tcBorders>
              <w:top w:val="single" w:color="000000" w:sz="8" w:space="0"/>
              <w:left w:val="single" w:color="000000" w:sz="2" w:space="0"/>
              <w:bottom w:val="single" w:color="000000" w:sz="8" w:space="0"/>
              <w:right w:val="single" w:color="000000" w:sz="8" w:space="0"/>
            </w:tcBorders>
            <w:vAlign w:val="center"/>
          </w:tcPr>
          <w:p w14:paraId="63002DF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rPr>
            </w:pPr>
            <w:r>
              <w:rPr>
                <w:rFonts w:hint="eastAsia" w:ascii="宋体" w:hAnsi="宋体" w:eastAsia="宋体" w:cs="宋体"/>
                <w:b/>
                <w:sz w:val="24"/>
              </w:rPr>
              <w:t>本项目的特别规定</w:t>
            </w:r>
          </w:p>
        </w:tc>
      </w:tr>
      <w:tr w14:paraId="42C35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47" w:hRule="atLeast"/>
        </w:trPr>
        <w:tc>
          <w:tcPr>
            <w:tcW w:w="629" w:type="dxa"/>
            <w:tcBorders>
              <w:top w:val="single" w:color="auto" w:sz="4" w:space="0"/>
              <w:left w:val="single" w:color="auto" w:sz="4" w:space="0"/>
              <w:bottom w:val="single" w:color="auto" w:sz="4" w:space="0"/>
              <w:right w:val="single" w:color="auto" w:sz="4" w:space="0"/>
            </w:tcBorders>
          </w:tcPr>
          <w:p w14:paraId="1AB341E5">
            <w:pPr>
              <w:snapToGrid w:val="0"/>
              <w:spacing w:line="360" w:lineRule="auto"/>
              <w:jc w:val="center"/>
              <w:rPr>
                <w:rFonts w:hint="eastAsia" w:ascii="宋体" w:hAnsi="宋体" w:eastAsia="宋体" w:cs="宋体"/>
                <w:sz w:val="24"/>
              </w:rPr>
            </w:pPr>
          </w:p>
          <w:p w14:paraId="4FCF0651">
            <w:pPr>
              <w:snapToGrid w:val="0"/>
              <w:spacing w:line="360" w:lineRule="auto"/>
              <w:jc w:val="center"/>
              <w:rPr>
                <w:rFonts w:hint="eastAsia" w:ascii="宋体" w:hAnsi="宋体" w:eastAsia="宋体" w:cs="宋体"/>
                <w:sz w:val="24"/>
              </w:rPr>
            </w:pPr>
          </w:p>
          <w:p w14:paraId="10C5C174">
            <w:pPr>
              <w:snapToGrid w:val="0"/>
              <w:spacing w:line="360" w:lineRule="auto"/>
              <w:jc w:val="both"/>
              <w:rPr>
                <w:rFonts w:hint="eastAsia" w:ascii="宋体" w:hAnsi="宋体" w:eastAsia="宋体" w:cs="宋体"/>
                <w:sz w:val="24"/>
              </w:rPr>
            </w:pPr>
          </w:p>
          <w:p w14:paraId="4BE0F18F">
            <w:pPr>
              <w:snapToGrid w:val="0"/>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F25DF76">
            <w:pPr>
              <w:snapToGrid w:val="0"/>
              <w:spacing w:line="360" w:lineRule="auto"/>
              <w:jc w:val="center"/>
              <w:rPr>
                <w:rFonts w:hint="eastAsia" w:ascii="宋体" w:hAnsi="宋体" w:eastAsia="宋体" w:cs="宋体"/>
                <w:b/>
                <w:sz w:val="24"/>
              </w:rPr>
            </w:pPr>
            <w:r>
              <w:rPr>
                <w:rFonts w:hint="eastAsia" w:ascii="宋体" w:hAnsi="宋体" w:eastAsia="宋体" w:cs="宋体"/>
                <w:b/>
                <w:sz w:val="24"/>
              </w:rPr>
              <w:t>报价要求</w:t>
            </w:r>
          </w:p>
        </w:tc>
        <w:tc>
          <w:tcPr>
            <w:tcW w:w="6611" w:type="dxa"/>
            <w:tcBorders>
              <w:top w:val="single" w:color="000000" w:sz="8" w:space="0"/>
              <w:left w:val="single" w:color="000000" w:sz="2" w:space="0"/>
              <w:bottom w:val="single" w:color="000000" w:sz="8" w:space="0"/>
              <w:right w:val="single" w:color="000000" w:sz="8" w:space="0"/>
            </w:tcBorders>
            <w:vAlign w:val="center"/>
          </w:tcPr>
          <w:p w14:paraId="2C3F1AE5">
            <w:pPr>
              <w:snapToGrid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有关本项目实施所需的所有费用（含税费）均计入报价。</w:t>
            </w:r>
            <w:r>
              <w:rPr>
                <w:rFonts w:hint="eastAsia" w:ascii="宋体" w:hAnsi="宋体" w:eastAsia="宋体" w:cs="宋体"/>
                <w:sz w:val="24"/>
              </w:rPr>
              <w:t>开标一览表（报价表）是报价的唯一载体</w:t>
            </w:r>
            <w:r>
              <w:rPr>
                <w:rFonts w:hint="eastAsia" w:ascii="宋体" w:hAnsi="宋体" w:eastAsia="宋体" w:cs="宋体"/>
                <w:kern w:val="0"/>
                <w:sz w:val="24"/>
                <w:lang w:val="zh-CN"/>
              </w:rPr>
              <w:t>。磋商响应文件中价格全部采用人民币报价。竞争性磋商文件未列明，而供应商认为必需的费用也需列入报价。</w:t>
            </w:r>
          </w:p>
          <w:p w14:paraId="0A234C62">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4CE0195">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30547A2">
            <w:pPr>
              <w:snapToGrid w:val="0"/>
              <w:spacing w:line="360" w:lineRule="auto"/>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E7E18A8">
            <w:pPr>
              <w:spacing w:line="360" w:lineRule="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AEBBEFA">
            <w:pPr>
              <w:spacing w:line="360" w:lineRule="auto"/>
              <w:rPr>
                <w:rFonts w:hint="eastAsia" w:ascii="宋体" w:hAnsi="宋体" w:eastAsia="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59087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4A2799F6">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z w:val="24"/>
              </w:rPr>
            </w:pPr>
            <w:r>
              <w:rPr>
                <w:rFonts w:hint="eastAsia" w:ascii="宋体" w:hAnsi="宋体" w:eastAsia="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932296">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rPr>
            </w:pPr>
            <w:r>
              <w:rPr>
                <w:rFonts w:hint="eastAsia" w:ascii="宋体" w:hAnsi="宋体" w:eastAsia="宋体" w:cs="宋体"/>
                <w:b/>
                <w:sz w:val="24"/>
              </w:rPr>
              <w:t>分包</w:t>
            </w:r>
          </w:p>
        </w:tc>
        <w:tc>
          <w:tcPr>
            <w:tcW w:w="6611" w:type="dxa"/>
            <w:tcBorders>
              <w:top w:val="single" w:color="000000" w:sz="8" w:space="0"/>
              <w:left w:val="single" w:color="000000" w:sz="2" w:space="0"/>
              <w:bottom w:val="single" w:color="000000" w:sz="8" w:space="0"/>
              <w:right w:val="single" w:color="000000" w:sz="8" w:space="0"/>
            </w:tcBorders>
            <w:vAlign w:val="center"/>
          </w:tcPr>
          <w:p w14:paraId="11F5A050">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sz w:val="24"/>
              </w:rPr>
            </w:pPr>
            <w:r>
              <w:rPr>
                <w:rFonts w:hint="eastAsia" w:ascii="宋体" w:hAnsi="宋体" w:eastAsia="宋体" w:cs="宋体"/>
                <w:sz w:val="24"/>
              </w:rPr>
              <w:t>不同意分包。</w:t>
            </w:r>
          </w:p>
        </w:tc>
      </w:tr>
      <w:tr w14:paraId="6646E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4" w:hRule="atLeast"/>
        </w:trPr>
        <w:tc>
          <w:tcPr>
            <w:tcW w:w="629" w:type="dxa"/>
            <w:vMerge w:val="restart"/>
            <w:tcBorders>
              <w:top w:val="single" w:color="auto" w:sz="4" w:space="0"/>
              <w:left w:val="single" w:color="auto" w:sz="4" w:space="0"/>
              <w:right w:val="single" w:color="auto" w:sz="4" w:space="0"/>
            </w:tcBorders>
          </w:tcPr>
          <w:p w14:paraId="0A5334C2">
            <w:pPr>
              <w:snapToGrid w:val="0"/>
              <w:spacing w:line="360" w:lineRule="auto"/>
              <w:jc w:val="center"/>
              <w:rPr>
                <w:rFonts w:hint="eastAsia" w:ascii="宋体" w:hAnsi="宋体" w:eastAsia="宋体" w:cs="宋体"/>
                <w:sz w:val="24"/>
              </w:rPr>
            </w:pPr>
          </w:p>
          <w:p w14:paraId="0D20F4D9">
            <w:pPr>
              <w:snapToGrid w:val="0"/>
              <w:spacing w:line="360" w:lineRule="auto"/>
              <w:jc w:val="center"/>
              <w:rPr>
                <w:rFonts w:hint="eastAsia" w:ascii="宋体" w:hAnsi="宋体" w:eastAsia="宋体" w:cs="宋体"/>
                <w:sz w:val="24"/>
              </w:rPr>
            </w:pPr>
          </w:p>
          <w:p w14:paraId="1F0AFA11">
            <w:pPr>
              <w:snapToGrid w:val="0"/>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843" w:type="dxa"/>
            <w:vMerge w:val="restart"/>
            <w:tcBorders>
              <w:top w:val="single" w:color="000000" w:sz="8" w:space="0"/>
              <w:left w:val="single" w:color="auto" w:sz="4" w:space="0"/>
              <w:right w:val="single" w:color="000000" w:sz="8" w:space="0"/>
            </w:tcBorders>
            <w:vAlign w:val="center"/>
          </w:tcPr>
          <w:p w14:paraId="01DEA282">
            <w:pPr>
              <w:snapToGrid w:val="0"/>
              <w:spacing w:line="360" w:lineRule="auto"/>
              <w:jc w:val="center"/>
              <w:rPr>
                <w:rFonts w:hint="eastAsia" w:ascii="宋体" w:hAnsi="宋体" w:eastAsia="宋体" w:cs="宋体"/>
                <w:b/>
                <w:sz w:val="24"/>
              </w:rPr>
            </w:pPr>
            <w:r>
              <w:rPr>
                <w:rFonts w:hint="eastAsia" w:ascii="宋体" w:hAnsi="宋体" w:eastAsia="宋体" w:cs="宋体"/>
                <w:b/>
                <w:sz w:val="24"/>
              </w:rPr>
              <w:t>供应商应当提供的投标文件</w:t>
            </w:r>
          </w:p>
        </w:tc>
        <w:tc>
          <w:tcPr>
            <w:tcW w:w="6611" w:type="dxa"/>
            <w:tcBorders>
              <w:top w:val="single" w:color="000000" w:sz="8" w:space="0"/>
              <w:left w:val="single" w:color="000000" w:sz="2" w:space="0"/>
              <w:bottom w:val="single" w:color="auto" w:sz="4" w:space="0"/>
              <w:right w:val="single" w:color="000000" w:sz="8" w:space="0"/>
            </w:tcBorders>
            <w:vAlign w:val="center"/>
          </w:tcPr>
          <w:p w14:paraId="4CEEEF05">
            <w:pPr>
              <w:spacing w:line="360" w:lineRule="auto"/>
              <w:rPr>
                <w:rFonts w:hint="eastAsia" w:ascii="宋体" w:hAnsi="宋体" w:eastAsia="宋体" w:cs="宋体"/>
                <w:sz w:val="24"/>
              </w:rPr>
            </w:pPr>
            <w:r>
              <w:rPr>
                <w:rFonts w:hint="eastAsia" w:ascii="宋体" w:hAnsi="宋体" w:eastAsia="宋体" w:cs="宋体"/>
                <w:sz w:val="24"/>
              </w:rPr>
              <w:t>（1）资格证明文件：见竞争性磋商文件第二部分11.1。</w:t>
            </w:r>
          </w:p>
          <w:p w14:paraId="136CBE6A">
            <w:pPr>
              <w:spacing w:line="360" w:lineRule="auto"/>
              <w:rPr>
                <w:rFonts w:hint="eastAsia" w:ascii="宋体" w:hAnsi="宋体" w:eastAsia="宋体" w:cs="宋体"/>
                <w:snapToGrid w:val="0"/>
                <w:kern w:val="0"/>
                <w:szCs w:val="21"/>
              </w:rPr>
            </w:pPr>
            <w:r>
              <w:rPr>
                <w:rFonts w:hint="eastAsia" w:ascii="宋体" w:hAnsi="宋体" w:eastAsia="宋体" w:cs="宋体"/>
                <w:kern w:val="0"/>
                <w:sz w:val="24"/>
                <w:lang w:val="zh-CN"/>
              </w:rPr>
              <w:t>供应商未提供有效的资格证明文件的，视为供应商不具备竞争性磋商文件中规定的资格要求，投标无效。</w:t>
            </w:r>
          </w:p>
        </w:tc>
      </w:tr>
      <w:tr w14:paraId="2280B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0" w:hRule="atLeast"/>
        </w:trPr>
        <w:tc>
          <w:tcPr>
            <w:tcW w:w="629" w:type="dxa"/>
            <w:vMerge w:val="continue"/>
            <w:tcBorders>
              <w:left w:val="single" w:color="auto" w:sz="4" w:space="0"/>
              <w:bottom w:val="single" w:color="auto" w:sz="4" w:space="0"/>
              <w:right w:val="single" w:color="auto" w:sz="4" w:space="0"/>
            </w:tcBorders>
          </w:tcPr>
          <w:p w14:paraId="27600FD5">
            <w:pPr>
              <w:snapToGrid w:val="0"/>
              <w:spacing w:line="360" w:lineRule="auto"/>
              <w:jc w:val="center"/>
              <w:rPr>
                <w:rFonts w:hint="eastAsia" w:ascii="宋体" w:hAnsi="宋体" w:eastAsia="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95513A6">
            <w:pPr>
              <w:snapToGrid w:val="0"/>
              <w:spacing w:line="360" w:lineRule="auto"/>
              <w:jc w:val="center"/>
              <w:rPr>
                <w:rFonts w:hint="eastAsia" w:ascii="宋体" w:hAnsi="宋体" w:eastAsia="宋体" w:cs="宋体"/>
                <w:b/>
                <w:sz w:val="24"/>
              </w:rPr>
            </w:pPr>
          </w:p>
        </w:tc>
        <w:tc>
          <w:tcPr>
            <w:tcW w:w="6611" w:type="dxa"/>
            <w:tcBorders>
              <w:top w:val="single" w:color="auto" w:sz="4" w:space="0"/>
              <w:left w:val="single" w:color="000000" w:sz="2" w:space="0"/>
              <w:bottom w:val="single" w:color="000000" w:sz="8" w:space="0"/>
              <w:right w:val="single" w:color="000000" w:sz="8" w:space="0"/>
            </w:tcBorders>
            <w:vAlign w:val="center"/>
          </w:tcPr>
          <w:p w14:paraId="322393A2">
            <w:pPr>
              <w:spacing w:line="360" w:lineRule="auto"/>
              <w:rPr>
                <w:rFonts w:hint="eastAsia" w:ascii="宋体" w:hAnsi="宋体" w:eastAsia="宋体" w:cs="宋体"/>
                <w:sz w:val="24"/>
              </w:rPr>
            </w:pPr>
            <w:r>
              <w:rPr>
                <w:rFonts w:hint="eastAsia" w:ascii="宋体" w:hAnsi="宋体" w:eastAsia="宋体" w:cs="宋体"/>
                <w:sz w:val="24"/>
              </w:rPr>
              <w:t>（2）商务技术文件：见竞争性磋商文件第二部分11.2。</w:t>
            </w:r>
          </w:p>
        </w:tc>
      </w:tr>
      <w:tr w14:paraId="042463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 w:hRule="atLeast"/>
        </w:trPr>
        <w:tc>
          <w:tcPr>
            <w:tcW w:w="629" w:type="dxa"/>
            <w:vMerge w:val="continue"/>
            <w:tcBorders>
              <w:left w:val="single" w:color="auto" w:sz="4" w:space="0"/>
              <w:bottom w:val="single" w:color="auto" w:sz="4" w:space="0"/>
              <w:right w:val="single" w:color="auto" w:sz="4" w:space="0"/>
            </w:tcBorders>
          </w:tcPr>
          <w:p w14:paraId="2246D1BD">
            <w:pPr>
              <w:spacing w:line="360" w:lineRule="auto"/>
              <w:jc w:val="center"/>
              <w:rPr>
                <w:rFonts w:hint="eastAsia" w:ascii="宋体" w:hAnsi="宋体" w:eastAsia="宋体" w:cs="宋体"/>
              </w:rPr>
            </w:pPr>
          </w:p>
        </w:tc>
        <w:tc>
          <w:tcPr>
            <w:tcW w:w="1843" w:type="dxa"/>
            <w:vMerge w:val="continue"/>
            <w:tcBorders>
              <w:left w:val="single" w:color="auto" w:sz="4" w:space="0"/>
              <w:bottom w:val="single" w:color="000000" w:sz="8" w:space="0"/>
              <w:right w:val="single" w:color="000000" w:sz="8" w:space="0"/>
            </w:tcBorders>
            <w:vAlign w:val="center"/>
          </w:tcPr>
          <w:p w14:paraId="523480AC">
            <w:pPr>
              <w:spacing w:line="360" w:lineRule="auto"/>
              <w:rPr>
                <w:rFonts w:hint="eastAsia" w:ascii="宋体" w:hAnsi="宋体" w:eastAsia="宋体" w:cs="宋体"/>
              </w:rPr>
            </w:pPr>
          </w:p>
        </w:tc>
        <w:tc>
          <w:tcPr>
            <w:tcW w:w="6611" w:type="dxa"/>
            <w:tcBorders>
              <w:top w:val="single" w:color="auto" w:sz="4" w:space="0"/>
              <w:left w:val="single" w:color="000000" w:sz="2" w:space="0"/>
              <w:bottom w:val="single" w:color="000000" w:sz="8" w:space="0"/>
              <w:right w:val="single" w:color="000000" w:sz="8" w:space="0"/>
            </w:tcBorders>
            <w:vAlign w:val="center"/>
          </w:tcPr>
          <w:p w14:paraId="3B82EDE0">
            <w:pPr>
              <w:spacing w:line="360" w:lineRule="auto"/>
              <w:rPr>
                <w:rFonts w:hint="eastAsia" w:ascii="宋体" w:hAnsi="宋体" w:eastAsia="宋体" w:cs="宋体"/>
                <w:sz w:val="24"/>
              </w:rPr>
            </w:pPr>
            <w:r>
              <w:rPr>
                <w:rFonts w:hint="eastAsia" w:ascii="宋体" w:hAnsi="宋体" w:eastAsia="宋体" w:cs="宋体"/>
                <w:sz w:val="24"/>
              </w:rPr>
              <w:t>（3）报价文件：见竞争性磋商文件第二部分11.3。</w:t>
            </w:r>
          </w:p>
        </w:tc>
      </w:tr>
      <w:tr w14:paraId="140C2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tcPr>
          <w:p w14:paraId="60213BE0">
            <w:pPr>
              <w:snapToGrid w:val="0"/>
              <w:spacing w:line="360" w:lineRule="auto"/>
              <w:jc w:val="center"/>
              <w:rPr>
                <w:rFonts w:hint="eastAsia" w:ascii="宋体" w:hAnsi="宋体" w:eastAsia="宋体" w:cs="宋体"/>
                <w:sz w:val="24"/>
              </w:rPr>
            </w:pPr>
          </w:p>
          <w:p w14:paraId="13E74DC5">
            <w:pPr>
              <w:snapToGrid w:val="0"/>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0AB2838">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rPr>
            </w:pPr>
            <w:r>
              <w:rPr>
                <w:rFonts w:hint="eastAsia" w:ascii="宋体" w:hAnsi="宋体" w:eastAsia="宋体" w:cs="宋体"/>
                <w:b/>
                <w:sz w:val="24"/>
              </w:rPr>
              <w:t>开标前答疑会或现场考察</w:t>
            </w:r>
          </w:p>
        </w:tc>
        <w:tc>
          <w:tcPr>
            <w:tcW w:w="6611" w:type="dxa"/>
            <w:tcBorders>
              <w:top w:val="single" w:color="000000" w:sz="8" w:space="0"/>
              <w:left w:val="single" w:color="000000" w:sz="2" w:space="0"/>
              <w:bottom w:val="single" w:color="000000" w:sz="8" w:space="0"/>
              <w:right w:val="single" w:color="000000" w:sz="8" w:space="0"/>
            </w:tcBorders>
            <w:vAlign w:val="center"/>
          </w:tcPr>
          <w:p w14:paraId="3D86FFB1">
            <w:pPr>
              <w:spacing w:line="360" w:lineRule="auto"/>
              <w:rPr>
                <w:rFonts w:hint="eastAsia" w:ascii="宋体" w:hAnsi="宋体" w:eastAsia="宋体" w:cs="宋体"/>
                <w:sz w:val="24"/>
                <w:szCs w:val="20"/>
              </w:rPr>
            </w:pPr>
            <w:r>
              <w:rPr>
                <w:rFonts w:hint="eastAsia" w:ascii="宋体" w:hAnsi="宋体" w:eastAsia="宋体" w:cs="宋体"/>
                <w:sz w:val="24"/>
              </w:rPr>
              <w:t>不组织。</w:t>
            </w:r>
          </w:p>
        </w:tc>
      </w:tr>
      <w:tr w14:paraId="372DF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8" w:hRule="atLeast"/>
        </w:trPr>
        <w:tc>
          <w:tcPr>
            <w:tcW w:w="629" w:type="dxa"/>
            <w:tcBorders>
              <w:top w:val="single" w:color="auto" w:sz="4" w:space="0"/>
              <w:left w:val="single" w:color="000000" w:sz="8" w:space="0"/>
              <w:bottom w:val="single" w:color="auto" w:sz="4" w:space="0"/>
              <w:right w:val="single" w:color="000000" w:sz="2" w:space="0"/>
            </w:tcBorders>
          </w:tcPr>
          <w:p w14:paraId="3E88677A">
            <w:pPr>
              <w:snapToGrid w:val="0"/>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2C5966A4">
            <w:pPr>
              <w:snapToGrid w:val="0"/>
              <w:spacing w:line="360" w:lineRule="auto"/>
              <w:jc w:val="center"/>
              <w:rPr>
                <w:rFonts w:hint="eastAsia" w:ascii="宋体" w:hAnsi="宋体" w:eastAsia="宋体" w:cs="宋体"/>
                <w:bCs/>
                <w:sz w:val="24"/>
              </w:rPr>
            </w:pPr>
            <w:r>
              <w:rPr>
                <w:rFonts w:hint="eastAsia" w:ascii="宋体" w:hAnsi="宋体" w:eastAsia="宋体" w:cs="宋体"/>
                <w:b/>
                <w:sz w:val="24"/>
              </w:rPr>
              <w:t>方案讲解演示</w:t>
            </w:r>
          </w:p>
        </w:tc>
        <w:tc>
          <w:tcPr>
            <w:tcW w:w="6611" w:type="dxa"/>
            <w:tcBorders>
              <w:top w:val="single" w:color="000000" w:sz="8" w:space="0"/>
              <w:left w:val="single" w:color="000000" w:sz="2" w:space="0"/>
              <w:bottom w:val="single" w:color="000000" w:sz="8" w:space="0"/>
              <w:right w:val="single" w:color="000000" w:sz="8" w:space="0"/>
            </w:tcBorders>
            <w:vAlign w:val="center"/>
          </w:tcPr>
          <w:p w14:paraId="499B5C02">
            <w:pPr>
              <w:spacing w:line="360" w:lineRule="auto"/>
              <w:rPr>
                <w:rFonts w:hint="eastAsia" w:ascii="宋体" w:hAnsi="宋体" w:eastAsia="宋体" w:cs="宋体"/>
                <w:b/>
                <w:kern w:val="0"/>
                <w:sz w:val="24"/>
                <w:lang w:val="zh-CN"/>
              </w:rPr>
            </w:pPr>
            <w:r>
              <w:rPr>
                <w:rFonts w:hint="eastAsia" w:ascii="宋体" w:hAnsi="宋体" w:eastAsia="宋体" w:cs="宋体"/>
                <w:sz w:val="24"/>
              </w:rPr>
              <w:t>不组织。</w:t>
            </w:r>
          </w:p>
        </w:tc>
      </w:tr>
      <w:tr w14:paraId="19774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tcPr>
          <w:p w14:paraId="3B12E991">
            <w:pPr>
              <w:snapToGrid w:val="0"/>
              <w:spacing w:line="360" w:lineRule="auto"/>
              <w:jc w:val="center"/>
              <w:rPr>
                <w:rFonts w:hint="eastAsia" w:ascii="宋体" w:hAnsi="宋体" w:eastAsia="宋体" w:cs="宋体"/>
                <w:sz w:val="24"/>
              </w:rPr>
            </w:pPr>
          </w:p>
          <w:p w14:paraId="35FA50DB">
            <w:pPr>
              <w:snapToGrid w:val="0"/>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36884A07">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eastAsia" w:ascii="宋体" w:hAnsi="宋体" w:eastAsia="宋体" w:cs="宋体"/>
                <w:b/>
                <w:sz w:val="24"/>
              </w:rPr>
            </w:pPr>
            <w:r>
              <w:rPr>
                <w:rFonts w:hint="eastAsia" w:ascii="宋体" w:hAnsi="宋体" w:eastAsia="宋体" w:cs="宋体"/>
                <w:b/>
                <w:sz w:val="24"/>
              </w:rPr>
              <w:t>项目属性与核心产品</w:t>
            </w:r>
          </w:p>
        </w:tc>
        <w:tc>
          <w:tcPr>
            <w:tcW w:w="6611" w:type="dxa"/>
            <w:tcBorders>
              <w:top w:val="single" w:color="000000" w:sz="8" w:space="0"/>
              <w:left w:val="single" w:color="000000" w:sz="2" w:space="0"/>
              <w:bottom w:val="single" w:color="000000" w:sz="8" w:space="0"/>
              <w:right w:val="single" w:color="000000" w:sz="8" w:space="0"/>
            </w:tcBorders>
            <w:vAlign w:val="center"/>
          </w:tcPr>
          <w:p w14:paraId="1278FE06">
            <w:pPr>
              <w:spacing w:line="360" w:lineRule="auto"/>
              <w:rPr>
                <w:rFonts w:hint="eastAsia" w:ascii="宋体" w:hAnsi="宋体" w:eastAsia="宋体" w:cs="宋体"/>
                <w:sz w:val="24"/>
              </w:rPr>
            </w:pPr>
            <w:r>
              <w:rPr>
                <w:rFonts w:hint="eastAsia" w:ascii="宋体" w:hAnsi="宋体" w:eastAsia="宋体" w:cs="宋体"/>
                <w:sz w:val="24"/>
              </w:rPr>
              <w:t>服务类。</w:t>
            </w:r>
          </w:p>
        </w:tc>
      </w:tr>
      <w:tr w14:paraId="2751D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1" w:hRule="atLeast"/>
        </w:trPr>
        <w:tc>
          <w:tcPr>
            <w:tcW w:w="629" w:type="dxa"/>
            <w:tcBorders>
              <w:top w:val="single" w:color="auto" w:sz="4" w:space="0"/>
              <w:left w:val="single" w:color="000000" w:sz="8" w:space="0"/>
              <w:bottom w:val="single" w:color="auto" w:sz="4" w:space="0"/>
              <w:right w:val="single" w:color="000000" w:sz="2" w:space="0"/>
            </w:tcBorders>
          </w:tcPr>
          <w:p w14:paraId="7DA6D538">
            <w:pPr>
              <w:snapToGrid w:val="0"/>
              <w:spacing w:line="360" w:lineRule="auto"/>
              <w:jc w:val="center"/>
              <w:rPr>
                <w:rFonts w:hint="eastAsia" w:ascii="宋体" w:hAnsi="宋体" w:eastAsia="宋体" w:cs="宋体"/>
                <w:sz w:val="24"/>
                <w:highlight w:val="none"/>
              </w:rPr>
            </w:pPr>
          </w:p>
          <w:p w14:paraId="0A807511">
            <w:pPr>
              <w:snapToGrid w:val="0"/>
              <w:spacing w:line="360" w:lineRule="auto"/>
              <w:jc w:val="center"/>
              <w:rPr>
                <w:rFonts w:hint="eastAsia" w:ascii="宋体" w:hAnsi="宋体" w:eastAsia="宋体" w:cs="宋体"/>
                <w:sz w:val="24"/>
                <w:highlight w:val="none"/>
              </w:rPr>
            </w:pPr>
          </w:p>
          <w:p w14:paraId="3DBB27A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CF6C21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611" w:type="dxa"/>
            <w:tcBorders>
              <w:top w:val="single" w:color="000000" w:sz="8" w:space="0"/>
              <w:left w:val="single" w:color="000000" w:sz="2" w:space="0"/>
              <w:bottom w:val="single" w:color="000000" w:sz="8" w:space="0"/>
              <w:right w:val="single" w:color="000000" w:sz="8" w:space="0"/>
            </w:tcBorders>
            <w:vAlign w:val="center"/>
          </w:tcPr>
          <w:p w14:paraId="25182175">
            <w:pPr>
              <w:snapToGrid w:val="0"/>
              <w:spacing w:line="360" w:lineRule="auto"/>
              <w:ind w:left="0" w:leftChars="0" w:firstLine="0" w:firstLineChars="0"/>
              <w:rPr>
                <w:rFonts w:hint="eastAsia" w:ascii="宋体" w:hAnsi="宋体" w:eastAsia="宋体" w:cs="宋体"/>
                <w:kern w:val="0"/>
                <w:sz w:val="24"/>
                <w:highlight w:val="none"/>
              </w:rPr>
            </w:pPr>
            <w:r>
              <w:rPr>
                <w:rFonts w:hint="eastAsia" w:ascii="宋体" w:hAnsi="宋体" w:eastAsia="宋体" w:cs="宋体"/>
                <w:kern w:val="0"/>
                <w:sz w:val="24"/>
                <w:highlight w:val="none"/>
              </w:rPr>
              <w:t>采购标的：</w:t>
            </w:r>
            <w:r>
              <w:rPr>
                <w:rFonts w:hint="eastAsia" w:ascii="宋体" w:hAnsi="宋体" w:eastAsia="宋体" w:cs="宋体"/>
                <w:kern w:val="0"/>
                <w:sz w:val="24"/>
                <w:highlight w:val="none"/>
                <w:u w:val="single"/>
              </w:rPr>
              <w:t xml:space="preserve"> </w:t>
            </w:r>
            <w:r>
              <w:rPr>
                <w:rFonts w:hint="eastAsia" w:ascii="宋体" w:hAnsi="宋体" w:cs="宋体"/>
                <w:kern w:val="0"/>
                <w:sz w:val="24"/>
                <w:highlight w:val="none"/>
                <w:u w:val="single"/>
                <w:lang w:eastAsia="zh-CN"/>
              </w:rPr>
              <w:t>2025年度桐庐县计生系列保险服务项目</w:t>
            </w:r>
            <w:r>
              <w:rPr>
                <w:rFonts w:hint="eastAsia" w:ascii="宋体" w:hAnsi="宋体" w:eastAsia="宋体" w:cs="宋体"/>
                <w:kern w:val="0"/>
                <w:sz w:val="24"/>
                <w:highlight w:val="none"/>
                <w:u w:val="single"/>
                <w:lang w:eastAsia="zh-CN"/>
              </w:rPr>
              <w:t></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w:t>
            </w:r>
          </w:p>
          <w:p w14:paraId="18CBB3AA">
            <w:pPr>
              <w:snapToGrid w:val="0"/>
              <w:spacing w:line="360" w:lineRule="auto"/>
              <w:ind w:left="0" w:leftChars="0" w:firstLine="0" w:firstLineChars="0"/>
              <w:rPr>
                <w:rFonts w:hint="eastAsia" w:ascii="宋体" w:hAnsi="宋体" w:eastAsia="宋体" w:cs="宋体"/>
                <w:highlight w:val="none"/>
              </w:rPr>
            </w:pPr>
            <w:r>
              <w:rPr>
                <w:rFonts w:hint="eastAsia" w:ascii="宋体" w:hAnsi="宋体" w:eastAsia="宋体" w:cs="宋体"/>
                <w:kern w:val="0"/>
                <w:sz w:val="24"/>
                <w:highlight w:val="none"/>
              </w:rPr>
              <w:t>所属行业：</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lang w:val="en-US" w:eastAsia="zh-CN"/>
              </w:rPr>
              <w:t xml:space="preserve"> </w:t>
            </w:r>
            <w:r>
              <w:rPr>
                <w:rFonts w:hint="eastAsia" w:ascii="宋体" w:hAnsi="宋体" w:eastAsia="宋体" w:cs="宋体"/>
                <w:kern w:val="0"/>
                <w:sz w:val="24"/>
                <w:highlight w:val="none"/>
                <w:u w:val="single"/>
                <w:lang w:eastAsia="zh-CN"/>
              </w:rPr>
              <w:t>保险</w:t>
            </w:r>
            <w:r>
              <w:rPr>
                <w:rFonts w:hint="eastAsia" w:ascii="宋体" w:hAnsi="宋体" w:cs="宋体"/>
                <w:kern w:val="0"/>
                <w:sz w:val="24"/>
                <w:highlight w:val="none"/>
                <w:u w:val="single"/>
                <w:lang w:eastAsia="zh-CN"/>
              </w:rPr>
              <w:t>金融</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rPr>
              <w:t>行业；</w:t>
            </w:r>
          </w:p>
        </w:tc>
      </w:tr>
      <w:tr w14:paraId="4BE49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3" w:hRule="atLeast"/>
        </w:trPr>
        <w:tc>
          <w:tcPr>
            <w:tcW w:w="629" w:type="dxa"/>
            <w:tcBorders>
              <w:top w:val="single" w:color="auto" w:sz="4" w:space="0"/>
              <w:left w:val="single" w:color="000000" w:sz="8" w:space="0"/>
              <w:bottom w:val="single" w:color="auto" w:sz="4" w:space="0"/>
              <w:right w:val="single" w:color="000000" w:sz="2" w:space="0"/>
            </w:tcBorders>
          </w:tcPr>
          <w:p w14:paraId="26751734">
            <w:pPr>
              <w:snapToGrid w:val="0"/>
              <w:spacing w:line="360" w:lineRule="auto"/>
              <w:jc w:val="center"/>
              <w:rPr>
                <w:rFonts w:hint="eastAsia" w:ascii="宋体" w:hAnsi="宋体" w:eastAsia="宋体" w:cs="宋体"/>
                <w:sz w:val="24"/>
              </w:rPr>
            </w:pPr>
          </w:p>
          <w:p w14:paraId="00C64E77">
            <w:pPr>
              <w:snapToGrid w:val="0"/>
              <w:spacing w:line="360" w:lineRule="auto"/>
              <w:jc w:val="center"/>
              <w:rPr>
                <w:rFonts w:hint="eastAsia" w:ascii="宋体" w:hAnsi="宋体" w:eastAsia="宋体" w:cs="宋体"/>
                <w:sz w:val="24"/>
              </w:rPr>
            </w:pPr>
          </w:p>
          <w:p w14:paraId="4687BF76">
            <w:pPr>
              <w:snapToGrid w:val="0"/>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D48393B">
            <w:pPr>
              <w:snapToGrid w:val="0"/>
              <w:spacing w:line="360" w:lineRule="auto"/>
              <w:jc w:val="center"/>
              <w:rPr>
                <w:rFonts w:hint="eastAsia" w:ascii="宋体" w:hAnsi="宋体" w:eastAsia="宋体" w:cs="宋体"/>
                <w:b/>
                <w:sz w:val="24"/>
              </w:rPr>
            </w:pPr>
            <w:r>
              <w:rPr>
                <w:rFonts w:hint="eastAsia" w:ascii="宋体" w:hAnsi="宋体" w:eastAsia="宋体" w:cs="宋体"/>
                <w:b/>
                <w:sz w:val="24"/>
              </w:rPr>
              <w:t xml:space="preserve">备份磋商响应文件送达地点和签收人员 </w:t>
            </w:r>
          </w:p>
        </w:tc>
        <w:tc>
          <w:tcPr>
            <w:tcW w:w="6611" w:type="dxa"/>
            <w:tcBorders>
              <w:top w:val="single" w:color="000000" w:sz="8" w:space="0"/>
              <w:left w:val="single" w:color="000000" w:sz="2" w:space="0"/>
              <w:bottom w:val="single" w:color="000000" w:sz="8" w:space="0"/>
              <w:right w:val="single" w:color="000000" w:sz="8" w:space="0"/>
            </w:tcBorders>
            <w:vAlign w:val="center"/>
          </w:tcPr>
          <w:p w14:paraId="350ABAB4">
            <w:pPr>
              <w:pStyle w:val="36"/>
              <w:spacing w:line="360" w:lineRule="auto"/>
              <w:rPr>
                <w:rFonts w:hint="eastAsia" w:ascii="宋体" w:hAnsi="宋体" w:eastAsia="宋体" w:cs="宋体"/>
                <w:kern w:val="28"/>
                <w:sz w:val="24"/>
              </w:rPr>
            </w:pPr>
            <w:r>
              <w:rPr>
                <w:rFonts w:hint="eastAsia" w:ascii="宋体" w:hAnsi="宋体" w:eastAsia="宋体" w:cs="宋体"/>
                <w:kern w:val="28"/>
                <w:sz w:val="24"/>
                <w:szCs w:val="24"/>
              </w:rPr>
              <w:t>备份磋商响应文件送达地点：</w:t>
            </w:r>
            <w:r>
              <w:rPr>
                <w:rFonts w:hint="eastAsia" w:ascii="宋体" w:hAnsi="宋体" w:eastAsia="宋体" w:cs="宋体"/>
                <w:sz w:val="24"/>
                <w:u w:val="single"/>
              </w:rPr>
              <w:t xml:space="preserve"> </w:t>
            </w:r>
            <w:r>
              <w:rPr>
                <w:rFonts w:hint="eastAsia" w:ascii="宋体" w:hAnsi="宋体" w:eastAsia="宋体" w:cs="宋体"/>
                <w:color w:val="000000"/>
                <w:sz w:val="24"/>
                <w:u w:val="single"/>
              </w:rPr>
              <w:t>桐庐县城南街道春江路719号国贸大厦7楼</w:t>
            </w:r>
            <w:r>
              <w:rPr>
                <w:rFonts w:hint="eastAsia" w:ascii="宋体" w:hAnsi="宋体" w:eastAsia="宋体" w:cs="宋体"/>
                <w:sz w:val="24"/>
                <w:u w:val="single"/>
              </w:rPr>
              <w:t xml:space="preserve"> </w:t>
            </w:r>
            <w:r>
              <w:rPr>
                <w:rFonts w:hint="eastAsia" w:ascii="宋体" w:hAnsi="宋体" w:eastAsia="宋体" w:cs="宋体"/>
                <w:kern w:val="28"/>
                <w:sz w:val="24"/>
                <w:szCs w:val="24"/>
              </w:rPr>
              <w:t>或发送邮箱：</w:t>
            </w:r>
            <w:r>
              <w:rPr>
                <w:rFonts w:hint="eastAsia" w:ascii="宋体" w:hAnsi="宋体" w:eastAsia="宋体" w:cs="宋体"/>
                <w:kern w:val="28"/>
                <w:sz w:val="24"/>
                <w:szCs w:val="24"/>
                <w:u w:val="single"/>
              </w:rPr>
              <w:t>406139383@qq.com</w:t>
            </w:r>
            <w:r>
              <w:rPr>
                <w:rFonts w:hint="eastAsia" w:ascii="宋体" w:hAnsi="宋体" w:eastAsia="宋体" w:cs="宋体"/>
                <w:kern w:val="28"/>
                <w:sz w:val="24"/>
                <w:szCs w:val="24"/>
              </w:rPr>
              <w:t>,备份磋商响应文件签收人员联系电话：</w:t>
            </w:r>
            <w:r>
              <w:rPr>
                <w:rFonts w:hint="eastAsia" w:ascii="宋体" w:hAnsi="宋体" w:eastAsia="宋体" w:cs="宋体"/>
                <w:sz w:val="24"/>
                <w:u w:val="single"/>
              </w:rPr>
              <w:t xml:space="preserve"> 周苗苗，13136568260 </w:t>
            </w:r>
            <w:r>
              <w:rPr>
                <w:rFonts w:hint="eastAsia" w:ascii="宋体" w:hAnsi="宋体" w:eastAsia="宋体" w:cs="宋体"/>
                <w:sz w:val="24"/>
                <w:szCs w:val="24"/>
              </w:rPr>
              <w:t>。</w:t>
            </w:r>
            <w:r>
              <w:rPr>
                <w:rFonts w:hint="eastAsia" w:ascii="宋体" w:hAnsi="宋体" w:eastAsia="宋体" w:cs="宋体"/>
                <w:b/>
                <w:sz w:val="24"/>
                <w:szCs w:val="24"/>
              </w:rPr>
              <w:t>采购人、采购机构不强制或变相强制供应商提交备份磋商响应文件。</w:t>
            </w:r>
          </w:p>
        </w:tc>
      </w:tr>
      <w:tr w14:paraId="17EA3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BD55A19">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BD5B0BB">
            <w:pPr>
              <w:spacing w:line="360" w:lineRule="auto"/>
              <w:jc w:val="center"/>
              <w:rPr>
                <w:rFonts w:hint="eastAsia" w:ascii="宋体" w:hAnsi="宋体" w:eastAsia="宋体" w:cs="宋体"/>
                <w:b/>
                <w:bCs/>
                <w:sz w:val="24"/>
              </w:rPr>
            </w:pPr>
            <w:r>
              <w:rPr>
                <w:rFonts w:hint="eastAsia" w:ascii="宋体" w:hAnsi="宋体" w:eastAsia="宋体" w:cs="宋体"/>
                <w:b/>
                <w:bCs/>
                <w:sz w:val="24"/>
              </w:rPr>
              <w:t>合同签订</w:t>
            </w:r>
          </w:p>
        </w:tc>
        <w:tc>
          <w:tcPr>
            <w:tcW w:w="6611" w:type="dxa"/>
            <w:tcBorders>
              <w:top w:val="single" w:color="000000" w:sz="8" w:space="0"/>
              <w:left w:val="single" w:color="000000" w:sz="2" w:space="0"/>
              <w:bottom w:val="single" w:color="000000" w:sz="8" w:space="0"/>
              <w:right w:val="single" w:color="000000" w:sz="8" w:space="0"/>
            </w:tcBorders>
            <w:vAlign w:val="center"/>
          </w:tcPr>
          <w:p w14:paraId="4A993263">
            <w:pPr>
              <w:spacing w:line="360" w:lineRule="auto"/>
              <w:rPr>
                <w:rFonts w:hint="eastAsia" w:ascii="宋体" w:hAnsi="宋体" w:eastAsia="宋体" w:cs="宋体"/>
                <w:sz w:val="24"/>
              </w:rPr>
            </w:pPr>
            <w:r>
              <w:rPr>
                <w:rFonts w:hint="eastAsia" w:ascii="宋体" w:hAnsi="宋体" w:eastAsia="宋体" w:cs="宋体"/>
                <w:sz w:val="24"/>
              </w:rPr>
              <w:t>采购人与中标人应当在《中标通知书》发出之日起30日内签订政府采购合同。同时，采购代理机构对合同内容进行审查，如发现与采购结果和投标承诺内容不一致的，应予以纠正。中标人拖延、拒签合同的,将被取消中标资格。</w:t>
            </w:r>
          </w:p>
        </w:tc>
      </w:tr>
      <w:tr w14:paraId="44A41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F7BEAD1">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146C35">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促进小微企业</w:t>
            </w:r>
          </w:p>
          <w:p w14:paraId="699842A6">
            <w:pPr>
              <w:spacing w:line="360" w:lineRule="auto"/>
              <w:jc w:val="center"/>
              <w:rPr>
                <w:rFonts w:hint="eastAsia" w:ascii="宋体" w:hAnsi="宋体" w:eastAsia="宋体" w:cs="宋体"/>
                <w:sz w:val="24"/>
                <w:highlight w:val="none"/>
                <w:lang w:val="en-US" w:eastAsia="zh-CN"/>
              </w:rPr>
            </w:pPr>
            <w:r>
              <w:rPr>
                <w:rFonts w:hint="eastAsia" w:ascii="宋体" w:hAnsi="宋体" w:eastAsia="宋体" w:cs="宋体"/>
                <w:b/>
                <w:bCs/>
                <w:sz w:val="24"/>
                <w:highlight w:val="none"/>
              </w:rPr>
              <w:t>发展</w:t>
            </w:r>
          </w:p>
        </w:tc>
        <w:tc>
          <w:tcPr>
            <w:tcW w:w="6611" w:type="dxa"/>
            <w:tcBorders>
              <w:top w:val="single" w:color="000000" w:sz="8" w:space="0"/>
              <w:left w:val="single" w:color="000000" w:sz="2" w:space="0"/>
              <w:bottom w:val="single" w:color="000000" w:sz="8" w:space="0"/>
              <w:right w:val="single" w:color="000000" w:sz="8" w:space="0"/>
            </w:tcBorders>
            <w:vAlign w:val="center"/>
          </w:tcPr>
          <w:p w14:paraId="4DFE2069">
            <w:pPr>
              <w:spacing w:line="360" w:lineRule="auto"/>
              <w:rPr>
                <w:rFonts w:hint="eastAsia" w:ascii="宋体" w:hAnsi="宋体" w:eastAsia="宋体" w:cs="宋体"/>
                <w:sz w:val="24"/>
                <w:highlight w:val="none"/>
              </w:rPr>
            </w:pPr>
            <w:r>
              <w:rPr>
                <w:rFonts w:hint="eastAsia" w:ascii="宋体" w:hAnsi="宋体" w:eastAsia="宋体" w:cs="宋体"/>
                <w:sz w:val="24"/>
                <w:highlight w:val="none"/>
              </w:rPr>
              <w:t>1、根据财库〔202</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19</w:t>
            </w:r>
            <w:r>
              <w:rPr>
                <w:rFonts w:hint="eastAsia" w:ascii="宋体" w:hAnsi="宋体" w:eastAsia="宋体" w:cs="宋体"/>
                <w:sz w:val="24"/>
                <w:highlight w:val="none"/>
              </w:rPr>
              <w:t>号的相关规定，在评审时对小型和微型企业的投标报价给予</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的扣除，取扣除后的价格作为最终投标报价（此最终投标报价仅作为价格分计算）。属于小型和微型企业的，响应文件中必须同时提供《中小企业声明函》、“国家企业信用信息公示系统——小微企业名录”页面查询结果（查询时间为投标截止时间前一周内，并加盖单位公章）。(注：未提供以上材料的，均不给予价格扣除）</w:t>
            </w:r>
          </w:p>
          <w:p w14:paraId="5D87E928">
            <w:pPr>
              <w:spacing w:line="360" w:lineRule="auto"/>
              <w:rPr>
                <w:rFonts w:hint="eastAsia" w:ascii="仿宋" w:hAnsi="仿宋" w:eastAsia="仿宋" w:cs="Times New Roman"/>
                <w:kern w:val="2"/>
                <w:sz w:val="24"/>
                <w:szCs w:val="24"/>
                <w:highlight w:val="none"/>
                <w:lang w:val="zh-CN" w:eastAsia="zh-CN" w:bidi="ar-SA"/>
              </w:rPr>
            </w:pPr>
            <w:r>
              <w:rPr>
                <w:rFonts w:hint="eastAsia" w:ascii="宋体" w:hAnsi="宋体" w:eastAsia="宋体" w:cs="宋体"/>
                <w:sz w:val="24"/>
                <w:highlight w:val="none"/>
              </w:rPr>
              <w:t>2、根据财库财库[2014]68号、〔2017〕141号的相关规定，在政府采购活动中，监狱企业（含新疆生产建设兵团）、残疾人福利性单位视同小型、微型企业，享受评审中价格扣除政策。属于享受政府采购支持政策的残疾人福利性单位，应满足财库〔2017〕141号文件第一条的规定，并在响应文件中提供残疾人福利性单位声明函（见附件）。</w:t>
            </w:r>
          </w:p>
        </w:tc>
      </w:tr>
      <w:tr w14:paraId="7281F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8581BCA">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5F528828">
            <w:pPr>
              <w:spacing w:line="360" w:lineRule="auto"/>
              <w:jc w:val="center"/>
              <w:rPr>
                <w:rFonts w:hint="eastAsia" w:ascii="宋体" w:hAnsi="宋体" w:eastAsia="宋体" w:cs="宋体"/>
                <w:b/>
                <w:bCs/>
                <w:sz w:val="24"/>
              </w:rPr>
            </w:pPr>
            <w:r>
              <w:rPr>
                <w:rFonts w:hint="eastAsia" w:ascii="宋体" w:hAnsi="宋体" w:eastAsia="宋体" w:cs="宋体"/>
                <w:b/>
                <w:bCs/>
                <w:sz w:val="24"/>
              </w:rPr>
              <w:t>履约保证金</w:t>
            </w:r>
          </w:p>
        </w:tc>
        <w:tc>
          <w:tcPr>
            <w:tcW w:w="6611" w:type="dxa"/>
            <w:tcBorders>
              <w:top w:val="single" w:color="000000" w:sz="8" w:space="0"/>
              <w:left w:val="single" w:color="000000" w:sz="2" w:space="0"/>
              <w:bottom w:val="single" w:color="000000" w:sz="8" w:space="0"/>
              <w:right w:val="single" w:color="000000" w:sz="8" w:space="0"/>
            </w:tcBorders>
            <w:vAlign w:val="center"/>
          </w:tcPr>
          <w:p w14:paraId="1A8456F4">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sz w:val="24"/>
                <w:lang w:val="en-US" w:eastAsia="zh-CN"/>
              </w:rPr>
            </w:pPr>
            <w:r>
              <w:rPr>
                <w:rFonts w:hint="eastAsia" w:ascii="宋体" w:hAnsi="宋体" w:cs="宋体"/>
                <w:sz w:val="24"/>
                <w:lang w:val="en-US" w:eastAsia="zh-CN"/>
              </w:rPr>
              <w:t>无</w:t>
            </w:r>
          </w:p>
        </w:tc>
      </w:tr>
      <w:tr w14:paraId="74385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71B7B46">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cs="宋体"/>
                <w:sz w:val="24"/>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6EE7DA56">
            <w:pPr>
              <w:spacing w:line="360" w:lineRule="auto"/>
              <w:jc w:val="center"/>
              <w:rPr>
                <w:rFonts w:hint="eastAsia" w:ascii="宋体" w:hAnsi="宋体" w:eastAsia="宋体" w:cs="宋体"/>
                <w:b/>
                <w:bCs/>
                <w:sz w:val="24"/>
              </w:rPr>
            </w:pPr>
            <w:r>
              <w:rPr>
                <w:rFonts w:hint="eastAsia" w:ascii="宋体" w:hAnsi="宋体" w:eastAsia="宋体" w:cs="宋体"/>
                <w:b/>
                <w:bCs/>
                <w:sz w:val="24"/>
              </w:rPr>
              <w:t>代理服务费</w:t>
            </w:r>
          </w:p>
        </w:tc>
        <w:tc>
          <w:tcPr>
            <w:tcW w:w="6611" w:type="dxa"/>
            <w:tcBorders>
              <w:top w:val="single" w:color="000000" w:sz="8" w:space="0"/>
              <w:left w:val="single" w:color="000000" w:sz="2" w:space="0"/>
              <w:bottom w:val="single" w:color="000000" w:sz="8" w:space="0"/>
              <w:right w:val="single" w:color="000000" w:sz="8" w:space="0"/>
            </w:tcBorders>
            <w:vAlign w:val="center"/>
          </w:tcPr>
          <w:p w14:paraId="0AD797E6">
            <w:pPr>
              <w:snapToGrid w:val="0"/>
              <w:spacing w:line="360" w:lineRule="auto"/>
              <w:rPr>
                <w:rFonts w:ascii="宋体" w:hAnsi="宋体" w:cs="宋体"/>
                <w:sz w:val="24"/>
              </w:rPr>
            </w:pPr>
            <w:r>
              <w:rPr>
                <w:rFonts w:hint="eastAsia" w:ascii="宋体" w:hAnsi="宋体" w:cs="宋体"/>
                <w:sz w:val="24"/>
              </w:rPr>
              <w:t>本项目的招标代理费按浙价服[2003]77号文件收费标准计取。以上费用</w:t>
            </w:r>
            <w:r>
              <w:rPr>
                <w:rFonts w:hint="eastAsia" w:ascii="宋体" w:hAnsi="宋体" w:cs="宋体"/>
                <w:sz w:val="24"/>
                <w:lang w:val="en-US" w:eastAsia="zh-CN"/>
              </w:rPr>
              <w:t>由</w:t>
            </w:r>
            <w:r>
              <w:rPr>
                <w:rFonts w:hint="eastAsia" w:ascii="宋体" w:hAnsi="宋体" w:cs="宋体"/>
                <w:sz w:val="24"/>
              </w:rPr>
              <w:t>中标单位在领取中标通知书时，一次性支付给代理公司，上述费用应含在投标报价中（不得单独列项），投标人在投标报价让利中考虑上述费用。</w:t>
            </w:r>
          </w:p>
          <w:p w14:paraId="3B267EC8">
            <w:pPr>
              <w:spacing w:line="360" w:lineRule="auto"/>
              <w:rPr>
                <w:rFonts w:hint="eastAsia" w:ascii="宋体" w:hAnsi="宋体" w:eastAsia="宋体" w:cs="宋体"/>
                <w:sz w:val="24"/>
              </w:rPr>
            </w:pPr>
            <w:r>
              <w:rPr>
                <w:rFonts w:hint="eastAsia" w:ascii="宋体" w:hAnsi="宋体" w:eastAsia="宋体" w:cs="宋体"/>
                <w:sz w:val="24"/>
              </w:rPr>
              <w:t>采购代理服务费</w:t>
            </w:r>
            <w:r>
              <w:rPr>
                <w:rFonts w:hint="eastAsia" w:ascii="宋体" w:hAnsi="宋体" w:eastAsia="宋体" w:cs="宋体"/>
                <w:sz w:val="24"/>
                <w:lang w:eastAsia="zh-CN"/>
              </w:rPr>
              <w:t>缴</w:t>
            </w:r>
            <w:r>
              <w:rPr>
                <w:rFonts w:hint="eastAsia" w:ascii="宋体" w:hAnsi="宋体" w:eastAsia="宋体" w:cs="宋体"/>
                <w:sz w:val="24"/>
              </w:rPr>
              <w:t>纳形式：汇票/支票/电汇/现金。</w:t>
            </w:r>
          </w:p>
        </w:tc>
      </w:tr>
      <w:tr w14:paraId="3D620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13B18A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6CC48AC0">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z w:val="24"/>
              </w:rPr>
            </w:pPr>
            <w:r>
              <w:rPr>
                <w:rFonts w:hint="eastAsia" w:ascii="宋体" w:hAnsi="宋体" w:eastAsia="宋体" w:cs="宋体"/>
                <w:b/>
                <w:bCs/>
                <w:sz w:val="24"/>
              </w:rPr>
              <w:t>解释权</w:t>
            </w:r>
          </w:p>
        </w:tc>
        <w:tc>
          <w:tcPr>
            <w:tcW w:w="6611" w:type="dxa"/>
            <w:tcBorders>
              <w:top w:val="single" w:color="000000" w:sz="8" w:space="0"/>
              <w:left w:val="single" w:color="000000" w:sz="2" w:space="0"/>
              <w:bottom w:val="single" w:color="000000" w:sz="8" w:space="0"/>
              <w:right w:val="single" w:color="000000" w:sz="8" w:space="0"/>
            </w:tcBorders>
            <w:vAlign w:val="center"/>
          </w:tcPr>
          <w:p w14:paraId="618D4DAD">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sz w:val="24"/>
              </w:rPr>
            </w:pPr>
            <w:r>
              <w:rPr>
                <w:rFonts w:hint="eastAsia" w:ascii="宋体" w:hAnsi="宋体" w:eastAsia="宋体" w:cs="宋体"/>
                <w:sz w:val="24"/>
              </w:rPr>
              <w:t>本竞争性磋商文件的解释权属于采购人</w:t>
            </w:r>
            <w:r>
              <w:rPr>
                <w:rFonts w:hint="eastAsia" w:ascii="宋体" w:hAnsi="宋体" w:cs="宋体"/>
                <w:sz w:val="24"/>
                <w:lang w:val="en-US" w:eastAsia="zh-CN"/>
              </w:rPr>
              <w:t>和采购代理公司</w:t>
            </w:r>
            <w:r>
              <w:rPr>
                <w:rFonts w:hint="eastAsia" w:ascii="宋体" w:hAnsi="宋体" w:eastAsia="宋体" w:cs="宋体"/>
                <w:sz w:val="24"/>
              </w:rPr>
              <w:t>。</w:t>
            </w:r>
          </w:p>
        </w:tc>
      </w:tr>
    </w:tbl>
    <w:p w14:paraId="26231EFB">
      <w:pPr>
        <w:rPr>
          <w:rFonts w:hint="eastAsia" w:ascii="宋体" w:hAnsi="宋体" w:eastAsia="宋体" w:cs="宋体"/>
          <w:b/>
          <w:sz w:val="32"/>
          <w:szCs w:val="20"/>
        </w:rPr>
      </w:pPr>
    </w:p>
    <w:bookmarkEnd w:id="8"/>
    <w:p w14:paraId="708FD22E">
      <w:pPr>
        <w:adjustRightInd/>
        <w:spacing w:line="360" w:lineRule="auto"/>
        <w:jc w:val="center"/>
        <w:outlineLvl w:val="0"/>
        <w:rPr>
          <w:rFonts w:hint="eastAsia" w:ascii="宋体" w:hAnsi="宋体" w:eastAsia="宋体" w:cs="宋体"/>
          <w:b/>
          <w:sz w:val="32"/>
          <w:szCs w:val="20"/>
        </w:rPr>
      </w:pPr>
      <w:bookmarkStart w:id="9" w:name="第三部分"/>
      <w:bookmarkStart w:id="10" w:name="_Toc164416483"/>
      <w:r>
        <w:rPr>
          <w:rFonts w:hint="eastAsia" w:ascii="宋体" w:hAnsi="宋体" w:eastAsia="宋体" w:cs="宋体"/>
          <w:b/>
          <w:sz w:val="32"/>
          <w:szCs w:val="20"/>
        </w:rPr>
        <w:t>一、总则</w:t>
      </w:r>
    </w:p>
    <w:p w14:paraId="75169ABF">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69CC26C6">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本竞争性磋商文件适用于该项目的招标、投标、开标、资格审查及信用信息查询、评标、定标、合同、验收等行为（法律、法规另有规定的，从其规定）。</w:t>
      </w:r>
    </w:p>
    <w:p w14:paraId="585BB813">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5A058520">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“采购人”系指竞争性磋商公告中载明的本项目的采购人。</w:t>
      </w:r>
    </w:p>
    <w:p w14:paraId="10A63186">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“采购机构”系指竞争性磋商公告中载明的本项目的采购机构。</w:t>
      </w:r>
    </w:p>
    <w:p w14:paraId="32BDB7A6">
      <w:pPr>
        <w:spacing w:line="360" w:lineRule="auto"/>
        <w:ind w:firstLine="480" w:firstLineChars="200"/>
        <w:rPr>
          <w:rFonts w:hint="eastAsia" w:ascii="宋体" w:hAnsi="宋体" w:eastAsia="宋体" w:cs="宋体"/>
          <w:sz w:val="24"/>
        </w:rPr>
      </w:pPr>
      <w:r>
        <w:rPr>
          <w:rFonts w:hint="eastAsia" w:ascii="宋体" w:hAnsi="宋体" w:eastAsia="宋体" w:cs="宋体"/>
          <w:sz w:val="24"/>
        </w:rPr>
        <w:t>2.3 “供应商”系指是指响应招标、参加投标竞争的法人、其他组织或者自然人。</w:t>
      </w:r>
    </w:p>
    <w:p w14:paraId="59AE1615">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3F554F64">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1FA613C">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20482C14">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系指实质性要求条款，“★”系产品采购项目中单一产品或核心产品，“</w:t>
      </w:r>
      <w:sdt>
        <w:sdtPr>
          <w:rPr>
            <w:rFonts w:hint="eastAsia" w:ascii="宋体" w:hAnsi="宋体" w:eastAsia="宋体" w:cs="宋体"/>
            <w:kern w:val="0"/>
            <w:sz w:val="24"/>
          </w:rPr>
          <w:id w:val="512970236"/>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系指适用本项目的要求，“</w:t>
      </w:r>
      <w:sdt>
        <w:sdtPr>
          <w:rPr>
            <w:rFonts w:hint="eastAsia" w:ascii="宋体" w:hAnsi="宋体" w:eastAsia="宋体" w:cs="宋体"/>
            <w:kern w:val="0"/>
            <w:sz w:val="24"/>
          </w:rPr>
          <w:id w:val="40488885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 系指不适用本项目的要求。</w:t>
      </w:r>
    </w:p>
    <w:p w14:paraId="6E57F620">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21F4AA8C">
      <w:pPr>
        <w:spacing w:line="360" w:lineRule="auto"/>
        <w:ind w:firstLine="480" w:firstLineChars="2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61FB3AE6">
      <w:pPr>
        <w:spacing w:line="360" w:lineRule="auto"/>
        <w:ind w:firstLine="480" w:firstLineChars="200"/>
        <w:rPr>
          <w:rFonts w:hint="eastAsia" w:ascii="宋体" w:hAnsi="宋体" w:eastAsia="宋体" w:cs="宋体"/>
          <w:sz w:val="24"/>
        </w:rPr>
      </w:pPr>
      <w:r>
        <w:rPr>
          <w:rFonts w:hint="eastAsia" w:ascii="宋体" w:hAnsi="宋体" w:eastAsia="宋体" w:cs="宋体"/>
          <w:sz w:val="24"/>
        </w:rPr>
        <w:t>3.2 支持绿色发展</w:t>
      </w:r>
    </w:p>
    <w:p w14:paraId="10A98773">
      <w:pPr>
        <w:spacing w:line="360" w:lineRule="auto"/>
        <w:ind w:firstLine="720" w:firstLineChars="3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6DEAE05">
      <w:pPr>
        <w:spacing w:line="360" w:lineRule="auto"/>
        <w:ind w:firstLine="720" w:firstLineChars="3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475F73F4">
      <w:pPr>
        <w:spacing w:line="360" w:lineRule="auto"/>
        <w:ind w:firstLine="720" w:firstLineChars="3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9D4E64E">
      <w:pPr>
        <w:spacing w:line="360" w:lineRule="auto"/>
        <w:ind w:firstLine="480" w:firstLineChars="200"/>
        <w:rPr>
          <w:rFonts w:hint="eastAsia" w:ascii="宋体" w:hAnsi="宋体" w:eastAsia="宋体" w:cs="宋体"/>
          <w:sz w:val="24"/>
        </w:rPr>
      </w:pPr>
      <w:r>
        <w:rPr>
          <w:rFonts w:hint="eastAsia" w:ascii="宋体" w:hAnsi="宋体" w:eastAsia="宋体" w:cs="宋体"/>
          <w:sz w:val="24"/>
        </w:rPr>
        <w:t>3.3支持中小企业发展</w:t>
      </w:r>
    </w:p>
    <w:p w14:paraId="1EB7610B">
      <w:pPr>
        <w:spacing w:line="360" w:lineRule="auto"/>
        <w:ind w:firstLine="720" w:firstLineChars="3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9E6C45">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7244FA11">
      <w:pPr>
        <w:widowControl/>
        <w:spacing w:line="360" w:lineRule="auto"/>
        <w:ind w:firstLine="720" w:firstLineChars="3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在政府采购活动中，投标人提供的货物、工程或者服务符合下列情形的，享受中小企业扶持政策：</w:t>
      </w:r>
    </w:p>
    <w:p w14:paraId="76278288">
      <w:pPr>
        <w:widowControl/>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3.3.2.1在货物采购项目中，货物由中小企业制造，即货物由中小企业生产且使用该中小企业商号或者注册商标；</w:t>
      </w:r>
    </w:p>
    <w:p w14:paraId="099FC20F">
      <w:pPr>
        <w:widowControl/>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3.3.2.2在工程采购项目中，工程由中小企业承建，即工程施工单位为中小企业；</w:t>
      </w:r>
    </w:p>
    <w:p w14:paraId="524B590B">
      <w:pPr>
        <w:widowControl/>
        <w:spacing w:line="360" w:lineRule="auto"/>
        <w:ind w:firstLine="720" w:firstLineChars="300"/>
        <w:jc w:val="left"/>
        <w:rPr>
          <w:rFonts w:hint="eastAsia" w:ascii="宋体" w:hAnsi="宋体" w:eastAsia="宋体" w:cs="宋体"/>
          <w:kern w:val="0"/>
          <w:sz w:val="24"/>
        </w:rPr>
      </w:pPr>
      <w:r>
        <w:rPr>
          <w:rFonts w:hint="eastAsia" w:ascii="宋体" w:hAnsi="宋体" w:eastAsia="宋体" w:cs="宋体"/>
          <w:kern w:val="0"/>
          <w:sz w:val="24"/>
        </w:rPr>
        <w:t>3.3.2.3在服务采购项目中，服务由中小企业承接，即提供服务的人员为中小企业依照《中华人民共和国劳动合同法》订立劳动合同的从业人员。</w:t>
      </w:r>
    </w:p>
    <w:p w14:paraId="2454908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在货物采购项目中，投标人提供的货物既有中小企业制造货物，也有大型企业制造货物的，不享受中小企业扶持政策。</w:t>
      </w:r>
    </w:p>
    <w:p w14:paraId="72C5E0BC">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44F94513">
      <w:pPr>
        <w:spacing w:line="360" w:lineRule="auto"/>
        <w:ind w:firstLine="720" w:firstLineChars="300"/>
        <w:rPr>
          <w:rFonts w:hint="eastAsia" w:ascii="宋体" w:hAnsi="宋体" w:eastAsia="宋体" w:cs="宋体"/>
          <w:sz w:val="24"/>
        </w:rPr>
      </w:pPr>
      <w:r>
        <w:rPr>
          <w:rFonts w:hint="eastAsia" w:ascii="宋体" w:hAnsi="宋体" w:eastAsia="宋体" w:cs="宋体"/>
          <w:sz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 w:val="24"/>
          <w:lang w:val="en-US" w:eastAsia="zh-CN"/>
        </w:rPr>
        <w:t>2</w:t>
      </w:r>
      <w:r>
        <w:rPr>
          <w:rFonts w:hint="eastAsia" w:ascii="宋体" w:hAnsi="宋体" w:eastAsia="宋体" w:cs="宋体"/>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6A489941">
      <w:pPr>
        <w:spacing w:line="360" w:lineRule="auto"/>
        <w:ind w:firstLine="720" w:firstLineChars="3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10C4D278">
      <w:pPr>
        <w:spacing w:line="360" w:lineRule="auto"/>
        <w:ind w:firstLine="720" w:firstLineChars="3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3EB619">
      <w:pPr>
        <w:spacing w:line="360" w:lineRule="auto"/>
        <w:ind w:firstLine="720" w:firstLineChars="300"/>
        <w:rPr>
          <w:rFonts w:hint="eastAsia" w:ascii="宋体" w:hAnsi="宋体" w:eastAsia="宋体" w:cs="宋体"/>
          <w:sz w:val="24"/>
        </w:rPr>
      </w:pPr>
      <w:r>
        <w:rPr>
          <w:rFonts w:hint="eastAsia" w:ascii="宋体" w:hAnsi="宋体" w:eastAsia="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A2FC48">
      <w:pPr>
        <w:spacing w:line="360" w:lineRule="auto"/>
        <w:ind w:firstLine="720" w:firstLineChars="3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4E0DB7F6">
      <w:pPr>
        <w:spacing w:line="360" w:lineRule="auto"/>
        <w:ind w:firstLine="480" w:firstLineChars="2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0293A760">
      <w:pPr>
        <w:spacing w:line="360" w:lineRule="auto"/>
        <w:ind w:firstLine="720" w:firstLineChars="3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2F14EB73">
      <w:pPr>
        <w:spacing w:line="360" w:lineRule="auto"/>
        <w:ind w:firstLine="720" w:firstLineChars="300"/>
        <w:rPr>
          <w:rFonts w:hint="eastAsia" w:ascii="宋体" w:hAnsi="宋体" w:eastAsia="宋体" w:cs="宋体"/>
          <w:sz w:val="24"/>
        </w:rPr>
      </w:pPr>
      <w:r>
        <w:rPr>
          <w:rFonts w:hint="eastAsia" w:ascii="宋体" w:hAnsi="宋体" w:eastAsia="宋体" w:cs="宋体"/>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233AC082">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14:paraId="004E572A">
      <w:pPr>
        <w:spacing w:line="360" w:lineRule="auto"/>
        <w:rPr>
          <w:rFonts w:hint="eastAsia" w:ascii="宋体" w:hAnsi="宋体" w:eastAsia="宋体" w:cs="宋体"/>
          <w:b/>
          <w:sz w:val="24"/>
        </w:rPr>
      </w:pPr>
      <w:r>
        <w:rPr>
          <w:rFonts w:hint="eastAsia" w:ascii="宋体" w:hAnsi="宋体" w:eastAsia="宋体" w:cs="宋体"/>
          <w:b/>
          <w:sz w:val="24"/>
        </w:rPr>
        <w:t>4. 询问、质疑、投诉</w:t>
      </w:r>
    </w:p>
    <w:p w14:paraId="69FB0D9F">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615F95C2">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A877C5">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7EF84495">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.1提出质疑的供应商应当是参与所质疑项目采购活动的供应商。潜在供应商已依法获取其可质疑的竞争性磋商文件的，可以对该文件提出质疑。</w:t>
      </w:r>
    </w:p>
    <w:p w14:paraId="34FE97EC">
      <w:pPr>
        <w:pStyle w:val="36"/>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竞争性磋商文件、采购过程和中标结果使自己的权益受到损害的，可以在知道或者应知其权益受到损害之日起七个工作日内，以书面形式向采购人或者采购机构提出质疑，否则，采购人或者采购机构不予受理：</w:t>
      </w:r>
    </w:p>
    <w:p w14:paraId="044181B6">
      <w:pPr>
        <w:pStyle w:val="17"/>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4.2.2.1对竞争性磋商文件提出质疑的，质疑期限为供应商获得竞争性磋商文件之日或者竞争性磋商文件公告期限届满之日起计算。</w:t>
      </w:r>
    </w:p>
    <w:p w14:paraId="79855867">
      <w:pPr>
        <w:pStyle w:val="36"/>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14:paraId="1CFC7C5A">
      <w:pPr>
        <w:pStyle w:val="36"/>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14:paraId="07584401">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14:paraId="474DF0E4">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52AFB018">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3232AB01">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kern w:val="0"/>
          <w:sz w:val="24"/>
        </w:rPr>
        <w:t>3</w:t>
      </w:r>
      <w:r>
        <w:rPr>
          <w:rFonts w:hint="eastAsia" w:ascii="宋体" w:hAnsi="宋体" w:eastAsia="宋体" w:cs="宋体"/>
          <w:kern w:val="0"/>
          <w:sz w:val="24"/>
          <w:lang w:val="zh-CN"/>
        </w:rPr>
        <w:t>具体、明确的质疑事项和与质疑事项相关的请求；</w:t>
      </w:r>
    </w:p>
    <w:p w14:paraId="09BA9D6B">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1F6EE134">
      <w:pPr>
        <w:pStyle w:val="36"/>
        <w:spacing w:line="360" w:lineRule="auto"/>
        <w:ind w:firstLine="240" w:firstLineChars="100"/>
        <w:rPr>
          <w:rFonts w:hint="eastAsia" w:ascii="宋体" w:hAnsi="宋体" w:eastAsia="宋体" w:cs="宋体"/>
          <w:kern w:val="0"/>
          <w:sz w:val="24"/>
          <w:lang w:val="zh-CN"/>
        </w:rPr>
      </w:pPr>
      <w:r>
        <w:rPr>
          <w:rFonts w:hint="eastAsia" w:ascii="宋体" w:hAnsi="宋体" w:eastAsia="宋体" w:cs="宋体"/>
          <w:kern w:val="0"/>
          <w:sz w:val="24"/>
          <w:lang w:val="zh-CN"/>
        </w:rPr>
        <w:t>　4.2.3.5必要的法律依据；</w:t>
      </w:r>
    </w:p>
    <w:p w14:paraId="0FE154DD">
      <w:pPr>
        <w:pStyle w:val="36"/>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62C5068E">
      <w:pPr>
        <w:pStyle w:val="888"/>
        <w:snapToGrid w:val="0"/>
        <w:spacing w:before="0" w:beforeAutospacing="0" w:after="0" w:afterAutospacing="0" w:line="360" w:lineRule="auto"/>
        <w:ind w:firstLine="403"/>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2679AC90">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409B9667">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FD96F09">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.5询问或者质疑事项可能影响采购结果的，采购人应当暂停签订合同，已经签订合同的，应当中止履行合同。</w:t>
      </w:r>
    </w:p>
    <w:p w14:paraId="231CE75B">
      <w:pPr>
        <w:pStyle w:val="888"/>
        <w:snapToGrid w:val="0"/>
        <w:spacing w:after="240" w:afterAutospacing="0" w:line="360" w:lineRule="auto"/>
        <w:ind w:firstLine="400"/>
        <w:contextualSpacing/>
        <w:rPr>
          <w:rFonts w:hint="eastAsia" w:ascii="宋体" w:hAnsi="宋体" w:eastAsia="宋体" w:cs="宋体"/>
          <w:lang w:val="zh-CN"/>
        </w:rPr>
      </w:pPr>
      <w:r>
        <w:rPr>
          <w:rFonts w:hint="eastAsia" w:ascii="宋体" w:hAnsi="宋体" w:eastAsia="宋体" w:cs="宋体"/>
          <w:lang w:val="zh-CN"/>
        </w:rPr>
        <w:t>4.3供应商投诉</w:t>
      </w:r>
    </w:p>
    <w:p w14:paraId="3BA47703">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4.3.1质疑供应商对采购人、采购机构的答复不满意或者采购人、采购机构未在规定的时间内作出答复的，可以在答复期满后十五个工作日内向同级政府采购监督管理部门提出投诉。</w:t>
      </w:r>
    </w:p>
    <w:p w14:paraId="5483988C">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58C18BB7">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6046A088">
      <w:pPr>
        <w:pStyle w:val="888"/>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4.3.4以联合体形式参加政府采购活动的，其投诉应当由组成联合体的所有供应商共同提出。</w:t>
      </w:r>
    </w:p>
    <w:p w14:paraId="4184C0F4">
      <w:pPr>
        <w:pStyle w:val="888"/>
        <w:snapToGrid w:val="0"/>
        <w:spacing w:after="240" w:afterAutospacing="0" w:line="360" w:lineRule="auto"/>
        <w:ind w:firstLine="400"/>
        <w:contextualSpacing/>
        <w:rPr>
          <w:rFonts w:hint="eastAsia" w:ascii="宋体" w:hAnsi="宋体" w:eastAsia="宋体" w:cs="宋体"/>
          <w:sz w:val="18"/>
          <w:szCs w:val="18"/>
        </w:rPr>
      </w:pPr>
      <w:r>
        <w:rPr>
          <w:rFonts w:hint="eastAsia" w:ascii="宋体" w:hAnsi="宋体" w:eastAsia="宋体" w:cs="宋体"/>
        </w:rPr>
        <w:t>投诉书范本及制作说明详见附件3。</w:t>
      </w:r>
    </w:p>
    <w:p w14:paraId="17689EA7">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二、竞争性磋商文件的构成、澄清、修改</w:t>
      </w:r>
    </w:p>
    <w:p w14:paraId="7AA3D4F7">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5．竞争性磋商文件的构成</w:t>
      </w:r>
    </w:p>
    <w:p w14:paraId="225FC427">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竞争性磋商文件包括下列文件及附件：</w:t>
      </w:r>
    </w:p>
    <w:p w14:paraId="392B110E">
      <w:pPr>
        <w:pStyle w:val="36"/>
        <w:tabs>
          <w:tab w:val="left" w:pos="84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5.1.1竞争性磋商公告；</w:t>
      </w:r>
    </w:p>
    <w:p w14:paraId="1B258C31">
      <w:pPr>
        <w:pStyle w:val="36"/>
        <w:tabs>
          <w:tab w:val="left" w:pos="84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5.1.2磋商供应商须知；</w:t>
      </w:r>
    </w:p>
    <w:p w14:paraId="4778B71E">
      <w:pPr>
        <w:pStyle w:val="36"/>
        <w:tabs>
          <w:tab w:val="left" w:pos="84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5.1.3采购需求；</w:t>
      </w:r>
    </w:p>
    <w:p w14:paraId="624B79AC">
      <w:pPr>
        <w:pStyle w:val="36"/>
        <w:tabs>
          <w:tab w:val="left" w:pos="84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5.1.4评标办法；</w:t>
      </w:r>
    </w:p>
    <w:p w14:paraId="1A4D6490">
      <w:pPr>
        <w:pStyle w:val="36"/>
        <w:tabs>
          <w:tab w:val="left" w:pos="84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5.1.5拟签订的合同文本；</w:t>
      </w:r>
    </w:p>
    <w:p w14:paraId="01C50F5D">
      <w:pPr>
        <w:pStyle w:val="36"/>
        <w:tabs>
          <w:tab w:val="left" w:pos="84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404D1950">
      <w:pPr>
        <w:spacing w:line="360" w:lineRule="auto"/>
        <w:ind w:firstLine="720" w:firstLineChars="3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澄清或者修改的内容为竞争性磋商文件的组成部分</w:t>
      </w:r>
      <w:r>
        <w:rPr>
          <w:rFonts w:hint="eastAsia" w:ascii="宋体" w:hAnsi="宋体" w:eastAsia="宋体" w:cs="宋体"/>
          <w:sz w:val="24"/>
        </w:rPr>
        <w:t>。</w:t>
      </w:r>
    </w:p>
    <w:p w14:paraId="71F8243D">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6. 竞争性磋商文件的澄清、修改</w:t>
      </w:r>
    </w:p>
    <w:p w14:paraId="38E51BB8">
      <w:pPr>
        <w:pStyle w:val="132"/>
        <w:snapToGrid w:val="0"/>
        <w:spacing w:before="0"/>
        <w:ind w:firstLine="480"/>
        <w:rPr>
          <w:rFonts w:hint="eastAsia" w:ascii="宋体" w:hAnsi="宋体" w:eastAsia="宋体" w:cs="宋体"/>
        </w:rPr>
      </w:pPr>
      <w:r>
        <w:rPr>
          <w:rFonts w:hint="eastAsia" w:ascii="宋体" w:hAnsi="宋体" w:eastAsia="宋体" w:cs="宋体"/>
        </w:rPr>
        <w:t>6.1已获取竞争性磋商文件的潜在供应商，若有问题需要澄清，应于投标截止时间前，以书面形式向采购机构提出。</w:t>
      </w:r>
    </w:p>
    <w:p w14:paraId="30802C00">
      <w:pPr>
        <w:pStyle w:val="132"/>
        <w:snapToGrid w:val="0"/>
        <w:spacing w:before="0" w:after="240"/>
        <w:ind w:firstLine="480"/>
        <w:rPr>
          <w:rFonts w:hint="eastAsia" w:ascii="宋体" w:hAnsi="宋体" w:eastAsia="宋体" w:cs="宋体"/>
          <w:sz w:val="18"/>
          <w:szCs w:val="18"/>
        </w:rPr>
      </w:pPr>
      <w:r>
        <w:rPr>
          <w:rFonts w:hint="eastAsia" w:ascii="宋体" w:hAnsi="宋体" w:eastAsia="宋体" w:cs="宋体"/>
        </w:rPr>
        <w:t>6.2 采购机构对竞争性磋商文件进行澄清或修改的，将同时通过电子交易平台通知已获取竞争性磋商文件的潜在供应商。依法应当公告的，将按规定公告，同时视情况延长投标截止时间和开标时间。该澄清或者修改的内容为竞争性磋商文件的组成部分。</w:t>
      </w:r>
    </w:p>
    <w:p w14:paraId="4C9AE501">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三、磋商响应</w:t>
      </w:r>
    </w:p>
    <w:p w14:paraId="75BFED10">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7. 竞争性磋商文件的获取</w:t>
      </w:r>
    </w:p>
    <w:p w14:paraId="4DBB64E3">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详见竞争性磋商公告中获取竞争性磋商文件的时间期限、地点、方式及竞争性磋商文件售价。</w:t>
      </w:r>
    </w:p>
    <w:p w14:paraId="56F31A97">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8.开标前答疑会或现场考察</w:t>
      </w:r>
    </w:p>
    <w:p w14:paraId="5D09ED68">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采购人组织潜在供应商现场考察或者召开开标前答疑会的，潜在供应商按第二部分供应商须知前附表的规定参加现场考察或者开标前答疑会。</w:t>
      </w:r>
    </w:p>
    <w:p w14:paraId="51B1010E">
      <w:pPr>
        <w:pStyle w:val="36"/>
        <w:spacing w:line="360" w:lineRule="auto"/>
        <w:rPr>
          <w:rFonts w:hint="eastAsia" w:ascii="宋体" w:hAnsi="宋体" w:eastAsia="宋体" w:cs="宋体"/>
          <w:b/>
          <w:szCs w:val="24"/>
        </w:rPr>
      </w:pPr>
      <w:r>
        <w:rPr>
          <w:rFonts w:hint="eastAsia" w:ascii="宋体" w:hAnsi="宋体" w:eastAsia="宋体" w:cs="宋体"/>
          <w:b/>
          <w:kern w:val="28"/>
          <w:sz w:val="24"/>
          <w:szCs w:val="24"/>
        </w:rPr>
        <w:t>9.磋商保证金</w:t>
      </w:r>
    </w:p>
    <w:p w14:paraId="6752FE8D">
      <w:pPr>
        <w:pStyle w:val="17"/>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本项目不需缴纳磋商保证金。</w:t>
      </w:r>
    </w:p>
    <w:p w14:paraId="36E26E8F">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10. 磋商响应文件的语言</w:t>
      </w:r>
    </w:p>
    <w:p w14:paraId="3A19648E">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磋商响应文件及供应商与采购有关的来往通知、函件和文件均应使用中文。</w:t>
      </w:r>
    </w:p>
    <w:p w14:paraId="17483BF3">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11. 磋商响应文件的组成</w:t>
      </w:r>
    </w:p>
    <w:p w14:paraId="4C65F04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6747A840">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1695CA4D">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11.1.2本项目的特定资格要求。</w:t>
      </w:r>
    </w:p>
    <w:p w14:paraId="0DE5F965">
      <w:pPr>
        <w:snapToGrid w:val="0"/>
        <w:spacing w:line="360" w:lineRule="auto"/>
        <w:ind w:firstLine="720" w:firstLineChars="300"/>
        <w:rPr>
          <w:rFonts w:hint="eastAsia"/>
        </w:rPr>
      </w:pPr>
      <w:r>
        <w:rPr>
          <w:rFonts w:hint="eastAsia" w:ascii="宋体" w:hAnsi="宋体" w:eastAsia="宋体" w:cs="宋体"/>
          <w:sz w:val="24"/>
        </w:rPr>
        <w:t>11.1.</w:t>
      </w:r>
      <w:r>
        <w:rPr>
          <w:rFonts w:hint="eastAsia" w:ascii="宋体" w:hAnsi="宋体" w:eastAsia="宋体" w:cs="宋体"/>
          <w:sz w:val="24"/>
          <w:lang w:val="en-US" w:eastAsia="zh-CN"/>
        </w:rPr>
        <w:t>3营业执照</w:t>
      </w:r>
      <w:r>
        <w:rPr>
          <w:rFonts w:hint="eastAsia" w:ascii="宋体" w:hAnsi="宋体" w:eastAsia="宋体" w:cs="宋体"/>
          <w:sz w:val="24"/>
        </w:rPr>
        <w:t>。</w:t>
      </w:r>
    </w:p>
    <w:p w14:paraId="3B79B57D">
      <w:pPr>
        <w:snapToGrid w:val="0"/>
        <w:spacing w:line="360" w:lineRule="auto"/>
        <w:ind w:firstLine="482" w:firstLineChars="2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7D576378">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11.2.1投标函；</w:t>
      </w:r>
      <w:r>
        <w:rPr>
          <w:rFonts w:hint="eastAsia" w:ascii="宋体" w:hAnsi="宋体" w:eastAsia="宋体" w:cs="宋体"/>
          <w:sz w:val="24"/>
          <w:lang w:val="zh-CN"/>
        </w:rPr>
        <w:t xml:space="preserve"> </w:t>
      </w:r>
    </w:p>
    <w:p w14:paraId="2847CC36">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11.2.2授权委托书或法定代表人（单位负责人、自然人本人）身份证明；</w:t>
      </w:r>
    </w:p>
    <w:p w14:paraId="5B46725C">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11.2.3符合性审查资料；</w:t>
      </w:r>
    </w:p>
    <w:p w14:paraId="1B41BD1E">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11.2.4评分对应表；</w:t>
      </w:r>
    </w:p>
    <w:p w14:paraId="6ABF4610">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11.2.5评标标准相应的商务技术资料；</w:t>
      </w:r>
    </w:p>
    <w:p w14:paraId="7010508A">
      <w:pPr>
        <w:snapToGrid w:val="0"/>
        <w:spacing w:line="360" w:lineRule="auto"/>
        <w:ind w:firstLine="720" w:firstLineChars="300"/>
        <w:rPr>
          <w:rFonts w:hint="eastAsia" w:ascii="宋体" w:hAnsi="宋体" w:eastAsia="宋体" w:cs="宋体"/>
          <w:sz w:val="24"/>
        </w:rPr>
      </w:pPr>
      <w:r>
        <w:rPr>
          <w:rFonts w:hint="eastAsia" w:ascii="宋体" w:hAnsi="宋体" w:eastAsia="宋体" w:cs="宋体"/>
          <w:sz w:val="24"/>
        </w:rPr>
        <w:t>11.2.6商务技术偏离表；</w:t>
      </w:r>
    </w:p>
    <w:p w14:paraId="0EA77209">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60DC3B78">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rPr>
        <w:t>3</w:t>
      </w:r>
      <w:r>
        <w:rPr>
          <w:rFonts w:hint="eastAsia" w:ascii="宋体" w:hAnsi="宋体" w:eastAsia="宋体" w:cs="宋体"/>
          <w:b/>
          <w:sz w:val="24"/>
        </w:rPr>
        <w:t>报价文件：</w:t>
      </w:r>
      <w:r>
        <w:rPr>
          <w:rFonts w:hint="eastAsia" w:ascii="宋体" w:hAnsi="宋体" w:eastAsia="宋体" w:cs="宋体"/>
          <w:sz w:val="24"/>
        </w:rPr>
        <w:t xml:space="preserve"> </w:t>
      </w:r>
    </w:p>
    <w:p w14:paraId="0B955F4B">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11.3.1开标一览表（报价表）；</w:t>
      </w:r>
    </w:p>
    <w:p w14:paraId="6A431274">
      <w:pPr>
        <w:snapToGrid w:val="0"/>
        <w:spacing w:line="360" w:lineRule="auto"/>
        <w:ind w:firstLine="960" w:firstLineChars="400"/>
        <w:rPr>
          <w:rFonts w:hint="eastAsia" w:ascii="宋体" w:hAnsi="宋体" w:eastAsia="宋体" w:cs="宋体"/>
          <w:sz w:val="24"/>
        </w:rPr>
      </w:pPr>
      <w:r>
        <w:rPr>
          <w:rFonts w:hint="eastAsia" w:ascii="宋体" w:hAnsi="宋体" w:eastAsia="宋体" w:cs="宋体"/>
          <w:sz w:val="24"/>
        </w:rPr>
        <w:t>11.3.2中小企业声明函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eastAsia="宋体" w:cs="宋体"/>
          <w:sz w:val="24"/>
        </w:rPr>
        <w:t>。</w:t>
      </w:r>
    </w:p>
    <w:p w14:paraId="2AA43F2D">
      <w:pPr>
        <w:spacing w:line="360" w:lineRule="auto"/>
        <w:ind w:firstLine="723" w:firstLineChars="300"/>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val="en-US" w:eastAsia="zh-CN"/>
        </w:rPr>
        <w:t>1、</w:t>
      </w:r>
      <w:r>
        <w:rPr>
          <w:rFonts w:hint="eastAsia" w:ascii="宋体" w:hAnsi="宋体" w:eastAsia="宋体" w:cs="宋体"/>
          <w:b/>
          <w:sz w:val="24"/>
        </w:rPr>
        <w:t>磋商响应文件含有采购人不能接受的附加条件的，投标无效；</w:t>
      </w:r>
    </w:p>
    <w:p w14:paraId="22A9E8A4">
      <w:pPr>
        <w:numPr>
          <w:ilvl w:val="0"/>
          <w:numId w:val="1"/>
        </w:numPr>
        <w:spacing w:line="360" w:lineRule="auto"/>
        <w:ind w:firstLine="723" w:firstLineChars="300"/>
        <w:rPr>
          <w:rFonts w:hint="eastAsia" w:ascii="宋体" w:hAnsi="宋体" w:eastAsia="宋体" w:cs="宋体"/>
          <w:b/>
          <w:sz w:val="24"/>
        </w:rPr>
      </w:pPr>
      <w:r>
        <w:rPr>
          <w:rFonts w:hint="eastAsia" w:ascii="宋体" w:hAnsi="宋体" w:eastAsia="宋体" w:cs="宋体"/>
          <w:b/>
          <w:sz w:val="24"/>
        </w:rPr>
        <w:t>供应商提供虚假材料投标的，投标无效</w:t>
      </w:r>
      <w:r>
        <w:rPr>
          <w:rFonts w:hint="eastAsia" w:ascii="宋体" w:hAnsi="宋体" w:cs="宋体"/>
          <w:b/>
          <w:sz w:val="24"/>
          <w:lang w:eastAsia="zh-CN"/>
        </w:rPr>
        <w:t>；</w:t>
      </w:r>
    </w:p>
    <w:p w14:paraId="44A0E2C9">
      <w:pPr>
        <w:numPr>
          <w:ilvl w:val="0"/>
          <w:numId w:val="1"/>
        </w:numPr>
        <w:spacing w:line="360" w:lineRule="auto"/>
        <w:ind w:firstLine="723" w:firstLineChars="300"/>
        <w:rPr>
          <w:rFonts w:hint="eastAsia" w:ascii="宋体" w:hAnsi="宋体" w:eastAsia="宋体" w:cs="宋体"/>
          <w:b/>
          <w:sz w:val="24"/>
          <w:szCs w:val="21"/>
        </w:rPr>
      </w:pPr>
      <w:r>
        <w:rPr>
          <w:rFonts w:hint="eastAsia" w:ascii="宋体" w:hAnsi="宋体" w:eastAsia="宋体" w:cs="宋体"/>
          <w:b/>
          <w:sz w:val="24"/>
        </w:rPr>
        <w:t>资</w:t>
      </w:r>
      <w:r>
        <w:rPr>
          <w:rFonts w:hint="eastAsia" w:ascii="宋体" w:hAnsi="宋体" w:cs="宋体"/>
          <w:b/>
          <w:sz w:val="24"/>
          <w:lang w:val="en-US" w:eastAsia="zh-CN"/>
        </w:rPr>
        <w:t>格</w:t>
      </w:r>
      <w:r>
        <w:rPr>
          <w:rFonts w:hint="eastAsia" w:ascii="宋体" w:hAnsi="宋体" w:eastAsia="宋体" w:cs="宋体"/>
          <w:b/>
          <w:sz w:val="24"/>
        </w:rPr>
        <w:t>文件、</w:t>
      </w:r>
      <w:r>
        <w:rPr>
          <w:rFonts w:hint="eastAsia" w:ascii="宋体" w:hAnsi="宋体" w:eastAsia="宋体" w:cs="宋体"/>
          <w:b/>
          <w:bCs/>
          <w:sz w:val="24"/>
        </w:rPr>
        <w:t>商务技术</w:t>
      </w:r>
      <w:r>
        <w:rPr>
          <w:rFonts w:hint="eastAsia" w:ascii="宋体" w:hAnsi="宋体" w:eastAsia="宋体" w:cs="宋体"/>
          <w:b/>
          <w:bCs/>
          <w:sz w:val="24"/>
          <w:lang w:val="zh-CN"/>
        </w:rPr>
        <w:t>文件</w:t>
      </w:r>
      <w:r>
        <w:rPr>
          <w:rFonts w:hint="eastAsia" w:ascii="宋体" w:hAnsi="宋体" w:eastAsia="宋体" w:cs="宋体"/>
          <w:b/>
          <w:sz w:val="24"/>
        </w:rPr>
        <w:t>中均不得出现投标报价信息，否则以无效标处理。</w:t>
      </w:r>
      <w:r>
        <w:rPr>
          <w:rFonts w:hint="eastAsia" w:ascii="宋体" w:hAnsi="宋体" w:cs="宋体"/>
          <w:b/>
          <w:sz w:val="24"/>
          <w:lang w:val="en-US" w:eastAsia="zh-CN"/>
        </w:rPr>
        <w:t xml:space="preserve">  </w:t>
      </w:r>
      <w:r>
        <w:rPr>
          <w:rFonts w:hint="eastAsia" w:ascii="宋体" w:hAnsi="宋体" w:eastAsia="宋体" w:cs="宋体"/>
          <w:b/>
          <w:sz w:val="24"/>
        </w:rPr>
        <w:t>无格式附件的投标文件内容自拟。</w:t>
      </w:r>
    </w:p>
    <w:p w14:paraId="308A290A">
      <w:pPr>
        <w:pStyle w:val="132"/>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磋商响应文件的编制</w:t>
      </w:r>
    </w:p>
    <w:p w14:paraId="7CC04B6F">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12.1磋商响应文件分为资格文件、商务技术文件、报价文件三部分。各供应商在编制磋商响应文件时请按照竞争性磋商文件第六部分规定的格式进行，混乱的编排导致磋商响应文件被误读或磋商小组查找不到有效文件是供应商的风险。</w:t>
      </w:r>
    </w:p>
    <w:p w14:paraId="484D8139">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12.2供应商进行电子投标应安装客户端软件—“政采云电子交易客户端”，并按照竞争性磋商文件和电子交易平台的要求编制并加密磋商响应文件。供应商未按规定加密的磋商响应文件，电子交易平台将拒收并提示。</w:t>
      </w:r>
    </w:p>
    <w:p w14:paraId="251C6477">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12.3使用“政采云电子交易客户端”需要提前申领CA数字证书，申领流程请自行前往“浙江政府采购网-下载专区-电子交易客户端-CA驱动和申领流程”进行查阅。</w:t>
      </w:r>
    </w:p>
    <w:p w14:paraId="7BF1FE47">
      <w:pPr>
        <w:snapToGrid w:val="0"/>
        <w:spacing w:line="360" w:lineRule="auto"/>
        <w:rPr>
          <w:rFonts w:hint="eastAsia" w:ascii="宋体" w:hAnsi="宋体" w:eastAsia="宋体" w:cs="宋体"/>
          <w:b/>
          <w:sz w:val="24"/>
        </w:rPr>
      </w:pPr>
      <w:r>
        <w:rPr>
          <w:rFonts w:hint="eastAsia" w:ascii="宋体" w:hAnsi="宋体" w:eastAsia="宋体" w:cs="宋体"/>
          <w:b/>
          <w:sz w:val="24"/>
        </w:rPr>
        <w:t>13.磋商响应文件的签署、盖章</w:t>
      </w:r>
    </w:p>
    <w:p w14:paraId="5B2B20ED">
      <w:pPr>
        <w:pStyle w:val="132"/>
        <w:snapToGrid w:val="0"/>
        <w:spacing w:before="0"/>
        <w:ind w:firstLine="480"/>
        <w:rPr>
          <w:rFonts w:hint="eastAsia" w:ascii="宋体" w:hAnsi="宋体" w:eastAsia="宋体" w:cs="宋体"/>
          <w:b/>
        </w:rPr>
      </w:pPr>
      <w:r>
        <w:rPr>
          <w:rFonts w:hint="eastAsia" w:ascii="宋体" w:hAnsi="宋体" w:eastAsia="宋体" w:cs="宋体"/>
          <w:szCs w:val="24"/>
        </w:rPr>
        <w:t>13.1磋商响应文件按照竞争性磋商文件第六部分格式要</w:t>
      </w:r>
      <w:r>
        <w:rPr>
          <w:rFonts w:hint="eastAsia" w:ascii="宋体" w:hAnsi="宋体" w:eastAsia="宋体" w:cs="宋体"/>
        </w:rPr>
        <w:t>求进行签署、盖章。</w:t>
      </w:r>
      <w:r>
        <w:rPr>
          <w:rFonts w:hint="eastAsia" w:ascii="宋体" w:hAnsi="宋体" w:eastAsia="宋体" w:cs="宋体"/>
          <w:b/>
        </w:rPr>
        <w:t>▲供应商的磋商响应文件未按照竞争性磋商文件要求签署、盖章的，其投标无效</w:t>
      </w:r>
      <w:r>
        <w:rPr>
          <w:rFonts w:hint="eastAsia" w:ascii="宋体" w:hAnsi="宋体" w:eastAsia="宋体" w:cs="宋体"/>
          <w:szCs w:val="24"/>
        </w:rPr>
        <w:t>。</w:t>
      </w:r>
    </w:p>
    <w:p w14:paraId="41D7E521">
      <w:pPr>
        <w:pStyle w:val="132"/>
        <w:snapToGrid w:val="0"/>
        <w:spacing w:before="0"/>
        <w:ind w:firstLine="480"/>
        <w:rPr>
          <w:rFonts w:hint="eastAsia" w:ascii="宋体" w:hAnsi="宋体" w:eastAsia="宋体" w:cs="宋体"/>
        </w:rPr>
      </w:pPr>
      <w:r>
        <w:rPr>
          <w:rFonts w:hint="eastAsia" w:ascii="宋体" w:hAnsi="宋体" w:eastAsia="宋体" w:cs="宋体"/>
        </w:rPr>
        <w:t>13.2为确保网上操作合法、有效和安全，供应商应当在投标截止时间前完成在“政府采购云平台”的身份认证，确保在电子投标过程中能够对相关数据电文进行加密和使用电子签名。</w:t>
      </w:r>
    </w:p>
    <w:p w14:paraId="5B8EBFD6">
      <w:pPr>
        <w:pStyle w:val="132"/>
        <w:snapToGrid w:val="0"/>
        <w:spacing w:before="0"/>
        <w:ind w:firstLine="480"/>
        <w:rPr>
          <w:rFonts w:hint="eastAsia" w:ascii="宋体" w:hAnsi="宋体" w:eastAsia="宋体" w:cs="宋体"/>
          <w:szCs w:val="24"/>
        </w:rPr>
      </w:pPr>
      <w:r>
        <w:rPr>
          <w:rFonts w:hint="eastAsia" w:ascii="宋体" w:hAnsi="宋体" w:eastAsia="宋体" w:cs="宋体"/>
        </w:rPr>
        <w:t>13.1竞争性磋商文件对磋商响应文件签署、盖章的要求适用于电子签名。</w:t>
      </w:r>
    </w:p>
    <w:p w14:paraId="6CB8C6FE">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14. 磋商响应文件的提交、补充、修改、撤回</w:t>
      </w:r>
    </w:p>
    <w:p w14:paraId="75E4CEFA">
      <w:pPr>
        <w:pStyle w:val="132"/>
        <w:ind w:firstLine="480"/>
        <w:rPr>
          <w:rFonts w:hint="eastAsia" w:ascii="宋体" w:hAnsi="宋体" w:eastAsia="宋体" w:cs="宋体"/>
          <w:szCs w:val="24"/>
        </w:rPr>
      </w:pPr>
      <w:r>
        <w:rPr>
          <w:rFonts w:hint="eastAsia" w:ascii="宋体" w:hAnsi="宋体" w:eastAsia="宋体" w:cs="宋体"/>
          <w:szCs w:val="24"/>
        </w:rPr>
        <w:t>14.1 供应商应当在投标截止时间前完成磋商响应文件的传输递交，并可以补充、修改或者撤回磋商响应文件。补充或者修改磋商响应文件的，应当先行撤回原文件，补充、修改后重新传输递交。投标截止时间前未完成传输的，视为撤回磋商响应文件。投标截止时间后递交的磋商响应文件，电子交易平台将拒收。</w:t>
      </w:r>
    </w:p>
    <w:p w14:paraId="696258A6">
      <w:pPr>
        <w:pStyle w:val="132"/>
        <w:spacing w:before="0"/>
        <w:ind w:firstLine="480"/>
        <w:rPr>
          <w:rFonts w:hint="eastAsia" w:ascii="宋体" w:hAnsi="宋体" w:eastAsia="宋体" w:cs="宋体"/>
          <w:szCs w:val="24"/>
        </w:rPr>
      </w:pPr>
      <w:r>
        <w:rPr>
          <w:rFonts w:hint="eastAsia" w:ascii="宋体" w:hAnsi="宋体" w:eastAsia="宋体" w:cs="宋体"/>
          <w:szCs w:val="24"/>
        </w:rPr>
        <w:t>14.2电子交易平台收到磋商响应文件，将妥善保存并</w:t>
      </w:r>
      <w:r>
        <w:rPr>
          <w:rFonts w:hint="eastAsia" w:ascii="宋体" w:hAnsi="宋体" w:eastAsia="宋体" w:cs="宋体"/>
          <w:szCs w:val="24"/>
          <w:lang w:eastAsia="zh-CN"/>
        </w:rPr>
        <w:t>及</w:t>
      </w:r>
      <w:r>
        <w:rPr>
          <w:rFonts w:hint="eastAsia" w:ascii="宋体" w:hAnsi="宋体" w:eastAsia="宋体" w:cs="宋体"/>
          <w:szCs w:val="24"/>
        </w:rPr>
        <w:t>时向供应商发出确认回执通知。在投标截止时间前，除供应商补充、修改或者撤回磋商响应文件外，任何单位和个人不得解密或提取磋商响应文件。</w:t>
      </w:r>
    </w:p>
    <w:p w14:paraId="3F54BFEA">
      <w:pPr>
        <w:pStyle w:val="132"/>
        <w:spacing w:before="0"/>
        <w:ind w:firstLine="480"/>
        <w:rPr>
          <w:rFonts w:hint="eastAsia" w:ascii="宋体" w:hAnsi="宋体" w:eastAsia="宋体" w:cs="宋体"/>
          <w:szCs w:val="24"/>
        </w:rPr>
      </w:pPr>
      <w:r>
        <w:rPr>
          <w:rFonts w:hint="eastAsia" w:ascii="宋体" w:hAnsi="宋体" w:eastAsia="宋体" w:cs="宋体"/>
          <w:szCs w:val="24"/>
        </w:rPr>
        <w:t>14.3采购人、采购机构可以视情况延长磋商响应文件提交的截止时间。在上述情况下，采购机构与供应商以前在投标截止期方面的全部权利、责任和义务，将适用于延长至新的投标截止期。</w:t>
      </w:r>
    </w:p>
    <w:p w14:paraId="53C1E99E">
      <w:pPr>
        <w:pStyle w:val="36"/>
        <w:spacing w:line="360" w:lineRule="auto"/>
        <w:rPr>
          <w:rFonts w:hint="eastAsia" w:ascii="宋体" w:hAnsi="宋体" w:eastAsia="宋体" w:cs="宋体"/>
          <w:b/>
          <w:sz w:val="24"/>
          <w:szCs w:val="24"/>
        </w:rPr>
      </w:pPr>
      <w:r>
        <w:rPr>
          <w:rFonts w:hint="eastAsia" w:ascii="宋体" w:hAnsi="宋体" w:eastAsia="宋体" w:cs="宋体"/>
          <w:b/>
          <w:sz w:val="24"/>
          <w:szCs w:val="24"/>
        </w:rPr>
        <w:t>15.备份磋商响应文件</w:t>
      </w:r>
    </w:p>
    <w:p w14:paraId="466AFC3B">
      <w:pPr>
        <w:pStyle w:val="36"/>
        <w:spacing w:line="360" w:lineRule="auto"/>
        <w:ind w:firstLine="360" w:firstLineChars="150"/>
        <w:rPr>
          <w:rFonts w:hint="eastAsia" w:ascii="宋体" w:hAnsi="宋体" w:eastAsia="宋体" w:cs="宋体"/>
          <w:b/>
          <w:sz w:val="24"/>
          <w:szCs w:val="24"/>
        </w:rPr>
      </w:pPr>
      <w:r>
        <w:rPr>
          <w:rFonts w:hint="eastAsia" w:ascii="宋体" w:hAnsi="宋体" w:eastAsia="宋体" w:cs="宋体"/>
          <w:sz w:val="24"/>
          <w:szCs w:val="24"/>
        </w:rPr>
        <w:t xml:space="preserve"> 15.1供应商在电子交易平台传输递交磋商响应文件后，还可以在投标截止时间前直接提交或者以邮政快递方式递交备份磋商响应文件1份，</w:t>
      </w:r>
      <w:r>
        <w:rPr>
          <w:rFonts w:hint="eastAsia" w:ascii="宋体" w:hAnsi="宋体" w:eastAsia="宋体" w:cs="宋体"/>
          <w:b/>
          <w:sz w:val="24"/>
          <w:szCs w:val="24"/>
        </w:rPr>
        <w:t>但采购人、采购机构不强制或变相强制供应商提交备份磋商响应文件。</w:t>
      </w:r>
    </w:p>
    <w:p w14:paraId="69E5B186">
      <w:pPr>
        <w:pStyle w:val="36"/>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15.2备份磋商响应文件须在“政采云投标客户端”制作生成，并储存在</w:t>
      </w:r>
      <w:r>
        <w:rPr>
          <w:rFonts w:hint="eastAsia" w:ascii="宋体" w:hAnsi="宋体" w:eastAsia="宋体" w:cs="宋体"/>
          <w:sz w:val="24"/>
        </w:rPr>
        <w:t>DVD光盘或U盘</w:t>
      </w:r>
      <w:r>
        <w:rPr>
          <w:rFonts w:hint="eastAsia" w:ascii="宋体" w:hAnsi="宋体" w:eastAsia="宋体" w:cs="宋体"/>
          <w:sz w:val="24"/>
          <w:szCs w:val="24"/>
        </w:rPr>
        <w:t>中。备份磋商响应文件应当密封包装并在包装上加盖公章并注明投标</w:t>
      </w:r>
      <w:r>
        <w:rPr>
          <w:rFonts w:hint="eastAsia" w:hAnsi="宋体" w:cs="宋体"/>
          <w:sz w:val="24"/>
          <w:szCs w:val="24"/>
          <w:lang w:val="en-US" w:eastAsia="zh-CN"/>
        </w:rPr>
        <w:t>项目名称</w:t>
      </w:r>
      <w:r>
        <w:rPr>
          <w:rFonts w:hint="eastAsia" w:ascii="宋体" w:hAnsi="宋体" w:eastAsia="宋体" w:cs="宋体"/>
          <w:sz w:val="24"/>
          <w:szCs w:val="24"/>
        </w:rPr>
        <w:t>，供应商名称(联合体投标的，包装物封面需注明联合体投标，并注明联合体成员各方的名称和联合协议中约定的牵头人的名称)。</w:t>
      </w:r>
      <w:r>
        <w:rPr>
          <w:rFonts w:hint="eastAsia" w:ascii="宋体" w:hAnsi="宋体" w:eastAsia="宋体" w:cs="宋体"/>
          <w:b/>
          <w:sz w:val="24"/>
        </w:rPr>
        <w:t>不符合上述制作、</w:t>
      </w:r>
      <w:r>
        <w:rPr>
          <w:rFonts w:hint="eastAsia" w:ascii="宋体" w:hAnsi="宋体" w:eastAsia="宋体" w:cs="宋体"/>
          <w:b/>
          <w:sz w:val="24"/>
          <w:szCs w:val="24"/>
        </w:rPr>
        <w:t>存储、密封规定的备份磋商响应文件将被视为无效或者被拒绝接收。</w:t>
      </w:r>
    </w:p>
    <w:p w14:paraId="61121819">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15.3直接提交备份磋商响应文件的，供应商应于投标截止时间前在竞争性磋商公告中载明的开标地点将备份磋商响应文件提交给采购机构，采购机构将拒绝接受逾期送达的备份磋商响应文件。</w:t>
      </w:r>
    </w:p>
    <w:p w14:paraId="5CBEA1F7">
      <w:pPr>
        <w:pStyle w:val="36"/>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15.4以邮政快递方式递交备份磋商响应文件的，供应商应先将备份磋商响应文件按要求密封和标记，再进行邮政快递包装后邮寄。备份磋商响应文件须在投标截止时间之前送达</w:t>
      </w:r>
      <w:r>
        <w:rPr>
          <w:rFonts w:hint="eastAsia" w:ascii="宋体" w:hAnsi="宋体" w:eastAsia="宋体" w:cs="宋体"/>
          <w:snapToGrid/>
          <w:sz w:val="24"/>
          <w:szCs w:val="24"/>
        </w:rPr>
        <w:t>竞争性磋商文件第二部分供应商须知前附表规定的备份磋商响应文件送达地点；</w:t>
      </w:r>
      <w:r>
        <w:rPr>
          <w:rFonts w:hint="eastAsia" w:ascii="宋体" w:hAnsi="宋体" w:eastAsia="宋体" w:cs="宋体"/>
          <w:sz w:val="24"/>
          <w:szCs w:val="24"/>
        </w:rPr>
        <w:t>送达时间以签收人签收时间为准。采购机构将拒绝接受逾期送达的备份磋商响应文件。邮寄过程中，电子备份磋商响应文件发生泄露、遗失、损坏或延期送达等情况的，由供应商自行负责。</w:t>
      </w:r>
    </w:p>
    <w:p w14:paraId="66D8761D">
      <w:pPr>
        <w:pStyle w:val="36"/>
        <w:spacing w:line="360" w:lineRule="auto"/>
        <w:ind w:firstLine="479" w:firstLineChars="199"/>
        <w:rPr>
          <w:rFonts w:hint="eastAsia" w:ascii="宋体" w:hAnsi="宋体" w:eastAsia="宋体" w:cs="宋体"/>
          <w:b/>
          <w:sz w:val="24"/>
          <w:szCs w:val="24"/>
        </w:rPr>
      </w:pPr>
      <w:r>
        <w:rPr>
          <w:rFonts w:hint="eastAsia" w:ascii="宋体" w:hAnsi="宋体" w:eastAsia="宋体" w:cs="宋体"/>
          <w:b/>
          <w:sz w:val="24"/>
          <w:szCs w:val="24"/>
        </w:rPr>
        <w:t>15.5供应商仅提交备份磋商响应文件，没有在电子交易平台传输递交磋商响应文件的，投标无效。</w:t>
      </w:r>
    </w:p>
    <w:p w14:paraId="1FF0B5E8">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16.磋商响应文件的无效处理</w:t>
      </w:r>
    </w:p>
    <w:p w14:paraId="2E65338E">
      <w:pPr>
        <w:pStyle w:val="28"/>
        <w:spacing w:line="360" w:lineRule="auto"/>
        <w:ind w:firstLine="360" w:firstLineChars="150"/>
        <w:rPr>
          <w:rFonts w:hint="eastAsia" w:ascii="宋体" w:hAnsi="宋体" w:eastAsia="宋体" w:cs="宋体"/>
          <w:szCs w:val="21"/>
        </w:rPr>
      </w:pPr>
      <w:r>
        <w:rPr>
          <w:rFonts w:hint="eastAsia" w:ascii="宋体" w:hAnsi="宋体" w:eastAsia="宋体" w:cs="宋体"/>
          <w:szCs w:val="21"/>
        </w:rPr>
        <w:t>有竞争性磋商文件第四部分</w:t>
      </w:r>
      <w:r>
        <w:rPr>
          <w:rFonts w:hint="eastAsia" w:ascii="宋体" w:hAnsi="宋体" w:eastAsia="宋体" w:cs="宋体"/>
        </w:rPr>
        <w:t>第13项规定</w:t>
      </w:r>
      <w:r>
        <w:rPr>
          <w:rFonts w:hint="eastAsia" w:ascii="宋体" w:hAnsi="宋体" w:eastAsia="宋体" w:cs="宋体"/>
          <w:szCs w:val="21"/>
        </w:rPr>
        <w:t>的情形之一的，投标无效：</w:t>
      </w:r>
    </w:p>
    <w:p w14:paraId="309B5515">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49BACDCF">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17.1投标有效期为从提交磋商响应文件的截止之日起90天。▲</w:t>
      </w:r>
      <w:r>
        <w:rPr>
          <w:rFonts w:hint="eastAsia" w:ascii="宋体" w:hAnsi="宋体" w:eastAsia="宋体" w:cs="宋体"/>
          <w:b/>
          <w:sz w:val="24"/>
          <w:szCs w:val="20"/>
        </w:rPr>
        <w:t>供应商的磋商响应文件中承</w:t>
      </w:r>
      <w:r>
        <w:rPr>
          <w:rFonts w:hint="eastAsia" w:ascii="宋体" w:hAnsi="宋体" w:eastAsia="宋体" w:cs="宋体"/>
          <w:b/>
          <w:sz w:val="24"/>
          <w:szCs w:val="21"/>
        </w:rPr>
        <w:t>诺的投标有效期少于竞争性磋商文件中载明的投标有效期的，投标无效。</w:t>
      </w:r>
    </w:p>
    <w:p w14:paraId="40DC38AD">
      <w:pPr>
        <w:pStyle w:val="132"/>
        <w:spacing w:before="0"/>
        <w:ind w:firstLine="480"/>
        <w:rPr>
          <w:rFonts w:hint="eastAsia" w:ascii="宋体" w:hAnsi="宋体" w:eastAsia="宋体" w:cs="宋体"/>
        </w:rPr>
      </w:pPr>
      <w:r>
        <w:rPr>
          <w:rFonts w:hint="eastAsia" w:ascii="宋体" w:hAnsi="宋体" w:eastAsia="宋体" w:cs="宋体"/>
        </w:rPr>
        <w:t>17.2磋商响应文件合格投递后，自投标截止日期起，在投标有效期内有效。</w:t>
      </w:r>
    </w:p>
    <w:p w14:paraId="26DCF0CB">
      <w:pPr>
        <w:pStyle w:val="132"/>
        <w:spacing w:before="0" w:after="240"/>
        <w:ind w:firstLine="480"/>
        <w:rPr>
          <w:rFonts w:hint="eastAsia" w:ascii="宋体" w:hAnsi="宋体" w:eastAsia="宋体" w:cs="宋体"/>
          <w:b/>
          <w:sz w:val="32"/>
        </w:rPr>
      </w:pPr>
      <w:r>
        <w:rPr>
          <w:rFonts w:hint="eastAsia" w:ascii="宋体" w:hAnsi="宋体" w:eastAsia="宋体" w:cs="宋体"/>
        </w:rPr>
        <w:t>17.3在原定投标有效期满之前，如果出现特殊情况，采购机构可以以书面形式通知供应商延长投标有效期。供应商同意延长的，不得要求或被允许修改其磋商响应文件，供应商拒绝延长的，其投标无效。</w:t>
      </w:r>
    </w:p>
    <w:p w14:paraId="61226BF6">
      <w:pPr>
        <w:pStyle w:val="132"/>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3F815468">
      <w:pPr>
        <w:pStyle w:val="556"/>
        <w:spacing w:before="0" w:line="360" w:lineRule="auto"/>
        <w:ind w:left="0" w:firstLine="241" w:firstLineChars="10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7F0366A4">
      <w:pPr>
        <w:pStyle w:val="556"/>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18.1采购机构按照竞争性磋商文件规定的时间通过电子交易平台组织开标，所有供应商均应当准时在线参加。</w:t>
      </w:r>
      <w:r>
        <w:rPr>
          <w:rFonts w:hint="eastAsia" w:ascii="宋体" w:hAnsi="宋体" w:eastAsia="宋体" w:cs="宋体"/>
          <w:b/>
          <w:bCs/>
          <w:sz w:val="24"/>
        </w:rPr>
        <w:t>供应商不足3家的，不得开标。</w:t>
      </w:r>
    </w:p>
    <w:p w14:paraId="66EEED7C">
      <w:pPr>
        <w:pStyle w:val="556"/>
        <w:spacing w:before="0" w:line="360" w:lineRule="auto"/>
        <w:ind w:left="0" w:firstLine="240" w:firstLineChars="100"/>
        <w:contextualSpacing/>
        <w:rPr>
          <w:rFonts w:hint="eastAsia" w:ascii="宋体" w:hAnsi="宋体" w:eastAsia="宋体" w:cs="宋体"/>
          <w:sz w:val="24"/>
        </w:rPr>
      </w:pPr>
      <w:r>
        <w:rPr>
          <w:rFonts w:hint="eastAsia" w:ascii="宋体" w:hAnsi="宋体" w:eastAsia="宋体" w:cs="宋体"/>
          <w:sz w:val="24"/>
        </w:rPr>
        <w:t>　18.2开标时，电子交易平台按开标时间自动提取所有磋商响应文件。采购机构依托电子交易平台发起开始解密指令，供应商按照平台提示和竞争性磋商文件的规定在半小时内完成在线解密。</w:t>
      </w:r>
    </w:p>
    <w:p w14:paraId="0D89F64C">
      <w:pPr>
        <w:pStyle w:val="556"/>
        <w:spacing w:before="0" w:line="360" w:lineRule="auto"/>
        <w:ind w:left="0" w:firstLine="240" w:firstLineChars="100"/>
        <w:contextualSpacing/>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磋商响应文件未按时解密，供应商提供了备份磋商响应文件的，以备份磋商响应文件作为依据，否则视为磋商响应文件撤回。磋商响应文件已按时解密的，备份磋商响应文件自动失效。</w:t>
      </w:r>
    </w:p>
    <w:p w14:paraId="53DB6B77">
      <w:pPr>
        <w:keepNext w:val="0"/>
        <w:keepLines w:val="0"/>
        <w:pageBreakBefore w:val="0"/>
        <w:widowControl/>
        <w:kinsoku/>
        <w:wordWrap/>
        <w:overflowPunct/>
        <w:topLinePunct w:val="0"/>
        <w:autoSpaceDE/>
        <w:autoSpaceDN/>
        <w:bidi w:val="0"/>
        <w:adjustRightInd w:val="0"/>
        <w:snapToGrid/>
        <w:spacing w:before="100" w:beforeAutospacing="1" w:after="120" w:line="240" w:lineRule="auto"/>
        <w:jc w:val="left"/>
        <w:textAlignment w:val="auto"/>
        <w:rPr>
          <w:rFonts w:hint="eastAsia" w:ascii="宋体" w:hAnsi="宋体" w:eastAsia="宋体" w:cs="宋体"/>
          <w:b/>
          <w:sz w:val="24"/>
          <w:szCs w:val="20"/>
        </w:rPr>
      </w:pPr>
      <w:r>
        <w:rPr>
          <w:rFonts w:hint="eastAsia" w:ascii="宋体" w:hAnsi="宋体" w:eastAsia="宋体" w:cs="宋体"/>
          <w:b/>
          <w:sz w:val="24"/>
          <w:szCs w:val="20"/>
        </w:rPr>
        <w:t>　19、资格审查</w:t>
      </w:r>
    </w:p>
    <w:p w14:paraId="2B983DD3">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19.1开标后，采购人或采购机构将依法对供应商的资格进行审查。</w:t>
      </w:r>
    </w:p>
    <w:p w14:paraId="29EE3CA9">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采购人或采购机构依据法律法规和竞争性磋商文件的规定，对供应商的基本资格条件、特定资格条件进行审查。</w:t>
      </w:r>
    </w:p>
    <w:p w14:paraId="55020D14">
      <w:pPr>
        <w:pStyle w:val="132"/>
        <w:spacing w:before="0"/>
        <w:ind w:firstLine="480"/>
        <w:rPr>
          <w:rFonts w:hint="eastAsia" w:ascii="宋体" w:hAnsi="宋体" w:eastAsia="宋体" w:cs="宋体"/>
        </w:rPr>
      </w:pPr>
      <w:r>
        <w:rPr>
          <w:rFonts w:hint="eastAsia" w:ascii="宋体" w:hAnsi="宋体" w:eastAsia="宋体" w:cs="宋体"/>
          <w:kern w:val="0"/>
          <w:szCs w:val="24"/>
        </w:rPr>
        <w:t>19.3供应商未按照竞争性磋商文件要求提供与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eastAsia="宋体" w:cs="宋体"/>
        </w:rPr>
        <w:t>供应商不具备竞争性磋商文件中规定的资格要求，其投标无效。</w:t>
      </w:r>
    </w:p>
    <w:p w14:paraId="2AED6DFB">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4对未通过资格审查的供应商，采购人或采购机构告知其未通过的原因。</w:t>
      </w:r>
    </w:p>
    <w:p w14:paraId="0FB9EB02">
      <w:pPr>
        <w:pStyle w:val="132"/>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w:t>
      </w:r>
      <w:r>
        <w:rPr>
          <w:rFonts w:hint="eastAsia" w:ascii="宋体" w:hAnsi="宋体" w:eastAsia="宋体" w:cs="宋体"/>
          <w:b/>
          <w:bCs/>
        </w:rPr>
        <w:t>合格供应商不足3家的，不再评标。</w:t>
      </w:r>
    </w:p>
    <w:p w14:paraId="71215031">
      <w:pPr>
        <w:pStyle w:val="132"/>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56E4FCA5">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20.1信用信息查询渠道及截止时间：采购机构将通过“信用中国”网站(www.creditchina.gov.cn)、中国政府采购网(www.ccgp.gov.cn)渠道查询供应商投标截止时间当天的信用记录。</w:t>
      </w:r>
    </w:p>
    <w:p w14:paraId="08C6F4D7">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20.2信用信息查询记录和证据留存的具体方式：现场查询的供应商的信用记录、查询结果经确认后将与采购文件一起存档。</w:t>
      </w:r>
    </w:p>
    <w:p w14:paraId="5299FD77">
      <w:pPr>
        <w:pStyle w:val="132"/>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20.3信用信息的使用规则：经查询列入失信被执行人名单、重大税收违法案件当事人名单、政府采购严重违法失信行为记录名单的供应商将被拒绝参与政府采购活动。</w:t>
      </w:r>
    </w:p>
    <w:p w14:paraId="6AF74A45">
      <w:pPr>
        <w:pStyle w:val="132"/>
        <w:spacing w:before="0" w:after="240"/>
        <w:ind w:firstLine="480"/>
        <w:rPr>
          <w:rFonts w:hint="eastAsia" w:ascii="宋体" w:hAnsi="宋体" w:eastAsia="宋体" w:cs="宋体"/>
          <w:kern w:val="0"/>
          <w:szCs w:val="24"/>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407C45D9">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7FCD82EA">
      <w:pPr>
        <w:pStyle w:val="132"/>
        <w:snapToGrid w:val="0"/>
        <w:spacing w:before="0" w:after="240"/>
        <w:ind w:firstLine="0" w:firstLineChars="0"/>
        <w:rPr>
          <w:rFonts w:hint="eastAsia" w:ascii="宋体" w:hAnsi="宋体" w:eastAsia="宋体" w:cs="宋体"/>
          <w:b/>
        </w:rPr>
      </w:pPr>
      <w:bookmarkStart w:id="11" w:name="_Toc91899903"/>
      <w:r>
        <w:rPr>
          <w:rFonts w:hint="eastAsia" w:ascii="宋体" w:hAnsi="宋体" w:eastAsia="宋体" w:cs="宋体"/>
          <w:b/>
        </w:rPr>
        <w:t>21.</w:t>
      </w:r>
      <w:r>
        <w:rPr>
          <w:rFonts w:hint="eastAsia" w:ascii="宋体" w:hAnsi="宋体" w:eastAsia="宋体" w:cs="宋体"/>
        </w:rPr>
        <w:t xml:space="preserve"> 竞争性磋商小组将根据磋商文件和有关规定，履行评标工作职责，并按照评标方法及评分标准，全面衡量各投标供应商对招标文件的响应情况。对实质上响应磋商文件的投标供应商，按照评审因素的量化指标排出推荐中标的投标人的先后顺序，并按顺序提出授标建议。</w:t>
      </w:r>
      <w:r>
        <w:rPr>
          <w:rFonts w:hint="eastAsia" w:ascii="宋体" w:hAnsi="宋体" w:eastAsia="宋体" w:cs="宋体"/>
          <w:b/>
        </w:rPr>
        <w:t>详见招标文件第四部分评标办法</w:t>
      </w:r>
    </w:p>
    <w:p w14:paraId="2F5D4D4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六、定标</w:t>
      </w:r>
    </w:p>
    <w:p w14:paraId="3AAF85C7">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22. 确定中标供应商</w:t>
      </w:r>
    </w:p>
    <w:p w14:paraId="672D2033">
      <w:pPr>
        <w:pStyle w:val="132"/>
        <w:snapToGrid w:val="0"/>
        <w:spacing w:before="0"/>
        <w:ind w:firstLine="480"/>
        <w:rPr>
          <w:rFonts w:hint="eastAsia" w:ascii="宋体" w:hAnsi="宋体" w:eastAsia="宋体" w:cs="宋体"/>
          <w:b/>
          <w:szCs w:val="24"/>
        </w:rPr>
      </w:pPr>
      <w:r>
        <w:rPr>
          <w:rFonts w:hint="eastAsia" w:ascii="宋体" w:hAnsi="宋体" w:eastAsia="宋体" w:cs="宋体"/>
          <w:szCs w:val="24"/>
        </w:rPr>
        <w:t>采购人将自收到评审报告之日起5个工作日内通过电子交易平台在评审报告推荐的中标候选人中按顺序确定中标供应商。</w:t>
      </w:r>
    </w:p>
    <w:p w14:paraId="1E054627">
      <w:pPr>
        <w:pStyle w:val="132"/>
        <w:snapToGrid w:val="0"/>
        <w:spacing w:before="0"/>
        <w:ind w:firstLine="0" w:firstLineChars="0"/>
        <w:rPr>
          <w:rFonts w:hint="eastAsia" w:ascii="宋体" w:hAnsi="宋体" w:eastAsia="宋体" w:cs="宋体"/>
          <w:b/>
          <w:szCs w:val="24"/>
        </w:rPr>
      </w:pPr>
      <w:r>
        <w:rPr>
          <w:rFonts w:hint="eastAsia" w:ascii="宋体" w:hAnsi="宋体" w:eastAsia="宋体" w:cs="宋体"/>
          <w:b/>
          <w:szCs w:val="24"/>
        </w:rPr>
        <w:t>23. 中标通知与中标结果公告</w:t>
      </w:r>
    </w:p>
    <w:p w14:paraId="771ECFB6">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45C51E94">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w:t>
      </w:r>
      <w:r>
        <w:rPr>
          <w:rFonts w:hint="eastAsia" w:ascii="宋体" w:hAnsi="宋体" w:cs="宋体"/>
          <w:sz w:val="24"/>
          <w:lang w:eastAsia="zh-CN"/>
        </w:rPr>
        <w:t>2025年度桐庐县计生系列保险服务项目</w:t>
      </w:r>
      <w:r>
        <w:rPr>
          <w:rFonts w:hint="eastAsia" w:ascii="宋体" w:hAnsi="宋体" w:eastAsia="宋体" w:cs="宋体"/>
          <w:sz w:val="24"/>
        </w:rPr>
        <w:t>和项目编号，中标人名称、地址和中标金额，主要中标标的的名称、数量、单价、服务要</w:t>
      </w:r>
    </w:p>
    <w:p w14:paraId="232238D6">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、中标公告期限以及评审专家名单、评分汇总及明细。</w:t>
      </w:r>
    </w:p>
    <w:p w14:paraId="54E88BF6">
      <w:pPr>
        <w:widowControl/>
        <w:spacing w:after="240" w:line="360" w:lineRule="auto"/>
        <w:ind w:firstLine="482"/>
        <w:jc w:val="left"/>
        <w:rPr>
          <w:rFonts w:hint="eastAsia" w:ascii="宋体" w:hAnsi="宋体" w:eastAsia="宋体" w:cs="宋体"/>
          <w:b/>
          <w:sz w:val="32"/>
        </w:rPr>
      </w:pPr>
      <w:r>
        <w:rPr>
          <w:rFonts w:hint="eastAsia" w:ascii="宋体" w:hAnsi="宋体" w:eastAsia="宋体" w:cs="宋体"/>
          <w:sz w:val="24"/>
        </w:rPr>
        <w:t>23.1公告期限为1个工作日。</w:t>
      </w:r>
    </w:p>
    <w:p w14:paraId="2F48C9A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7DCAB30C">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67697EE9">
      <w:pPr>
        <w:pStyle w:val="28"/>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16E32E6C">
      <w:pPr>
        <w:widowControl/>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采购人与中标人应当通过电子交易平台在中标通知书发出之日起三十日内，按照竞争性磋商文件确定的事项签订政府采购合同，并在合同签订之日起2个工作日内依法发布合同公告。</w:t>
      </w:r>
    </w:p>
    <w:p w14:paraId="4885F373">
      <w:pPr>
        <w:pStyle w:val="132"/>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0082F1F1">
      <w:pPr>
        <w:pStyle w:val="132"/>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2CD4C20B">
      <w:pPr>
        <w:pStyle w:val="132"/>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1E2E2D16">
      <w:pPr>
        <w:pStyle w:val="132"/>
        <w:snapToGrid w:val="0"/>
        <w:spacing w:before="0" w:after="120"/>
        <w:ind w:firstLine="480"/>
        <w:rPr>
          <w:rFonts w:hint="eastAsia" w:ascii="宋体" w:hAnsi="宋体" w:eastAsia="宋体" w:cs="宋体"/>
        </w:rPr>
      </w:pPr>
      <w:r>
        <w:rPr>
          <w:rFonts w:hint="eastAsia" w:ascii="宋体" w:hAnsi="宋体" w:eastAsia="宋体" w:cs="宋体"/>
        </w:rPr>
        <w:t>25.5采购合同由采购人与中标供应商根据竞争性磋商文件、磋商响应文件等内容通过政府采购电子交易平台在线签订，自动备案。</w:t>
      </w:r>
    </w:p>
    <w:p w14:paraId="120B61DF">
      <w:pPr>
        <w:pStyle w:val="28"/>
        <w:spacing w:line="360" w:lineRule="auto"/>
        <w:ind w:left="479" w:hanging="479" w:hangingChars="199"/>
        <w:rPr>
          <w:rFonts w:hint="eastAsia" w:ascii="宋体" w:hAnsi="宋体" w:eastAsia="宋体" w:cs="宋体"/>
          <w:b/>
          <w:lang w:eastAsia="zh-CN"/>
        </w:rPr>
      </w:pPr>
      <w:r>
        <w:rPr>
          <w:rFonts w:hint="eastAsia" w:ascii="宋体" w:hAnsi="宋体" w:eastAsia="宋体" w:cs="宋体"/>
          <w:b/>
        </w:rPr>
        <w:t>26. 履约保证金</w:t>
      </w:r>
      <w:r>
        <w:rPr>
          <w:rFonts w:hint="eastAsia" w:ascii="宋体" w:hAnsi="宋体" w:eastAsia="宋体" w:cs="宋体"/>
          <w:b/>
          <w:lang w:eastAsia="zh-CN"/>
        </w:rPr>
        <w:t>：</w:t>
      </w:r>
      <w:r>
        <w:rPr>
          <w:rFonts w:hint="eastAsia" w:ascii="宋体" w:hAnsi="宋体" w:eastAsia="宋体" w:cs="宋体"/>
          <w:kern w:val="2"/>
          <w:sz w:val="24"/>
          <w:szCs w:val="20"/>
          <w:lang w:val="en-US" w:eastAsia="zh-CN" w:bidi="ar-SA"/>
        </w:rPr>
        <w:t>本项目不要求缴纳履约保证金。</w:t>
      </w:r>
    </w:p>
    <w:p w14:paraId="29D3A412">
      <w:pPr>
        <w:snapToGrid w:val="0"/>
        <w:spacing w:line="360" w:lineRule="auto"/>
        <w:ind w:firstLine="3357" w:firstLineChars="1045"/>
        <w:rPr>
          <w:rFonts w:hint="eastAsia" w:ascii="宋体" w:hAnsi="宋体" w:eastAsia="宋体" w:cs="宋体"/>
          <w:b/>
          <w:sz w:val="32"/>
        </w:rPr>
      </w:pPr>
    </w:p>
    <w:p w14:paraId="3E0D1C99">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794D6130">
      <w:pPr>
        <w:pStyle w:val="132"/>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rPr>
        <w:t>7.</w:t>
      </w:r>
      <w:r>
        <w:rPr>
          <w:rFonts w:hint="eastAsia" w:ascii="宋体" w:hAnsi="宋体" w:eastAsia="宋体" w:cs="宋体"/>
          <w:b/>
          <w:szCs w:val="24"/>
        </w:rPr>
        <w:t xml:space="preserve">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6B081B2B">
      <w:pPr>
        <w:pStyle w:val="132"/>
        <w:snapToGrid w:val="0"/>
        <w:spacing w:before="0"/>
        <w:ind w:firstLine="480"/>
        <w:rPr>
          <w:rFonts w:hint="eastAsia" w:ascii="宋体" w:hAnsi="宋体" w:eastAsia="宋体" w:cs="宋体"/>
        </w:rPr>
      </w:pPr>
      <w:r>
        <w:rPr>
          <w:rFonts w:hint="eastAsia" w:ascii="宋体" w:hAnsi="宋体" w:eastAsia="宋体" w:cs="宋体"/>
        </w:rPr>
        <w:t xml:space="preserve">27.1电子交易平台发生故障而无法登录访问的； </w:t>
      </w:r>
    </w:p>
    <w:p w14:paraId="74F41D9F">
      <w:pPr>
        <w:pStyle w:val="132"/>
        <w:snapToGrid w:val="0"/>
        <w:spacing w:before="0"/>
        <w:ind w:firstLine="480"/>
        <w:rPr>
          <w:rFonts w:hint="eastAsia" w:ascii="宋体" w:hAnsi="宋体" w:eastAsia="宋体" w:cs="宋体"/>
        </w:rPr>
      </w:pPr>
      <w:r>
        <w:rPr>
          <w:rFonts w:hint="eastAsia" w:ascii="宋体" w:hAnsi="宋体" w:eastAsia="宋体" w:cs="宋体"/>
        </w:rPr>
        <w:t>27.2电子交易平台应用或数据库出现错误，不能进行正常操作的；</w:t>
      </w:r>
    </w:p>
    <w:p w14:paraId="5C47416E">
      <w:pPr>
        <w:pStyle w:val="132"/>
        <w:snapToGrid w:val="0"/>
        <w:spacing w:before="0"/>
        <w:ind w:firstLine="480"/>
        <w:rPr>
          <w:rFonts w:hint="eastAsia" w:ascii="宋体" w:hAnsi="宋体" w:eastAsia="宋体" w:cs="宋体"/>
        </w:rPr>
      </w:pPr>
      <w:r>
        <w:rPr>
          <w:rFonts w:hint="eastAsia" w:ascii="宋体" w:hAnsi="宋体" w:eastAsia="宋体" w:cs="宋体"/>
        </w:rPr>
        <w:t>27.3电子交易平台发现严重安全漏洞，有潜在泄密危险的；</w:t>
      </w:r>
    </w:p>
    <w:p w14:paraId="1D755ACE">
      <w:pPr>
        <w:pStyle w:val="132"/>
        <w:snapToGrid w:val="0"/>
        <w:spacing w:before="0"/>
        <w:ind w:firstLine="480"/>
        <w:rPr>
          <w:rFonts w:hint="eastAsia" w:ascii="宋体" w:hAnsi="宋体" w:eastAsia="宋体" w:cs="宋体"/>
        </w:rPr>
      </w:pPr>
      <w:r>
        <w:rPr>
          <w:rFonts w:hint="eastAsia" w:ascii="宋体" w:hAnsi="宋体" w:eastAsia="宋体" w:cs="宋体"/>
        </w:rPr>
        <w:t xml:space="preserve">27.4病毒发作导致不能进行正常操作的； </w:t>
      </w:r>
    </w:p>
    <w:p w14:paraId="31A84A64">
      <w:pPr>
        <w:pStyle w:val="132"/>
        <w:snapToGrid w:val="0"/>
        <w:spacing w:before="0"/>
        <w:ind w:firstLine="480"/>
        <w:rPr>
          <w:rFonts w:hint="eastAsia" w:ascii="宋体" w:hAnsi="宋体" w:eastAsia="宋体" w:cs="宋体"/>
        </w:rPr>
      </w:pPr>
      <w:r>
        <w:rPr>
          <w:rFonts w:hint="eastAsia" w:ascii="宋体" w:hAnsi="宋体" w:eastAsia="宋体" w:cs="宋体"/>
        </w:rPr>
        <w:t>27.5其他无法保证电子交易的公平、公正和安全的情况。</w:t>
      </w:r>
    </w:p>
    <w:p w14:paraId="353EF3E5">
      <w:pPr>
        <w:pStyle w:val="132"/>
        <w:snapToGrid w:val="0"/>
        <w:spacing w:before="0" w:after="240"/>
        <w:ind w:firstLine="0" w:firstLineChars="0"/>
        <w:rPr>
          <w:rFonts w:hint="eastAsia" w:ascii="宋体" w:hAnsi="宋体" w:eastAsia="宋体" w:cs="宋体"/>
        </w:rPr>
      </w:pPr>
      <w:r>
        <w:rPr>
          <w:rFonts w:hint="eastAsia" w:ascii="宋体" w:hAnsi="宋体" w:eastAsia="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bookmarkEnd w:id="9"/>
    <w:bookmarkEnd w:id="10"/>
    <w:bookmarkEnd w:id="11"/>
    <w:p w14:paraId="42EC9B23">
      <w:pPr>
        <w:spacing w:line="360" w:lineRule="auto"/>
        <w:jc w:val="center"/>
        <w:outlineLvl w:val="0"/>
        <w:rPr>
          <w:rFonts w:hint="eastAsia" w:ascii="宋体" w:hAnsi="宋体" w:eastAsia="宋体" w:cs="宋体"/>
          <w:b/>
          <w:sz w:val="36"/>
          <w:szCs w:val="36"/>
        </w:rPr>
      </w:pPr>
      <w:bookmarkStart w:id="12" w:name="_Hlt75236290"/>
      <w:bookmarkEnd w:id="12"/>
      <w:bookmarkStart w:id="13" w:name="_Hlt74729768"/>
      <w:bookmarkEnd w:id="13"/>
      <w:bookmarkStart w:id="14" w:name="_Hlt68073093"/>
      <w:bookmarkEnd w:id="14"/>
      <w:bookmarkStart w:id="15" w:name="_Hlt68072990"/>
      <w:bookmarkEnd w:id="15"/>
      <w:bookmarkStart w:id="16" w:name="_Hlt68403820"/>
      <w:bookmarkEnd w:id="16"/>
      <w:bookmarkStart w:id="17" w:name="_Hlt75236011"/>
      <w:bookmarkEnd w:id="17"/>
      <w:bookmarkStart w:id="18" w:name="_Hlt68057669"/>
      <w:bookmarkEnd w:id="18"/>
      <w:bookmarkStart w:id="19" w:name="_Hlt74714665"/>
      <w:bookmarkEnd w:id="19"/>
      <w:bookmarkStart w:id="20" w:name="_Hlt74730295"/>
      <w:bookmarkEnd w:id="20"/>
      <w:bookmarkStart w:id="21" w:name="_Hlt74707468"/>
      <w:bookmarkEnd w:id="21"/>
      <w:bookmarkStart w:id="22" w:name="_Hlt68072998"/>
      <w:bookmarkEnd w:id="22"/>
      <w:bookmarkStart w:id="23" w:name="_Hlt75236101"/>
      <w:bookmarkEnd w:id="23"/>
      <w:bookmarkStart w:id="24" w:name="第四部分"/>
    </w:p>
    <w:p w14:paraId="1A7FA2ED">
      <w:pPr>
        <w:spacing w:line="360" w:lineRule="auto"/>
        <w:jc w:val="center"/>
        <w:outlineLvl w:val="0"/>
        <w:rPr>
          <w:rFonts w:hint="eastAsia" w:ascii="宋体" w:hAnsi="宋体" w:eastAsia="宋体" w:cs="宋体"/>
          <w:b/>
          <w:sz w:val="36"/>
          <w:szCs w:val="36"/>
        </w:rPr>
      </w:pPr>
    </w:p>
    <w:p w14:paraId="441F42ED">
      <w:pPr>
        <w:spacing w:line="360" w:lineRule="auto"/>
        <w:jc w:val="center"/>
        <w:outlineLvl w:val="0"/>
        <w:rPr>
          <w:rFonts w:hint="eastAsia" w:ascii="宋体" w:hAnsi="宋体" w:eastAsia="宋体" w:cs="宋体"/>
          <w:b/>
          <w:sz w:val="36"/>
          <w:szCs w:val="36"/>
        </w:rPr>
      </w:pPr>
    </w:p>
    <w:p w14:paraId="5D9543F1">
      <w:pPr>
        <w:spacing w:line="360" w:lineRule="auto"/>
        <w:jc w:val="center"/>
        <w:outlineLvl w:val="0"/>
        <w:rPr>
          <w:rFonts w:hint="eastAsia" w:ascii="宋体" w:hAnsi="宋体" w:eastAsia="宋体" w:cs="宋体"/>
          <w:b/>
          <w:sz w:val="36"/>
          <w:szCs w:val="36"/>
        </w:rPr>
      </w:pPr>
    </w:p>
    <w:p w14:paraId="618E03BF">
      <w:pPr>
        <w:spacing w:line="360" w:lineRule="auto"/>
        <w:jc w:val="center"/>
        <w:outlineLvl w:val="0"/>
        <w:rPr>
          <w:rFonts w:hint="eastAsia" w:ascii="宋体" w:hAnsi="宋体" w:eastAsia="宋体" w:cs="宋体"/>
          <w:b/>
          <w:sz w:val="36"/>
          <w:szCs w:val="36"/>
        </w:rPr>
      </w:pPr>
    </w:p>
    <w:p w14:paraId="700C4343">
      <w:pPr>
        <w:pStyle w:val="27"/>
        <w:ind w:left="0" w:leftChars="0" w:firstLine="0" w:firstLineChars="0"/>
        <w:rPr>
          <w:rFonts w:hint="eastAsia"/>
          <w:lang w:val="en-US" w:eastAsia="zh-CN"/>
        </w:rPr>
      </w:pPr>
    </w:p>
    <w:p w14:paraId="70CD2FEF">
      <w:pPr>
        <w:pStyle w:val="27"/>
        <w:rPr>
          <w:rFonts w:hint="eastAsia"/>
          <w:lang w:val="en-US" w:eastAsia="zh-CN"/>
        </w:rPr>
      </w:pPr>
    </w:p>
    <w:p w14:paraId="35B11EC8">
      <w:pPr>
        <w:spacing w:line="360" w:lineRule="auto"/>
        <w:jc w:val="center"/>
        <w:outlineLvl w:val="0"/>
        <w:rPr>
          <w:rFonts w:hint="eastAsia"/>
          <w:lang w:val="en-US" w:eastAsia="zh-CN"/>
        </w:rPr>
      </w:pPr>
      <w:r>
        <w:rPr>
          <w:rFonts w:hint="eastAsia" w:ascii="宋体" w:hAnsi="宋体" w:eastAsia="宋体" w:cs="宋体"/>
          <w:b/>
          <w:sz w:val="36"/>
          <w:szCs w:val="36"/>
        </w:rPr>
        <w:t>第三部分   采购需求</w:t>
      </w:r>
    </w:p>
    <w:p w14:paraId="2423EF82">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一、概述</w:t>
      </w:r>
    </w:p>
    <w:p w14:paraId="2C63C025">
      <w:pPr>
        <w:snapToGrid w:val="0"/>
        <w:spacing w:line="360" w:lineRule="auto"/>
        <w:ind w:firstLine="480" w:firstLineChars="200"/>
        <w:rPr>
          <w:rFonts w:ascii="宋体" w:hAnsi="宋体"/>
          <w:color w:val="auto"/>
          <w:sz w:val="24"/>
        </w:rPr>
      </w:pPr>
      <w:r>
        <w:rPr>
          <w:rFonts w:hint="eastAsia" w:ascii="宋体" w:hAnsi="宋体"/>
          <w:color w:val="auto"/>
          <w:sz w:val="24"/>
        </w:rPr>
        <w:t>计划生育系列保险是全面深化生育关怀行动，完善计划生育利益导向政策体系的重要内容。通过建立保险制度，保障子女死亡及伤残的计划生育家庭得到基本的治疗服务和必要的扶助，有效提高计生家庭抵御意外风险的能力。桐庐县卫生健康局通过竞争性磋商的方式确定一家保险公司，为全县计生家庭提供保险服务。</w:t>
      </w:r>
    </w:p>
    <w:p w14:paraId="7F1C5644">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000000"/>
          <w:kern w:val="2"/>
          <w:sz w:val="28"/>
          <w:szCs w:val="28"/>
          <w:highlight w:val="none"/>
          <w:lang w:val="en-US" w:eastAsia="zh-CN" w:bidi="ar-SA"/>
        </w:rPr>
        <w:t>二</w:t>
      </w:r>
      <w:r>
        <w:rPr>
          <w:rFonts w:hint="eastAsia" w:ascii="宋体" w:hAnsi="宋体" w:eastAsia="宋体" w:cs="宋体"/>
          <w:b/>
          <w:bCs w:val="0"/>
          <w:color w:val="auto"/>
          <w:kern w:val="2"/>
          <w:sz w:val="28"/>
          <w:szCs w:val="28"/>
          <w:highlight w:val="none"/>
          <w:lang w:val="en-US" w:eastAsia="zh-CN" w:bidi="ar-SA"/>
        </w:rPr>
        <w:t xml:space="preserve">、保险内容 </w:t>
      </w:r>
    </w:p>
    <w:p w14:paraId="1EC67DCE">
      <w:pPr>
        <w:snapToGrid w:val="0"/>
        <w:spacing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1、被保险对象：具有桐庐户籍的，并在201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年12月31日以前出生的独生子女家庭（18周岁以下）及计生特殊家庭。</w:t>
      </w:r>
    </w:p>
    <w:p w14:paraId="40209145">
      <w:pPr>
        <w:snapToGrid w:val="0"/>
        <w:spacing w:line="360" w:lineRule="auto"/>
        <w:rPr>
          <w:rFonts w:ascii="宋体" w:hAnsi="宋体" w:cs="宋体"/>
          <w:color w:val="auto"/>
          <w:sz w:val="24"/>
        </w:rPr>
      </w:pPr>
      <w:r>
        <w:rPr>
          <w:rFonts w:hint="eastAsia" w:ascii="宋体" w:hAnsi="宋体" w:cs="宋体"/>
          <w:color w:val="auto"/>
          <w:sz w:val="24"/>
          <w:highlight w:val="none"/>
        </w:rPr>
        <w:t xml:space="preserve">    2、保险期限：保险期限一年，保险期从202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年3月30日起计算</w:t>
      </w:r>
      <w:r>
        <w:rPr>
          <w:rFonts w:hint="eastAsia" w:ascii="宋体" w:hAnsi="宋体" w:cs="宋体"/>
          <w:b/>
          <w:color w:val="auto"/>
          <w:sz w:val="24"/>
          <w:highlight w:val="none"/>
        </w:rPr>
        <w:t>（若202</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年3月30日至本项目采购完成时间发生理赔的由中标单位负责）</w:t>
      </w:r>
      <w:r>
        <w:rPr>
          <w:rFonts w:hint="eastAsia" w:ascii="宋体" w:hAnsi="宋体" w:cs="宋体"/>
          <w:color w:val="auto"/>
          <w:sz w:val="24"/>
          <w:highlight w:val="none"/>
        </w:rPr>
        <w:t>，无等待</w:t>
      </w:r>
      <w:r>
        <w:rPr>
          <w:rFonts w:hint="eastAsia" w:ascii="宋体" w:hAnsi="宋体" w:cs="宋体"/>
          <w:color w:val="auto"/>
          <w:sz w:val="24"/>
        </w:rPr>
        <w:t>期。</w:t>
      </w:r>
    </w:p>
    <w:p w14:paraId="4DFDDA18">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default"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三、保险责任（保险内容及标准）</w:t>
      </w:r>
    </w:p>
    <w:tbl>
      <w:tblPr>
        <w:tblStyle w:val="64"/>
        <w:tblW w:w="10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643"/>
        <w:gridCol w:w="1610"/>
        <w:gridCol w:w="4816"/>
      </w:tblGrid>
      <w:tr w14:paraId="1E47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2" w:type="dxa"/>
            <w:vAlign w:val="center"/>
          </w:tcPr>
          <w:p w14:paraId="4A705A19">
            <w:pPr>
              <w:widowControl/>
              <w:spacing w:line="300" w:lineRule="exact"/>
              <w:jc w:val="center"/>
              <w:rPr>
                <w:rFonts w:ascii="宋体" w:hAnsi="宋体" w:cs="宋体"/>
                <w:b/>
                <w:bCs/>
                <w:kern w:val="0"/>
                <w:sz w:val="24"/>
                <w:szCs w:val="24"/>
              </w:rPr>
            </w:pPr>
            <w:r>
              <w:rPr>
                <w:rFonts w:hint="eastAsia" w:ascii="宋体" w:hAnsi="宋体" w:cs="宋体"/>
                <w:b/>
                <w:bCs/>
                <w:kern w:val="0"/>
                <w:sz w:val="24"/>
                <w:szCs w:val="24"/>
              </w:rPr>
              <w:t>保障对象</w:t>
            </w:r>
          </w:p>
        </w:tc>
        <w:tc>
          <w:tcPr>
            <w:tcW w:w="2643" w:type="dxa"/>
            <w:vAlign w:val="center"/>
          </w:tcPr>
          <w:p w14:paraId="0C051A91">
            <w:pPr>
              <w:widowControl/>
              <w:spacing w:line="300" w:lineRule="exact"/>
              <w:jc w:val="center"/>
              <w:rPr>
                <w:rFonts w:ascii="宋体" w:hAnsi="宋体" w:cs="宋体"/>
                <w:b/>
                <w:bCs/>
                <w:kern w:val="0"/>
                <w:sz w:val="24"/>
                <w:szCs w:val="24"/>
              </w:rPr>
            </w:pPr>
            <w:r>
              <w:rPr>
                <w:rFonts w:hint="eastAsia" w:ascii="宋体" w:hAnsi="宋体" w:cs="宋体"/>
                <w:b/>
                <w:bCs/>
                <w:kern w:val="0"/>
                <w:sz w:val="24"/>
                <w:szCs w:val="24"/>
              </w:rPr>
              <w:t>保险内容</w:t>
            </w:r>
          </w:p>
        </w:tc>
        <w:tc>
          <w:tcPr>
            <w:tcW w:w="1610" w:type="dxa"/>
            <w:vAlign w:val="center"/>
          </w:tcPr>
          <w:p w14:paraId="02A7AADF">
            <w:pPr>
              <w:widowControl/>
              <w:spacing w:line="300" w:lineRule="exact"/>
              <w:jc w:val="center"/>
              <w:rPr>
                <w:rFonts w:hint="eastAsia" w:ascii="宋体" w:hAnsi="宋体" w:cs="宋体"/>
                <w:b/>
                <w:bCs/>
                <w:kern w:val="0"/>
                <w:sz w:val="24"/>
                <w:szCs w:val="24"/>
              </w:rPr>
            </w:pPr>
            <w:r>
              <w:rPr>
                <w:rFonts w:hint="eastAsia" w:ascii="宋体" w:hAnsi="宋体" w:cs="宋体"/>
                <w:b/>
                <w:bCs/>
                <w:kern w:val="0"/>
                <w:sz w:val="24"/>
                <w:szCs w:val="24"/>
              </w:rPr>
              <w:t>保障额度</w:t>
            </w:r>
          </w:p>
        </w:tc>
        <w:tc>
          <w:tcPr>
            <w:tcW w:w="4816" w:type="dxa"/>
            <w:vAlign w:val="center"/>
          </w:tcPr>
          <w:p w14:paraId="377C5F65">
            <w:pPr>
              <w:widowControl/>
              <w:spacing w:line="300" w:lineRule="exact"/>
              <w:jc w:val="center"/>
              <w:rPr>
                <w:rFonts w:hint="eastAsia" w:ascii="宋体" w:hAnsi="宋体" w:cs="宋体"/>
                <w:b/>
                <w:bCs/>
                <w:kern w:val="0"/>
                <w:sz w:val="24"/>
                <w:szCs w:val="24"/>
              </w:rPr>
            </w:pPr>
            <w:r>
              <w:rPr>
                <w:rFonts w:hint="eastAsia" w:ascii="宋体" w:hAnsi="宋体" w:eastAsia="宋体" w:cs="宋体"/>
                <w:b/>
                <w:bCs/>
                <w:color w:val="auto"/>
                <w:sz w:val="24"/>
                <w:szCs w:val="24"/>
                <w:highlight w:val="none"/>
              </w:rPr>
              <w:t>责任描述</w:t>
            </w:r>
          </w:p>
        </w:tc>
      </w:tr>
      <w:tr w14:paraId="584E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restart"/>
            <w:vAlign w:val="center"/>
          </w:tcPr>
          <w:p w14:paraId="55795C73">
            <w:pPr>
              <w:widowControl/>
              <w:spacing w:line="300" w:lineRule="exact"/>
              <w:jc w:val="center"/>
              <w:rPr>
                <w:rFonts w:ascii="宋体" w:hAnsi="宋体" w:cs="宋体"/>
                <w:kern w:val="0"/>
                <w:sz w:val="24"/>
                <w:szCs w:val="24"/>
              </w:rPr>
            </w:pPr>
            <w:r>
              <w:rPr>
                <w:rFonts w:hint="eastAsia" w:ascii="宋体" w:hAnsi="宋体" w:cs="宋体"/>
                <w:kern w:val="0"/>
                <w:sz w:val="24"/>
                <w:szCs w:val="24"/>
              </w:rPr>
              <w:t>独生子女家庭</w:t>
            </w:r>
          </w:p>
          <w:p w14:paraId="77BED075">
            <w:pPr>
              <w:pStyle w:val="26"/>
              <w:ind w:firstLine="0"/>
              <w:jc w:val="center"/>
              <w:rPr>
                <w:sz w:val="24"/>
                <w:szCs w:val="24"/>
                <w:lang w:val="en-US"/>
              </w:rPr>
            </w:pPr>
            <w:r>
              <w:rPr>
                <w:rFonts w:hint="eastAsia" w:hAnsi="宋体" w:cs="宋体"/>
                <w:kern w:val="0"/>
                <w:sz w:val="24"/>
                <w:szCs w:val="24"/>
              </w:rPr>
              <w:t>保险</w:t>
            </w:r>
          </w:p>
        </w:tc>
        <w:tc>
          <w:tcPr>
            <w:tcW w:w="2643" w:type="dxa"/>
            <w:vAlign w:val="center"/>
          </w:tcPr>
          <w:p w14:paraId="3E4C214F">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意外身故保险金（小孩）</w:t>
            </w:r>
          </w:p>
        </w:tc>
        <w:tc>
          <w:tcPr>
            <w:tcW w:w="1610" w:type="dxa"/>
            <w:vAlign w:val="center"/>
          </w:tcPr>
          <w:p w14:paraId="6794D6C4">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8万元</w:t>
            </w:r>
          </w:p>
        </w:tc>
        <w:tc>
          <w:tcPr>
            <w:tcW w:w="4816" w:type="dxa"/>
            <w:vAlign w:val="center"/>
          </w:tcPr>
          <w:p w14:paraId="1A8133AB">
            <w:pPr>
              <w:widowControl/>
              <w:spacing w:line="300" w:lineRule="exact"/>
              <w:rPr>
                <w:rFonts w:ascii="宋体" w:hAnsi="宋体" w:cs="宋体"/>
                <w:color w:val="auto"/>
                <w:kern w:val="0"/>
                <w:sz w:val="24"/>
                <w:szCs w:val="24"/>
              </w:rPr>
            </w:pPr>
            <w:r>
              <w:rPr>
                <w:rFonts w:hint="eastAsia" w:ascii="宋体" w:hAnsi="宋体" w:cs="宋体"/>
                <w:color w:val="auto"/>
                <w:kern w:val="0"/>
                <w:sz w:val="24"/>
                <w:szCs w:val="24"/>
              </w:rPr>
              <w:t>因意外导致的身故赔付8万元。</w:t>
            </w:r>
          </w:p>
        </w:tc>
      </w:tr>
      <w:tr w14:paraId="685A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vAlign w:val="center"/>
          </w:tcPr>
          <w:p w14:paraId="74800FBA">
            <w:pPr>
              <w:pStyle w:val="26"/>
              <w:ind w:firstLine="0"/>
              <w:jc w:val="center"/>
              <w:rPr>
                <w:sz w:val="24"/>
                <w:szCs w:val="24"/>
                <w:lang w:val="en-US"/>
              </w:rPr>
            </w:pPr>
          </w:p>
        </w:tc>
        <w:tc>
          <w:tcPr>
            <w:tcW w:w="2643" w:type="dxa"/>
            <w:vAlign w:val="center"/>
          </w:tcPr>
          <w:p w14:paraId="5B14B20E">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疾病身故保险金（小孩）</w:t>
            </w:r>
          </w:p>
        </w:tc>
        <w:tc>
          <w:tcPr>
            <w:tcW w:w="1610" w:type="dxa"/>
            <w:vAlign w:val="center"/>
          </w:tcPr>
          <w:p w14:paraId="35BDF3C9">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8万元</w:t>
            </w:r>
          </w:p>
        </w:tc>
        <w:tc>
          <w:tcPr>
            <w:tcW w:w="4816" w:type="dxa"/>
            <w:vAlign w:val="center"/>
          </w:tcPr>
          <w:p w14:paraId="7CB6758F">
            <w:pPr>
              <w:widowControl/>
              <w:spacing w:line="300" w:lineRule="exact"/>
              <w:rPr>
                <w:rFonts w:ascii="宋体" w:hAnsi="宋体" w:cs="宋体"/>
                <w:color w:val="auto"/>
                <w:kern w:val="0"/>
                <w:sz w:val="24"/>
                <w:szCs w:val="24"/>
              </w:rPr>
            </w:pPr>
            <w:r>
              <w:rPr>
                <w:rFonts w:hint="eastAsia" w:ascii="宋体" w:hAnsi="宋体" w:cs="宋体"/>
                <w:color w:val="auto"/>
                <w:kern w:val="0"/>
                <w:sz w:val="24"/>
                <w:szCs w:val="24"/>
              </w:rPr>
              <w:t>因疾病导致的身故赔付8万元。</w:t>
            </w:r>
          </w:p>
        </w:tc>
      </w:tr>
      <w:tr w14:paraId="2502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vAlign w:val="center"/>
          </w:tcPr>
          <w:p w14:paraId="706BF5D9">
            <w:pPr>
              <w:pStyle w:val="26"/>
              <w:ind w:firstLine="0"/>
              <w:jc w:val="center"/>
              <w:rPr>
                <w:sz w:val="24"/>
                <w:szCs w:val="24"/>
                <w:lang w:val="en-US"/>
              </w:rPr>
            </w:pPr>
          </w:p>
        </w:tc>
        <w:tc>
          <w:tcPr>
            <w:tcW w:w="2643" w:type="dxa"/>
            <w:vAlign w:val="center"/>
          </w:tcPr>
          <w:p w14:paraId="6979E5BD">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意外身故保险金（大人）</w:t>
            </w:r>
          </w:p>
        </w:tc>
        <w:tc>
          <w:tcPr>
            <w:tcW w:w="1610" w:type="dxa"/>
            <w:vAlign w:val="center"/>
          </w:tcPr>
          <w:p w14:paraId="30F3759E">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8万元</w:t>
            </w:r>
          </w:p>
        </w:tc>
        <w:tc>
          <w:tcPr>
            <w:tcW w:w="4816" w:type="dxa"/>
            <w:vAlign w:val="center"/>
          </w:tcPr>
          <w:p w14:paraId="75104990">
            <w:pPr>
              <w:widowControl/>
              <w:spacing w:line="300" w:lineRule="exact"/>
              <w:rPr>
                <w:rFonts w:ascii="宋体" w:hAnsi="宋体" w:cs="宋体"/>
                <w:color w:val="auto"/>
                <w:kern w:val="0"/>
                <w:sz w:val="24"/>
                <w:szCs w:val="24"/>
              </w:rPr>
            </w:pPr>
            <w:r>
              <w:rPr>
                <w:rFonts w:hint="eastAsia" w:ascii="宋体" w:hAnsi="宋体" w:cs="宋体"/>
                <w:color w:val="auto"/>
                <w:kern w:val="0"/>
                <w:sz w:val="24"/>
                <w:szCs w:val="24"/>
              </w:rPr>
              <w:t>因意外导致的身故赔付8万元。</w:t>
            </w:r>
          </w:p>
        </w:tc>
      </w:tr>
      <w:tr w14:paraId="6D02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vAlign w:val="center"/>
          </w:tcPr>
          <w:p w14:paraId="6A5331D7">
            <w:pPr>
              <w:pStyle w:val="26"/>
              <w:ind w:firstLine="0"/>
              <w:jc w:val="center"/>
              <w:rPr>
                <w:sz w:val="24"/>
                <w:szCs w:val="24"/>
                <w:lang w:val="en-US"/>
              </w:rPr>
            </w:pPr>
          </w:p>
        </w:tc>
        <w:tc>
          <w:tcPr>
            <w:tcW w:w="2643" w:type="dxa"/>
            <w:vAlign w:val="center"/>
          </w:tcPr>
          <w:p w14:paraId="146D89B8">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疾病身故保险金（大人）</w:t>
            </w:r>
          </w:p>
        </w:tc>
        <w:tc>
          <w:tcPr>
            <w:tcW w:w="1610" w:type="dxa"/>
            <w:vAlign w:val="center"/>
          </w:tcPr>
          <w:p w14:paraId="7698D704">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5万元</w:t>
            </w:r>
          </w:p>
        </w:tc>
        <w:tc>
          <w:tcPr>
            <w:tcW w:w="4816" w:type="dxa"/>
            <w:vAlign w:val="center"/>
          </w:tcPr>
          <w:p w14:paraId="252EEBE2">
            <w:pPr>
              <w:widowControl/>
              <w:spacing w:line="300" w:lineRule="exact"/>
              <w:rPr>
                <w:rFonts w:ascii="宋体" w:hAnsi="宋体" w:cs="宋体"/>
                <w:color w:val="auto"/>
                <w:kern w:val="0"/>
                <w:sz w:val="24"/>
                <w:szCs w:val="24"/>
              </w:rPr>
            </w:pPr>
            <w:r>
              <w:rPr>
                <w:rFonts w:hint="eastAsia" w:ascii="宋体" w:hAnsi="宋体" w:cs="宋体"/>
                <w:color w:val="auto"/>
                <w:kern w:val="0"/>
                <w:sz w:val="24"/>
                <w:szCs w:val="24"/>
              </w:rPr>
              <w:t>因疾病导致的身故赔付5万元。</w:t>
            </w:r>
          </w:p>
        </w:tc>
      </w:tr>
      <w:tr w14:paraId="6A96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vAlign w:val="center"/>
          </w:tcPr>
          <w:p w14:paraId="560E3728">
            <w:pPr>
              <w:pStyle w:val="26"/>
              <w:ind w:firstLine="0"/>
              <w:jc w:val="center"/>
              <w:rPr>
                <w:sz w:val="24"/>
                <w:szCs w:val="24"/>
                <w:lang w:val="en-US"/>
              </w:rPr>
            </w:pPr>
          </w:p>
        </w:tc>
        <w:tc>
          <w:tcPr>
            <w:tcW w:w="2643" w:type="dxa"/>
            <w:vAlign w:val="center"/>
          </w:tcPr>
          <w:p w14:paraId="608CB03C">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意外残疾保险金（大人/小孩）</w:t>
            </w:r>
          </w:p>
        </w:tc>
        <w:tc>
          <w:tcPr>
            <w:tcW w:w="1610" w:type="dxa"/>
            <w:vAlign w:val="center"/>
          </w:tcPr>
          <w:p w14:paraId="70A00F5D">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8万元</w:t>
            </w:r>
          </w:p>
        </w:tc>
        <w:tc>
          <w:tcPr>
            <w:tcW w:w="4816" w:type="dxa"/>
            <w:vAlign w:val="center"/>
          </w:tcPr>
          <w:p w14:paraId="6CF0274D">
            <w:pPr>
              <w:widowControl/>
              <w:spacing w:line="300" w:lineRule="exact"/>
              <w:rPr>
                <w:rFonts w:ascii="宋体" w:hAnsi="宋体" w:cs="宋体"/>
                <w:color w:val="auto"/>
                <w:kern w:val="0"/>
                <w:sz w:val="24"/>
                <w:szCs w:val="24"/>
              </w:rPr>
            </w:pPr>
            <w:r>
              <w:rPr>
                <w:rFonts w:hint="eastAsia" w:ascii="宋体" w:hAnsi="宋体" w:cs="宋体"/>
                <w:color w:val="auto"/>
                <w:kern w:val="0"/>
                <w:sz w:val="24"/>
                <w:szCs w:val="24"/>
              </w:rPr>
              <w:t>因意外导致的残疾根据司法鉴定结果按比例赔付残疾保险金，最高赔付8万元。</w:t>
            </w:r>
          </w:p>
        </w:tc>
      </w:tr>
      <w:tr w14:paraId="0C8F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restart"/>
            <w:vAlign w:val="center"/>
          </w:tcPr>
          <w:p w14:paraId="3F04DF76">
            <w:pPr>
              <w:pStyle w:val="26"/>
              <w:ind w:firstLine="0"/>
              <w:jc w:val="center"/>
              <w:rPr>
                <w:sz w:val="24"/>
                <w:szCs w:val="24"/>
                <w:lang w:val="en-US"/>
              </w:rPr>
            </w:pPr>
            <w:r>
              <w:rPr>
                <w:rFonts w:hint="eastAsia" w:hAnsi="宋体" w:cs="宋体"/>
                <w:kern w:val="0"/>
                <w:sz w:val="24"/>
                <w:szCs w:val="24"/>
              </w:rPr>
              <w:t>计生特殊家庭</w:t>
            </w:r>
          </w:p>
        </w:tc>
        <w:tc>
          <w:tcPr>
            <w:tcW w:w="2643" w:type="dxa"/>
            <w:vAlign w:val="center"/>
          </w:tcPr>
          <w:p w14:paraId="2CE9B4CE">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疾病身故</w:t>
            </w:r>
          </w:p>
        </w:tc>
        <w:tc>
          <w:tcPr>
            <w:tcW w:w="1610" w:type="dxa"/>
            <w:vAlign w:val="center"/>
          </w:tcPr>
          <w:p w14:paraId="2CBCEB9E">
            <w:pPr>
              <w:widowControl/>
              <w:spacing w:line="300" w:lineRule="exact"/>
              <w:jc w:val="center"/>
              <w:rPr>
                <w:rFonts w:ascii="宋体" w:hAnsi="宋体" w:cs="宋体"/>
                <w:color w:val="auto"/>
                <w:sz w:val="24"/>
                <w:szCs w:val="24"/>
                <w:highlight w:val="yellow"/>
              </w:rPr>
            </w:pPr>
            <w:r>
              <w:rPr>
                <w:rFonts w:hint="eastAsia" w:ascii="宋体" w:hAnsi="宋体" w:cs="宋体"/>
                <w:color w:val="auto"/>
                <w:kern w:val="0"/>
                <w:sz w:val="24"/>
                <w:szCs w:val="24"/>
              </w:rPr>
              <w:t>30000元/人</w:t>
            </w:r>
          </w:p>
        </w:tc>
        <w:tc>
          <w:tcPr>
            <w:tcW w:w="4816" w:type="dxa"/>
            <w:vAlign w:val="center"/>
          </w:tcPr>
          <w:p w14:paraId="7C8298D1">
            <w:pPr>
              <w:jc w:val="left"/>
              <w:rPr>
                <w:rFonts w:ascii="宋体" w:hAnsi="宋体" w:cs="宋体"/>
                <w:color w:val="auto"/>
                <w:sz w:val="24"/>
                <w:szCs w:val="24"/>
                <w:highlight w:val="yellow"/>
              </w:rPr>
            </w:pPr>
            <w:r>
              <w:rPr>
                <w:rFonts w:hint="eastAsia" w:ascii="宋体" w:hAnsi="宋体" w:cs="宋体"/>
                <w:color w:val="auto"/>
                <w:kern w:val="0"/>
                <w:sz w:val="24"/>
                <w:szCs w:val="24"/>
              </w:rPr>
              <w:t>因疾病导致的身故赔付3万元。</w:t>
            </w:r>
          </w:p>
        </w:tc>
      </w:tr>
      <w:tr w14:paraId="2E12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2E25A039">
            <w:pPr>
              <w:pStyle w:val="26"/>
              <w:ind w:firstLine="0"/>
              <w:rPr>
                <w:sz w:val="24"/>
                <w:szCs w:val="24"/>
                <w:lang w:val="en-US"/>
              </w:rPr>
            </w:pPr>
          </w:p>
        </w:tc>
        <w:tc>
          <w:tcPr>
            <w:tcW w:w="2643" w:type="dxa"/>
            <w:vAlign w:val="center"/>
          </w:tcPr>
          <w:p w14:paraId="33441D0A">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意外身故</w:t>
            </w:r>
          </w:p>
        </w:tc>
        <w:tc>
          <w:tcPr>
            <w:tcW w:w="1610" w:type="dxa"/>
            <w:vAlign w:val="center"/>
          </w:tcPr>
          <w:p w14:paraId="4071128E">
            <w:pPr>
              <w:widowControl/>
              <w:spacing w:line="300" w:lineRule="exact"/>
              <w:jc w:val="center"/>
              <w:rPr>
                <w:rFonts w:ascii="宋体" w:hAnsi="宋体" w:cs="宋体"/>
                <w:color w:val="auto"/>
                <w:sz w:val="24"/>
                <w:szCs w:val="24"/>
                <w:highlight w:val="yellow"/>
              </w:rPr>
            </w:pPr>
            <w:r>
              <w:rPr>
                <w:rFonts w:hint="eastAsia" w:ascii="宋体" w:hAnsi="宋体" w:cs="宋体"/>
                <w:color w:val="auto"/>
                <w:kern w:val="0"/>
                <w:sz w:val="24"/>
                <w:szCs w:val="24"/>
              </w:rPr>
              <w:t>30000元/人</w:t>
            </w:r>
          </w:p>
        </w:tc>
        <w:tc>
          <w:tcPr>
            <w:tcW w:w="4816" w:type="dxa"/>
            <w:vAlign w:val="center"/>
          </w:tcPr>
          <w:p w14:paraId="2BA24925">
            <w:pPr>
              <w:widowControl/>
              <w:jc w:val="left"/>
              <w:rPr>
                <w:rFonts w:ascii="宋体" w:hAnsi="宋体" w:cs="宋体"/>
                <w:color w:val="auto"/>
                <w:sz w:val="24"/>
                <w:szCs w:val="24"/>
                <w:highlight w:val="yellow"/>
              </w:rPr>
            </w:pPr>
            <w:r>
              <w:rPr>
                <w:rFonts w:hint="eastAsia" w:ascii="宋体" w:hAnsi="宋体" w:cs="宋体"/>
                <w:color w:val="auto"/>
                <w:kern w:val="0"/>
                <w:sz w:val="24"/>
                <w:szCs w:val="24"/>
              </w:rPr>
              <w:t>因意外导致的身故赔付3万元。</w:t>
            </w:r>
          </w:p>
        </w:tc>
      </w:tr>
      <w:tr w14:paraId="4A8E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54388717">
            <w:pPr>
              <w:pStyle w:val="26"/>
              <w:ind w:firstLine="0"/>
              <w:rPr>
                <w:sz w:val="24"/>
                <w:szCs w:val="24"/>
                <w:lang w:val="en-US"/>
              </w:rPr>
            </w:pPr>
          </w:p>
        </w:tc>
        <w:tc>
          <w:tcPr>
            <w:tcW w:w="2643" w:type="dxa"/>
            <w:vAlign w:val="center"/>
          </w:tcPr>
          <w:p w14:paraId="060DE3D1">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意外残疾</w:t>
            </w:r>
          </w:p>
        </w:tc>
        <w:tc>
          <w:tcPr>
            <w:tcW w:w="1610" w:type="dxa"/>
            <w:vAlign w:val="center"/>
          </w:tcPr>
          <w:p w14:paraId="42281D8E">
            <w:pPr>
              <w:spacing w:line="300" w:lineRule="exact"/>
              <w:jc w:val="center"/>
              <w:rPr>
                <w:rFonts w:ascii="宋体" w:hAnsi="宋体" w:cs="宋体"/>
                <w:color w:val="auto"/>
                <w:sz w:val="24"/>
                <w:szCs w:val="24"/>
                <w:highlight w:val="yellow"/>
              </w:rPr>
            </w:pPr>
            <w:r>
              <w:rPr>
                <w:rFonts w:hint="eastAsia" w:ascii="宋体" w:hAnsi="宋体" w:cs="宋体"/>
                <w:color w:val="auto"/>
                <w:sz w:val="24"/>
                <w:szCs w:val="24"/>
              </w:rPr>
              <w:t>30000元/人</w:t>
            </w:r>
          </w:p>
        </w:tc>
        <w:tc>
          <w:tcPr>
            <w:tcW w:w="4816" w:type="dxa"/>
          </w:tcPr>
          <w:p w14:paraId="7C7C5091">
            <w:pPr>
              <w:widowControl/>
              <w:jc w:val="left"/>
              <w:rPr>
                <w:rFonts w:ascii="宋体" w:hAnsi="宋体" w:cs="宋体"/>
                <w:color w:val="auto"/>
                <w:sz w:val="24"/>
                <w:szCs w:val="24"/>
                <w:highlight w:val="yellow"/>
              </w:rPr>
            </w:pPr>
            <w:r>
              <w:rPr>
                <w:rFonts w:hint="eastAsia" w:ascii="宋体" w:hAnsi="宋体" w:cs="宋体"/>
                <w:color w:val="auto"/>
                <w:kern w:val="0"/>
                <w:sz w:val="24"/>
                <w:szCs w:val="24"/>
              </w:rPr>
              <w:t>因意外导致的残疾根据司法鉴定结果按比例怕赔付伤残保险金，最高赔付2万元。</w:t>
            </w:r>
          </w:p>
        </w:tc>
      </w:tr>
      <w:tr w14:paraId="33C6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2D8B025C">
            <w:pPr>
              <w:pStyle w:val="26"/>
              <w:ind w:firstLine="0"/>
              <w:rPr>
                <w:sz w:val="24"/>
                <w:szCs w:val="24"/>
                <w:lang w:val="en-US"/>
              </w:rPr>
            </w:pPr>
          </w:p>
        </w:tc>
        <w:tc>
          <w:tcPr>
            <w:tcW w:w="2643" w:type="dxa"/>
            <w:vAlign w:val="center"/>
          </w:tcPr>
          <w:p w14:paraId="64BA90C5">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重大疾病</w:t>
            </w:r>
          </w:p>
        </w:tc>
        <w:tc>
          <w:tcPr>
            <w:tcW w:w="1610" w:type="dxa"/>
            <w:vAlign w:val="center"/>
          </w:tcPr>
          <w:p w14:paraId="58330861">
            <w:pPr>
              <w:spacing w:line="300" w:lineRule="exact"/>
              <w:jc w:val="center"/>
              <w:rPr>
                <w:rFonts w:ascii="宋体" w:hAnsi="宋体" w:cs="宋体"/>
                <w:color w:val="auto"/>
                <w:sz w:val="24"/>
                <w:szCs w:val="24"/>
                <w:highlight w:val="yellow"/>
              </w:rPr>
            </w:pPr>
            <w:r>
              <w:rPr>
                <w:rFonts w:hint="eastAsia" w:ascii="宋体" w:hAnsi="宋体" w:cs="宋体"/>
                <w:color w:val="auto"/>
                <w:sz w:val="24"/>
                <w:szCs w:val="24"/>
              </w:rPr>
              <w:t>10000元/人</w:t>
            </w:r>
          </w:p>
        </w:tc>
        <w:tc>
          <w:tcPr>
            <w:tcW w:w="4816" w:type="dxa"/>
          </w:tcPr>
          <w:p w14:paraId="66E9C579">
            <w:pPr>
              <w:widowControl/>
              <w:spacing w:line="400" w:lineRule="exact"/>
              <w:rPr>
                <w:rFonts w:ascii="宋体" w:hAnsi="宋体" w:cs="宋体"/>
                <w:color w:val="auto"/>
                <w:sz w:val="24"/>
                <w:szCs w:val="24"/>
                <w:highlight w:val="yellow"/>
              </w:rPr>
            </w:pPr>
            <w:r>
              <w:rPr>
                <w:rFonts w:hint="eastAsia" w:ascii="宋体" w:hAnsi="宋体" w:cs="宋体"/>
                <w:color w:val="auto"/>
                <w:kern w:val="0"/>
                <w:sz w:val="24"/>
                <w:szCs w:val="24"/>
              </w:rPr>
              <w:t>一次性给付重大疾病保险金10000元/人。</w:t>
            </w:r>
          </w:p>
        </w:tc>
      </w:tr>
      <w:tr w14:paraId="6F1D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420A4CAB">
            <w:pPr>
              <w:pStyle w:val="26"/>
              <w:ind w:firstLine="0"/>
              <w:rPr>
                <w:sz w:val="24"/>
                <w:szCs w:val="24"/>
                <w:lang w:val="en-US"/>
              </w:rPr>
            </w:pPr>
          </w:p>
        </w:tc>
        <w:tc>
          <w:tcPr>
            <w:tcW w:w="2643" w:type="dxa"/>
            <w:vAlign w:val="center"/>
          </w:tcPr>
          <w:p w14:paraId="2A026C1A">
            <w:pPr>
              <w:widowControl/>
              <w:spacing w:line="300" w:lineRule="exact"/>
              <w:jc w:val="center"/>
              <w:rPr>
                <w:rFonts w:ascii="宋体" w:hAnsi="宋体" w:cs="宋体"/>
                <w:color w:val="auto"/>
                <w:kern w:val="0"/>
                <w:sz w:val="24"/>
                <w:szCs w:val="24"/>
              </w:rPr>
            </w:pPr>
            <w:r>
              <w:rPr>
                <w:rFonts w:hint="eastAsia" w:ascii="宋体" w:hAnsi="宋体" w:cs="宋体"/>
                <w:color w:val="auto"/>
                <w:kern w:val="0"/>
                <w:sz w:val="24"/>
                <w:szCs w:val="24"/>
              </w:rPr>
              <w:t>意外医疗费</w:t>
            </w:r>
          </w:p>
        </w:tc>
        <w:tc>
          <w:tcPr>
            <w:tcW w:w="1610" w:type="dxa"/>
            <w:vAlign w:val="center"/>
          </w:tcPr>
          <w:p w14:paraId="3EECC265">
            <w:pPr>
              <w:spacing w:line="300" w:lineRule="exact"/>
              <w:jc w:val="center"/>
              <w:rPr>
                <w:rFonts w:ascii="宋体" w:hAnsi="宋体" w:cs="宋体"/>
                <w:color w:val="auto"/>
                <w:sz w:val="24"/>
                <w:szCs w:val="24"/>
                <w:highlight w:val="yellow"/>
              </w:rPr>
            </w:pPr>
            <w:r>
              <w:rPr>
                <w:rFonts w:hint="eastAsia" w:ascii="宋体" w:hAnsi="宋体" w:cs="宋体"/>
                <w:color w:val="auto"/>
                <w:sz w:val="24"/>
                <w:szCs w:val="24"/>
              </w:rPr>
              <w:t>10000元/人</w:t>
            </w:r>
          </w:p>
        </w:tc>
        <w:tc>
          <w:tcPr>
            <w:tcW w:w="4816" w:type="dxa"/>
            <w:vAlign w:val="center"/>
          </w:tcPr>
          <w:p w14:paraId="21F5C8C6">
            <w:pPr>
              <w:widowControl/>
              <w:rPr>
                <w:rFonts w:ascii="宋体" w:hAnsi="宋体" w:cs="宋体"/>
                <w:color w:val="auto"/>
                <w:sz w:val="24"/>
                <w:szCs w:val="24"/>
                <w:highlight w:val="yellow"/>
              </w:rPr>
            </w:pPr>
            <w:r>
              <w:rPr>
                <w:rFonts w:hint="eastAsia" w:ascii="宋体" w:hAnsi="宋体" w:cs="宋体"/>
                <w:color w:val="auto"/>
                <w:kern w:val="0"/>
                <w:sz w:val="24"/>
                <w:szCs w:val="24"/>
              </w:rPr>
              <w:t>使用救护车，按实际产生的费用予以报销，单次限额1000元，一年限两次。</w:t>
            </w:r>
          </w:p>
        </w:tc>
      </w:tr>
      <w:tr w14:paraId="409F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7D5B27D1">
            <w:pPr>
              <w:pStyle w:val="26"/>
              <w:ind w:firstLine="0"/>
              <w:rPr>
                <w:sz w:val="24"/>
                <w:szCs w:val="24"/>
                <w:lang w:val="en-US"/>
              </w:rPr>
            </w:pPr>
          </w:p>
        </w:tc>
        <w:tc>
          <w:tcPr>
            <w:tcW w:w="2643" w:type="dxa"/>
            <w:vAlign w:val="center"/>
          </w:tcPr>
          <w:p w14:paraId="0985557F">
            <w:pPr>
              <w:spacing w:line="300" w:lineRule="exact"/>
              <w:jc w:val="center"/>
              <w:rPr>
                <w:rFonts w:ascii="宋体" w:hAnsi="宋体" w:cs="宋体"/>
                <w:sz w:val="24"/>
                <w:szCs w:val="24"/>
              </w:rPr>
            </w:pPr>
            <w:r>
              <w:rPr>
                <w:rFonts w:hint="eastAsia" w:ascii="宋体" w:hAnsi="宋体" w:cs="宋体"/>
                <w:sz w:val="24"/>
                <w:szCs w:val="24"/>
              </w:rPr>
              <w:t>住院医疗费</w:t>
            </w:r>
          </w:p>
        </w:tc>
        <w:tc>
          <w:tcPr>
            <w:tcW w:w="1610" w:type="dxa"/>
            <w:vAlign w:val="center"/>
          </w:tcPr>
          <w:p w14:paraId="2E44C6D5">
            <w:pPr>
              <w:spacing w:line="300" w:lineRule="exact"/>
              <w:jc w:val="center"/>
              <w:rPr>
                <w:rFonts w:ascii="宋体" w:hAnsi="宋体" w:cs="宋体"/>
                <w:sz w:val="24"/>
                <w:szCs w:val="24"/>
                <w:highlight w:val="yellow"/>
              </w:rPr>
            </w:pPr>
            <w:r>
              <w:rPr>
                <w:rFonts w:hint="eastAsia" w:ascii="宋体" w:hAnsi="宋体" w:cs="宋体"/>
                <w:sz w:val="24"/>
                <w:szCs w:val="24"/>
              </w:rPr>
              <w:t>8000元/人</w:t>
            </w:r>
          </w:p>
        </w:tc>
        <w:tc>
          <w:tcPr>
            <w:tcW w:w="4816" w:type="dxa"/>
            <w:vAlign w:val="center"/>
          </w:tcPr>
          <w:p w14:paraId="784E31BE">
            <w:pPr>
              <w:widowControl/>
              <w:spacing w:line="400" w:lineRule="exact"/>
              <w:jc w:val="left"/>
              <w:rPr>
                <w:rFonts w:ascii="宋体" w:hAnsi="宋体" w:cs="宋体"/>
                <w:kern w:val="0"/>
                <w:sz w:val="24"/>
                <w:szCs w:val="24"/>
              </w:rPr>
            </w:pPr>
            <w:r>
              <w:rPr>
                <w:rFonts w:hint="eastAsia" w:ascii="宋体" w:hAnsi="宋体" w:cs="宋体"/>
                <w:kern w:val="0"/>
                <w:sz w:val="24"/>
                <w:szCs w:val="24"/>
              </w:rPr>
              <w:t>最高赔付8000元/人。</w:t>
            </w:r>
          </w:p>
        </w:tc>
      </w:tr>
      <w:tr w14:paraId="18FC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254A9974">
            <w:pPr>
              <w:pStyle w:val="26"/>
              <w:ind w:firstLine="0"/>
              <w:rPr>
                <w:sz w:val="24"/>
                <w:szCs w:val="24"/>
                <w:lang w:val="en-US"/>
              </w:rPr>
            </w:pPr>
          </w:p>
        </w:tc>
        <w:tc>
          <w:tcPr>
            <w:tcW w:w="2643" w:type="dxa"/>
            <w:vAlign w:val="center"/>
          </w:tcPr>
          <w:p w14:paraId="08D98CB5">
            <w:pPr>
              <w:spacing w:line="300" w:lineRule="exact"/>
              <w:jc w:val="center"/>
              <w:rPr>
                <w:rFonts w:ascii="宋体" w:hAnsi="宋体" w:cs="宋体"/>
                <w:sz w:val="24"/>
                <w:szCs w:val="24"/>
              </w:rPr>
            </w:pPr>
            <w:r>
              <w:rPr>
                <w:rFonts w:hint="eastAsia" w:ascii="宋体" w:hAnsi="宋体" w:cs="宋体"/>
                <w:sz w:val="24"/>
                <w:szCs w:val="24"/>
              </w:rPr>
              <w:t>住院津贴</w:t>
            </w:r>
          </w:p>
        </w:tc>
        <w:tc>
          <w:tcPr>
            <w:tcW w:w="1610" w:type="dxa"/>
            <w:vAlign w:val="center"/>
          </w:tcPr>
          <w:p w14:paraId="2D908EE5">
            <w:pPr>
              <w:spacing w:line="300" w:lineRule="exact"/>
              <w:jc w:val="center"/>
              <w:rPr>
                <w:rFonts w:ascii="宋体" w:hAnsi="宋体" w:cs="宋体"/>
                <w:sz w:val="24"/>
                <w:szCs w:val="24"/>
                <w:highlight w:val="yellow"/>
              </w:rPr>
            </w:pPr>
            <w:r>
              <w:rPr>
                <w:rFonts w:hint="eastAsia" w:ascii="宋体" w:hAnsi="宋体" w:cs="宋体"/>
                <w:sz w:val="24"/>
                <w:szCs w:val="24"/>
              </w:rPr>
              <w:t>150元/人/天</w:t>
            </w:r>
          </w:p>
        </w:tc>
        <w:tc>
          <w:tcPr>
            <w:tcW w:w="4816" w:type="dxa"/>
            <w:vAlign w:val="center"/>
          </w:tcPr>
          <w:p w14:paraId="0A6DD54C">
            <w:pPr>
              <w:widowControl/>
              <w:rPr>
                <w:rFonts w:ascii="宋体" w:hAnsi="宋体" w:cs="宋体"/>
                <w:kern w:val="0"/>
                <w:sz w:val="24"/>
                <w:szCs w:val="24"/>
              </w:rPr>
            </w:pPr>
            <w:r>
              <w:rPr>
                <w:rFonts w:hint="eastAsia" w:ascii="宋体" w:hAnsi="宋体" w:cs="宋体"/>
                <w:kern w:val="0"/>
                <w:sz w:val="24"/>
                <w:szCs w:val="24"/>
              </w:rPr>
              <w:t>因疾病或意外住院的，150元每天给付保险金，单次最多90天，全年最多180天。</w:t>
            </w:r>
          </w:p>
        </w:tc>
      </w:tr>
      <w:tr w14:paraId="4C1A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2" w:type="dxa"/>
            <w:vMerge w:val="continue"/>
          </w:tcPr>
          <w:p w14:paraId="05DDEE8C">
            <w:pPr>
              <w:pStyle w:val="26"/>
              <w:ind w:firstLine="0"/>
              <w:rPr>
                <w:sz w:val="24"/>
                <w:szCs w:val="24"/>
                <w:lang w:val="en-US"/>
              </w:rPr>
            </w:pPr>
          </w:p>
        </w:tc>
        <w:tc>
          <w:tcPr>
            <w:tcW w:w="2643" w:type="dxa"/>
            <w:vAlign w:val="center"/>
          </w:tcPr>
          <w:p w14:paraId="028A694E">
            <w:pPr>
              <w:spacing w:line="300" w:lineRule="exact"/>
              <w:jc w:val="center"/>
              <w:rPr>
                <w:rFonts w:ascii="宋体" w:hAnsi="宋体" w:cs="宋体"/>
                <w:sz w:val="24"/>
                <w:szCs w:val="24"/>
              </w:rPr>
            </w:pPr>
            <w:r>
              <w:rPr>
                <w:rFonts w:hint="eastAsia" w:ascii="宋体" w:hAnsi="宋体" w:cs="宋体"/>
                <w:sz w:val="24"/>
                <w:szCs w:val="24"/>
              </w:rPr>
              <w:t>重症监护</w:t>
            </w:r>
          </w:p>
        </w:tc>
        <w:tc>
          <w:tcPr>
            <w:tcW w:w="1610" w:type="dxa"/>
            <w:vAlign w:val="center"/>
          </w:tcPr>
          <w:p w14:paraId="776D9405">
            <w:pPr>
              <w:spacing w:line="300" w:lineRule="exact"/>
              <w:jc w:val="center"/>
              <w:rPr>
                <w:rFonts w:ascii="宋体" w:hAnsi="宋体" w:cs="宋体"/>
                <w:sz w:val="24"/>
                <w:szCs w:val="24"/>
                <w:highlight w:val="yellow"/>
              </w:rPr>
            </w:pPr>
            <w:r>
              <w:rPr>
                <w:rFonts w:hint="eastAsia" w:ascii="宋体" w:hAnsi="宋体" w:cs="宋体"/>
                <w:sz w:val="24"/>
                <w:szCs w:val="24"/>
              </w:rPr>
              <w:t>200元/人/天</w:t>
            </w:r>
          </w:p>
        </w:tc>
        <w:tc>
          <w:tcPr>
            <w:tcW w:w="4816" w:type="dxa"/>
            <w:vAlign w:val="center"/>
          </w:tcPr>
          <w:p w14:paraId="6831DEB7">
            <w:pPr>
              <w:widowControl/>
              <w:spacing w:line="400" w:lineRule="exact"/>
              <w:rPr>
                <w:rFonts w:ascii="宋体" w:hAnsi="宋体" w:cs="宋体"/>
                <w:kern w:val="0"/>
                <w:sz w:val="24"/>
                <w:szCs w:val="24"/>
              </w:rPr>
            </w:pPr>
            <w:r>
              <w:rPr>
                <w:rFonts w:hint="eastAsia" w:ascii="宋体" w:hAnsi="宋体" w:cs="宋体"/>
                <w:kern w:val="0"/>
                <w:sz w:val="24"/>
                <w:szCs w:val="24"/>
              </w:rPr>
              <w:t>200元每天给付保险金，单次最多90天，全年最多180天。</w:t>
            </w:r>
          </w:p>
        </w:tc>
      </w:tr>
    </w:tbl>
    <w:p w14:paraId="07C1ED5C">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000000"/>
          <w:kern w:val="2"/>
          <w:sz w:val="28"/>
          <w:szCs w:val="28"/>
          <w:highlight w:val="none"/>
          <w:lang w:val="en-US" w:eastAsia="zh-CN" w:bidi="ar-SA"/>
        </w:rPr>
      </w:pPr>
      <w:r>
        <w:rPr>
          <w:rFonts w:hint="eastAsia" w:ascii="宋体" w:hAnsi="宋体" w:eastAsia="宋体" w:cs="宋体"/>
          <w:b/>
          <w:bCs w:val="0"/>
          <w:color w:val="000000"/>
          <w:kern w:val="2"/>
          <w:sz w:val="28"/>
          <w:szCs w:val="28"/>
          <w:highlight w:val="none"/>
          <w:lang w:val="en-US" w:eastAsia="zh-CN" w:bidi="ar-SA"/>
        </w:rPr>
        <w:t>四、保费标准</w:t>
      </w:r>
    </w:p>
    <w:p w14:paraId="212AC438">
      <w:pPr>
        <w:tabs>
          <w:tab w:val="left" w:pos="3870"/>
          <w:tab w:val="left" w:pos="4085"/>
        </w:tabs>
        <w:snapToGrid w:val="0"/>
        <w:spacing w:line="360" w:lineRule="auto"/>
        <w:ind w:firstLine="482" w:firstLineChars="200"/>
        <w:jc w:val="left"/>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▲A独生子女家庭意外伤害保险：每户每年保费人民币70元（预计投保数：</w:t>
      </w:r>
      <w:r>
        <w:rPr>
          <w:rFonts w:hint="eastAsia" w:ascii="宋体" w:hAnsi="宋体" w:cs="宋体"/>
          <w:b/>
          <w:bCs w:val="0"/>
          <w:color w:val="000000" w:themeColor="text1"/>
          <w:sz w:val="24"/>
          <w:highlight w:val="none"/>
          <w:lang w:val="en-US" w:eastAsia="zh-CN"/>
          <w14:textFill>
            <w14:solidFill>
              <w14:schemeClr w14:val="tx1"/>
            </w14:solidFill>
          </w14:textFill>
        </w:rPr>
        <w:t>9300</w:t>
      </w:r>
      <w:r>
        <w:rPr>
          <w:rFonts w:hint="eastAsia" w:ascii="宋体" w:hAnsi="宋体" w:cs="宋体"/>
          <w:b/>
          <w:bCs w:val="0"/>
          <w:color w:val="000000" w:themeColor="text1"/>
          <w:sz w:val="24"/>
          <w:highlight w:val="none"/>
          <w14:textFill>
            <w14:solidFill>
              <w14:schemeClr w14:val="tx1"/>
            </w14:solidFill>
          </w14:textFill>
        </w:rPr>
        <w:t>户）</w:t>
      </w:r>
      <w:r>
        <w:rPr>
          <w:rFonts w:hint="eastAsia" w:ascii="宋体" w:hAnsi="宋体" w:cs="宋体"/>
          <w:b/>
          <w:bCs w:val="0"/>
          <w:color w:val="000000" w:themeColor="text1"/>
          <w:sz w:val="24"/>
          <w:highlight w:val="none"/>
          <w:lang w:eastAsia="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该项保费合计</w:t>
      </w:r>
      <w:r>
        <w:rPr>
          <w:rFonts w:hint="eastAsia" w:ascii="宋体" w:hAnsi="宋体" w:cs="宋体"/>
          <w:b/>
          <w:bCs w:val="0"/>
          <w:snapToGrid/>
          <w:kern w:val="0"/>
          <w:sz w:val="24"/>
          <w:szCs w:val="24"/>
          <w:highlight w:val="none"/>
          <w:lang w:val="en-US" w:eastAsia="zh-CN" w:bidi="ar-SA"/>
        </w:rPr>
        <w:t>651000</w:t>
      </w:r>
      <w:r>
        <w:rPr>
          <w:rFonts w:hint="eastAsia" w:ascii="宋体" w:hAnsi="宋体" w:cs="宋体"/>
          <w:b/>
          <w:bCs w:val="0"/>
          <w:color w:val="000000" w:themeColor="text1"/>
          <w:sz w:val="24"/>
          <w:highlight w:val="none"/>
          <w:lang w:val="en-US" w:eastAsia="zh-CN"/>
          <w14:textFill>
            <w14:solidFill>
              <w14:schemeClr w14:val="tx1"/>
            </w14:solidFill>
          </w14:textFill>
        </w:rPr>
        <w:t>元。</w:t>
      </w:r>
      <w:r>
        <w:rPr>
          <w:rFonts w:hint="eastAsia" w:ascii="宋体" w:hAnsi="宋体" w:cs="宋体"/>
          <w:b/>
          <w:bCs w:val="0"/>
          <w:color w:val="000000" w:themeColor="text1"/>
          <w:sz w:val="24"/>
          <w:highlight w:val="none"/>
          <w14:textFill>
            <w14:solidFill>
              <w14:schemeClr w14:val="tx1"/>
            </w14:solidFill>
          </w14:textFill>
        </w:rPr>
        <w:t>供应商投标报价超出上限价的作无效处理。</w:t>
      </w:r>
    </w:p>
    <w:p w14:paraId="426E7D05">
      <w:pPr>
        <w:tabs>
          <w:tab w:val="left" w:pos="3870"/>
          <w:tab w:val="left" w:pos="4085"/>
        </w:tabs>
        <w:snapToGrid w:val="0"/>
        <w:spacing w:line="360" w:lineRule="auto"/>
        <w:ind w:firstLine="482" w:firstLineChars="200"/>
        <w:jc w:val="left"/>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 xml:space="preserve">B </w:t>
      </w:r>
      <w:r>
        <w:rPr>
          <w:rFonts w:hint="eastAsia" w:ascii="宋体" w:hAnsi="宋体" w:cs="宋体"/>
          <w:b/>
          <w:bCs w:val="0"/>
          <w:color w:val="000000" w:themeColor="text1"/>
          <w:sz w:val="24"/>
          <w:highlight w:val="none"/>
          <w14:textFill>
            <w14:solidFill>
              <w14:schemeClr w14:val="tx1"/>
            </w14:solidFill>
          </w14:textFill>
        </w:rPr>
        <w:t>计生特殊家庭保险：每人每年</w:t>
      </w:r>
      <w:r>
        <w:rPr>
          <w:rFonts w:hint="eastAsia" w:ascii="宋体" w:hAnsi="宋体" w:cs="宋体"/>
          <w:b/>
          <w:bCs w:val="0"/>
          <w:color w:val="000000" w:themeColor="text1"/>
          <w:sz w:val="24"/>
          <w:highlight w:val="none"/>
          <w:lang w:val="en-US" w:eastAsia="zh-CN"/>
          <w14:textFill>
            <w14:solidFill>
              <w14:schemeClr w14:val="tx1"/>
            </w14:solidFill>
          </w14:textFill>
        </w:rPr>
        <w:t>390</w:t>
      </w:r>
      <w:r>
        <w:rPr>
          <w:rFonts w:hint="eastAsia" w:ascii="宋体" w:hAnsi="宋体" w:cs="宋体"/>
          <w:b/>
          <w:bCs w:val="0"/>
          <w:color w:val="000000" w:themeColor="text1"/>
          <w:sz w:val="24"/>
          <w:highlight w:val="none"/>
          <w14:textFill>
            <w14:solidFill>
              <w14:schemeClr w14:val="tx1"/>
            </w14:solidFill>
          </w14:textFill>
        </w:rPr>
        <w:t>元（预计投保数：1</w:t>
      </w:r>
      <w:r>
        <w:rPr>
          <w:rFonts w:hint="eastAsia" w:ascii="宋体" w:hAnsi="宋体" w:cs="宋体"/>
          <w:b/>
          <w:bCs w:val="0"/>
          <w:color w:val="000000" w:themeColor="text1"/>
          <w:sz w:val="24"/>
          <w:highlight w:val="none"/>
          <w:lang w:val="en-US" w:eastAsia="zh-CN"/>
          <w14:textFill>
            <w14:solidFill>
              <w14:schemeClr w14:val="tx1"/>
            </w14:solidFill>
          </w14:textFill>
        </w:rPr>
        <w:t>100</w:t>
      </w:r>
      <w:r>
        <w:rPr>
          <w:rFonts w:hint="eastAsia" w:ascii="宋体" w:hAnsi="宋体" w:cs="宋体"/>
          <w:b/>
          <w:bCs w:val="0"/>
          <w:color w:val="000000" w:themeColor="text1"/>
          <w:sz w:val="24"/>
          <w:highlight w:val="none"/>
          <w14:textFill>
            <w14:solidFill>
              <w14:schemeClr w14:val="tx1"/>
            </w14:solidFill>
          </w14:textFill>
        </w:rPr>
        <w:t>人）</w:t>
      </w:r>
      <w:r>
        <w:rPr>
          <w:rFonts w:hint="eastAsia" w:ascii="宋体" w:hAnsi="宋体" w:cs="宋体"/>
          <w:b/>
          <w:bCs w:val="0"/>
          <w:color w:val="000000" w:themeColor="text1"/>
          <w:sz w:val="24"/>
          <w:highlight w:val="none"/>
          <w:lang w:eastAsia="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该项保费合计429000元。</w:t>
      </w:r>
      <w:r>
        <w:rPr>
          <w:rFonts w:hint="eastAsia" w:ascii="宋体" w:hAnsi="宋体" w:cs="宋体"/>
          <w:b/>
          <w:bCs w:val="0"/>
          <w:color w:val="000000" w:themeColor="text1"/>
          <w:sz w:val="24"/>
          <w:highlight w:val="none"/>
          <w14:textFill>
            <w14:solidFill>
              <w14:schemeClr w14:val="tx1"/>
            </w14:solidFill>
          </w14:textFill>
        </w:rPr>
        <w:t>供应商投标报价超出上限价的作无效处理。</w:t>
      </w:r>
    </w:p>
    <w:p w14:paraId="589DC198">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五、服务要求</w:t>
      </w:r>
    </w:p>
    <w:p w14:paraId="47416991">
      <w:pPr>
        <w:snapToGrid w:val="0"/>
        <w:spacing w:line="360" w:lineRule="auto"/>
        <w:ind w:firstLine="480" w:firstLineChars="200"/>
        <w:rPr>
          <w:rFonts w:hint="eastAsia" w:ascii="宋体" w:hAnsi="宋体" w:cs="宋体"/>
          <w:sz w:val="24"/>
          <w:szCs w:val="32"/>
        </w:rPr>
      </w:pPr>
      <w:r>
        <w:rPr>
          <w:rFonts w:hint="eastAsia" w:ascii="宋体" w:hAnsi="宋体" w:cs="宋体"/>
          <w:sz w:val="24"/>
          <w:szCs w:val="32"/>
        </w:rPr>
        <w:t>1、协助管理。</w:t>
      </w:r>
      <w:r>
        <w:rPr>
          <w:rFonts w:hint="eastAsia" w:ascii="宋体" w:hAnsi="宋体" w:cs="宋体"/>
          <w:sz w:val="24"/>
          <w:szCs w:val="32"/>
          <w:lang w:eastAsia="zh-CN"/>
        </w:rPr>
        <w:t>中标单位</w:t>
      </w:r>
      <w:r>
        <w:rPr>
          <w:rFonts w:hint="eastAsia" w:ascii="宋体" w:hAnsi="宋体" w:cs="宋体"/>
          <w:sz w:val="24"/>
          <w:szCs w:val="32"/>
        </w:rPr>
        <w:t>应组建专业服务团队，无偿协助并配合</w:t>
      </w:r>
      <w:r>
        <w:rPr>
          <w:rFonts w:hint="eastAsia" w:ascii="宋体" w:hAnsi="宋体" w:cs="宋体"/>
          <w:sz w:val="24"/>
          <w:szCs w:val="32"/>
          <w:lang w:val="en-US" w:eastAsia="zh-CN"/>
        </w:rPr>
        <w:t>采购人</w:t>
      </w:r>
      <w:r>
        <w:rPr>
          <w:rFonts w:hint="eastAsia" w:ascii="宋体" w:hAnsi="宋体" w:cs="宋体"/>
          <w:sz w:val="24"/>
          <w:szCs w:val="32"/>
        </w:rPr>
        <w:t>开展保险的相关服务，并遵循</w:t>
      </w:r>
      <w:r>
        <w:rPr>
          <w:rFonts w:hint="eastAsia" w:ascii="宋体" w:hAnsi="宋体" w:cs="宋体"/>
          <w:sz w:val="24"/>
          <w:szCs w:val="32"/>
          <w:lang w:val="en-US" w:eastAsia="zh-CN"/>
        </w:rPr>
        <w:t>采购人</w:t>
      </w:r>
      <w:r>
        <w:rPr>
          <w:rFonts w:hint="eastAsia" w:ascii="宋体" w:hAnsi="宋体" w:cs="宋体"/>
          <w:sz w:val="24"/>
          <w:szCs w:val="32"/>
        </w:rPr>
        <w:t>有关事故消息公布及各项保密守则和制度。</w:t>
      </w:r>
    </w:p>
    <w:p w14:paraId="2F1F14DA">
      <w:pPr>
        <w:snapToGrid w:val="0"/>
        <w:spacing w:line="360" w:lineRule="auto"/>
        <w:ind w:firstLine="480" w:firstLineChars="200"/>
        <w:rPr>
          <w:b w:val="0"/>
          <w:bCs/>
        </w:rPr>
      </w:pPr>
      <w:r>
        <w:rPr>
          <w:rFonts w:hint="eastAsia" w:ascii="宋体" w:hAnsi="宋体"/>
          <w:b w:val="0"/>
          <w:bCs/>
          <w:sz w:val="24"/>
          <w:szCs w:val="32"/>
          <w:lang w:val="en-US" w:eastAsia="zh-CN"/>
        </w:rPr>
        <w:t>2</w:t>
      </w:r>
      <w:r>
        <w:rPr>
          <w:rFonts w:hint="eastAsia" w:ascii="宋体" w:hAnsi="宋体"/>
          <w:b w:val="0"/>
          <w:bCs/>
          <w:sz w:val="24"/>
          <w:szCs w:val="32"/>
        </w:rPr>
        <w:t>、</w:t>
      </w:r>
      <w:r>
        <w:rPr>
          <w:rFonts w:hint="eastAsia" w:ascii="宋体" w:hAnsi="宋体"/>
          <w:b w:val="0"/>
          <w:bCs/>
          <w:sz w:val="24"/>
          <w:szCs w:val="32"/>
          <w:lang w:eastAsia="zh-CN"/>
        </w:rPr>
        <w:t>中标单位</w:t>
      </w:r>
      <w:r>
        <w:rPr>
          <w:rFonts w:hint="eastAsia" w:ascii="宋体" w:hAnsi="宋体"/>
          <w:b w:val="0"/>
          <w:bCs/>
          <w:sz w:val="24"/>
          <w:szCs w:val="32"/>
        </w:rPr>
        <w:t>要配合采购人举行定期或不定期的保险项目的保险知识、理赔程序等方面的知识讲座、宣传推广活动，制作宣传手册，并合理支付宣传推广费用。</w:t>
      </w:r>
    </w:p>
    <w:p w14:paraId="0F2E5F93">
      <w:pPr>
        <w:snapToGrid w:val="0"/>
        <w:spacing w:line="360" w:lineRule="auto"/>
        <w:ind w:firstLine="480" w:firstLineChars="200"/>
        <w:rPr>
          <w:rFonts w:ascii="宋体" w:hAnsi="宋体" w:cs="宋体"/>
          <w:sz w:val="24"/>
          <w:szCs w:val="32"/>
        </w:rPr>
      </w:pPr>
      <w:r>
        <w:rPr>
          <w:rFonts w:hint="eastAsia" w:ascii="宋体" w:hAnsi="宋体" w:cs="宋体"/>
          <w:sz w:val="24"/>
          <w:szCs w:val="32"/>
        </w:rPr>
        <w:t>3、</w:t>
      </w:r>
      <w:r>
        <w:rPr>
          <w:rFonts w:hint="eastAsia" w:ascii="宋体" w:hAnsi="宋体" w:cs="宋体"/>
          <w:sz w:val="24"/>
          <w:szCs w:val="32"/>
          <w:lang w:eastAsia="zh-CN"/>
        </w:rPr>
        <w:t>中标单位</w:t>
      </w:r>
      <w:r>
        <w:rPr>
          <w:rFonts w:hint="eastAsia" w:ascii="宋体" w:hAnsi="宋体" w:cs="宋体"/>
          <w:sz w:val="24"/>
          <w:szCs w:val="32"/>
        </w:rPr>
        <w:t>收到被保险人或者受益人的赔偿或者给付保险金的请求后，应当及时作出核定，并将核定结果通知被保险人或者受益人。对属于保险责任的，</w:t>
      </w:r>
      <w:r>
        <w:rPr>
          <w:rFonts w:hint="eastAsia" w:ascii="宋体" w:hAnsi="宋体" w:cs="宋体"/>
          <w:sz w:val="24"/>
          <w:szCs w:val="32"/>
          <w:lang w:eastAsia="zh-CN"/>
        </w:rPr>
        <w:t>中标单位</w:t>
      </w:r>
      <w:r>
        <w:rPr>
          <w:rFonts w:hint="eastAsia" w:ascii="宋体" w:hAnsi="宋体" w:cs="宋体"/>
          <w:sz w:val="24"/>
          <w:szCs w:val="32"/>
        </w:rPr>
        <w:t>必须在与被保险人或者受益人达成有关赔偿或者给付保险金额的协议后十日内，履行赔偿或者给付保险金义务。</w:t>
      </w:r>
    </w:p>
    <w:p w14:paraId="59AAFEAA">
      <w:pPr>
        <w:snapToGrid w:val="0"/>
        <w:spacing w:line="360" w:lineRule="auto"/>
        <w:ind w:firstLine="480" w:firstLineChars="200"/>
        <w:rPr>
          <w:rFonts w:hint="eastAsia" w:ascii="宋体" w:hAnsi="宋体" w:cs="宋体"/>
          <w:sz w:val="24"/>
          <w:szCs w:val="32"/>
        </w:rPr>
      </w:pPr>
      <w:r>
        <w:rPr>
          <w:rFonts w:hint="eastAsia" w:ascii="宋体" w:hAnsi="宋体" w:cs="宋体"/>
          <w:sz w:val="24"/>
          <w:szCs w:val="32"/>
        </w:rPr>
        <w:t>4、</w:t>
      </w:r>
      <w:r>
        <w:rPr>
          <w:rFonts w:hint="eastAsia" w:ascii="宋体" w:hAnsi="宋体" w:cs="宋体"/>
          <w:sz w:val="24"/>
          <w:szCs w:val="32"/>
          <w:lang w:eastAsia="zh-CN"/>
        </w:rPr>
        <w:t>中标单位</w:t>
      </w:r>
      <w:r>
        <w:rPr>
          <w:rFonts w:hint="eastAsia" w:ascii="宋体" w:hAnsi="宋体" w:cs="宋体"/>
          <w:sz w:val="24"/>
          <w:szCs w:val="32"/>
        </w:rPr>
        <w:t>自收到赔偿或者给付保险金的请求和有关证明、资料之日起六十日内，对其赔偿或者给付保险金的数额不能确定的，应当根据已有证明和资料可以确定的最低数额先予支付；</w:t>
      </w:r>
      <w:r>
        <w:rPr>
          <w:rFonts w:hint="eastAsia" w:ascii="宋体" w:hAnsi="宋体" w:cs="宋体"/>
          <w:sz w:val="24"/>
          <w:szCs w:val="32"/>
          <w:lang w:val="en-US" w:eastAsia="zh-CN"/>
        </w:rPr>
        <w:t>中标单位</w:t>
      </w:r>
      <w:r>
        <w:rPr>
          <w:rFonts w:hint="eastAsia" w:ascii="宋体" w:hAnsi="宋体" w:cs="宋体"/>
          <w:sz w:val="24"/>
          <w:szCs w:val="32"/>
        </w:rPr>
        <w:t>最终确定赔偿或者给付保险金的数额后，应当支付相应的差额。</w:t>
      </w:r>
    </w:p>
    <w:p w14:paraId="57059995">
      <w:pPr>
        <w:snapToGrid w:val="0"/>
        <w:spacing w:line="360" w:lineRule="auto"/>
        <w:ind w:firstLine="480" w:firstLineChars="200"/>
      </w:pPr>
      <w:r>
        <w:rPr>
          <w:rFonts w:hint="eastAsia" w:ascii="宋体" w:hAnsi="宋体"/>
          <w:sz w:val="24"/>
          <w:szCs w:val="32"/>
          <w:lang w:val="en-US" w:eastAsia="zh-CN"/>
        </w:rPr>
        <w:t>5</w:t>
      </w:r>
      <w:r>
        <w:rPr>
          <w:rFonts w:hint="eastAsia" w:ascii="宋体" w:hAnsi="宋体"/>
          <w:sz w:val="24"/>
          <w:szCs w:val="32"/>
        </w:rPr>
        <w:t>、</w:t>
      </w:r>
      <w:r>
        <w:rPr>
          <w:rFonts w:hint="eastAsia" w:ascii="宋体" w:hAnsi="宋体" w:cs="宋体"/>
          <w:sz w:val="24"/>
          <w:szCs w:val="32"/>
          <w:lang w:eastAsia="zh-CN"/>
        </w:rPr>
        <w:t>中标单位</w:t>
      </w:r>
      <w:r>
        <w:rPr>
          <w:rFonts w:hint="eastAsia" w:ascii="宋体" w:hAnsi="宋体"/>
          <w:sz w:val="24"/>
          <w:szCs w:val="32"/>
        </w:rPr>
        <w:t>必须对符合理赔要求的参保人给予赔付，不得推迟或以其他借口不给予赔付。否则</w:t>
      </w:r>
      <w:r>
        <w:rPr>
          <w:rFonts w:hint="eastAsia" w:ascii="宋体" w:hAnsi="宋体"/>
          <w:sz w:val="24"/>
          <w:szCs w:val="32"/>
          <w:lang w:val="en-US" w:eastAsia="zh-CN"/>
        </w:rPr>
        <w:t>采购人</w:t>
      </w:r>
      <w:r>
        <w:rPr>
          <w:rFonts w:hint="eastAsia" w:ascii="宋体" w:hAnsi="宋体"/>
          <w:sz w:val="24"/>
          <w:szCs w:val="32"/>
        </w:rPr>
        <w:t>将有权终止会同并追究违约责任。</w:t>
      </w:r>
    </w:p>
    <w:p w14:paraId="689FABA6">
      <w:pPr>
        <w:snapToGrid w:val="0"/>
        <w:spacing w:line="360" w:lineRule="auto"/>
        <w:ind w:firstLine="480" w:firstLineChars="200"/>
        <w:rPr>
          <w:rFonts w:hint="eastAsia" w:ascii="宋体" w:hAnsi="宋体" w:cs="宋体"/>
          <w:sz w:val="24"/>
          <w:szCs w:val="32"/>
        </w:rPr>
      </w:pPr>
      <w:r>
        <w:rPr>
          <w:rFonts w:hint="eastAsia" w:ascii="宋体" w:hAnsi="宋体" w:cs="宋体"/>
          <w:sz w:val="24"/>
          <w:szCs w:val="32"/>
          <w:lang w:val="en-US" w:eastAsia="zh-CN"/>
        </w:rPr>
        <w:t>6</w:t>
      </w:r>
      <w:r>
        <w:rPr>
          <w:rFonts w:hint="eastAsia" w:ascii="宋体" w:hAnsi="宋体" w:cs="宋体"/>
          <w:sz w:val="24"/>
          <w:szCs w:val="32"/>
        </w:rPr>
        <w:t>、</w:t>
      </w:r>
      <w:r>
        <w:rPr>
          <w:rFonts w:hint="eastAsia" w:ascii="宋体" w:hAnsi="宋体" w:cs="宋体"/>
          <w:sz w:val="24"/>
          <w:szCs w:val="32"/>
          <w:lang w:eastAsia="zh-CN"/>
        </w:rPr>
        <w:t>中标单位</w:t>
      </w:r>
      <w:r>
        <w:rPr>
          <w:rFonts w:hint="eastAsia" w:ascii="宋体" w:hAnsi="宋体" w:cs="宋体"/>
          <w:sz w:val="24"/>
          <w:szCs w:val="32"/>
        </w:rPr>
        <w:t>未及时履行前款规定义务的，除支付保险金外，应当赔偿被保险人或者受益人因此受到的损失。</w:t>
      </w:r>
    </w:p>
    <w:p w14:paraId="70ED8452">
      <w:pPr>
        <w:snapToGrid w:val="0"/>
        <w:spacing w:line="360" w:lineRule="auto"/>
        <w:ind w:firstLine="480" w:firstLineChars="200"/>
        <w:rPr>
          <w:rFonts w:hint="eastAsia" w:ascii="宋体" w:hAnsi="宋体" w:cs="宋体"/>
          <w:sz w:val="24"/>
          <w:szCs w:val="32"/>
        </w:rPr>
      </w:pPr>
      <w:r>
        <w:rPr>
          <w:rFonts w:hint="eastAsia" w:ascii="宋体" w:hAnsi="宋体" w:cs="宋体"/>
          <w:sz w:val="24"/>
          <w:szCs w:val="32"/>
          <w:lang w:val="en-US" w:eastAsia="zh-CN"/>
        </w:rPr>
        <w:t>7</w:t>
      </w:r>
      <w:r>
        <w:rPr>
          <w:rFonts w:hint="eastAsia" w:ascii="宋体" w:hAnsi="宋体" w:cs="宋体"/>
          <w:sz w:val="24"/>
          <w:szCs w:val="32"/>
        </w:rPr>
        <w:t>、</w:t>
      </w:r>
      <w:r>
        <w:rPr>
          <w:rFonts w:hint="eastAsia" w:ascii="宋体" w:hAnsi="宋体" w:cs="宋体"/>
          <w:sz w:val="24"/>
          <w:szCs w:val="32"/>
          <w:lang w:eastAsia="zh-CN"/>
        </w:rPr>
        <w:t>中标单位</w:t>
      </w:r>
      <w:r>
        <w:rPr>
          <w:rFonts w:hint="eastAsia" w:ascii="宋体" w:hAnsi="宋体" w:cs="宋体"/>
          <w:sz w:val="24"/>
          <w:szCs w:val="32"/>
        </w:rPr>
        <w:t>收到被保险人或者受益人的赔偿或者给付保险金的请求后，对不属于保险责任的，应当向被保险人或者受益人发出拒绝赔偿或者拒绝给付保险金通知书及理由书。</w:t>
      </w:r>
    </w:p>
    <w:p w14:paraId="04391D1C">
      <w:pPr>
        <w:snapToGrid w:val="0"/>
        <w:spacing w:line="360" w:lineRule="auto"/>
        <w:ind w:firstLine="480" w:firstLineChars="200"/>
        <w:rPr>
          <w:rFonts w:hint="eastAsia" w:ascii="宋体" w:hAnsi="宋体" w:cs="宋体"/>
          <w:b w:val="0"/>
          <w:bCs w:val="0"/>
          <w:sz w:val="24"/>
          <w:szCs w:val="32"/>
        </w:rPr>
      </w:pPr>
      <w:r>
        <w:rPr>
          <w:rFonts w:hint="eastAsia" w:ascii="宋体" w:hAnsi="宋体" w:cs="宋体"/>
          <w:b w:val="0"/>
          <w:bCs w:val="0"/>
          <w:sz w:val="24"/>
          <w:szCs w:val="32"/>
          <w:lang w:val="en-US" w:eastAsia="zh-CN"/>
        </w:rPr>
        <w:t>8</w:t>
      </w:r>
      <w:r>
        <w:rPr>
          <w:rFonts w:hint="eastAsia" w:ascii="宋体" w:hAnsi="宋体" w:cs="宋体"/>
          <w:b w:val="0"/>
          <w:bCs w:val="0"/>
          <w:sz w:val="24"/>
          <w:szCs w:val="32"/>
        </w:rPr>
        <w:t>、</w:t>
      </w:r>
      <w:r>
        <w:rPr>
          <w:rFonts w:hint="eastAsia" w:ascii="宋体" w:hAnsi="宋体" w:cs="宋体"/>
          <w:b w:val="0"/>
          <w:bCs w:val="0"/>
          <w:sz w:val="24"/>
          <w:szCs w:val="32"/>
          <w:lang w:eastAsia="zh-CN"/>
        </w:rPr>
        <w:t>中标单位</w:t>
      </w:r>
      <w:r>
        <w:rPr>
          <w:rFonts w:hint="eastAsia" w:ascii="宋体" w:hAnsi="宋体" w:cs="宋体"/>
          <w:b w:val="0"/>
          <w:bCs w:val="0"/>
          <w:sz w:val="24"/>
          <w:szCs w:val="32"/>
        </w:rPr>
        <w:t>应设有24小时全天报案服务电话，并派专人受理索赔接报案。同时每月固定时间</w:t>
      </w:r>
      <w:r>
        <w:rPr>
          <w:rFonts w:hint="eastAsia" w:ascii="宋体" w:hAnsi="宋体" w:cs="宋体"/>
          <w:b w:val="0"/>
          <w:bCs w:val="0"/>
          <w:sz w:val="24"/>
          <w:szCs w:val="32"/>
          <w:lang w:val="en-US" w:eastAsia="zh-CN"/>
        </w:rPr>
        <w:t>至采购人</w:t>
      </w:r>
      <w:r>
        <w:rPr>
          <w:rFonts w:hint="eastAsia" w:ascii="宋体" w:hAnsi="宋体" w:cs="宋体"/>
          <w:b w:val="0"/>
          <w:bCs w:val="0"/>
          <w:sz w:val="24"/>
          <w:szCs w:val="32"/>
        </w:rPr>
        <w:t>设立</w:t>
      </w:r>
      <w:r>
        <w:rPr>
          <w:rFonts w:hint="eastAsia" w:ascii="宋体" w:hAnsi="宋体" w:cs="宋体"/>
          <w:b w:val="0"/>
          <w:bCs w:val="0"/>
          <w:sz w:val="24"/>
          <w:szCs w:val="32"/>
          <w:lang w:val="en-US" w:eastAsia="zh-CN"/>
        </w:rPr>
        <w:t>的</w:t>
      </w:r>
      <w:r>
        <w:rPr>
          <w:rFonts w:hint="eastAsia" w:ascii="宋体" w:hAnsi="宋体" w:cs="宋体"/>
          <w:b w:val="0"/>
          <w:bCs w:val="0"/>
          <w:sz w:val="24"/>
          <w:szCs w:val="32"/>
        </w:rPr>
        <w:t>理赔点，受理理赔案件。</w:t>
      </w:r>
    </w:p>
    <w:p w14:paraId="4BA5EF4A">
      <w:pPr>
        <w:snapToGrid w:val="0"/>
        <w:spacing w:line="360" w:lineRule="auto"/>
        <w:ind w:firstLine="480" w:firstLineChars="200"/>
        <w:rPr>
          <w:rFonts w:hint="eastAsia"/>
        </w:rPr>
      </w:pPr>
      <w:r>
        <w:rPr>
          <w:rFonts w:hint="eastAsia" w:ascii="FangSong_GB2312" w:hAnsi="仿宋" w:eastAsia="FangSong_GB2312"/>
          <w:sz w:val="24"/>
        </w:rPr>
        <w:t>▲</w:t>
      </w:r>
      <w:r>
        <w:rPr>
          <w:rFonts w:hint="eastAsia" w:ascii="宋体" w:hAnsi="宋体" w:eastAsia="FangSong_GB2312" w:cs="宋体"/>
          <w:b/>
          <w:sz w:val="24"/>
          <w:szCs w:val="32"/>
          <w:lang w:val="en-US" w:eastAsia="zh-CN"/>
        </w:rPr>
        <w:t>9</w:t>
      </w:r>
      <w:r>
        <w:rPr>
          <w:rFonts w:hint="eastAsia" w:ascii="宋体" w:hAnsi="宋体" w:cs="宋体"/>
          <w:b/>
          <w:sz w:val="24"/>
          <w:szCs w:val="32"/>
        </w:rPr>
        <w:t>.</w:t>
      </w:r>
      <w:r>
        <w:rPr>
          <w:rFonts w:hint="eastAsia" w:ascii="宋体" w:hAnsi="宋体" w:cs="宋体"/>
          <w:b/>
          <w:sz w:val="24"/>
          <w:szCs w:val="32"/>
          <w:lang w:eastAsia="zh-CN"/>
        </w:rPr>
        <w:t>中标单位</w:t>
      </w:r>
      <w:r>
        <w:rPr>
          <w:rFonts w:hint="eastAsia" w:ascii="宋体" w:hAnsi="宋体" w:cs="宋体"/>
          <w:b/>
          <w:sz w:val="24"/>
          <w:szCs w:val="32"/>
        </w:rPr>
        <w:t>不得将本项目所载义务、责任分出给其他保险公司承担,否则将取消资格并追究相关责任。</w:t>
      </w:r>
    </w:p>
    <w:p w14:paraId="6C7D74BE">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000000"/>
          <w:kern w:val="2"/>
          <w:sz w:val="28"/>
          <w:szCs w:val="28"/>
          <w:lang w:val="en-US" w:eastAsia="zh-CN" w:bidi="ar-SA"/>
        </w:rPr>
      </w:pPr>
      <w:r>
        <w:rPr>
          <w:rFonts w:hint="eastAsia" w:ascii="宋体" w:hAnsi="宋体" w:cs="宋体"/>
          <w:b/>
          <w:bCs w:val="0"/>
          <w:color w:val="000000"/>
          <w:kern w:val="2"/>
          <w:sz w:val="28"/>
          <w:szCs w:val="28"/>
          <w:lang w:val="en-US" w:eastAsia="zh-CN" w:bidi="ar-SA"/>
        </w:rPr>
        <w:t>六</w:t>
      </w:r>
      <w:r>
        <w:rPr>
          <w:rFonts w:hint="eastAsia" w:ascii="宋体" w:hAnsi="宋体" w:eastAsia="宋体" w:cs="宋体"/>
          <w:b/>
          <w:bCs w:val="0"/>
          <w:color w:val="000000"/>
          <w:kern w:val="2"/>
          <w:sz w:val="28"/>
          <w:szCs w:val="28"/>
          <w:lang w:val="en-US" w:eastAsia="zh-CN" w:bidi="ar-SA"/>
        </w:rPr>
        <w:t>、事故认定机构</w:t>
      </w:r>
    </w:p>
    <w:p w14:paraId="3D5DA13E">
      <w:pPr>
        <w:keepNext w:val="0"/>
        <w:keepLines w:val="0"/>
        <w:pageBreakBefore w:val="0"/>
        <w:widowControl w:val="0"/>
        <w:tabs>
          <w:tab w:val="left" w:pos="0"/>
        </w:tabs>
        <w:kinsoku/>
        <w:wordWrap/>
        <w:overflowPunct/>
        <w:topLinePunct w:val="0"/>
        <w:autoSpaceDE/>
        <w:autoSpaceDN/>
        <w:bidi w:val="0"/>
        <w:adjustRightInd/>
        <w:snapToGrid/>
        <w:spacing w:after="0" w:afterLines="50" w:line="360" w:lineRule="auto"/>
        <w:ind w:firstLine="480"/>
        <w:textAlignment w:val="auto"/>
        <w:rPr>
          <w:rFonts w:hint="eastAsia" w:ascii="宋体" w:hAnsi="宋体" w:eastAsia="宋体" w:cs="宋体"/>
          <w:b w:val="0"/>
          <w:bCs w:val="0"/>
          <w:lang w:val="en-US" w:eastAsia="zh-CN"/>
        </w:rPr>
      </w:pPr>
      <w:r>
        <w:rPr>
          <w:rFonts w:hint="eastAsia" w:ascii="宋体" w:hAnsi="宋体" w:eastAsia="宋体" w:cs="宋体"/>
          <w:b w:val="0"/>
          <w:bCs w:val="0"/>
          <w:color w:val="000000" w:themeColor="text1"/>
          <w:kern w:val="0"/>
          <w:sz w:val="24"/>
          <w:lang w:val="en-US" w:eastAsia="zh-CN"/>
          <w14:textFill>
            <w14:solidFill>
              <w14:schemeClr w14:val="tx1"/>
            </w14:solidFill>
          </w14:textFill>
        </w:rPr>
        <w:t>如发生保险事故，事故由</w:t>
      </w:r>
      <w:r>
        <w:rPr>
          <w:rFonts w:hint="eastAsia" w:ascii="宋体" w:hAnsi="宋体" w:cs="宋体"/>
          <w:b w:val="0"/>
          <w:bCs w:val="0"/>
          <w:color w:val="000000" w:themeColor="text1"/>
          <w:kern w:val="0"/>
          <w:sz w:val="24"/>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lang w:val="en-US" w:eastAsia="zh-CN"/>
          <w14:textFill>
            <w14:solidFill>
              <w14:schemeClr w14:val="tx1"/>
            </w14:solidFill>
          </w14:textFill>
        </w:rPr>
        <w:t>认定。本项目最终解释权归</w:t>
      </w:r>
      <w:r>
        <w:rPr>
          <w:rFonts w:hint="eastAsia" w:ascii="宋体" w:hAnsi="宋体" w:cs="宋体"/>
          <w:b w:val="0"/>
          <w:bCs w:val="0"/>
          <w:color w:val="000000" w:themeColor="text1"/>
          <w:kern w:val="0"/>
          <w:sz w:val="24"/>
          <w:lang w:val="en-US" w:eastAsia="zh-CN"/>
          <w14:textFill>
            <w14:solidFill>
              <w14:schemeClr w14:val="tx1"/>
            </w14:solidFill>
          </w14:textFill>
        </w:rPr>
        <w:t>采购人</w:t>
      </w:r>
      <w:r>
        <w:rPr>
          <w:rFonts w:hint="eastAsia" w:ascii="宋体" w:hAnsi="宋体" w:eastAsia="宋体" w:cs="宋体"/>
          <w:b w:val="0"/>
          <w:bCs w:val="0"/>
          <w:color w:val="000000" w:themeColor="text1"/>
          <w:kern w:val="0"/>
          <w:sz w:val="24"/>
          <w:lang w:val="en-US" w:eastAsia="zh-CN"/>
          <w14:textFill>
            <w14:solidFill>
              <w14:schemeClr w14:val="tx1"/>
            </w14:solidFill>
          </w14:textFill>
        </w:rPr>
        <w:t>所有。</w:t>
      </w:r>
    </w:p>
    <w:p w14:paraId="5F12E9DE">
      <w:pPr>
        <w:keepNext w:val="0"/>
        <w:keepLines w:val="0"/>
        <w:pageBreakBefore w:val="0"/>
        <w:widowControl w:val="0"/>
        <w:tabs>
          <w:tab w:val="left" w:pos="0"/>
        </w:tabs>
        <w:kinsoku/>
        <w:wordWrap/>
        <w:overflowPunct/>
        <w:topLinePunct w:val="0"/>
        <w:autoSpaceDE/>
        <w:autoSpaceDN/>
        <w:bidi w:val="0"/>
        <w:adjustRightInd w:val="0"/>
        <w:snapToGrid/>
        <w:spacing w:before="0" w:beforeLines="50" w:after="0" w:afterLines="50" w:line="360" w:lineRule="auto"/>
        <w:textAlignment w:val="auto"/>
        <w:rPr>
          <w:rFonts w:hint="eastAsia" w:ascii="宋体" w:hAnsi="宋体" w:eastAsia="宋体" w:cs="宋体"/>
          <w:b/>
          <w:bCs w:val="0"/>
          <w:color w:val="000000"/>
          <w:kern w:val="2"/>
          <w:sz w:val="28"/>
          <w:szCs w:val="28"/>
          <w:lang w:val="en-US" w:eastAsia="zh-CN" w:bidi="ar-SA"/>
        </w:rPr>
      </w:pPr>
      <w:r>
        <w:rPr>
          <w:rFonts w:hint="eastAsia" w:ascii="宋体" w:hAnsi="宋体" w:cs="宋体"/>
          <w:b/>
          <w:bCs w:val="0"/>
          <w:color w:val="000000"/>
          <w:kern w:val="2"/>
          <w:sz w:val="28"/>
          <w:szCs w:val="28"/>
          <w:lang w:val="en-US" w:eastAsia="zh-CN" w:bidi="ar-SA"/>
        </w:rPr>
        <w:t>七</w:t>
      </w:r>
      <w:r>
        <w:rPr>
          <w:rFonts w:hint="eastAsia" w:ascii="宋体" w:hAnsi="宋体" w:eastAsia="宋体" w:cs="宋体"/>
          <w:b/>
          <w:bCs w:val="0"/>
          <w:color w:val="000000"/>
          <w:kern w:val="2"/>
          <w:sz w:val="28"/>
          <w:szCs w:val="28"/>
          <w:lang w:val="en-US" w:eastAsia="zh-CN" w:bidi="ar-SA"/>
        </w:rPr>
        <w:t>、付款方式</w:t>
      </w:r>
    </w:p>
    <w:p w14:paraId="03E9277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合同签订后7个工作日内</w:t>
      </w:r>
      <w:r>
        <w:rPr>
          <w:rFonts w:hint="eastAsia" w:ascii="宋体" w:hAnsi="宋体" w:cs="宋体"/>
          <w:sz w:val="24"/>
          <w:szCs w:val="32"/>
          <w:lang w:eastAsia="zh-CN"/>
        </w:rPr>
        <w:t>中标单位</w:t>
      </w:r>
      <w:r>
        <w:rPr>
          <w:rFonts w:hint="eastAsia" w:ascii="宋体" w:hAnsi="宋体" w:eastAsia="宋体" w:cs="宋体"/>
          <w:sz w:val="24"/>
          <w:szCs w:val="24"/>
          <w:lang w:val="en-US" w:eastAsia="zh-CN"/>
        </w:rPr>
        <w:t>完成所有参保对象投保工作并经采购人</w:t>
      </w:r>
      <w:r>
        <w:rPr>
          <w:rFonts w:hint="eastAsia" w:ascii="宋体" w:hAnsi="宋体" w:cs="宋体"/>
          <w:sz w:val="24"/>
          <w:szCs w:val="24"/>
          <w:lang w:val="en-US" w:eastAsia="zh-CN"/>
        </w:rPr>
        <w:t>审核通过</w:t>
      </w:r>
      <w:r>
        <w:rPr>
          <w:rFonts w:hint="eastAsia" w:ascii="宋体" w:hAnsi="宋体" w:eastAsia="宋体" w:cs="宋体"/>
          <w:sz w:val="24"/>
          <w:szCs w:val="24"/>
          <w:lang w:val="en-US" w:eastAsia="zh-CN"/>
        </w:rPr>
        <w:t>后一次性支付</w:t>
      </w:r>
      <w:r>
        <w:rPr>
          <w:rFonts w:hint="eastAsia" w:ascii="宋体" w:hAnsi="宋体" w:cs="宋体"/>
          <w:sz w:val="24"/>
          <w:szCs w:val="24"/>
          <w:lang w:val="en-US" w:eastAsia="zh-CN"/>
        </w:rPr>
        <w:t>保费。（注：按实际承保人数结算保费，</w:t>
      </w:r>
      <w:r>
        <w:rPr>
          <w:rFonts w:hint="eastAsia" w:ascii="宋体" w:hAnsi="宋体" w:cs="宋体"/>
          <w:sz w:val="24"/>
          <w:szCs w:val="32"/>
          <w:lang w:eastAsia="zh-CN"/>
        </w:rPr>
        <w:t>中标单位</w:t>
      </w:r>
      <w:r>
        <w:rPr>
          <w:rFonts w:hint="eastAsia" w:ascii="Times New Roman" w:hAnsi="Times New Roman" w:eastAsia="宋体" w:cs="Times New Roman"/>
          <w:sz w:val="24"/>
          <w:szCs w:val="24"/>
          <w:lang w:val="en-US" w:eastAsia="zh-CN"/>
        </w:rPr>
        <w:t>须向采购人提供正规财务发票，采购</w:t>
      </w:r>
      <w:r>
        <w:rPr>
          <w:rFonts w:hint="eastAsia" w:ascii="Times New Roman" w:hAnsi="Times New Roman" w:cs="Times New Roman"/>
          <w:sz w:val="24"/>
          <w:szCs w:val="24"/>
          <w:lang w:val="en-US" w:eastAsia="zh-CN"/>
        </w:rPr>
        <w:t>单位按流程支付</w:t>
      </w:r>
      <w:r>
        <w:rPr>
          <w:rFonts w:hint="eastAsia" w:ascii="Times New Roman" w:hAnsi="Times New Roman" w:eastAsia="宋体" w:cs="Times New Roman"/>
          <w:sz w:val="24"/>
          <w:szCs w:val="24"/>
          <w:lang w:val="en-US" w:eastAsia="zh-CN"/>
        </w:rPr>
        <w:t>。</w:t>
      </w:r>
      <w:r>
        <w:rPr>
          <w:rFonts w:hint="eastAsia" w:ascii="宋体" w:hAnsi="宋体" w:cs="宋体"/>
          <w:sz w:val="24"/>
          <w:szCs w:val="24"/>
          <w:lang w:val="en-US" w:eastAsia="zh-CN"/>
        </w:rPr>
        <w:t>）</w:t>
      </w:r>
    </w:p>
    <w:p w14:paraId="7CA69CDA">
      <w:pPr>
        <w:rPr>
          <w:rFonts w:hint="eastAsia" w:ascii="宋体" w:hAnsi="宋体" w:eastAsia="宋体" w:cs="宋体"/>
          <w:sz w:val="24"/>
          <w:szCs w:val="24"/>
          <w:lang w:val="en-US" w:eastAsia="zh-CN"/>
        </w:rPr>
      </w:pPr>
    </w:p>
    <w:p w14:paraId="0C69164C">
      <w:pPr>
        <w:pStyle w:val="26"/>
        <w:rPr>
          <w:rFonts w:hint="eastAsia" w:ascii="宋体" w:hAnsi="宋体" w:eastAsia="宋体" w:cs="宋体"/>
          <w:sz w:val="24"/>
          <w:szCs w:val="24"/>
          <w:lang w:val="en-US" w:eastAsia="zh-CN"/>
        </w:rPr>
      </w:pPr>
    </w:p>
    <w:p w14:paraId="42A0EC2C">
      <w:pPr>
        <w:pStyle w:val="27"/>
        <w:rPr>
          <w:rFonts w:hint="eastAsia" w:ascii="宋体" w:hAnsi="宋体" w:eastAsia="宋体" w:cs="宋体"/>
          <w:sz w:val="24"/>
          <w:szCs w:val="24"/>
          <w:lang w:val="en-US" w:eastAsia="zh-CN"/>
        </w:rPr>
      </w:pPr>
    </w:p>
    <w:p w14:paraId="27D4AFE1">
      <w:pPr>
        <w:tabs>
          <w:tab w:val="left" w:pos="3779"/>
        </w:tabs>
        <w:rPr>
          <w:rFonts w:hint="eastAsia" w:ascii="宋体" w:hAnsi="宋体" w:cs="宋体"/>
          <w:sz w:val="24"/>
          <w:szCs w:val="24"/>
          <w:lang w:val="en-US" w:eastAsia="zh-CN"/>
        </w:rPr>
      </w:pPr>
      <w:r>
        <w:rPr>
          <w:rFonts w:hint="eastAsia" w:ascii="宋体" w:hAnsi="宋体" w:cs="宋体"/>
          <w:sz w:val="24"/>
          <w:szCs w:val="24"/>
          <w:lang w:val="en-US" w:eastAsia="zh-CN"/>
        </w:rPr>
        <w:tab/>
      </w:r>
    </w:p>
    <w:p w14:paraId="1F6E7BCD">
      <w:pPr>
        <w:pStyle w:val="36"/>
        <w:rPr>
          <w:rFonts w:hint="eastAsia" w:ascii="宋体" w:hAnsi="宋体" w:cs="宋体"/>
          <w:sz w:val="24"/>
          <w:szCs w:val="24"/>
          <w:lang w:val="en-US" w:eastAsia="zh-CN"/>
        </w:rPr>
      </w:pPr>
    </w:p>
    <w:p w14:paraId="2B41CFF3">
      <w:pPr>
        <w:pStyle w:val="36"/>
        <w:rPr>
          <w:rFonts w:hint="eastAsia" w:ascii="宋体" w:hAnsi="宋体" w:cs="宋体"/>
          <w:sz w:val="24"/>
          <w:szCs w:val="24"/>
          <w:lang w:val="en-US" w:eastAsia="zh-CN"/>
        </w:rPr>
      </w:pPr>
    </w:p>
    <w:p w14:paraId="046D27D5">
      <w:pPr>
        <w:pStyle w:val="36"/>
        <w:rPr>
          <w:rFonts w:hint="eastAsia" w:ascii="宋体" w:hAnsi="宋体" w:cs="宋体"/>
          <w:sz w:val="24"/>
          <w:szCs w:val="24"/>
          <w:lang w:val="en-US" w:eastAsia="zh-CN"/>
        </w:rPr>
      </w:pPr>
    </w:p>
    <w:p w14:paraId="15864920">
      <w:pPr>
        <w:pStyle w:val="36"/>
        <w:rPr>
          <w:rFonts w:hint="eastAsia" w:ascii="宋体" w:hAnsi="宋体" w:cs="宋体"/>
          <w:sz w:val="24"/>
          <w:szCs w:val="24"/>
          <w:lang w:val="en-US" w:eastAsia="zh-CN"/>
        </w:rPr>
      </w:pPr>
    </w:p>
    <w:p w14:paraId="00467E2B">
      <w:pPr>
        <w:pStyle w:val="36"/>
        <w:rPr>
          <w:rFonts w:hint="eastAsia" w:ascii="宋体" w:hAnsi="宋体" w:cs="宋体"/>
          <w:sz w:val="24"/>
          <w:szCs w:val="24"/>
          <w:lang w:val="en-US" w:eastAsia="zh-CN"/>
        </w:rPr>
      </w:pPr>
    </w:p>
    <w:p w14:paraId="0C6B76F2">
      <w:pPr>
        <w:pStyle w:val="36"/>
        <w:rPr>
          <w:rFonts w:hint="eastAsia" w:ascii="宋体" w:hAnsi="宋体" w:cs="宋体"/>
          <w:sz w:val="24"/>
          <w:szCs w:val="24"/>
          <w:lang w:val="en-US" w:eastAsia="zh-CN"/>
        </w:rPr>
      </w:pPr>
    </w:p>
    <w:p w14:paraId="6FD6D0F4">
      <w:pPr>
        <w:pStyle w:val="36"/>
        <w:rPr>
          <w:rFonts w:hint="eastAsia" w:ascii="宋体" w:hAnsi="宋体" w:cs="宋体"/>
          <w:sz w:val="24"/>
          <w:szCs w:val="24"/>
          <w:lang w:val="en-US" w:eastAsia="zh-CN"/>
        </w:rPr>
      </w:pPr>
    </w:p>
    <w:p w14:paraId="036A45C3">
      <w:pPr>
        <w:rPr>
          <w:rFonts w:hint="eastAsia" w:ascii="宋体" w:hAnsi="宋体" w:cs="宋体"/>
          <w:sz w:val="24"/>
          <w:szCs w:val="24"/>
          <w:lang w:val="en-US" w:eastAsia="zh-CN"/>
        </w:rPr>
      </w:pPr>
    </w:p>
    <w:p w14:paraId="6D2A08A3">
      <w:pPr>
        <w:pStyle w:val="36"/>
        <w:rPr>
          <w:rFonts w:hint="eastAsia"/>
          <w:lang w:val="en-US" w:eastAsia="zh-CN"/>
        </w:rPr>
      </w:pPr>
    </w:p>
    <w:p w14:paraId="1308445F">
      <w:pPr>
        <w:pStyle w:val="36"/>
        <w:rPr>
          <w:rFonts w:hint="eastAsia" w:ascii="宋体" w:hAnsi="宋体" w:cs="宋体"/>
          <w:sz w:val="24"/>
          <w:szCs w:val="24"/>
          <w:lang w:val="en-US" w:eastAsia="zh-CN"/>
        </w:rPr>
      </w:pPr>
    </w:p>
    <w:p w14:paraId="1F5A6EFA">
      <w:pPr>
        <w:rPr>
          <w:rFonts w:hint="eastAsia" w:ascii="宋体" w:hAnsi="宋体" w:cs="宋体"/>
          <w:sz w:val="24"/>
          <w:szCs w:val="24"/>
          <w:lang w:val="en-US" w:eastAsia="zh-CN"/>
        </w:rPr>
      </w:pPr>
    </w:p>
    <w:p w14:paraId="61F2E85B">
      <w:pPr>
        <w:pStyle w:val="2"/>
        <w:rPr>
          <w:rFonts w:hint="eastAsia" w:ascii="宋体" w:hAnsi="宋体" w:cs="宋体"/>
          <w:sz w:val="24"/>
          <w:szCs w:val="24"/>
          <w:lang w:val="en-US" w:eastAsia="zh-CN"/>
        </w:rPr>
      </w:pPr>
    </w:p>
    <w:p w14:paraId="3A1563CD">
      <w:pPr>
        <w:rPr>
          <w:rFonts w:hint="eastAsia" w:ascii="宋体" w:hAnsi="宋体" w:cs="宋体"/>
          <w:sz w:val="24"/>
          <w:szCs w:val="24"/>
          <w:lang w:val="en-US" w:eastAsia="zh-CN"/>
        </w:rPr>
      </w:pPr>
    </w:p>
    <w:p w14:paraId="664EFDD1">
      <w:pPr>
        <w:pStyle w:val="26"/>
        <w:ind w:left="0" w:leftChars="0" w:firstLine="0" w:firstLineChars="0"/>
        <w:rPr>
          <w:rFonts w:hint="eastAsia"/>
          <w:lang w:val="en-US" w:eastAsia="zh-CN"/>
        </w:rPr>
      </w:pPr>
    </w:p>
    <w:p w14:paraId="292C8631">
      <w:pPr>
        <w:pStyle w:val="27"/>
        <w:rPr>
          <w:rFonts w:hint="eastAsia"/>
          <w:lang w:val="en-US" w:eastAsia="zh-CN"/>
        </w:rPr>
      </w:pPr>
    </w:p>
    <w:p w14:paraId="7A77580F">
      <w:pPr>
        <w:rPr>
          <w:rFonts w:hint="eastAsia"/>
          <w:lang w:val="en-US" w:eastAsia="zh-CN"/>
        </w:rPr>
      </w:pPr>
    </w:p>
    <w:p w14:paraId="208F94BF">
      <w:pPr>
        <w:pStyle w:val="2"/>
        <w:rPr>
          <w:rFonts w:hint="eastAsia"/>
          <w:lang w:val="en-US" w:eastAsia="zh-CN"/>
        </w:rPr>
      </w:pPr>
    </w:p>
    <w:p w14:paraId="5D3077A3">
      <w:pPr>
        <w:rPr>
          <w:rFonts w:hint="eastAsia"/>
          <w:lang w:val="en-US" w:eastAsia="zh-CN"/>
        </w:rPr>
      </w:pPr>
    </w:p>
    <w:p w14:paraId="086AF413">
      <w:pPr>
        <w:pStyle w:val="2"/>
        <w:spacing w:before="0" w:after="0" w:line="240" w:lineRule="auto"/>
        <w:ind w:left="0" w:firstLine="0"/>
        <w:rPr>
          <w:rFonts w:hint="eastAsia"/>
          <w:lang w:val="en-US" w:eastAsia="zh-CN"/>
        </w:rPr>
      </w:pPr>
    </w:p>
    <w:p w14:paraId="0B611B34">
      <w:pPr>
        <w:rPr>
          <w:rFonts w:hint="eastAsia"/>
          <w:lang w:val="en-US" w:eastAsia="zh-CN"/>
        </w:rPr>
      </w:pPr>
    </w:p>
    <w:p w14:paraId="5915C11B">
      <w:pPr>
        <w:pStyle w:val="27"/>
        <w:rPr>
          <w:rFonts w:hint="eastAsia"/>
          <w:lang w:val="en-US" w:eastAsia="zh-CN"/>
        </w:rPr>
      </w:pPr>
    </w:p>
    <w:p w14:paraId="0BACE12E">
      <w:pPr>
        <w:snapToGrid w:val="0"/>
        <w:spacing w:line="360" w:lineRule="auto"/>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25" w:name="_Toc184312108"/>
      <w:bookmarkEnd w:id="25"/>
      <w:bookmarkStart w:id="26" w:name="_Toc184314411"/>
      <w:bookmarkEnd w:id="26"/>
      <w:bookmarkStart w:id="27" w:name="_Toc184313300"/>
      <w:bookmarkEnd w:id="27"/>
      <w:bookmarkStart w:id="28" w:name="_Toc184308098"/>
      <w:bookmarkEnd w:id="28"/>
      <w:bookmarkStart w:id="29" w:name="_Toc184310299"/>
      <w:bookmarkEnd w:id="29"/>
      <w:bookmarkStart w:id="30" w:name="_Toc184312082"/>
      <w:bookmarkEnd w:id="30"/>
      <w:bookmarkStart w:id="31" w:name="_Toc184312078"/>
      <w:bookmarkEnd w:id="31"/>
      <w:bookmarkStart w:id="32" w:name="_Toc184310318"/>
      <w:bookmarkEnd w:id="32"/>
      <w:bookmarkStart w:id="33" w:name="_Toc184314430"/>
      <w:bookmarkEnd w:id="33"/>
      <w:bookmarkStart w:id="34" w:name="_Toc184312116"/>
      <w:bookmarkEnd w:id="34"/>
      <w:bookmarkStart w:id="35" w:name="_Toc184314410"/>
      <w:bookmarkEnd w:id="35"/>
      <w:bookmarkStart w:id="36" w:name="_Toc184314458"/>
      <w:bookmarkEnd w:id="36"/>
      <w:bookmarkStart w:id="37" w:name="_Toc184310274"/>
      <w:bookmarkEnd w:id="37"/>
      <w:bookmarkStart w:id="38" w:name="_Toc184312113"/>
      <w:bookmarkEnd w:id="38"/>
      <w:bookmarkStart w:id="39" w:name="_Toc184314482"/>
      <w:bookmarkEnd w:id="39"/>
      <w:bookmarkStart w:id="40" w:name="_Toc184312071"/>
      <w:bookmarkEnd w:id="40"/>
      <w:bookmarkStart w:id="41" w:name="_Toc184312123"/>
      <w:bookmarkEnd w:id="41"/>
      <w:bookmarkStart w:id="42" w:name="_Toc184312103"/>
      <w:bookmarkEnd w:id="42"/>
      <w:bookmarkStart w:id="43" w:name="_Toc184310272"/>
      <w:bookmarkEnd w:id="43"/>
      <w:bookmarkStart w:id="44" w:name="_Toc184310295"/>
      <w:bookmarkEnd w:id="44"/>
      <w:bookmarkStart w:id="45" w:name="_Toc184313285"/>
      <w:bookmarkEnd w:id="45"/>
      <w:bookmarkStart w:id="46" w:name="_Toc184312089"/>
      <w:bookmarkEnd w:id="46"/>
      <w:bookmarkStart w:id="47" w:name="_Toc184314450"/>
      <w:bookmarkEnd w:id="47"/>
      <w:bookmarkStart w:id="48" w:name="_Toc184310279"/>
      <w:bookmarkEnd w:id="48"/>
      <w:bookmarkStart w:id="49" w:name="_Toc184308052"/>
      <w:bookmarkEnd w:id="49"/>
      <w:bookmarkStart w:id="50" w:name="_Toc184312084"/>
      <w:bookmarkEnd w:id="50"/>
      <w:bookmarkStart w:id="51" w:name="_Toc184312093"/>
      <w:bookmarkEnd w:id="51"/>
      <w:bookmarkStart w:id="52" w:name="_Toc184313258"/>
      <w:bookmarkEnd w:id="52"/>
      <w:bookmarkStart w:id="53" w:name="_Toc184314456"/>
      <w:bookmarkEnd w:id="53"/>
      <w:bookmarkStart w:id="54" w:name="_Toc184308090"/>
      <w:bookmarkEnd w:id="54"/>
      <w:bookmarkStart w:id="55" w:name="_Toc184308066"/>
      <w:bookmarkEnd w:id="55"/>
      <w:bookmarkStart w:id="56" w:name="_Toc184314443"/>
      <w:bookmarkEnd w:id="56"/>
      <w:bookmarkStart w:id="57" w:name="_Toc184312092"/>
      <w:bookmarkEnd w:id="57"/>
      <w:bookmarkStart w:id="58" w:name="_Toc184314413"/>
      <w:bookmarkEnd w:id="58"/>
      <w:bookmarkStart w:id="59" w:name="_Toc184310319"/>
      <w:bookmarkEnd w:id="59"/>
      <w:bookmarkStart w:id="60" w:name="_Toc184308056"/>
      <w:bookmarkEnd w:id="60"/>
      <w:bookmarkStart w:id="61" w:name="_Toc184310294"/>
      <w:bookmarkEnd w:id="61"/>
      <w:bookmarkStart w:id="62" w:name="_Toc184310286"/>
      <w:bookmarkEnd w:id="62"/>
      <w:bookmarkStart w:id="63" w:name="_Toc184308059"/>
      <w:bookmarkEnd w:id="63"/>
      <w:bookmarkStart w:id="64" w:name="_Toc184312085"/>
      <w:bookmarkEnd w:id="64"/>
      <w:bookmarkStart w:id="65" w:name="_Toc184314476"/>
      <w:bookmarkEnd w:id="65"/>
      <w:bookmarkStart w:id="66" w:name="_Toc184313259"/>
      <w:bookmarkEnd w:id="66"/>
      <w:bookmarkStart w:id="67" w:name="_Toc184312117"/>
      <w:bookmarkEnd w:id="67"/>
      <w:bookmarkStart w:id="68" w:name="_Toc184313271"/>
      <w:bookmarkEnd w:id="68"/>
      <w:bookmarkStart w:id="69" w:name="_Toc184314446"/>
      <w:bookmarkEnd w:id="69"/>
      <w:bookmarkStart w:id="70" w:name="_Toc184314471"/>
      <w:bookmarkEnd w:id="70"/>
      <w:bookmarkStart w:id="71" w:name="_Toc184312127"/>
      <w:bookmarkEnd w:id="71"/>
      <w:bookmarkStart w:id="72" w:name="_Toc184312096"/>
      <w:bookmarkEnd w:id="72"/>
      <w:bookmarkStart w:id="73" w:name="_Toc184312126"/>
      <w:bookmarkEnd w:id="73"/>
      <w:bookmarkStart w:id="74" w:name="_Toc184312094"/>
      <w:bookmarkEnd w:id="74"/>
      <w:bookmarkStart w:id="75" w:name="_Toc184314463"/>
      <w:bookmarkEnd w:id="75"/>
      <w:bookmarkStart w:id="76" w:name="_Toc184312069"/>
      <w:bookmarkEnd w:id="76"/>
      <w:bookmarkStart w:id="77" w:name="_Toc184314426"/>
      <w:bookmarkEnd w:id="77"/>
      <w:bookmarkStart w:id="78" w:name="_Toc184308078"/>
      <w:bookmarkEnd w:id="78"/>
      <w:bookmarkStart w:id="79" w:name="_Toc184313240"/>
      <w:bookmarkEnd w:id="79"/>
      <w:bookmarkStart w:id="80" w:name="_Toc184312077"/>
      <w:bookmarkEnd w:id="80"/>
      <w:bookmarkStart w:id="81" w:name="_Toc184310288"/>
      <w:bookmarkEnd w:id="81"/>
      <w:bookmarkStart w:id="82" w:name="_Toc184308077"/>
      <w:bookmarkEnd w:id="82"/>
      <w:bookmarkStart w:id="83" w:name="_Toc184313261"/>
      <w:bookmarkEnd w:id="83"/>
      <w:bookmarkStart w:id="84" w:name="_Toc184314429"/>
      <w:bookmarkEnd w:id="84"/>
      <w:bookmarkStart w:id="85" w:name="_Toc184313291"/>
      <w:bookmarkEnd w:id="85"/>
      <w:bookmarkStart w:id="86" w:name="_Toc184314475"/>
      <w:bookmarkEnd w:id="86"/>
      <w:bookmarkStart w:id="87" w:name="_Toc184313310"/>
      <w:bookmarkEnd w:id="87"/>
      <w:bookmarkStart w:id="88" w:name="_Toc184313265"/>
      <w:bookmarkEnd w:id="88"/>
      <w:bookmarkStart w:id="89" w:name="_Toc184313289"/>
      <w:bookmarkEnd w:id="89"/>
      <w:bookmarkStart w:id="90" w:name="_Toc184310332"/>
      <w:bookmarkEnd w:id="90"/>
      <w:bookmarkStart w:id="91" w:name="_Toc184313257"/>
      <w:bookmarkEnd w:id="91"/>
      <w:bookmarkStart w:id="92" w:name="_Toc184313244"/>
      <w:bookmarkEnd w:id="92"/>
      <w:bookmarkStart w:id="93" w:name="_Toc184312104"/>
      <w:bookmarkEnd w:id="93"/>
      <w:bookmarkStart w:id="94" w:name="_Toc184312074"/>
      <w:bookmarkEnd w:id="94"/>
      <w:bookmarkStart w:id="95" w:name="_Toc184308050"/>
      <w:bookmarkEnd w:id="95"/>
      <w:bookmarkStart w:id="96" w:name="_Toc184310300"/>
      <w:bookmarkEnd w:id="96"/>
      <w:bookmarkStart w:id="97" w:name="_Toc184310323"/>
      <w:bookmarkEnd w:id="97"/>
      <w:bookmarkStart w:id="98" w:name="_Toc184310333"/>
      <w:bookmarkEnd w:id="98"/>
      <w:bookmarkStart w:id="99" w:name="_Toc184308099"/>
      <w:bookmarkEnd w:id="99"/>
      <w:bookmarkStart w:id="100" w:name="_Toc184313279"/>
      <w:bookmarkEnd w:id="100"/>
      <w:bookmarkStart w:id="101" w:name="_Toc184310297"/>
      <w:bookmarkEnd w:id="101"/>
      <w:bookmarkStart w:id="102" w:name="_Toc184314480"/>
      <w:bookmarkEnd w:id="102"/>
      <w:bookmarkStart w:id="103" w:name="_Toc184313287"/>
      <w:bookmarkEnd w:id="103"/>
      <w:bookmarkStart w:id="104" w:name="_Toc184310315"/>
      <w:bookmarkEnd w:id="104"/>
      <w:bookmarkStart w:id="105" w:name="_Toc184308051"/>
      <w:bookmarkEnd w:id="105"/>
      <w:bookmarkStart w:id="106" w:name="_Toc184308076"/>
      <w:bookmarkEnd w:id="106"/>
      <w:bookmarkStart w:id="107" w:name="_Toc184308054"/>
      <w:bookmarkEnd w:id="107"/>
      <w:bookmarkStart w:id="108" w:name="_Toc184308073"/>
      <w:bookmarkEnd w:id="108"/>
      <w:bookmarkStart w:id="109" w:name="_Toc184308101"/>
      <w:bookmarkEnd w:id="109"/>
      <w:bookmarkStart w:id="110" w:name="_Toc184308086"/>
      <w:bookmarkEnd w:id="110"/>
      <w:bookmarkStart w:id="111" w:name="_Toc184310287"/>
      <w:bookmarkEnd w:id="111"/>
      <w:bookmarkStart w:id="112" w:name="_Toc184314448"/>
      <w:bookmarkEnd w:id="112"/>
      <w:bookmarkStart w:id="113" w:name="_Toc184308075"/>
      <w:bookmarkEnd w:id="113"/>
      <w:bookmarkStart w:id="114" w:name="_Toc184312106"/>
      <w:bookmarkEnd w:id="114"/>
      <w:bookmarkStart w:id="115" w:name="_Toc184310305"/>
      <w:bookmarkEnd w:id="115"/>
      <w:bookmarkStart w:id="116" w:name="_Toc184314457"/>
      <w:bookmarkEnd w:id="116"/>
      <w:bookmarkStart w:id="117" w:name="_Toc184310317"/>
      <w:bookmarkEnd w:id="117"/>
      <w:bookmarkStart w:id="118" w:name="_Toc184308080"/>
      <w:bookmarkEnd w:id="118"/>
      <w:bookmarkStart w:id="119" w:name="_Toc184312133"/>
      <w:bookmarkEnd w:id="119"/>
      <w:bookmarkStart w:id="120" w:name="_Toc184314424"/>
      <w:bookmarkEnd w:id="120"/>
      <w:bookmarkStart w:id="121" w:name="_Toc184313272"/>
      <w:bookmarkEnd w:id="121"/>
      <w:bookmarkStart w:id="122" w:name="_Toc184312107"/>
      <w:bookmarkEnd w:id="122"/>
      <w:bookmarkStart w:id="123" w:name="_Toc184314479"/>
      <w:bookmarkEnd w:id="123"/>
      <w:bookmarkStart w:id="124" w:name="_Toc184308103"/>
      <w:bookmarkEnd w:id="124"/>
      <w:bookmarkStart w:id="125" w:name="_Toc184308058"/>
      <w:bookmarkEnd w:id="125"/>
      <w:bookmarkStart w:id="126" w:name="_Toc184313241"/>
      <w:bookmarkEnd w:id="126"/>
      <w:bookmarkStart w:id="127" w:name="_Toc184310284"/>
      <w:bookmarkEnd w:id="127"/>
      <w:bookmarkStart w:id="128" w:name="_Toc184312076"/>
      <w:bookmarkEnd w:id="128"/>
      <w:bookmarkStart w:id="129" w:name="_Toc184310328"/>
      <w:bookmarkEnd w:id="129"/>
      <w:bookmarkStart w:id="130" w:name="_Toc184312119"/>
      <w:bookmarkEnd w:id="130"/>
      <w:bookmarkStart w:id="131" w:name="_Toc184312105"/>
      <w:bookmarkEnd w:id="131"/>
      <w:bookmarkStart w:id="132" w:name="_Toc184314470"/>
      <w:bookmarkEnd w:id="132"/>
      <w:bookmarkStart w:id="133" w:name="_Toc184310330"/>
      <w:bookmarkEnd w:id="133"/>
      <w:bookmarkStart w:id="134" w:name="_Toc184308053"/>
      <w:bookmarkEnd w:id="134"/>
      <w:bookmarkStart w:id="135" w:name="_Toc184313273"/>
      <w:bookmarkEnd w:id="135"/>
      <w:bookmarkStart w:id="136" w:name="_Toc184308041"/>
      <w:bookmarkEnd w:id="136"/>
      <w:bookmarkStart w:id="137" w:name="_Toc184312125"/>
      <w:bookmarkEnd w:id="137"/>
      <w:bookmarkStart w:id="138" w:name="_Toc184313256"/>
      <w:bookmarkEnd w:id="138"/>
      <w:bookmarkStart w:id="139" w:name="_Toc184310277"/>
      <w:bookmarkEnd w:id="139"/>
      <w:bookmarkStart w:id="140" w:name="_Toc184308043"/>
      <w:bookmarkEnd w:id="140"/>
      <w:bookmarkStart w:id="141" w:name="_Toc184314461"/>
      <w:bookmarkEnd w:id="141"/>
      <w:bookmarkStart w:id="142" w:name="_Toc184314427"/>
      <w:bookmarkEnd w:id="142"/>
      <w:bookmarkStart w:id="143" w:name="_Toc184312091"/>
      <w:bookmarkEnd w:id="143"/>
      <w:bookmarkStart w:id="144" w:name="_Toc184308065"/>
      <w:bookmarkEnd w:id="144"/>
      <w:bookmarkStart w:id="145" w:name="_Toc184314437"/>
      <w:bookmarkEnd w:id="145"/>
      <w:bookmarkStart w:id="146" w:name="_Toc184308093"/>
      <w:bookmarkEnd w:id="146"/>
      <w:bookmarkStart w:id="147" w:name="_Toc184314420"/>
      <w:bookmarkEnd w:id="147"/>
      <w:bookmarkStart w:id="148" w:name="_Toc184308091"/>
      <w:bookmarkEnd w:id="148"/>
      <w:bookmarkStart w:id="149" w:name="_Toc184314440"/>
      <w:bookmarkEnd w:id="149"/>
      <w:bookmarkStart w:id="150" w:name="_Toc184308040"/>
      <w:bookmarkEnd w:id="150"/>
      <w:bookmarkStart w:id="151" w:name="_Toc184308079"/>
      <w:bookmarkEnd w:id="151"/>
      <w:bookmarkStart w:id="152" w:name="_Toc184308047"/>
      <w:bookmarkEnd w:id="152"/>
      <w:bookmarkStart w:id="153" w:name="_Toc184312121"/>
      <w:bookmarkEnd w:id="153"/>
      <w:bookmarkStart w:id="154" w:name="_Toc184308089"/>
      <w:bookmarkEnd w:id="154"/>
      <w:bookmarkStart w:id="155" w:name="_Toc184313270"/>
      <w:bookmarkEnd w:id="155"/>
      <w:bookmarkStart w:id="156" w:name="_Toc184314467"/>
      <w:bookmarkEnd w:id="156"/>
      <w:bookmarkStart w:id="157" w:name="_Toc184313269"/>
      <w:bookmarkEnd w:id="157"/>
      <w:bookmarkStart w:id="158" w:name="_Toc184310341"/>
      <w:bookmarkEnd w:id="158"/>
      <w:bookmarkStart w:id="159" w:name="_Toc184313274"/>
      <w:bookmarkEnd w:id="159"/>
      <w:bookmarkStart w:id="160" w:name="_Toc184312111"/>
      <w:bookmarkEnd w:id="160"/>
      <w:bookmarkStart w:id="161" w:name="_Toc184313252"/>
      <w:bookmarkEnd w:id="161"/>
      <w:bookmarkStart w:id="162" w:name="_Toc184313297"/>
      <w:bookmarkEnd w:id="162"/>
      <w:bookmarkStart w:id="163" w:name="_Toc184310280"/>
      <w:bookmarkEnd w:id="163"/>
      <w:bookmarkStart w:id="164" w:name="_Toc184314462"/>
      <w:bookmarkEnd w:id="164"/>
      <w:bookmarkStart w:id="165" w:name="_Toc184314416"/>
      <w:bookmarkEnd w:id="165"/>
      <w:bookmarkStart w:id="166" w:name="_Toc184312100"/>
      <w:bookmarkEnd w:id="166"/>
      <w:bookmarkStart w:id="167" w:name="_Toc184308048"/>
      <w:bookmarkEnd w:id="167"/>
      <w:bookmarkStart w:id="168" w:name="_Toc184313238"/>
      <w:bookmarkEnd w:id="168"/>
      <w:bookmarkStart w:id="169" w:name="_Toc184314439"/>
      <w:bookmarkEnd w:id="169"/>
      <w:bookmarkStart w:id="170" w:name="_Toc184313249"/>
      <w:bookmarkEnd w:id="170"/>
      <w:bookmarkStart w:id="171" w:name="_Toc184308057"/>
      <w:bookmarkEnd w:id="171"/>
      <w:bookmarkStart w:id="172" w:name="_Toc184314428"/>
      <w:bookmarkEnd w:id="172"/>
      <w:bookmarkStart w:id="173" w:name="_Toc184313277"/>
      <w:bookmarkEnd w:id="173"/>
      <w:bookmarkStart w:id="174" w:name="_Toc184310307"/>
      <w:bookmarkEnd w:id="174"/>
      <w:bookmarkStart w:id="175" w:name="_Toc184312122"/>
      <w:bookmarkEnd w:id="175"/>
      <w:bookmarkStart w:id="176" w:name="_Toc184310278"/>
      <w:bookmarkEnd w:id="176"/>
      <w:bookmarkStart w:id="177" w:name="_Toc184308067"/>
      <w:bookmarkEnd w:id="177"/>
      <w:bookmarkStart w:id="178" w:name="_Toc184314478"/>
      <w:bookmarkEnd w:id="178"/>
      <w:bookmarkStart w:id="179" w:name="_Toc184310312"/>
      <w:bookmarkEnd w:id="179"/>
      <w:bookmarkStart w:id="180" w:name="_Toc184310331"/>
      <w:bookmarkEnd w:id="180"/>
      <w:bookmarkStart w:id="181" w:name="_Toc184310313"/>
      <w:bookmarkEnd w:id="181"/>
      <w:bookmarkStart w:id="182" w:name="_Toc184314445"/>
      <w:bookmarkEnd w:id="182"/>
      <w:bookmarkStart w:id="183" w:name="_Toc184312087"/>
      <w:bookmarkEnd w:id="183"/>
      <w:bookmarkStart w:id="184" w:name="_Toc184313262"/>
      <w:bookmarkEnd w:id="184"/>
      <w:bookmarkStart w:id="185" w:name="_Toc184314465"/>
      <w:bookmarkEnd w:id="185"/>
      <w:bookmarkStart w:id="186" w:name="_Toc184314436"/>
      <w:bookmarkEnd w:id="186"/>
      <w:bookmarkStart w:id="187" w:name="_Toc184314454"/>
      <w:bookmarkEnd w:id="187"/>
      <w:bookmarkStart w:id="188" w:name="_Toc184310275"/>
      <w:bookmarkEnd w:id="188"/>
      <w:bookmarkStart w:id="189" w:name="_Toc184310283"/>
      <w:bookmarkEnd w:id="189"/>
      <w:bookmarkStart w:id="190" w:name="_Toc184313263"/>
      <w:bookmarkEnd w:id="190"/>
      <w:bookmarkStart w:id="191" w:name="_Toc184310325"/>
      <w:bookmarkEnd w:id="191"/>
      <w:bookmarkStart w:id="192" w:name="_Toc184310309"/>
      <w:bookmarkEnd w:id="192"/>
      <w:bookmarkStart w:id="193" w:name="_Toc184310314"/>
      <w:bookmarkEnd w:id="193"/>
      <w:bookmarkStart w:id="194" w:name="_Toc184313275"/>
      <w:bookmarkEnd w:id="194"/>
      <w:bookmarkStart w:id="195" w:name="_Toc184312083"/>
      <w:bookmarkEnd w:id="195"/>
      <w:bookmarkStart w:id="196" w:name="_Toc184313286"/>
      <w:bookmarkEnd w:id="196"/>
      <w:bookmarkStart w:id="197" w:name="_Toc184313304"/>
      <w:bookmarkEnd w:id="197"/>
      <w:bookmarkStart w:id="198" w:name="_Toc184313255"/>
      <w:bookmarkEnd w:id="198"/>
      <w:bookmarkStart w:id="199" w:name="_Toc184314455"/>
      <w:bookmarkEnd w:id="199"/>
      <w:bookmarkStart w:id="200" w:name="_Toc184310324"/>
      <w:bookmarkEnd w:id="200"/>
      <w:bookmarkStart w:id="201" w:name="_Toc184314469"/>
      <w:bookmarkEnd w:id="201"/>
      <w:bookmarkStart w:id="202" w:name="_Toc184313303"/>
      <w:bookmarkEnd w:id="202"/>
      <w:bookmarkStart w:id="203" w:name="_Toc184313302"/>
      <w:bookmarkEnd w:id="203"/>
      <w:bookmarkStart w:id="204" w:name="_Toc184314414"/>
      <w:bookmarkEnd w:id="204"/>
      <w:bookmarkStart w:id="205" w:name="_Toc184310322"/>
      <w:bookmarkEnd w:id="205"/>
      <w:bookmarkStart w:id="206" w:name="_Toc184308088"/>
      <w:bookmarkEnd w:id="206"/>
      <w:bookmarkStart w:id="207" w:name="_Toc184308108"/>
      <w:bookmarkEnd w:id="207"/>
      <w:bookmarkStart w:id="208" w:name="_Toc184313307"/>
      <w:bookmarkEnd w:id="208"/>
      <w:bookmarkStart w:id="209" w:name="_Toc184313264"/>
      <w:bookmarkEnd w:id="209"/>
      <w:bookmarkStart w:id="210" w:name="_Toc184310282"/>
      <w:bookmarkEnd w:id="210"/>
      <w:bookmarkStart w:id="211" w:name="_Toc184310306"/>
      <w:bookmarkEnd w:id="211"/>
      <w:bookmarkStart w:id="212" w:name="_Toc184312118"/>
      <w:bookmarkEnd w:id="212"/>
      <w:bookmarkStart w:id="213" w:name="_Toc184308106"/>
      <w:bookmarkEnd w:id="213"/>
      <w:bookmarkStart w:id="214" w:name="_Toc184308046"/>
      <w:bookmarkEnd w:id="214"/>
      <w:bookmarkStart w:id="215" w:name="_Toc184312088"/>
      <w:bookmarkEnd w:id="215"/>
      <w:bookmarkStart w:id="216" w:name="_Toc184314451"/>
      <w:bookmarkEnd w:id="216"/>
      <w:bookmarkStart w:id="217" w:name="_Toc184308097"/>
      <w:bookmarkEnd w:id="217"/>
      <w:bookmarkStart w:id="218" w:name="_Toc184313308"/>
      <w:bookmarkEnd w:id="218"/>
      <w:bookmarkStart w:id="219" w:name="_Toc184314444"/>
      <w:bookmarkEnd w:id="219"/>
      <w:bookmarkStart w:id="220" w:name="_Toc184314415"/>
      <w:bookmarkEnd w:id="220"/>
      <w:bookmarkStart w:id="221" w:name="_Toc184310339"/>
      <w:bookmarkEnd w:id="221"/>
      <w:bookmarkStart w:id="222" w:name="_Toc184310337"/>
      <w:bookmarkEnd w:id="222"/>
      <w:bookmarkStart w:id="223" w:name="_Toc184310320"/>
      <w:bookmarkEnd w:id="223"/>
      <w:bookmarkStart w:id="224" w:name="_Toc184314442"/>
      <w:bookmarkEnd w:id="224"/>
      <w:bookmarkStart w:id="225" w:name="_Toc184314453"/>
      <w:bookmarkEnd w:id="225"/>
      <w:bookmarkStart w:id="226" w:name="_Toc184310308"/>
      <w:bookmarkEnd w:id="226"/>
      <w:bookmarkStart w:id="227" w:name="_Toc184310326"/>
      <w:bookmarkEnd w:id="227"/>
      <w:bookmarkStart w:id="228" w:name="_Toc184313290"/>
      <w:bookmarkEnd w:id="228"/>
      <w:bookmarkStart w:id="229" w:name="_Toc184313281"/>
      <w:bookmarkEnd w:id="229"/>
      <w:bookmarkStart w:id="230" w:name="_Toc184308069"/>
      <w:bookmarkEnd w:id="230"/>
      <w:bookmarkStart w:id="231" w:name="_Toc184308081"/>
      <w:bookmarkEnd w:id="231"/>
      <w:bookmarkStart w:id="232" w:name="_Toc184314431"/>
      <w:bookmarkEnd w:id="232"/>
      <w:bookmarkStart w:id="233" w:name="_Toc184310329"/>
      <w:bookmarkEnd w:id="233"/>
      <w:bookmarkStart w:id="234" w:name="_Toc184313309"/>
      <w:bookmarkEnd w:id="234"/>
      <w:bookmarkStart w:id="235" w:name="_Toc184312102"/>
      <w:bookmarkEnd w:id="235"/>
      <w:bookmarkStart w:id="236" w:name="_Toc184313247"/>
      <w:bookmarkEnd w:id="236"/>
      <w:bookmarkStart w:id="237" w:name="_Toc184308044"/>
      <w:bookmarkEnd w:id="237"/>
      <w:bookmarkStart w:id="238" w:name="_Toc184313292"/>
      <w:bookmarkEnd w:id="238"/>
      <w:bookmarkStart w:id="239" w:name="_Toc184308105"/>
      <w:bookmarkEnd w:id="239"/>
      <w:bookmarkStart w:id="240" w:name="_Toc184312128"/>
      <w:bookmarkEnd w:id="240"/>
      <w:bookmarkStart w:id="241" w:name="_Toc184308084"/>
      <w:bookmarkEnd w:id="241"/>
      <w:bookmarkStart w:id="242" w:name="_Toc184308036"/>
      <w:bookmarkEnd w:id="242"/>
      <w:bookmarkStart w:id="243" w:name="_Toc184308042"/>
      <w:bookmarkEnd w:id="243"/>
      <w:bookmarkStart w:id="244" w:name="_Toc184310281"/>
      <w:bookmarkEnd w:id="244"/>
      <w:bookmarkStart w:id="245" w:name="_Toc184314447"/>
      <w:bookmarkEnd w:id="245"/>
      <w:bookmarkStart w:id="246" w:name="_Toc184314452"/>
      <w:bookmarkEnd w:id="246"/>
      <w:bookmarkStart w:id="247" w:name="_Toc184312072"/>
      <w:bookmarkEnd w:id="247"/>
      <w:bookmarkStart w:id="248" w:name="_Toc184310343"/>
      <w:bookmarkEnd w:id="248"/>
      <w:bookmarkStart w:id="249" w:name="_Toc184310344"/>
      <w:bookmarkEnd w:id="249"/>
      <w:bookmarkStart w:id="250" w:name="_Toc184310298"/>
      <w:bookmarkEnd w:id="250"/>
      <w:bookmarkStart w:id="251" w:name="_Toc184312115"/>
      <w:bookmarkEnd w:id="251"/>
      <w:bookmarkStart w:id="252" w:name="_Toc184308102"/>
      <w:bookmarkEnd w:id="252"/>
      <w:bookmarkStart w:id="253" w:name="_Toc184314466"/>
      <w:bookmarkEnd w:id="253"/>
      <w:bookmarkStart w:id="254" w:name="_Toc184314460"/>
      <w:bookmarkEnd w:id="254"/>
      <w:bookmarkStart w:id="255" w:name="_Toc184310290"/>
      <w:bookmarkEnd w:id="255"/>
      <w:bookmarkStart w:id="256" w:name="_Toc184313278"/>
      <w:bookmarkEnd w:id="256"/>
      <w:bookmarkStart w:id="257" w:name="_Toc184313298"/>
      <w:bookmarkEnd w:id="257"/>
      <w:bookmarkStart w:id="258" w:name="_Toc184313250"/>
      <w:bookmarkEnd w:id="258"/>
      <w:bookmarkStart w:id="259" w:name="_Toc184308063"/>
      <w:bookmarkEnd w:id="259"/>
      <w:bookmarkStart w:id="260" w:name="_Toc184308082"/>
      <w:bookmarkEnd w:id="260"/>
      <w:bookmarkStart w:id="261" w:name="_Toc184314459"/>
      <w:bookmarkEnd w:id="261"/>
      <w:bookmarkStart w:id="262" w:name="_Toc184308064"/>
      <w:bookmarkEnd w:id="262"/>
      <w:bookmarkStart w:id="263" w:name="_Toc184314481"/>
      <w:bookmarkEnd w:id="263"/>
      <w:bookmarkStart w:id="264" w:name="_Toc184312134"/>
      <w:bookmarkEnd w:id="264"/>
      <w:bookmarkStart w:id="265" w:name="_Toc184314477"/>
      <w:bookmarkEnd w:id="265"/>
      <w:bookmarkStart w:id="266" w:name="_Toc184314474"/>
      <w:bookmarkEnd w:id="266"/>
      <w:bookmarkStart w:id="267" w:name="_Toc184308072"/>
      <w:bookmarkEnd w:id="267"/>
      <w:bookmarkStart w:id="268" w:name="_Toc184308074"/>
      <w:bookmarkEnd w:id="268"/>
      <w:bookmarkStart w:id="269" w:name="_Toc184308049"/>
      <w:bookmarkEnd w:id="269"/>
      <w:bookmarkStart w:id="270" w:name="_Toc184313306"/>
      <w:bookmarkEnd w:id="270"/>
      <w:bookmarkStart w:id="271" w:name="_Toc184308100"/>
      <w:bookmarkEnd w:id="271"/>
      <w:bookmarkStart w:id="272" w:name="_Toc184314473"/>
      <w:bookmarkEnd w:id="272"/>
      <w:bookmarkStart w:id="273" w:name="_Toc184310276"/>
      <w:bookmarkEnd w:id="273"/>
      <w:bookmarkStart w:id="274" w:name="_Toc184310338"/>
      <w:bookmarkEnd w:id="274"/>
      <w:bookmarkStart w:id="275" w:name="_Toc184313280"/>
      <w:bookmarkEnd w:id="275"/>
      <w:bookmarkStart w:id="276" w:name="_Toc184310334"/>
      <w:bookmarkEnd w:id="276"/>
      <w:bookmarkStart w:id="277" w:name="_Toc184313288"/>
      <w:bookmarkEnd w:id="277"/>
      <w:bookmarkStart w:id="278" w:name="_Toc184308095"/>
      <w:bookmarkEnd w:id="278"/>
      <w:bookmarkStart w:id="279" w:name="_Toc184308060"/>
      <w:bookmarkEnd w:id="279"/>
      <w:bookmarkStart w:id="280" w:name="_Toc184310310"/>
      <w:bookmarkEnd w:id="280"/>
      <w:bookmarkStart w:id="281" w:name="_Toc184312131"/>
      <w:bookmarkEnd w:id="281"/>
      <w:bookmarkStart w:id="282" w:name="_Toc184313246"/>
      <w:bookmarkEnd w:id="282"/>
      <w:bookmarkStart w:id="283" w:name="_Toc184313245"/>
      <w:bookmarkEnd w:id="283"/>
      <w:bookmarkStart w:id="284" w:name="_Toc184314421"/>
      <w:bookmarkEnd w:id="284"/>
      <w:bookmarkStart w:id="285" w:name="_Toc184310336"/>
      <w:bookmarkEnd w:id="285"/>
      <w:bookmarkStart w:id="286" w:name="_Toc184308062"/>
      <w:bookmarkEnd w:id="286"/>
      <w:bookmarkStart w:id="287" w:name="_Toc184314434"/>
      <w:bookmarkEnd w:id="287"/>
      <w:bookmarkStart w:id="288" w:name="_Toc184313283"/>
      <w:bookmarkEnd w:id="288"/>
      <w:bookmarkStart w:id="289" w:name="_Toc184313239"/>
      <w:bookmarkEnd w:id="289"/>
      <w:bookmarkStart w:id="290" w:name="_Toc184313251"/>
      <w:bookmarkEnd w:id="290"/>
      <w:bookmarkStart w:id="291" w:name="_Toc184308055"/>
      <w:bookmarkEnd w:id="291"/>
      <w:bookmarkStart w:id="292" w:name="_Toc184313266"/>
      <w:bookmarkEnd w:id="292"/>
      <w:bookmarkStart w:id="293" w:name="_Toc184312097"/>
      <w:bookmarkEnd w:id="293"/>
      <w:bookmarkStart w:id="294" w:name="_Toc184313254"/>
      <w:bookmarkEnd w:id="294"/>
      <w:bookmarkStart w:id="295" w:name="_Toc184314433"/>
      <w:bookmarkEnd w:id="295"/>
      <w:bookmarkStart w:id="296" w:name="_Toc184313295"/>
      <w:bookmarkEnd w:id="296"/>
      <w:bookmarkStart w:id="297" w:name="_Toc184313276"/>
      <w:bookmarkEnd w:id="297"/>
      <w:bookmarkStart w:id="298" w:name="_Toc184312135"/>
      <w:bookmarkEnd w:id="298"/>
      <w:bookmarkStart w:id="299" w:name="_Toc184313284"/>
      <w:bookmarkEnd w:id="299"/>
      <w:bookmarkStart w:id="300" w:name="_Toc184312138"/>
      <w:bookmarkEnd w:id="300"/>
      <w:bookmarkStart w:id="301" w:name="_Toc184313248"/>
      <w:bookmarkEnd w:id="301"/>
      <w:bookmarkStart w:id="302" w:name="_Toc184314425"/>
      <w:bookmarkEnd w:id="302"/>
      <w:bookmarkStart w:id="303" w:name="_Toc184313294"/>
      <w:bookmarkEnd w:id="303"/>
      <w:bookmarkStart w:id="304" w:name="_Toc184312114"/>
      <w:bookmarkEnd w:id="304"/>
      <w:bookmarkStart w:id="305" w:name="_Toc184308045"/>
      <w:bookmarkEnd w:id="305"/>
      <w:bookmarkStart w:id="306" w:name="_Toc184310321"/>
      <w:bookmarkEnd w:id="306"/>
      <w:bookmarkStart w:id="307" w:name="_Toc184313268"/>
      <w:bookmarkEnd w:id="307"/>
      <w:bookmarkStart w:id="308" w:name="_Toc184313253"/>
      <w:bookmarkEnd w:id="308"/>
      <w:bookmarkStart w:id="309" w:name="_Toc184312099"/>
      <w:bookmarkEnd w:id="309"/>
      <w:bookmarkStart w:id="310" w:name="_Toc184308107"/>
      <w:bookmarkEnd w:id="310"/>
      <w:bookmarkStart w:id="311" w:name="_Toc184314432"/>
      <w:bookmarkEnd w:id="311"/>
      <w:bookmarkStart w:id="312" w:name="_Toc184312136"/>
      <w:bookmarkEnd w:id="312"/>
      <w:bookmarkStart w:id="313" w:name="_Toc184314423"/>
      <w:bookmarkEnd w:id="313"/>
      <w:bookmarkStart w:id="314" w:name="_Toc184310273"/>
      <w:bookmarkEnd w:id="314"/>
      <w:bookmarkStart w:id="315" w:name="_Toc184308068"/>
      <w:bookmarkEnd w:id="315"/>
      <w:bookmarkStart w:id="316" w:name="_Toc184313305"/>
      <w:bookmarkEnd w:id="316"/>
      <w:bookmarkStart w:id="317" w:name="_Toc184312086"/>
      <w:bookmarkEnd w:id="317"/>
      <w:bookmarkStart w:id="318" w:name="_Toc184314419"/>
      <w:bookmarkEnd w:id="318"/>
      <w:bookmarkStart w:id="319" w:name="_Toc184314435"/>
      <w:bookmarkEnd w:id="319"/>
      <w:bookmarkStart w:id="320" w:name="_Toc184310293"/>
      <w:bookmarkEnd w:id="320"/>
      <w:bookmarkStart w:id="321" w:name="_Toc184310291"/>
      <w:bookmarkEnd w:id="321"/>
      <w:bookmarkStart w:id="322" w:name="_Toc184314438"/>
      <w:bookmarkEnd w:id="322"/>
      <w:bookmarkStart w:id="323" w:name="_Toc184312137"/>
      <w:bookmarkEnd w:id="323"/>
      <w:bookmarkStart w:id="324" w:name="_Toc184310335"/>
      <w:bookmarkEnd w:id="324"/>
      <w:bookmarkStart w:id="325" w:name="_Toc184308070"/>
      <w:bookmarkEnd w:id="325"/>
      <w:bookmarkStart w:id="326" w:name="_Toc184312112"/>
      <w:bookmarkEnd w:id="326"/>
      <w:bookmarkStart w:id="327" w:name="_Toc184312079"/>
      <w:bookmarkEnd w:id="327"/>
      <w:bookmarkStart w:id="328" w:name="_Toc184312129"/>
      <w:bookmarkEnd w:id="328"/>
      <w:bookmarkStart w:id="329" w:name="_Toc184313293"/>
      <w:bookmarkEnd w:id="329"/>
      <w:bookmarkStart w:id="330" w:name="_Toc184310292"/>
      <w:bookmarkEnd w:id="330"/>
      <w:bookmarkStart w:id="331" w:name="_Toc184310342"/>
      <w:bookmarkEnd w:id="331"/>
      <w:bookmarkStart w:id="332" w:name="_Toc184310296"/>
      <w:bookmarkEnd w:id="332"/>
      <w:bookmarkStart w:id="333" w:name="_Toc184314412"/>
      <w:bookmarkEnd w:id="333"/>
      <w:bookmarkStart w:id="334" w:name="_Toc184313243"/>
      <w:bookmarkEnd w:id="334"/>
      <w:bookmarkStart w:id="335" w:name="_Toc184313296"/>
      <w:bookmarkEnd w:id="335"/>
      <w:bookmarkStart w:id="336" w:name="_Toc184314464"/>
      <w:bookmarkEnd w:id="336"/>
      <w:bookmarkStart w:id="337" w:name="_Toc184308104"/>
      <w:bookmarkEnd w:id="337"/>
      <w:bookmarkStart w:id="338" w:name="_Toc184312124"/>
      <w:bookmarkEnd w:id="338"/>
      <w:bookmarkStart w:id="339" w:name="_Toc184313267"/>
      <w:bookmarkEnd w:id="339"/>
      <w:bookmarkStart w:id="340" w:name="_Toc184312101"/>
      <w:bookmarkEnd w:id="340"/>
      <w:bookmarkStart w:id="341" w:name="_Toc184314449"/>
      <w:bookmarkEnd w:id="341"/>
      <w:bookmarkStart w:id="342" w:name="_Toc184308083"/>
      <w:bookmarkEnd w:id="342"/>
      <w:bookmarkStart w:id="343" w:name="_Toc184310327"/>
      <w:bookmarkEnd w:id="343"/>
      <w:bookmarkStart w:id="344" w:name="_Toc184308085"/>
      <w:bookmarkEnd w:id="344"/>
      <w:bookmarkStart w:id="345" w:name="_Toc184308087"/>
      <w:bookmarkEnd w:id="345"/>
      <w:bookmarkStart w:id="346" w:name="_Toc184308038"/>
      <w:bookmarkEnd w:id="346"/>
      <w:bookmarkStart w:id="347" w:name="_Toc184312132"/>
      <w:bookmarkEnd w:id="347"/>
      <w:bookmarkStart w:id="348" w:name="_Toc184314472"/>
      <w:bookmarkEnd w:id="348"/>
      <w:bookmarkStart w:id="349" w:name="_Toc184313242"/>
      <w:bookmarkEnd w:id="349"/>
      <w:bookmarkStart w:id="350" w:name="_Toc184308071"/>
      <w:bookmarkEnd w:id="350"/>
      <w:bookmarkStart w:id="351" w:name="_Toc184312090"/>
      <w:bookmarkEnd w:id="351"/>
      <w:bookmarkStart w:id="352" w:name="_Toc184310302"/>
      <w:bookmarkEnd w:id="352"/>
      <w:bookmarkStart w:id="353" w:name="_Toc184310289"/>
      <w:bookmarkEnd w:id="353"/>
      <w:bookmarkStart w:id="354" w:name="_Toc184313299"/>
      <w:bookmarkEnd w:id="354"/>
      <w:bookmarkStart w:id="355" w:name="_Toc184312068"/>
      <w:bookmarkEnd w:id="355"/>
      <w:bookmarkStart w:id="356" w:name="_Toc184313301"/>
      <w:bookmarkEnd w:id="356"/>
      <w:bookmarkStart w:id="357" w:name="_Toc184310285"/>
      <w:bookmarkEnd w:id="357"/>
      <w:bookmarkStart w:id="358" w:name="_Toc184312073"/>
      <w:bookmarkEnd w:id="358"/>
      <w:bookmarkStart w:id="359" w:name="_Toc184308039"/>
      <w:bookmarkEnd w:id="359"/>
      <w:bookmarkStart w:id="360" w:name="_Toc184308092"/>
      <w:bookmarkEnd w:id="360"/>
      <w:bookmarkStart w:id="361" w:name="_Toc184313260"/>
      <w:bookmarkEnd w:id="361"/>
      <w:bookmarkStart w:id="362" w:name="_Toc184312095"/>
      <w:bookmarkEnd w:id="362"/>
      <w:bookmarkStart w:id="363" w:name="_Toc184310303"/>
      <w:bookmarkEnd w:id="363"/>
      <w:bookmarkStart w:id="364" w:name="_Toc184312130"/>
      <w:bookmarkEnd w:id="364"/>
      <w:bookmarkStart w:id="365" w:name="_Toc184310340"/>
      <w:bookmarkEnd w:id="365"/>
      <w:bookmarkStart w:id="366" w:name="_Toc184312080"/>
      <w:bookmarkEnd w:id="366"/>
      <w:bookmarkStart w:id="367" w:name="_Toc184313282"/>
      <w:bookmarkEnd w:id="367"/>
      <w:bookmarkStart w:id="368" w:name="_Toc184310301"/>
      <w:bookmarkEnd w:id="368"/>
      <w:bookmarkStart w:id="369" w:name="_Toc184312139"/>
      <w:bookmarkEnd w:id="369"/>
      <w:bookmarkStart w:id="370" w:name="_Toc184310311"/>
      <w:bookmarkEnd w:id="370"/>
      <w:bookmarkStart w:id="371" w:name="_Toc184312081"/>
      <w:bookmarkEnd w:id="371"/>
      <w:bookmarkStart w:id="372" w:name="_Toc184312109"/>
      <w:bookmarkEnd w:id="372"/>
      <w:bookmarkStart w:id="373" w:name="_Toc184314417"/>
      <w:bookmarkEnd w:id="373"/>
      <w:bookmarkStart w:id="374" w:name="_Toc184312120"/>
      <w:bookmarkEnd w:id="374"/>
      <w:bookmarkStart w:id="375" w:name="_Toc184308061"/>
      <w:bookmarkEnd w:id="375"/>
      <w:bookmarkStart w:id="376" w:name="_Toc184310304"/>
      <w:bookmarkEnd w:id="376"/>
      <w:bookmarkStart w:id="377" w:name="_Toc184314422"/>
      <w:bookmarkEnd w:id="377"/>
      <w:bookmarkStart w:id="378" w:name="_Toc184312098"/>
      <w:bookmarkEnd w:id="378"/>
      <w:bookmarkStart w:id="379" w:name="_Toc184312110"/>
      <w:bookmarkEnd w:id="379"/>
      <w:bookmarkStart w:id="380" w:name="_Toc184312075"/>
      <w:bookmarkEnd w:id="380"/>
      <w:bookmarkStart w:id="381" w:name="_Toc184308094"/>
      <w:bookmarkEnd w:id="381"/>
      <w:bookmarkStart w:id="382" w:name="_Toc184314468"/>
      <w:bookmarkEnd w:id="382"/>
      <w:bookmarkStart w:id="383" w:name="_Toc184310316"/>
      <w:bookmarkEnd w:id="383"/>
      <w:bookmarkStart w:id="384" w:name="_Toc184308096"/>
      <w:bookmarkEnd w:id="384"/>
      <w:bookmarkStart w:id="385" w:name="_Toc184314441"/>
      <w:bookmarkEnd w:id="385"/>
      <w:bookmarkStart w:id="386" w:name="_Toc184312067"/>
      <w:bookmarkEnd w:id="386"/>
      <w:bookmarkStart w:id="387" w:name="_Toc184308037"/>
      <w:bookmarkEnd w:id="387"/>
      <w:bookmarkStart w:id="388" w:name="_Toc184314418"/>
      <w:bookmarkEnd w:id="388"/>
      <w:bookmarkStart w:id="389" w:name="_Toc184312070"/>
      <w:bookmarkEnd w:id="389"/>
      <w:r>
        <w:rPr>
          <w:rFonts w:hint="eastAsia" w:ascii="宋体" w:hAnsi="宋体" w:eastAsia="宋体" w:cs="宋体"/>
          <w:b/>
          <w:sz w:val="36"/>
          <w:szCs w:val="36"/>
        </w:rPr>
        <w:t>评标办法</w:t>
      </w:r>
    </w:p>
    <w:p w14:paraId="745F6D06">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tbl>
      <w:tblPr>
        <w:tblStyle w:val="63"/>
        <w:tblpPr w:leftFromText="180" w:rightFromText="180" w:vertAnchor="text" w:horzAnchor="page" w:tblpX="1031" w:tblpY="126"/>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94"/>
        <w:gridCol w:w="7353"/>
        <w:gridCol w:w="862"/>
      </w:tblGrid>
      <w:tr w14:paraId="397E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01" w:type="dxa"/>
            <w:vAlign w:val="center"/>
          </w:tcPr>
          <w:p w14:paraId="030663F5">
            <w:pPr>
              <w:jc w:val="center"/>
              <w:outlineLvl w:val="0"/>
              <w:rPr>
                <w:rFonts w:hint="eastAsia" w:ascii="宋体" w:hAnsi="宋体" w:eastAsia="宋体" w:cs="宋体"/>
                <w:b/>
                <w:color w:val="000000"/>
              </w:rPr>
            </w:pPr>
            <w:r>
              <w:rPr>
                <w:rFonts w:hint="eastAsia" w:ascii="宋体" w:hAnsi="宋体" w:eastAsia="宋体" w:cs="宋体"/>
                <w:b/>
                <w:color w:val="000000"/>
              </w:rPr>
              <w:t>序号</w:t>
            </w:r>
          </w:p>
        </w:tc>
        <w:tc>
          <w:tcPr>
            <w:tcW w:w="1194" w:type="dxa"/>
            <w:vAlign w:val="center"/>
          </w:tcPr>
          <w:p w14:paraId="144108B6">
            <w:pPr>
              <w:jc w:val="center"/>
              <w:outlineLvl w:val="0"/>
              <w:rPr>
                <w:rFonts w:hint="eastAsia" w:ascii="宋体" w:hAnsi="宋体" w:eastAsia="宋体" w:cs="宋体"/>
                <w:b/>
                <w:color w:val="000000"/>
              </w:rPr>
            </w:pPr>
            <w:r>
              <w:rPr>
                <w:rFonts w:hint="eastAsia" w:ascii="宋体" w:hAnsi="宋体" w:eastAsia="宋体" w:cs="宋体"/>
                <w:b/>
                <w:color w:val="000000"/>
              </w:rPr>
              <w:t>评分项目</w:t>
            </w:r>
          </w:p>
        </w:tc>
        <w:tc>
          <w:tcPr>
            <w:tcW w:w="7353" w:type="dxa"/>
            <w:vAlign w:val="center"/>
          </w:tcPr>
          <w:p w14:paraId="6C373DCB">
            <w:pPr>
              <w:jc w:val="center"/>
              <w:outlineLvl w:val="0"/>
              <w:rPr>
                <w:rFonts w:hint="eastAsia" w:ascii="宋体" w:hAnsi="宋体" w:eastAsia="宋体" w:cs="宋体"/>
                <w:bCs/>
                <w:color w:val="000000"/>
              </w:rPr>
            </w:pPr>
            <w:r>
              <w:rPr>
                <w:rFonts w:hint="eastAsia" w:ascii="宋体" w:hAnsi="宋体" w:eastAsia="宋体" w:cs="宋体"/>
                <w:b/>
                <w:color w:val="000000"/>
              </w:rPr>
              <w:t>评分标准及细则</w:t>
            </w:r>
          </w:p>
        </w:tc>
        <w:tc>
          <w:tcPr>
            <w:tcW w:w="862" w:type="dxa"/>
            <w:vAlign w:val="center"/>
          </w:tcPr>
          <w:p w14:paraId="2DBC9E05">
            <w:pPr>
              <w:jc w:val="center"/>
              <w:outlineLvl w:val="0"/>
              <w:rPr>
                <w:rFonts w:hint="eastAsia" w:ascii="宋体" w:hAnsi="宋体" w:eastAsia="宋体" w:cs="宋体"/>
                <w:bCs/>
                <w:color w:val="000000"/>
              </w:rPr>
            </w:pPr>
            <w:r>
              <w:rPr>
                <w:rFonts w:hint="eastAsia" w:ascii="宋体" w:hAnsi="宋体" w:eastAsia="宋体" w:cs="宋体"/>
                <w:b/>
                <w:color w:val="000000"/>
              </w:rPr>
              <w:t>分值</w:t>
            </w:r>
          </w:p>
        </w:tc>
      </w:tr>
      <w:tr w14:paraId="7D60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701" w:type="dxa"/>
            <w:vAlign w:val="center"/>
          </w:tcPr>
          <w:p w14:paraId="747F53E0">
            <w:pPr>
              <w:pStyle w:val="36"/>
              <w:rPr>
                <w:rFonts w:hint="eastAsia"/>
              </w:rPr>
            </w:pPr>
          </w:p>
          <w:p w14:paraId="40CDCD30">
            <w:pPr>
              <w:jc w:val="center"/>
              <w:rPr>
                <w:rFonts w:hint="eastAsia" w:eastAsia="宋体"/>
                <w:lang w:val="en-US" w:eastAsia="zh-CN"/>
              </w:rPr>
            </w:pPr>
            <w:r>
              <w:rPr>
                <w:rFonts w:hint="eastAsia"/>
                <w:lang w:val="en-US" w:eastAsia="zh-CN"/>
              </w:rPr>
              <w:t>1</w:t>
            </w:r>
          </w:p>
          <w:p w14:paraId="17008DA7">
            <w:pPr>
              <w:pStyle w:val="36"/>
              <w:rPr>
                <w:rFonts w:hint="eastAsia"/>
              </w:rPr>
            </w:pPr>
          </w:p>
        </w:tc>
        <w:tc>
          <w:tcPr>
            <w:tcW w:w="1194" w:type="dxa"/>
            <w:vAlign w:val="center"/>
          </w:tcPr>
          <w:p w14:paraId="058C4469">
            <w:pPr>
              <w:tabs>
                <w:tab w:val="left" w:pos="0"/>
              </w:tabs>
              <w:spacing w:line="360" w:lineRule="auto"/>
              <w:ind w:left="0" w:leftChars="0" w:firstLine="0" w:firstLineChars="0"/>
              <w:jc w:val="center"/>
              <w:rPr>
                <w:rFonts w:hint="eastAsia" w:ascii="宋体" w:hAnsi="宋体" w:eastAsia="宋体" w:cs="宋体"/>
                <w:kern w:val="0"/>
                <w:sz w:val="24"/>
              </w:rPr>
            </w:pPr>
            <w:r>
              <w:rPr>
                <w:rFonts w:hint="eastAsia" w:ascii="宋体" w:hAnsi="宋体" w:eastAsia="宋体" w:cs="宋体"/>
                <w:color w:val="000000" w:themeColor="text1"/>
                <w:kern w:val="0"/>
                <w:sz w:val="24"/>
                <w14:textFill>
                  <w14:solidFill>
                    <w14:schemeClr w14:val="tx1"/>
                  </w14:solidFill>
                </w14:textFill>
              </w:rPr>
              <w:t>综合实力</w:t>
            </w:r>
          </w:p>
        </w:tc>
        <w:tc>
          <w:tcPr>
            <w:tcW w:w="7353" w:type="dxa"/>
            <w:vAlign w:val="center"/>
          </w:tcPr>
          <w:p w14:paraId="5D009C26">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根据投标人总公司综合偿付能力高低进行分档记分：</w:t>
            </w:r>
          </w:p>
          <w:p w14:paraId="319671F9">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（1）综合偿付能力充足率在≥2</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0％以上 ，得</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p w14:paraId="37E13396">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（2）综合偿付能力充足率在≥1</w:t>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0％以上，得</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分；</w:t>
            </w:r>
          </w:p>
          <w:p w14:paraId="48BB0293">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（3）综合偿付能力充足率在≥1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0％以上，得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p>
          <w:p w14:paraId="12FCDE16">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（4）综合偿付能力充足率不到1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0％，不得分。</w:t>
            </w:r>
          </w:p>
          <w:p w14:paraId="6537667E">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b/>
                <w:kern w:val="0"/>
                <w:sz w:val="24"/>
                <w:highlight w:val="none"/>
              </w:rPr>
            </w:pPr>
            <w:r>
              <w:rPr>
                <w:rFonts w:hint="eastAsia" w:ascii="宋体" w:hAnsi="宋体" w:eastAsia="宋体" w:cs="宋体"/>
                <w:b/>
                <w:bCs/>
                <w:i w:val="0"/>
                <w:iCs w:val="0"/>
                <w:color w:val="000000"/>
                <w:kern w:val="0"/>
                <w:sz w:val="24"/>
                <w:szCs w:val="24"/>
                <w:highlight w:val="none"/>
                <w:u w:val="none"/>
                <w:lang w:val="en-US" w:eastAsia="zh-CN" w:bidi="ar"/>
              </w:rPr>
              <w:t>【提供投保人总公司官网或中国保险行业协会对外公布的季度报告</w:t>
            </w:r>
            <w:r>
              <w:rPr>
                <w:rFonts w:hint="eastAsia" w:ascii="宋体" w:hAnsi="宋体" w:cs="宋体"/>
                <w:b/>
                <w:bCs/>
                <w:i w:val="0"/>
                <w:iCs w:val="0"/>
                <w:color w:val="000000"/>
                <w:kern w:val="0"/>
                <w:sz w:val="24"/>
                <w:szCs w:val="24"/>
                <w:highlight w:val="none"/>
                <w:u w:val="none"/>
                <w:lang w:val="en-US" w:eastAsia="zh-CN" w:bidi="ar"/>
              </w:rPr>
              <w:t>（截止招标文件发布当日的最新季度数据）</w:t>
            </w:r>
            <w:r>
              <w:rPr>
                <w:rFonts w:hint="eastAsia" w:ascii="宋体" w:hAnsi="宋体" w:eastAsia="宋体" w:cs="宋体"/>
                <w:b/>
                <w:bCs/>
                <w:i w:val="0"/>
                <w:iCs w:val="0"/>
                <w:color w:val="000000"/>
                <w:kern w:val="0"/>
                <w:sz w:val="24"/>
                <w:szCs w:val="24"/>
                <w:highlight w:val="none"/>
                <w:u w:val="none"/>
                <w:lang w:val="en-US" w:eastAsia="zh-CN" w:bidi="ar"/>
              </w:rPr>
              <w:t>摘要或相关证明扫描件加盖公章为准，否则不得分。】</w:t>
            </w:r>
          </w:p>
        </w:tc>
        <w:tc>
          <w:tcPr>
            <w:tcW w:w="862" w:type="dxa"/>
            <w:vAlign w:val="center"/>
          </w:tcPr>
          <w:p w14:paraId="056AA10C">
            <w:pPr>
              <w:tabs>
                <w:tab w:val="left" w:pos="0"/>
              </w:tabs>
              <w:spacing w:line="360" w:lineRule="auto"/>
              <w:ind w:left="0" w:leftChars="0" w:firstLine="0" w:firstLineChars="0"/>
              <w:jc w:val="center"/>
              <w:rPr>
                <w:rFonts w:hint="eastAsia" w:ascii="宋体" w:hAnsi="宋体" w:eastAsia="宋体" w:cs="宋体"/>
                <w:kern w:val="0"/>
                <w:sz w:val="24"/>
              </w:rPr>
            </w:pPr>
            <w:r>
              <w:rPr>
                <w:rFonts w:hint="eastAsia" w:ascii="宋体" w:hAnsi="宋体" w:cs="宋体"/>
                <w:color w:val="000000" w:themeColor="text1"/>
                <w:kern w:val="0"/>
                <w:sz w:val="24"/>
                <w:lang w:val="en-US" w:eastAsia="zh-CN"/>
                <w14:textFill>
                  <w14:solidFill>
                    <w14:schemeClr w14:val="tx1"/>
                  </w14:solidFill>
                </w14:textFill>
              </w:rPr>
              <w:t>10</w:t>
            </w:r>
            <w:r>
              <w:rPr>
                <w:rFonts w:hint="eastAsia" w:ascii="宋体" w:hAnsi="宋体" w:eastAsia="宋体" w:cs="宋体"/>
                <w:color w:val="000000" w:themeColor="text1"/>
                <w:kern w:val="0"/>
                <w:sz w:val="24"/>
                <w:lang w:val="en-US" w:eastAsia="zh-CN"/>
                <w14:textFill>
                  <w14:solidFill>
                    <w14:schemeClr w14:val="tx1"/>
                  </w14:solidFill>
                </w14:textFill>
              </w:rPr>
              <w:t>分</w:t>
            </w:r>
          </w:p>
        </w:tc>
      </w:tr>
      <w:tr w14:paraId="177C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01" w:type="dxa"/>
            <w:vAlign w:val="center"/>
          </w:tcPr>
          <w:p w14:paraId="5286FE82">
            <w:pPr>
              <w:keepNext w:val="0"/>
              <w:keepLines w:val="0"/>
              <w:widowControl/>
              <w:suppressLineNumbers w:val="0"/>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2</w:t>
            </w:r>
          </w:p>
        </w:tc>
        <w:tc>
          <w:tcPr>
            <w:tcW w:w="1194" w:type="dxa"/>
            <w:vAlign w:val="center"/>
          </w:tcPr>
          <w:p w14:paraId="23C75154">
            <w:pPr>
              <w:keepNext w:val="0"/>
              <w:keepLines w:val="0"/>
              <w:widowControl/>
              <w:suppressLineNumbers w:val="0"/>
              <w:ind w:left="0" w:leftChars="0" w:firstLine="0" w:firstLineChars="0"/>
              <w:jc w:val="center"/>
              <w:textAlignment w:val="center"/>
              <w:rPr>
                <w:rFonts w:hint="eastAsia" w:ascii="宋体" w:hAnsi="宋体" w:eastAsia="宋体" w:cs="宋体"/>
                <w:kern w:val="0"/>
                <w:sz w:val="24"/>
              </w:rPr>
            </w:pPr>
            <w:r>
              <w:rPr>
                <w:rFonts w:hint="eastAsia" w:ascii="宋体" w:hAnsi="宋体" w:eastAsia="宋体" w:cs="宋体"/>
                <w:i w:val="0"/>
                <w:iCs w:val="0"/>
                <w:color w:val="000000"/>
                <w:kern w:val="0"/>
                <w:sz w:val="24"/>
                <w:szCs w:val="24"/>
                <w:u w:val="none"/>
                <w:lang w:val="en-US" w:eastAsia="zh-CN" w:bidi="ar"/>
              </w:rPr>
              <w:t>风险评级</w:t>
            </w:r>
          </w:p>
        </w:tc>
        <w:tc>
          <w:tcPr>
            <w:tcW w:w="7353" w:type="dxa"/>
            <w:vAlign w:val="center"/>
          </w:tcPr>
          <w:p w14:paraId="5E71DD05">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根据投标人总公司风险综合评级结果进行分档记分：</w:t>
            </w:r>
          </w:p>
          <w:p w14:paraId="39AB9C46">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A</w:t>
            </w:r>
            <w:r>
              <w:rPr>
                <w:rFonts w:hint="eastAsia" w:ascii="宋体" w:hAnsi="宋体" w:cs="宋体"/>
                <w:i w:val="0"/>
                <w:iCs w:val="0"/>
                <w:color w:val="000000"/>
                <w:kern w:val="0"/>
                <w:sz w:val="24"/>
                <w:szCs w:val="24"/>
                <w:highlight w:val="none"/>
                <w:u w:val="none"/>
                <w:lang w:val="en-US" w:eastAsia="zh-CN" w:bidi="ar"/>
              </w:rPr>
              <w:t>AA</w:t>
            </w:r>
            <w:r>
              <w:rPr>
                <w:rFonts w:hint="eastAsia" w:ascii="宋体" w:hAnsi="宋体" w:eastAsia="宋体" w:cs="宋体"/>
                <w:i w:val="0"/>
                <w:iCs w:val="0"/>
                <w:color w:val="000000"/>
                <w:kern w:val="0"/>
                <w:sz w:val="24"/>
                <w:szCs w:val="24"/>
                <w:highlight w:val="none"/>
                <w:u w:val="none"/>
                <w:lang w:val="en-US" w:eastAsia="zh-CN" w:bidi="ar"/>
              </w:rPr>
              <w:t>类得</w:t>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cs="宋体"/>
                <w:i w:val="0"/>
                <w:iCs w:val="0"/>
                <w:color w:val="000000"/>
                <w:kern w:val="0"/>
                <w:sz w:val="24"/>
                <w:szCs w:val="24"/>
                <w:highlight w:val="none"/>
                <w:u w:val="none"/>
                <w:lang w:val="en-US" w:eastAsia="zh-CN" w:bidi="ar"/>
              </w:rPr>
              <w:t>AA类得7分，A类得5分，BBB类得3分，</w:t>
            </w:r>
            <w:r>
              <w:rPr>
                <w:rFonts w:hint="eastAsia" w:ascii="宋体" w:hAnsi="宋体" w:eastAsia="宋体" w:cs="宋体"/>
                <w:i w:val="0"/>
                <w:iCs w:val="0"/>
                <w:color w:val="000000"/>
                <w:kern w:val="0"/>
                <w:sz w:val="24"/>
                <w:szCs w:val="24"/>
                <w:highlight w:val="none"/>
                <w:u w:val="none"/>
                <w:lang w:val="en-US" w:eastAsia="zh-CN" w:bidi="ar"/>
              </w:rPr>
              <w:t>B</w:t>
            </w:r>
            <w:r>
              <w:rPr>
                <w:rFonts w:hint="eastAsia" w:ascii="宋体" w:hAnsi="宋体" w:cs="宋体"/>
                <w:i w:val="0"/>
                <w:iCs w:val="0"/>
                <w:color w:val="000000"/>
                <w:kern w:val="0"/>
                <w:sz w:val="24"/>
                <w:szCs w:val="24"/>
                <w:highlight w:val="none"/>
                <w:u w:val="none"/>
                <w:lang w:val="en-US" w:eastAsia="zh-CN" w:bidi="ar"/>
              </w:rPr>
              <w:t>B</w:t>
            </w:r>
            <w:r>
              <w:rPr>
                <w:rFonts w:hint="eastAsia" w:ascii="宋体" w:hAnsi="宋体" w:eastAsia="宋体" w:cs="宋体"/>
                <w:i w:val="0"/>
                <w:iCs w:val="0"/>
                <w:color w:val="000000"/>
                <w:kern w:val="0"/>
                <w:sz w:val="24"/>
                <w:szCs w:val="24"/>
                <w:highlight w:val="none"/>
                <w:u w:val="none"/>
                <w:lang w:val="en-US" w:eastAsia="zh-CN" w:bidi="ar"/>
              </w:rPr>
              <w:t>类得</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cs="宋体"/>
                <w:i w:val="0"/>
                <w:iCs w:val="0"/>
                <w:color w:val="000000"/>
                <w:kern w:val="0"/>
                <w:sz w:val="24"/>
                <w:szCs w:val="24"/>
                <w:highlight w:val="none"/>
                <w:u w:val="none"/>
                <w:lang w:val="en-US" w:eastAsia="zh-CN" w:bidi="ar"/>
              </w:rPr>
              <w:t>B</w:t>
            </w:r>
            <w:r>
              <w:rPr>
                <w:rFonts w:hint="eastAsia" w:ascii="宋体" w:hAnsi="宋体" w:eastAsia="宋体" w:cs="宋体"/>
                <w:i w:val="0"/>
                <w:iCs w:val="0"/>
                <w:color w:val="000000"/>
                <w:kern w:val="0"/>
                <w:sz w:val="24"/>
                <w:szCs w:val="24"/>
                <w:highlight w:val="none"/>
                <w:u w:val="none"/>
                <w:lang w:val="en-US" w:eastAsia="zh-CN" w:bidi="ar"/>
              </w:rPr>
              <w:t>类1分。</w:t>
            </w:r>
          </w:p>
          <w:p w14:paraId="6A86352E">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b/>
                <w:kern w:val="0"/>
                <w:sz w:val="24"/>
                <w:highlight w:val="none"/>
              </w:rPr>
            </w:pPr>
            <w:r>
              <w:rPr>
                <w:rFonts w:hint="eastAsia" w:ascii="宋体" w:hAnsi="宋体" w:cs="宋体"/>
                <w:b/>
                <w:bCs/>
                <w:color w:val="000000"/>
                <w:sz w:val="24"/>
                <w:highlight w:val="none"/>
                <w:lang w:eastAsia="zh-CN"/>
              </w:rPr>
              <w:t>【</w:t>
            </w:r>
            <w:r>
              <w:rPr>
                <w:rFonts w:hint="eastAsia" w:ascii="宋体" w:hAnsi="宋体" w:cs="宋体"/>
                <w:b/>
                <w:bCs/>
                <w:color w:val="000000"/>
                <w:sz w:val="24"/>
                <w:highlight w:val="none"/>
              </w:rPr>
              <w:t>提供投保人总公司官网或中国保险行业协会对外公布的季度报告</w:t>
            </w:r>
            <w:r>
              <w:rPr>
                <w:rFonts w:hint="eastAsia" w:ascii="宋体" w:hAnsi="宋体" w:cs="宋体"/>
                <w:b/>
                <w:bCs/>
                <w:i w:val="0"/>
                <w:iCs w:val="0"/>
                <w:color w:val="000000"/>
                <w:kern w:val="0"/>
                <w:sz w:val="24"/>
                <w:szCs w:val="24"/>
                <w:highlight w:val="none"/>
                <w:u w:val="none"/>
                <w:lang w:val="en-US" w:eastAsia="zh-CN" w:bidi="ar"/>
              </w:rPr>
              <w:t>（截止招标文件发布当日的最新季度数据）</w:t>
            </w:r>
            <w:r>
              <w:rPr>
                <w:rFonts w:hint="eastAsia" w:ascii="宋体" w:hAnsi="宋体" w:cs="宋体"/>
                <w:b/>
                <w:bCs/>
                <w:color w:val="000000"/>
                <w:sz w:val="24"/>
                <w:highlight w:val="none"/>
              </w:rPr>
              <w:t>摘要或相关证明扫描件加盖公章为准，否则不得分。</w:t>
            </w:r>
            <w:r>
              <w:rPr>
                <w:rFonts w:hint="eastAsia" w:ascii="宋体" w:hAnsi="宋体" w:cs="宋体"/>
                <w:b/>
                <w:bCs/>
                <w:color w:val="000000"/>
                <w:sz w:val="24"/>
                <w:highlight w:val="none"/>
                <w:lang w:eastAsia="zh-CN"/>
              </w:rPr>
              <w:t>】</w:t>
            </w:r>
          </w:p>
        </w:tc>
        <w:tc>
          <w:tcPr>
            <w:tcW w:w="862" w:type="dxa"/>
            <w:vAlign w:val="center"/>
          </w:tcPr>
          <w:p w14:paraId="04CC79F4">
            <w:pPr>
              <w:keepNext w:val="0"/>
              <w:keepLines w:val="0"/>
              <w:widowControl/>
              <w:suppressLineNumbers w:val="0"/>
              <w:ind w:left="0" w:leftChars="0" w:firstLine="0" w:firstLineChars="0"/>
              <w:jc w:val="center"/>
              <w:textAlignment w:val="center"/>
              <w:rPr>
                <w:rFonts w:hint="eastAsia" w:ascii="宋体" w:hAnsi="宋体" w:eastAsia="宋体" w:cs="宋体"/>
                <w:kern w:val="0"/>
                <w:sz w:val="24"/>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分</w:t>
            </w:r>
          </w:p>
        </w:tc>
      </w:tr>
      <w:tr w14:paraId="57E7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01" w:type="dxa"/>
            <w:vAlign w:val="center"/>
          </w:tcPr>
          <w:p w14:paraId="369D9E29">
            <w:pPr>
              <w:keepNext w:val="0"/>
              <w:keepLines w:val="0"/>
              <w:widowControl/>
              <w:suppressLineNumbers w:val="0"/>
              <w:ind w:left="0" w:leftChars="0" w:firstLine="0" w:firstLineChars="0"/>
              <w:jc w:val="center"/>
              <w:textAlignment w:val="center"/>
              <w:rPr>
                <w:rFonts w:hint="default" w:ascii="宋体" w:hAnsi="宋体" w:eastAsia="宋体" w:cs="宋体"/>
                <w:kern w:val="0"/>
                <w:sz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c>
          <w:tcPr>
            <w:tcW w:w="1194" w:type="dxa"/>
            <w:vAlign w:val="center"/>
          </w:tcPr>
          <w:p w14:paraId="35AF92F8">
            <w:pPr>
              <w:keepNext w:val="0"/>
              <w:keepLines w:val="0"/>
              <w:widowControl/>
              <w:suppressLineNumbers w:val="0"/>
              <w:ind w:left="0" w:leftChars="0" w:firstLine="0" w:firstLineChars="0"/>
              <w:jc w:val="center"/>
              <w:textAlignment w:val="center"/>
              <w:rPr>
                <w:rFonts w:hint="eastAsia" w:ascii="宋体" w:hAnsi="宋体" w:eastAsia="宋体" w:cs="宋体"/>
                <w:kern w:val="0"/>
                <w:sz w:val="24"/>
                <w:highlight w:val="none"/>
              </w:rPr>
            </w:pPr>
            <w:r>
              <w:rPr>
                <w:rFonts w:hint="eastAsia" w:ascii="宋体" w:hAnsi="宋体" w:eastAsia="宋体" w:cs="宋体"/>
                <w:i w:val="0"/>
                <w:iCs w:val="0"/>
                <w:color w:val="000000"/>
                <w:kern w:val="0"/>
                <w:sz w:val="24"/>
                <w:szCs w:val="24"/>
                <w:highlight w:val="none"/>
                <w:u w:val="none"/>
                <w:lang w:val="en-US" w:eastAsia="zh-CN" w:bidi="ar"/>
              </w:rPr>
              <w:t>亿元保费投诉量</w:t>
            </w:r>
          </w:p>
        </w:tc>
        <w:tc>
          <w:tcPr>
            <w:tcW w:w="7353" w:type="dxa"/>
            <w:vAlign w:val="center"/>
          </w:tcPr>
          <w:p w14:paraId="74871DC2">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根据投标人总公司亿元保费投诉量进行分档记分：</w:t>
            </w:r>
          </w:p>
          <w:p w14:paraId="06AD1B50">
            <w:pPr>
              <w:keepNext w:val="0"/>
              <w:keepLines w:val="0"/>
              <w:pageBreakBefore w:val="0"/>
              <w:widowControl/>
              <w:suppressLineNumbers w:val="0"/>
              <w:kinsoku/>
              <w:wordWrap/>
              <w:overflowPunct/>
              <w:topLinePunct w:val="0"/>
              <w:autoSpaceDE/>
              <w:autoSpaceDN/>
              <w:bidi w:val="0"/>
              <w:adjustRightInd w:val="0"/>
              <w:snapToGrid/>
              <w:spacing w:before="157" w:beforeLines="50" w:line="360" w:lineRule="auto"/>
              <w:ind w:left="0" w:leftChars="0" w:firstLine="0"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0.5（含）件以下的得10分，0.5-1（含）件的得</w:t>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（含）件的得</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cs="宋体"/>
                <w:i w:val="0"/>
                <w:iCs w:val="0"/>
                <w:color w:val="000000"/>
                <w:kern w:val="0"/>
                <w:sz w:val="24"/>
                <w:szCs w:val="24"/>
                <w:highlight w:val="none"/>
                <w:u w:val="none"/>
                <w:lang w:val="en-US" w:eastAsia="zh-CN" w:bidi="ar"/>
              </w:rPr>
              <w:t>1.5</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（含）件的得</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件以上的得0分。</w:t>
            </w:r>
          </w:p>
          <w:p w14:paraId="1F801027">
            <w:pPr>
              <w:keepNext w:val="0"/>
              <w:keepLines w:val="0"/>
              <w:widowControl/>
              <w:suppressLineNumbers w:val="0"/>
              <w:spacing w:line="360" w:lineRule="auto"/>
              <w:ind w:left="0" w:leftChars="0" w:firstLine="0" w:firstLineChars="0"/>
              <w:jc w:val="both"/>
              <w:textAlignment w:val="center"/>
              <w:rPr>
                <w:rFonts w:hint="eastAsia" w:ascii="宋体" w:hAnsi="宋体" w:eastAsia="宋体" w:cs="宋体"/>
                <w:b/>
                <w:kern w:val="0"/>
                <w:sz w:val="24"/>
                <w:highlight w:val="none"/>
              </w:rPr>
            </w:pPr>
            <w:r>
              <w:rPr>
                <w:rFonts w:hint="eastAsia" w:ascii="宋体" w:hAnsi="宋体" w:cs="宋体"/>
                <w:b/>
                <w:bCs/>
                <w:color w:val="000000"/>
                <w:sz w:val="24"/>
                <w:highlight w:val="none"/>
              </w:rPr>
              <w:t>【提供投保人总公司官网或中国保险行业协会对外公布的季度报告</w:t>
            </w:r>
            <w:r>
              <w:rPr>
                <w:rFonts w:hint="eastAsia" w:ascii="宋体" w:hAnsi="宋体" w:cs="宋体"/>
                <w:b/>
                <w:bCs/>
                <w:i w:val="0"/>
                <w:iCs w:val="0"/>
                <w:color w:val="000000"/>
                <w:kern w:val="0"/>
                <w:sz w:val="24"/>
                <w:szCs w:val="24"/>
                <w:highlight w:val="none"/>
                <w:u w:val="none"/>
                <w:lang w:val="en-US" w:eastAsia="zh-CN" w:bidi="ar"/>
              </w:rPr>
              <w:t>（截止招标文件发布当日的最新季度数据）</w:t>
            </w:r>
            <w:r>
              <w:rPr>
                <w:rFonts w:hint="eastAsia" w:ascii="宋体" w:hAnsi="宋体" w:cs="宋体"/>
                <w:b/>
                <w:bCs/>
                <w:color w:val="000000"/>
                <w:sz w:val="24"/>
                <w:highlight w:val="none"/>
              </w:rPr>
              <w:t>摘要或相关证明扫描件加盖公章为准，否则不得分。】</w:t>
            </w:r>
          </w:p>
        </w:tc>
        <w:tc>
          <w:tcPr>
            <w:tcW w:w="862" w:type="dxa"/>
            <w:vAlign w:val="center"/>
          </w:tcPr>
          <w:p w14:paraId="037A47ED">
            <w:pPr>
              <w:keepNext w:val="0"/>
              <w:keepLines w:val="0"/>
              <w:widowControl/>
              <w:suppressLineNumbers w:val="0"/>
              <w:ind w:left="0" w:leftChars="0" w:firstLine="0" w:firstLineChars="0"/>
              <w:jc w:val="center"/>
              <w:textAlignment w:val="center"/>
              <w:rPr>
                <w:rFonts w:hint="eastAsia" w:ascii="宋体" w:hAnsi="宋体" w:eastAsia="宋体" w:cs="宋体"/>
                <w:kern w:val="0"/>
                <w:sz w:val="24"/>
                <w:highlight w:val="none"/>
              </w:rPr>
            </w:pP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分</w:t>
            </w:r>
          </w:p>
        </w:tc>
      </w:tr>
      <w:tr w14:paraId="777C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01" w:type="dxa"/>
            <w:vAlign w:val="center"/>
          </w:tcPr>
          <w:p w14:paraId="5078BA47">
            <w:pPr>
              <w:tabs>
                <w:tab w:val="left" w:pos="0"/>
              </w:tabs>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1194" w:type="dxa"/>
            <w:vAlign w:val="center"/>
          </w:tcPr>
          <w:p w14:paraId="24386401">
            <w:pPr>
              <w:tabs>
                <w:tab w:val="left" w:pos="0"/>
              </w:tabs>
              <w:spacing w:line="360" w:lineRule="auto"/>
              <w:ind w:left="0" w:leftChars="0" w:firstLine="0" w:firstLineChars="0"/>
              <w:jc w:val="center"/>
              <w:rPr>
                <w:rFonts w:hint="eastAsia" w:ascii="宋体" w:hAnsi="宋体" w:eastAsia="宋体" w:cs="宋体"/>
                <w:kern w:val="0"/>
                <w:sz w:val="24"/>
              </w:rPr>
            </w:pPr>
            <w:r>
              <w:rPr>
                <w:rFonts w:hint="eastAsia" w:ascii="宋体" w:hAnsi="宋体" w:eastAsia="宋体" w:cs="宋体"/>
                <w:color w:val="000000"/>
                <w:kern w:val="0"/>
                <w:sz w:val="24"/>
                <w:lang w:val="zh-CN"/>
              </w:rPr>
              <w:t>企业业绩</w:t>
            </w:r>
          </w:p>
        </w:tc>
        <w:tc>
          <w:tcPr>
            <w:tcW w:w="7353" w:type="dxa"/>
            <w:vAlign w:val="center"/>
          </w:tcPr>
          <w:p w14:paraId="79F88CAF">
            <w:pPr>
              <w:tabs>
                <w:tab w:val="left" w:pos="0"/>
              </w:tabs>
              <w:spacing w:line="360" w:lineRule="auto"/>
              <w:ind w:left="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投标人自202</w:t>
            </w:r>
            <w:r>
              <w:rPr>
                <w:rFonts w:hint="eastAsia" w:ascii="宋体" w:hAnsi="宋体" w:cs="宋体"/>
                <w:color w:val="000000"/>
                <w:kern w:val="0"/>
                <w:sz w:val="24"/>
                <w:lang w:val="en-US" w:eastAsia="zh-CN"/>
              </w:rPr>
              <w:t>2</w:t>
            </w:r>
            <w:r>
              <w:rPr>
                <w:rFonts w:hint="eastAsia" w:ascii="宋体" w:hAnsi="宋体" w:eastAsia="宋体" w:cs="宋体"/>
                <w:color w:val="000000"/>
                <w:kern w:val="0"/>
                <w:sz w:val="24"/>
              </w:rPr>
              <w:t>年1月1日以来（合同签订时间为准）承担过类似</w:t>
            </w:r>
            <w:r>
              <w:rPr>
                <w:rFonts w:hint="eastAsia" w:ascii="宋体" w:hAnsi="宋体" w:cs="宋体"/>
                <w:color w:val="000000"/>
                <w:kern w:val="0"/>
                <w:sz w:val="24"/>
                <w:lang w:val="en-US" w:eastAsia="zh-CN"/>
              </w:rPr>
              <w:t>人身</w:t>
            </w:r>
            <w:r>
              <w:rPr>
                <w:rFonts w:hint="eastAsia" w:ascii="宋体" w:hAnsi="宋体" w:eastAsia="宋体" w:cs="宋体"/>
                <w:color w:val="000000"/>
                <w:kern w:val="0"/>
                <w:sz w:val="24"/>
              </w:rPr>
              <w:t>团体意外伤害保险业绩（投保人需为乡镇及以上政府</w:t>
            </w:r>
            <w:r>
              <w:rPr>
                <w:rFonts w:hint="eastAsia" w:ascii="宋体" w:hAnsi="宋体" w:cs="宋体"/>
                <w:color w:val="000000"/>
                <w:kern w:val="0"/>
                <w:sz w:val="24"/>
                <w:lang w:val="en-US" w:eastAsia="zh-CN"/>
              </w:rPr>
              <w:t>机关单位</w:t>
            </w:r>
            <w:r>
              <w:rPr>
                <w:rFonts w:hint="eastAsia" w:ascii="宋体" w:hAnsi="宋体" w:eastAsia="宋体" w:cs="宋体"/>
                <w:color w:val="000000"/>
                <w:kern w:val="0"/>
                <w:sz w:val="24"/>
              </w:rPr>
              <w:t>），每个业绩合同得0.5分，本项最多得1分。</w:t>
            </w:r>
          </w:p>
          <w:p w14:paraId="4507FE69">
            <w:pPr>
              <w:tabs>
                <w:tab w:val="left" w:pos="0"/>
              </w:tabs>
              <w:spacing w:line="360" w:lineRule="auto"/>
              <w:ind w:left="0" w:leftChars="0" w:firstLine="0" w:firstLineChars="0"/>
              <w:rPr>
                <w:rFonts w:hint="eastAsia" w:ascii="宋体" w:hAnsi="宋体" w:eastAsia="宋体" w:cs="宋体"/>
                <w:b/>
                <w:kern w:val="0"/>
                <w:sz w:val="24"/>
              </w:rPr>
            </w:pPr>
            <w:r>
              <w:rPr>
                <w:rFonts w:hint="eastAsia" w:ascii="宋体" w:hAnsi="宋体" w:cs="宋体"/>
                <w:b/>
                <w:bCs/>
                <w:color w:val="000000"/>
                <w:kern w:val="0"/>
                <w:sz w:val="24"/>
                <w:lang w:eastAsia="zh-CN"/>
              </w:rPr>
              <w:t>【</w:t>
            </w:r>
            <w:r>
              <w:rPr>
                <w:rFonts w:hint="eastAsia" w:ascii="宋体" w:hAnsi="宋体" w:eastAsia="宋体" w:cs="宋体"/>
                <w:b/>
                <w:bCs/>
                <w:color w:val="000000"/>
                <w:kern w:val="0"/>
                <w:sz w:val="24"/>
              </w:rPr>
              <w:t>需提供相应业绩的保险单</w:t>
            </w:r>
            <w:r>
              <w:rPr>
                <w:rFonts w:hint="eastAsia" w:ascii="宋体" w:hAnsi="宋体" w:cs="宋体"/>
                <w:b/>
                <w:bCs/>
                <w:color w:val="000000"/>
                <w:kern w:val="0"/>
                <w:sz w:val="24"/>
                <w:lang w:val="en-US" w:eastAsia="zh-CN"/>
              </w:rPr>
              <w:t>或保险合同</w:t>
            </w:r>
            <w:r>
              <w:rPr>
                <w:rFonts w:hint="eastAsia" w:ascii="宋体" w:hAnsi="宋体" w:eastAsia="宋体" w:cs="宋体"/>
                <w:b/>
                <w:bCs/>
                <w:color w:val="000000"/>
                <w:kern w:val="0"/>
                <w:sz w:val="24"/>
              </w:rPr>
              <w:t>复印件并加盖公章，不提供不得分</w:t>
            </w:r>
            <w:r>
              <w:rPr>
                <w:rFonts w:hint="eastAsia" w:ascii="宋体" w:hAnsi="宋体" w:cs="宋体"/>
                <w:b/>
                <w:bCs/>
                <w:color w:val="000000"/>
                <w:kern w:val="0"/>
                <w:sz w:val="24"/>
                <w:lang w:eastAsia="zh-CN"/>
              </w:rPr>
              <w:t>】</w:t>
            </w:r>
          </w:p>
        </w:tc>
        <w:tc>
          <w:tcPr>
            <w:tcW w:w="862" w:type="dxa"/>
            <w:vAlign w:val="center"/>
          </w:tcPr>
          <w:p w14:paraId="4AE1F877">
            <w:pPr>
              <w:tabs>
                <w:tab w:val="left" w:pos="0"/>
              </w:tabs>
              <w:spacing w:line="360" w:lineRule="auto"/>
              <w:ind w:left="0" w:leftChars="0" w:firstLine="0" w:firstLineChars="0"/>
              <w:jc w:val="center"/>
              <w:rPr>
                <w:rFonts w:hint="eastAsia" w:ascii="宋体" w:hAnsi="宋体" w:eastAsia="宋体" w:cs="宋体"/>
                <w:kern w:val="0"/>
                <w:sz w:val="24"/>
              </w:rPr>
            </w:pPr>
            <w:r>
              <w:rPr>
                <w:rFonts w:hint="eastAsia" w:ascii="宋体" w:hAnsi="宋体" w:eastAsia="宋体" w:cs="宋体"/>
                <w:color w:val="000000"/>
                <w:kern w:val="0"/>
                <w:sz w:val="24"/>
              </w:rPr>
              <w:t>1分</w:t>
            </w:r>
          </w:p>
        </w:tc>
      </w:tr>
      <w:tr w14:paraId="70E8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701" w:type="dxa"/>
            <w:vAlign w:val="center"/>
          </w:tcPr>
          <w:p w14:paraId="7570DF48">
            <w:pPr>
              <w:tabs>
                <w:tab w:val="left" w:pos="0"/>
              </w:tabs>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194" w:type="dxa"/>
            <w:vAlign w:val="center"/>
          </w:tcPr>
          <w:p w14:paraId="72CC7445">
            <w:pPr>
              <w:tabs>
                <w:tab w:val="left" w:pos="0"/>
              </w:tabs>
              <w:jc w:val="center"/>
              <w:rPr>
                <w:rFonts w:hint="eastAsia" w:ascii="宋体" w:hAnsi="宋体" w:eastAsia="宋体" w:cs="宋体"/>
                <w:kern w:val="0"/>
                <w:sz w:val="24"/>
              </w:rPr>
            </w:pPr>
            <w:r>
              <w:rPr>
                <w:rStyle w:val="966"/>
                <w:rFonts w:hint="eastAsia" w:ascii="宋体" w:hAnsi="宋体"/>
                <w:color w:val="000000"/>
                <w:sz w:val="24"/>
                <w:lang w:val="en-US" w:eastAsia="zh-CN"/>
              </w:rPr>
              <w:t>车辆配置情况</w:t>
            </w:r>
          </w:p>
        </w:tc>
        <w:tc>
          <w:tcPr>
            <w:tcW w:w="7353" w:type="dxa"/>
            <w:vAlign w:val="center"/>
          </w:tcPr>
          <w:p w14:paraId="7E19F928">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根据投标人提供的售后服务保障车辆进行评分，</w:t>
            </w:r>
            <w:r>
              <w:rPr>
                <w:rFonts w:hint="eastAsia" w:ascii="宋体" w:hAnsi="宋体" w:cs="宋体"/>
                <w:color w:val="000000" w:themeColor="text1"/>
                <w:kern w:val="0"/>
                <w:sz w:val="24"/>
                <w:lang w:val="en-US" w:eastAsia="zh-CN"/>
                <w14:textFill>
                  <w14:solidFill>
                    <w14:schemeClr w14:val="tx1"/>
                  </w14:solidFill>
                </w14:textFill>
              </w:rPr>
              <w:t>每具有一辆保障车辆得1分，</w:t>
            </w:r>
            <w:r>
              <w:rPr>
                <w:rFonts w:hint="eastAsia" w:ascii="宋体" w:hAnsi="宋体" w:eastAsia="宋体" w:cs="宋体"/>
                <w:color w:val="000000" w:themeColor="text1"/>
                <w:kern w:val="0"/>
                <w:sz w:val="24"/>
                <w:lang w:val="en-US" w:eastAsia="zh-CN"/>
                <w14:textFill>
                  <w14:solidFill>
                    <w14:schemeClr w14:val="tx1"/>
                  </w14:solidFill>
                </w14:textFill>
              </w:rPr>
              <w:t>本项最高得</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lang w:val="en-US" w:eastAsia="zh-CN"/>
                <w14:textFill>
                  <w14:solidFill>
                    <w14:schemeClr w14:val="tx1"/>
                  </w14:solidFill>
                </w14:textFill>
              </w:rPr>
              <w:t>分。</w:t>
            </w:r>
          </w:p>
          <w:p w14:paraId="10C617A9">
            <w:pPr>
              <w:tabs>
                <w:tab w:val="left" w:pos="0"/>
              </w:tabs>
              <w:spacing w:line="360" w:lineRule="auto"/>
              <w:rPr>
                <w:rFonts w:hint="eastAsia" w:ascii="宋体" w:hAnsi="宋体" w:eastAsia="宋体" w:cs="宋体"/>
                <w:kern w:val="0"/>
                <w:sz w:val="24"/>
              </w:rPr>
            </w:pPr>
            <w:r>
              <w:rPr>
                <w:rFonts w:hint="eastAsia" w:ascii="宋体" w:hAnsi="宋体" w:cs="宋体"/>
                <w:b/>
                <w:bCs/>
                <w:color w:val="000000" w:themeColor="text1"/>
                <w:kern w:val="0"/>
                <w:sz w:val="24"/>
                <w:lang w:val="en-US" w:eastAsia="zh-CN"/>
                <w14:textFill>
                  <w14:solidFill>
                    <w14:schemeClr w14:val="tx1"/>
                  </w14:solidFill>
                </w14:textFill>
              </w:rPr>
              <w:t>【提供车辆实物照片及车辆机动车</w:t>
            </w:r>
            <w:r>
              <w:rPr>
                <w:rFonts w:hint="eastAsia" w:ascii="宋体" w:hAnsi="宋体" w:eastAsia="宋体" w:cs="宋体"/>
                <w:b/>
                <w:bCs/>
                <w:color w:val="000000" w:themeColor="text1"/>
                <w:kern w:val="0"/>
                <w:sz w:val="24"/>
                <w:lang w:val="en-US" w:eastAsia="zh-CN"/>
                <w14:textFill>
                  <w14:solidFill>
                    <w14:schemeClr w14:val="tx1"/>
                  </w14:solidFill>
                </w14:textFill>
              </w:rPr>
              <w:t>行驶证</w:t>
            </w:r>
            <w:r>
              <w:rPr>
                <w:rFonts w:hint="eastAsia" w:ascii="宋体" w:hAnsi="宋体" w:eastAsia="宋体" w:cs="宋体"/>
                <w:b/>
                <w:bCs/>
                <w:color w:val="000000"/>
                <w:kern w:val="0"/>
                <w:sz w:val="24"/>
              </w:rPr>
              <w:t>复印件并加盖公章，不提供不得分</w:t>
            </w:r>
            <w:r>
              <w:rPr>
                <w:rFonts w:hint="eastAsia" w:ascii="宋体" w:hAnsi="宋体" w:cs="宋体"/>
                <w:b/>
                <w:bCs/>
                <w:color w:val="000000" w:themeColor="text1"/>
                <w:kern w:val="0"/>
                <w:sz w:val="24"/>
                <w:lang w:val="en-US" w:eastAsia="zh-CN"/>
                <w14:textFill>
                  <w14:solidFill>
                    <w14:schemeClr w14:val="tx1"/>
                  </w14:solidFill>
                </w14:textFill>
              </w:rPr>
              <w:t>】</w:t>
            </w:r>
          </w:p>
        </w:tc>
        <w:tc>
          <w:tcPr>
            <w:tcW w:w="862" w:type="dxa"/>
            <w:vAlign w:val="center"/>
          </w:tcPr>
          <w:p w14:paraId="0DF930BC">
            <w:pPr>
              <w:tabs>
                <w:tab w:val="left" w:pos="0"/>
              </w:tabs>
              <w:jc w:val="center"/>
              <w:rPr>
                <w:rFonts w:hint="eastAsia" w:ascii="宋体" w:hAnsi="宋体" w:eastAsia="宋体" w:cs="宋体"/>
                <w:kern w:val="0"/>
                <w:sz w:val="24"/>
              </w:rPr>
            </w:pPr>
            <w:r>
              <w:rPr>
                <w:rFonts w:hint="eastAsia" w:ascii="宋体" w:hAnsi="宋体" w:cs="宋体"/>
                <w:kern w:val="0"/>
                <w:sz w:val="24"/>
                <w:lang w:val="en-US" w:eastAsia="zh-CN"/>
              </w:rPr>
              <w:t>5</w:t>
            </w:r>
            <w:r>
              <w:rPr>
                <w:rFonts w:hint="eastAsia" w:ascii="宋体" w:hAnsi="宋体" w:eastAsia="宋体" w:cs="宋体"/>
                <w:color w:val="000000" w:themeColor="text1"/>
                <w:kern w:val="0"/>
                <w:sz w:val="24"/>
                <w:lang w:val="en-US" w:eastAsia="zh-CN"/>
                <w14:textFill>
                  <w14:solidFill>
                    <w14:schemeClr w14:val="tx1"/>
                  </w14:solidFill>
                </w14:textFill>
              </w:rPr>
              <w:t>分</w:t>
            </w:r>
          </w:p>
        </w:tc>
      </w:tr>
      <w:tr w14:paraId="4AD0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1" w:type="dxa"/>
            <w:vMerge w:val="restart"/>
            <w:shd w:val="clear" w:color="auto" w:fill="auto"/>
            <w:vAlign w:val="center"/>
          </w:tcPr>
          <w:p w14:paraId="44247EDB">
            <w:pPr>
              <w:tabs>
                <w:tab w:val="left" w:pos="0"/>
              </w:tabs>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6</w:t>
            </w:r>
          </w:p>
        </w:tc>
        <w:tc>
          <w:tcPr>
            <w:tcW w:w="1194" w:type="dxa"/>
            <w:vMerge w:val="restart"/>
            <w:shd w:val="clear" w:color="auto" w:fill="auto"/>
            <w:vAlign w:val="center"/>
          </w:tcPr>
          <w:p w14:paraId="04E67730">
            <w:pPr>
              <w:tabs>
                <w:tab w:val="left" w:pos="0"/>
              </w:tabs>
              <w:spacing w:line="360" w:lineRule="auto"/>
              <w:jc w:val="center"/>
              <w:rPr>
                <w:rFonts w:hint="eastAsia" w:ascii="宋体" w:hAnsi="宋体" w:eastAsia="宋体" w:cs="Times New Roman"/>
                <w:color w:val="000000"/>
                <w:kern w:val="2"/>
                <w:sz w:val="24"/>
                <w:szCs w:val="24"/>
                <w:highlight w:val="none"/>
                <w:lang w:val="en-US" w:eastAsia="zh-CN" w:bidi="ar-SA"/>
              </w:rPr>
            </w:pPr>
            <w:r>
              <w:rPr>
                <w:rFonts w:hint="eastAsia" w:ascii="宋体" w:hAnsi="宋体" w:cs="宋体"/>
                <w:color w:val="000000"/>
                <w:sz w:val="24"/>
              </w:rPr>
              <w:t>理赔服务方案</w:t>
            </w:r>
          </w:p>
        </w:tc>
        <w:tc>
          <w:tcPr>
            <w:tcW w:w="7353" w:type="dxa"/>
            <w:shd w:val="clear" w:color="auto" w:fill="auto"/>
            <w:vAlign w:val="center"/>
          </w:tcPr>
          <w:p w14:paraId="1734FF9F">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baseline"/>
              <w:rPr>
                <w:rStyle w:val="966"/>
                <w:rFonts w:hint="eastAsia" w:ascii="宋体" w:hAnsi="宋体" w:eastAsia="宋体" w:cs="Times New Roman"/>
                <w:color w:val="000000"/>
                <w:sz w:val="24"/>
                <w:lang w:eastAsia="zh-CN"/>
              </w:rPr>
            </w:pPr>
            <w:r>
              <w:rPr>
                <w:rStyle w:val="966"/>
                <w:rFonts w:hint="eastAsia" w:ascii="宋体" w:hAnsi="宋体" w:eastAsia="宋体" w:cs="Times New Roman"/>
                <w:color w:val="000000"/>
                <w:sz w:val="24"/>
              </w:rPr>
              <w:t>根据投标人针对本项目需求提供的理赔时效进行综合评审</w:t>
            </w:r>
            <w:r>
              <w:rPr>
                <w:rStyle w:val="966"/>
                <w:rFonts w:hint="eastAsia" w:ascii="宋体" w:hAnsi="宋体" w:eastAsia="宋体" w:cs="Times New Roman"/>
                <w:color w:val="000000"/>
                <w:sz w:val="24"/>
                <w:lang w:eastAsia="zh-CN"/>
              </w:rPr>
              <w:t>：</w:t>
            </w:r>
          </w:p>
          <w:p w14:paraId="03D05510">
            <w:pPr>
              <w:spacing w:line="360" w:lineRule="auto"/>
              <w:jc w:val="left"/>
              <w:textAlignment w:val="baseline"/>
              <w:rPr>
                <w:rStyle w:val="966"/>
                <w:rFonts w:ascii="宋体" w:hAnsi="宋体" w:eastAsia="宋体" w:cs="Times New Roman"/>
                <w:color w:val="000000"/>
                <w:sz w:val="24"/>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①</w:t>
            </w:r>
            <w:r>
              <w:rPr>
                <w:rStyle w:val="966"/>
                <w:rFonts w:ascii="宋体" w:hAnsi="宋体" w:eastAsia="宋体" w:cs="Times New Roman"/>
                <w:color w:val="000000"/>
                <w:sz w:val="24"/>
              </w:rPr>
              <w:t>投标人在接案后能够立即回复并解决问题，反应速度非常快</w:t>
            </w:r>
            <w:r>
              <w:rPr>
                <w:rStyle w:val="966"/>
                <w:rFonts w:hint="eastAsia" w:ascii="宋体" w:hAnsi="宋体" w:eastAsia="宋体" w:cs="Times New Roman"/>
                <w:color w:val="000000"/>
                <w:sz w:val="24"/>
              </w:rPr>
              <w:t>，</w:t>
            </w:r>
            <w:r>
              <w:rPr>
                <w:rStyle w:val="966"/>
                <w:rFonts w:hint="eastAsia" w:ascii="宋体" w:hAnsi="宋体" w:eastAsia="宋体" w:cs="Times New Roman"/>
                <w:color w:val="000000"/>
                <w:sz w:val="24"/>
                <w:lang w:val="en-US" w:eastAsia="zh-CN"/>
              </w:rPr>
              <w:t>理赔</w:t>
            </w:r>
            <w:r>
              <w:rPr>
                <w:rStyle w:val="966"/>
                <w:rFonts w:ascii="宋体" w:hAnsi="宋体" w:eastAsia="宋体" w:cs="Times New Roman"/>
                <w:color w:val="000000"/>
                <w:sz w:val="24"/>
              </w:rPr>
              <w:t>高效、简便</w:t>
            </w:r>
            <w:r>
              <w:rPr>
                <w:rStyle w:val="966"/>
                <w:rFonts w:hint="eastAsia" w:ascii="宋体" w:hAnsi="宋体" w:eastAsia="宋体" w:cs="Times New Roman"/>
                <w:color w:val="000000"/>
                <w:sz w:val="24"/>
              </w:rPr>
              <w:t>的得</w:t>
            </w:r>
            <w:r>
              <w:rPr>
                <w:rStyle w:val="966"/>
                <w:rFonts w:hint="eastAsia" w:ascii="宋体" w:hAnsi="宋体" w:eastAsia="宋体" w:cs="Times New Roman"/>
                <w:color w:val="000000"/>
                <w:sz w:val="24"/>
                <w:lang w:val="en-US" w:eastAsia="zh-CN"/>
              </w:rPr>
              <w:t>6.1</w:t>
            </w:r>
            <w:r>
              <w:rPr>
                <w:rStyle w:val="966"/>
                <w:rFonts w:hint="eastAsia" w:ascii="宋体" w:hAnsi="宋体" w:eastAsia="宋体" w:cs="Times New Roman"/>
                <w:color w:val="000000"/>
                <w:sz w:val="24"/>
              </w:rPr>
              <w:t>-</w:t>
            </w:r>
            <w:r>
              <w:rPr>
                <w:rStyle w:val="966"/>
                <w:rFonts w:hint="eastAsia" w:ascii="宋体" w:hAnsi="宋体" w:eastAsia="宋体" w:cs="Times New Roman"/>
                <w:color w:val="000000"/>
                <w:sz w:val="24"/>
                <w:lang w:val="en-US" w:eastAsia="zh-CN"/>
              </w:rPr>
              <w:t>8</w:t>
            </w:r>
            <w:r>
              <w:rPr>
                <w:rStyle w:val="966"/>
                <w:rFonts w:hint="eastAsia" w:ascii="宋体" w:hAnsi="宋体" w:eastAsia="宋体" w:cs="Times New Roman"/>
                <w:color w:val="000000"/>
                <w:sz w:val="24"/>
              </w:rPr>
              <w:t>分；</w:t>
            </w:r>
          </w:p>
          <w:p w14:paraId="6DC5E474">
            <w:pPr>
              <w:spacing w:line="360" w:lineRule="auto"/>
              <w:jc w:val="left"/>
              <w:textAlignment w:val="baseline"/>
              <w:rPr>
                <w:rStyle w:val="966"/>
                <w:rFonts w:hint="eastAsia" w:ascii="宋体" w:hAnsi="宋体" w:eastAsia="宋体" w:cs="Times New Roman"/>
                <w:color w:val="000000"/>
                <w:sz w:val="24"/>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②</w:t>
            </w:r>
            <w:r>
              <w:rPr>
                <w:rStyle w:val="966"/>
                <w:rFonts w:ascii="宋体" w:hAnsi="宋体" w:eastAsia="宋体" w:cs="Times New Roman"/>
                <w:color w:val="000000"/>
                <w:sz w:val="24"/>
              </w:rPr>
              <w:t>投标人在接案后能够及时回复并解决问题，反应速度较快</w:t>
            </w:r>
            <w:r>
              <w:rPr>
                <w:rStyle w:val="966"/>
                <w:rFonts w:hint="eastAsia" w:ascii="宋体" w:hAnsi="宋体" w:eastAsia="宋体" w:cs="Times New Roman"/>
                <w:color w:val="000000"/>
                <w:sz w:val="24"/>
              </w:rPr>
              <w:t>，</w:t>
            </w:r>
            <w:r>
              <w:rPr>
                <w:rStyle w:val="966"/>
                <w:rFonts w:hint="eastAsia" w:ascii="宋体" w:hAnsi="宋体" w:eastAsia="宋体" w:cs="Times New Roman"/>
                <w:color w:val="000000"/>
                <w:sz w:val="24"/>
                <w:lang w:val="en-US" w:eastAsia="zh-CN"/>
              </w:rPr>
              <w:t>理赔</w:t>
            </w:r>
            <w:r>
              <w:rPr>
                <w:rStyle w:val="966"/>
                <w:rFonts w:ascii="宋体" w:hAnsi="宋体" w:eastAsia="宋体" w:cs="Times New Roman"/>
                <w:color w:val="000000"/>
                <w:sz w:val="24"/>
              </w:rPr>
              <w:t>基本简便、高</w:t>
            </w:r>
            <w:r>
              <w:rPr>
                <w:rStyle w:val="966"/>
                <w:rFonts w:hint="eastAsia" w:ascii="宋体" w:hAnsi="宋体" w:eastAsia="宋体" w:cs="Times New Roman"/>
                <w:color w:val="000000"/>
                <w:sz w:val="24"/>
              </w:rPr>
              <w:t>效、清晰的得</w:t>
            </w:r>
            <w:r>
              <w:rPr>
                <w:rStyle w:val="966"/>
                <w:rFonts w:hint="eastAsia" w:ascii="宋体" w:hAnsi="宋体" w:eastAsia="宋体" w:cs="Times New Roman"/>
                <w:color w:val="000000"/>
                <w:sz w:val="24"/>
                <w:lang w:val="en-US" w:eastAsia="zh-CN"/>
              </w:rPr>
              <w:t>2.1</w:t>
            </w:r>
            <w:r>
              <w:rPr>
                <w:rStyle w:val="966"/>
                <w:rFonts w:hint="eastAsia" w:ascii="宋体" w:hAnsi="宋体" w:eastAsia="宋体" w:cs="Times New Roman"/>
                <w:color w:val="000000"/>
                <w:sz w:val="24"/>
              </w:rPr>
              <w:t>-</w:t>
            </w:r>
            <w:r>
              <w:rPr>
                <w:rStyle w:val="966"/>
                <w:rFonts w:hint="eastAsia" w:ascii="宋体" w:hAnsi="宋体" w:eastAsia="宋体" w:cs="Times New Roman"/>
                <w:color w:val="000000"/>
                <w:sz w:val="24"/>
                <w:lang w:val="en-US" w:eastAsia="zh-CN"/>
              </w:rPr>
              <w:t>6</w:t>
            </w:r>
            <w:r>
              <w:rPr>
                <w:rStyle w:val="966"/>
                <w:rFonts w:hint="eastAsia" w:ascii="宋体" w:hAnsi="宋体" w:eastAsia="宋体" w:cs="Times New Roman"/>
                <w:color w:val="000000"/>
                <w:sz w:val="24"/>
              </w:rPr>
              <w:t>分；</w:t>
            </w:r>
          </w:p>
          <w:p w14:paraId="365FF060">
            <w:pPr>
              <w:spacing w:line="360" w:lineRule="auto"/>
              <w:jc w:val="left"/>
              <w:textAlignment w:val="baseline"/>
              <w:rPr>
                <w:rStyle w:val="966"/>
                <w:rFonts w:hint="eastAsia" w:ascii="宋体" w:hAnsi="宋体" w:eastAsia="宋体" w:cs="Times New Roman"/>
                <w:color w:val="000000"/>
                <w:sz w:val="24"/>
                <w:lang w:val="en-US" w:eastAsia="zh-CN"/>
              </w:rPr>
            </w:pPr>
            <w:r>
              <w:rPr>
                <w:rStyle w:val="966"/>
                <w:rFonts w:hint="eastAsia" w:ascii="宋体" w:hAnsi="宋体" w:eastAsia="宋体" w:cs="Times New Roman"/>
                <w:color w:val="000000"/>
                <w:sz w:val="24"/>
                <w:lang w:val="en-US" w:eastAsia="zh-CN"/>
              </w:rPr>
              <w:t>③</w:t>
            </w:r>
            <w:r>
              <w:rPr>
                <w:rStyle w:val="966"/>
                <w:rFonts w:hint="eastAsia" w:ascii="宋体" w:hAnsi="宋体" w:eastAsia="宋体" w:cs="Times New Roman"/>
                <w:color w:val="000000"/>
                <w:sz w:val="24"/>
              </w:rPr>
              <w:t>投标人在接案后回复较慢，需要较长时间才能解决问题，</w:t>
            </w:r>
            <w:r>
              <w:rPr>
                <w:rStyle w:val="966"/>
                <w:rFonts w:hint="eastAsia" w:ascii="宋体" w:hAnsi="宋体" w:eastAsia="宋体" w:cs="Times New Roman"/>
                <w:color w:val="000000"/>
                <w:sz w:val="24"/>
                <w:lang w:val="en-US" w:eastAsia="zh-CN"/>
              </w:rPr>
              <w:t>理赔</w:t>
            </w:r>
            <w:r>
              <w:rPr>
                <w:rStyle w:val="966"/>
                <w:rFonts w:hint="eastAsia" w:ascii="宋体" w:hAnsi="宋体" w:eastAsia="宋体" w:cs="Times New Roman"/>
                <w:color w:val="000000"/>
                <w:sz w:val="24"/>
              </w:rPr>
              <w:t>不够高效、简便</w:t>
            </w:r>
            <w:r>
              <w:rPr>
                <w:rStyle w:val="966"/>
                <w:rFonts w:hint="eastAsia" w:ascii="宋体" w:hAnsi="宋体" w:eastAsia="宋体" w:cs="Times New Roman"/>
                <w:color w:val="000000"/>
                <w:sz w:val="24"/>
                <w:lang w:val="en-US"/>
              </w:rPr>
              <w:t>的得</w:t>
            </w:r>
            <w:r>
              <w:rPr>
                <w:rStyle w:val="966"/>
                <w:rFonts w:hint="eastAsia" w:ascii="宋体" w:hAnsi="宋体" w:eastAsia="宋体" w:cs="Times New Roman"/>
                <w:color w:val="000000"/>
                <w:sz w:val="24"/>
                <w:lang w:val="en-US" w:eastAsia="zh-CN"/>
              </w:rPr>
              <w:t>0-2</w:t>
            </w:r>
            <w:r>
              <w:rPr>
                <w:rStyle w:val="966"/>
                <w:rFonts w:hint="eastAsia" w:ascii="宋体" w:hAnsi="宋体" w:eastAsia="宋体" w:cs="Times New Roman"/>
                <w:color w:val="000000"/>
                <w:sz w:val="24"/>
                <w:lang w:val="en-US"/>
              </w:rPr>
              <w:t>分</w:t>
            </w:r>
            <w:r>
              <w:rPr>
                <w:rStyle w:val="966"/>
                <w:rFonts w:hint="eastAsia" w:ascii="宋体" w:hAnsi="宋体" w:eastAsia="宋体" w:cs="Times New Roman"/>
                <w:color w:val="000000"/>
                <w:sz w:val="24"/>
                <w:lang w:val="en-US" w:eastAsia="zh-CN"/>
              </w:rPr>
              <w:t>。</w:t>
            </w:r>
          </w:p>
          <w:p w14:paraId="7012EFDB">
            <w:pPr>
              <w:spacing w:line="360" w:lineRule="auto"/>
              <w:jc w:val="left"/>
              <w:textAlignment w:val="baseline"/>
              <w:rPr>
                <w:rStyle w:val="966"/>
                <w:rFonts w:hint="eastAsia" w:ascii="宋体" w:hAnsi="宋体" w:eastAsia="宋体" w:cs="Times New Roman"/>
                <w:color w:val="000000"/>
                <w:sz w:val="24"/>
                <w:lang w:val="en-US" w:eastAsia="zh-CN"/>
              </w:rPr>
            </w:pPr>
            <w:r>
              <w:rPr>
                <w:rStyle w:val="966"/>
                <w:rFonts w:hint="eastAsia" w:ascii="宋体" w:hAnsi="宋体" w:eastAsia="宋体" w:cs="Times New Roman"/>
                <w:color w:val="000000"/>
                <w:sz w:val="24"/>
                <w:lang w:val="en-US" w:eastAsia="zh-CN"/>
              </w:rPr>
              <w:t>④未提供本项内容的，不得分。</w:t>
            </w:r>
          </w:p>
        </w:tc>
        <w:tc>
          <w:tcPr>
            <w:tcW w:w="862" w:type="dxa"/>
            <w:shd w:val="clear" w:color="auto" w:fill="auto"/>
            <w:vAlign w:val="center"/>
          </w:tcPr>
          <w:p w14:paraId="5DBFF6C2">
            <w:pPr>
              <w:tabs>
                <w:tab w:val="left" w:pos="0"/>
              </w:tabs>
              <w:spacing w:line="360" w:lineRule="auto"/>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8分</w:t>
            </w:r>
          </w:p>
        </w:tc>
      </w:tr>
      <w:tr w14:paraId="12C5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1" w:type="dxa"/>
            <w:vMerge w:val="continue"/>
            <w:shd w:val="clear" w:color="auto" w:fill="auto"/>
            <w:vAlign w:val="center"/>
          </w:tcPr>
          <w:p w14:paraId="238C4340">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pPr>
          </w:p>
        </w:tc>
        <w:tc>
          <w:tcPr>
            <w:tcW w:w="1194" w:type="dxa"/>
            <w:vMerge w:val="continue"/>
            <w:shd w:val="clear" w:color="auto" w:fill="auto"/>
            <w:vAlign w:val="center"/>
          </w:tcPr>
          <w:p w14:paraId="7232DDDD">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pPr>
          </w:p>
        </w:tc>
        <w:tc>
          <w:tcPr>
            <w:tcW w:w="7353" w:type="dxa"/>
            <w:shd w:val="clear" w:color="auto" w:fill="auto"/>
            <w:vAlign w:val="center"/>
          </w:tcPr>
          <w:p w14:paraId="3D4FD9CB">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baseline"/>
              <w:rPr>
                <w:rStyle w:val="966"/>
                <w:rFonts w:hint="eastAsia" w:ascii="宋体" w:hAnsi="宋体" w:eastAsia="宋体" w:cs="Times New Roman"/>
                <w:color w:val="000000"/>
                <w:sz w:val="24"/>
                <w:lang w:eastAsia="zh-CN"/>
              </w:rPr>
            </w:pPr>
            <w:r>
              <w:rPr>
                <w:rStyle w:val="966"/>
                <w:rFonts w:hint="eastAsia" w:ascii="宋体" w:hAnsi="宋体" w:eastAsia="宋体" w:cs="Times New Roman"/>
                <w:color w:val="000000"/>
                <w:sz w:val="24"/>
              </w:rPr>
              <w:t>根据投标人针对本项目需求提供的报案流程进行综合评审</w:t>
            </w:r>
            <w:r>
              <w:rPr>
                <w:rStyle w:val="966"/>
                <w:rFonts w:hint="eastAsia" w:ascii="宋体" w:hAnsi="宋体" w:eastAsia="宋体" w:cs="Times New Roman"/>
                <w:color w:val="000000"/>
                <w:sz w:val="24"/>
                <w:lang w:eastAsia="zh-CN"/>
              </w:rPr>
              <w:t>：</w:t>
            </w:r>
          </w:p>
          <w:p w14:paraId="49C2492A">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kern w:val="0"/>
                <w:sz w:val="24"/>
                <w14:textFill>
                  <w14:solidFill>
                    <w14:schemeClr w14:val="tx1"/>
                  </w14:solidFill>
                </w14:textFill>
              </w:rPr>
              <w:t>方案内容全面、合理、条理清晰，涵盖本次</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保险服务</w:t>
            </w:r>
            <w:r>
              <w:rPr>
                <w:rFonts w:hint="eastAsia" w:asciiTheme="minorEastAsia" w:hAnsiTheme="minorEastAsia" w:eastAsiaTheme="minorEastAsia" w:cstheme="minorEastAsia"/>
                <w:color w:val="000000" w:themeColor="text1"/>
                <w:kern w:val="0"/>
                <w:sz w:val="24"/>
                <w14:textFill>
                  <w14:solidFill>
                    <w14:schemeClr w14:val="tx1"/>
                  </w14:solidFill>
                </w14:textFill>
              </w:rPr>
              <w:t>有关内容，且具有针对性</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的得6.1-8分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54E5D278">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4"/>
                <w14:textFill>
                  <w14:solidFill>
                    <w14:schemeClr w14:val="tx1"/>
                  </w14:solidFill>
                </w14:textFill>
              </w:rPr>
              <w:t>方案较完整、较有针对性、可操作性较强的得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2.1-6</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68E8EEF5">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kern w:val="0"/>
                <w:sz w:val="24"/>
                <w14:textFill>
                  <w14:solidFill>
                    <w14:schemeClr w14:val="tx1"/>
                  </w14:solidFill>
                </w14:textFill>
              </w:rPr>
              <w:t>方案完整性、针对性、可操作性一般的得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3EBEDD08">
            <w:pPr>
              <w:spacing w:line="360" w:lineRule="auto"/>
              <w:jc w:val="left"/>
              <w:textAlignment w:val="baseline"/>
              <w:rPr>
                <w:rStyle w:val="966"/>
                <w:rFonts w:hint="eastAsia" w:ascii="宋体" w:hAnsi="宋体" w:eastAsia="宋体" w:cs="Times New Roman"/>
                <w:color w:val="000000"/>
                <w:sz w:val="24"/>
                <w:lang w:val="en-US" w:eastAsia="zh-CN"/>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④未提供本项内容的，不得分。</w:t>
            </w:r>
          </w:p>
        </w:tc>
        <w:tc>
          <w:tcPr>
            <w:tcW w:w="862" w:type="dxa"/>
            <w:shd w:val="clear" w:color="auto" w:fill="auto"/>
            <w:vAlign w:val="center"/>
          </w:tcPr>
          <w:p w14:paraId="10087CD7">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cs="宋体"/>
                <w:kern w:val="0"/>
                <w:sz w:val="24"/>
                <w:szCs w:val="24"/>
                <w:highlight w:val="none"/>
                <w:lang w:val="en-US" w:eastAsia="zh-CN" w:bidi="ar-SA"/>
              </w:rPr>
              <w:t>8分</w:t>
            </w:r>
          </w:p>
        </w:tc>
      </w:tr>
      <w:tr w14:paraId="0936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1" w:type="dxa"/>
            <w:vMerge w:val="continue"/>
            <w:shd w:val="clear" w:color="auto" w:fill="auto"/>
            <w:vAlign w:val="center"/>
          </w:tcPr>
          <w:p w14:paraId="5FBA41E9">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rPr>
                <w:rFonts w:hint="eastAsia" w:ascii="宋体" w:hAnsi="宋体" w:eastAsia="宋体" w:cs="Times New Roman"/>
                <w:color w:val="000000"/>
                <w:kern w:val="2"/>
                <w:sz w:val="24"/>
                <w:szCs w:val="24"/>
                <w:highlight w:val="none"/>
                <w:lang w:val="en-US" w:eastAsia="zh-CN" w:bidi="ar-SA"/>
              </w:rPr>
            </w:pPr>
          </w:p>
        </w:tc>
        <w:tc>
          <w:tcPr>
            <w:tcW w:w="1194" w:type="dxa"/>
            <w:vMerge w:val="continue"/>
            <w:shd w:val="clear" w:color="auto" w:fill="auto"/>
            <w:vAlign w:val="center"/>
          </w:tcPr>
          <w:p w14:paraId="0836CD3C">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rPr>
                <w:rFonts w:hint="eastAsia" w:ascii="宋体" w:hAnsi="宋体" w:eastAsia="宋体" w:cs="Times New Roman"/>
                <w:color w:val="000000"/>
                <w:kern w:val="2"/>
                <w:sz w:val="24"/>
                <w:szCs w:val="24"/>
                <w:highlight w:val="none"/>
                <w:lang w:val="en-US" w:eastAsia="zh-CN" w:bidi="ar-SA"/>
              </w:rPr>
            </w:pPr>
          </w:p>
        </w:tc>
        <w:tc>
          <w:tcPr>
            <w:tcW w:w="7353" w:type="dxa"/>
            <w:shd w:val="clear" w:color="auto" w:fill="auto"/>
            <w:vAlign w:val="center"/>
          </w:tcPr>
          <w:p w14:paraId="3787B492">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baseline"/>
              <w:rPr>
                <w:rStyle w:val="966"/>
                <w:rFonts w:hint="eastAsia" w:ascii="宋体" w:hAnsi="宋体" w:eastAsia="宋体" w:cs="Times New Roman"/>
                <w:color w:val="000000"/>
                <w:sz w:val="24"/>
                <w:lang w:eastAsia="zh-CN"/>
              </w:rPr>
            </w:pPr>
            <w:r>
              <w:rPr>
                <w:rStyle w:val="966"/>
                <w:rFonts w:hint="eastAsia" w:ascii="宋体" w:hAnsi="宋体" w:eastAsia="宋体" w:cs="Times New Roman"/>
                <w:color w:val="000000"/>
                <w:sz w:val="24"/>
              </w:rPr>
              <w:t>根据投标人针对本项目需求提供的理赔程序进行综合评审</w:t>
            </w:r>
            <w:r>
              <w:rPr>
                <w:rStyle w:val="966"/>
                <w:rFonts w:hint="eastAsia" w:ascii="宋体" w:hAnsi="宋体" w:eastAsia="宋体" w:cs="Times New Roman"/>
                <w:color w:val="000000"/>
                <w:sz w:val="24"/>
                <w:lang w:eastAsia="zh-CN"/>
              </w:rPr>
              <w:t>：</w:t>
            </w:r>
          </w:p>
          <w:p w14:paraId="35B654E2">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kern w:val="0"/>
                <w:sz w:val="24"/>
                <w14:textFill>
                  <w14:solidFill>
                    <w14:schemeClr w14:val="tx1"/>
                  </w14:solidFill>
                </w14:textFill>
              </w:rPr>
              <w:t>方案内容全面、合理、条理清晰，涵盖本次</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保险服务</w:t>
            </w:r>
            <w:r>
              <w:rPr>
                <w:rFonts w:hint="eastAsia" w:asciiTheme="minorEastAsia" w:hAnsiTheme="minorEastAsia" w:eastAsiaTheme="minorEastAsia" w:cstheme="minorEastAsia"/>
                <w:color w:val="000000" w:themeColor="text1"/>
                <w:kern w:val="0"/>
                <w:sz w:val="24"/>
                <w14:textFill>
                  <w14:solidFill>
                    <w14:schemeClr w14:val="tx1"/>
                  </w14:solidFill>
                </w14:textFill>
              </w:rPr>
              <w:t>有关内容，且具有针对性</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的得6.1-8分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7FD39B68">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4"/>
                <w14:textFill>
                  <w14:solidFill>
                    <w14:schemeClr w14:val="tx1"/>
                  </w14:solidFill>
                </w14:textFill>
              </w:rPr>
              <w:t>方案较完整、较有针对性、可操作性较强的得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2.1-6</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159FE3C8">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kern w:val="0"/>
                <w:sz w:val="24"/>
                <w14:textFill>
                  <w14:solidFill>
                    <w14:schemeClr w14:val="tx1"/>
                  </w14:solidFill>
                </w14:textFill>
              </w:rPr>
              <w:t>方案完整性、针对性、可操作性一般的得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5A23667C">
            <w:pPr>
              <w:spacing w:line="360" w:lineRule="auto"/>
              <w:jc w:val="left"/>
              <w:textAlignment w:val="baseline"/>
              <w:rPr>
                <w:rStyle w:val="966"/>
                <w:rFonts w:hint="eastAsia" w:ascii="宋体" w:hAnsi="宋体" w:eastAsia="宋体" w:cs="Times New Roman"/>
                <w:color w:val="000000"/>
                <w:sz w:val="24"/>
                <w:lang w:val="en-US" w:eastAsia="zh-CN"/>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④未提供本项内容的，不得分。</w:t>
            </w:r>
          </w:p>
        </w:tc>
        <w:tc>
          <w:tcPr>
            <w:tcW w:w="862" w:type="dxa"/>
            <w:shd w:val="clear" w:color="auto" w:fill="auto"/>
            <w:vAlign w:val="center"/>
          </w:tcPr>
          <w:p w14:paraId="7C2C081B">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jc w:val="center"/>
              <w:textAlignment w:val="auto"/>
              <w:rPr>
                <w:rFonts w:hint="default" w:ascii="宋体" w:hAnsi="宋体" w:eastAsia="宋体" w:cs="Times New Roman"/>
                <w:color w:val="000000"/>
                <w:kern w:val="2"/>
                <w:sz w:val="24"/>
                <w:szCs w:val="24"/>
                <w:highlight w:val="none"/>
                <w:lang w:val="en-US" w:eastAsia="zh-CN" w:bidi="ar-SA"/>
              </w:rPr>
            </w:pPr>
            <w:r>
              <w:rPr>
                <w:rFonts w:hint="eastAsia" w:ascii="宋体" w:hAnsi="宋体" w:cs="宋体"/>
                <w:kern w:val="0"/>
                <w:sz w:val="24"/>
                <w:szCs w:val="24"/>
                <w:highlight w:val="none"/>
                <w:lang w:val="en-US" w:eastAsia="zh-CN" w:bidi="ar-SA"/>
              </w:rPr>
              <w:t>8分</w:t>
            </w:r>
          </w:p>
        </w:tc>
      </w:tr>
      <w:tr w14:paraId="0A99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701" w:type="dxa"/>
            <w:vAlign w:val="center"/>
          </w:tcPr>
          <w:p w14:paraId="21B80D1D">
            <w:pPr>
              <w:tabs>
                <w:tab w:val="left" w:pos="0"/>
              </w:tabs>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7</w:t>
            </w:r>
          </w:p>
        </w:tc>
        <w:tc>
          <w:tcPr>
            <w:tcW w:w="1194" w:type="dxa"/>
            <w:vAlign w:val="center"/>
          </w:tcPr>
          <w:p w14:paraId="621BE1B9">
            <w:pPr>
              <w:tabs>
                <w:tab w:val="left" w:pos="0"/>
              </w:tabs>
              <w:jc w:val="center"/>
              <w:rPr>
                <w:rStyle w:val="966"/>
                <w:rFonts w:hint="eastAsia" w:ascii="宋体" w:hAnsi="宋体" w:cs="Times New Roman"/>
                <w:color w:val="000000"/>
                <w:sz w:val="24"/>
                <w:lang w:val="en-US" w:eastAsia="zh-CN"/>
              </w:rPr>
            </w:pPr>
            <w:r>
              <w:rPr>
                <w:rFonts w:hint="eastAsia" w:ascii="宋体" w:hAnsi="宋体" w:eastAsia="宋体" w:cs="宋体"/>
                <w:kern w:val="0"/>
                <w:sz w:val="24"/>
              </w:rPr>
              <w:t>服务团队</w:t>
            </w:r>
          </w:p>
        </w:tc>
        <w:tc>
          <w:tcPr>
            <w:tcW w:w="7353" w:type="dxa"/>
            <w:vAlign w:val="center"/>
          </w:tcPr>
          <w:p w14:paraId="0D6BCA49">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根据投标人提供的</w:t>
            </w:r>
            <w:r>
              <w:rPr>
                <w:rFonts w:hint="eastAsia" w:ascii="宋体" w:hAnsi="宋体" w:cs="宋体"/>
                <w:color w:val="000000" w:themeColor="text1"/>
                <w:kern w:val="0"/>
                <w:sz w:val="24"/>
                <w:highlight w:val="none"/>
                <w:lang w:val="en-US" w:eastAsia="zh-CN"/>
                <w14:textFill>
                  <w14:solidFill>
                    <w14:schemeClr w14:val="tx1"/>
                  </w14:solidFill>
                </w14:textFill>
              </w:rPr>
              <w:t>服务</w:t>
            </w:r>
            <w:r>
              <w:rPr>
                <w:rFonts w:hint="eastAsia" w:ascii="宋体" w:hAnsi="宋体" w:eastAsia="宋体" w:cs="宋体"/>
                <w:color w:val="000000" w:themeColor="text1"/>
                <w:kern w:val="0"/>
                <w:sz w:val="24"/>
                <w:highlight w:val="none"/>
                <w:lang w:val="en-US" w:eastAsia="zh-CN"/>
                <w14:textFill>
                  <w14:solidFill>
                    <w14:schemeClr w14:val="tx1"/>
                  </w14:solidFill>
                </w14:textFill>
              </w:rPr>
              <w:t>团队人员配置、专业素质、服务经验等方面</w:t>
            </w:r>
            <w:r>
              <w:rPr>
                <w:rStyle w:val="966"/>
                <w:rFonts w:hint="eastAsia" w:ascii="宋体" w:hAnsi="宋体" w:eastAsia="宋体" w:cs="Times New Roman"/>
                <w:color w:val="000000"/>
                <w:sz w:val="24"/>
              </w:rPr>
              <w:t>进行综合评审</w:t>
            </w:r>
            <w:r>
              <w:rPr>
                <w:rStyle w:val="966"/>
                <w:rFonts w:hint="eastAsia" w:ascii="宋体" w:hAnsi="宋体" w:eastAsia="宋体" w:cs="Times New Roman"/>
                <w:color w:val="000000"/>
                <w:sz w:val="24"/>
                <w:lang w:eastAsia="zh-CN"/>
              </w:rPr>
              <w:t>：</w:t>
            </w:r>
          </w:p>
          <w:p w14:paraId="0E086CF3">
            <w:pPr>
              <w:tabs>
                <w:tab w:val="left" w:pos="0"/>
              </w:tabs>
              <w:spacing w:line="360" w:lineRule="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配置充分、人员</w:t>
            </w:r>
            <w:r>
              <w:rPr>
                <w:rFonts w:hint="eastAsia" w:ascii="宋体" w:hAnsi="宋体" w:cs="宋体"/>
                <w:color w:val="000000" w:themeColor="text1"/>
                <w:kern w:val="0"/>
                <w:sz w:val="24"/>
                <w:highlight w:val="none"/>
                <w:lang w:val="en-US" w:eastAsia="zh-CN"/>
                <w14:textFill>
                  <w14:solidFill>
                    <w14:schemeClr w14:val="tx1"/>
                  </w14:solidFill>
                </w14:textFill>
              </w:rPr>
              <w:t>服务经验</w:t>
            </w:r>
            <w:r>
              <w:rPr>
                <w:rFonts w:hint="eastAsia" w:ascii="宋体" w:hAnsi="宋体" w:eastAsia="宋体" w:cs="宋体"/>
                <w:color w:val="000000" w:themeColor="text1"/>
                <w:kern w:val="0"/>
                <w:sz w:val="24"/>
                <w:highlight w:val="none"/>
                <w:lang w:val="en-US" w:eastAsia="zh-CN"/>
                <w14:textFill>
                  <w14:solidFill>
                    <w14:schemeClr w14:val="tx1"/>
                  </w14:solidFill>
                </w14:textFill>
              </w:rPr>
              <w:t>与项目要求相匹配的得</w:t>
            </w:r>
            <w:r>
              <w:rPr>
                <w:rFonts w:hint="eastAsia" w:ascii="宋体" w:hAnsi="宋体" w:cs="宋体"/>
                <w:color w:val="000000" w:themeColor="text1"/>
                <w:kern w:val="0"/>
                <w:sz w:val="24"/>
                <w:highlight w:val="none"/>
                <w:lang w:val="en-US" w:eastAsia="zh-CN"/>
                <w14:textFill>
                  <w14:solidFill>
                    <w14:schemeClr w14:val="tx1"/>
                  </w14:solidFill>
                </w14:textFill>
              </w:rPr>
              <w:t>6.1</w:t>
            </w:r>
            <w:r>
              <w:rPr>
                <w:rFonts w:hint="eastAsia" w:ascii="宋体" w:hAnsi="宋体" w:eastAsia="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highlight w:val="none"/>
                <w:lang w:val="en-US" w:eastAsia="zh-CN"/>
                <w14:textFill>
                  <w14:solidFill>
                    <w14:schemeClr w14:val="tx1"/>
                  </w14:solidFill>
                </w14:textFill>
              </w:rPr>
              <w:t>分；</w:t>
            </w:r>
          </w:p>
          <w:p w14:paraId="5E2FADCF">
            <w:pPr>
              <w:tabs>
                <w:tab w:val="left" w:pos="0"/>
              </w:tabs>
              <w:spacing w:line="360" w:lineRule="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配置</w:t>
            </w:r>
            <w:r>
              <w:rPr>
                <w:rFonts w:hint="eastAsia" w:ascii="宋体" w:hAnsi="宋体" w:cs="宋体"/>
                <w:color w:val="000000" w:themeColor="text1"/>
                <w:kern w:val="0"/>
                <w:sz w:val="24"/>
                <w:highlight w:val="none"/>
                <w:lang w:val="en-US" w:eastAsia="zh-CN"/>
                <w14:textFill>
                  <w14:solidFill>
                    <w14:schemeClr w14:val="tx1"/>
                  </w14:solidFill>
                </w14:textFill>
              </w:rPr>
              <w:t>较</w:t>
            </w:r>
            <w:r>
              <w:rPr>
                <w:rFonts w:hint="eastAsia" w:ascii="宋体" w:hAnsi="宋体" w:eastAsia="宋体" w:cs="宋体"/>
                <w:color w:val="000000" w:themeColor="text1"/>
                <w:kern w:val="0"/>
                <w:sz w:val="24"/>
                <w:highlight w:val="none"/>
                <w:lang w:val="en-US" w:eastAsia="zh-CN"/>
                <w14:textFill>
                  <w14:solidFill>
                    <w14:schemeClr w14:val="tx1"/>
                  </w14:solidFill>
                </w14:textFill>
              </w:rPr>
              <w:t>充分、人员</w:t>
            </w:r>
            <w:r>
              <w:rPr>
                <w:rFonts w:hint="eastAsia" w:ascii="宋体" w:hAnsi="宋体" w:cs="宋体"/>
                <w:color w:val="000000" w:themeColor="text1"/>
                <w:kern w:val="0"/>
                <w:sz w:val="24"/>
                <w:highlight w:val="none"/>
                <w:lang w:val="en-US" w:eastAsia="zh-CN"/>
                <w14:textFill>
                  <w14:solidFill>
                    <w14:schemeClr w14:val="tx1"/>
                  </w14:solidFill>
                </w14:textFill>
              </w:rPr>
              <w:t>服务经验</w:t>
            </w:r>
            <w:r>
              <w:rPr>
                <w:rFonts w:hint="eastAsia" w:ascii="宋体" w:hAnsi="宋体" w:eastAsia="宋体" w:cs="宋体"/>
                <w:color w:val="000000" w:themeColor="text1"/>
                <w:kern w:val="0"/>
                <w:sz w:val="24"/>
                <w:highlight w:val="none"/>
                <w:lang w:val="en-US" w:eastAsia="zh-CN"/>
                <w14:textFill>
                  <w14:solidFill>
                    <w14:schemeClr w14:val="tx1"/>
                  </w14:solidFill>
                </w14:textFill>
              </w:rPr>
              <w:t>与项目要求</w:t>
            </w:r>
            <w:r>
              <w:rPr>
                <w:rFonts w:hint="eastAsia" w:ascii="宋体" w:hAnsi="宋体" w:cs="宋体"/>
                <w:color w:val="000000" w:themeColor="text1"/>
                <w:kern w:val="0"/>
                <w:sz w:val="24"/>
                <w:highlight w:val="none"/>
                <w:lang w:val="en-US" w:eastAsia="zh-CN"/>
                <w14:textFill>
                  <w14:solidFill>
                    <w14:schemeClr w14:val="tx1"/>
                  </w14:solidFill>
                </w14:textFill>
              </w:rPr>
              <w:t>较</w:t>
            </w:r>
            <w:r>
              <w:rPr>
                <w:rFonts w:hint="eastAsia" w:ascii="宋体" w:hAnsi="宋体" w:eastAsia="宋体" w:cs="宋体"/>
                <w:color w:val="000000" w:themeColor="text1"/>
                <w:kern w:val="0"/>
                <w:sz w:val="24"/>
                <w:highlight w:val="none"/>
                <w:lang w:val="en-US" w:eastAsia="zh-CN"/>
                <w14:textFill>
                  <w14:solidFill>
                    <w14:schemeClr w14:val="tx1"/>
                  </w14:solidFill>
                </w14:textFill>
              </w:rPr>
              <w:t>匹配的得</w:t>
            </w:r>
            <w:r>
              <w:rPr>
                <w:rStyle w:val="966"/>
                <w:rFonts w:hint="eastAsia" w:ascii="宋体" w:hAnsi="宋体" w:eastAsia="宋体" w:cs="Times New Roman"/>
                <w:color w:val="000000"/>
                <w:sz w:val="24"/>
                <w:lang w:val="en-US" w:eastAsia="zh-CN"/>
              </w:rPr>
              <w:t>2.1</w:t>
            </w:r>
            <w:r>
              <w:rPr>
                <w:rStyle w:val="966"/>
                <w:rFonts w:hint="eastAsia" w:ascii="宋体" w:hAnsi="宋体" w:eastAsia="宋体" w:cs="Times New Roman"/>
                <w:color w:val="000000"/>
                <w:sz w:val="24"/>
              </w:rPr>
              <w:t>-</w:t>
            </w:r>
            <w:r>
              <w:rPr>
                <w:rStyle w:val="966"/>
                <w:rFonts w:hint="eastAsia" w:ascii="宋体" w:hAnsi="宋体" w:eastAsia="宋体" w:cs="Times New Roman"/>
                <w:color w:val="000000"/>
                <w:sz w:val="24"/>
                <w:lang w:val="en-US" w:eastAsia="zh-CN"/>
              </w:rPr>
              <w:t>6</w:t>
            </w:r>
            <w:r>
              <w:rPr>
                <w:rFonts w:hint="eastAsia" w:ascii="宋体" w:hAnsi="宋体" w:eastAsia="宋体" w:cs="宋体"/>
                <w:color w:val="000000" w:themeColor="text1"/>
                <w:kern w:val="0"/>
                <w:sz w:val="24"/>
                <w:highlight w:val="none"/>
                <w:lang w:val="en-US" w:eastAsia="zh-CN"/>
                <w14:textFill>
                  <w14:solidFill>
                    <w14:schemeClr w14:val="tx1"/>
                  </w14:solidFill>
                </w14:textFill>
              </w:rPr>
              <w:t>分；</w:t>
            </w:r>
          </w:p>
          <w:p w14:paraId="6F1FF5DC">
            <w:pPr>
              <w:tabs>
                <w:tab w:val="left" w:pos="0"/>
              </w:tabs>
              <w:spacing w:line="360" w:lineRule="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配置</w:t>
            </w:r>
            <w:r>
              <w:rPr>
                <w:rFonts w:hint="eastAsia" w:ascii="宋体" w:hAnsi="宋体" w:cs="宋体"/>
                <w:color w:val="000000" w:themeColor="text1"/>
                <w:kern w:val="0"/>
                <w:sz w:val="24"/>
                <w:highlight w:val="none"/>
                <w:lang w:val="en-US" w:eastAsia="zh-CN"/>
                <w14:textFill>
                  <w14:solidFill>
                    <w14:schemeClr w14:val="tx1"/>
                  </w14:solidFill>
                </w14:textFill>
              </w:rPr>
              <w:t>较</w:t>
            </w:r>
            <w:r>
              <w:rPr>
                <w:rFonts w:hint="eastAsia" w:ascii="宋体" w:hAnsi="宋体" w:eastAsia="宋体" w:cs="宋体"/>
                <w:color w:val="000000" w:themeColor="text1"/>
                <w:kern w:val="0"/>
                <w:sz w:val="24"/>
                <w:highlight w:val="none"/>
                <w:lang w:val="en-US" w:eastAsia="zh-CN"/>
                <w14:textFill>
                  <w14:solidFill>
                    <w14:schemeClr w14:val="tx1"/>
                  </w14:solidFill>
                </w14:textFill>
              </w:rPr>
              <w:t>充分、专业</w:t>
            </w:r>
            <w:r>
              <w:rPr>
                <w:rFonts w:hint="eastAsia" w:ascii="宋体" w:hAnsi="宋体" w:cs="宋体"/>
                <w:color w:val="000000" w:themeColor="text1"/>
                <w:kern w:val="0"/>
                <w:sz w:val="24"/>
                <w:highlight w:val="none"/>
                <w:lang w:val="en-US" w:eastAsia="zh-CN"/>
                <w14:textFill>
                  <w14:solidFill>
                    <w14:schemeClr w14:val="tx1"/>
                  </w14:solidFill>
                </w14:textFill>
              </w:rPr>
              <w:t>服务人员等配备一般</w:t>
            </w:r>
            <w:r>
              <w:rPr>
                <w:rFonts w:hint="eastAsia" w:ascii="宋体" w:hAnsi="宋体" w:eastAsia="宋体" w:cs="宋体"/>
                <w:color w:val="000000" w:themeColor="text1"/>
                <w:kern w:val="0"/>
                <w:sz w:val="24"/>
                <w:highlight w:val="none"/>
                <w:lang w:val="en-US" w:eastAsia="zh-CN"/>
                <w14:textFill>
                  <w14:solidFill>
                    <w14:schemeClr w14:val="tx1"/>
                  </w14:solidFill>
                </w14:textFill>
              </w:rPr>
              <w:t>的得0-</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highlight w:val="none"/>
                <w:lang w:val="en-US" w:eastAsia="zh-CN"/>
                <w14:textFill>
                  <w14:solidFill>
                    <w14:schemeClr w14:val="tx1"/>
                  </w14:solidFill>
                </w14:textFill>
              </w:rPr>
              <w:t>分。</w:t>
            </w:r>
          </w:p>
          <w:p w14:paraId="2FA5C490">
            <w:pPr>
              <w:tabs>
                <w:tab w:val="left" w:pos="0"/>
                <w:tab w:val="left" w:pos="1613"/>
              </w:tabs>
              <w:spacing w:line="360" w:lineRule="auto"/>
              <w:rPr>
                <w:rStyle w:val="966"/>
                <w:rFonts w:hint="eastAsia" w:ascii="宋体" w:hAnsi="宋体" w:cs="Times New Roman"/>
                <w:color w:val="000000"/>
                <w:sz w:val="24"/>
                <w:lang w:val="en-US" w:eastAsia="zh-CN"/>
              </w:rPr>
            </w:pPr>
            <w:r>
              <w:rPr>
                <w:rFonts w:hint="eastAsia" w:ascii="宋体" w:hAnsi="宋体" w:cs="宋体"/>
                <w:b/>
                <w:bCs/>
                <w:color w:val="000000" w:themeColor="text1"/>
                <w:kern w:val="0"/>
                <w:sz w:val="24"/>
                <w:highlight w:val="none"/>
                <w:lang w:val="en-US" w:eastAsia="zh-CN"/>
                <w14:textFill>
                  <w14:solidFill>
                    <w14:schemeClr w14:val="tx1"/>
                  </w14:solidFill>
                </w14:textFill>
              </w:rPr>
              <w:t>【</w:t>
            </w: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需提供人社部门出具的投标单位为其缴纳的近一个月社保证明材料，否则不得分</w:t>
            </w:r>
            <w:r>
              <w:rPr>
                <w:rFonts w:hint="eastAsia" w:ascii="宋体" w:hAnsi="宋体" w:cs="宋体"/>
                <w:b/>
                <w:bCs/>
                <w:color w:val="000000" w:themeColor="text1"/>
                <w:kern w:val="0"/>
                <w:sz w:val="24"/>
                <w:highlight w:val="none"/>
                <w:lang w:val="en-US" w:eastAsia="zh-CN"/>
                <w14:textFill>
                  <w14:solidFill>
                    <w14:schemeClr w14:val="tx1"/>
                  </w14:solidFill>
                </w14:textFill>
              </w:rPr>
              <w:t>】</w:t>
            </w:r>
          </w:p>
        </w:tc>
        <w:tc>
          <w:tcPr>
            <w:tcW w:w="862" w:type="dxa"/>
            <w:vAlign w:val="center"/>
          </w:tcPr>
          <w:p w14:paraId="1682A576">
            <w:pPr>
              <w:tabs>
                <w:tab w:val="left" w:pos="0"/>
              </w:tabs>
              <w:jc w:val="center"/>
              <w:rPr>
                <w:rStyle w:val="966"/>
                <w:rFonts w:hint="eastAsia" w:ascii="宋体" w:hAnsi="宋体" w:cs="Times New Roman"/>
                <w:color w:val="000000"/>
                <w:sz w:val="24"/>
              </w:rPr>
            </w:pPr>
            <w:r>
              <w:rPr>
                <w:rFonts w:hint="eastAsia" w:ascii="宋体" w:hAnsi="宋体" w:cs="宋体"/>
                <w:kern w:val="0"/>
                <w:sz w:val="24"/>
                <w:lang w:val="en-US" w:eastAsia="zh-CN"/>
              </w:rPr>
              <w:t>8</w:t>
            </w:r>
            <w:r>
              <w:rPr>
                <w:rFonts w:hint="eastAsia" w:ascii="宋体" w:hAnsi="宋体" w:eastAsia="宋体" w:cs="宋体"/>
                <w:kern w:val="0"/>
                <w:sz w:val="24"/>
              </w:rPr>
              <w:t>分</w:t>
            </w:r>
          </w:p>
        </w:tc>
      </w:tr>
      <w:tr w14:paraId="73FE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701" w:type="dxa"/>
            <w:vAlign w:val="center"/>
          </w:tcPr>
          <w:p w14:paraId="048B0462">
            <w:pPr>
              <w:tabs>
                <w:tab w:val="left" w:pos="0"/>
              </w:tabs>
              <w:jc w:val="center"/>
              <w:rPr>
                <w:rFonts w:hint="eastAsia"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8</w:t>
            </w:r>
          </w:p>
        </w:tc>
        <w:tc>
          <w:tcPr>
            <w:tcW w:w="1194" w:type="dxa"/>
            <w:vAlign w:val="center"/>
          </w:tcPr>
          <w:p w14:paraId="552BC9AC">
            <w:pPr>
              <w:tabs>
                <w:tab w:val="left" w:pos="0"/>
              </w:tabs>
              <w:jc w:val="center"/>
              <w:rPr>
                <w:rFonts w:hint="eastAsia" w:ascii="宋体" w:hAnsi="宋体" w:eastAsia="宋体" w:cs="宋体"/>
                <w:kern w:val="0"/>
                <w:sz w:val="24"/>
              </w:rPr>
            </w:pPr>
            <w:r>
              <w:rPr>
                <w:rFonts w:hint="eastAsia" w:ascii="宋体" w:hAnsi="宋体" w:cs="宋体"/>
                <w:color w:val="000000"/>
                <w:sz w:val="24"/>
              </w:rPr>
              <w:t>应急预案</w:t>
            </w:r>
          </w:p>
        </w:tc>
        <w:tc>
          <w:tcPr>
            <w:tcW w:w="7353" w:type="dxa"/>
            <w:vAlign w:val="center"/>
          </w:tcPr>
          <w:p w14:paraId="64907A89">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textAlignment w:val="auto"/>
              <w:rPr>
                <w:rFonts w:hint="eastAsia" w:ascii="宋体" w:hAnsi="宋体" w:cs="宋体"/>
                <w:color w:val="000000"/>
                <w:sz w:val="24"/>
                <w:lang w:eastAsia="zh-CN"/>
              </w:rPr>
            </w:pPr>
            <w:r>
              <w:rPr>
                <w:rFonts w:hint="eastAsia" w:ascii="宋体" w:hAnsi="宋体" w:cs="宋体"/>
                <w:color w:val="000000"/>
                <w:sz w:val="24"/>
              </w:rPr>
              <w:t>根据</w:t>
            </w:r>
            <w:r>
              <w:rPr>
                <w:rFonts w:hint="eastAsia" w:ascii="宋体" w:hAnsi="宋体" w:cs="宋体"/>
                <w:color w:val="000000"/>
                <w:sz w:val="24"/>
                <w:lang w:val="en-US" w:eastAsia="zh-CN"/>
              </w:rPr>
              <w:t>投标人</w:t>
            </w:r>
            <w:r>
              <w:rPr>
                <w:rFonts w:hint="eastAsia" w:ascii="宋体" w:hAnsi="宋体" w:cs="宋体"/>
                <w:color w:val="000000"/>
                <w:sz w:val="24"/>
              </w:rPr>
              <w:t>提供的应急突发事件的响应和处理方案进行综合评审</w:t>
            </w:r>
            <w:r>
              <w:rPr>
                <w:rFonts w:hint="eastAsia" w:ascii="宋体" w:hAnsi="宋体" w:cs="宋体"/>
                <w:color w:val="000000"/>
                <w:sz w:val="24"/>
                <w:lang w:eastAsia="zh-CN"/>
              </w:rPr>
              <w:t>：</w:t>
            </w:r>
          </w:p>
          <w:p w14:paraId="2EC8DEE2">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kern w:val="0"/>
                <w:sz w:val="24"/>
                <w14:textFill>
                  <w14:solidFill>
                    <w14:schemeClr w14:val="tx1"/>
                  </w14:solidFill>
                </w14:textFill>
              </w:rPr>
              <w:t>内容全面、合理、条理清晰，涵盖本次</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保险服务</w:t>
            </w:r>
            <w:r>
              <w:rPr>
                <w:rFonts w:hint="eastAsia" w:asciiTheme="minorEastAsia" w:hAnsiTheme="minorEastAsia" w:eastAsiaTheme="minorEastAsia" w:cstheme="minorEastAsia"/>
                <w:color w:val="000000" w:themeColor="text1"/>
                <w:kern w:val="0"/>
                <w:sz w:val="24"/>
                <w14:textFill>
                  <w14:solidFill>
                    <w14:schemeClr w14:val="tx1"/>
                  </w14:solidFill>
                </w14:textFill>
              </w:rPr>
              <w:t>有关内容，且具有针对性</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的得6.1-8分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723FCBB0">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4"/>
                <w14:textFill>
                  <w14:solidFill>
                    <w14:schemeClr w14:val="tx1"/>
                  </w14:solidFill>
                </w14:textFill>
              </w:rPr>
              <w:t>内容较完整、较有针对性、可操作性较强的得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2.1-6</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43E950BB">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kern w:val="0"/>
                <w:sz w:val="24"/>
                <w14:textFill>
                  <w14:solidFill>
                    <w14:schemeClr w14:val="tx1"/>
                  </w14:solidFill>
                </w14:textFill>
              </w:rPr>
              <w:t>内容完整性、针对性、可操作性一般的得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3F844E2F">
            <w:pPr>
              <w:tabs>
                <w:tab w:val="left" w:pos="0"/>
              </w:tabs>
              <w:spacing w:line="360" w:lineRule="auto"/>
              <w:rPr>
                <w:rFonts w:hint="eastAsia" w:ascii="宋体" w:hAnsi="宋体" w:eastAsia="宋体" w:cs="宋体"/>
                <w:kern w:val="0"/>
                <w:sz w:val="24"/>
                <w:highlight w:val="none"/>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④未提供本项内容的，不得分。</w:t>
            </w:r>
          </w:p>
        </w:tc>
        <w:tc>
          <w:tcPr>
            <w:tcW w:w="862" w:type="dxa"/>
            <w:vAlign w:val="center"/>
          </w:tcPr>
          <w:p w14:paraId="511D8951">
            <w:pPr>
              <w:tabs>
                <w:tab w:val="left" w:pos="0"/>
              </w:tabs>
              <w:jc w:val="center"/>
              <w:rPr>
                <w:rFonts w:hint="eastAsia" w:ascii="宋体" w:hAnsi="宋体" w:eastAsia="宋体" w:cs="宋体"/>
                <w:kern w:val="0"/>
                <w:sz w:val="24"/>
              </w:rPr>
            </w:pPr>
            <w:r>
              <w:rPr>
                <w:rFonts w:hint="eastAsia" w:ascii="宋体" w:hAnsi="宋体" w:cs="宋体"/>
                <w:kern w:val="0"/>
                <w:sz w:val="24"/>
                <w:lang w:val="en-US" w:eastAsia="zh-CN"/>
              </w:rPr>
              <w:t>8</w:t>
            </w:r>
            <w:r>
              <w:rPr>
                <w:rFonts w:hint="eastAsia" w:ascii="宋体" w:hAnsi="宋体" w:eastAsia="宋体" w:cs="宋体"/>
                <w:kern w:val="0"/>
                <w:sz w:val="24"/>
              </w:rPr>
              <w:t>分</w:t>
            </w:r>
          </w:p>
        </w:tc>
      </w:tr>
      <w:tr w14:paraId="5088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1" w:type="dxa"/>
            <w:vAlign w:val="center"/>
          </w:tcPr>
          <w:p w14:paraId="45ABF8C4">
            <w:pPr>
              <w:tabs>
                <w:tab w:val="left" w:pos="0"/>
              </w:tabs>
              <w:jc w:val="center"/>
              <w:rPr>
                <w:rFonts w:hint="default" w:ascii="宋体" w:hAnsi="宋体" w:eastAsia="宋体" w:cs="宋体"/>
                <w:kern w:val="0"/>
                <w:sz w:val="24"/>
                <w:szCs w:val="24"/>
                <w:highlight w:val="none"/>
                <w:lang w:val="en-US" w:eastAsia="zh-CN" w:bidi="ar-SA"/>
              </w:rPr>
            </w:pPr>
            <w:r>
              <w:rPr>
                <w:rFonts w:hint="eastAsia" w:ascii="宋体" w:hAnsi="宋体" w:cs="宋体"/>
                <w:kern w:val="0"/>
                <w:sz w:val="24"/>
                <w:highlight w:val="none"/>
                <w:lang w:val="en-US" w:eastAsia="zh-CN"/>
              </w:rPr>
              <w:t>9</w:t>
            </w:r>
          </w:p>
        </w:tc>
        <w:tc>
          <w:tcPr>
            <w:tcW w:w="1194" w:type="dxa"/>
            <w:vAlign w:val="center"/>
          </w:tcPr>
          <w:p w14:paraId="2CCE8952">
            <w:pPr>
              <w:tabs>
                <w:tab w:val="left" w:pos="0"/>
              </w:tabs>
              <w:jc w:val="center"/>
              <w:rPr>
                <w:rFonts w:hint="eastAsia" w:ascii="宋体" w:hAnsi="宋体" w:eastAsia="宋体" w:cs="宋体"/>
                <w:kern w:val="0"/>
                <w:sz w:val="24"/>
              </w:rPr>
            </w:pPr>
            <w:r>
              <w:rPr>
                <w:rFonts w:hint="eastAsia" w:ascii="宋体" w:hAnsi="宋体" w:eastAsia="宋体" w:cs="宋体"/>
                <w:kern w:val="0"/>
                <w:sz w:val="24"/>
              </w:rPr>
              <w:t>投诉处理方案</w:t>
            </w:r>
          </w:p>
        </w:tc>
        <w:tc>
          <w:tcPr>
            <w:tcW w:w="7353" w:type="dxa"/>
            <w:vAlign w:val="center"/>
          </w:tcPr>
          <w:p w14:paraId="6F49B5DB">
            <w:pPr>
              <w:keepNext w:val="0"/>
              <w:keepLines w:val="0"/>
              <w:pageBreakBefore w:val="0"/>
              <w:widowControl w:val="0"/>
              <w:tabs>
                <w:tab w:val="left" w:pos="0"/>
              </w:tabs>
              <w:kinsoku/>
              <w:wordWrap/>
              <w:overflowPunct/>
              <w:topLinePunct w:val="0"/>
              <w:autoSpaceDE/>
              <w:autoSpaceDN/>
              <w:bidi w:val="0"/>
              <w:adjustRightInd w:val="0"/>
              <w:snapToGrid/>
              <w:spacing w:before="0" w:beforeLines="50" w:line="360" w:lineRule="auto"/>
              <w:textAlignment w:val="auto"/>
              <w:rPr>
                <w:rFonts w:hint="eastAsia" w:ascii="宋体" w:hAnsi="宋体" w:cs="宋体"/>
                <w:kern w:val="0"/>
                <w:sz w:val="24"/>
                <w:highlight w:val="none"/>
                <w:lang w:eastAsia="zh-CN"/>
              </w:rPr>
            </w:pPr>
            <w:r>
              <w:rPr>
                <w:rFonts w:hint="eastAsia" w:ascii="宋体" w:hAnsi="宋体" w:eastAsia="宋体" w:cs="宋体"/>
                <w:kern w:val="0"/>
                <w:sz w:val="24"/>
                <w:highlight w:val="none"/>
                <w:lang w:eastAsia="zh-CN"/>
              </w:rPr>
              <w:t>根据投标</w:t>
            </w:r>
            <w:r>
              <w:rPr>
                <w:rFonts w:hint="eastAsia" w:ascii="宋体" w:hAnsi="宋体" w:cs="宋体"/>
                <w:kern w:val="0"/>
                <w:sz w:val="24"/>
                <w:highlight w:val="none"/>
                <w:lang w:val="en-US" w:eastAsia="zh-CN"/>
              </w:rPr>
              <w:t>人</w:t>
            </w:r>
            <w:r>
              <w:rPr>
                <w:rFonts w:hint="eastAsia" w:ascii="宋体" w:hAnsi="宋体" w:eastAsia="宋体" w:cs="宋体"/>
                <w:kern w:val="0"/>
                <w:sz w:val="24"/>
                <w:highlight w:val="none"/>
              </w:rPr>
              <w:t>提供的投诉处理方案</w:t>
            </w:r>
            <w:r>
              <w:rPr>
                <w:rStyle w:val="966"/>
                <w:rFonts w:hint="eastAsia" w:ascii="宋体" w:hAnsi="宋体" w:eastAsia="宋体" w:cs="Times New Roman"/>
                <w:color w:val="000000"/>
                <w:sz w:val="24"/>
              </w:rPr>
              <w:t>进行综合评审</w:t>
            </w:r>
            <w:r>
              <w:rPr>
                <w:rStyle w:val="966"/>
                <w:rFonts w:hint="eastAsia" w:ascii="宋体" w:hAnsi="宋体" w:eastAsia="宋体" w:cs="Times New Roman"/>
                <w:color w:val="000000"/>
                <w:sz w:val="24"/>
                <w:lang w:eastAsia="zh-CN"/>
              </w:rPr>
              <w:t>：</w:t>
            </w:r>
          </w:p>
          <w:p w14:paraId="171AB5C1">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①</w:t>
            </w:r>
            <w:r>
              <w:rPr>
                <w:rFonts w:hint="eastAsia" w:asciiTheme="minorEastAsia" w:hAnsiTheme="minorEastAsia" w:eastAsiaTheme="minorEastAsia" w:cstheme="minorEastAsia"/>
                <w:color w:val="000000" w:themeColor="text1"/>
                <w:kern w:val="0"/>
                <w:sz w:val="24"/>
                <w14:textFill>
                  <w14:solidFill>
                    <w14:schemeClr w14:val="tx1"/>
                  </w14:solidFill>
                </w14:textFill>
              </w:rPr>
              <w:t>内容全面、合理、条理清晰，涵盖本次</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保险服务</w:t>
            </w:r>
            <w:r>
              <w:rPr>
                <w:rFonts w:hint="eastAsia" w:asciiTheme="minorEastAsia" w:hAnsiTheme="minorEastAsia" w:eastAsiaTheme="minorEastAsia" w:cstheme="minorEastAsia"/>
                <w:color w:val="000000" w:themeColor="text1"/>
                <w:kern w:val="0"/>
                <w:sz w:val="24"/>
                <w14:textFill>
                  <w14:solidFill>
                    <w14:schemeClr w14:val="tx1"/>
                  </w14:solidFill>
                </w14:textFill>
              </w:rPr>
              <w:t>有关内容，且具有针对性</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的得6.1-8分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384E8F02">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②</w:t>
            </w:r>
            <w:r>
              <w:rPr>
                <w:rFonts w:hint="eastAsia" w:asciiTheme="minorEastAsia" w:hAnsiTheme="minorEastAsia" w:eastAsiaTheme="minorEastAsia" w:cstheme="minorEastAsia"/>
                <w:color w:val="000000" w:themeColor="text1"/>
                <w:kern w:val="0"/>
                <w:sz w:val="24"/>
                <w14:textFill>
                  <w14:solidFill>
                    <w14:schemeClr w14:val="tx1"/>
                  </w14:solidFill>
                </w14:textFill>
              </w:rPr>
              <w:t>内容较完整、较有针对性、可操作性较强的得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2.1-6</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7882997C">
            <w:pPr>
              <w:tabs>
                <w:tab w:val="left" w:pos="0"/>
              </w:tabs>
              <w:spacing w:line="360" w:lineRule="auto"/>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③</w:t>
            </w:r>
            <w:r>
              <w:rPr>
                <w:rFonts w:hint="eastAsia" w:asciiTheme="minorEastAsia" w:hAnsiTheme="minorEastAsia" w:eastAsiaTheme="minorEastAsia" w:cstheme="minorEastAsia"/>
                <w:color w:val="000000" w:themeColor="text1"/>
                <w:kern w:val="0"/>
                <w:sz w:val="24"/>
                <w14:textFill>
                  <w14:solidFill>
                    <w14:schemeClr w14:val="tx1"/>
                  </w14:solidFill>
                </w14:textFill>
              </w:rPr>
              <w:t>内容完整性、针对性、可操作性一般的得</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kern w:val="0"/>
                <w:sz w:val="24"/>
                <w14:textFill>
                  <w14:solidFill>
                    <w14:schemeClr w14:val="tx1"/>
                  </w14:solidFill>
                </w14:textFill>
              </w:rPr>
              <w:t>分</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p>
          <w:p w14:paraId="122F9553">
            <w:pPr>
              <w:tabs>
                <w:tab w:val="left" w:pos="0"/>
              </w:tabs>
              <w:spacing w:line="360" w:lineRule="auto"/>
              <w:rPr>
                <w:rFonts w:hint="eastAsia" w:ascii="宋体" w:hAnsi="宋体" w:eastAsia="宋体" w:cs="宋体"/>
                <w:kern w:val="0"/>
                <w:sz w:val="24"/>
                <w:highlight w:val="none"/>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④未提供本项内容的，不得分。</w:t>
            </w:r>
          </w:p>
        </w:tc>
        <w:tc>
          <w:tcPr>
            <w:tcW w:w="862" w:type="dxa"/>
            <w:vAlign w:val="center"/>
          </w:tcPr>
          <w:p w14:paraId="0BF6BF94">
            <w:pPr>
              <w:tabs>
                <w:tab w:val="left" w:pos="0"/>
              </w:tabs>
              <w:jc w:val="center"/>
              <w:rPr>
                <w:rFonts w:hint="eastAsia" w:ascii="宋体" w:hAnsi="宋体" w:eastAsia="宋体" w:cs="宋体"/>
                <w:kern w:val="0"/>
                <w:sz w:val="24"/>
              </w:rPr>
            </w:pPr>
            <w:r>
              <w:rPr>
                <w:rFonts w:hint="eastAsia" w:ascii="宋体" w:hAnsi="宋体" w:cs="宋体"/>
                <w:kern w:val="0"/>
                <w:sz w:val="24"/>
                <w:lang w:val="en-US" w:eastAsia="zh-CN"/>
              </w:rPr>
              <w:t>8分</w:t>
            </w:r>
          </w:p>
        </w:tc>
      </w:tr>
      <w:tr w14:paraId="4736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1" w:type="dxa"/>
            <w:vAlign w:val="center"/>
          </w:tcPr>
          <w:p w14:paraId="6799A1E6">
            <w:pPr>
              <w:tabs>
                <w:tab w:val="left" w:pos="0"/>
              </w:tabs>
              <w:rPr>
                <w:rFonts w:hint="default" w:ascii="宋体" w:hAnsi="宋体" w:eastAsia="宋体" w:cs="宋体"/>
                <w:kern w:val="0"/>
                <w:sz w:val="24"/>
                <w:szCs w:val="24"/>
                <w:lang w:val="en-US" w:eastAsia="zh-CN" w:bidi="ar-SA"/>
              </w:rPr>
            </w:pPr>
            <w:r>
              <w:rPr>
                <w:rFonts w:hint="eastAsia" w:ascii="宋体" w:hAnsi="宋体" w:cs="宋体"/>
                <w:kern w:val="0"/>
                <w:sz w:val="24"/>
                <w:lang w:val="en-US" w:eastAsia="zh-CN"/>
              </w:rPr>
              <w:t xml:space="preserve"> 10</w:t>
            </w:r>
          </w:p>
        </w:tc>
        <w:tc>
          <w:tcPr>
            <w:tcW w:w="1194" w:type="dxa"/>
            <w:vAlign w:val="center"/>
          </w:tcPr>
          <w:p w14:paraId="4C289752">
            <w:pPr>
              <w:tabs>
                <w:tab w:val="left" w:pos="0"/>
              </w:tabs>
              <w:jc w:val="center"/>
              <w:rPr>
                <w:rFonts w:hint="eastAsia" w:ascii="宋体" w:hAnsi="宋体" w:eastAsia="宋体" w:cs="宋体"/>
                <w:kern w:val="0"/>
                <w:sz w:val="24"/>
              </w:rPr>
            </w:pPr>
            <w:r>
              <w:rPr>
                <w:rFonts w:hint="eastAsia" w:ascii="宋体" w:hAnsi="宋体" w:eastAsia="宋体" w:cs="宋体"/>
                <w:kern w:val="0"/>
                <w:sz w:val="24"/>
              </w:rPr>
              <w:t>宣传</w:t>
            </w:r>
            <w:r>
              <w:rPr>
                <w:rFonts w:hint="eastAsia" w:ascii="宋体" w:hAnsi="宋体" w:cs="宋体"/>
                <w:kern w:val="0"/>
                <w:sz w:val="24"/>
                <w:lang w:val="en-US" w:eastAsia="zh-CN"/>
              </w:rPr>
              <w:t>方案</w:t>
            </w:r>
          </w:p>
        </w:tc>
        <w:tc>
          <w:tcPr>
            <w:tcW w:w="7353" w:type="dxa"/>
            <w:vAlign w:val="center"/>
          </w:tcPr>
          <w:p w14:paraId="389B45BD">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baseline"/>
              <w:rPr>
                <w:rStyle w:val="966"/>
                <w:rFonts w:hint="eastAsia" w:ascii="宋体" w:hAnsi="宋体"/>
                <w:color w:val="000000"/>
                <w:sz w:val="24"/>
                <w:lang w:eastAsia="zh-CN"/>
              </w:rPr>
            </w:pPr>
            <w:r>
              <w:rPr>
                <w:rStyle w:val="966"/>
                <w:rFonts w:hint="eastAsia" w:ascii="宋体" w:hAnsi="宋体"/>
                <w:color w:val="000000"/>
                <w:sz w:val="24"/>
              </w:rPr>
              <w:t>根据投标人</w:t>
            </w:r>
            <w:r>
              <w:rPr>
                <w:rStyle w:val="966"/>
                <w:rFonts w:hint="eastAsia" w:ascii="宋体" w:hAnsi="宋体"/>
                <w:color w:val="000000"/>
                <w:sz w:val="24"/>
                <w:lang w:val="en-US" w:eastAsia="zh-CN"/>
              </w:rPr>
              <w:t>提供的针对本项目</w:t>
            </w:r>
            <w:r>
              <w:rPr>
                <w:rStyle w:val="966"/>
                <w:rFonts w:hint="eastAsia" w:ascii="宋体" w:hAnsi="宋体"/>
                <w:color w:val="000000"/>
                <w:sz w:val="24"/>
              </w:rPr>
              <w:t>保险</w:t>
            </w:r>
            <w:r>
              <w:rPr>
                <w:rStyle w:val="966"/>
                <w:rFonts w:hint="eastAsia" w:ascii="宋体" w:hAnsi="宋体"/>
                <w:color w:val="000000"/>
                <w:sz w:val="24"/>
                <w:lang w:val="en-US" w:eastAsia="zh-CN"/>
              </w:rPr>
              <w:t>内容的</w:t>
            </w:r>
            <w:r>
              <w:rPr>
                <w:rStyle w:val="966"/>
                <w:rFonts w:hint="eastAsia" w:ascii="宋体" w:hAnsi="宋体"/>
                <w:color w:val="000000"/>
                <w:sz w:val="24"/>
              </w:rPr>
              <w:t>宣传方案</w:t>
            </w:r>
            <w:r>
              <w:rPr>
                <w:rStyle w:val="966"/>
                <w:rFonts w:hint="eastAsia" w:ascii="宋体" w:hAnsi="宋体" w:eastAsia="宋体" w:cs="Times New Roman"/>
                <w:color w:val="000000"/>
                <w:sz w:val="24"/>
              </w:rPr>
              <w:t>进行综合评审</w:t>
            </w:r>
            <w:r>
              <w:rPr>
                <w:rStyle w:val="966"/>
                <w:rFonts w:hint="eastAsia" w:ascii="宋体" w:hAnsi="宋体" w:eastAsia="宋体" w:cs="Times New Roman"/>
                <w:color w:val="000000"/>
                <w:sz w:val="24"/>
                <w:lang w:eastAsia="zh-CN"/>
              </w:rPr>
              <w:t>：</w:t>
            </w:r>
          </w:p>
          <w:p w14:paraId="12B50A79">
            <w:pPr>
              <w:tabs>
                <w:tab w:val="left" w:pos="0"/>
              </w:tabs>
              <w:spacing w:line="360" w:lineRule="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内容优秀、科学合理、可实施性强的得4</w:t>
            </w:r>
            <w:r>
              <w:rPr>
                <w:rFonts w:hint="eastAsia" w:ascii="宋体" w:hAnsi="宋体" w:cs="宋体"/>
                <w:kern w:val="0"/>
                <w:sz w:val="24"/>
                <w:highlight w:val="none"/>
                <w:lang w:val="en-US" w:eastAsia="zh-CN"/>
              </w:rPr>
              <w:t>.1</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6</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w:t>
            </w:r>
          </w:p>
          <w:p w14:paraId="4835BD7C">
            <w:pPr>
              <w:tabs>
                <w:tab w:val="left" w:pos="0"/>
              </w:tabs>
              <w:spacing w:line="360" w:lineRule="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内容的科学性、合理性、针对性一般的得</w:t>
            </w:r>
            <w:r>
              <w:rPr>
                <w:rFonts w:hint="eastAsia" w:ascii="宋体" w:hAnsi="宋体" w:cs="宋体"/>
                <w:kern w:val="0"/>
                <w:sz w:val="24"/>
                <w:highlight w:val="none"/>
                <w:lang w:val="en-US" w:eastAsia="zh-CN"/>
              </w:rPr>
              <w:t>1.1</w:t>
            </w:r>
            <w:r>
              <w:rPr>
                <w:rFonts w:hint="eastAsia" w:ascii="宋体" w:hAnsi="宋体" w:eastAsia="宋体" w:cs="宋体"/>
                <w:kern w:val="0"/>
                <w:sz w:val="24"/>
                <w:highlight w:val="none"/>
              </w:rPr>
              <w:t>-</w:t>
            </w:r>
            <w:r>
              <w:rPr>
                <w:rFonts w:hint="eastAsia" w:ascii="宋体" w:hAnsi="宋体" w:cs="宋体"/>
                <w:kern w:val="0"/>
                <w:sz w:val="24"/>
                <w:highlight w:val="none"/>
                <w:lang w:val="en-US" w:eastAsia="zh-CN"/>
              </w:rPr>
              <w:t>4</w:t>
            </w:r>
            <w:r>
              <w:rPr>
                <w:rFonts w:hint="eastAsia" w:ascii="宋体" w:hAnsi="宋体" w:eastAsia="宋体" w:cs="宋体"/>
                <w:kern w:val="0"/>
                <w:sz w:val="24"/>
                <w:highlight w:val="none"/>
              </w:rPr>
              <w:t>分</w:t>
            </w:r>
            <w:r>
              <w:rPr>
                <w:rFonts w:hint="eastAsia" w:ascii="宋体" w:hAnsi="宋体" w:cs="宋体"/>
                <w:kern w:val="0"/>
                <w:sz w:val="24"/>
                <w:highlight w:val="none"/>
                <w:lang w:eastAsia="zh-CN"/>
              </w:rPr>
              <w:t>；</w:t>
            </w:r>
          </w:p>
          <w:p w14:paraId="39DE508B">
            <w:pPr>
              <w:tabs>
                <w:tab w:val="left" w:pos="0"/>
              </w:tabs>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内容基本提及的得0-1分。</w:t>
            </w:r>
          </w:p>
        </w:tc>
        <w:tc>
          <w:tcPr>
            <w:tcW w:w="862" w:type="dxa"/>
            <w:vAlign w:val="center"/>
          </w:tcPr>
          <w:p w14:paraId="5BCCC337">
            <w:pPr>
              <w:tabs>
                <w:tab w:val="left" w:pos="0"/>
              </w:tabs>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r>
              <w:rPr>
                <w:rFonts w:hint="eastAsia" w:ascii="宋体" w:hAnsi="宋体" w:eastAsia="宋体" w:cs="宋体"/>
                <w:kern w:val="0"/>
                <w:sz w:val="24"/>
              </w:rPr>
              <w:t>分</w:t>
            </w:r>
          </w:p>
        </w:tc>
      </w:tr>
      <w:tr w14:paraId="63CE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01" w:type="dxa"/>
            <w:vAlign w:val="center"/>
          </w:tcPr>
          <w:p w14:paraId="1E5C0981">
            <w:pPr>
              <w:adjustRightInd/>
              <w:spacing w:line="360" w:lineRule="auto"/>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11</w:t>
            </w:r>
          </w:p>
        </w:tc>
        <w:tc>
          <w:tcPr>
            <w:tcW w:w="1194" w:type="dxa"/>
            <w:vAlign w:val="center"/>
          </w:tcPr>
          <w:p w14:paraId="78A86AC6">
            <w:pPr>
              <w:adjustRightInd/>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rPr>
              <w:t>投标报价</w:t>
            </w:r>
          </w:p>
        </w:tc>
        <w:tc>
          <w:tcPr>
            <w:tcW w:w="7353" w:type="dxa"/>
            <w:vAlign w:val="top"/>
          </w:tcPr>
          <w:p w14:paraId="2AA7AFAE">
            <w:pPr>
              <w:keepNext w:val="0"/>
              <w:keepLines w:val="0"/>
              <w:pageBreakBefore w:val="0"/>
              <w:widowControl w:val="0"/>
              <w:tabs>
                <w:tab w:val="left" w:pos="0"/>
              </w:tabs>
              <w:kinsoku/>
              <w:wordWrap/>
              <w:overflowPunct/>
              <w:topLinePunct w:val="0"/>
              <w:autoSpaceDE/>
              <w:autoSpaceDN/>
              <w:bidi w:val="0"/>
              <w:adjustRightInd w:val="0"/>
              <w:snapToGrid/>
              <w:spacing w:before="157" w:beforeLines="50" w:line="360" w:lineRule="auto"/>
              <w:textAlignment w:val="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有效投标报价的最低价作为评标基准价，其最低报价为满分；按［投标报价得分=（评标基准价/投标报价）*</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0］的计算公式计算。</w:t>
            </w:r>
          </w:p>
          <w:p w14:paraId="2DB661E8">
            <w:pPr>
              <w:tabs>
                <w:tab w:val="left" w:pos="0"/>
              </w:tabs>
              <w:spacing w:line="360" w:lineRule="auto"/>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评标过程中，不得去掉报价中的最高报价和最低报价。</w:t>
            </w:r>
          </w:p>
          <w:p w14:paraId="386A16D0">
            <w:pPr>
              <w:tabs>
                <w:tab w:val="left" w:pos="0"/>
              </w:tabs>
              <w:spacing w:line="360" w:lineRule="auto"/>
              <w:ind w:left="0" w:leftChars="0" w:firstLine="0" w:firstLineChars="0"/>
              <w:rPr>
                <w:rFonts w:hint="eastAsia" w:ascii="宋体" w:hAnsi="宋体" w:eastAsia="宋体" w:cs="宋体"/>
                <w:color w:val="000000"/>
                <w:kern w:val="0"/>
                <w:sz w:val="24"/>
                <w:szCs w:val="24"/>
                <w:lang w:val="zh-CN" w:eastAsia="zh-CN" w:bidi="ar-SA"/>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因落实政府采购政策需要进行价格调整的，以调整后的价格计算评标基准价和投标报价。</w:t>
            </w:r>
          </w:p>
        </w:tc>
        <w:tc>
          <w:tcPr>
            <w:tcW w:w="862" w:type="dxa"/>
            <w:vAlign w:val="center"/>
          </w:tcPr>
          <w:p w14:paraId="18F550B2">
            <w:pPr>
              <w:spacing w:line="360" w:lineRule="auto"/>
              <w:ind w:firstLine="120" w:firstLineChars="50"/>
              <w:jc w:val="center"/>
              <w:outlineLvl w:val="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rPr>
              <w:t>10分</w:t>
            </w:r>
          </w:p>
        </w:tc>
      </w:tr>
    </w:tbl>
    <w:p w14:paraId="7BB6C533">
      <w:pPr>
        <w:keepNext w:val="0"/>
        <w:keepLines w:val="0"/>
        <w:pageBreakBefore w:val="0"/>
        <w:widowControl w:val="0"/>
        <w:kinsoku/>
        <w:wordWrap/>
        <w:overflowPunct/>
        <w:topLinePunct w:val="0"/>
        <w:autoSpaceDE/>
        <w:autoSpaceDN/>
        <w:bidi w:val="0"/>
        <w:adjustRightInd w:val="0"/>
        <w:snapToGrid w:val="0"/>
        <w:spacing w:before="0" w:beforeLines="50" w:line="360" w:lineRule="auto"/>
        <w:textAlignment w:val="auto"/>
        <w:rPr>
          <w:rFonts w:hint="eastAsia" w:ascii="宋体" w:hAnsi="宋体" w:eastAsia="宋体" w:cs="宋体"/>
          <w:sz w:val="24"/>
          <w:highlight w:val="none"/>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eastAsia="宋体" w:cs="宋体"/>
          <w:sz w:val="24"/>
        </w:rPr>
        <w:t>供应商编制磋商响应文件（商务技术文件部分）时，建议按此目录（序号和内</w:t>
      </w:r>
      <w:r>
        <w:rPr>
          <w:rFonts w:hint="eastAsia" w:ascii="宋体" w:hAnsi="宋体" w:eastAsia="宋体" w:cs="宋体"/>
          <w:sz w:val="24"/>
          <w:highlight w:val="none"/>
        </w:rPr>
        <w:t>容）提供评标标准相应的商务技术资料。 </w:t>
      </w:r>
    </w:p>
    <w:p w14:paraId="4279C453">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0D824F75">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综合评分法，是指磋商响应文件满足竞争性磋商文件全部实质性要求，且按照评审因素的量化指标评审得分最高的供应商为中标候选人的评标方法。</w:t>
      </w:r>
    </w:p>
    <w:p w14:paraId="0950BF6F">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5EE11B16">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17C477CE">
      <w:pPr>
        <w:spacing w:line="360" w:lineRule="auto"/>
        <w:outlineLvl w:val="0"/>
        <w:rPr>
          <w:rFonts w:hint="eastAsia" w:ascii="宋体" w:hAnsi="宋体" w:eastAsia="宋体" w:cs="宋体"/>
          <w:b/>
          <w:sz w:val="32"/>
          <w:szCs w:val="32"/>
        </w:rPr>
      </w:pPr>
      <w:r>
        <w:rPr>
          <w:rFonts w:hint="eastAsia" w:ascii="宋体" w:hAnsi="宋体" w:eastAsia="宋体" w:cs="宋体"/>
          <w:b/>
          <w:sz w:val="32"/>
          <w:szCs w:val="32"/>
        </w:rPr>
        <w:t>三、磋商程序</w:t>
      </w:r>
    </w:p>
    <w:p w14:paraId="1DA7570C">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磋商小组应当对符合资格的供应商的磋商响应文件进行符合性审查，以确定其是否满足竞争性磋商文件的实质性要求。不满足竞争性磋商文件的实质性要求的，投标无效。</w:t>
      </w:r>
    </w:p>
    <w:p w14:paraId="3AF45EA0">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3.2 与各磋商响应方进行磋商。</w:t>
      </w:r>
    </w:p>
    <w:p w14:paraId="5BCF905B">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rPr>
        <w:t>3.2.1磋商小组与符合要求的供应商进行磋商。磋商小组所有成员按照响应文件解密次序集中与单一供应商分别进行磋商，并给予所有参加磋商的供应商平等的磋商机会。磋商过程中，磋商小组可以根据磋商情况调整轮次。</w:t>
      </w:r>
    </w:p>
    <w:p w14:paraId="25C558D2">
      <w:pPr>
        <w:tabs>
          <w:tab w:val="left" w:pos="0"/>
        </w:tabs>
        <w:spacing w:line="360" w:lineRule="auto"/>
        <w:ind w:firstLine="480"/>
        <w:rPr>
          <w:rFonts w:hint="eastAsia" w:ascii="宋体" w:hAnsi="宋体" w:eastAsia="宋体" w:cs="宋体"/>
          <w:kern w:val="0"/>
          <w:sz w:val="24"/>
          <w:highlight w:val="none"/>
        </w:rPr>
      </w:pPr>
      <w:r>
        <w:rPr>
          <w:rFonts w:hint="eastAsia" w:ascii="宋体" w:hAnsi="宋体" w:eastAsia="宋体" w:cs="宋体"/>
          <w:kern w:val="0"/>
          <w:sz w:val="24"/>
        </w:rPr>
        <w:t>3.2.2经磋商确定采购文件的变动情况。对采购文件作出的实质性变动是采购文件的有效</w:t>
      </w:r>
      <w:r>
        <w:rPr>
          <w:rFonts w:hint="eastAsia" w:ascii="宋体" w:hAnsi="宋体" w:eastAsia="宋体" w:cs="宋体"/>
          <w:kern w:val="0"/>
          <w:sz w:val="24"/>
          <w:highlight w:val="none"/>
        </w:rPr>
        <w:t>组成部分，磋商小组应当及时以书面形式同时通知所有参加磋商的供应商。</w:t>
      </w:r>
    </w:p>
    <w:p w14:paraId="3F5794A0">
      <w:pPr>
        <w:spacing w:line="360" w:lineRule="auto"/>
        <w:ind w:firstLine="470" w:firstLineChars="196"/>
        <w:rPr>
          <w:rFonts w:hint="eastAsia" w:ascii="宋体" w:hAnsi="宋体" w:eastAsia="宋体" w:cs="宋体"/>
          <w:kern w:val="0"/>
          <w:sz w:val="24"/>
          <w:highlight w:val="none"/>
        </w:rPr>
      </w:pPr>
      <w:r>
        <w:rPr>
          <w:rFonts w:hint="eastAsia" w:ascii="宋体" w:hAnsi="宋体" w:eastAsia="宋体" w:cs="宋体"/>
          <w:kern w:val="0"/>
          <w:sz w:val="24"/>
          <w:highlight w:val="none"/>
        </w:rPr>
        <w:t>3.2.3磋商小组应当按照采购文件中规定的评标方法和标准，对符合性审查合格的投标文件进行商务和技术评估，综合比较与评价。磋商小组各成员应当独立对每个磋商响应方的商务和技术文件进行评价，并汇总商务技术得分情况。</w:t>
      </w:r>
    </w:p>
    <w:p w14:paraId="704430B8">
      <w:pPr>
        <w:snapToGrid w:val="0"/>
        <w:spacing w:line="360" w:lineRule="auto"/>
        <w:ind w:firstLine="470" w:firstLineChars="196"/>
        <w:rPr>
          <w:rFonts w:hint="eastAsia" w:ascii="宋体" w:hAnsi="宋体" w:eastAsia="宋体" w:cs="宋体"/>
          <w:kern w:val="0"/>
          <w:sz w:val="24"/>
          <w:highlight w:val="none"/>
        </w:rPr>
      </w:pPr>
      <w:r>
        <w:rPr>
          <w:rFonts w:hint="eastAsia" w:ascii="宋体" w:hAnsi="宋体" w:eastAsia="宋体" w:cs="宋体"/>
          <w:kern w:val="0"/>
          <w:sz w:val="24"/>
          <w:highlight w:val="none"/>
        </w:rPr>
        <w:t>3.2.4各磋商响应方在本标项全部磋商结束后在规定时间内进行最后报价（供应商需在30分钟内提交最终报价）。</w:t>
      </w:r>
    </w:p>
    <w:p w14:paraId="443FF534">
      <w:pPr>
        <w:spacing w:line="360" w:lineRule="auto"/>
        <w:ind w:firstLine="472" w:firstLineChars="196"/>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磋商小组各成员应当独立对每个供应商的商务和技术文件进行评价，并汇总商务技术得分情况。</w:t>
      </w:r>
    </w:p>
    <w:p w14:paraId="562715CF">
      <w:pPr>
        <w:spacing w:line="360" w:lineRule="auto"/>
        <w:ind w:firstLine="472" w:firstLineChars="196"/>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87C3AE2">
      <w:pPr>
        <w:pStyle w:val="132"/>
        <w:spacing w:before="0"/>
        <w:ind w:firstLine="508" w:firstLineChars="212"/>
        <w:rPr>
          <w:rFonts w:hint="eastAsia" w:ascii="宋体" w:hAnsi="宋体" w:eastAsia="宋体" w:cs="宋体"/>
          <w:kern w:val="0"/>
        </w:rPr>
      </w:pPr>
      <w:r>
        <w:rPr>
          <w:rFonts w:hint="eastAsia" w:ascii="宋体" w:hAnsi="宋体" w:eastAsia="宋体" w:cs="宋体"/>
          <w:kern w:val="0"/>
        </w:rPr>
        <w:t>3.4.1磋商响应文件报价出现前后不一致的，按照下列规定修正：</w:t>
      </w:r>
    </w:p>
    <w:p w14:paraId="71D6C66B">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3.4.1.1磋商响应文件中开标一览表(报价表)内容与磋商响应文件中相应内容不一致的，以开标一览表(报价表)为准;</w:t>
      </w:r>
    </w:p>
    <w:p w14:paraId="1BE677D4">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14:paraId="4A4C4A3E">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14:paraId="32CC9241">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737813A9">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0C31E419">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3.4.2磋商响应文件出现不是唯一的、有选择性投标报价的，投标无效。</w:t>
      </w:r>
    </w:p>
    <w:p w14:paraId="2C7E4F0D">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3.4.3投标报价超过竞争性磋商文件中规定的预算金额或者最高限价的，投标无效。</w:t>
      </w:r>
    </w:p>
    <w:p w14:paraId="7D47769C">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3.4.4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4A8F64B0">
      <w:pPr>
        <w:pStyle w:val="132"/>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CF5C945">
      <w:pPr>
        <w:pStyle w:val="132"/>
        <w:keepNext w:val="0"/>
        <w:keepLines w:val="0"/>
        <w:pageBreakBefore w:val="0"/>
        <w:widowControl w:val="0"/>
        <w:kinsoku/>
        <w:wordWrap/>
        <w:overflowPunct/>
        <w:topLinePunct w:val="0"/>
        <w:autoSpaceDE/>
        <w:autoSpaceDN/>
        <w:bidi w:val="0"/>
        <w:adjustRightInd w:val="0"/>
        <w:snapToGrid w:val="0"/>
        <w:spacing w:before="0"/>
        <w:ind w:firstLine="482" w:firstLineChars="200"/>
        <w:textAlignment w:val="auto"/>
        <w:rPr>
          <w:rFonts w:hint="eastAsia" w:ascii="宋体" w:hAnsi="宋体" w:eastAsia="宋体" w:cs="宋体"/>
          <w:kern w:val="0"/>
          <w:szCs w:val="24"/>
        </w:rPr>
      </w:pPr>
      <w:r>
        <w:rPr>
          <w:rFonts w:hint="eastAsia" w:ascii="宋体" w:hAnsi="宋体" w:eastAsia="宋体" w:cs="宋体"/>
          <w:b/>
          <w:bCs/>
          <w:kern w:val="0"/>
          <w:szCs w:val="24"/>
        </w:rPr>
        <w:t>3.4.</w:t>
      </w:r>
      <w:r>
        <w:rPr>
          <w:rFonts w:hint="eastAsia" w:ascii="宋体" w:hAnsi="宋体" w:cs="宋体"/>
          <w:b/>
          <w:bCs/>
          <w:kern w:val="0"/>
          <w:szCs w:val="24"/>
          <w:lang w:val="en-US" w:eastAsia="zh-CN"/>
        </w:rPr>
        <w:t>6</w:t>
      </w:r>
      <w:r>
        <w:rPr>
          <w:rFonts w:hint="eastAsia" w:ascii="宋体" w:hAnsi="宋体" w:eastAsia="宋体" w:cs="宋体"/>
          <w:b/>
          <w:bCs/>
        </w:rPr>
        <w:t>《财政部关于政府采购竞争性磋商采购方式管理暂行办法有关问题的补充通知》（财库（2015）124号）规定，在采购过程中符合要求的供应商(社会资本)只有2家的，竞争性磋商采购活动可以继续进行。采购过程中符合要求的供应商(社会资本)只有1家的，采购人或者采购代理机构应当终止竞争性磋商采购活动，发布项日终止公告并说明原因，重新开展采购活动。</w:t>
      </w:r>
    </w:p>
    <w:p w14:paraId="0CA1CA4C">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磋商响应文件满足竞争性磋商文件全部实质性要求，且按照评审因素的量化指标评审得分最高的供应商为排名第一的中标候选人。</w:t>
      </w:r>
    </w:p>
    <w:p w14:paraId="7B2C26D6">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433B349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磋商小组根据全体评标成员签字的原始评标记录和评标结果编写评标报告。磋商小组成员对需要共同认定的事项存在争议的，应当按照少数服从多数的原则作出结论。持不同意见的磋商小组成员应当在评标报告上签署不同意见及理由，否则视为同意评标报告。</w:t>
      </w:r>
    </w:p>
    <w:p w14:paraId="5B15BE93">
      <w:pPr>
        <w:widowControl/>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2370FC7A">
      <w:pPr>
        <w:pStyle w:val="132"/>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4.1供应商澄清、说明或者补正。</w:t>
      </w:r>
      <w:r>
        <w:rPr>
          <w:rFonts w:hint="eastAsia" w:ascii="宋体" w:hAnsi="宋体" w:eastAsia="宋体" w:cs="宋体"/>
          <w:kern w:val="0"/>
          <w:szCs w:val="24"/>
        </w:rPr>
        <w:t>对于磋商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磋商响应文件的范围或者改变磋商响应文件的实质性内容。</w:t>
      </w:r>
    </w:p>
    <w:p w14:paraId="21F4E4F5">
      <w:pPr>
        <w:pStyle w:val="28"/>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14:paraId="148C31D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4.2.1供应商不具备竞争性磋商文件中规定的资格要求的（供应商未提供有效的资格文件的，视为供应商不具备竞争性磋商文件中规定的资格要求）；</w:t>
      </w:r>
    </w:p>
    <w:p w14:paraId="1457C3D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4.2.2磋商响应文件未按照竞争性磋商文件要求签署、盖章的；</w:t>
      </w:r>
    </w:p>
    <w:p w14:paraId="6027BDF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4.2.3采购人拟采购的产品属于政府强制采购的节能产品品目清单范围的，供应商未按竞争性磋商文件要求提供国家确定的认证机构出具的、处于有效期之内的节能产品认证证书的；</w:t>
      </w:r>
    </w:p>
    <w:p w14:paraId="7BCDC937">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4.2.4磋商响应文件含有采购人不能接受的附加条件的；</w:t>
      </w:r>
    </w:p>
    <w:p w14:paraId="2C7D266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4.2.5磋商响应文件中承诺的投标有效期少于竞争性磋商文件中载明的投标有效期的；</w:t>
      </w:r>
    </w:p>
    <w:p w14:paraId="25522759">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4.2.6磋商响应文件出现不是唯一的、有选择性投标报价的;</w:t>
      </w:r>
    </w:p>
    <w:p w14:paraId="18915D0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4.2.7投标报价超过竞争性磋商文件中规定的预算金额或者最高限价的;</w:t>
      </w:r>
    </w:p>
    <w:p w14:paraId="6E5B6B7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6C2743B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4.2.9供应商对根据修正原则修正后的报价不确认的；</w:t>
      </w:r>
    </w:p>
    <w:p w14:paraId="0C7593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4.2.10供应商提供虚假材料投标的；</w:t>
      </w:r>
    </w:p>
    <w:p w14:paraId="19A38E7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4.2.11供应商有恶意串通、妨碍其他供应商的竞争行为、损害采购人或者其他供应商的合法权益情形的；</w:t>
      </w:r>
    </w:p>
    <w:p w14:paraId="3C4B249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4.2.12供应商仅提交备份磋商响应文件，没有在电子交易平台传输递交磋商响应文件的，投标无效；</w:t>
      </w:r>
    </w:p>
    <w:p w14:paraId="10998EDC">
      <w:pPr>
        <w:pStyle w:val="3"/>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磋商响应文件不满足竞争性磋商文件的其</w:t>
      </w:r>
      <w:r>
        <w:rPr>
          <w:rFonts w:hint="eastAsia" w:ascii="宋体" w:hAnsi="宋体" w:eastAsia="宋体" w:cs="宋体"/>
          <w:b w:val="0"/>
          <w:bCs w:val="0"/>
          <w:kern w:val="0"/>
          <w:sz w:val="24"/>
          <w:szCs w:val="24"/>
          <w:lang w:val="en-US" w:eastAsia="zh-CN"/>
        </w:rPr>
        <w:t>他</w:t>
      </w:r>
      <w:r>
        <w:rPr>
          <w:rFonts w:hint="eastAsia" w:ascii="宋体" w:hAnsi="宋体" w:eastAsia="宋体" w:cs="宋体"/>
          <w:b w:val="0"/>
          <w:bCs w:val="0"/>
          <w:kern w:val="0"/>
          <w:sz w:val="24"/>
          <w:szCs w:val="24"/>
          <w:lang w:val="en-US"/>
        </w:rPr>
        <w:t>实质性要求的；</w:t>
      </w:r>
    </w:p>
    <w:p w14:paraId="615B001F">
      <w:pPr>
        <w:spacing w:line="360" w:lineRule="auto"/>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rPr>
        <w:t>4</w:t>
      </w:r>
      <w:r>
        <w:rPr>
          <w:rFonts w:hint="eastAsia" w:asciiTheme="minorEastAsia" w:hAnsiTheme="minorEastAsia" w:eastAsiaTheme="minorEastAsia" w:cstheme="minorEastAsia"/>
          <w:kern w:val="0"/>
          <w:sz w:val="24"/>
          <w:lang w:val="en-US" w:eastAsia="zh-CN"/>
        </w:rPr>
        <w:t>.2.14 磋商响应文件未按照竞争性磋商文件要求编制的；</w:t>
      </w:r>
    </w:p>
    <w:p w14:paraId="2FCD84FB">
      <w:pPr>
        <w:spacing w:line="360" w:lineRule="auto"/>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4.2.15不同投标人被政采云系统识别为硬件设备或 IP 地址相同；</w:t>
      </w:r>
    </w:p>
    <w:p w14:paraId="11C6BDEE">
      <w:pPr>
        <w:spacing w:line="360" w:lineRule="auto"/>
        <w:ind w:firstLine="480" w:firstLineChars="200"/>
        <w:rPr>
          <w:rFonts w:hint="eastAsia" w:ascii="宋体" w:hAnsi="宋体" w:eastAsia="宋体" w:cs="宋体"/>
          <w:b w:val="0"/>
          <w:bCs w:val="0"/>
          <w:color w:val="auto"/>
          <w:sz w:val="24"/>
          <w:szCs w:val="32"/>
          <w:lang w:val="en-US" w:eastAsia="zh-CN"/>
        </w:rPr>
      </w:pPr>
      <w:r>
        <w:rPr>
          <w:rFonts w:hint="eastAsia" w:asciiTheme="minorEastAsia" w:hAnsiTheme="minorEastAsia" w:eastAsiaTheme="minorEastAsia" w:cstheme="minorEastAsia"/>
          <w:kern w:val="0"/>
          <w:sz w:val="24"/>
          <w:lang w:val="en-US" w:eastAsia="zh-CN"/>
        </w:rPr>
        <w:t>4.2.16 不同投标人被政采云系统识</w:t>
      </w:r>
      <w:r>
        <w:rPr>
          <w:rFonts w:hint="eastAsia" w:ascii="宋体" w:hAnsi="宋体" w:eastAsia="宋体" w:cs="宋体"/>
          <w:b w:val="0"/>
          <w:bCs w:val="0"/>
          <w:sz w:val="24"/>
          <w:szCs w:val="32"/>
          <w:lang w:val="en-US" w:eastAsia="zh-CN"/>
        </w:rPr>
        <w:t>别为投标行为异常，即两家投标人累计超过</w:t>
      </w:r>
      <w:r>
        <w:rPr>
          <w:rFonts w:hint="eastAsia" w:ascii="宋体" w:hAnsi="宋体" w:eastAsia="宋体" w:cs="宋体"/>
          <w:b w:val="0"/>
          <w:bCs w:val="0"/>
          <w:color w:val="auto"/>
          <w:sz w:val="24"/>
          <w:szCs w:val="32"/>
          <w:lang w:val="en-US" w:eastAsia="zh-CN"/>
        </w:rPr>
        <w:t>30次以上共同投标，且其中一家中标率为0%；</w:t>
      </w:r>
    </w:p>
    <w:p w14:paraId="2B75DF13">
      <w:pPr>
        <w:pStyle w:val="3"/>
        <w:spacing w:line="360" w:lineRule="auto"/>
        <w:ind w:left="862" w:leftChars="205"/>
        <w:rPr>
          <w:rFonts w:hint="eastAsia"/>
          <w:lang w:val="en-US"/>
        </w:rPr>
      </w:pPr>
      <w:r>
        <w:rPr>
          <w:rFonts w:hint="eastAsia" w:asciiTheme="minorEastAsia" w:hAnsiTheme="minorEastAsia" w:eastAsiaTheme="minorEastAsia" w:cstheme="minorEastAsia"/>
          <w:b w:val="0"/>
          <w:bCs w:val="0"/>
          <w:color w:val="auto"/>
          <w:kern w:val="0"/>
          <w:sz w:val="24"/>
          <w:szCs w:val="24"/>
          <w:lang w:val="en-US" w:eastAsia="zh-CN" w:bidi="ar-SA"/>
        </w:rPr>
        <w:t>4.2.17 供应商IP、MAC、设备硬件信息一致；</w:t>
      </w:r>
    </w:p>
    <w:p w14:paraId="11B132E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val="en-US" w:eastAsia="zh-CN"/>
        </w:rPr>
        <w:t>8</w:t>
      </w:r>
      <w:r>
        <w:rPr>
          <w:rFonts w:hint="eastAsia" w:ascii="宋体" w:hAnsi="宋体" w:eastAsia="宋体" w:cs="宋体"/>
          <w:kern w:val="0"/>
          <w:sz w:val="24"/>
        </w:rPr>
        <w:t>法律、法规、规章（适用本市的）及省级以上规范性文件（适用本市的）规定的其他无效情形。</w:t>
      </w:r>
    </w:p>
    <w:p w14:paraId="007FEE24">
      <w:pPr>
        <w:pStyle w:val="28"/>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13A26A7C">
      <w:pPr>
        <w:pStyle w:val="28"/>
        <w:snapToGrid w:val="0"/>
        <w:spacing w:line="360" w:lineRule="auto"/>
        <w:rPr>
          <w:rFonts w:hint="eastAsia" w:ascii="宋体" w:hAnsi="宋体" w:eastAsia="宋体" w:cs="宋体"/>
        </w:rPr>
      </w:pPr>
      <w:r>
        <w:rPr>
          <w:rFonts w:hint="eastAsia" w:ascii="宋体" w:hAnsi="宋体" w:eastAsia="宋体" w:cs="宋体"/>
        </w:rPr>
        <w:t>5.1符合专业条件的供应商或者对竞争性磋商文件作实质响应的供应商不足3家的；</w:t>
      </w:r>
    </w:p>
    <w:p w14:paraId="3F15BEE0">
      <w:pPr>
        <w:pStyle w:val="28"/>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688B277C">
      <w:pPr>
        <w:pStyle w:val="28"/>
        <w:snapToGrid w:val="0"/>
        <w:spacing w:line="360" w:lineRule="auto"/>
        <w:rPr>
          <w:rFonts w:hint="eastAsia" w:ascii="宋体" w:hAnsi="宋体" w:eastAsia="宋体" w:cs="宋体"/>
        </w:rPr>
      </w:pPr>
      <w:r>
        <w:rPr>
          <w:rFonts w:hint="eastAsia" w:ascii="宋体" w:hAnsi="宋体" w:eastAsia="宋体" w:cs="宋体"/>
        </w:rPr>
        <w:t>5.3供应商的报价均超过了采购预算，采购人不能支付的；</w:t>
      </w:r>
    </w:p>
    <w:p w14:paraId="4EDFB3B9">
      <w:pPr>
        <w:pStyle w:val="28"/>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0A657A4B">
      <w:pPr>
        <w:pStyle w:val="28"/>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废标后，采购机构应当将废标理由通知所有供应商。</w:t>
      </w:r>
    </w:p>
    <w:p w14:paraId="5BF40E29">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rPr>
        <w:t>6.修改竞争性磋商文件，重新组织采购活动。</w:t>
      </w:r>
      <w:r>
        <w:rPr>
          <w:rFonts w:hint="eastAsia" w:ascii="宋体" w:hAnsi="宋体" w:eastAsia="宋体" w:cs="宋体"/>
        </w:rPr>
        <w:t>磋商小组发现竞争性磋商文件存在歧义、重大缺陷导致评标工作无法进行，或者竞争性磋商文件内容违反国家有关强制性规定的，将停止评标工作，并与采购人、采购机构沟通并作书面记录。采购人、采购机构确认后，将修改竞争性磋商文件，重新组织采购活动。</w:t>
      </w:r>
    </w:p>
    <w:p w14:paraId="1BB746D1">
      <w:pPr>
        <w:pStyle w:val="28"/>
        <w:snapToGrid w:val="0"/>
        <w:spacing w:line="360" w:lineRule="auto"/>
        <w:ind w:firstLine="590" w:firstLineChars="245"/>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14:paraId="5F636533">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14:paraId="6CFD35FE">
      <w:pPr>
        <w:pStyle w:val="28"/>
        <w:snapToGrid w:val="0"/>
        <w:spacing w:line="360" w:lineRule="auto"/>
        <w:ind w:firstLine="600" w:firstLineChars="250"/>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14:paraId="64AFB72C">
      <w:pPr>
        <w:pStyle w:val="28"/>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14:paraId="20F71EE9">
      <w:pPr>
        <w:pStyle w:val="28"/>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73AF48DB">
      <w:pPr>
        <w:pStyle w:val="28"/>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4FF8B60E">
      <w:pPr>
        <w:pStyle w:val="14"/>
        <w:rPr>
          <w:rFonts w:hint="eastAsia" w:ascii="宋体" w:hAnsi="宋体" w:eastAsia="宋体" w:cs="宋体"/>
        </w:rPr>
      </w:pPr>
    </w:p>
    <w:p w14:paraId="012B081B">
      <w:pPr>
        <w:pStyle w:val="15"/>
        <w:rPr>
          <w:rFonts w:hint="eastAsia" w:ascii="宋体" w:hAnsi="宋体" w:eastAsia="宋体" w:cs="宋体"/>
        </w:rPr>
      </w:pPr>
    </w:p>
    <w:p w14:paraId="5FF04297">
      <w:pPr>
        <w:pStyle w:val="16"/>
        <w:rPr>
          <w:rFonts w:hint="eastAsia" w:ascii="宋体" w:hAnsi="宋体" w:eastAsia="宋体" w:cs="宋体"/>
        </w:rPr>
      </w:pPr>
    </w:p>
    <w:p w14:paraId="6EF4A0FE">
      <w:pPr>
        <w:rPr>
          <w:rFonts w:hint="eastAsia" w:ascii="宋体" w:hAnsi="宋体" w:eastAsia="宋体" w:cs="宋体"/>
        </w:rPr>
      </w:pPr>
    </w:p>
    <w:p w14:paraId="34D6779A">
      <w:pPr>
        <w:pStyle w:val="3"/>
        <w:rPr>
          <w:rFonts w:hint="eastAsia" w:ascii="宋体" w:hAnsi="宋体" w:eastAsia="宋体" w:cs="宋体"/>
        </w:rPr>
      </w:pPr>
    </w:p>
    <w:p w14:paraId="2FAACD5D">
      <w:pPr>
        <w:rPr>
          <w:rFonts w:hint="eastAsia" w:ascii="宋体" w:hAnsi="宋体" w:eastAsia="宋体" w:cs="宋体"/>
        </w:rPr>
      </w:pPr>
    </w:p>
    <w:p w14:paraId="5180DB5C">
      <w:pPr>
        <w:pStyle w:val="3"/>
        <w:rPr>
          <w:rFonts w:hint="eastAsia" w:ascii="宋体" w:hAnsi="宋体" w:eastAsia="宋体" w:cs="宋体"/>
        </w:rPr>
      </w:pPr>
    </w:p>
    <w:p w14:paraId="7A348293">
      <w:pPr>
        <w:rPr>
          <w:rFonts w:hint="eastAsia" w:ascii="宋体" w:hAnsi="宋体" w:eastAsia="宋体" w:cs="宋体"/>
        </w:rPr>
      </w:pPr>
    </w:p>
    <w:p w14:paraId="1AE8CB39">
      <w:pPr>
        <w:pStyle w:val="3"/>
        <w:ind w:left="0" w:leftChars="0" w:firstLine="0" w:firstLineChars="0"/>
        <w:rPr>
          <w:rFonts w:hint="eastAsia" w:ascii="宋体" w:hAnsi="宋体" w:eastAsia="宋体" w:cs="宋体"/>
        </w:rPr>
      </w:pPr>
    </w:p>
    <w:p w14:paraId="3C0BE833">
      <w:pPr>
        <w:rPr>
          <w:rFonts w:hint="eastAsia" w:ascii="宋体" w:hAnsi="宋体" w:eastAsia="宋体" w:cs="宋体"/>
        </w:rPr>
      </w:pPr>
    </w:p>
    <w:p w14:paraId="6FBCAF9A">
      <w:pPr>
        <w:pStyle w:val="4"/>
        <w:rPr>
          <w:rFonts w:hint="eastAsia"/>
        </w:rPr>
      </w:pPr>
    </w:p>
    <w:p w14:paraId="20463717">
      <w:pPr>
        <w:rPr>
          <w:rFonts w:hint="eastAsia"/>
        </w:rPr>
      </w:pPr>
    </w:p>
    <w:p w14:paraId="3AF84147">
      <w:pPr>
        <w:pStyle w:val="36"/>
        <w:rPr>
          <w:rFonts w:hint="eastAsia"/>
        </w:rPr>
      </w:pPr>
    </w:p>
    <w:p w14:paraId="4D7016AA">
      <w:pPr>
        <w:pStyle w:val="36"/>
        <w:rPr>
          <w:rFonts w:hint="eastAsia"/>
        </w:rPr>
      </w:pPr>
    </w:p>
    <w:p w14:paraId="531BCFF2">
      <w:pPr>
        <w:pStyle w:val="36"/>
        <w:rPr>
          <w:rFonts w:hint="eastAsia"/>
        </w:rPr>
      </w:pPr>
    </w:p>
    <w:p w14:paraId="53193642">
      <w:pPr>
        <w:pStyle w:val="36"/>
        <w:rPr>
          <w:rFonts w:hint="eastAsia"/>
        </w:rPr>
      </w:pPr>
    </w:p>
    <w:p w14:paraId="38D28E86">
      <w:pPr>
        <w:pStyle w:val="36"/>
        <w:rPr>
          <w:rFonts w:hint="eastAsia"/>
        </w:rPr>
      </w:pPr>
    </w:p>
    <w:p w14:paraId="5E00DA18">
      <w:pPr>
        <w:pStyle w:val="36"/>
        <w:rPr>
          <w:rFonts w:hint="eastAsia"/>
        </w:rPr>
      </w:pPr>
    </w:p>
    <w:p w14:paraId="0A184F69">
      <w:pPr>
        <w:pStyle w:val="36"/>
        <w:rPr>
          <w:rFonts w:hint="eastAsia"/>
        </w:rPr>
      </w:pPr>
    </w:p>
    <w:p w14:paraId="5F9045AF">
      <w:pPr>
        <w:pStyle w:val="36"/>
        <w:rPr>
          <w:rFonts w:hint="eastAsia"/>
        </w:rPr>
      </w:pPr>
    </w:p>
    <w:p w14:paraId="0ECB4DF8">
      <w:pPr>
        <w:pStyle w:val="36"/>
        <w:rPr>
          <w:rFonts w:hint="eastAsia"/>
        </w:rPr>
      </w:pPr>
    </w:p>
    <w:p w14:paraId="3A6C18CF">
      <w:pPr>
        <w:pStyle w:val="4"/>
        <w:spacing w:before="0" w:after="0" w:line="240" w:lineRule="auto"/>
        <w:ind w:left="0" w:firstLine="0"/>
        <w:rPr>
          <w:rFonts w:hint="eastAsia"/>
        </w:rPr>
      </w:pPr>
    </w:p>
    <w:bookmarkEnd w:id="24"/>
    <w:p w14:paraId="1E9B8C6E">
      <w:pPr>
        <w:rPr>
          <w:rFonts w:hint="eastAsia" w:ascii="宋体" w:hAnsi="宋体" w:eastAsia="宋体" w:cs="宋体"/>
        </w:rPr>
      </w:pPr>
      <w:bookmarkStart w:id="390" w:name="第五部分"/>
      <w:bookmarkStart w:id="391" w:name="_Toc86217003"/>
    </w:p>
    <w:p w14:paraId="7C7373D6">
      <w:pPr>
        <w:spacing w:line="360" w:lineRule="auto"/>
        <w:ind w:left="720" w:leftChars="343" w:firstLine="1807" w:firstLineChars="5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168C0A84">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39A07D0">
      <w:pPr>
        <w:keepNext w:val="0"/>
        <w:keepLines w:val="0"/>
        <w:pageBreakBefore w:val="0"/>
        <w:widowControl w:val="0"/>
        <w:kinsoku/>
        <w:wordWrap/>
        <w:overflowPunct/>
        <w:topLinePunct w:val="0"/>
        <w:autoSpaceDE/>
        <w:autoSpaceDN/>
        <w:bidi w:val="0"/>
        <w:adjustRightInd w:val="0"/>
        <w:snapToGrid/>
        <w:spacing w:before="0" w:beforeLines="100" w:line="240" w:lineRule="auto"/>
        <w:jc w:val="center"/>
        <w:textAlignment w:val="auto"/>
        <w:rPr>
          <w:rFonts w:hint="eastAsia" w:ascii="宋体" w:hAnsi="宋体" w:eastAsia="宋体" w:cs="宋体"/>
          <w:b/>
          <w:sz w:val="48"/>
          <w:szCs w:val="48"/>
        </w:rPr>
      </w:pPr>
      <w:r>
        <w:rPr>
          <w:rFonts w:hint="eastAsia" w:ascii="宋体" w:hAnsi="宋体" w:eastAsia="宋体" w:cs="宋体"/>
          <w:b/>
          <w:sz w:val="48"/>
          <w:szCs w:val="48"/>
        </w:rPr>
        <w:t>政府采购合同参考范本</w:t>
      </w:r>
    </w:p>
    <w:p w14:paraId="4808710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sz w:val="24"/>
          <w:lang w:eastAsia="zh-CN"/>
        </w:rPr>
      </w:pPr>
      <w:r>
        <w:rPr>
          <w:rFonts w:hint="eastAsia" w:ascii="宋体" w:hAnsi="宋体" w:cs="宋体"/>
          <w:b w:val="0"/>
          <w:bCs/>
          <w:sz w:val="24"/>
          <w:lang w:eastAsia="zh-CN"/>
        </w:rPr>
        <w:t>（具体以实际签订的合同为准）</w:t>
      </w:r>
    </w:p>
    <w:p w14:paraId="4293AEC8">
      <w:pPr>
        <w:pStyle w:val="36"/>
        <w:rPr>
          <w:rFonts w:hint="eastAsia"/>
        </w:rPr>
      </w:pPr>
    </w:p>
    <w:p w14:paraId="5B5768C9">
      <w:pPr>
        <w:pStyle w:val="701"/>
        <w:rPr>
          <w:rFonts w:hint="eastAsia" w:ascii="宋体" w:hAnsi="宋体" w:eastAsia="宋体" w:cs="宋体"/>
          <w:szCs w:val="24"/>
        </w:rPr>
      </w:pPr>
    </w:p>
    <w:p w14:paraId="4FE193DE">
      <w:pPr>
        <w:pStyle w:val="701"/>
        <w:rPr>
          <w:rFonts w:hint="eastAsia" w:ascii="宋体" w:hAnsi="宋体" w:eastAsia="宋体" w:cs="宋体"/>
          <w:szCs w:val="24"/>
        </w:rPr>
      </w:pPr>
    </w:p>
    <w:p w14:paraId="565CAA7B">
      <w:pPr>
        <w:pStyle w:val="28"/>
        <w:rPr>
          <w:rFonts w:hint="eastAsia"/>
        </w:rPr>
      </w:pPr>
    </w:p>
    <w:p w14:paraId="010FDEE4">
      <w:pPr>
        <w:pStyle w:val="701"/>
        <w:jc w:val="center"/>
        <w:rPr>
          <w:rFonts w:hint="eastAsia" w:ascii="宋体" w:hAnsi="宋体" w:eastAsia="宋体" w:cs="宋体"/>
          <w:szCs w:val="24"/>
        </w:rPr>
      </w:pPr>
    </w:p>
    <w:p w14:paraId="1C8A7235">
      <w:pPr>
        <w:pStyle w:val="701"/>
        <w:ind w:firstLine="2843" w:firstLineChars="1180"/>
        <w:rPr>
          <w:rFonts w:hint="eastAsia" w:ascii="宋体" w:hAnsi="宋体" w:eastAsia="宋体" w:cs="宋体"/>
          <w:szCs w:val="24"/>
        </w:rPr>
      </w:pPr>
      <w:r>
        <w:rPr>
          <w:rFonts w:hint="eastAsia" w:ascii="宋体" w:hAnsi="宋体" w:eastAsia="宋体" w:cs="宋体"/>
          <w:b/>
          <w:szCs w:val="24"/>
        </w:rPr>
        <w:t>第一部分 合同书</w:t>
      </w:r>
    </w:p>
    <w:p w14:paraId="79022CD7">
      <w:pPr>
        <w:pStyle w:val="701"/>
        <w:rPr>
          <w:rFonts w:hint="eastAsia" w:ascii="宋体" w:hAnsi="宋体" w:eastAsia="宋体" w:cs="宋体"/>
          <w:szCs w:val="24"/>
        </w:rPr>
      </w:pPr>
    </w:p>
    <w:p w14:paraId="0D3B5171">
      <w:pPr>
        <w:pStyle w:val="28"/>
        <w:rPr>
          <w:rFonts w:hint="eastAsia" w:ascii="宋体" w:hAnsi="宋体" w:eastAsia="宋体" w:cs="宋体"/>
          <w:szCs w:val="24"/>
        </w:rPr>
      </w:pPr>
    </w:p>
    <w:p w14:paraId="3020877F">
      <w:pPr>
        <w:pStyle w:val="14"/>
        <w:rPr>
          <w:rFonts w:hint="eastAsia" w:ascii="宋体" w:hAnsi="宋体" w:eastAsia="宋体" w:cs="宋体"/>
          <w:szCs w:val="24"/>
        </w:rPr>
      </w:pPr>
    </w:p>
    <w:p w14:paraId="07AB984B">
      <w:pPr>
        <w:pStyle w:val="15"/>
        <w:rPr>
          <w:rFonts w:hint="eastAsia" w:ascii="宋体" w:hAnsi="宋体" w:eastAsia="宋体" w:cs="宋体"/>
          <w:szCs w:val="24"/>
        </w:rPr>
      </w:pPr>
    </w:p>
    <w:p w14:paraId="5116C90D">
      <w:pPr>
        <w:pStyle w:val="16"/>
        <w:rPr>
          <w:rFonts w:hint="eastAsia"/>
        </w:rPr>
      </w:pPr>
    </w:p>
    <w:p w14:paraId="2F456A0A">
      <w:pPr>
        <w:pStyle w:val="28"/>
        <w:rPr>
          <w:rFonts w:hint="eastAsia"/>
        </w:rPr>
      </w:pPr>
    </w:p>
    <w:p w14:paraId="42E25EF1">
      <w:pPr>
        <w:spacing w:before="120" w:line="22" w:lineRule="atLeast"/>
        <w:rPr>
          <w:rFonts w:hint="eastAsia" w:ascii="宋体" w:hAnsi="宋体" w:eastAsia="宋体" w:cs="宋体"/>
          <w:sz w:val="24"/>
        </w:rPr>
      </w:pPr>
    </w:p>
    <w:p w14:paraId="4E634966">
      <w:pPr>
        <w:spacing w:before="120" w:line="22" w:lineRule="atLeast"/>
        <w:ind w:left="960" w:firstLine="480" w:firstLineChars="20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506ACBC8">
      <w:pPr>
        <w:pStyle w:val="598"/>
        <w:spacing w:before="120" w:line="22" w:lineRule="atLeast"/>
        <w:rPr>
          <w:rFonts w:hint="eastAsia" w:ascii="宋体" w:hAnsi="宋体" w:eastAsia="宋体" w:cs="宋体"/>
          <w:szCs w:val="24"/>
        </w:rPr>
      </w:pPr>
    </w:p>
    <w:p w14:paraId="49D0DE90">
      <w:pPr>
        <w:rPr>
          <w:rFonts w:hint="eastAsia" w:ascii="宋体" w:hAnsi="宋体" w:eastAsia="宋体" w:cs="宋体"/>
          <w:sz w:val="24"/>
        </w:rPr>
      </w:pPr>
    </w:p>
    <w:p w14:paraId="344262F5">
      <w:pPr>
        <w:spacing w:before="120" w:line="22" w:lineRule="atLeast"/>
        <w:ind w:left="960" w:firstLine="480" w:firstLineChars="20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0D433998">
      <w:pPr>
        <w:spacing w:before="120" w:line="22" w:lineRule="atLeast"/>
        <w:rPr>
          <w:rFonts w:hint="eastAsia" w:ascii="宋体" w:hAnsi="宋体" w:eastAsia="宋体" w:cs="宋体"/>
          <w:sz w:val="24"/>
        </w:rPr>
      </w:pPr>
    </w:p>
    <w:p w14:paraId="6200C0BE">
      <w:pPr>
        <w:spacing w:before="120" w:line="22" w:lineRule="atLeast"/>
        <w:ind w:left="960" w:firstLine="480" w:firstLineChars="20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028ECBD8">
      <w:pPr>
        <w:spacing w:before="120" w:line="22" w:lineRule="atLeast"/>
        <w:rPr>
          <w:rFonts w:hint="eastAsia" w:ascii="宋体" w:hAnsi="宋体" w:eastAsia="宋体" w:cs="宋体"/>
          <w:sz w:val="24"/>
        </w:rPr>
      </w:pPr>
    </w:p>
    <w:p w14:paraId="72502AAE">
      <w:pPr>
        <w:spacing w:before="120" w:line="22" w:lineRule="atLeast"/>
        <w:ind w:firstLine="1440" w:firstLineChars="6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4A13C8CB">
      <w:pPr>
        <w:spacing w:before="120" w:line="22" w:lineRule="atLeast"/>
        <w:rPr>
          <w:rFonts w:hint="eastAsia" w:ascii="宋体" w:hAnsi="宋体" w:eastAsia="宋体" w:cs="宋体"/>
          <w:sz w:val="24"/>
        </w:rPr>
      </w:pPr>
    </w:p>
    <w:p w14:paraId="39C28CFD">
      <w:pPr>
        <w:spacing w:before="120" w:line="22" w:lineRule="atLeast"/>
        <w:ind w:firstLine="1440" w:firstLineChars="6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132A4511">
      <w:pPr>
        <w:spacing w:line="560" w:lineRule="exact"/>
        <w:ind w:firstLine="480" w:firstLineChars="200"/>
        <w:rPr>
          <w:rFonts w:hint="eastAsia" w:ascii="宋体" w:hAnsi="宋体" w:eastAsia="宋体" w:cs="宋体"/>
          <w:sz w:val="24"/>
          <w:u w:val="single"/>
          <w:lang w:val="en-US" w:eastAsia="zh-CN"/>
        </w:rPr>
      </w:pPr>
    </w:p>
    <w:p w14:paraId="03758A45">
      <w:pPr>
        <w:spacing w:line="560" w:lineRule="exact"/>
        <w:ind w:firstLine="480" w:firstLineChars="200"/>
        <w:rPr>
          <w:rFonts w:hint="eastAsia" w:ascii="宋体" w:hAnsi="宋体" w:eastAsia="宋体" w:cs="宋体"/>
          <w:sz w:val="24"/>
          <w:u w:val="single"/>
          <w:lang w:val="en-US" w:eastAsia="zh-CN"/>
        </w:rPr>
      </w:pPr>
    </w:p>
    <w:p w14:paraId="79B99337">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年</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月</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cs="宋体"/>
          <w:sz w:val="24"/>
          <w:u w:val="single"/>
          <w:lang w:eastAsia="zh-CN"/>
        </w:rPr>
        <w:t>桐庐县卫生健康局</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竞争性磋商</w:t>
      </w:r>
      <w:r>
        <w:rPr>
          <w:rFonts w:hint="eastAsia" w:ascii="宋体" w:hAnsi="宋体" w:eastAsia="宋体" w:cs="宋体"/>
          <w:sz w:val="24"/>
          <w:lang w:val="en-US" w:eastAsia="zh-CN"/>
        </w:rPr>
        <w:t>方式</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cs="宋体"/>
          <w:sz w:val="24"/>
          <w:u w:val="single"/>
          <w:lang w:eastAsia="zh-CN"/>
        </w:rPr>
        <w:t>2025年度桐庐县计生系列保险服务项目</w:t>
      </w:r>
      <w:r>
        <w:rPr>
          <w:rFonts w:hint="eastAsia" w:ascii="宋体" w:hAnsi="宋体" w:eastAsia="宋体" w:cs="宋体"/>
          <w:sz w:val="24"/>
          <w:u w:val="single"/>
        </w:rPr>
        <w:t xml:space="preserve"> </w:t>
      </w:r>
      <w:r>
        <w:rPr>
          <w:rFonts w:hint="eastAsia" w:ascii="宋体" w:hAnsi="宋体" w:eastAsia="宋体" w:cs="宋体"/>
          <w:sz w:val="24"/>
        </w:rPr>
        <w:t>项目进行了采购。经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评审专家</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（中标供应商名称）</w:t>
      </w:r>
      <w:r>
        <w:rPr>
          <w:rFonts w:hint="eastAsia" w:ascii="宋体" w:hAnsi="宋体" w:eastAsia="宋体" w:cs="宋体"/>
          <w:sz w:val="24"/>
        </w:rPr>
        <w:t>为该项目中标供应商。现于中标通知书发出之日起三十日内，按照采购文件确定的事项签订本合同。</w:t>
      </w:r>
    </w:p>
    <w:p w14:paraId="5FB61622">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u w:val="single"/>
        </w:rPr>
        <w:t xml:space="preserve">   </w:t>
      </w:r>
      <w:r>
        <w:rPr>
          <w:rFonts w:hint="eastAsia" w:ascii="宋体" w:hAnsi="宋体" w:cs="宋体"/>
          <w:sz w:val="24"/>
          <w:u w:val="single"/>
          <w:lang w:eastAsia="zh-CN"/>
        </w:rPr>
        <w:t>桐庐县卫生健康局</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4511BFC6">
      <w:pPr>
        <w:spacing w:line="560" w:lineRule="exact"/>
        <w:ind w:firstLine="482" w:firstLineChars="200"/>
        <w:outlineLvl w:val="0"/>
        <w:rPr>
          <w:rFonts w:hint="eastAsia" w:asciiTheme="minorEastAsia" w:hAnsiTheme="minorEastAsia" w:eastAsiaTheme="minorEastAsia" w:cstheme="minorEastAsia"/>
          <w:b/>
          <w:sz w:val="24"/>
        </w:rPr>
      </w:pPr>
      <w:bookmarkStart w:id="392" w:name="_Toc3029"/>
      <w:bookmarkStart w:id="393" w:name="_Toc2232"/>
      <w:bookmarkStart w:id="394" w:name="_Toc24059"/>
      <w:r>
        <w:rPr>
          <w:rFonts w:hint="eastAsia" w:asciiTheme="minorEastAsia" w:hAnsiTheme="minorEastAsia" w:eastAsiaTheme="minorEastAsia" w:cstheme="minorEastAsia"/>
          <w:b/>
          <w:sz w:val="24"/>
        </w:rPr>
        <w:t>1.1 合同组成部分</w:t>
      </w:r>
      <w:bookmarkEnd w:id="392"/>
      <w:bookmarkEnd w:id="393"/>
      <w:bookmarkEnd w:id="394"/>
    </w:p>
    <w:p w14:paraId="3B99E862">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58708A">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1.1.1 本合同及其补充合同、变更协议；</w:t>
      </w:r>
    </w:p>
    <w:p w14:paraId="3374A518">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1.1.2 中标通知书；</w:t>
      </w:r>
    </w:p>
    <w:p w14:paraId="3B74C7BA">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1.1.3 投标文件（含澄清或者说明文件）；</w:t>
      </w:r>
    </w:p>
    <w:p w14:paraId="498B6CFA">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1.1.4 </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文件（含澄清或者修改文件）；</w:t>
      </w:r>
    </w:p>
    <w:p w14:paraId="165DDE5B">
      <w:pPr>
        <w:spacing w:line="5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1.1.5 其他相关采购文件。</w:t>
      </w:r>
    </w:p>
    <w:p w14:paraId="76B79EE2">
      <w:pPr>
        <w:spacing w:line="560" w:lineRule="exact"/>
        <w:ind w:firstLine="482" w:firstLineChars="200"/>
        <w:outlineLvl w:val="0"/>
        <w:rPr>
          <w:rFonts w:hint="eastAsia" w:asciiTheme="minorEastAsia" w:hAnsiTheme="minorEastAsia" w:eastAsiaTheme="minorEastAsia" w:cstheme="minorEastAsia"/>
        </w:rPr>
      </w:pPr>
      <w:bookmarkStart w:id="395" w:name="_Toc21295"/>
      <w:bookmarkStart w:id="396" w:name="_Toc27126"/>
      <w:bookmarkStart w:id="397" w:name="_Toc24300"/>
      <w:r>
        <w:rPr>
          <w:rFonts w:hint="eastAsia" w:asciiTheme="minorEastAsia" w:hAnsiTheme="minorEastAsia" w:eastAsiaTheme="minorEastAsia" w:cstheme="minorEastAsia"/>
          <w:b/>
          <w:sz w:val="24"/>
        </w:rPr>
        <w:t xml:space="preserve">1.2 </w:t>
      </w:r>
      <w:bookmarkEnd w:id="395"/>
      <w:bookmarkEnd w:id="396"/>
      <w:bookmarkEnd w:id="397"/>
      <w:r>
        <w:rPr>
          <w:rFonts w:hint="eastAsia" w:asciiTheme="minorEastAsia" w:hAnsiTheme="minorEastAsia" w:eastAsiaTheme="minorEastAsia" w:cstheme="minorEastAsia"/>
          <w:b/>
          <w:sz w:val="24"/>
        </w:rPr>
        <w:t>服务</w:t>
      </w:r>
    </w:p>
    <w:p w14:paraId="30605534">
      <w:pPr>
        <w:spacing w:line="56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 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6FB94760">
      <w:pPr>
        <w:spacing w:line="560" w:lineRule="exact"/>
        <w:ind w:firstLine="480" w:firstLineChars="200"/>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 项目内容：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09D1A04A">
      <w:pPr>
        <w:spacing w:line="5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1.2.3 服务要求：</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14:paraId="57486A72">
      <w:pPr>
        <w:spacing w:line="560" w:lineRule="exact"/>
        <w:ind w:firstLine="482" w:firstLineChars="200"/>
        <w:outlineLvl w:val="0"/>
        <w:rPr>
          <w:rFonts w:hint="eastAsia" w:asciiTheme="minorEastAsia" w:hAnsiTheme="minorEastAsia" w:eastAsiaTheme="minorEastAsia" w:cstheme="minorEastAsia"/>
          <w:b/>
          <w:sz w:val="24"/>
        </w:rPr>
      </w:pPr>
      <w:bookmarkStart w:id="398" w:name="_Toc23292"/>
      <w:bookmarkStart w:id="399" w:name="_Toc21631"/>
      <w:bookmarkStart w:id="400" w:name="_Toc21551"/>
      <w:r>
        <w:rPr>
          <w:rFonts w:hint="eastAsia" w:asciiTheme="minorEastAsia" w:hAnsiTheme="minorEastAsia" w:eastAsiaTheme="minorEastAsia" w:cstheme="minorEastAsia"/>
          <w:b/>
          <w:sz w:val="24"/>
        </w:rPr>
        <w:t>1.3 价款</w:t>
      </w:r>
      <w:bookmarkEnd w:id="398"/>
      <w:bookmarkEnd w:id="399"/>
      <w:bookmarkEnd w:id="400"/>
    </w:p>
    <w:p w14:paraId="43874016">
      <w:pPr>
        <w:spacing w:line="5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本合同总价为：￥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元人民币）。</w:t>
      </w:r>
    </w:p>
    <w:p w14:paraId="5FB2EC3D">
      <w:pPr>
        <w:spacing w:line="560" w:lineRule="exact"/>
        <w:ind w:firstLine="482" w:firstLineChars="200"/>
        <w:outlineLvl w:val="0"/>
        <w:rPr>
          <w:rFonts w:hint="eastAsia" w:asciiTheme="minorEastAsia" w:hAnsiTheme="minorEastAsia" w:eastAsiaTheme="minorEastAsia" w:cstheme="minorEastAsia"/>
          <w:b/>
          <w:sz w:val="24"/>
        </w:rPr>
      </w:pPr>
      <w:bookmarkStart w:id="401" w:name="_Toc22618"/>
      <w:bookmarkStart w:id="402" w:name="_Toc1814"/>
      <w:bookmarkStart w:id="403" w:name="_Toc10340"/>
      <w:r>
        <w:rPr>
          <w:rFonts w:hint="eastAsia" w:asciiTheme="minorEastAsia" w:hAnsiTheme="minorEastAsia" w:eastAsiaTheme="minorEastAsia" w:cstheme="minorEastAsia"/>
          <w:b/>
          <w:sz w:val="24"/>
        </w:rPr>
        <w:t>1.4 付款</w:t>
      </w:r>
      <w:bookmarkEnd w:id="401"/>
      <w:bookmarkEnd w:id="402"/>
      <w:bookmarkEnd w:id="403"/>
      <w:r>
        <w:rPr>
          <w:rFonts w:hint="eastAsia" w:asciiTheme="minorEastAsia" w:hAnsiTheme="minorEastAsia" w:eastAsiaTheme="minorEastAsia" w:cstheme="minorEastAsia"/>
          <w:b/>
          <w:sz w:val="24"/>
        </w:rPr>
        <w:t>方式、时间和条件</w:t>
      </w:r>
    </w:p>
    <w:p w14:paraId="6103048D">
      <w:pPr>
        <w:pStyle w:val="959"/>
        <w:spacing w:before="0" w:beforeAutospacing="0" w:after="0" w:afterAutospacing="0" w:line="360" w:lineRule="auto"/>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1.4.1 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A24F47F">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1.4.2 甲方迟延支付乙方款项的，向乙方支付逾期利息。双方可以在合同专用条款中约定逾期利率，约定利率不得低于合同订立时1年期贷款市场报价利率；未作约定的，按照每日利率万分之五支付逾期利息。</w:t>
      </w:r>
    </w:p>
    <w:p w14:paraId="7E34F4EE">
      <w:pPr>
        <w:spacing w:line="560" w:lineRule="exact"/>
        <w:ind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rPr>
        <w:t>1.4.3 资金支付的方式：</w:t>
      </w:r>
    </w:p>
    <w:p w14:paraId="5057D234">
      <w:pPr>
        <w:spacing w:line="560" w:lineRule="exact"/>
        <w:ind w:firstLine="482" w:firstLineChars="200"/>
        <w:outlineLvl w:val="0"/>
        <w:rPr>
          <w:rFonts w:hint="eastAsia" w:asciiTheme="minorEastAsia" w:hAnsiTheme="minorEastAsia" w:eastAsiaTheme="minorEastAsia" w:cstheme="minorEastAsia"/>
          <w:b/>
          <w:sz w:val="24"/>
        </w:rPr>
      </w:pPr>
      <w:bookmarkStart w:id="404" w:name="_Toc19554"/>
      <w:bookmarkStart w:id="405" w:name="_Toc27250"/>
      <w:bookmarkStart w:id="406" w:name="_Toc21423"/>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eastAsia="zh-CN"/>
        </w:rPr>
        <w:t>5</w:t>
      </w:r>
      <w:r>
        <w:rPr>
          <w:rFonts w:hint="eastAsia" w:asciiTheme="minorEastAsia" w:hAnsiTheme="minorEastAsia" w:eastAsiaTheme="minorEastAsia" w:cstheme="minorEastAsia"/>
          <w:b/>
          <w:sz w:val="24"/>
        </w:rPr>
        <w:t xml:space="preserve"> 违约责任</w:t>
      </w:r>
      <w:bookmarkEnd w:id="404"/>
      <w:bookmarkEnd w:id="405"/>
      <w:bookmarkEnd w:id="406"/>
    </w:p>
    <w:p w14:paraId="08B8D0C3">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.1 除不可抗力外，如果乙方没有按照本合同约定的期限、地点和方式交付项目编制成果，那么甲方可要求乙方支付违约金，违约金按每迟延交付项目编制成果一日的应交付而未交付项目价格的</w:t>
      </w:r>
      <w:r>
        <w:rPr>
          <w:rFonts w:hint="eastAsia" w:asciiTheme="minorEastAsia" w:hAnsiTheme="minorEastAsia" w:eastAsiaTheme="minorEastAsia" w:cstheme="minorEastAsia"/>
          <w:sz w:val="24"/>
          <w:u w:val="single"/>
        </w:rPr>
        <w:t xml:space="preserve">  0.05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20  </w:t>
      </w:r>
      <w:r>
        <w:rPr>
          <w:rFonts w:hint="eastAsia" w:asciiTheme="minorEastAsia" w:hAnsiTheme="minorEastAsia" w:eastAsiaTheme="minorEastAsia" w:cstheme="minorEastAsia"/>
          <w:sz w:val="24"/>
        </w:rPr>
        <w:t>%；迟延交付项目的违约金计算数额达到前述最高限额之日起，甲方有权在要求乙方支付违约金的同时，书面通知乙方解除本合同；</w:t>
      </w:r>
    </w:p>
    <w:p w14:paraId="21F8D9F5">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011F14C">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575B0B2">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CF84EC7">
      <w:pPr>
        <w:spacing w:line="560" w:lineRule="exact"/>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.5 如果出现采购监督管理部门在处理投诉事项期间，书面通知甲方暂停采购活动的情形，或者询问或质疑事项可能影响中标结果的，导致甲方中止履行合同的情形，均不视为甲方违约。</w:t>
      </w:r>
    </w:p>
    <w:p w14:paraId="6AEF39DA">
      <w:pPr>
        <w:spacing w:line="560" w:lineRule="exact"/>
        <w:ind w:firstLine="482" w:firstLineChars="200"/>
        <w:outlineLvl w:val="0"/>
        <w:rPr>
          <w:rFonts w:hint="eastAsia" w:asciiTheme="minorEastAsia" w:hAnsiTheme="minorEastAsia" w:eastAsiaTheme="minorEastAsia" w:cstheme="minorEastAsia"/>
          <w:b/>
          <w:sz w:val="24"/>
        </w:rPr>
      </w:pPr>
      <w:bookmarkStart w:id="407" w:name="_Toc15583"/>
      <w:bookmarkStart w:id="408" w:name="_Toc28375"/>
      <w:bookmarkStart w:id="409" w:name="_Toc16021"/>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eastAsia="zh-CN"/>
        </w:rPr>
        <w:t>6</w:t>
      </w:r>
      <w:r>
        <w:rPr>
          <w:rFonts w:hint="eastAsia" w:asciiTheme="minorEastAsia" w:hAnsiTheme="minorEastAsia" w:eastAsiaTheme="minorEastAsia" w:cstheme="minorEastAsia"/>
          <w:b/>
          <w:sz w:val="24"/>
        </w:rPr>
        <w:t xml:space="preserve"> 合同争议的解决</w:t>
      </w:r>
      <w:bookmarkEnd w:id="407"/>
      <w:bookmarkEnd w:id="408"/>
      <w:bookmarkEnd w:id="409"/>
    </w:p>
    <w:p w14:paraId="5BC62613">
      <w:pPr>
        <w:spacing w:line="560" w:lineRule="exact"/>
        <w:ind w:left="-61" w:leftChars="-29" w:right="-420" w:rightChars="-200"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 xml:space="preserve">  本合同履行过程中发生的任何争议，双方当事人均可通过和解或者调解解决；不愿和解、调解或者和解、调解不成的，可以选择向</w:t>
      </w:r>
      <w:r>
        <w:rPr>
          <w:rFonts w:hint="eastAsia" w:asciiTheme="minorEastAsia" w:hAnsiTheme="minorEastAsia" w:eastAsiaTheme="minorEastAsia" w:cstheme="minorEastAsia"/>
          <w:sz w:val="24"/>
          <w:lang w:val="en-US" w:eastAsia="zh-CN"/>
        </w:rPr>
        <w:t>桐庐县</w:t>
      </w:r>
      <w:r>
        <w:rPr>
          <w:rFonts w:hint="eastAsia" w:asciiTheme="minorEastAsia" w:hAnsiTheme="minorEastAsia" w:eastAsiaTheme="minorEastAsia" w:cstheme="minorEastAsia"/>
          <w:sz w:val="24"/>
        </w:rPr>
        <w:t>人民法院起诉。</w:t>
      </w:r>
    </w:p>
    <w:p w14:paraId="4B55408F">
      <w:pPr>
        <w:spacing w:line="560" w:lineRule="exact"/>
        <w:ind w:firstLine="482" w:firstLineChars="200"/>
        <w:outlineLvl w:val="0"/>
        <w:rPr>
          <w:rFonts w:hint="eastAsia" w:asciiTheme="minorEastAsia" w:hAnsiTheme="minorEastAsia" w:eastAsiaTheme="minorEastAsia" w:cstheme="minorEastAsia"/>
          <w:b/>
          <w:sz w:val="24"/>
        </w:rPr>
      </w:pPr>
      <w:bookmarkStart w:id="410" w:name="_Toc7245"/>
      <w:bookmarkStart w:id="411" w:name="_Toc15322"/>
      <w:bookmarkStart w:id="412" w:name="_Toc11173"/>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eastAsia="zh-CN"/>
        </w:rPr>
        <w:t>7</w:t>
      </w:r>
      <w:r>
        <w:rPr>
          <w:rFonts w:hint="eastAsia" w:asciiTheme="minorEastAsia" w:hAnsiTheme="minorEastAsia" w:eastAsiaTheme="minorEastAsia" w:cstheme="minorEastAsia"/>
          <w:b/>
          <w:sz w:val="24"/>
        </w:rPr>
        <w:t xml:space="preserve"> 合同生效</w:t>
      </w:r>
      <w:bookmarkEnd w:id="410"/>
      <w:bookmarkEnd w:id="411"/>
      <w:bookmarkEnd w:id="412"/>
    </w:p>
    <w:p w14:paraId="117F9DFB">
      <w:pPr>
        <w:spacing w:line="5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本合同自双方当事人盖章或者签字时生效。</w:t>
      </w:r>
    </w:p>
    <w:p w14:paraId="59BFFA82">
      <w:pPr>
        <w:tabs>
          <w:tab w:val="left" w:pos="868"/>
        </w:tabs>
        <w:spacing w:line="560" w:lineRule="exact"/>
        <w:ind w:firstLine="482" w:firstLineChars="200"/>
        <w:outlineLvl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w:t>
      </w:r>
      <w:r>
        <w:rPr>
          <w:rFonts w:hint="eastAsia" w:asciiTheme="minorEastAsia" w:hAnsiTheme="minorEastAsia" w:eastAsiaTheme="minorEastAsia" w:cstheme="minorEastAsia"/>
          <w:b/>
          <w:sz w:val="24"/>
          <w:lang w:val="en-US" w:eastAsia="zh-CN"/>
        </w:rPr>
        <w:t>8</w:t>
      </w:r>
      <w:r>
        <w:rPr>
          <w:rFonts w:hint="eastAsia" w:asciiTheme="minorEastAsia" w:hAnsiTheme="minorEastAsia" w:eastAsiaTheme="minorEastAsia" w:cstheme="minorEastAsia"/>
          <w:b/>
          <w:sz w:val="24"/>
        </w:rPr>
        <w:t xml:space="preserve"> 合同份数</w:t>
      </w:r>
    </w:p>
    <w:p w14:paraId="7CB20D00">
      <w:pPr>
        <w:spacing w:line="560" w:lineRule="exact"/>
        <w:ind w:firstLine="480" w:firstLineChars="200"/>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 w:val="24"/>
        </w:rPr>
        <w:t>本合同正本一式柒份，每份均具有同等法律效力，甲方执叁份，乙方执贰份，代理公司存档贰份。</w:t>
      </w:r>
    </w:p>
    <w:p w14:paraId="00106924">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b/>
          <w:sz w:val="24"/>
          <w:lang w:val="zh-CN"/>
        </w:rPr>
        <w:t>甲方</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b/>
          <w:sz w:val="24"/>
          <w:lang w:val="zh-CN"/>
        </w:rPr>
        <w:t xml:space="preserve">      乙方</w:t>
      </w:r>
      <w:r>
        <w:rPr>
          <w:rFonts w:hint="eastAsia" w:asciiTheme="minorEastAsia" w:hAnsiTheme="minorEastAsia" w:eastAsiaTheme="minorEastAsia" w:cstheme="minorEastAsia"/>
          <w:sz w:val="24"/>
          <w:lang w:val="zh-CN"/>
        </w:rPr>
        <w:t>：</w:t>
      </w:r>
    </w:p>
    <w:p w14:paraId="1B7E1E2A">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统一社会信用代码：                       统一社会信用代码或身份证号码：</w:t>
      </w:r>
    </w:p>
    <w:p w14:paraId="3CDD6753">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住所：                                   住所：</w:t>
      </w:r>
    </w:p>
    <w:p w14:paraId="1A415305">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法定代表人或授权代表（签字）：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zh-CN"/>
        </w:rPr>
        <w:t xml:space="preserve">法定代表人或授权代表（签字）:                 </w:t>
      </w:r>
    </w:p>
    <w:p w14:paraId="38297E10">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联系人：                                 联系人：</w:t>
      </w:r>
    </w:p>
    <w:p w14:paraId="3FF5FAB7">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邮政编码：                               邮政编码：</w:t>
      </w:r>
    </w:p>
    <w:p w14:paraId="38337E00">
      <w:pPr>
        <w:autoSpaceDE w:val="0"/>
        <w:autoSpaceDN w:val="0"/>
        <w:spacing w:line="56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电话:                                    电话: </w:t>
      </w:r>
    </w:p>
    <w:p w14:paraId="046525B3">
      <w:pPr>
        <w:autoSpaceDE w:val="0"/>
        <w:autoSpaceDN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电子邮箱：                               电子邮箱：</w:t>
      </w:r>
    </w:p>
    <w:p w14:paraId="58BA8848">
      <w:pPr>
        <w:autoSpaceDE w:val="0"/>
        <w:autoSpaceDN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开户银行：                               开户银行： </w:t>
      </w:r>
    </w:p>
    <w:p w14:paraId="4DE764D3">
      <w:pPr>
        <w:autoSpaceDE w:val="0"/>
        <w:autoSpaceDN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开户名称：                               开户名称： </w:t>
      </w:r>
    </w:p>
    <w:p w14:paraId="2CD8B56B">
      <w:pPr>
        <w:autoSpaceDE w:val="0"/>
        <w:autoSpaceDN w:val="0"/>
        <w:spacing w:line="560" w:lineRule="exact"/>
        <w:rPr>
          <w:rFonts w:hint="eastAsia"/>
        </w:rPr>
      </w:pPr>
      <w:r>
        <w:rPr>
          <w:rFonts w:hint="eastAsia" w:asciiTheme="minorEastAsia" w:hAnsiTheme="minorEastAsia" w:eastAsiaTheme="minorEastAsia" w:cstheme="minorEastAsia"/>
          <w:sz w:val="24"/>
        </w:rPr>
        <w:t>开户账号：</w:t>
      </w:r>
      <w:r>
        <w:rPr>
          <w:rFonts w:hint="eastAsia" w:asciiTheme="minorEastAsia" w:hAnsiTheme="minorEastAsia" w:eastAsiaTheme="minorEastAsia" w:cstheme="minorEastAsia"/>
          <w:sz w:val="24"/>
          <w:lang w:val="zh-CN"/>
        </w:rPr>
        <w:t xml:space="preserve">                               </w:t>
      </w:r>
      <w:r>
        <w:rPr>
          <w:rFonts w:hint="eastAsia" w:asciiTheme="minorEastAsia" w:hAnsiTheme="minorEastAsia" w:eastAsiaTheme="minorEastAsia" w:cstheme="minorEastAsia"/>
          <w:sz w:val="24"/>
        </w:rPr>
        <w:t>开户账号：</w:t>
      </w:r>
    </w:p>
    <w:p w14:paraId="3A476E6E">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0"/>
      <w:r>
        <w:rPr>
          <w:rFonts w:hint="eastAsia" w:ascii="宋体" w:hAnsi="宋体" w:eastAsia="宋体" w:cs="宋体"/>
          <w:b/>
          <w:sz w:val="36"/>
          <w:szCs w:val="20"/>
        </w:rPr>
        <w:t xml:space="preserve"> </w:t>
      </w:r>
      <w:bookmarkEnd w:id="391"/>
      <w:r>
        <w:rPr>
          <w:rFonts w:hint="eastAsia" w:ascii="宋体" w:hAnsi="宋体" w:eastAsia="宋体" w:cs="宋体"/>
          <w:b/>
          <w:sz w:val="36"/>
          <w:szCs w:val="20"/>
        </w:rPr>
        <w:t>应提交的有关格式范例</w:t>
      </w:r>
    </w:p>
    <w:p w14:paraId="46F81D04">
      <w:pPr>
        <w:spacing w:line="360" w:lineRule="auto"/>
        <w:jc w:val="center"/>
        <w:rPr>
          <w:rFonts w:hint="eastAsia" w:ascii="宋体" w:hAnsi="宋体" w:eastAsia="宋体" w:cs="宋体"/>
          <w:b/>
          <w:kern w:val="0"/>
          <w:sz w:val="36"/>
          <w:szCs w:val="36"/>
        </w:rPr>
      </w:pPr>
    </w:p>
    <w:p w14:paraId="62FFEDF6">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0C12C7E">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0816DE1D">
      <w:pPr>
        <w:spacing w:line="360" w:lineRule="auto"/>
        <w:jc w:val="center"/>
        <w:rPr>
          <w:rFonts w:hint="eastAsia" w:ascii="宋体" w:hAnsi="宋体" w:eastAsia="宋体" w:cs="宋体"/>
          <w:b/>
          <w:kern w:val="0"/>
          <w:sz w:val="36"/>
          <w:szCs w:val="36"/>
        </w:rPr>
      </w:pPr>
    </w:p>
    <w:p w14:paraId="34077F26">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614A9AB3">
      <w:pPr>
        <w:snapToGrid w:val="0"/>
        <w:spacing w:line="360" w:lineRule="auto"/>
        <w:rPr>
          <w:rFonts w:hint="eastAsia" w:ascii="宋体" w:hAnsi="宋体" w:eastAsia="宋体" w:cs="宋体"/>
          <w:sz w:val="24"/>
        </w:rPr>
      </w:pPr>
      <w:r>
        <w:rPr>
          <w:rFonts w:hint="eastAsia" w:ascii="宋体" w:hAnsi="宋体" w:eastAsia="宋体" w:cs="宋体"/>
          <w:sz w:val="24"/>
        </w:rPr>
        <w:t>（2）本项目的特定资格要求………………………………………………………（页码）</w:t>
      </w:r>
    </w:p>
    <w:p w14:paraId="0A45A560">
      <w:p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sz w:val="24"/>
          <w:lang w:val="en-US" w:eastAsia="zh-CN"/>
        </w:rPr>
        <w:t>营业执照</w:t>
      </w:r>
      <w:r>
        <w:rPr>
          <w:rFonts w:hint="eastAsia" w:ascii="宋体" w:hAnsi="宋体" w:eastAsia="宋体" w:cs="宋体"/>
          <w:sz w:val="24"/>
        </w:rPr>
        <w:t>………………………………………………………………………（页码）</w:t>
      </w:r>
    </w:p>
    <w:p w14:paraId="07A6F106">
      <w:pPr>
        <w:pStyle w:val="2"/>
        <w:rPr>
          <w:rFonts w:hint="eastAsia"/>
        </w:rPr>
      </w:pPr>
    </w:p>
    <w:p w14:paraId="68C3F00B">
      <w:pPr>
        <w:spacing w:line="360" w:lineRule="auto"/>
        <w:ind w:firstLine="480" w:firstLineChars="200"/>
        <w:rPr>
          <w:rFonts w:hint="eastAsia" w:ascii="宋体" w:hAnsi="宋体" w:eastAsia="宋体" w:cs="宋体"/>
          <w:sz w:val="24"/>
        </w:rPr>
      </w:pPr>
    </w:p>
    <w:p w14:paraId="009578DB">
      <w:pPr>
        <w:snapToGrid w:val="0"/>
        <w:spacing w:line="360" w:lineRule="auto"/>
        <w:ind w:right="480"/>
        <w:jc w:val="center"/>
        <w:rPr>
          <w:rFonts w:hint="eastAsia" w:ascii="宋体" w:hAnsi="宋体" w:eastAsia="宋体" w:cs="宋体"/>
          <w:b/>
          <w:kern w:val="0"/>
          <w:sz w:val="32"/>
          <w:szCs w:val="32"/>
        </w:rPr>
      </w:pPr>
    </w:p>
    <w:p w14:paraId="2F429CDB">
      <w:pPr>
        <w:snapToGrid w:val="0"/>
        <w:spacing w:line="360" w:lineRule="auto"/>
        <w:ind w:right="480"/>
        <w:jc w:val="center"/>
        <w:rPr>
          <w:rFonts w:hint="eastAsia" w:ascii="宋体" w:hAnsi="宋体" w:eastAsia="宋体" w:cs="宋体"/>
          <w:b/>
          <w:kern w:val="0"/>
          <w:sz w:val="32"/>
          <w:szCs w:val="32"/>
        </w:rPr>
      </w:pPr>
    </w:p>
    <w:p w14:paraId="713E4138">
      <w:pPr>
        <w:snapToGrid w:val="0"/>
        <w:spacing w:line="360" w:lineRule="auto"/>
        <w:ind w:right="480"/>
        <w:jc w:val="center"/>
        <w:rPr>
          <w:rFonts w:hint="eastAsia" w:ascii="宋体" w:hAnsi="宋体" w:eastAsia="宋体" w:cs="宋体"/>
          <w:b/>
          <w:kern w:val="0"/>
          <w:sz w:val="32"/>
          <w:szCs w:val="32"/>
        </w:rPr>
      </w:pPr>
    </w:p>
    <w:p w14:paraId="598BF18B">
      <w:pPr>
        <w:snapToGrid w:val="0"/>
        <w:spacing w:line="360" w:lineRule="auto"/>
        <w:ind w:right="480"/>
        <w:jc w:val="center"/>
        <w:rPr>
          <w:rFonts w:hint="eastAsia" w:ascii="宋体" w:hAnsi="宋体" w:eastAsia="宋体" w:cs="宋体"/>
          <w:b/>
          <w:kern w:val="0"/>
          <w:sz w:val="32"/>
          <w:szCs w:val="32"/>
        </w:rPr>
      </w:pPr>
    </w:p>
    <w:p w14:paraId="62119A57">
      <w:pPr>
        <w:snapToGrid w:val="0"/>
        <w:spacing w:line="360" w:lineRule="auto"/>
        <w:ind w:right="480"/>
        <w:jc w:val="center"/>
        <w:rPr>
          <w:rFonts w:hint="eastAsia" w:ascii="宋体" w:hAnsi="宋体" w:eastAsia="宋体" w:cs="宋体"/>
          <w:b/>
          <w:kern w:val="0"/>
          <w:sz w:val="32"/>
          <w:szCs w:val="32"/>
        </w:rPr>
      </w:pPr>
    </w:p>
    <w:p w14:paraId="7BA65ED7">
      <w:pPr>
        <w:snapToGrid w:val="0"/>
        <w:spacing w:line="360" w:lineRule="auto"/>
        <w:ind w:right="480"/>
        <w:jc w:val="center"/>
        <w:rPr>
          <w:rFonts w:hint="eastAsia" w:ascii="宋体" w:hAnsi="宋体" w:eastAsia="宋体" w:cs="宋体"/>
          <w:b/>
          <w:kern w:val="0"/>
          <w:sz w:val="32"/>
          <w:szCs w:val="32"/>
        </w:rPr>
      </w:pPr>
    </w:p>
    <w:p w14:paraId="5630B077">
      <w:pPr>
        <w:snapToGrid w:val="0"/>
        <w:spacing w:line="360" w:lineRule="auto"/>
        <w:ind w:right="480"/>
        <w:jc w:val="center"/>
        <w:rPr>
          <w:rFonts w:hint="eastAsia" w:ascii="宋体" w:hAnsi="宋体" w:eastAsia="宋体" w:cs="宋体"/>
          <w:b/>
          <w:kern w:val="0"/>
          <w:sz w:val="32"/>
          <w:szCs w:val="32"/>
        </w:rPr>
      </w:pPr>
    </w:p>
    <w:p w14:paraId="08B57AD3">
      <w:pPr>
        <w:snapToGrid w:val="0"/>
        <w:spacing w:line="360" w:lineRule="auto"/>
        <w:ind w:right="480"/>
        <w:jc w:val="center"/>
        <w:rPr>
          <w:rFonts w:hint="eastAsia" w:ascii="宋体" w:hAnsi="宋体" w:eastAsia="宋体" w:cs="宋体"/>
          <w:b/>
          <w:kern w:val="0"/>
          <w:sz w:val="32"/>
          <w:szCs w:val="32"/>
        </w:rPr>
      </w:pPr>
    </w:p>
    <w:p w14:paraId="0457DD61">
      <w:pPr>
        <w:snapToGrid w:val="0"/>
        <w:spacing w:line="360" w:lineRule="auto"/>
        <w:ind w:right="480"/>
        <w:jc w:val="center"/>
        <w:rPr>
          <w:rFonts w:hint="eastAsia" w:ascii="宋体" w:hAnsi="宋体" w:eastAsia="宋体" w:cs="宋体"/>
          <w:b/>
          <w:kern w:val="0"/>
          <w:sz w:val="32"/>
          <w:szCs w:val="32"/>
        </w:rPr>
      </w:pPr>
    </w:p>
    <w:p w14:paraId="7BB301E7">
      <w:pPr>
        <w:snapToGrid w:val="0"/>
        <w:spacing w:line="360" w:lineRule="auto"/>
        <w:ind w:right="480"/>
        <w:jc w:val="center"/>
        <w:rPr>
          <w:rFonts w:hint="eastAsia" w:ascii="宋体" w:hAnsi="宋体" w:eastAsia="宋体" w:cs="宋体"/>
          <w:b/>
          <w:kern w:val="0"/>
          <w:sz w:val="32"/>
          <w:szCs w:val="32"/>
        </w:rPr>
      </w:pPr>
    </w:p>
    <w:p w14:paraId="533DFD31">
      <w:pPr>
        <w:snapToGrid w:val="0"/>
        <w:spacing w:line="360" w:lineRule="auto"/>
        <w:ind w:right="480"/>
        <w:jc w:val="center"/>
        <w:rPr>
          <w:rFonts w:hint="eastAsia" w:ascii="宋体" w:hAnsi="宋体" w:eastAsia="宋体" w:cs="宋体"/>
          <w:b/>
          <w:kern w:val="0"/>
          <w:sz w:val="32"/>
          <w:szCs w:val="32"/>
        </w:rPr>
      </w:pPr>
    </w:p>
    <w:p w14:paraId="5A7D796C">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一、 符合参加政府采购活动应当具备的一般条件的承诺函</w:t>
      </w:r>
    </w:p>
    <w:p w14:paraId="180954CF">
      <w:pPr>
        <w:spacing w:before="120" w:beforeLines="50" w:line="360" w:lineRule="auto"/>
        <w:rPr>
          <w:rFonts w:hint="eastAsia" w:ascii="宋体" w:hAnsi="宋体" w:eastAsia="宋体" w:cs="宋体"/>
          <w:color w:val="auto"/>
          <w:sz w:val="24"/>
        </w:rPr>
      </w:pPr>
      <w:r>
        <w:rPr>
          <w:rFonts w:hint="eastAsia" w:ascii="宋体" w:hAnsi="宋体" w:cs="宋体"/>
          <w:color w:val="auto"/>
          <w:sz w:val="24"/>
          <w:lang w:eastAsia="zh-CN"/>
        </w:rPr>
        <w:t>桐庐县卫生健康局</w:t>
      </w:r>
      <w:r>
        <w:rPr>
          <w:rFonts w:hint="eastAsia" w:ascii="宋体" w:hAnsi="宋体" w:eastAsia="宋体" w:cs="宋体"/>
          <w:color w:val="auto"/>
          <w:sz w:val="24"/>
        </w:rPr>
        <w:t>、杭州全咨项目管理有限公司：</w:t>
      </w:r>
    </w:p>
    <w:p w14:paraId="03290C9D">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我方参与</w:t>
      </w:r>
      <w:r>
        <w:rPr>
          <w:rFonts w:hint="eastAsia" w:ascii="宋体" w:hAnsi="宋体" w:cs="宋体"/>
          <w:color w:val="auto"/>
          <w:sz w:val="24"/>
          <w:lang w:eastAsia="zh-CN"/>
        </w:rPr>
        <w:t>2025年度桐庐县计生系列保险服务项目</w:t>
      </w:r>
      <w:r>
        <w:rPr>
          <w:rFonts w:hint="eastAsia" w:ascii="宋体" w:hAnsi="宋体" w:eastAsia="宋体" w:cs="宋体"/>
          <w:color w:val="auto"/>
          <w:sz w:val="24"/>
        </w:rPr>
        <w:t>【招标编号：</w:t>
      </w:r>
      <w:r>
        <w:rPr>
          <w:rFonts w:hint="eastAsia" w:ascii="宋体" w:hAnsi="宋体" w:cs="宋体"/>
          <w:color w:val="auto"/>
          <w:sz w:val="24"/>
          <w:lang w:eastAsia="zh-CN"/>
        </w:rPr>
        <w:t>QZ23301222025002</w:t>
      </w:r>
      <w:r>
        <w:rPr>
          <w:rFonts w:hint="eastAsia" w:ascii="宋体" w:hAnsi="宋体" w:eastAsia="宋体" w:cs="宋体"/>
          <w:color w:val="auto"/>
          <w:sz w:val="24"/>
        </w:rPr>
        <w:t>】政府采购活动，郑重承诺：</w:t>
      </w:r>
    </w:p>
    <w:p w14:paraId="22E0E1A0">
      <w:pPr>
        <w:snapToGrid w:val="0"/>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（一）具备《中华人民共和国政府采购法》第二十二条第一款规定的条件：</w:t>
      </w:r>
    </w:p>
    <w:p w14:paraId="0A4431A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1、具有独立承担民事责任的能力；</w:t>
      </w:r>
    </w:p>
    <w:p w14:paraId="6C12E0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359126A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2B766E6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12A164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2B2C3A5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7CCD7A4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4457C0D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6DB94AE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7E947C6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332CB6F">
      <w:pPr>
        <w:pStyle w:val="3"/>
        <w:rPr>
          <w:rFonts w:hint="eastAsia" w:ascii="宋体" w:hAnsi="宋体" w:eastAsia="宋体" w:cs="宋体"/>
          <w:sz w:val="24"/>
        </w:rPr>
      </w:pPr>
    </w:p>
    <w:p w14:paraId="1AB2DDB1">
      <w:pPr>
        <w:rPr>
          <w:rFonts w:hint="eastAsia" w:ascii="宋体" w:hAnsi="宋体" w:eastAsia="宋体" w:cs="宋体"/>
          <w:sz w:val="24"/>
        </w:rPr>
      </w:pPr>
    </w:p>
    <w:p w14:paraId="4809DFF8">
      <w:pPr>
        <w:pStyle w:val="3"/>
        <w:rPr>
          <w:rFonts w:hint="eastAsia" w:ascii="宋体" w:hAnsi="宋体" w:eastAsia="宋体" w:cs="宋体"/>
          <w:sz w:val="24"/>
        </w:rPr>
      </w:pPr>
    </w:p>
    <w:p w14:paraId="2EFE0E0B">
      <w:pPr>
        <w:rPr>
          <w:rFonts w:hint="eastAsia" w:ascii="宋体" w:hAnsi="宋体" w:eastAsia="宋体" w:cs="宋体"/>
        </w:rPr>
      </w:pPr>
    </w:p>
    <w:p w14:paraId="2DD79F76">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供应商名称(电子签名)：</w:t>
      </w:r>
    </w:p>
    <w:p w14:paraId="0DD722AC">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7D99C118">
      <w:pPr>
        <w:snapToGrid w:val="0"/>
        <w:spacing w:line="360" w:lineRule="auto"/>
        <w:ind w:right="480"/>
        <w:jc w:val="center"/>
        <w:rPr>
          <w:rFonts w:hint="eastAsia" w:ascii="宋体" w:hAnsi="宋体" w:eastAsia="宋体" w:cs="宋体"/>
          <w:b/>
          <w:kern w:val="0"/>
          <w:sz w:val="32"/>
          <w:szCs w:val="32"/>
        </w:rPr>
      </w:pPr>
    </w:p>
    <w:p w14:paraId="5F971FEF">
      <w:pPr>
        <w:snapToGrid w:val="0"/>
        <w:spacing w:line="360" w:lineRule="auto"/>
        <w:ind w:right="480"/>
        <w:jc w:val="center"/>
        <w:rPr>
          <w:rFonts w:hint="eastAsia" w:ascii="宋体" w:hAnsi="宋体" w:eastAsia="宋体" w:cs="宋体"/>
          <w:b/>
          <w:kern w:val="0"/>
          <w:sz w:val="32"/>
          <w:szCs w:val="32"/>
        </w:rPr>
      </w:pPr>
    </w:p>
    <w:p w14:paraId="2CAD998C">
      <w:pPr>
        <w:rPr>
          <w:rFonts w:hint="eastAsia" w:ascii="宋体" w:hAnsi="宋体" w:eastAsia="宋体" w:cs="宋体"/>
          <w:b/>
          <w:kern w:val="0"/>
          <w:sz w:val="32"/>
          <w:szCs w:val="32"/>
        </w:rPr>
      </w:pPr>
    </w:p>
    <w:p w14:paraId="43E9D99C">
      <w:pPr>
        <w:pStyle w:val="4"/>
        <w:jc w:val="center"/>
        <w:rPr>
          <w:rFonts w:hint="eastAsia" w:ascii="宋体" w:hAnsi="宋体" w:eastAsia="宋体" w:cs="宋体"/>
          <w:bCs w:val="0"/>
          <w:kern w:val="0"/>
        </w:rPr>
      </w:pPr>
      <w:r>
        <w:rPr>
          <w:rFonts w:hint="eastAsia" w:ascii="宋体" w:hAnsi="宋体" w:eastAsia="宋体" w:cs="宋体"/>
          <w:bCs w:val="0"/>
          <w:kern w:val="0"/>
        </w:rPr>
        <w:t>二、本项目的特定资格要求</w:t>
      </w:r>
    </w:p>
    <w:p w14:paraId="20858652">
      <w:pPr>
        <w:snapToGrid w:val="0"/>
        <w:spacing w:line="360" w:lineRule="auto"/>
        <w:ind w:right="480"/>
        <w:jc w:val="center"/>
        <w:rPr>
          <w:rFonts w:hint="eastAsia" w:ascii="宋体" w:hAnsi="宋体" w:eastAsia="宋体" w:cs="宋体"/>
          <w:b/>
          <w:kern w:val="0"/>
          <w:sz w:val="32"/>
          <w:szCs w:val="32"/>
        </w:rPr>
      </w:pPr>
    </w:p>
    <w:p w14:paraId="24A7A067">
      <w:pPr>
        <w:rPr>
          <w:rFonts w:hint="eastAsia" w:ascii="宋体" w:hAnsi="宋体" w:eastAsia="宋体" w:cs="宋体"/>
        </w:rPr>
      </w:pPr>
    </w:p>
    <w:p w14:paraId="0E5D8F72">
      <w:pPr>
        <w:snapToGrid w:val="0"/>
        <w:spacing w:line="360" w:lineRule="auto"/>
        <w:ind w:right="480"/>
        <w:jc w:val="center"/>
        <w:rPr>
          <w:rFonts w:hint="eastAsia" w:ascii="宋体" w:hAnsi="宋体" w:eastAsia="宋体" w:cs="宋体"/>
          <w:b/>
          <w:kern w:val="0"/>
          <w:sz w:val="32"/>
          <w:szCs w:val="32"/>
        </w:rPr>
      </w:pPr>
    </w:p>
    <w:p w14:paraId="1D6D11DE">
      <w:pPr>
        <w:snapToGrid w:val="0"/>
        <w:spacing w:line="360" w:lineRule="auto"/>
        <w:ind w:right="480"/>
        <w:jc w:val="center"/>
        <w:rPr>
          <w:rFonts w:hint="eastAsia" w:ascii="宋体" w:hAnsi="宋体" w:eastAsia="宋体" w:cs="宋体"/>
          <w:b/>
          <w:kern w:val="0"/>
          <w:sz w:val="32"/>
          <w:szCs w:val="32"/>
        </w:rPr>
      </w:pPr>
    </w:p>
    <w:p w14:paraId="4EA6923A">
      <w:pPr>
        <w:pStyle w:val="4"/>
        <w:rPr>
          <w:rFonts w:hint="eastAsia" w:ascii="宋体" w:hAnsi="宋体" w:eastAsia="宋体" w:cs="宋体"/>
          <w:kern w:val="0"/>
        </w:rPr>
      </w:pPr>
    </w:p>
    <w:p w14:paraId="1EBDDDB7">
      <w:pPr>
        <w:rPr>
          <w:rFonts w:hint="eastAsia" w:ascii="宋体" w:hAnsi="宋体" w:eastAsia="宋体" w:cs="宋体"/>
          <w:b/>
          <w:kern w:val="0"/>
          <w:sz w:val="32"/>
          <w:szCs w:val="32"/>
        </w:rPr>
      </w:pPr>
    </w:p>
    <w:p w14:paraId="03B21C4B">
      <w:pPr>
        <w:pStyle w:val="4"/>
        <w:rPr>
          <w:rFonts w:hint="eastAsia" w:ascii="宋体" w:hAnsi="宋体" w:eastAsia="宋体" w:cs="宋体"/>
          <w:kern w:val="0"/>
        </w:rPr>
      </w:pPr>
    </w:p>
    <w:p w14:paraId="4D85B56A">
      <w:pPr>
        <w:rPr>
          <w:rFonts w:hint="eastAsia" w:ascii="宋体" w:hAnsi="宋体" w:eastAsia="宋体" w:cs="宋体"/>
          <w:b/>
          <w:kern w:val="0"/>
          <w:sz w:val="32"/>
          <w:szCs w:val="32"/>
        </w:rPr>
      </w:pPr>
    </w:p>
    <w:p w14:paraId="30F81CC8">
      <w:pPr>
        <w:pStyle w:val="4"/>
        <w:rPr>
          <w:rFonts w:hint="eastAsia" w:ascii="宋体" w:hAnsi="宋体" w:eastAsia="宋体" w:cs="宋体"/>
          <w:kern w:val="0"/>
        </w:rPr>
      </w:pPr>
    </w:p>
    <w:p w14:paraId="25A2FE95">
      <w:pPr>
        <w:rPr>
          <w:rFonts w:hint="eastAsia" w:ascii="宋体" w:hAnsi="宋体" w:eastAsia="宋体" w:cs="宋体"/>
          <w:b/>
          <w:kern w:val="0"/>
          <w:sz w:val="32"/>
          <w:szCs w:val="32"/>
        </w:rPr>
      </w:pPr>
    </w:p>
    <w:p w14:paraId="779600CE">
      <w:pPr>
        <w:pStyle w:val="4"/>
        <w:rPr>
          <w:rFonts w:hint="eastAsia" w:ascii="宋体" w:hAnsi="宋体" w:eastAsia="宋体" w:cs="宋体"/>
          <w:kern w:val="0"/>
        </w:rPr>
      </w:pPr>
    </w:p>
    <w:p w14:paraId="39F808B9">
      <w:pPr>
        <w:rPr>
          <w:rFonts w:hint="eastAsia" w:ascii="宋体" w:hAnsi="宋体" w:eastAsia="宋体" w:cs="宋体"/>
          <w:b/>
          <w:kern w:val="0"/>
          <w:sz w:val="32"/>
          <w:szCs w:val="32"/>
        </w:rPr>
      </w:pPr>
    </w:p>
    <w:p w14:paraId="5EA3ED94">
      <w:pPr>
        <w:pStyle w:val="4"/>
        <w:rPr>
          <w:rFonts w:hint="eastAsia" w:ascii="宋体" w:hAnsi="宋体" w:eastAsia="宋体" w:cs="宋体"/>
          <w:kern w:val="0"/>
        </w:rPr>
      </w:pPr>
    </w:p>
    <w:p w14:paraId="57E83FDB">
      <w:pPr>
        <w:rPr>
          <w:rFonts w:hint="eastAsia" w:ascii="宋体" w:hAnsi="宋体" w:eastAsia="宋体" w:cs="宋体"/>
          <w:b/>
          <w:kern w:val="0"/>
          <w:sz w:val="32"/>
          <w:szCs w:val="32"/>
        </w:rPr>
      </w:pPr>
    </w:p>
    <w:p w14:paraId="3BD7C2DA">
      <w:pPr>
        <w:pStyle w:val="4"/>
        <w:rPr>
          <w:rFonts w:hint="eastAsia" w:ascii="宋体" w:hAnsi="宋体" w:eastAsia="宋体" w:cs="宋体"/>
          <w:kern w:val="0"/>
        </w:rPr>
      </w:pPr>
    </w:p>
    <w:p w14:paraId="63EA7FEC">
      <w:pPr>
        <w:pStyle w:val="4"/>
        <w:ind w:left="0" w:leftChars="0" w:firstLine="0" w:firstLineChars="0"/>
        <w:rPr>
          <w:rFonts w:hint="eastAsia" w:ascii="宋体" w:hAnsi="宋体" w:eastAsia="宋体" w:cs="宋体"/>
        </w:rPr>
      </w:pPr>
    </w:p>
    <w:p w14:paraId="665FB26A">
      <w:pPr>
        <w:rPr>
          <w:rFonts w:hint="eastAsia" w:ascii="宋体" w:hAnsi="宋体" w:eastAsia="宋体" w:cs="宋体"/>
        </w:rPr>
      </w:pPr>
    </w:p>
    <w:p w14:paraId="307E0C21">
      <w:pPr>
        <w:pStyle w:val="4"/>
        <w:numPr>
          <w:ilvl w:val="0"/>
          <w:numId w:val="2"/>
        </w:numPr>
        <w:jc w:val="center"/>
        <w:rPr>
          <w:rFonts w:hint="eastAsia" w:ascii="宋体" w:hAnsi="宋体" w:eastAsia="宋体" w:cs="宋体"/>
          <w:bCs w:val="0"/>
          <w:kern w:val="0"/>
          <w:lang w:val="en-US" w:eastAsia="zh-CN"/>
        </w:rPr>
      </w:pPr>
      <w:r>
        <w:rPr>
          <w:rFonts w:hint="eastAsia" w:ascii="宋体" w:hAnsi="宋体" w:eastAsia="宋体" w:cs="宋体"/>
          <w:bCs w:val="0"/>
          <w:kern w:val="0"/>
          <w:lang w:val="en-US" w:eastAsia="zh-CN"/>
        </w:rPr>
        <w:t>营业执照</w:t>
      </w:r>
    </w:p>
    <w:p w14:paraId="747FF727">
      <w:pPr>
        <w:numPr>
          <w:ilvl w:val="0"/>
          <w:numId w:val="0"/>
        </w:numPr>
        <w:jc w:val="center"/>
        <w:rPr>
          <w:rFonts w:hint="eastAsia"/>
          <w:lang w:val="en-US" w:eastAsia="zh-CN"/>
        </w:rPr>
      </w:pPr>
      <w:r>
        <w:rPr>
          <w:rFonts w:hint="eastAsia"/>
          <w:lang w:val="en-US" w:eastAsia="zh-CN"/>
        </w:rPr>
        <w:t>注：提供有效的营业执照</w:t>
      </w:r>
    </w:p>
    <w:p w14:paraId="4E7299BD">
      <w:pPr>
        <w:rPr>
          <w:rFonts w:hint="default"/>
          <w:lang w:val="en-US" w:eastAsia="zh-CN"/>
        </w:rPr>
      </w:pPr>
      <w:r>
        <w:rPr>
          <w:rFonts w:hint="eastAsia"/>
          <w:lang w:val="en-US" w:eastAsia="zh-CN"/>
        </w:rPr>
        <w:br w:type="page"/>
      </w:r>
    </w:p>
    <w:p w14:paraId="04FE9421">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34840694">
      <w:pPr>
        <w:spacing w:line="360" w:lineRule="auto"/>
        <w:jc w:val="center"/>
        <w:rPr>
          <w:rFonts w:hint="eastAsia" w:ascii="宋体" w:hAnsi="宋体" w:eastAsia="宋体" w:cs="宋体"/>
          <w:b/>
          <w:kern w:val="0"/>
          <w:sz w:val="24"/>
        </w:rPr>
      </w:pPr>
    </w:p>
    <w:p w14:paraId="4C4DA726">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4A80D21F">
      <w:pPr>
        <w:snapToGrid w:val="0"/>
        <w:spacing w:line="360" w:lineRule="auto"/>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p>
    <w:p w14:paraId="665562CE">
      <w:pPr>
        <w:snapToGrid w:val="0"/>
        <w:spacing w:line="360" w:lineRule="auto"/>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5AECDCEF">
      <w:pPr>
        <w:snapToGrid w:val="0"/>
        <w:spacing w:line="360" w:lineRule="auto"/>
        <w:rPr>
          <w:rFonts w:hint="eastAsia" w:ascii="宋体" w:hAnsi="宋体" w:eastAsia="宋体" w:cs="宋体"/>
        </w:rPr>
      </w:pPr>
      <w:r>
        <w:rPr>
          <w:rFonts w:hint="eastAsia" w:ascii="宋体" w:hAnsi="宋体" w:eastAsia="宋体" w:cs="宋体"/>
          <w:sz w:val="24"/>
        </w:rPr>
        <w:t>（3）符合性审查资料</w:t>
      </w:r>
      <w:r>
        <w:rPr>
          <w:rFonts w:hint="eastAsia" w:ascii="宋体" w:hAnsi="宋体" w:eastAsia="宋体" w:cs="宋体"/>
        </w:rPr>
        <w:t>………………………………………………………………………（页码）</w:t>
      </w:r>
    </w:p>
    <w:p w14:paraId="620C2665">
      <w:pPr>
        <w:snapToGrid w:val="0"/>
        <w:spacing w:line="360" w:lineRule="auto"/>
        <w:rPr>
          <w:rFonts w:hint="eastAsia" w:ascii="宋体" w:hAnsi="宋体" w:eastAsia="宋体" w:cs="宋体"/>
        </w:rPr>
      </w:pPr>
      <w:r>
        <w:rPr>
          <w:rFonts w:hint="eastAsia" w:ascii="宋体" w:hAnsi="宋体" w:eastAsia="宋体" w:cs="宋体"/>
          <w:sz w:val="24"/>
        </w:rPr>
        <w:t>（4）评分对应表</w:t>
      </w:r>
      <w:r>
        <w:rPr>
          <w:rFonts w:hint="eastAsia" w:ascii="宋体" w:hAnsi="宋体" w:eastAsia="宋体" w:cs="宋体"/>
        </w:rPr>
        <w:t>……………………………………………………………………………（页码）</w:t>
      </w:r>
    </w:p>
    <w:p w14:paraId="666FD0C2">
      <w:pPr>
        <w:snapToGrid w:val="0"/>
        <w:spacing w:line="360" w:lineRule="auto"/>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……………………………………………………（页码）</w:t>
      </w:r>
    </w:p>
    <w:p w14:paraId="0E2D45C2">
      <w:pPr>
        <w:snapToGrid w:val="0"/>
        <w:spacing w:line="360" w:lineRule="auto"/>
        <w:rPr>
          <w:rFonts w:hint="eastAsia" w:ascii="宋体" w:hAnsi="宋体" w:eastAsia="宋体" w:cs="宋体"/>
        </w:rPr>
      </w:pPr>
      <w:r>
        <w:rPr>
          <w:rFonts w:hint="eastAsia" w:ascii="宋体" w:hAnsi="宋体" w:eastAsia="宋体" w:cs="宋体"/>
          <w:sz w:val="24"/>
        </w:rPr>
        <w:t>（6）商务技术偏离表</w:t>
      </w:r>
      <w:r>
        <w:rPr>
          <w:rFonts w:hint="eastAsia" w:ascii="宋体" w:hAnsi="宋体" w:eastAsia="宋体" w:cs="宋体"/>
        </w:rPr>
        <w:t>………………………………………………………………………（页码）</w:t>
      </w:r>
    </w:p>
    <w:p w14:paraId="04FE79F8">
      <w:pPr>
        <w:snapToGrid w:val="0"/>
        <w:spacing w:line="360" w:lineRule="auto"/>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1D792877">
      <w:pPr>
        <w:snapToGrid w:val="0"/>
        <w:spacing w:line="360" w:lineRule="auto"/>
        <w:jc w:val="center"/>
        <w:rPr>
          <w:rFonts w:hint="eastAsia" w:ascii="宋体" w:hAnsi="宋体" w:eastAsia="宋体" w:cs="宋体"/>
          <w:b/>
          <w:kern w:val="0"/>
          <w:sz w:val="32"/>
          <w:szCs w:val="32"/>
          <w:lang w:val="zh-CN"/>
        </w:rPr>
      </w:pPr>
    </w:p>
    <w:p w14:paraId="76D0AAA4">
      <w:pPr>
        <w:snapToGrid w:val="0"/>
        <w:spacing w:line="360" w:lineRule="auto"/>
        <w:jc w:val="center"/>
        <w:rPr>
          <w:rFonts w:hint="eastAsia" w:ascii="宋体" w:hAnsi="宋体" w:eastAsia="宋体" w:cs="宋体"/>
          <w:b/>
          <w:kern w:val="0"/>
          <w:sz w:val="32"/>
          <w:szCs w:val="32"/>
          <w:lang w:val="zh-CN"/>
        </w:rPr>
      </w:pPr>
    </w:p>
    <w:p w14:paraId="54993184">
      <w:pPr>
        <w:snapToGrid w:val="0"/>
        <w:spacing w:line="360" w:lineRule="auto"/>
        <w:jc w:val="center"/>
        <w:rPr>
          <w:rFonts w:hint="eastAsia" w:ascii="宋体" w:hAnsi="宋体" w:eastAsia="宋体" w:cs="宋体"/>
          <w:b/>
          <w:kern w:val="0"/>
          <w:sz w:val="32"/>
          <w:szCs w:val="32"/>
          <w:lang w:val="zh-CN"/>
        </w:rPr>
      </w:pPr>
    </w:p>
    <w:p w14:paraId="125594F7">
      <w:pPr>
        <w:snapToGrid w:val="0"/>
        <w:spacing w:line="360" w:lineRule="auto"/>
        <w:jc w:val="center"/>
        <w:rPr>
          <w:rFonts w:hint="eastAsia" w:ascii="宋体" w:hAnsi="宋体" w:eastAsia="宋体" w:cs="宋体"/>
          <w:b/>
          <w:kern w:val="0"/>
          <w:sz w:val="32"/>
          <w:szCs w:val="32"/>
          <w:lang w:val="zh-CN"/>
        </w:rPr>
      </w:pPr>
    </w:p>
    <w:p w14:paraId="6A92B272">
      <w:pPr>
        <w:snapToGrid w:val="0"/>
        <w:spacing w:line="360" w:lineRule="auto"/>
        <w:jc w:val="center"/>
        <w:rPr>
          <w:rFonts w:hint="eastAsia" w:ascii="宋体" w:hAnsi="宋体" w:eastAsia="宋体" w:cs="宋体"/>
          <w:b/>
          <w:kern w:val="0"/>
          <w:sz w:val="32"/>
          <w:szCs w:val="32"/>
          <w:lang w:val="zh-CN"/>
        </w:rPr>
      </w:pPr>
    </w:p>
    <w:p w14:paraId="70EBA9BF">
      <w:pPr>
        <w:snapToGrid w:val="0"/>
        <w:spacing w:line="360" w:lineRule="auto"/>
        <w:jc w:val="center"/>
        <w:rPr>
          <w:rFonts w:hint="eastAsia" w:ascii="宋体" w:hAnsi="宋体" w:eastAsia="宋体" w:cs="宋体"/>
          <w:b/>
          <w:kern w:val="0"/>
          <w:sz w:val="32"/>
          <w:szCs w:val="32"/>
        </w:rPr>
      </w:pPr>
    </w:p>
    <w:p w14:paraId="32C22358">
      <w:pPr>
        <w:snapToGrid w:val="0"/>
        <w:spacing w:line="360" w:lineRule="auto"/>
        <w:jc w:val="center"/>
        <w:rPr>
          <w:rFonts w:hint="eastAsia" w:ascii="宋体" w:hAnsi="宋体" w:eastAsia="宋体" w:cs="宋体"/>
          <w:b/>
          <w:kern w:val="0"/>
          <w:sz w:val="32"/>
          <w:szCs w:val="32"/>
        </w:rPr>
      </w:pPr>
    </w:p>
    <w:p w14:paraId="7B98FB48">
      <w:pPr>
        <w:rPr>
          <w:rFonts w:hint="eastAsia" w:ascii="宋体" w:hAnsi="宋体" w:eastAsia="宋体" w:cs="宋体"/>
        </w:rPr>
      </w:pPr>
    </w:p>
    <w:p w14:paraId="587ACBCF">
      <w:pPr>
        <w:snapToGrid w:val="0"/>
        <w:spacing w:line="360" w:lineRule="auto"/>
        <w:jc w:val="center"/>
        <w:rPr>
          <w:rFonts w:hint="eastAsia" w:ascii="宋体" w:hAnsi="宋体" w:eastAsia="宋体" w:cs="宋体"/>
          <w:b/>
          <w:kern w:val="0"/>
          <w:sz w:val="32"/>
          <w:szCs w:val="32"/>
        </w:rPr>
      </w:pPr>
    </w:p>
    <w:p w14:paraId="2A3F823A">
      <w:pPr>
        <w:snapToGrid w:val="0"/>
        <w:spacing w:line="360" w:lineRule="auto"/>
        <w:jc w:val="center"/>
        <w:rPr>
          <w:rFonts w:hint="eastAsia" w:ascii="宋体" w:hAnsi="宋体" w:eastAsia="宋体" w:cs="宋体"/>
          <w:b/>
          <w:kern w:val="0"/>
          <w:sz w:val="32"/>
          <w:szCs w:val="32"/>
        </w:rPr>
      </w:pPr>
    </w:p>
    <w:p w14:paraId="65AE5E2F">
      <w:pPr>
        <w:snapToGrid w:val="0"/>
        <w:spacing w:line="360" w:lineRule="auto"/>
        <w:jc w:val="center"/>
        <w:rPr>
          <w:rFonts w:hint="eastAsia" w:ascii="宋体" w:hAnsi="宋体" w:eastAsia="宋体" w:cs="宋体"/>
          <w:b/>
          <w:kern w:val="0"/>
          <w:sz w:val="32"/>
          <w:szCs w:val="32"/>
        </w:rPr>
      </w:pPr>
    </w:p>
    <w:p w14:paraId="6A0720A9">
      <w:pPr>
        <w:pStyle w:val="4"/>
        <w:ind w:left="0" w:firstLine="0"/>
        <w:rPr>
          <w:rFonts w:hint="eastAsia" w:ascii="宋体" w:hAnsi="宋体" w:eastAsia="宋体" w:cs="宋体"/>
          <w:kern w:val="0"/>
        </w:rPr>
      </w:pPr>
    </w:p>
    <w:p w14:paraId="1CEC03D9">
      <w:pPr>
        <w:rPr>
          <w:rFonts w:hint="eastAsia" w:ascii="宋体" w:hAnsi="宋体" w:eastAsia="宋体" w:cs="宋体"/>
          <w:kern w:val="0"/>
        </w:rPr>
      </w:pPr>
    </w:p>
    <w:p w14:paraId="2E05997A">
      <w:pPr>
        <w:pStyle w:val="3"/>
        <w:rPr>
          <w:rFonts w:hint="eastAsia" w:ascii="宋体" w:hAnsi="宋体" w:eastAsia="宋体" w:cs="宋体"/>
        </w:rPr>
      </w:pPr>
    </w:p>
    <w:p w14:paraId="7F221D59">
      <w:pPr>
        <w:rPr>
          <w:rFonts w:hint="eastAsia" w:ascii="宋体" w:hAnsi="宋体" w:eastAsia="宋体" w:cs="宋体"/>
        </w:rPr>
      </w:pPr>
    </w:p>
    <w:p w14:paraId="0E105203">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791436D8">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rPr>
      </w:pPr>
      <w:r>
        <w:rPr>
          <w:rFonts w:hint="eastAsia" w:ascii="宋体" w:hAnsi="宋体" w:cs="宋体"/>
          <w:color w:val="auto"/>
          <w:sz w:val="24"/>
          <w:lang w:eastAsia="zh-CN"/>
        </w:rPr>
        <w:t>桐庐县卫生健康局</w:t>
      </w:r>
      <w:r>
        <w:rPr>
          <w:rFonts w:hint="eastAsia" w:ascii="宋体" w:hAnsi="宋体" w:eastAsia="宋体" w:cs="宋体"/>
          <w:color w:val="auto"/>
          <w:sz w:val="24"/>
        </w:rPr>
        <w:t>、杭州全咨项目管理有限公司：</w:t>
      </w:r>
    </w:p>
    <w:p w14:paraId="14287FE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cs="宋体"/>
          <w:color w:val="auto"/>
          <w:sz w:val="24"/>
          <w:lang w:eastAsia="zh-CN"/>
        </w:rPr>
        <w:t>2025年度桐庐县计生系列保险服务项目</w:t>
      </w:r>
      <w:r>
        <w:rPr>
          <w:rFonts w:hint="eastAsia" w:ascii="宋体" w:hAnsi="宋体" w:eastAsia="宋体" w:cs="宋体"/>
          <w:color w:val="auto"/>
          <w:sz w:val="24"/>
        </w:rPr>
        <w:t>【招标编号：</w:t>
      </w:r>
      <w:r>
        <w:rPr>
          <w:rFonts w:hint="eastAsia" w:ascii="宋体" w:hAnsi="宋体" w:cs="宋体"/>
          <w:color w:val="auto"/>
          <w:sz w:val="24"/>
          <w:lang w:eastAsia="zh-CN"/>
        </w:rPr>
        <w:t>QZ23301222025002</w:t>
      </w:r>
      <w:r>
        <w:rPr>
          <w:rFonts w:hint="eastAsia" w:ascii="宋体" w:hAnsi="宋体" w:eastAsia="宋体" w:cs="宋体"/>
          <w:color w:val="auto"/>
          <w:sz w:val="24"/>
        </w:rPr>
        <w:t>】招标的有关活动，并对此项目进行投标。为此：</w:t>
      </w:r>
    </w:p>
    <w:p w14:paraId="77B1CBDB">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rPr>
        <w:t>1、我方承诺投标有效期从提交磋商响应文件的截止之日起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本磋商响应文件在投标有效期满之前均具有约束</w:t>
      </w:r>
      <w:r>
        <w:rPr>
          <w:rFonts w:hint="eastAsia" w:ascii="宋体" w:hAnsi="宋体" w:eastAsia="宋体" w:cs="宋体"/>
          <w:sz w:val="24"/>
        </w:rPr>
        <w:t>力。</w:t>
      </w:r>
    </w:p>
    <w:p w14:paraId="66593E66">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2、我方的磋商响应文件包括以下内容：</w:t>
      </w:r>
    </w:p>
    <w:p w14:paraId="3E6B52B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2.1资格文件：</w:t>
      </w:r>
    </w:p>
    <w:p w14:paraId="2D388C13">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2.1.1符合参加政府采购活动应当具备的一般条件的承诺函；</w:t>
      </w:r>
    </w:p>
    <w:p w14:paraId="7D0CBD0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sz w:val="24"/>
          <w:lang w:val="en-US" w:eastAsia="zh-CN"/>
        </w:rPr>
        <w:t>2</w:t>
      </w:r>
      <w:r>
        <w:rPr>
          <w:rFonts w:hint="eastAsia" w:ascii="宋体" w:hAnsi="宋体" w:eastAsia="宋体" w:cs="宋体"/>
          <w:sz w:val="24"/>
        </w:rPr>
        <w:t>本项目的特定资格要求；</w:t>
      </w:r>
    </w:p>
    <w:p w14:paraId="7FD410E2">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rPr>
      </w:pPr>
      <w:r>
        <w:rPr>
          <w:rFonts w:hint="eastAsia" w:ascii="宋体" w:hAnsi="宋体" w:eastAsia="宋体" w:cs="宋体"/>
          <w:sz w:val="24"/>
        </w:rPr>
        <w:t>2.1.</w:t>
      </w:r>
      <w:r>
        <w:rPr>
          <w:rFonts w:hint="eastAsia" w:ascii="宋体" w:hAnsi="宋体" w:eastAsia="宋体" w:cs="宋体"/>
          <w:sz w:val="24"/>
          <w:lang w:val="en-US" w:eastAsia="zh-CN"/>
        </w:rPr>
        <w:t>3营业执照</w:t>
      </w:r>
      <w:r>
        <w:rPr>
          <w:rFonts w:hint="eastAsia" w:ascii="宋体" w:hAnsi="宋体" w:eastAsia="宋体" w:cs="宋体"/>
          <w:sz w:val="24"/>
        </w:rPr>
        <w:t>；</w:t>
      </w:r>
    </w:p>
    <w:p w14:paraId="6EE7EFF8">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02AA2F4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1EC369F4">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6545208F">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2.2.3符合性审查资料；</w:t>
      </w:r>
    </w:p>
    <w:p w14:paraId="2CBA1D3C">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2.2.4评分对应表；</w:t>
      </w:r>
    </w:p>
    <w:p w14:paraId="319C336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rPr>
      </w:pPr>
      <w:r>
        <w:rPr>
          <w:rFonts w:hint="eastAsia" w:ascii="宋体" w:hAnsi="宋体" w:eastAsia="宋体" w:cs="宋体"/>
          <w:sz w:val="24"/>
        </w:rPr>
        <w:t>2.2.5评标标准相应的商务技术资料；</w:t>
      </w:r>
    </w:p>
    <w:p w14:paraId="2E621FC8">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2.2.6商务技术偏离表；</w:t>
      </w:r>
    </w:p>
    <w:p w14:paraId="4FC65461">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7</w:t>
      </w:r>
      <w:r>
        <w:rPr>
          <w:rFonts w:hint="eastAsia" w:ascii="宋体" w:hAnsi="宋体" w:eastAsia="宋体" w:cs="宋体"/>
          <w:sz w:val="24"/>
          <w:lang w:val="zh-CN"/>
        </w:rPr>
        <w:t>政府采购供应商廉洁自律承诺书；</w:t>
      </w:r>
    </w:p>
    <w:p w14:paraId="5EEE16C1">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601B5057">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z w:val="24"/>
        </w:rPr>
      </w:pPr>
      <w:r>
        <w:rPr>
          <w:rFonts w:hint="eastAsia" w:ascii="宋体" w:hAnsi="宋体" w:eastAsia="宋体" w:cs="宋体"/>
          <w:sz w:val="24"/>
        </w:rPr>
        <w:t>2.3.1开标一览表（报价表）；</w:t>
      </w:r>
    </w:p>
    <w:p w14:paraId="4D77F2CA">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2.3.2中小企业声明函（如有）</w:t>
      </w:r>
    </w:p>
    <w:p w14:paraId="26EE3218">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sz w:val="24"/>
        </w:rPr>
      </w:pPr>
      <w:r>
        <w:rPr>
          <w:rFonts w:hint="eastAsia" w:ascii="宋体" w:hAnsi="宋体" w:eastAsia="宋体" w:cs="宋体"/>
          <w:sz w:val="24"/>
        </w:rPr>
        <w:t>3、我方承诺除商务技术偏离表列出的偏离外，我方响应竞争性磋商文件的全部要求。4、如我方中标，我方承诺：</w:t>
      </w:r>
    </w:p>
    <w:p w14:paraId="15D4E8D5">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0EB83780">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448210DD">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3</w:t>
      </w:r>
      <w:r>
        <w:rPr>
          <w:rFonts w:hint="eastAsia" w:ascii="宋体" w:hAnsi="宋体" w:eastAsia="宋体" w:cs="宋体"/>
          <w:sz w:val="24"/>
        </w:rPr>
        <w:t xml:space="preserve">在合同约定的期限内完成合同规定的全部义务。 </w:t>
      </w:r>
    </w:p>
    <w:p w14:paraId="47D60DB9">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46F58051">
      <w:pPr>
        <w:keepNext w:val="0"/>
        <w:keepLines w:val="0"/>
        <w:pageBreakBefore w:val="0"/>
        <w:widowControl w:val="0"/>
        <w:kinsoku/>
        <w:wordWrap/>
        <w:overflowPunct/>
        <w:topLinePunct w:val="0"/>
        <w:autoSpaceDE/>
        <w:autoSpaceDN/>
        <w:bidi w:val="0"/>
        <w:adjustRightInd w:val="0"/>
        <w:spacing w:line="312" w:lineRule="auto"/>
        <w:ind w:firstLine="4560" w:firstLineChars="1900"/>
        <w:textAlignment w:val="auto"/>
        <w:rPr>
          <w:rFonts w:hint="eastAsia" w:ascii="宋体" w:hAnsi="宋体" w:eastAsia="宋体" w:cs="宋体"/>
          <w:sz w:val="24"/>
        </w:rPr>
      </w:pPr>
    </w:p>
    <w:p w14:paraId="42201F4A">
      <w:pPr>
        <w:keepNext w:val="0"/>
        <w:keepLines w:val="0"/>
        <w:pageBreakBefore w:val="0"/>
        <w:widowControl w:val="0"/>
        <w:kinsoku/>
        <w:wordWrap/>
        <w:overflowPunct/>
        <w:topLinePunct w:val="0"/>
        <w:autoSpaceDE/>
        <w:autoSpaceDN/>
        <w:bidi w:val="0"/>
        <w:adjustRightInd w:val="0"/>
        <w:spacing w:line="312" w:lineRule="auto"/>
        <w:ind w:firstLine="4560" w:firstLineChars="1900"/>
        <w:textAlignment w:val="auto"/>
        <w:rPr>
          <w:rFonts w:hint="eastAsia" w:ascii="宋体" w:hAnsi="宋体" w:eastAsia="宋体" w:cs="宋体"/>
          <w:sz w:val="24"/>
        </w:rPr>
      </w:pPr>
      <w:r>
        <w:rPr>
          <w:rFonts w:hint="eastAsia" w:ascii="宋体" w:hAnsi="宋体" w:eastAsia="宋体" w:cs="宋体"/>
          <w:sz w:val="24"/>
        </w:rPr>
        <w:t xml:space="preserve">供应商名称（电子签名）：                          </w:t>
      </w:r>
    </w:p>
    <w:p w14:paraId="07A086E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日期：  年   月   日</w:t>
      </w:r>
    </w:p>
    <w:p w14:paraId="73AA1557">
      <w:pPr>
        <w:rPr>
          <w:rFonts w:hint="eastAsia" w:ascii="宋体" w:hAnsi="宋体" w:eastAsia="宋体" w:cs="宋体"/>
          <w:b/>
          <w:kern w:val="0"/>
          <w:sz w:val="32"/>
          <w:szCs w:val="32"/>
          <w:lang w:val="zh-CN"/>
        </w:rPr>
      </w:pPr>
    </w:p>
    <w:p w14:paraId="20CEC9AC">
      <w:pPr>
        <w:rPr>
          <w:rFonts w:hint="eastAsia" w:ascii="宋体" w:hAnsi="宋体" w:eastAsia="宋体" w:cs="宋体"/>
          <w:b/>
          <w:kern w:val="0"/>
          <w:sz w:val="32"/>
          <w:szCs w:val="32"/>
          <w:lang w:val="zh-CN"/>
        </w:rPr>
      </w:pPr>
    </w:p>
    <w:p w14:paraId="42A3F590">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0DE36A88">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0FD27918">
      <w:pPr>
        <w:snapToGrid w:val="0"/>
        <w:spacing w:line="360" w:lineRule="auto"/>
        <w:ind w:firstLine="3511" w:firstLineChars="1093"/>
        <w:rPr>
          <w:rFonts w:hint="eastAsia" w:ascii="宋体" w:hAnsi="宋体" w:eastAsia="宋体" w:cs="宋体"/>
        </w:rPr>
      </w:pPr>
      <w:r>
        <w:rPr>
          <w:rFonts w:hint="eastAsia" w:ascii="宋体" w:hAnsi="宋体" w:eastAsia="宋体" w:cs="宋体"/>
          <w:b/>
          <w:kern w:val="0"/>
          <w:sz w:val="32"/>
          <w:szCs w:val="32"/>
          <w:lang w:val="zh-CN"/>
        </w:rPr>
        <w:t>授权委托书</w:t>
      </w:r>
      <w:r>
        <w:rPr>
          <w:rFonts w:hint="eastAsia" w:ascii="宋体" w:hAnsi="宋体" w:eastAsia="宋体" w:cs="宋体"/>
        </w:rPr>
        <w:t xml:space="preserve">                               </w:t>
      </w:r>
    </w:p>
    <w:p w14:paraId="32DF98A5">
      <w:pPr>
        <w:snapToGrid w:val="0"/>
        <w:spacing w:line="360" w:lineRule="auto"/>
        <w:rPr>
          <w:rFonts w:hint="eastAsia" w:ascii="宋体" w:hAnsi="宋体" w:eastAsia="宋体" w:cs="宋体"/>
          <w:kern w:val="0"/>
          <w:sz w:val="24"/>
        </w:rPr>
      </w:pPr>
      <w:r>
        <w:rPr>
          <w:rFonts w:hint="eastAsia" w:ascii="宋体" w:hAnsi="宋体" w:cs="宋体"/>
          <w:sz w:val="24"/>
          <w:lang w:eastAsia="zh-CN"/>
        </w:rPr>
        <w:t>桐庐县卫生健康局</w:t>
      </w:r>
      <w:r>
        <w:rPr>
          <w:rFonts w:hint="eastAsia" w:ascii="宋体" w:hAnsi="宋体" w:eastAsia="宋体" w:cs="宋体"/>
          <w:sz w:val="24"/>
        </w:rPr>
        <w:t>、</w:t>
      </w:r>
      <w:r>
        <w:rPr>
          <w:rFonts w:hint="eastAsia" w:ascii="宋体" w:hAnsi="宋体" w:eastAsia="宋体" w:cs="宋体"/>
          <w:sz w:val="24"/>
          <w:lang w:eastAsia="zh-CN"/>
        </w:rPr>
        <w:t>杭州全咨项目管理有限公司</w:t>
      </w:r>
      <w:r>
        <w:rPr>
          <w:rFonts w:hint="eastAsia" w:ascii="宋体" w:hAnsi="宋体" w:eastAsia="宋体" w:cs="宋体"/>
          <w:kern w:val="0"/>
          <w:sz w:val="24"/>
          <w:lang w:val="zh-CN"/>
        </w:rPr>
        <w:t>：</w:t>
      </w:r>
    </w:p>
    <w:p w14:paraId="0435CEF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sz w:val="24"/>
          <w:lang w:eastAsia="zh-CN"/>
        </w:rPr>
        <w:t>2025年度桐庐县计生系列保险服务项目</w:t>
      </w:r>
      <w:r>
        <w:rPr>
          <w:rFonts w:hint="eastAsia" w:ascii="宋体" w:hAnsi="宋体" w:eastAsia="宋体" w:cs="宋体"/>
          <w:sz w:val="24"/>
        </w:rPr>
        <w:t>【招标编号：</w:t>
      </w:r>
      <w:r>
        <w:rPr>
          <w:rFonts w:hint="eastAsia" w:ascii="宋体" w:hAnsi="宋体" w:cs="宋体"/>
          <w:sz w:val="24"/>
          <w:lang w:eastAsia="zh-CN"/>
        </w:rPr>
        <w:t>QZ23301222025002</w:t>
      </w:r>
      <w:r>
        <w:rPr>
          <w:rFonts w:hint="eastAsia" w:ascii="宋体" w:hAnsi="宋体" w:eastAsia="宋体" w:cs="宋体"/>
          <w:sz w:val="24"/>
        </w:rPr>
        <w:t>】</w:t>
      </w:r>
      <w:r>
        <w:rPr>
          <w:rFonts w:hint="eastAsia" w:ascii="宋体" w:hAnsi="宋体" w:eastAsia="宋体" w:cs="宋体"/>
          <w:kern w:val="0"/>
          <w:sz w:val="24"/>
          <w:lang w:val="zh-CN"/>
        </w:rPr>
        <w:t>政府采购投标的一切事项，其法律后果由我方承担。</w:t>
      </w:r>
    </w:p>
    <w:p w14:paraId="5DECA157">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45074C9C">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152233ED">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573BD6C1">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14:paraId="1575363C">
      <w:pPr>
        <w:snapToGrid w:val="0"/>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法人</w:t>
      </w:r>
      <w:r>
        <w:rPr>
          <w:rFonts w:hint="eastAsia" w:ascii="宋体" w:hAnsi="宋体" w:cs="宋体"/>
          <w:sz w:val="24"/>
          <w:lang w:val="en-US" w:eastAsia="zh-CN"/>
        </w:rPr>
        <w:t>（或负责人）</w:t>
      </w:r>
      <w:r>
        <w:rPr>
          <w:rFonts w:hint="eastAsia" w:ascii="宋体" w:hAnsi="宋体" w:eastAsia="宋体" w:cs="宋体"/>
          <w:sz w:val="24"/>
          <w:lang w:val="en-US" w:eastAsia="zh-CN"/>
        </w:rPr>
        <w:t>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87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4B77E5B8">
            <w:pPr>
              <w:pStyle w:val="15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14D698BB">
            <w:pPr>
              <w:pStyle w:val="150"/>
              <w:adjustRightInd w:val="0"/>
              <w:spacing w:line="360" w:lineRule="auto"/>
              <w:rPr>
                <w:rFonts w:hint="eastAsia" w:ascii="宋体" w:hAnsi="宋体" w:eastAsia="宋体" w:cs="宋体"/>
                <w:bCs/>
                <w:sz w:val="24"/>
              </w:rPr>
            </w:pPr>
          </w:p>
        </w:tc>
      </w:tr>
    </w:tbl>
    <w:p w14:paraId="0D3704AA">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firstLine="0" w:firstLine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代理人身份证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AE9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6846B7B5">
            <w:pPr>
              <w:pStyle w:val="15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283C4E77">
            <w:pPr>
              <w:pStyle w:val="150"/>
              <w:adjustRightInd w:val="0"/>
              <w:spacing w:line="360" w:lineRule="auto"/>
              <w:rPr>
                <w:rFonts w:hint="eastAsia" w:ascii="宋体" w:hAnsi="宋体" w:eastAsia="宋体" w:cs="宋体"/>
                <w:bCs/>
                <w:sz w:val="24"/>
              </w:rPr>
            </w:pPr>
          </w:p>
        </w:tc>
      </w:tr>
    </w:tbl>
    <w:p w14:paraId="439286A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18845AEC">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投标人名称(电子签名)：                              </w:t>
      </w:r>
    </w:p>
    <w:p w14:paraId="46B13970">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日期：  年  月  日</w:t>
      </w:r>
    </w:p>
    <w:p w14:paraId="099EDB47">
      <w:pPr>
        <w:jc w:val="center"/>
        <w:rPr>
          <w:rFonts w:hint="eastAsia" w:ascii="宋体" w:hAnsi="宋体" w:eastAsia="宋体" w:cs="宋体"/>
          <w:b/>
          <w:kern w:val="0"/>
          <w:sz w:val="32"/>
          <w:szCs w:val="32"/>
        </w:rPr>
      </w:pPr>
    </w:p>
    <w:p w14:paraId="3FCC2577">
      <w:pPr>
        <w:jc w:val="center"/>
        <w:rPr>
          <w:rFonts w:hint="eastAsia" w:ascii="宋体" w:hAnsi="宋体" w:eastAsia="宋体" w:cs="宋体"/>
          <w:b/>
          <w:kern w:val="0"/>
          <w:sz w:val="32"/>
          <w:szCs w:val="32"/>
        </w:rPr>
      </w:pPr>
      <w:r>
        <w:rPr>
          <w:rFonts w:hint="eastAsia" w:ascii="宋体" w:hAnsi="宋体" w:eastAsia="宋体" w:cs="宋体"/>
          <w:b/>
          <w:kern w:val="0"/>
          <w:sz w:val="32"/>
          <w:szCs w:val="32"/>
        </w:rPr>
        <w:t>三、符合性审查资料</w:t>
      </w:r>
    </w:p>
    <w:p w14:paraId="7942E0CC">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A40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AC76A6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0EB34F6A">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55E3318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7D800AB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磋商响应文件中的</w:t>
            </w:r>
          </w:p>
          <w:p w14:paraId="64FE55E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2820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3DC912">
            <w:pPr>
              <w:rPr>
                <w:rFonts w:hint="eastAsia" w:ascii="宋体" w:hAnsi="宋体" w:eastAsia="宋体" w:cs="宋体"/>
                <w:sz w:val="24"/>
              </w:rPr>
            </w:pPr>
            <w:r>
              <w:rPr>
                <w:rFonts w:hint="eastAsia" w:ascii="宋体" w:hAnsi="宋体" w:eastAsia="宋体" w:cs="宋体"/>
                <w:sz w:val="24"/>
              </w:rPr>
              <w:t>1</w:t>
            </w:r>
          </w:p>
        </w:tc>
        <w:tc>
          <w:tcPr>
            <w:tcW w:w="4991" w:type="dxa"/>
          </w:tcPr>
          <w:p w14:paraId="57052292">
            <w:pPr>
              <w:spacing w:line="360" w:lineRule="auto"/>
              <w:rPr>
                <w:rFonts w:hint="eastAsia" w:ascii="宋体" w:hAnsi="宋体" w:eastAsia="宋体" w:cs="宋体"/>
                <w:sz w:val="24"/>
              </w:rPr>
            </w:pPr>
            <w:r>
              <w:rPr>
                <w:rFonts w:hint="eastAsia" w:ascii="宋体" w:hAnsi="宋体" w:eastAsia="宋体" w:cs="宋体"/>
                <w:sz w:val="24"/>
              </w:rPr>
              <w:t>磋商响应文件按照竞争性磋商文件要求签署、盖章。</w:t>
            </w:r>
          </w:p>
        </w:tc>
        <w:tc>
          <w:tcPr>
            <w:tcW w:w="2551" w:type="dxa"/>
            <w:vAlign w:val="center"/>
          </w:tcPr>
          <w:p w14:paraId="36DB78CF">
            <w:pPr>
              <w:rPr>
                <w:rFonts w:hint="eastAsia" w:ascii="宋体" w:hAnsi="宋体" w:eastAsia="宋体" w:cs="宋体"/>
                <w:sz w:val="24"/>
              </w:rPr>
            </w:pPr>
            <w:r>
              <w:rPr>
                <w:rFonts w:hint="eastAsia" w:ascii="宋体" w:hAnsi="宋体" w:eastAsia="宋体" w:cs="宋体"/>
                <w:sz w:val="24"/>
              </w:rPr>
              <w:t>需要使用电子签名或者签字盖章的磋商响应文件的组成部分</w:t>
            </w:r>
          </w:p>
        </w:tc>
        <w:tc>
          <w:tcPr>
            <w:tcW w:w="1418" w:type="dxa"/>
          </w:tcPr>
          <w:p w14:paraId="20A7D271">
            <w:pPr>
              <w:rPr>
                <w:rFonts w:hint="eastAsia" w:ascii="宋体" w:hAnsi="宋体" w:eastAsia="宋体" w:cs="宋体"/>
                <w:sz w:val="24"/>
              </w:rPr>
            </w:pPr>
          </w:p>
          <w:p w14:paraId="10A6D1CC">
            <w:pPr>
              <w:rPr>
                <w:rFonts w:hint="eastAsia" w:ascii="宋体" w:hAnsi="宋体" w:eastAsia="宋体" w:cs="宋体"/>
                <w:sz w:val="24"/>
              </w:rPr>
            </w:pPr>
            <w:r>
              <w:rPr>
                <w:rFonts w:hint="eastAsia" w:ascii="宋体" w:hAnsi="宋体" w:eastAsia="宋体" w:cs="宋体"/>
                <w:sz w:val="24"/>
              </w:rPr>
              <w:t>见磋商响应文件</w:t>
            </w:r>
          </w:p>
          <w:p w14:paraId="4BFD608A">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478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FD5A30">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tcPr>
          <w:p w14:paraId="64DE9030">
            <w:pPr>
              <w:spacing w:line="360" w:lineRule="auto"/>
              <w:rPr>
                <w:rFonts w:hint="eastAsia" w:ascii="宋体" w:hAnsi="宋体" w:eastAsia="宋体" w:cs="宋体"/>
                <w:sz w:val="24"/>
              </w:rPr>
            </w:pPr>
            <w:r>
              <w:rPr>
                <w:rFonts w:hint="eastAsia" w:ascii="宋体" w:hAnsi="宋体" w:eastAsia="宋体" w:cs="宋体"/>
                <w:sz w:val="24"/>
              </w:rPr>
              <w:t>磋商响应文件中承诺的投标有效期不少于竞争性磋商文件中载明的投标有效期。</w:t>
            </w:r>
          </w:p>
        </w:tc>
        <w:tc>
          <w:tcPr>
            <w:tcW w:w="2551" w:type="dxa"/>
            <w:vAlign w:val="center"/>
          </w:tcPr>
          <w:p w14:paraId="0104C96B">
            <w:pPr>
              <w:rPr>
                <w:rFonts w:hint="eastAsia" w:ascii="宋体" w:hAnsi="宋体" w:eastAsia="宋体" w:cs="宋体"/>
                <w:sz w:val="24"/>
              </w:rPr>
            </w:pPr>
            <w:r>
              <w:rPr>
                <w:rFonts w:hint="eastAsia" w:ascii="宋体" w:hAnsi="宋体" w:eastAsia="宋体" w:cs="宋体"/>
                <w:sz w:val="24"/>
              </w:rPr>
              <w:t>磋商承诺函</w:t>
            </w:r>
          </w:p>
        </w:tc>
        <w:tc>
          <w:tcPr>
            <w:tcW w:w="1418" w:type="dxa"/>
          </w:tcPr>
          <w:p w14:paraId="2F54B3D3">
            <w:pPr>
              <w:rPr>
                <w:rFonts w:hint="eastAsia" w:ascii="宋体" w:hAnsi="宋体" w:eastAsia="宋体" w:cs="宋体"/>
              </w:rPr>
            </w:pPr>
            <w:r>
              <w:rPr>
                <w:rFonts w:hint="eastAsia" w:ascii="宋体" w:hAnsi="宋体" w:eastAsia="宋体" w:cs="宋体"/>
                <w:sz w:val="24"/>
              </w:rPr>
              <w:t>见磋商响应文件第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6C39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1C7EFA">
            <w:pPr>
              <w:rPr>
                <w:rFonts w:hint="eastAsia" w:ascii="宋体" w:hAnsi="宋体" w:eastAsia="宋体" w:cs="宋体"/>
                <w:sz w:val="24"/>
              </w:rPr>
            </w:pPr>
            <w:r>
              <w:rPr>
                <w:rFonts w:hint="eastAsia" w:ascii="宋体" w:hAnsi="宋体" w:eastAsia="宋体" w:cs="宋体"/>
                <w:sz w:val="24"/>
              </w:rPr>
              <w:t>3</w:t>
            </w:r>
          </w:p>
        </w:tc>
        <w:tc>
          <w:tcPr>
            <w:tcW w:w="4991" w:type="dxa"/>
          </w:tcPr>
          <w:p w14:paraId="6A59046D">
            <w:pPr>
              <w:spacing w:line="360" w:lineRule="auto"/>
              <w:rPr>
                <w:rFonts w:hint="eastAsia" w:ascii="宋体" w:hAnsi="宋体" w:eastAsia="宋体" w:cs="宋体"/>
                <w:sz w:val="24"/>
              </w:rPr>
            </w:pPr>
            <w:r>
              <w:rPr>
                <w:rFonts w:hint="eastAsia" w:ascii="宋体" w:hAnsi="宋体" w:eastAsia="宋体" w:cs="宋体"/>
                <w:sz w:val="24"/>
              </w:rPr>
              <w:t>磋商响应文件满足竞争性磋商文件的其它实质性要求。</w:t>
            </w:r>
          </w:p>
        </w:tc>
        <w:tc>
          <w:tcPr>
            <w:tcW w:w="2551" w:type="dxa"/>
            <w:vAlign w:val="center"/>
          </w:tcPr>
          <w:p w14:paraId="5FE7BACB">
            <w:pPr>
              <w:rPr>
                <w:rFonts w:hint="eastAsia" w:ascii="宋体" w:hAnsi="宋体" w:eastAsia="宋体" w:cs="宋体"/>
                <w:sz w:val="24"/>
              </w:rPr>
            </w:pPr>
            <w:r>
              <w:rPr>
                <w:rFonts w:hint="eastAsia" w:ascii="宋体" w:hAnsi="宋体" w:eastAsia="宋体" w:cs="宋体"/>
                <w:kern w:val="0"/>
                <w:sz w:val="24"/>
              </w:rPr>
              <w:t>竞争性磋商文件其它实质性要求相应的材料（“▲” 系指实质性要求条款，竞争性磋商文件无其它实质性要求的，无需提供）</w:t>
            </w:r>
          </w:p>
        </w:tc>
        <w:tc>
          <w:tcPr>
            <w:tcW w:w="1418" w:type="dxa"/>
          </w:tcPr>
          <w:p w14:paraId="3404C441">
            <w:pPr>
              <w:rPr>
                <w:rFonts w:hint="eastAsia" w:ascii="宋体" w:hAnsi="宋体" w:eastAsia="宋体" w:cs="宋体"/>
              </w:rPr>
            </w:pPr>
            <w:r>
              <w:rPr>
                <w:rFonts w:hint="eastAsia" w:ascii="宋体" w:hAnsi="宋体" w:eastAsia="宋体" w:cs="宋体"/>
                <w:sz w:val="24"/>
              </w:rPr>
              <w:t>见磋商响应文件第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159A6CB6">
      <w:pPr>
        <w:jc w:val="center"/>
        <w:rPr>
          <w:rFonts w:hint="eastAsia" w:ascii="宋体" w:hAnsi="宋体" w:eastAsia="宋体" w:cs="宋体"/>
          <w:b/>
          <w:kern w:val="0"/>
          <w:sz w:val="32"/>
          <w:szCs w:val="32"/>
        </w:rPr>
      </w:pPr>
    </w:p>
    <w:p w14:paraId="1AA52386">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345997CD">
      <w:pPr>
        <w:jc w:val="center"/>
        <w:rPr>
          <w:rFonts w:hint="eastAsia" w:ascii="宋体" w:hAnsi="宋体" w:eastAsia="宋体" w:cs="宋体"/>
          <w:b/>
          <w:kern w:val="0"/>
          <w:sz w:val="32"/>
          <w:szCs w:val="32"/>
        </w:rPr>
      </w:pPr>
    </w:p>
    <w:p w14:paraId="4556F835">
      <w:pPr>
        <w:jc w:val="center"/>
        <w:rPr>
          <w:rFonts w:hint="eastAsia" w:ascii="宋体" w:hAnsi="宋体" w:eastAsia="宋体" w:cs="宋体"/>
          <w:b/>
          <w:kern w:val="0"/>
          <w:sz w:val="32"/>
          <w:szCs w:val="32"/>
        </w:rPr>
      </w:pPr>
    </w:p>
    <w:p w14:paraId="299F05AB">
      <w:pPr>
        <w:jc w:val="center"/>
        <w:rPr>
          <w:rFonts w:hint="eastAsia" w:ascii="宋体" w:hAnsi="宋体" w:eastAsia="宋体" w:cs="宋体"/>
          <w:b/>
          <w:kern w:val="0"/>
          <w:sz w:val="32"/>
          <w:szCs w:val="32"/>
        </w:rPr>
      </w:pPr>
    </w:p>
    <w:p w14:paraId="5F7294E1">
      <w:pPr>
        <w:jc w:val="center"/>
        <w:rPr>
          <w:rFonts w:hint="eastAsia" w:ascii="宋体" w:hAnsi="宋体" w:eastAsia="宋体" w:cs="宋体"/>
          <w:b/>
          <w:kern w:val="0"/>
          <w:sz w:val="32"/>
          <w:szCs w:val="32"/>
        </w:rPr>
      </w:pPr>
    </w:p>
    <w:p w14:paraId="385DB5B9">
      <w:pPr>
        <w:jc w:val="both"/>
        <w:rPr>
          <w:rFonts w:hint="eastAsia" w:ascii="宋体" w:hAnsi="宋体" w:eastAsia="宋体" w:cs="宋体"/>
          <w:b/>
          <w:kern w:val="0"/>
          <w:sz w:val="32"/>
          <w:szCs w:val="32"/>
        </w:rPr>
      </w:pPr>
    </w:p>
    <w:p w14:paraId="4B88BB42">
      <w:pPr>
        <w:jc w:val="center"/>
        <w:rPr>
          <w:rFonts w:hint="eastAsia" w:ascii="宋体" w:hAnsi="宋体" w:eastAsia="宋体" w:cs="宋体"/>
          <w:b/>
          <w:kern w:val="0"/>
          <w:sz w:val="32"/>
          <w:szCs w:val="32"/>
        </w:rPr>
      </w:pPr>
    </w:p>
    <w:p w14:paraId="24AEBDD9">
      <w:pPr>
        <w:jc w:val="center"/>
        <w:rPr>
          <w:rFonts w:hint="eastAsia" w:ascii="宋体" w:hAnsi="宋体" w:eastAsia="宋体" w:cs="宋体"/>
          <w:b/>
          <w:kern w:val="0"/>
          <w:sz w:val="32"/>
          <w:szCs w:val="32"/>
        </w:rPr>
      </w:pPr>
    </w:p>
    <w:p w14:paraId="53052AC8">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投标人名称(电子签名)：                              </w:t>
      </w:r>
    </w:p>
    <w:p w14:paraId="1FCF6757">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日期：  年  月  日</w:t>
      </w:r>
    </w:p>
    <w:p w14:paraId="1CB1D627">
      <w:pPr>
        <w:jc w:val="center"/>
        <w:rPr>
          <w:rFonts w:hint="eastAsia" w:ascii="宋体" w:hAnsi="宋体" w:eastAsia="宋体" w:cs="宋体"/>
          <w:b/>
          <w:kern w:val="0"/>
          <w:sz w:val="32"/>
          <w:szCs w:val="32"/>
        </w:rPr>
      </w:pPr>
    </w:p>
    <w:p w14:paraId="78A3DB86">
      <w:pPr>
        <w:jc w:val="center"/>
        <w:rPr>
          <w:rFonts w:hint="eastAsia" w:ascii="宋体" w:hAnsi="宋体" w:eastAsia="宋体" w:cs="宋体"/>
          <w:b/>
          <w:kern w:val="0"/>
          <w:sz w:val="32"/>
          <w:szCs w:val="32"/>
        </w:rPr>
      </w:pPr>
    </w:p>
    <w:p w14:paraId="75CE3694">
      <w:pPr>
        <w:pStyle w:val="3"/>
        <w:rPr>
          <w:rFonts w:hint="eastAsia" w:ascii="宋体" w:hAnsi="宋体" w:eastAsia="宋体" w:cs="宋体"/>
        </w:rPr>
      </w:pPr>
    </w:p>
    <w:p w14:paraId="2AF97588">
      <w:pPr>
        <w:jc w:val="center"/>
        <w:rPr>
          <w:rFonts w:hint="eastAsia" w:ascii="宋体" w:hAnsi="宋体" w:eastAsia="宋体" w:cs="宋体"/>
          <w:b/>
          <w:kern w:val="0"/>
          <w:sz w:val="32"/>
          <w:szCs w:val="32"/>
        </w:rPr>
      </w:pPr>
    </w:p>
    <w:p w14:paraId="530BECC2">
      <w:pPr>
        <w:jc w:val="center"/>
        <w:rPr>
          <w:rFonts w:hint="eastAsia" w:ascii="宋体" w:hAnsi="宋体" w:eastAsia="宋体" w:cs="宋体"/>
          <w:b/>
          <w:kern w:val="0"/>
          <w:sz w:val="32"/>
          <w:szCs w:val="32"/>
        </w:rPr>
      </w:pPr>
    </w:p>
    <w:p w14:paraId="1B51D825">
      <w:pPr>
        <w:jc w:val="center"/>
        <w:rPr>
          <w:rFonts w:hint="eastAsia" w:ascii="宋体" w:hAnsi="宋体" w:eastAsia="宋体" w:cs="宋体"/>
          <w:b/>
          <w:kern w:val="0"/>
          <w:sz w:val="32"/>
          <w:szCs w:val="32"/>
        </w:rPr>
      </w:pPr>
    </w:p>
    <w:p w14:paraId="20D3EEDC">
      <w:pPr>
        <w:snapToGrid w:val="0"/>
        <w:spacing w:before="50" w:after="50"/>
        <w:jc w:val="both"/>
        <w:rPr>
          <w:rFonts w:hint="eastAsia" w:ascii="宋体" w:hAnsi="宋体" w:eastAsia="宋体" w:cs="宋体"/>
          <w:b/>
          <w:kern w:val="0"/>
          <w:sz w:val="32"/>
          <w:szCs w:val="32"/>
        </w:rPr>
      </w:pPr>
    </w:p>
    <w:p w14:paraId="1103E6D2">
      <w:pPr>
        <w:snapToGrid w:val="0"/>
        <w:spacing w:before="50" w:after="50"/>
        <w:jc w:val="center"/>
        <w:rPr>
          <w:rFonts w:hint="eastAsia" w:ascii="宋体" w:hAnsi="宋体" w:eastAsia="宋体" w:cs="宋体"/>
          <w:b/>
          <w:sz w:val="32"/>
          <w:szCs w:val="32"/>
        </w:rPr>
      </w:pPr>
      <w:r>
        <w:rPr>
          <w:rFonts w:hint="eastAsia" w:ascii="宋体" w:hAnsi="宋体" w:eastAsia="宋体" w:cs="宋体"/>
          <w:b/>
          <w:kern w:val="0"/>
          <w:sz w:val="32"/>
          <w:szCs w:val="32"/>
        </w:rPr>
        <w:t>四、</w:t>
      </w:r>
      <w:r>
        <w:rPr>
          <w:rFonts w:hint="eastAsia" w:ascii="宋体" w:hAnsi="宋体" w:eastAsia="宋体" w:cs="宋体"/>
          <w:b/>
          <w:sz w:val="32"/>
          <w:szCs w:val="32"/>
        </w:rPr>
        <w:t>评分对应表</w:t>
      </w:r>
    </w:p>
    <w:p w14:paraId="60256AB5">
      <w:pPr>
        <w:snapToGrid w:val="0"/>
        <w:spacing w:before="50"/>
        <w:jc w:val="center"/>
        <w:rPr>
          <w:rFonts w:hint="eastAsia" w:ascii="宋体" w:hAnsi="宋体" w:eastAsia="宋体" w:cs="宋体"/>
          <w:b/>
          <w:sz w:val="24"/>
        </w:rPr>
      </w:pPr>
    </w:p>
    <w:p w14:paraId="1C3C296C">
      <w:pPr>
        <w:pStyle w:val="18"/>
        <w:snapToGrid w:val="0"/>
        <w:rPr>
          <w:rFonts w:hint="eastAsia" w:ascii="宋体" w:hAnsi="宋体" w:eastAsia="宋体" w:cs="宋体"/>
          <w:sz w:val="24"/>
          <w:szCs w:val="24"/>
          <w:u w:val="single"/>
        </w:rPr>
      </w:pPr>
      <w:r>
        <w:rPr>
          <w:rFonts w:hint="eastAsia" w:ascii="宋体" w:hAnsi="宋体" w:eastAsia="宋体" w:cs="宋体"/>
          <w:sz w:val="24"/>
          <w:szCs w:val="24"/>
        </w:rPr>
        <w:t xml:space="preserve">供应商全称（公章）：              </w:t>
      </w:r>
    </w:p>
    <w:tbl>
      <w:tblPr>
        <w:tblStyle w:val="63"/>
        <w:tblW w:w="92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62"/>
        <w:gridCol w:w="3060"/>
        <w:gridCol w:w="1695"/>
      </w:tblGrid>
      <w:tr w14:paraId="32406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462" w:type="dxa"/>
            <w:tcBorders>
              <w:top w:val="single" w:color="auto" w:sz="4" w:space="0"/>
              <w:left w:val="single" w:color="auto" w:sz="4" w:space="0"/>
              <w:bottom w:val="single" w:color="auto" w:sz="4" w:space="0"/>
              <w:right w:val="single" w:color="auto" w:sz="4" w:space="0"/>
            </w:tcBorders>
            <w:vAlign w:val="center"/>
          </w:tcPr>
          <w:p w14:paraId="7A792CF8">
            <w:pPr>
              <w:snapToGrid w:val="0"/>
              <w:spacing w:before="120" w:beforeLines="50"/>
              <w:jc w:val="center"/>
              <w:rPr>
                <w:rFonts w:hint="eastAsia" w:ascii="宋体" w:hAnsi="宋体" w:eastAsia="宋体" w:cs="宋体"/>
                <w:sz w:val="24"/>
              </w:rPr>
            </w:pPr>
            <w:r>
              <w:rPr>
                <w:rFonts w:hint="eastAsia" w:ascii="宋体" w:hAnsi="宋体" w:eastAsia="宋体" w:cs="宋体"/>
                <w:sz w:val="24"/>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7881CAA">
            <w:pPr>
              <w:snapToGrid w:val="0"/>
              <w:spacing w:before="120" w:beforeLines="50"/>
              <w:jc w:val="center"/>
              <w:rPr>
                <w:rFonts w:hint="eastAsia" w:ascii="宋体" w:hAnsi="宋体" w:eastAsia="宋体" w:cs="宋体"/>
                <w:sz w:val="24"/>
              </w:rPr>
            </w:pPr>
            <w:r>
              <w:rPr>
                <w:rFonts w:hint="eastAsia" w:ascii="宋体" w:hAnsi="宋体" w:eastAsia="宋体" w:cs="宋体"/>
                <w:sz w:val="24"/>
              </w:rPr>
              <w:t>响应文件对应资料</w:t>
            </w:r>
          </w:p>
        </w:tc>
        <w:tc>
          <w:tcPr>
            <w:tcW w:w="1695" w:type="dxa"/>
            <w:tcBorders>
              <w:top w:val="single" w:color="auto" w:sz="4" w:space="0"/>
              <w:left w:val="single" w:color="auto" w:sz="4" w:space="0"/>
              <w:bottom w:val="single" w:color="auto" w:sz="4" w:space="0"/>
              <w:right w:val="single" w:color="auto" w:sz="4" w:space="0"/>
            </w:tcBorders>
            <w:vAlign w:val="center"/>
          </w:tcPr>
          <w:p w14:paraId="0B3D7DFB">
            <w:pPr>
              <w:snapToGrid w:val="0"/>
              <w:spacing w:before="120" w:beforeLines="50"/>
              <w:jc w:val="center"/>
              <w:rPr>
                <w:rFonts w:hint="eastAsia" w:ascii="宋体" w:hAnsi="宋体" w:eastAsia="宋体" w:cs="宋体"/>
                <w:sz w:val="24"/>
              </w:rPr>
            </w:pPr>
            <w:r>
              <w:rPr>
                <w:rFonts w:hint="eastAsia" w:ascii="宋体" w:hAnsi="宋体" w:eastAsia="宋体" w:cs="宋体"/>
                <w:sz w:val="24"/>
              </w:rPr>
              <w:t>响应文件页码</w:t>
            </w:r>
          </w:p>
        </w:tc>
      </w:tr>
      <w:tr w14:paraId="6A29B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533A855B">
            <w:pPr>
              <w:snapToGrid w:val="0"/>
              <w:rPr>
                <w:rFonts w:hint="eastAsia" w:ascii="宋体" w:hAnsi="宋体" w:eastAsia="宋体" w:cs="宋体"/>
                <w:sz w:val="24"/>
              </w:rPr>
            </w:pPr>
            <w:r>
              <w:rPr>
                <w:rFonts w:hint="eastAsia" w:ascii="宋体" w:hAnsi="宋体" w:eastAsia="宋体" w:cs="宋体"/>
                <w:sz w:val="24"/>
              </w:rPr>
              <w:t>对应竞争性磋商文件中评分细则中的评分标准（报价除外）</w:t>
            </w:r>
          </w:p>
        </w:tc>
        <w:tc>
          <w:tcPr>
            <w:tcW w:w="3060" w:type="dxa"/>
            <w:tcBorders>
              <w:top w:val="single" w:color="auto" w:sz="4" w:space="0"/>
              <w:left w:val="single" w:color="auto" w:sz="4" w:space="0"/>
              <w:bottom w:val="single" w:color="auto" w:sz="4" w:space="0"/>
              <w:right w:val="single" w:color="auto" w:sz="4" w:space="0"/>
            </w:tcBorders>
          </w:tcPr>
          <w:p w14:paraId="2F24D5C8">
            <w:pPr>
              <w:snapToGrid w:val="0"/>
              <w:spacing w:before="120" w:beforeLines="50"/>
              <w:rPr>
                <w:rFonts w:hint="eastAsia" w:ascii="宋体" w:hAnsi="宋体" w:eastAsia="宋体" w:cs="宋体"/>
                <w:sz w:val="24"/>
              </w:rPr>
            </w:pPr>
          </w:p>
        </w:tc>
        <w:tc>
          <w:tcPr>
            <w:tcW w:w="1695" w:type="dxa"/>
            <w:tcBorders>
              <w:top w:val="single" w:color="auto" w:sz="4" w:space="0"/>
              <w:left w:val="single" w:color="auto" w:sz="4" w:space="0"/>
              <w:bottom w:val="single" w:color="auto" w:sz="4" w:space="0"/>
              <w:right w:val="single" w:color="auto" w:sz="4" w:space="0"/>
            </w:tcBorders>
          </w:tcPr>
          <w:p w14:paraId="3EE10FF5">
            <w:pPr>
              <w:snapToGrid w:val="0"/>
              <w:spacing w:before="120" w:beforeLines="50"/>
              <w:rPr>
                <w:rFonts w:hint="eastAsia" w:ascii="宋体" w:hAnsi="宋体" w:eastAsia="宋体" w:cs="宋体"/>
                <w:sz w:val="24"/>
              </w:rPr>
            </w:pPr>
          </w:p>
        </w:tc>
      </w:tr>
      <w:tr w14:paraId="6BF75F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59EEC9B0">
            <w:pPr>
              <w:snapToGrid w:val="0"/>
              <w:rPr>
                <w:rFonts w:hint="eastAsia" w:ascii="宋体" w:hAnsi="宋体" w:eastAsia="宋体" w:cs="宋体"/>
                <w:sz w:val="24"/>
              </w:rPr>
            </w:pPr>
            <w:r>
              <w:rPr>
                <w:rFonts w:hint="eastAsia" w:ascii="宋体" w:hAnsi="宋体" w:eastAsia="宋体" w:cs="宋体"/>
                <w:sz w:val="24"/>
              </w:rPr>
              <w:t>……</w:t>
            </w:r>
          </w:p>
        </w:tc>
        <w:tc>
          <w:tcPr>
            <w:tcW w:w="3060" w:type="dxa"/>
            <w:tcBorders>
              <w:top w:val="single" w:color="auto" w:sz="4" w:space="0"/>
              <w:left w:val="single" w:color="auto" w:sz="4" w:space="0"/>
              <w:bottom w:val="single" w:color="auto" w:sz="4" w:space="0"/>
              <w:right w:val="single" w:color="auto" w:sz="4" w:space="0"/>
            </w:tcBorders>
          </w:tcPr>
          <w:p w14:paraId="00D0F3CC">
            <w:pPr>
              <w:snapToGrid w:val="0"/>
              <w:spacing w:before="120" w:beforeLines="50"/>
              <w:rPr>
                <w:rFonts w:hint="eastAsia" w:ascii="宋体" w:hAnsi="宋体" w:eastAsia="宋体" w:cs="宋体"/>
                <w:sz w:val="24"/>
              </w:rPr>
            </w:pPr>
          </w:p>
        </w:tc>
        <w:tc>
          <w:tcPr>
            <w:tcW w:w="1695" w:type="dxa"/>
            <w:tcBorders>
              <w:top w:val="single" w:color="auto" w:sz="4" w:space="0"/>
              <w:left w:val="single" w:color="auto" w:sz="4" w:space="0"/>
              <w:bottom w:val="single" w:color="auto" w:sz="4" w:space="0"/>
              <w:right w:val="single" w:color="auto" w:sz="4" w:space="0"/>
            </w:tcBorders>
          </w:tcPr>
          <w:p w14:paraId="147AC606">
            <w:pPr>
              <w:snapToGrid w:val="0"/>
              <w:spacing w:before="120" w:beforeLines="50"/>
              <w:ind w:left="43"/>
              <w:rPr>
                <w:rFonts w:hint="eastAsia" w:ascii="宋体" w:hAnsi="宋体" w:eastAsia="宋体" w:cs="宋体"/>
                <w:sz w:val="24"/>
              </w:rPr>
            </w:pPr>
          </w:p>
        </w:tc>
      </w:tr>
      <w:tr w14:paraId="58AF3F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21A75468">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7BF3A56">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28BA98FD">
            <w:pPr>
              <w:snapToGrid w:val="0"/>
              <w:spacing w:before="120" w:beforeLines="50"/>
              <w:ind w:left="43"/>
              <w:rPr>
                <w:rFonts w:hint="eastAsia" w:ascii="宋体" w:hAnsi="宋体" w:eastAsia="宋体" w:cs="宋体"/>
                <w:sz w:val="30"/>
                <w:szCs w:val="30"/>
              </w:rPr>
            </w:pPr>
          </w:p>
        </w:tc>
      </w:tr>
      <w:tr w14:paraId="139D2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71B267B0">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6C82A0D">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37F5E1EC">
            <w:pPr>
              <w:snapToGrid w:val="0"/>
              <w:spacing w:before="120" w:beforeLines="50"/>
              <w:ind w:left="43"/>
              <w:rPr>
                <w:rFonts w:hint="eastAsia" w:ascii="宋体" w:hAnsi="宋体" w:eastAsia="宋体" w:cs="宋体"/>
                <w:sz w:val="30"/>
                <w:szCs w:val="30"/>
              </w:rPr>
            </w:pPr>
          </w:p>
        </w:tc>
      </w:tr>
      <w:tr w14:paraId="1C22B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2E5B8446">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37EA0E3">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425F78F7">
            <w:pPr>
              <w:snapToGrid w:val="0"/>
              <w:spacing w:before="120" w:beforeLines="50"/>
              <w:rPr>
                <w:rFonts w:hint="eastAsia" w:ascii="宋体" w:hAnsi="宋体" w:eastAsia="宋体" w:cs="宋体"/>
                <w:sz w:val="30"/>
                <w:szCs w:val="30"/>
              </w:rPr>
            </w:pPr>
          </w:p>
        </w:tc>
      </w:tr>
      <w:tr w14:paraId="2BA40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245D4367">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A5B353F">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6B5027EA">
            <w:pPr>
              <w:snapToGrid w:val="0"/>
              <w:spacing w:before="120" w:beforeLines="50"/>
              <w:rPr>
                <w:rFonts w:hint="eastAsia" w:ascii="宋体" w:hAnsi="宋体" w:eastAsia="宋体" w:cs="宋体"/>
                <w:sz w:val="30"/>
                <w:szCs w:val="30"/>
              </w:rPr>
            </w:pPr>
          </w:p>
        </w:tc>
      </w:tr>
      <w:tr w14:paraId="4F8B3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0EB21866">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DD1DD7B">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671BB375">
            <w:pPr>
              <w:snapToGrid w:val="0"/>
              <w:spacing w:before="120" w:beforeLines="50"/>
              <w:rPr>
                <w:rFonts w:hint="eastAsia" w:ascii="宋体" w:hAnsi="宋体" w:eastAsia="宋体" w:cs="宋体"/>
                <w:sz w:val="30"/>
                <w:szCs w:val="30"/>
              </w:rPr>
            </w:pPr>
          </w:p>
        </w:tc>
      </w:tr>
      <w:tr w14:paraId="0DE06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46B7FA8C">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4DD4F2C">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372F1530">
            <w:pPr>
              <w:snapToGrid w:val="0"/>
              <w:spacing w:before="120" w:beforeLines="50"/>
              <w:rPr>
                <w:rFonts w:hint="eastAsia" w:ascii="宋体" w:hAnsi="宋体" w:eastAsia="宋体" w:cs="宋体"/>
                <w:sz w:val="30"/>
                <w:szCs w:val="30"/>
              </w:rPr>
            </w:pPr>
          </w:p>
        </w:tc>
      </w:tr>
      <w:tr w14:paraId="043F2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462" w:type="dxa"/>
            <w:tcBorders>
              <w:top w:val="single" w:color="auto" w:sz="4" w:space="0"/>
              <w:left w:val="single" w:color="auto" w:sz="4" w:space="0"/>
              <w:bottom w:val="single" w:color="auto" w:sz="4" w:space="0"/>
              <w:right w:val="single" w:color="auto" w:sz="4" w:space="0"/>
            </w:tcBorders>
          </w:tcPr>
          <w:p w14:paraId="4E7AD225">
            <w:pPr>
              <w:snapToGrid w:val="0"/>
              <w:rPr>
                <w:rFonts w:hint="eastAsia" w:ascii="宋体" w:hAnsi="宋体" w:eastAsia="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7A9C616">
            <w:pPr>
              <w:snapToGrid w:val="0"/>
              <w:spacing w:before="120" w:beforeLines="50"/>
              <w:rPr>
                <w:rFonts w:hint="eastAsia" w:ascii="宋体" w:hAnsi="宋体" w:eastAsia="宋体" w:cs="宋体"/>
                <w:sz w:val="30"/>
                <w:szCs w:val="30"/>
              </w:rPr>
            </w:pPr>
          </w:p>
        </w:tc>
        <w:tc>
          <w:tcPr>
            <w:tcW w:w="1695" w:type="dxa"/>
            <w:tcBorders>
              <w:top w:val="single" w:color="auto" w:sz="4" w:space="0"/>
              <w:left w:val="single" w:color="auto" w:sz="4" w:space="0"/>
              <w:bottom w:val="single" w:color="auto" w:sz="4" w:space="0"/>
              <w:right w:val="single" w:color="auto" w:sz="4" w:space="0"/>
            </w:tcBorders>
          </w:tcPr>
          <w:p w14:paraId="2535B450">
            <w:pPr>
              <w:snapToGrid w:val="0"/>
              <w:spacing w:before="120" w:beforeLines="50"/>
              <w:rPr>
                <w:rFonts w:hint="eastAsia" w:ascii="宋体" w:hAnsi="宋体" w:eastAsia="宋体" w:cs="宋体"/>
                <w:sz w:val="30"/>
                <w:szCs w:val="30"/>
              </w:rPr>
            </w:pPr>
          </w:p>
        </w:tc>
      </w:tr>
    </w:tbl>
    <w:p w14:paraId="12C8DF19">
      <w:pPr>
        <w:spacing w:line="440" w:lineRule="exact"/>
        <w:jc w:val="center"/>
        <w:rPr>
          <w:rFonts w:hint="eastAsia" w:ascii="宋体" w:hAnsi="宋体" w:eastAsia="宋体" w:cs="宋体"/>
          <w:b/>
          <w:sz w:val="28"/>
          <w:szCs w:val="28"/>
        </w:rPr>
      </w:pPr>
    </w:p>
    <w:p w14:paraId="0DA3F6B0">
      <w:pPr>
        <w:spacing w:line="440" w:lineRule="exact"/>
        <w:jc w:val="left"/>
        <w:rPr>
          <w:rFonts w:hint="eastAsia" w:ascii="宋体" w:hAnsi="宋体" w:eastAsia="宋体" w:cs="宋体"/>
          <w:b/>
          <w:sz w:val="28"/>
          <w:szCs w:val="28"/>
        </w:rPr>
      </w:pPr>
      <w:r>
        <w:rPr>
          <w:rFonts w:hint="eastAsia" w:ascii="宋体" w:hAnsi="宋体" w:eastAsia="宋体" w:cs="宋体"/>
          <w:sz w:val="24"/>
        </w:rPr>
        <w:t>建议：供应商编制磋商响应文件（商务技术文件部分）时，建议按“磋商文件第四章评标办法前附表”（序号和内容）提供评标标准相应的商务技术资料。</w:t>
      </w:r>
    </w:p>
    <w:p w14:paraId="53052856">
      <w:pPr>
        <w:jc w:val="center"/>
        <w:rPr>
          <w:rFonts w:hint="eastAsia" w:ascii="宋体" w:hAnsi="宋体" w:eastAsia="宋体" w:cs="宋体"/>
          <w:b/>
          <w:kern w:val="0"/>
          <w:sz w:val="32"/>
          <w:szCs w:val="32"/>
        </w:rPr>
      </w:pPr>
    </w:p>
    <w:p w14:paraId="422D689E">
      <w:pPr>
        <w:jc w:val="both"/>
        <w:rPr>
          <w:rFonts w:hint="eastAsia" w:ascii="宋体" w:hAnsi="宋体" w:eastAsia="宋体" w:cs="宋体"/>
          <w:b/>
          <w:kern w:val="0"/>
          <w:sz w:val="32"/>
          <w:szCs w:val="32"/>
        </w:rPr>
      </w:pPr>
    </w:p>
    <w:p w14:paraId="38D55899">
      <w:pPr>
        <w:jc w:val="center"/>
        <w:rPr>
          <w:rFonts w:hint="eastAsia" w:ascii="宋体" w:hAnsi="宋体" w:eastAsia="宋体" w:cs="宋体"/>
          <w:b/>
          <w:kern w:val="0"/>
          <w:sz w:val="32"/>
          <w:szCs w:val="32"/>
        </w:rPr>
      </w:pPr>
    </w:p>
    <w:p w14:paraId="3C4D58A7">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投标人名称(电子签名)：                              </w:t>
      </w:r>
    </w:p>
    <w:p w14:paraId="119DBB19">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日期：  年  月  日</w:t>
      </w:r>
    </w:p>
    <w:p w14:paraId="207AA263">
      <w:pPr>
        <w:jc w:val="center"/>
        <w:rPr>
          <w:rFonts w:hint="eastAsia" w:ascii="宋体" w:hAnsi="宋体" w:eastAsia="宋体" w:cs="宋体"/>
          <w:b/>
          <w:kern w:val="0"/>
          <w:sz w:val="32"/>
          <w:szCs w:val="32"/>
        </w:rPr>
      </w:pPr>
    </w:p>
    <w:p w14:paraId="248748E1">
      <w:pPr>
        <w:jc w:val="center"/>
        <w:rPr>
          <w:rFonts w:hint="eastAsia" w:ascii="宋体" w:hAnsi="宋体" w:eastAsia="宋体" w:cs="宋体"/>
          <w:b/>
          <w:kern w:val="0"/>
          <w:sz w:val="32"/>
          <w:szCs w:val="32"/>
        </w:rPr>
      </w:pPr>
    </w:p>
    <w:p w14:paraId="1C12B30D">
      <w:pPr>
        <w:jc w:val="center"/>
        <w:rPr>
          <w:rFonts w:hint="eastAsia" w:ascii="宋体" w:hAnsi="宋体" w:eastAsia="宋体" w:cs="宋体"/>
          <w:b/>
          <w:kern w:val="0"/>
          <w:sz w:val="32"/>
          <w:szCs w:val="32"/>
        </w:rPr>
      </w:pPr>
    </w:p>
    <w:p w14:paraId="2351985D">
      <w:pPr>
        <w:jc w:val="center"/>
        <w:rPr>
          <w:rFonts w:hint="eastAsia" w:ascii="宋体" w:hAnsi="宋体" w:eastAsia="宋体" w:cs="宋体"/>
          <w:b/>
          <w:kern w:val="0"/>
          <w:sz w:val="32"/>
          <w:szCs w:val="32"/>
        </w:rPr>
      </w:pPr>
    </w:p>
    <w:p w14:paraId="6BD26E2A">
      <w:pPr>
        <w:rPr>
          <w:rFonts w:hint="eastAsia" w:ascii="宋体" w:hAnsi="宋体" w:eastAsia="宋体" w:cs="宋体"/>
          <w:b/>
          <w:kern w:val="0"/>
          <w:sz w:val="32"/>
          <w:szCs w:val="32"/>
        </w:rPr>
      </w:pPr>
    </w:p>
    <w:p w14:paraId="5AED8F22">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56AE1DD0">
      <w:pPr>
        <w:snapToGrid w:val="0"/>
        <w:spacing w:line="360" w:lineRule="auto"/>
        <w:jc w:val="left"/>
        <w:rPr>
          <w:rFonts w:hint="eastAsia" w:ascii="宋体" w:hAnsi="宋体" w:eastAsia="宋体" w:cs="宋体"/>
          <w:b/>
          <w:sz w:val="24"/>
        </w:rPr>
      </w:pPr>
    </w:p>
    <w:p w14:paraId="3BE9A822">
      <w:pPr>
        <w:snapToGrid w:val="0"/>
        <w:spacing w:line="360" w:lineRule="auto"/>
        <w:jc w:val="left"/>
        <w:rPr>
          <w:rFonts w:hint="eastAsia" w:ascii="宋体" w:hAnsi="宋体" w:eastAsia="宋体" w:cs="宋体"/>
          <w:b/>
          <w:sz w:val="24"/>
        </w:rPr>
      </w:pPr>
      <w:r>
        <w:rPr>
          <w:rFonts w:hint="eastAsia" w:ascii="宋体" w:hAnsi="宋体" w:eastAsia="宋体" w:cs="宋体"/>
          <w:b/>
          <w:sz w:val="24"/>
        </w:rPr>
        <w:t>（按竞争性磋商文件第四部分评标办法前附表中“磋商响应文件中评标标准相应的商务技术资料目录”提供资料）</w:t>
      </w:r>
    </w:p>
    <w:p w14:paraId="5AD4C369">
      <w:pPr>
        <w:jc w:val="center"/>
        <w:rPr>
          <w:rFonts w:hint="eastAsia" w:ascii="宋体" w:hAnsi="宋体" w:eastAsia="宋体" w:cs="宋体"/>
          <w:b/>
          <w:kern w:val="0"/>
          <w:sz w:val="32"/>
          <w:szCs w:val="32"/>
        </w:rPr>
      </w:pPr>
    </w:p>
    <w:p w14:paraId="797F5675">
      <w:pPr>
        <w:spacing w:line="440" w:lineRule="exact"/>
        <w:rPr>
          <w:rFonts w:hint="eastAsia" w:ascii="宋体" w:hAnsi="宋体" w:eastAsia="宋体" w:cs="宋体"/>
          <w:sz w:val="24"/>
        </w:rPr>
      </w:pPr>
    </w:p>
    <w:p w14:paraId="0407CB54">
      <w:pPr>
        <w:pStyle w:val="7"/>
        <w:rPr>
          <w:rFonts w:hint="eastAsia" w:ascii="宋体" w:hAnsi="宋体" w:eastAsia="宋体" w:cs="宋体"/>
        </w:rPr>
      </w:pPr>
    </w:p>
    <w:p w14:paraId="490319DF">
      <w:pPr>
        <w:rPr>
          <w:rFonts w:hint="eastAsia" w:ascii="宋体" w:hAnsi="宋体" w:eastAsia="宋体" w:cs="宋体"/>
          <w:sz w:val="24"/>
        </w:rPr>
      </w:pPr>
    </w:p>
    <w:p w14:paraId="74C759F2">
      <w:pPr>
        <w:pStyle w:val="7"/>
        <w:rPr>
          <w:rFonts w:hint="eastAsia" w:ascii="宋体" w:hAnsi="宋体" w:eastAsia="宋体" w:cs="宋体"/>
        </w:rPr>
      </w:pPr>
    </w:p>
    <w:p w14:paraId="55E9F408">
      <w:pPr>
        <w:rPr>
          <w:rFonts w:hint="eastAsia" w:ascii="宋体" w:hAnsi="宋体" w:eastAsia="宋体" w:cs="宋体"/>
          <w:sz w:val="24"/>
        </w:rPr>
      </w:pPr>
    </w:p>
    <w:p w14:paraId="3A0ECA8D">
      <w:pPr>
        <w:pStyle w:val="7"/>
        <w:rPr>
          <w:rFonts w:hint="eastAsia" w:ascii="宋体" w:hAnsi="宋体" w:eastAsia="宋体" w:cs="宋体"/>
        </w:rPr>
      </w:pPr>
    </w:p>
    <w:p w14:paraId="52DEAD9F">
      <w:pPr>
        <w:rPr>
          <w:rFonts w:hint="eastAsia" w:ascii="宋体" w:hAnsi="宋体" w:eastAsia="宋体" w:cs="宋体"/>
          <w:sz w:val="24"/>
        </w:rPr>
      </w:pPr>
    </w:p>
    <w:p w14:paraId="245F7336">
      <w:pPr>
        <w:pStyle w:val="7"/>
        <w:rPr>
          <w:rFonts w:hint="eastAsia" w:ascii="宋体" w:hAnsi="宋体" w:eastAsia="宋体" w:cs="宋体"/>
        </w:rPr>
      </w:pPr>
    </w:p>
    <w:p w14:paraId="502BB1A0">
      <w:pPr>
        <w:rPr>
          <w:rFonts w:hint="eastAsia" w:ascii="宋体" w:hAnsi="宋体" w:eastAsia="宋体" w:cs="宋体"/>
        </w:rPr>
      </w:pPr>
    </w:p>
    <w:p w14:paraId="7AF45A8A">
      <w:pPr>
        <w:pStyle w:val="7"/>
        <w:rPr>
          <w:rFonts w:hint="eastAsia" w:ascii="宋体" w:hAnsi="宋体" w:eastAsia="宋体" w:cs="宋体"/>
        </w:rPr>
      </w:pPr>
    </w:p>
    <w:p w14:paraId="43B968CC">
      <w:pPr>
        <w:rPr>
          <w:rFonts w:hint="eastAsia" w:ascii="宋体" w:hAnsi="宋体" w:eastAsia="宋体" w:cs="宋体"/>
        </w:rPr>
      </w:pPr>
    </w:p>
    <w:p w14:paraId="46321AB2">
      <w:pPr>
        <w:pStyle w:val="7"/>
        <w:rPr>
          <w:rFonts w:hint="eastAsia" w:ascii="宋体" w:hAnsi="宋体" w:eastAsia="宋体" w:cs="宋体"/>
        </w:rPr>
      </w:pPr>
    </w:p>
    <w:p w14:paraId="3784B67B">
      <w:pPr>
        <w:rPr>
          <w:rFonts w:hint="eastAsia" w:ascii="宋体" w:hAnsi="宋体" w:eastAsia="宋体" w:cs="宋体"/>
        </w:rPr>
      </w:pPr>
    </w:p>
    <w:p w14:paraId="63987466">
      <w:pPr>
        <w:pStyle w:val="7"/>
        <w:rPr>
          <w:rFonts w:hint="eastAsia" w:ascii="宋体" w:hAnsi="宋体" w:eastAsia="宋体" w:cs="宋体"/>
        </w:rPr>
      </w:pPr>
    </w:p>
    <w:p w14:paraId="5E5B9A4E">
      <w:pPr>
        <w:rPr>
          <w:rFonts w:hint="eastAsia" w:ascii="宋体" w:hAnsi="宋体" w:eastAsia="宋体" w:cs="宋体"/>
        </w:rPr>
      </w:pPr>
    </w:p>
    <w:p w14:paraId="26858470">
      <w:pPr>
        <w:pStyle w:val="7"/>
        <w:rPr>
          <w:rFonts w:hint="eastAsia" w:ascii="宋体" w:hAnsi="宋体" w:eastAsia="宋体" w:cs="宋体"/>
        </w:rPr>
      </w:pPr>
    </w:p>
    <w:p w14:paraId="2C516D0D">
      <w:pPr>
        <w:rPr>
          <w:rFonts w:hint="eastAsia" w:ascii="宋体" w:hAnsi="宋体" w:eastAsia="宋体" w:cs="宋体"/>
        </w:rPr>
      </w:pPr>
    </w:p>
    <w:p w14:paraId="50D31FE7">
      <w:pPr>
        <w:pStyle w:val="7"/>
        <w:rPr>
          <w:rFonts w:hint="eastAsia" w:ascii="宋体" w:hAnsi="宋体" w:eastAsia="宋体" w:cs="宋体"/>
        </w:rPr>
      </w:pPr>
    </w:p>
    <w:p w14:paraId="4602A5B8">
      <w:pPr>
        <w:rPr>
          <w:rFonts w:hint="eastAsia" w:ascii="宋体" w:hAnsi="宋体" w:eastAsia="宋体" w:cs="宋体"/>
        </w:rPr>
      </w:pPr>
    </w:p>
    <w:p w14:paraId="46E481F9">
      <w:pPr>
        <w:pStyle w:val="7"/>
        <w:rPr>
          <w:rFonts w:hint="eastAsia" w:ascii="宋体" w:hAnsi="宋体" w:eastAsia="宋体" w:cs="宋体"/>
        </w:rPr>
      </w:pPr>
    </w:p>
    <w:p w14:paraId="7EE2B790">
      <w:pPr>
        <w:rPr>
          <w:rFonts w:hint="eastAsia"/>
        </w:rPr>
      </w:pPr>
    </w:p>
    <w:p w14:paraId="2740DEA9">
      <w:pPr>
        <w:rPr>
          <w:rFonts w:hint="eastAsia" w:ascii="宋体" w:hAnsi="宋体" w:eastAsia="宋体" w:cs="宋体"/>
        </w:rPr>
      </w:pPr>
    </w:p>
    <w:p w14:paraId="0FF2E58D">
      <w:pPr>
        <w:rPr>
          <w:rFonts w:hint="eastAsia" w:ascii="宋体" w:hAnsi="宋体" w:eastAsia="宋体" w:cs="宋体"/>
          <w:b/>
          <w:kern w:val="0"/>
          <w:sz w:val="32"/>
          <w:szCs w:val="32"/>
        </w:rPr>
      </w:pPr>
    </w:p>
    <w:p w14:paraId="1A1E69FA">
      <w:pPr>
        <w:pStyle w:val="25"/>
        <w:rPr>
          <w:rFonts w:hint="eastAsia"/>
        </w:rPr>
      </w:pPr>
    </w:p>
    <w:p w14:paraId="51361B67">
      <w:pPr>
        <w:numPr>
          <w:ilvl w:val="0"/>
          <w:numId w:val="3"/>
        </w:numPr>
        <w:jc w:val="center"/>
        <w:rPr>
          <w:rFonts w:hint="eastAsia" w:ascii="宋体" w:hAnsi="宋体" w:eastAsia="宋体" w:cs="宋体"/>
          <w:b/>
          <w:kern w:val="0"/>
          <w:sz w:val="32"/>
          <w:szCs w:val="32"/>
        </w:rPr>
      </w:pPr>
      <w:r>
        <w:rPr>
          <w:rFonts w:hint="eastAsia" w:ascii="宋体" w:hAnsi="宋体" w:eastAsia="宋体" w:cs="宋体"/>
          <w:b/>
          <w:kern w:val="0"/>
          <w:sz w:val="32"/>
          <w:szCs w:val="32"/>
        </w:rPr>
        <w:t>商务技术偏离表</w:t>
      </w:r>
    </w:p>
    <w:p w14:paraId="13B5B33B">
      <w:pPr>
        <w:pStyle w:val="26"/>
        <w:ind w:firstLine="0"/>
        <w:rPr>
          <w:rFonts w:hint="eastAsia" w:ascii="宋体" w:hAnsi="宋体" w:eastAsia="宋体" w:cs="宋体"/>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56F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59" w:type="dxa"/>
            <w:vAlign w:val="center"/>
          </w:tcPr>
          <w:p w14:paraId="33CF4464">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center"/>
          </w:tcPr>
          <w:p w14:paraId="612DE480">
            <w:pPr>
              <w:jc w:val="center"/>
              <w:rPr>
                <w:rFonts w:hint="eastAsia" w:ascii="宋体" w:hAnsi="宋体" w:eastAsia="宋体" w:cs="宋体"/>
                <w:b/>
                <w:bCs/>
                <w:sz w:val="24"/>
              </w:rPr>
            </w:pPr>
            <w:r>
              <w:rPr>
                <w:rFonts w:hint="eastAsia" w:ascii="宋体" w:hAnsi="宋体" w:eastAsia="宋体" w:cs="宋体"/>
                <w:b/>
                <w:bCs/>
                <w:sz w:val="24"/>
              </w:rPr>
              <w:t>竞争性磋商文件章节及具体内容</w:t>
            </w:r>
          </w:p>
        </w:tc>
        <w:tc>
          <w:tcPr>
            <w:tcW w:w="3546" w:type="dxa"/>
            <w:vAlign w:val="center"/>
          </w:tcPr>
          <w:p w14:paraId="0855F1DD">
            <w:pPr>
              <w:jc w:val="center"/>
              <w:rPr>
                <w:rFonts w:hint="eastAsia" w:ascii="宋体" w:hAnsi="宋体" w:eastAsia="宋体" w:cs="宋体"/>
                <w:b/>
                <w:bCs/>
                <w:sz w:val="24"/>
              </w:rPr>
            </w:pPr>
            <w:r>
              <w:rPr>
                <w:rFonts w:hint="eastAsia" w:ascii="宋体" w:hAnsi="宋体" w:eastAsia="宋体" w:cs="宋体"/>
                <w:b/>
                <w:bCs/>
                <w:sz w:val="24"/>
              </w:rPr>
              <w:t>磋商响应文件章节及具体内容</w:t>
            </w:r>
          </w:p>
        </w:tc>
        <w:tc>
          <w:tcPr>
            <w:tcW w:w="1276" w:type="dxa"/>
            <w:vAlign w:val="center"/>
          </w:tcPr>
          <w:p w14:paraId="7CF777D1">
            <w:pPr>
              <w:jc w:val="center"/>
              <w:rPr>
                <w:rFonts w:hint="eastAsia" w:ascii="宋体" w:hAnsi="宋体" w:eastAsia="宋体" w:cs="宋体"/>
                <w:b/>
                <w:bCs/>
                <w:sz w:val="24"/>
              </w:rPr>
            </w:pPr>
            <w:r>
              <w:rPr>
                <w:rFonts w:hint="eastAsia" w:ascii="宋体" w:hAnsi="宋体" w:eastAsia="宋体" w:cs="宋体"/>
                <w:b/>
                <w:bCs/>
                <w:sz w:val="24"/>
              </w:rPr>
              <w:t>偏离说明</w:t>
            </w:r>
          </w:p>
        </w:tc>
      </w:tr>
      <w:tr w14:paraId="3594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C4D2D1">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20EE08EE">
            <w:pPr>
              <w:jc w:val="center"/>
              <w:rPr>
                <w:rFonts w:hint="eastAsia" w:ascii="宋体" w:hAnsi="宋体" w:eastAsia="宋体" w:cs="宋体"/>
                <w:b/>
                <w:kern w:val="0"/>
                <w:sz w:val="32"/>
                <w:szCs w:val="32"/>
              </w:rPr>
            </w:pPr>
          </w:p>
        </w:tc>
        <w:tc>
          <w:tcPr>
            <w:tcW w:w="3546" w:type="dxa"/>
          </w:tcPr>
          <w:p w14:paraId="139CE598">
            <w:pPr>
              <w:jc w:val="center"/>
              <w:rPr>
                <w:rFonts w:hint="eastAsia" w:ascii="宋体" w:hAnsi="宋体" w:eastAsia="宋体" w:cs="宋体"/>
                <w:b/>
                <w:kern w:val="0"/>
                <w:sz w:val="32"/>
                <w:szCs w:val="32"/>
              </w:rPr>
            </w:pPr>
          </w:p>
        </w:tc>
        <w:tc>
          <w:tcPr>
            <w:tcW w:w="1276" w:type="dxa"/>
          </w:tcPr>
          <w:p w14:paraId="1E4CA91E">
            <w:pPr>
              <w:jc w:val="center"/>
              <w:rPr>
                <w:rFonts w:hint="eastAsia" w:ascii="宋体" w:hAnsi="宋体" w:eastAsia="宋体" w:cs="宋体"/>
                <w:b/>
                <w:kern w:val="0"/>
                <w:sz w:val="32"/>
                <w:szCs w:val="32"/>
              </w:rPr>
            </w:pPr>
          </w:p>
        </w:tc>
      </w:tr>
      <w:tr w14:paraId="5304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F5E3B8">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16610D6D">
            <w:pPr>
              <w:jc w:val="center"/>
              <w:rPr>
                <w:rFonts w:hint="eastAsia" w:ascii="宋体" w:hAnsi="宋体" w:eastAsia="宋体" w:cs="宋体"/>
                <w:b/>
                <w:kern w:val="0"/>
                <w:sz w:val="32"/>
                <w:szCs w:val="32"/>
              </w:rPr>
            </w:pPr>
          </w:p>
        </w:tc>
        <w:tc>
          <w:tcPr>
            <w:tcW w:w="3546" w:type="dxa"/>
          </w:tcPr>
          <w:p w14:paraId="47E7208B">
            <w:pPr>
              <w:jc w:val="center"/>
              <w:rPr>
                <w:rFonts w:hint="eastAsia" w:ascii="宋体" w:hAnsi="宋体" w:eastAsia="宋体" w:cs="宋体"/>
                <w:b/>
                <w:kern w:val="0"/>
                <w:sz w:val="32"/>
                <w:szCs w:val="32"/>
              </w:rPr>
            </w:pPr>
          </w:p>
        </w:tc>
        <w:tc>
          <w:tcPr>
            <w:tcW w:w="1276" w:type="dxa"/>
          </w:tcPr>
          <w:p w14:paraId="79DCD90C">
            <w:pPr>
              <w:jc w:val="center"/>
              <w:rPr>
                <w:rFonts w:hint="eastAsia" w:ascii="宋体" w:hAnsi="宋体" w:eastAsia="宋体" w:cs="宋体"/>
                <w:b/>
                <w:kern w:val="0"/>
                <w:sz w:val="32"/>
                <w:szCs w:val="32"/>
              </w:rPr>
            </w:pPr>
          </w:p>
        </w:tc>
      </w:tr>
      <w:tr w14:paraId="170F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C53301">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00489A0F">
            <w:pPr>
              <w:jc w:val="center"/>
              <w:rPr>
                <w:rFonts w:hint="eastAsia" w:ascii="宋体" w:hAnsi="宋体" w:eastAsia="宋体" w:cs="宋体"/>
                <w:b/>
                <w:kern w:val="0"/>
                <w:sz w:val="32"/>
                <w:szCs w:val="32"/>
              </w:rPr>
            </w:pPr>
          </w:p>
        </w:tc>
        <w:tc>
          <w:tcPr>
            <w:tcW w:w="3546" w:type="dxa"/>
          </w:tcPr>
          <w:p w14:paraId="76111F0E">
            <w:pPr>
              <w:jc w:val="center"/>
              <w:rPr>
                <w:rFonts w:hint="eastAsia" w:ascii="宋体" w:hAnsi="宋体" w:eastAsia="宋体" w:cs="宋体"/>
                <w:b/>
                <w:kern w:val="0"/>
                <w:sz w:val="32"/>
                <w:szCs w:val="32"/>
              </w:rPr>
            </w:pPr>
          </w:p>
        </w:tc>
        <w:tc>
          <w:tcPr>
            <w:tcW w:w="1276" w:type="dxa"/>
          </w:tcPr>
          <w:p w14:paraId="6B9C90AE">
            <w:pPr>
              <w:jc w:val="center"/>
              <w:rPr>
                <w:rFonts w:hint="eastAsia" w:ascii="宋体" w:hAnsi="宋体" w:eastAsia="宋体" w:cs="宋体"/>
                <w:b/>
                <w:kern w:val="0"/>
                <w:sz w:val="32"/>
                <w:szCs w:val="32"/>
              </w:rPr>
            </w:pPr>
          </w:p>
        </w:tc>
      </w:tr>
    </w:tbl>
    <w:p w14:paraId="1E7EAC43">
      <w:pPr>
        <w:jc w:val="left"/>
        <w:rPr>
          <w:rFonts w:hint="eastAsia" w:ascii="宋体" w:hAnsi="宋体" w:eastAsia="宋体" w:cs="宋体"/>
          <w:kern w:val="0"/>
          <w:sz w:val="24"/>
        </w:rPr>
      </w:pPr>
      <w:r>
        <w:rPr>
          <w:rFonts w:hint="eastAsia" w:ascii="宋体" w:hAnsi="宋体" w:eastAsia="宋体" w:cs="宋体"/>
          <w:kern w:val="0"/>
          <w:sz w:val="24"/>
        </w:rPr>
        <w:t>供应商保证：除商务技术偏离表列出的偏离外，供应商响应竞争性磋商文件的全部要求</w:t>
      </w:r>
    </w:p>
    <w:p w14:paraId="7F8DE8BD">
      <w:pPr>
        <w:jc w:val="center"/>
        <w:rPr>
          <w:rFonts w:hint="eastAsia" w:ascii="宋体" w:hAnsi="宋体" w:eastAsia="宋体" w:cs="宋体"/>
          <w:b/>
          <w:kern w:val="0"/>
          <w:sz w:val="32"/>
          <w:szCs w:val="32"/>
        </w:rPr>
      </w:pPr>
    </w:p>
    <w:p w14:paraId="4CCDB8CC">
      <w:pPr>
        <w:jc w:val="center"/>
        <w:rPr>
          <w:rFonts w:hint="eastAsia" w:ascii="宋体" w:hAnsi="宋体" w:eastAsia="宋体" w:cs="宋体"/>
          <w:b/>
          <w:kern w:val="0"/>
          <w:sz w:val="32"/>
          <w:szCs w:val="32"/>
        </w:rPr>
      </w:pPr>
    </w:p>
    <w:p w14:paraId="3B73CFF9">
      <w:pPr>
        <w:jc w:val="center"/>
        <w:rPr>
          <w:rFonts w:hint="eastAsia" w:ascii="宋体" w:hAnsi="宋体" w:eastAsia="宋体" w:cs="宋体"/>
          <w:b/>
          <w:kern w:val="0"/>
          <w:sz w:val="32"/>
          <w:szCs w:val="32"/>
        </w:rPr>
      </w:pPr>
    </w:p>
    <w:p w14:paraId="4E5D6A25">
      <w:pPr>
        <w:jc w:val="center"/>
        <w:rPr>
          <w:rFonts w:hint="eastAsia" w:ascii="宋体" w:hAnsi="宋体" w:eastAsia="宋体" w:cs="宋体"/>
          <w:b/>
          <w:kern w:val="0"/>
          <w:sz w:val="32"/>
          <w:szCs w:val="32"/>
        </w:rPr>
      </w:pPr>
    </w:p>
    <w:p w14:paraId="3E893B2F">
      <w:pPr>
        <w:jc w:val="center"/>
        <w:rPr>
          <w:rFonts w:hint="eastAsia" w:ascii="宋体" w:hAnsi="宋体" w:eastAsia="宋体" w:cs="宋体"/>
          <w:b/>
          <w:kern w:val="0"/>
          <w:sz w:val="32"/>
          <w:szCs w:val="32"/>
        </w:rPr>
      </w:pPr>
    </w:p>
    <w:p w14:paraId="57338050">
      <w:pPr>
        <w:jc w:val="center"/>
        <w:rPr>
          <w:rFonts w:hint="eastAsia" w:ascii="宋体" w:hAnsi="宋体" w:eastAsia="宋体" w:cs="宋体"/>
          <w:b/>
          <w:kern w:val="0"/>
          <w:sz w:val="32"/>
          <w:szCs w:val="32"/>
        </w:rPr>
      </w:pPr>
    </w:p>
    <w:p w14:paraId="645DDF86">
      <w:pPr>
        <w:jc w:val="center"/>
        <w:rPr>
          <w:rFonts w:hint="eastAsia" w:ascii="宋体" w:hAnsi="宋体" w:eastAsia="宋体" w:cs="宋体"/>
          <w:b/>
          <w:kern w:val="0"/>
          <w:sz w:val="32"/>
          <w:szCs w:val="32"/>
        </w:rPr>
      </w:pPr>
    </w:p>
    <w:p w14:paraId="64FAC89E">
      <w:pPr>
        <w:jc w:val="center"/>
        <w:rPr>
          <w:rFonts w:hint="eastAsia" w:ascii="宋体" w:hAnsi="宋体" w:eastAsia="宋体" w:cs="宋体"/>
          <w:b/>
          <w:kern w:val="0"/>
          <w:sz w:val="32"/>
          <w:szCs w:val="32"/>
        </w:rPr>
      </w:pPr>
    </w:p>
    <w:p w14:paraId="78A8B5D8">
      <w:pPr>
        <w:jc w:val="center"/>
        <w:rPr>
          <w:rFonts w:hint="eastAsia" w:ascii="宋体" w:hAnsi="宋体" w:eastAsia="宋体" w:cs="宋体"/>
          <w:b/>
          <w:kern w:val="0"/>
          <w:sz w:val="32"/>
          <w:szCs w:val="32"/>
        </w:rPr>
      </w:pPr>
    </w:p>
    <w:p w14:paraId="6114C6D2">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投标人名称(电子签名)：                              </w:t>
      </w:r>
    </w:p>
    <w:p w14:paraId="4488B390">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日期：  年  月  日</w:t>
      </w:r>
    </w:p>
    <w:p w14:paraId="33C271EF">
      <w:pPr>
        <w:jc w:val="center"/>
        <w:rPr>
          <w:rFonts w:hint="eastAsia" w:ascii="宋体" w:hAnsi="宋体" w:eastAsia="宋体" w:cs="宋体"/>
          <w:b/>
          <w:kern w:val="0"/>
          <w:sz w:val="32"/>
          <w:szCs w:val="32"/>
        </w:rPr>
      </w:pPr>
    </w:p>
    <w:p w14:paraId="26047FBD">
      <w:pPr>
        <w:jc w:val="center"/>
        <w:rPr>
          <w:rFonts w:hint="eastAsia" w:ascii="宋体" w:hAnsi="宋体" w:eastAsia="宋体" w:cs="宋体"/>
          <w:b/>
          <w:kern w:val="0"/>
          <w:sz w:val="32"/>
          <w:szCs w:val="32"/>
        </w:rPr>
      </w:pPr>
    </w:p>
    <w:p w14:paraId="6B445A83">
      <w:pPr>
        <w:jc w:val="center"/>
        <w:rPr>
          <w:rFonts w:hint="eastAsia" w:ascii="宋体" w:hAnsi="宋体" w:eastAsia="宋体" w:cs="宋体"/>
          <w:b/>
          <w:kern w:val="0"/>
          <w:sz w:val="32"/>
          <w:szCs w:val="32"/>
        </w:rPr>
      </w:pPr>
    </w:p>
    <w:p w14:paraId="0669B472">
      <w:pPr>
        <w:ind w:firstLine="2891" w:firstLineChars="900"/>
        <w:rPr>
          <w:rFonts w:hint="eastAsia" w:ascii="宋体" w:hAnsi="宋体" w:eastAsia="宋体" w:cs="宋体"/>
          <w:b/>
          <w:bCs/>
          <w:sz w:val="32"/>
          <w:szCs w:val="32"/>
        </w:rPr>
      </w:pPr>
    </w:p>
    <w:p w14:paraId="15125954">
      <w:pPr>
        <w:ind w:firstLine="2891" w:firstLineChars="900"/>
        <w:rPr>
          <w:rFonts w:hint="eastAsia" w:ascii="宋体" w:hAnsi="宋体" w:eastAsia="宋体" w:cs="宋体"/>
          <w:b/>
          <w:bCs/>
          <w:sz w:val="32"/>
          <w:szCs w:val="32"/>
        </w:rPr>
      </w:pPr>
    </w:p>
    <w:p w14:paraId="0BA1EA7A">
      <w:pPr>
        <w:ind w:firstLine="2891" w:firstLineChars="900"/>
        <w:rPr>
          <w:rFonts w:hint="eastAsia" w:ascii="宋体" w:hAnsi="宋体" w:eastAsia="宋体" w:cs="宋体"/>
          <w:b/>
          <w:bCs/>
          <w:sz w:val="32"/>
          <w:szCs w:val="32"/>
        </w:rPr>
      </w:pPr>
    </w:p>
    <w:p w14:paraId="4AAC28DF">
      <w:pPr>
        <w:ind w:firstLine="2891" w:firstLineChars="900"/>
        <w:rPr>
          <w:rFonts w:hint="eastAsia" w:ascii="宋体" w:hAnsi="宋体" w:eastAsia="宋体" w:cs="宋体"/>
          <w:b/>
          <w:bCs/>
          <w:sz w:val="32"/>
          <w:szCs w:val="32"/>
        </w:rPr>
      </w:pPr>
    </w:p>
    <w:p w14:paraId="127A1DF9">
      <w:pPr>
        <w:ind w:firstLine="2891" w:firstLineChars="900"/>
        <w:rPr>
          <w:rFonts w:hint="eastAsia" w:ascii="宋体" w:hAnsi="宋体" w:eastAsia="宋体" w:cs="宋体"/>
          <w:b/>
          <w:bCs/>
          <w:sz w:val="32"/>
          <w:szCs w:val="32"/>
        </w:rPr>
      </w:pPr>
    </w:p>
    <w:p w14:paraId="2A935224">
      <w:pPr>
        <w:ind w:firstLine="2891" w:firstLineChars="900"/>
        <w:rPr>
          <w:rFonts w:hint="eastAsia" w:ascii="宋体" w:hAnsi="宋体" w:eastAsia="宋体" w:cs="宋体"/>
          <w:b/>
          <w:bCs/>
          <w:sz w:val="32"/>
          <w:szCs w:val="32"/>
        </w:rPr>
      </w:pPr>
    </w:p>
    <w:p w14:paraId="1320DC48">
      <w:pPr>
        <w:ind w:firstLine="2891" w:firstLineChars="900"/>
        <w:rPr>
          <w:rFonts w:hint="eastAsia" w:ascii="宋体" w:hAnsi="宋体" w:eastAsia="宋体" w:cs="宋体"/>
          <w:b/>
          <w:kern w:val="0"/>
          <w:sz w:val="32"/>
          <w:szCs w:val="32"/>
        </w:rPr>
      </w:pPr>
    </w:p>
    <w:p w14:paraId="22A64699">
      <w:pPr>
        <w:ind w:firstLine="2891" w:firstLineChars="900"/>
        <w:rPr>
          <w:rFonts w:hint="eastAsia" w:ascii="宋体" w:hAnsi="宋体" w:eastAsia="宋体" w:cs="宋体"/>
          <w:b/>
          <w:kern w:val="0"/>
          <w:sz w:val="32"/>
          <w:szCs w:val="32"/>
        </w:rPr>
      </w:pPr>
    </w:p>
    <w:p w14:paraId="6C83E810">
      <w:pPr>
        <w:ind w:firstLine="2891" w:firstLineChars="900"/>
        <w:rPr>
          <w:rFonts w:hint="eastAsia" w:ascii="宋体" w:hAnsi="宋体" w:eastAsia="宋体" w:cs="宋体"/>
          <w:b/>
          <w:kern w:val="0"/>
          <w:sz w:val="32"/>
          <w:szCs w:val="32"/>
        </w:rPr>
      </w:pPr>
    </w:p>
    <w:p w14:paraId="594067CE">
      <w:pPr>
        <w:ind w:firstLine="2891" w:firstLineChars="900"/>
        <w:rPr>
          <w:rFonts w:hint="eastAsia" w:ascii="宋体" w:hAnsi="宋体" w:eastAsia="宋体" w:cs="宋体"/>
          <w:b/>
          <w:kern w:val="0"/>
          <w:sz w:val="32"/>
          <w:szCs w:val="32"/>
        </w:rPr>
      </w:pPr>
    </w:p>
    <w:p w14:paraId="46198765">
      <w:pPr>
        <w:pStyle w:val="26"/>
        <w:ind w:left="0" w:leftChars="0" w:firstLine="0" w:firstLineChars="0"/>
        <w:rPr>
          <w:rFonts w:hint="eastAsia" w:ascii="宋体" w:hAnsi="宋体" w:eastAsia="宋体" w:cs="宋体"/>
        </w:rPr>
      </w:pPr>
    </w:p>
    <w:p w14:paraId="278CD2C7">
      <w:pPr>
        <w:ind w:firstLine="1911" w:firstLineChars="595"/>
        <w:rPr>
          <w:rFonts w:hint="eastAsia" w:ascii="宋体" w:hAnsi="宋体" w:eastAsia="宋体" w:cs="宋体"/>
          <w:b/>
          <w:kern w:val="0"/>
          <w:sz w:val="32"/>
          <w:szCs w:val="32"/>
        </w:rPr>
      </w:pPr>
      <w:r>
        <w:rPr>
          <w:rFonts w:hint="eastAsia" w:ascii="宋体" w:hAnsi="宋体" w:eastAsia="宋体" w:cs="宋体"/>
          <w:b/>
          <w:kern w:val="0"/>
          <w:sz w:val="32"/>
          <w:szCs w:val="32"/>
        </w:rPr>
        <w:t>七、</w:t>
      </w:r>
      <w:r>
        <w:rPr>
          <w:rFonts w:hint="eastAsia" w:ascii="宋体" w:hAnsi="宋体" w:eastAsia="宋体" w:cs="宋体"/>
          <w:b/>
          <w:kern w:val="0"/>
          <w:sz w:val="32"/>
          <w:szCs w:val="32"/>
          <w:lang w:val="zh-CN"/>
        </w:rPr>
        <w:t>政府采购供应商廉洁自律承诺书</w:t>
      </w:r>
    </w:p>
    <w:p w14:paraId="77DA6B85">
      <w:pPr>
        <w:snapToGrid w:val="0"/>
        <w:spacing w:line="360" w:lineRule="auto"/>
        <w:rPr>
          <w:rFonts w:hint="eastAsia" w:ascii="宋体" w:hAnsi="宋体" w:eastAsia="宋体" w:cs="宋体"/>
          <w:sz w:val="24"/>
        </w:rPr>
      </w:pPr>
    </w:p>
    <w:p w14:paraId="0A1F7AA3">
      <w:pPr>
        <w:spacing w:before="120" w:beforeLines="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桐庐县卫生健康局</w:t>
      </w:r>
      <w:r>
        <w:rPr>
          <w:rFonts w:hint="eastAsia" w:ascii="宋体" w:hAnsi="宋体" w:eastAsia="宋体" w:cs="宋体"/>
          <w:color w:val="000000" w:themeColor="text1"/>
          <w:sz w:val="24"/>
          <w14:textFill>
            <w14:solidFill>
              <w14:schemeClr w14:val="tx1"/>
            </w14:solidFill>
          </w14:textFill>
        </w:rPr>
        <w:t>、杭州全咨项目管理有限公司：</w:t>
      </w:r>
    </w:p>
    <w:p w14:paraId="26A9DAC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我单位响应你</w:t>
      </w:r>
      <w:r>
        <w:rPr>
          <w:rFonts w:hint="eastAsia" w:ascii="宋体" w:hAnsi="宋体" w:eastAsia="宋体" w:cs="宋体"/>
          <w:color w:val="000000" w:themeColor="text1"/>
          <w:sz w:val="24"/>
          <w14:textFill>
            <w14:solidFill>
              <w14:schemeClr w14:val="tx1"/>
            </w14:solidFill>
          </w14:textFill>
        </w:rPr>
        <w:t>单位</w:t>
      </w:r>
      <w:r>
        <w:rPr>
          <w:rFonts w:hint="eastAsia" w:ascii="宋体" w:hAnsi="宋体" w:eastAsia="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0F9BBEC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73B50AE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67F7979E">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6ADE186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lang w:val="zh-CN"/>
          <w14:textFill>
            <w14:solidFill>
              <w14:schemeClr w14:val="tx1"/>
            </w14:solidFill>
          </w14:textFill>
        </w:rPr>
      </w:pPr>
      <w:r>
        <w:rPr>
          <w:rFonts w:hint="eastAsia" w:ascii="宋体" w:hAnsi="宋体" w:eastAsia="宋体" w:cs="宋体"/>
          <w:color w:val="000000" w:themeColor="text1"/>
          <w:kern w:val="0"/>
          <w:sz w:val="24"/>
          <w:lang w:val="zh-CN"/>
          <w14:textFill>
            <w14:solidFill>
              <w14:schemeClr w14:val="tx1"/>
            </w14:solidFill>
          </w14:textFill>
        </w:rPr>
        <w:t>四、不为项目有关人员及部门出国（境）、旅游等提供方便；</w:t>
      </w:r>
    </w:p>
    <w:p w14:paraId="344095E9">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color w:val="000000" w:themeColor="text1"/>
          <w:kern w:val="0"/>
          <w:sz w:val="24"/>
          <w:lang w:val="zh-CN"/>
          <w14:textFill>
            <w14:solidFill>
              <w14:schemeClr w14:val="tx1"/>
            </w14:solidFill>
          </w14:textFill>
        </w:rPr>
        <w:t>五、不为项目有关人员个人装修住房、</w:t>
      </w:r>
      <w:r>
        <w:rPr>
          <w:rFonts w:hint="eastAsia" w:ascii="宋体" w:hAnsi="宋体" w:eastAsia="宋体" w:cs="宋体"/>
          <w:kern w:val="0"/>
          <w:sz w:val="24"/>
          <w:lang w:val="zh-CN"/>
        </w:rPr>
        <w:t>婚丧嫁娶、配偶子女工作安排等提供</w:t>
      </w:r>
    </w:p>
    <w:p w14:paraId="3319CD7E">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18933B9C">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32B5EFE0">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DE8FB7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6E341302">
      <w:pPr>
        <w:autoSpaceDE w:val="0"/>
        <w:autoSpaceDN w:val="0"/>
        <w:spacing w:line="360" w:lineRule="auto"/>
        <w:ind w:left="2"/>
        <w:jc w:val="left"/>
        <w:rPr>
          <w:rFonts w:hint="eastAsia" w:ascii="宋体" w:hAnsi="宋体" w:eastAsia="宋体" w:cs="宋体"/>
          <w:kern w:val="0"/>
          <w:sz w:val="24"/>
          <w:lang w:val="zh-CN"/>
        </w:rPr>
      </w:pPr>
    </w:p>
    <w:p w14:paraId="51C4C571">
      <w:pPr>
        <w:autoSpaceDE w:val="0"/>
        <w:autoSpaceDN w:val="0"/>
        <w:spacing w:line="360" w:lineRule="auto"/>
        <w:ind w:left="2"/>
        <w:jc w:val="left"/>
        <w:rPr>
          <w:rFonts w:hint="eastAsia" w:ascii="宋体" w:hAnsi="宋体" w:eastAsia="宋体" w:cs="宋体"/>
          <w:kern w:val="0"/>
          <w:sz w:val="24"/>
          <w:lang w:val="zh-CN"/>
        </w:rPr>
      </w:pPr>
    </w:p>
    <w:p w14:paraId="0C2F494A">
      <w:pPr>
        <w:autoSpaceDE w:val="0"/>
        <w:autoSpaceDN w:val="0"/>
        <w:spacing w:line="360" w:lineRule="auto"/>
        <w:ind w:left="2"/>
        <w:jc w:val="left"/>
        <w:rPr>
          <w:rFonts w:hint="eastAsia" w:ascii="宋体" w:hAnsi="宋体" w:eastAsia="宋体" w:cs="宋体"/>
          <w:kern w:val="0"/>
          <w:sz w:val="24"/>
          <w:lang w:val="zh-CN"/>
        </w:rPr>
      </w:pPr>
    </w:p>
    <w:p w14:paraId="04204FD0">
      <w:pPr>
        <w:pStyle w:val="36"/>
        <w:rPr>
          <w:rFonts w:hint="eastAsia"/>
        </w:rPr>
      </w:pPr>
    </w:p>
    <w:p w14:paraId="100F188E">
      <w:pPr>
        <w:spacing w:line="360" w:lineRule="auto"/>
        <w:jc w:val="center"/>
        <w:rPr>
          <w:rFonts w:hint="eastAsia" w:ascii="宋体" w:hAnsi="宋体" w:eastAsia="宋体" w:cs="宋体"/>
          <w:b/>
          <w:bCs/>
          <w:sz w:val="24"/>
        </w:rPr>
      </w:pPr>
    </w:p>
    <w:p w14:paraId="5DB97D7C">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投标人名称(电子签名)：                              </w:t>
      </w:r>
    </w:p>
    <w:p w14:paraId="20B18430">
      <w:pPr>
        <w:spacing w:line="360" w:lineRule="auto"/>
        <w:jc w:val="center"/>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日期：  年  月  日</w:t>
      </w:r>
    </w:p>
    <w:p w14:paraId="6C6E9BF7">
      <w:pPr>
        <w:spacing w:line="360" w:lineRule="auto"/>
        <w:jc w:val="center"/>
        <w:rPr>
          <w:rFonts w:hint="eastAsia" w:ascii="宋体" w:hAnsi="宋体" w:eastAsia="宋体" w:cs="宋体"/>
          <w:b/>
          <w:bCs/>
          <w:sz w:val="24"/>
        </w:rPr>
        <w:sectPr>
          <w:footerReference r:id="rId6" w:type="first"/>
          <w:footerReference r:id="rId5" w:type="default"/>
          <w:pgSz w:w="11906" w:h="16838"/>
          <w:pgMar w:top="1417" w:right="1474" w:bottom="1417" w:left="1474" w:header="851" w:footer="992" w:gutter="0"/>
          <w:pgNumType w:fmt="decimal" w:start="1"/>
          <w:cols w:space="720" w:num="1"/>
          <w:docGrid w:linePitch="312" w:charSpace="0"/>
        </w:sectPr>
      </w:pPr>
    </w:p>
    <w:p w14:paraId="1A71199A">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040DAD5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761118B">
      <w:pPr>
        <w:spacing w:line="360" w:lineRule="auto"/>
        <w:jc w:val="center"/>
        <w:rPr>
          <w:rFonts w:hint="eastAsia" w:ascii="宋体" w:hAnsi="宋体" w:eastAsia="宋体" w:cs="宋体"/>
          <w:b/>
          <w:kern w:val="0"/>
          <w:sz w:val="36"/>
          <w:szCs w:val="36"/>
        </w:rPr>
      </w:pPr>
    </w:p>
    <w:p w14:paraId="411700ED">
      <w:pPr>
        <w:snapToGrid w:val="0"/>
        <w:spacing w:line="360" w:lineRule="auto"/>
        <w:outlineLvl w:val="0"/>
        <w:rPr>
          <w:rFonts w:hint="eastAsia" w:ascii="宋体" w:hAnsi="宋体" w:eastAsia="宋体" w:cs="宋体"/>
          <w:sz w:val="24"/>
        </w:rPr>
      </w:pPr>
      <w:r>
        <w:rPr>
          <w:rFonts w:hint="eastAsia" w:ascii="宋体" w:hAnsi="宋体" w:eastAsia="宋体" w:cs="宋体"/>
          <w:sz w:val="24"/>
        </w:rPr>
        <w:t>（1）开标一览表（报价表）………………………………………………………（页码）</w:t>
      </w:r>
    </w:p>
    <w:p w14:paraId="1B698E1D">
      <w:pPr>
        <w:snapToGrid w:val="0"/>
        <w:spacing w:line="360" w:lineRule="auto"/>
        <w:outlineLvl w:val="0"/>
        <w:rPr>
          <w:rFonts w:hint="eastAsia" w:ascii="宋体" w:hAnsi="宋体" w:eastAsia="宋体" w:cs="宋体"/>
          <w:sz w:val="24"/>
        </w:rPr>
      </w:pPr>
      <w:r>
        <w:rPr>
          <w:rFonts w:hint="eastAsia" w:ascii="宋体" w:hAnsi="宋体" w:eastAsia="宋体" w:cs="宋体"/>
          <w:sz w:val="24"/>
        </w:rPr>
        <w:t>（2）中小企业声明函</w:t>
      </w:r>
      <w:r>
        <w:rPr>
          <w:rFonts w:hint="eastAsia" w:ascii="宋体" w:hAnsi="宋体" w:cs="宋体"/>
          <w:sz w:val="24"/>
          <w:lang w:eastAsia="zh-CN"/>
        </w:rPr>
        <w:t>（如有）</w:t>
      </w:r>
      <w:r>
        <w:rPr>
          <w:rFonts w:hint="eastAsia" w:ascii="宋体" w:hAnsi="宋体" w:eastAsia="宋体" w:cs="宋体"/>
          <w:sz w:val="24"/>
        </w:rPr>
        <w:t>……………………………………………………（页码）</w:t>
      </w:r>
    </w:p>
    <w:p w14:paraId="79849005">
      <w:pPr>
        <w:snapToGrid w:val="0"/>
        <w:spacing w:line="360" w:lineRule="auto"/>
        <w:ind w:right="480"/>
        <w:jc w:val="center"/>
        <w:rPr>
          <w:rFonts w:hint="eastAsia" w:ascii="宋体" w:hAnsi="宋体" w:eastAsia="宋体" w:cs="宋体"/>
          <w:b/>
          <w:kern w:val="0"/>
          <w:sz w:val="32"/>
          <w:szCs w:val="32"/>
        </w:rPr>
      </w:pPr>
    </w:p>
    <w:p w14:paraId="49DB6974">
      <w:pPr>
        <w:snapToGrid w:val="0"/>
        <w:spacing w:line="360" w:lineRule="auto"/>
        <w:ind w:right="480"/>
        <w:jc w:val="center"/>
        <w:rPr>
          <w:rFonts w:hint="eastAsia" w:ascii="宋体" w:hAnsi="宋体" w:eastAsia="宋体" w:cs="宋体"/>
          <w:b/>
          <w:kern w:val="0"/>
          <w:sz w:val="32"/>
          <w:szCs w:val="32"/>
        </w:rPr>
      </w:pPr>
    </w:p>
    <w:p w14:paraId="0FDAF642">
      <w:pPr>
        <w:snapToGrid w:val="0"/>
        <w:spacing w:line="360" w:lineRule="auto"/>
        <w:ind w:right="480"/>
        <w:jc w:val="center"/>
        <w:rPr>
          <w:rFonts w:hint="eastAsia" w:ascii="宋体" w:hAnsi="宋体" w:eastAsia="宋体" w:cs="宋体"/>
          <w:b/>
          <w:kern w:val="0"/>
          <w:sz w:val="32"/>
          <w:szCs w:val="32"/>
        </w:rPr>
      </w:pPr>
    </w:p>
    <w:p w14:paraId="7DE75E94">
      <w:pPr>
        <w:snapToGrid w:val="0"/>
        <w:spacing w:line="360" w:lineRule="auto"/>
        <w:ind w:right="480"/>
        <w:jc w:val="center"/>
        <w:rPr>
          <w:rFonts w:hint="eastAsia" w:ascii="宋体" w:hAnsi="宋体" w:eastAsia="宋体" w:cs="宋体"/>
          <w:b/>
          <w:kern w:val="0"/>
          <w:sz w:val="32"/>
          <w:szCs w:val="32"/>
        </w:rPr>
      </w:pPr>
    </w:p>
    <w:p w14:paraId="6B8AA0FB">
      <w:pPr>
        <w:snapToGrid w:val="0"/>
        <w:spacing w:line="360" w:lineRule="auto"/>
        <w:ind w:right="480"/>
        <w:jc w:val="center"/>
        <w:rPr>
          <w:rFonts w:hint="eastAsia" w:ascii="宋体" w:hAnsi="宋体" w:eastAsia="宋体" w:cs="宋体"/>
          <w:b/>
          <w:kern w:val="0"/>
          <w:sz w:val="32"/>
          <w:szCs w:val="32"/>
        </w:rPr>
      </w:pPr>
    </w:p>
    <w:p w14:paraId="2D30A419">
      <w:pPr>
        <w:snapToGrid w:val="0"/>
        <w:spacing w:line="360" w:lineRule="auto"/>
        <w:ind w:right="480"/>
        <w:jc w:val="center"/>
        <w:rPr>
          <w:rFonts w:hint="eastAsia" w:ascii="宋体" w:hAnsi="宋体" w:eastAsia="宋体" w:cs="宋体"/>
          <w:b/>
          <w:kern w:val="0"/>
          <w:sz w:val="32"/>
          <w:szCs w:val="32"/>
        </w:rPr>
      </w:pPr>
    </w:p>
    <w:p w14:paraId="6496FB38">
      <w:pPr>
        <w:snapToGrid w:val="0"/>
        <w:spacing w:line="360" w:lineRule="auto"/>
        <w:ind w:right="480"/>
        <w:jc w:val="center"/>
        <w:rPr>
          <w:rFonts w:hint="eastAsia" w:ascii="宋体" w:hAnsi="宋体" w:eastAsia="宋体" w:cs="宋体"/>
          <w:b/>
          <w:kern w:val="0"/>
          <w:sz w:val="32"/>
          <w:szCs w:val="32"/>
        </w:rPr>
      </w:pPr>
    </w:p>
    <w:p w14:paraId="6F3AA194">
      <w:pPr>
        <w:snapToGrid w:val="0"/>
        <w:spacing w:line="360" w:lineRule="auto"/>
        <w:ind w:right="480"/>
        <w:jc w:val="center"/>
        <w:rPr>
          <w:rFonts w:hint="eastAsia" w:ascii="宋体" w:hAnsi="宋体" w:eastAsia="宋体" w:cs="宋体"/>
          <w:b/>
          <w:kern w:val="0"/>
          <w:sz w:val="32"/>
          <w:szCs w:val="32"/>
        </w:rPr>
      </w:pPr>
    </w:p>
    <w:p w14:paraId="4279E751">
      <w:pPr>
        <w:snapToGrid w:val="0"/>
        <w:spacing w:line="360" w:lineRule="auto"/>
        <w:ind w:right="480"/>
        <w:jc w:val="center"/>
        <w:rPr>
          <w:rFonts w:hint="eastAsia" w:ascii="宋体" w:hAnsi="宋体" w:eastAsia="宋体" w:cs="宋体"/>
          <w:b/>
          <w:kern w:val="0"/>
          <w:sz w:val="32"/>
          <w:szCs w:val="32"/>
        </w:rPr>
      </w:pPr>
    </w:p>
    <w:p w14:paraId="2B025A2C">
      <w:pPr>
        <w:snapToGrid w:val="0"/>
        <w:spacing w:line="360" w:lineRule="auto"/>
        <w:ind w:right="480"/>
        <w:jc w:val="center"/>
        <w:rPr>
          <w:rFonts w:hint="eastAsia" w:ascii="宋体" w:hAnsi="宋体" w:eastAsia="宋体" w:cs="宋体"/>
          <w:b/>
          <w:kern w:val="0"/>
          <w:sz w:val="32"/>
          <w:szCs w:val="32"/>
        </w:rPr>
      </w:pPr>
    </w:p>
    <w:p w14:paraId="39624BFD">
      <w:pPr>
        <w:snapToGrid w:val="0"/>
        <w:spacing w:line="360" w:lineRule="auto"/>
        <w:ind w:right="480"/>
        <w:jc w:val="center"/>
        <w:rPr>
          <w:rFonts w:hint="eastAsia" w:ascii="宋体" w:hAnsi="宋体" w:eastAsia="宋体" w:cs="宋体"/>
          <w:b/>
          <w:kern w:val="0"/>
          <w:sz w:val="32"/>
          <w:szCs w:val="32"/>
        </w:rPr>
      </w:pPr>
    </w:p>
    <w:p w14:paraId="431D36B8">
      <w:pPr>
        <w:snapToGrid w:val="0"/>
        <w:spacing w:line="360" w:lineRule="auto"/>
        <w:ind w:right="480"/>
        <w:jc w:val="center"/>
        <w:rPr>
          <w:rFonts w:hint="eastAsia" w:ascii="宋体" w:hAnsi="宋体" w:eastAsia="宋体" w:cs="宋体"/>
          <w:b/>
          <w:kern w:val="0"/>
          <w:sz w:val="32"/>
          <w:szCs w:val="32"/>
        </w:rPr>
      </w:pPr>
    </w:p>
    <w:p w14:paraId="1D38752E">
      <w:pPr>
        <w:snapToGrid w:val="0"/>
        <w:spacing w:line="360" w:lineRule="auto"/>
        <w:ind w:right="480"/>
        <w:jc w:val="center"/>
        <w:rPr>
          <w:rFonts w:hint="eastAsia" w:ascii="宋体" w:hAnsi="宋体" w:eastAsia="宋体" w:cs="宋体"/>
          <w:b/>
          <w:kern w:val="0"/>
          <w:sz w:val="32"/>
          <w:szCs w:val="32"/>
        </w:rPr>
      </w:pPr>
    </w:p>
    <w:p w14:paraId="3C0EB1D7">
      <w:pPr>
        <w:snapToGrid w:val="0"/>
        <w:spacing w:line="360" w:lineRule="auto"/>
        <w:ind w:right="480"/>
        <w:jc w:val="center"/>
        <w:rPr>
          <w:rFonts w:hint="eastAsia" w:ascii="宋体" w:hAnsi="宋体" w:eastAsia="宋体" w:cs="宋体"/>
          <w:b/>
          <w:kern w:val="0"/>
          <w:sz w:val="32"/>
          <w:szCs w:val="32"/>
        </w:rPr>
      </w:pPr>
    </w:p>
    <w:p w14:paraId="289068E4">
      <w:pPr>
        <w:pStyle w:val="692"/>
        <w:keepNext w:val="0"/>
        <w:pageBreakBefore w:val="0"/>
        <w:tabs>
          <w:tab w:val="clear" w:pos="720"/>
        </w:tabs>
        <w:snapToGrid w:val="0"/>
        <w:spacing w:before="120" w:after="120"/>
        <w:ind w:firstLine="643"/>
        <w:rPr>
          <w:rFonts w:hint="eastAsia" w:ascii="宋体" w:hAnsi="宋体" w:eastAsia="宋体" w:cs="宋体"/>
          <w:kern w:val="2"/>
          <w:sz w:val="32"/>
          <w:szCs w:val="32"/>
        </w:rPr>
      </w:pPr>
    </w:p>
    <w:p w14:paraId="20615BF4">
      <w:pPr>
        <w:pStyle w:val="692"/>
        <w:keepNext w:val="0"/>
        <w:pageBreakBefore w:val="0"/>
        <w:tabs>
          <w:tab w:val="clear" w:pos="720"/>
        </w:tabs>
        <w:snapToGrid w:val="0"/>
        <w:spacing w:before="120" w:after="120"/>
        <w:ind w:firstLine="643"/>
        <w:rPr>
          <w:rFonts w:hint="eastAsia" w:ascii="宋体" w:hAnsi="宋体" w:eastAsia="宋体" w:cs="宋体"/>
          <w:kern w:val="2"/>
          <w:sz w:val="32"/>
          <w:szCs w:val="32"/>
        </w:rPr>
      </w:pPr>
    </w:p>
    <w:p w14:paraId="4D523204">
      <w:pPr>
        <w:pStyle w:val="692"/>
        <w:keepNext w:val="0"/>
        <w:pageBreakBefore w:val="0"/>
        <w:tabs>
          <w:tab w:val="clear" w:pos="720"/>
        </w:tabs>
        <w:snapToGrid w:val="0"/>
        <w:spacing w:before="120" w:after="120"/>
        <w:ind w:firstLine="643"/>
        <w:rPr>
          <w:rFonts w:hint="eastAsia" w:ascii="宋体" w:hAnsi="宋体" w:eastAsia="宋体" w:cs="宋体"/>
          <w:kern w:val="2"/>
          <w:sz w:val="32"/>
          <w:szCs w:val="32"/>
        </w:rPr>
      </w:pPr>
    </w:p>
    <w:p w14:paraId="71DCE651">
      <w:pPr>
        <w:pStyle w:val="692"/>
        <w:keepNext w:val="0"/>
        <w:pageBreakBefore w:val="0"/>
        <w:tabs>
          <w:tab w:val="clear" w:pos="720"/>
        </w:tabs>
        <w:snapToGrid w:val="0"/>
        <w:spacing w:before="120" w:after="120"/>
        <w:ind w:firstLine="643"/>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11CC25C1">
      <w:pPr>
        <w:spacing w:before="120" w:beforeLines="50" w:line="360" w:lineRule="auto"/>
        <w:rPr>
          <w:rFonts w:hint="eastAsia" w:ascii="宋体" w:hAnsi="宋体" w:eastAsia="宋体" w:cs="宋体"/>
          <w:color w:val="auto"/>
          <w:sz w:val="24"/>
        </w:rPr>
      </w:pPr>
      <w:r>
        <w:rPr>
          <w:rFonts w:hint="eastAsia" w:ascii="宋体" w:hAnsi="宋体" w:cs="宋体"/>
          <w:color w:val="auto"/>
          <w:sz w:val="24"/>
          <w:lang w:eastAsia="zh-CN"/>
        </w:rPr>
        <w:t>桐庐县卫生健康局</w:t>
      </w:r>
      <w:r>
        <w:rPr>
          <w:rFonts w:hint="eastAsia" w:ascii="宋体" w:hAnsi="宋体" w:eastAsia="宋体" w:cs="宋体"/>
          <w:color w:val="auto"/>
          <w:sz w:val="24"/>
        </w:rPr>
        <w:t>、杭州全咨项目管理有限公司：</w:t>
      </w:r>
    </w:p>
    <w:p w14:paraId="019A7A5A">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color w:val="auto"/>
          <w:kern w:val="0"/>
          <w:sz w:val="24"/>
          <w:lang w:val="zh-CN"/>
        </w:rPr>
        <w:t>按你方招标文件要求，我们，本投标文件签字方</w:t>
      </w:r>
      <w:r>
        <w:rPr>
          <w:rFonts w:hint="eastAsia" w:ascii="宋体" w:hAnsi="宋体" w:eastAsia="宋体" w:cs="宋体"/>
          <w:kern w:val="0"/>
          <w:sz w:val="24"/>
          <w:lang w:val="zh-CN"/>
        </w:rPr>
        <w:t>，谨此向你方发出要约如下：如你方接受本投标，我方承诺按照如下开标一览表（报价表）的价格完成</w:t>
      </w:r>
      <w:r>
        <w:rPr>
          <w:rFonts w:hint="eastAsia" w:ascii="宋体" w:hAnsi="宋体" w:cs="宋体"/>
          <w:sz w:val="24"/>
          <w:lang w:eastAsia="zh-CN"/>
        </w:rPr>
        <w:t>2025年度桐庐县计生系列保险服务项目</w:t>
      </w:r>
      <w:r>
        <w:rPr>
          <w:rFonts w:hint="eastAsia" w:ascii="宋体" w:hAnsi="宋体" w:eastAsia="宋体" w:cs="宋体"/>
          <w:kern w:val="0"/>
          <w:sz w:val="24"/>
          <w:lang w:val="zh-CN"/>
        </w:rPr>
        <w:t>【招标编号：</w:t>
      </w:r>
      <w:r>
        <w:rPr>
          <w:rFonts w:hint="eastAsia" w:ascii="宋体" w:hAnsi="宋体" w:cs="宋体"/>
          <w:sz w:val="24"/>
          <w:lang w:eastAsia="zh-CN"/>
        </w:rPr>
        <w:t>QZ23301222025002</w:t>
      </w:r>
      <w:r>
        <w:rPr>
          <w:rFonts w:hint="eastAsia" w:ascii="宋体" w:hAnsi="宋体" w:eastAsia="宋体" w:cs="宋体"/>
          <w:sz w:val="24"/>
        </w:rPr>
        <w:t>】的实施</w:t>
      </w:r>
      <w:r>
        <w:rPr>
          <w:rFonts w:hint="eastAsia" w:ascii="宋体" w:hAnsi="宋体" w:eastAsia="宋体" w:cs="宋体"/>
          <w:kern w:val="0"/>
          <w:sz w:val="24"/>
          <w:lang w:val="zh-CN"/>
        </w:rPr>
        <w:t>。</w:t>
      </w:r>
    </w:p>
    <w:p w14:paraId="6854AD5A">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88"/>
        <w:gridCol w:w="1296"/>
        <w:gridCol w:w="1728"/>
        <w:gridCol w:w="1379"/>
        <w:gridCol w:w="5"/>
        <w:gridCol w:w="1196"/>
      </w:tblGrid>
      <w:tr w14:paraId="4E72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25" w:type="dxa"/>
            <w:vAlign w:val="center"/>
          </w:tcPr>
          <w:p w14:paraId="3DBBF32B">
            <w:pPr>
              <w:spacing w:line="360" w:lineRule="auto"/>
              <w:jc w:val="center"/>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序号</w:t>
            </w:r>
          </w:p>
        </w:tc>
        <w:tc>
          <w:tcPr>
            <w:tcW w:w="2688" w:type="dxa"/>
            <w:vAlign w:val="center"/>
          </w:tcPr>
          <w:p w14:paraId="4F60C1BD">
            <w:pPr>
              <w:spacing w:line="360" w:lineRule="auto"/>
              <w:jc w:val="center"/>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评分项目（险种）</w:t>
            </w:r>
          </w:p>
        </w:tc>
        <w:tc>
          <w:tcPr>
            <w:tcW w:w="1296" w:type="dxa"/>
            <w:shd w:val="clear" w:color="auto" w:fill="auto"/>
            <w:vAlign w:val="center"/>
          </w:tcPr>
          <w:p w14:paraId="429FBD0B">
            <w:pPr>
              <w:spacing w:line="360" w:lineRule="auto"/>
              <w:jc w:val="center"/>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服务期限</w:t>
            </w:r>
          </w:p>
        </w:tc>
        <w:tc>
          <w:tcPr>
            <w:tcW w:w="1728" w:type="dxa"/>
            <w:shd w:val="clear" w:color="auto" w:fill="auto"/>
            <w:vAlign w:val="center"/>
          </w:tcPr>
          <w:p w14:paraId="56377402">
            <w:pPr>
              <w:spacing w:line="360" w:lineRule="auto"/>
              <w:jc w:val="center"/>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预计数量</w:t>
            </w:r>
          </w:p>
        </w:tc>
        <w:tc>
          <w:tcPr>
            <w:tcW w:w="1379" w:type="dxa"/>
            <w:shd w:val="clear" w:color="auto" w:fill="auto"/>
            <w:vAlign w:val="center"/>
          </w:tcPr>
          <w:p w14:paraId="65D0EBCA">
            <w:pPr>
              <w:spacing w:line="360" w:lineRule="auto"/>
              <w:jc w:val="center"/>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单价（元）</w:t>
            </w:r>
          </w:p>
        </w:tc>
        <w:tc>
          <w:tcPr>
            <w:tcW w:w="1201" w:type="dxa"/>
            <w:gridSpan w:val="2"/>
            <w:shd w:val="clear" w:color="auto" w:fill="auto"/>
            <w:vAlign w:val="center"/>
          </w:tcPr>
          <w:p w14:paraId="6080641E">
            <w:pPr>
              <w:spacing w:line="360" w:lineRule="auto"/>
              <w:jc w:val="center"/>
              <w:rPr>
                <w:rFonts w:hint="eastAsia" w:ascii="宋体" w:hAnsi="宋体" w:eastAsia="宋体" w:cs="宋体"/>
                <w:b/>
                <w:bCs/>
                <w:snapToGrid/>
                <w:kern w:val="0"/>
                <w:sz w:val="24"/>
                <w:szCs w:val="24"/>
                <w:lang w:val="en-US" w:eastAsia="zh-CN" w:bidi="ar-SA"/>
              </w:rPr>
            </w:pPr>
            <w:r>
              <w:rPr>
                <w:rFonts w:hint="eastAsia" w:ascii="宋体" w:hAnsi="宋体" w:eastAsia="宋体" w:cs="宋体"/>
                <w:b/>
                <w:bCs/>
                <w:snapToGrid/>
                <w:kern w:val="0"/>
                <w:sz w:val="24"/>
                <w:szCs w:val="24"/>
                <w:lang w:val="en-US" w:eastAsia="zh-CN" w:bidi="ar-SA"/>
              </w:rPr>
              <w:t>总价（元）</w:t>
            </w:r>
          </w:p>
        </w:tc>
      </w:tr>
      <w:tr w14:paraId="20B9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5" w:type="dxa"/>
            <w:vAlign w:val="center"/>
          </w:tcPr>
          <w:p w14:paraId="75BBCE34">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w:t>
            </w:r>
          </w:p>
        </w:tc>
        <w:tc>
          <w:tcPr>
            <w:tcW w:w="2688" w:type="dxa"/>
            <w:vAlign w:val="center"/>
          </w:tcPr>
          <w:p w14:paraId="09FEA683">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独生子女家庭意外伤害保险</w:t>
            </w:r>
          </w:p>
        </w:tc>
        <w:tc>
          <w:tcPr>
            <w:tcW w:w="1296" w:type="dxa"/>
            <w:shd w:val="clear" w:color="auto" w:fill="auto"/>
            <w:vAlign w:val="center"/>
          </w:tcPr>
          <w:p w14:paraId="2A718217">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1年</w:t>
            </w:r>
          </w:p>
        </w:tc>
        <w:tc>
          <w:tcPr>
            <w:tcW w:w="1728" w:type="dxa"/>
            <w:shd w:val="clear" w:color="auto" w:fill="auto"/>
            <w:vAlign w:val="center"/>
          </w:tcPr>
          <w:p w14:paraId="4CBE7267">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9</w:t>
            </w:r>
            <w:r>
              <w:rPr>
                <w:rFonts w:hint="eastAsia" w:ascii="宋体" w:hAnsi="宋体" w:cs="宋体"/>
                <w:snapToGrid/>
                <w:kern w:val="0"/>
                <w:sz w:val="24"/>
                <w:szCs w:val="24"/>
                <w:lang w:val="en-US" w:eastAsia="zh-CN" w:bidi="ar-SA"/>
              </w:rPr>
              <w:t>3</w:t>
            </w:r>
            <w:r>
              <w:rPr>
                <w:rFonts w:hint="eastAsia" w:ascii="宋体" w:hAnsi="宋体" w:eastAsia="宋体" w:cs="宋体"/>
                <w:snapToGrid/>
                <w:kern w:val="0"/>
                <w:sz w:val="24"/>
                <w:szCs w:val="24"/>
                <w:lang w:val="en-US" w:eastAsia="zh-CN" w:bidi="ar-SA"/>
              </w:rPr>
              <w:t>00户</w:t>
            </w:r>
          </w:p>
        </w:tc>
        <w:tc>
          <w:tcPr>
            <w:tcW w:w="1379" w:type="dxa"/>
            <w:vAlign w:val="center"/>
          </w:tcPr>
          <w:p w14:paraId="27A01296">
            <w:pPr>
              <w:spacing w:line="360" w:lineRule="auto"/>
              <w:jc w:val="center"/>
              <w:rPr>
                <w:rFonts w:hint="eastAsia" w:ascii="宋体" w:hAnsi="宋体" w:eastAsia="宋体" w:cs="宋体"/>
                <w:snapToGrid/>
                <w:kern w:val="0"/>
                <w:sz w:val="24"/>
                <w:szCs w:val="24"/>
                <w:lang w:val="en-US" w:eastAsia="zh-CN" w:bidi="ar-SA"/>
              </w:rPr>
            </w:pPr>
          </w:p>
        </w:tc>
        <w:tc>
          <w:tcPr>
            <w:tcW w:w="1201" w:type="dxa"/>
            <w:gridSpan w:val="2"/>
            <w:vAlign w:val="center"/>
          </w:tcPr>
          <w:p w14:paraId="730E8334">
            <w:pPr>
              <w:spacing w:line="360" w:lineRule="auto"/>
              <w:jc w:val="center"/>
              <w:rPr>
                <w:rFonts w:hint="eastAsia" w:ascii="宋体" w:hAnsi="宋体" w:eastAsia="宋体" w:cs="宋体"/>
                <w:snapToGrid/>
                <w:kern w:val="0"/>
                <w:sz w:val="24"/>
                <w:szCs w:val="24"/>
                <w:lang w:val="en-US" w:eastAsia="zh-CN" w:bidi="ar-SA"/>
              </w:rPr>
            </w:pPr>
          </w:p>
        </w:tc>
      </w:tr>
      <w:tr w14:paraId="0A3F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5" w:type="dxa"/>
            <w:vAlign w:val="center"/>
          </w:tcPr>
          <w:p w14:paraId="22321981">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2</w:t>
            </w:r>
          </w:p>
        </w:tc>
        <w:tc>
          <w:tcPr>
            <w:tcW w:w="2688" w:type="dxa"/>
            <w:vAlign w:val="center"/>
          </w:tcPr>
          <w:p w14:paraId="5D610259">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计生特殊家庭保险</w:t>
            </w:r>
          </w:p>
        </w:tc>
        <w:tc>
          <w:tcPr>
            <w:tcW w:w="1296" w:type="dxa"/>
            <w:shd w:val="clear" w:color="auto" w:fill="auto"/>
            <w:vAlign w:val="center"/>
          </w:tcPr>
          <w:p w14:paraId="1BA66EBC">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1年</w:t>
            </w:r>
          </w:p>
        </w:tc>
        <w:tc>
          <w:tcPr>
            <w:tcW w:w="1728" w:type="dxa"/>
            <w:shd w:val="clear" w:color="auto" w:fill="auto"/>
            <w:vAlign w:val="center"/>
          </w:tcPr>
          <w:p w14:paraId="1C9F9481">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1</w:t>
            </w:r>
            <w:r>
              <w:rPr>
                <w:rFonts w:hint="eastAsia" w:ascii="宋体" w:hAnsi="宋体" w:cs="宋体"/>
                <w:snapToGrid/>
                <w:kern w:val="0"/>
                <w:sz w:val="24"/>
                <w:szCs w:val="24"/>
                <w:lang w:val="en-US" w:eastAsia="zh-CN" w:bidi="ar-SA"/>
              </w:rPr>
              <w:t>10</w:t>
            </w:r>
            <w:r>
              <w:rPr>
                <w:rFonts w:hint="eastAsia" w:ascii="宋体" w:hAnsi="宋体" w:eastAsia="宋体" w:cs="宋体"/>
                <w:snapToGrid/>
                <w:kern w:val="0"/>
                <w:sz w:val="24"/>
                <w:szCs w:val="24"/>
                <w:lang w:val="en-US" w:eastAsia="zh-CN" w:bidi="ar-SA"/>
              </w:rPr>
              <w:t>0人</w:t>
            </w:r>
          </w:p>
        </w:tc>
        <w:tc>
          <w:tcPr>
            <w:tcW w:w="1384" w:type="dxa"/>
            <w:gridSpan w:val="2"/>
            <w:vAlign w:val="center"/>
          </w:tcPr>
          <w:p w14:paraId="45FB8630">
            <w:pPr>
              <w:spacing w:line="360" w:lineRule="auto"/>
              <w:jc w:val="center"/>
              <w:rPr>
                <w:rFonts w:hint="eastAsia" w:ascii="宋体" w:hAnsi="宋体" w:eastAsia="宋体" w:cs="宋体"/>
                <w:snapToGrid/>
                <w:kern w:val="0"/>
                <w:sz w:val="24"/>
                <w:szCs w:val="24"/>
                <w:lang w:val="en-US" w:eastAsia="zh-CN" w:bidi="ar-SA"/>
              </w:rPr>
            </w:pPr>
          </w:p>
        </w:tc>
        <w:tc>
          <w:tcPr>
            <w:tcW w:w="1196" w:type="dxa"/>
            <w:vAlign w:val="center"/>
          </w:tcPr>
          <w:p w14:paraId="2A000C45">
            <w:pPr>
              <w:spacing w:line="360" w:lineRule="auto"/>
              <w:jc w:val="center"/>
              <w:rPr>
                <w:rFonts w:hint="eastAsia" w:ascii="宋体" w:hAnsi="宋体" w:eastAsia="宋体" w:cs="宋体"/>
                <w:snapToGrid/>
                <w:kern w:val="0"/>
                <w:sz w:val="24"/>
                <w:szCs w:val="24"/>
                <w:lang w:val="en-US" w:eastAsia="zh-CN" w:bidi="ar-SA"/>
              </w:rPr>
            </w:pPr>
          </w:p>
        </w:tc>
      </w:tr>
      <w:tr w14:paraId="430E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117" w:type="dxa"/>
            <w:gridSpan w:val="7"/>
            <w:vAlign w:val="center"/>
          </w:tcPr>
          <w:p w14:paraId="662CCFA5">
            <w:pPr>
              <w:spacing w:line="360" w:lineRule="auto"/>
              <w:jc w:val="center"/>
              <w:rPr>
                <w:rFonts w:hint="eastAsia"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投标报价（小写）：</w:t>
            </w:r>
            <w:r>
              <w:rPr>
                <w:rFonts w:hint="eastAsia" w:ascii="宋体" w:hAnsi="宋体" w:eastAsia="宋体" w:cs="宋体"/>
                <w:snapToGrid/>
                <w:kern w:val="0"/>
                <w:sz w:val="24"/>
                <w:szCs w:val="24"/>
                <w:u w:val="single"/>
                <w:lang w:val="en-US" w:eastAsia="zh-CN" w:bidi="ar-SA"/>
              </w:rPr>
              <w:t xml:space="preserve">             </w:t>
            </w:r>
            <w:r>
              <w:rPr>
                <w:rFonts w:hint="eastAsia" w:ascii="宋体" w:hAnsi="宋体" w:eastAsia="宋体" w:cs="宋体"/>
                <w:snapToGrid/>
                <w:kern w:val="0"/>
                <w:sz w:val="24"/>
                <w:szCs w:val="24"/>
                <w:lang w:val="en-US" w:eastAsia="zh-CN" w:bidi="ar-SA"/>
              </w:rPr>
              <w:t>元</w:t>
            </w:r>
          </w:p>
          <w:p w14:paraId="56AC95F4">
            <w:pPr>
              <w:spacing w:line="360" w:lineRule="auto"/>
              <w:jc w:val="center"/>
              <w:rPr>
                <w:rFonts w:hint="default" w:ascii="宋体" w:hAnsi="宋体" w:eastAsia="宋体" w:cs="宋体"/>
                <w:snapToGrid/>
                <w:kern w:val="0"/>
                <w:sz w:val="24"/>
                <w:szCs w:val="24"/>
                <w:lang w:val="en-US" w:eastAsia="zh-CN" w:bidi="ar-SA"/>
              </w:rPr>
            </w:pPr>
            <w:r>
              <w:rPr>
                <w:rFonts w:hint="eastAsia" w:ascii="宋体" w:hAnsi="宋体" w:eastAsia="宋体" w:cs="宋体"/>
                <w:snapToGrid/>
                <w:kern w:val="0"/>
                <w:sz w:val="24"/>
                <w:szCs w:val="24"/>
                <w:lang w:val="en-US" w:eastAsia="zh-CN" w:bidi="ar-SA"/>
              </w:rPr>
              <w:t>投标报价（大写）：</w:t>
            </w:r>
            <w:r>
              <w:rPr>
                <w:rFonts w:hint="eastAsia" w:ascii="宋体" w:hAnsi="宋体" w:eastAsia="宋体" w:cs="宋体"/>
                <w:snapToGrid/>
                <w:kern w:val="0"/>
                <w:sz w:val="24"/>
                <w:szCs w:val="24"/>
                <w:u w:val="single"/>
                <w:lang w:val="en-US" w:eastAsia="zh-CN" w:bidi="ar-SA"/>
              </w:rPr>
              <w:t xml:space="preserve">             </w:t>
            </w:r>
            <w:r>
              <w:rPr>
                <w:rFonts w:hint="eastAsia" w:ascii="宋体" w:hAnsi="宋体" w:eastAsia="宋体" w:cs="宋体"/>
                <w:snapToGrid/>
                <w:kern w:val="0"/>
                <w:sz w:val="24"/>
                <w:szCs w:val="24"/>
                <w:lang w:val="en-US" w:eastAsia="zh-CN" w:bidi="ar-SA"/>
              </w:rPr>
              <w:t>元</w:t>
            </w:r>
          </w:p>
        </w:tc>
      </w:tr>
    </w:tbl>
    <w:p w14:paraId="78A7437A">
      <w:pPr>
        <w:snapToGrid w:val="0"/>
        <w:spacing w:line="360" w:lineRule="auto"/>
        <w:rPr>
          <w:rFonts w:hint="eastAsia" w:ascii="宋体" w:hAnsi="宋体" w:eastAsia="宋体" w:cs="宋体"/>
          <w:b/>
          <w:kern w:val="0"/>
          <w:sz w:val="24"/>
          <w:lang w:val="zh-CN"/>
        </w:rPr>
      </w:pPr>
    </w:p>
    <w:p w14:paraId="3EDD50BA">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3716C652">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14:paraId="2F9EEA7B">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78D2EF8E">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、特别提示：采购机构将对项目名称和项目编号，中标供应商名称、地址和中标金额，主要中标标的的名称、规格型号、数量、单价、服务要求等予以公示。</w:t>
      </w:r>
    </w:p>
    <w:p w14:paraId="24C9A3D1">
      <w:pPr>
        <w:snapToGrid w:val="0"/>
        <w:spacing w:line="360" w:lineRule="auto"/>
        <w:ind w:firstLine="480" w:firstLineChars="200"/>
        <w:jc w:val="left"/>
        <w:rPr>
          <w:rFonts w:hint="eastAsia" w:ascii="宋体" w:hAnsi="宋体" w:eastAsia="宋体" w:cs="宋体"/>
          <w:b/>
          <w:kern w:val="0"/>
          <w:sz w:val="24"/>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D1D326">
      <w:pPr>
        <w:autoSpaceDE w:val="0"/>
        <w:autoSpaceDN w:val="0"/>
        <w:spacing w:line="360" w:lineRule="auto"/>
        <w:ind w:right="1120"/>
        <w:jc w:val="right"/>
        <w:rPr>
          <w:rFonts w:hint="eastAsia"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417" w:right="1474" w:bottom="1417" w:left="1474" w:header="851" w:footer="992" w:gutter="0"/>
          <w:pgNumType w:fmt="decimal"/>
          <w:cols w:space="720" w:num="1"/>
          <w:titlePg/>
          <w:docGrid w:linePitch="312" w:charSpace="0"/>
        </w:sectPr>
      </w:pPr>
      <w:r>
        <w:rPr>
          <w:rFonts w:hint="eastAsia" w:ascii="宋体" w:hAnsi="宋体" w:cs="宋体"/>
          <w:kern w:val="0"/>
          <w:sz w:val="24"/>
          <w:lang w:val="en-US" w:eastAsia="zh-CN"/>
        </w:rPr>
        <w:t xml:space="preserve">        </w:t>
      </w: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556AF67F">
      <w:pPr>
        <w:pStyle w:val="692"/>
        <w:keepNext w:val="0"/>
        <w:pageBreakBefore w:val="0"/>
        <w:tabs>
          <w:tab w:val="clear" w:pos="720"/>
        </w:tabs>
        <w:snapToGrid w:val="0"/>
        <w:spacing w:before="120" w:after="120"/>
        <w:jc w:val="center"/>
        <w:rPr>
          <w:rFonts w:hint="eastAsia" w:ascii="宋体" w:hAnsi="宋体" w:eastAsia="宋体" w:cs="宋体"/>
          <w:sz w:val="32"/>
          <w:szCs w:val="32"/>
          <w:lang w:eastAsia="zh-CN"/>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r>
        <w:rPr>
          <w:rFonts w:hint="eastAsia" w:ascii="宋体" w:hAnsi="宋体" w:eastAsia="宋体" w:cs="宋体"/>
          <w:sz w:val="32"/>
          <w:szCs w:val="32"/>
          <w:lang w:eastAsia="zh-CN"/>
        </w:rPr>
        <w:t>（如有）</w:t>
      </w:r>
    </w:p>
    <w:p w14:paraId="1D5C060D">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12A47ED8">
      <w:pPr>
        <w:spacing w:line="360" w:lineRule="auto"/>
        <w:rPr>
          <w:rFonts w:hint="eastAsia" w:ascii="宋体" w:hAnsi="宋体" w:eastAsia="宋体" w:cs="宋体"/>
        </w:rPr>
      </w:pPr>
    </w:p>
    <w:p w14:paraId="418F7AB1">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 xml:space="preserve"> （单位名称）</w:t>
      </w:r>
      <w:r>
        <w:rPr>
          <w:rFonts w:hint="eastAsia" w:ascii="宋体" w:hAnsi="宋体" w:cs="宋体"/>
          <w:sz w:val="24"/>
          <w:u w:val="single"/>
          <w:lang w:val="en-US" w:eastAsia="zh-CN"/>
        </w:rPr>
        <w:t xml:space="preserve">   </w:t>
      </w:r>
      <w:r>
        <w:rPr>
          <w:rFonts w:hint="eastAsia" w:ascii="宋体" w:hAnsi="宋体" w:eastAsia="宋体" w:cs="宋体"/>
          <w:sz w:val="24"/>
        </w:rPr>
        <w:t xml:space="preserve"> 的 </w:t>
      </w:r>
      <w:r>
        <w:rPr>
          <w:rFonts w:hint="eastAsia" w:ascii="宋体" w:hAnsi="宋体" w:eastAsia="宋体" w:cs="宋体"/>
          <w:sz w:val="24"/>
          <w:u w:val="single"/>
        </w:rPr>
        <w:t>（</w:t>
      </w:r>
      <w:r>
        <w:rPr>
          <w:rFonts w:hint="eastAsia" w:ascii="宋体" w:hAnsi="宋体" w:cs="宋体"/>
          <w:sz w:val="24"/>
          <w:u w:val="single"/>
          <w:lang w:eastAsia="zh-CN"/>
        </w:rPr>
        <w:t>项目</w:t>
      </w:r>
      <w:r>
        <w:rPr>
          <w:rFonts w:hint="eastAsia" w:ascii="宋体" w:hAnsi="宋体" w:cs="宋体"/>
          <w:sz w:val="24"/>
          <w:u w:val="single"/>
          <w:lang w:val="en-US" w:eastAsia="zh-CN"/>
        </w:rPr>
        <w:t>名称</w:t>
      </w:r>
      <w:r>
        <w:rPr>
          <w:rFonts w:hint="eastAsia" w:ascii="宋体" w:hAnsi="宋体" w:eastAsia="宋体" w:cs="宋体"/>
          <w:sz w:val="24"/>
          <w:u w:val="single"/>
        </w:rPr>
        <w:t>）</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78FFEA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lang w:val="en-US" w:eastAsia="zh-CN"/>
        </w:rPr>
        <w:t>项目名称</w:t>
      </w:r>
      <w:r>
        <w:rPr>
          <w:rFonts w:hint="eastAsia" w:ascii="宋体" w:hAnsi="宋体" w:eastAsia="宋体" w:cs="宋体"/>
          <w:color w:val="auto"/>
          <w:sz w:val="24"/>
          <w:u w:val="single"/>
          <w:lang w:eastAsia="zh-CN"/>
        </w:rPr>
        <w:t>）</w:t>
      </w:r>
      <w:r>
        <w:rPr>
          <w:rFonts w:hint="eastAsia"/>
          <w:color w:val="auto"/>
        </w:rPr>
        <w:t>，属于</w:t>
      </w:r>
      <w:r>
        <w:rPr>
          <w:rFonts w:hint="eastAsia" w:ascii="宋体" w:hAnsi="宋体" w:eastAsia="宋体" w:cs="宋体"/>
          <w:color w:val="auto"/>
          <w:sz w:val="24"/>
          <w:u w:val="single"/>
          <w:lang w:val="en-US" w:eastAsia="zh-CN"/>
        </w:rPr>
        <w:t>（行业分类）</w:t>
      </w:r>
      <w:r>
        <w:rPr>
          <w:rFonts w:hint="eastAsia"/>
          <w:color w:val="auto"/>
        </w:rPr>
        <w:t>；</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人，营业收入为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万元，资产总额为</w:t>
      </w:r>
      <w:r>
        <w:rPr>
          <w:rFonts w:hint="eastAsia" w:ascii="宋体" w:hAnsi="宋体" w:eastAsia="宋体" w:cs="宋体"/>
          <w:color w:val="auto"/>
          <w:sz w:val="24"/>
          <w:u w:val="single"/>
        </w:rPr>
        <w:t xml:space="preserve">   </w:t>
      </w:r>
      <w:r>
        <w:rPr>
          <w:rFonts w:hint="eastAsia" w:ascii="宋体" w:hAnsi="宋体" w:eastAsia="宋体" w:cs="宋体"/>
          <w:color w:val="auto"/>
          <w:sz w:val="24"/>
        </w:rPr>
        <w:t>万元属于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63C4ADD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01BA7FF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1C732D1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8138EB1">
      <w:pPr>
        <w:autoSpaceDE w:val="0"/>
        <w:autoSpaceDN w:val="0"/>
        <w:spacing w:line="360" w:lineRule="auto"/>
        <w:ind w:right="1120" w:firstLine="5280" w:firstLineChars="22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43DF60DD">
      <w:pPr>
        <w:autoSpaceDE w:val="0"/>
        <w:autoSpaceDN w:val="0"/>
        <w:spacing w:line="360" w:lineRule="auto"/>
        <w:ind w:right="1120" w:firstLine="5280" w:firstLineChars="2200"/>
        <w:jc w:val="left"/>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F0EC11E">
      <w:pPr>
        <w:spacing w:line="360" w:lineRule="auto"/>
        <w:ind w:right="1120" w:firstLine="4320" w:firstLineChars="1800"/>
        <w:rPr>
          <w:rFonts w:hint="eastAsia" w:ascii="宋体" w:hAnsi="宋体" w:eastAsia="宋体" w:cs="宋体"/>
          <w:sz w:val="24"/>
        </w:rPr>
      </w:pPr>
    </w:p>
    <w:p w14:paraId="55B7F5B6">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14:paraId="1186D90C">
      <w:pPr>
        <w:spacing w:line="360" w:lineRule="auto"/>
        <w:ind w:right="420"/>
        <w:rPr>
          <w:rFonts w:hint="eastAsia" w:ascii="宋体" w:hAnsi="宋体" w:eastAsia="宋体" w:cs="宋体"/>
          <w:sz w:val="24"/>
        </w:rPr>
      </w:pPr>
    </w:p>
    <w:p w14:paraId="05AFC299">
      <w:pPr>
        <w:pStyle w:val="692"/>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3E48E76">
      <w:pPr>
        <w:spacing w:line="360" w:lineRule="auto"/>
        <w:ind w:right="420" w:firstLine="3614" w:firstLineChars="1000"/>
        <w:rPr>
          <w:rFonts w:hint="eastAsia" w:ascii="宋体" w:hAnsi="宋体" w:eastAsia="宋体" w:cs="宋体"/>
          <w:b/>
          <w:kern w:val="0"/>
          <w:sz w:val="36"/>
          <w:szCs w:val="36"/>
        </w:rPr>
      </w:pPr>
    </w:p>
    <w:p w14:paraId="390981DD">
      <w:pPr>
        <w:spacing w:line="360" w:lineRule="auto"/>
        <w:ind w:right="420"/>
        <w:rPr>
          <w:rFonts w:hint="eastAsia" w:ascii="宋体" w:hAnsi="宋体" w:eastAsia="宋体" w:cs="宋体"/>
          <w:b/>
          <w:kern w:val="0"/>
          <w:sz w:val="36"/>
          <w:szCs w:val="36"/>
        </w:rPr>
      </w:pPr>
    </w:p>
    <w:p w14:paraId="0CDBEB36">
      <w:pPr>
        <w:jc w:val="center"/>
        <w:rPr>
          <w:rFonts w:hint="eastAsia" w:ascii="宋体" w:hAnsi="宋体" w:eastAsia="宋体" w:cs="宋体"/>
          <w:color w:val="auto"/>
          <w:kern w:val="2"/>
          <w:sz w:val="32"/>
          <w:szCs w:val="32"/>
          <w:highlight w:val="none"/>
        </w:rPr>
      </w:pPr>
      <w:r>
        <w:rPr>
          <w:rFonts w:hint="eastAsia" w:ascii="宋体" w:hAnsi="宋体" w:eastAsia="宋体" w:cs="宋体"/>
          <w:b/>
          <w:color w:val="auto"/>
          <w:sz w:val="36"/>
          <w:szCs w:val="20"/>
          <w:highlight w:val="none"/>
        </w:rPr>
        <w:t>第八部分  最后报价格式</w:t>
      </w:r>
    </w:p>
    <w:p w14:paraId="23EB9BDD">
      <w:pPr>
        <w:spacing w:before="120" w:beforeLines="50" w:line="360" w:lineRule="auto"/>
        <w:rPr>
          <w:rFonts w:hint="eastAsia" w:ascii="宋体" w:hAnsi="宋体" w:eastAsia="宋体" w:cs="宋体"/>
          <w:color w:val="auto"/>
          <w:sz w:val="24"/>
        </w:rPr>
      </w:pPr>
      <w:r>
        <w:rPr>
          <w:rFonts w:hint="eastAsia" w:ascii="宋体" w:hAnsi="宋体" w:cs="宋体"/>
          <w:color w:val="auto"/>
          <w:sz w:val="24"/>
          <w:lang w:eastAsia="zh-CN"/>
        </w:rPr>
        <w:t>桐庐县卫生健康局</w:t>
      </w:r>
      <w:r>
        <w:rPr>
          <w:rFonts w:hint="eastAsia" w:ascii="宋体" w:hAnsi="宋体" w:eastAsia="宋体" w:cs="宋体"/>
          <w:color w:val="auto"/>
          <w:sz w:val="24"/>
        </w:rPr>
        <w:t>、杭州全咨项目管理有限公司：</w:t>
      </w:r>
    </w:p>
    <w:p w14:paraId="1C02F07F">
      <w:pPr>
        <w:snapToGrid w:val="0"/>
        <w:spacing w:line="360" w:lineRule="auto"/>
        <w:ind w:firstLine="482"/>
        <w:rPr>
          <w:rFonts w:hint="eastAsia" w:ascii="宋体" w:hAnsi="宋体" w:eastAsia="宋体" w:cs="宋体"/>
          <w:kern w:val="0"/>
          <w:sz w:val="24"/>
          <w:lang w:val="zh-CN"/>
        </w:rPr>
      </w:pPr>
      <w:bookmarkStart w:id="413" w:name="_Toc465665161"/>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2025年度桐庐县计生系列保险服务项目</w:t>
      </w:r>
      <w:r>
        <w:rPr>
          <w:rFonts w:hint="eastAsia" w:ascii="宋体" w:hAnsi="宋体" w:eastAsia="宋体" w:cs="宋体"/>
          <w:color w:val="auto"/>
          <w:kern w:val="0"/>
          <w:sz w:val="24"/>
          <w:lang w:val="zh-CN"/>
        </w:rPr>
        <w:t>【招标编号：</w:t>
      </w:r>
      <w:r>
        <w:rPr>
          <w:rFonts w:hint="eastAsia" w:ascii="宋体" w:hAnsi="宋体" w:cs="宋体"/>
          <w:color w:val="auto"/>
          <w:sz w:val="24"/>
          <w:lang w:eastAsia="zh-CN"/>
        </w:rPr>
        <w:t>QZ2330122202500</w:t>
      </w:r>
      <w:r>
        <w:rPr>
          <w:rFonts w:hint="eastAsia" w:ascii="宋体" w:hAnsi="宋体" w:cs="宋体"/>
          <w:sz w:val="24"/>
          <w:lang w:eastAsia="zh-CN"/>
        </w:rPr>
        <w:t>2</w:t>
      </w:r>
      <w:r>
        <w:rPr>
          <w:rFonts w:hint="eastAsia" w:ascii="宋体" w:hAnsi="宋体" w:eastAsia="宋体" w:cs="宋体"/>
          <w:sz w:val="24"/>
        </w:rPr>
        <w:t>】的实施</w:t>
      </w:r>
      <w:r>
        <w:rPr>
          <w:rFonts w:hint="eastAsia" w:ascii="宋体" w:hAnsi="宋体" w:eastAsia="宋体" w:cs="宋体"/>
          <w:kern w:val="0"/>
          <w:sz w:val="24"/>
          <w:lang w:val="zh-CN"/>
        </w:rPr>
        <w:t>。</w:t>
      </w:r>
    </w:p>
    <w:p w14:paraId="612D3A75">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88"/>
        <w:gridCol w:w="1296"/>
        <w:gridCol w:w="1728"/>
        <w:gridCol w:w="1379"/>
        <w:gridCol w:w="5"/>
        <w:gridCol w:w="1196"/>
      </w:tblGrid>
      <w:tr w14:paraId="42D7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25" w:type="dxa"/>
            <w:vAlign w:val="center"/>
          </w:tcPr>
          <w:p w14:paraId="2DFB71C3">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序号</w:t>
            </w:r>
          </w:p>
        </w:tc>
        <w:tc>
          <w:tcPr>
            <w:tcW w:w="2688" w:type="dxa"/>
            <w:vAlign w:val="center"/>
          </w:tcPr>
          <w:p w14:paraId="1237F4C1">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评分项目（险种）</w:t>
            </w:r>
          </w:p>
        </w:tc>
        <w:tc>
          <w:tcPr>
            <w:tcW w:w="1296" w:type="dxa"/>
            <w:shd w:val="clear" w:color="auto" w:fill="auto"/>
            <w:vAlign w:val="center"/>
          </w:tcPr>
          <w:p w14:paraId="190FE26E">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服务期限</w:t>
            </w:r>
          </w:p>
        </w:tc>
        <w:tc>
          <w:tcPr>
            <w:tcW w:w="1728" w:type="dxa"/>
            <w:shd w:val="clear" w:color="auto" w:fill="auto"/>
            <w:vAlign w:val="center"/>
          </w:tcPr>
          <w:p w14:paraId="2A13DCFE">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预计数量</w:t>
            </w:r>
          </w:p>
        </w:tc>
        <w:tc>
          <w:tcPr>
            <w:tcW w:w="1379" w:type="dxa"/>
            <w:shd w:val="clear" w:color="auto" w:fill="auto"/>
            <w:vAlign w:val="center"/>
          </w:tcPr>
          <w:p w14:paraId="018499F7">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单价（元）</w:t>
            </w:r>
          </w:p>
        </w:tc>
        <w:tc>
          <w:tcPr>
            <w:tcW w:w="1201" w:type="dxa"/>
            <w:gridSpan w:val="2"/>
            <w:shd w:val="clear" w:color="auto" w:fill="auto"/>
            <w:vAlign w:val="center"/>
          </w:tcPr>
          <w:p w14:paraId="0792C188">
            <w:pPr>
              <w:spacing w:line="360" w:lineRule="auto"/>
              <w:jc w:val="center"/>
              <w:rPr>
                <w:rFonts w:hint="eastAsia" w:ascii="宋体" w:hAnsi="宋体" w:eastAsia="宋体" w:cs="宋体"/>
                <w:b/>
                <w:bCs/>
                <w:snapToGrid/>
                <w:kern w:val="0"/>
                <w:sz w:val="24"/>
                <w:szCs w:val="24"/>
                <w:highlight w:val="none"/>
                <w:lang w:val="en-US" w:eastAsia="zh-CN" w:bidi="ar-SA"/>
              </w:rPr>
            </w:pPr>
            <w:r>
              <w:rPr>
                <w:rFonts w:hint="eastAsia" w:ascii="宋体" w:hAnsi="宋体" w:eastAsia="宋体" w:cs="宋体"/>
                <w:b/>
                <w:bCs/>
                <w:snapToGrid/>
                <w:kern w:val="0"/>
                <w:sz w:val="24"/>
                <w:szCs w:val="24"/>
                <w:highlight w:val="none"/>
                <w:lang w:val="en-US" w:eastAsia="zh-CN" w:bidi="ar-SA"/>
              </w:rPr>
              <w:t>总价（元）</w:t>
            </w:r>
          </w:p>
        </w:tc>
      </w:tr>
      <w:tr w14:paraId="1951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5" w:type="dxa"/>
            <w:vAlign w:val="center"/>
          </w:tcPr>
          <w:p w14:paraId="2F2DACF1">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1</w:t>
            </w:r>
          </w:p>
        </w:tc>
        <w:tc>
          <w:tcPr>
            <w:tcW w:w="2688" w:type="dxa"/>
            <w:vAlign w:val="center"/>
          </w:tcPr>
          <w:p w14:paraId="604A5CAE">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独生子女家庭意外伤害保险</w:t>
            </w:r>
          </w:p>
        </w:tc>
        <w:tc>
          <w:tcPr>
            <w:tcW w:w="1296" w:type="dxa"/>
            <w:shd w:val="clear" w:color="auto" w:fill="auto"/>
            <w:vAlign w:val="center"/>
          </w:tcPr>
          <w:p w14:paraId="46737CFD">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1年</w:t>
            </w:r>
          </w:p>
        </w:tc>
        <w:tc>
          <w:tcPr>
            <w:tcW w:w="1728" w:type="dxa"/>
            <w:shd w:val="clear" w:color="auto" w:fill="auto"/>
            <w:vAlign w:val="center"/>
          </w:tcPr>
          <w:p w14:paraId="7DFDAC71">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9</w:t>
            </w:r>
            <w:r>
              <w:rPr>
                <w:rFonts w:hint="eastAsia" w:ascii="宋体" w:hAnsi="宋体" w:cs="宋体"/>
                <w:snapToGrid/>
                <w:kern w:val="0"/>
                <w:sz w:val="24"/>
                <w:szCs w:val="24"/>
                <w:highlight w:val="none"/>
                <w:lang w:val="en-US" w:eastAsia="zh-CN" w:bidi="ar-SA"/>
              </w:rPr>
              <w:t>300</w:t>
            </w:r>
            <w:r>
              <w:rPr>
                <w:rFonts w:hint="eastAsia" w:ascii="宋体" w:hAnsi="宋体" w:eastAsia="宋体" w:cs="宋体"/>
                <w:snapToGrid/>
                <w:kern w:val="0"/>
                <w:sz w:val="24"/>
                <w:szCs w:val="24"/>
                <w:highlight w:val="none"/>
                <w:lang w:val="en-US" w:eastAsia="zh-CN" w:bidi="ar-SA"/>
              </w:rPr>
              <w:t>户</w:t>
            </w:r>
          </w:p>
        </w:tc>
        <w:tc>
          <w:tcPr>
            <w:tcW w:w="1379" w:type="dxa"/>
            <w:vAlign w:val="center"/>
          </w:tcPr>
          <w:p w14:paraId="6FC91508">
            <w:pPr>
              <w:spacing w:line="360" w:lineRule="auto"/>
              <w:jc w:val="center"/>
              <w:rPr>
                <w:rFonts w:hint="eastAsia" w:ascii="宋体" w:hAnsi="宋体" w:eastAsia="宋体" w:cs="宋体"/>
                <w:snapToGrid/>
                <w:kern w:val="0"/>
                <w:sz w:val="24"/>
                <w:szCs w:val="24"/>
                <w:highlight w:val="none"/>
                <w:lang w:val="en-US" w:eastAsia="zh-CN" w:bidi="ar-SA"/>
              </w:rPr>
            </w:pPr>
          </w:p>
        </w:tc>
        <w:tc>
          <w:tcPr>
            <w:tcW w:w="1201" w:type="dxa"/>
            <w:gridSpan w:val="2"/>
            <w:vAlign w:val="center"/>
          </w:tcPr>
          <w:p w14:paraId="7753836D">
            <w:pPr>
              <w:spacing w:line="360" w:lineRule="auto"/>
              <w:jc w:val="center"/>
              <w:rPr>
                <w:rFonts w:hint="eastAsia" w:ascii="宋体" w:hAnsi="宋体" w:eastAsia="宋体" w:cs="宋体"/>
                <w:snapToGrid/>
                <w:kern w:val="0"/>
                <w:sz w:val="24"/>
                <w:szCs w:val="24"/>
                <w:highlight w:val="none"/>
                <w:lang w:val="en-US" w:eastAsia="zh-CN" w:bidi="ar-SA"/>
              </w:rPr>
            </w:pPr>
          </w:p>
        </w:tc>
      </w:tr>
      <w:tr w14:paraId="0183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25" w:type="dxa"/>
            <w:vAlign w:val="center"/>
          </w:tcPr>
          <w:p w14:paraId="20E1135D">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2</w:t>
            </w:r>
          </w:p>
        </w:tc>
        <w:tc>
          <w:tcPr>
            <w:tcW w:w="2688" w:type="dxa"/>
            <w:vAlign w:val="center"/>
          </w:tcPr>
          <w:p w14:paraId="331EA3AA">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计生特殊家庭保险</w:t>
            </w:r>
          </w:p>
        </w:tc>
        <w:tc>
          <w:tcPr>
            <w:tcW w:w="1296" w:type="dxa"/>
            <w:shd w:val="clear" w:color="auto" w:fill="auto"/>
            <w:vAlign w:val="center"/>
          </w:tcPr>
          <w:p w14:paraId="4C7503A8">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1年</w:t>
            </w:r>
          </w:p>
        </w:tc>
        <w:tc>
          <w:tcPr>
            <w:tcW w:w="1728" w:type="dxa"/>
            <w:shd w:val="clear" w:color="auto" w:fill="auto"/>
            <w:vAlign w:val="center"/>
          </w:tcPr>
          <w:p w14:paraId="596E5339">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cs="宋体"/>
                <w:snapToGrid/>
                <w:kern w:val="0"/>
                <w:sz w:val="24"/>
                <w:szCs w:val="24"/>
                <w:highlight w:val="none"/>
                <w:lang w:val="en-US" w:eastAsia="zh-CN" w:bidi="ar-SA"/>
              </w:rPr>
              <w:t>1100</w:t>
            </w:r>
            <w:r>
              <w:rPr>
                <w:rFonts w:hint="eastAsia" w:ascii="宋体" w:hAnsi="宋体" w:eastAsia="宋体" w:cs="宋体"/>
                <w:snapToGrid/>
                <w:kern w:val="0"/>
                <w:sz w:val="24"/>
                <w:szCs w:val="24"/>
                <w:highlight w:val="none"/>
                <w:lang w:val="en-US" w:eastAsia="zh-CN" w:bidi="ar-SA"/>
              </w:rPr>
              <w:t>人</w:t>
            </w:r>
          </w:p>
        </w:tc>
        <w:tc>
          <w:tcPr>
            <w:tcW w:w="1384" w:type="dxa"/>
            <w:gridSpan w:val="2"/>
            <w:vAlign w:val="center"/>
          </w:tcPr>
          <w:p w14:paraId="4AA7ADB0">
            <w:pPr>
              <w:spacing w:line="360" w:lineRule="auto"/>
              <w:jc w:val="center"/>
              <w:rPr>
                <w:rFonts w:hint="eastAsia" w:ascii="宋体" w:hAnsi="宋体" w:eastAsia="宋体" w:cs="宋体"/>
                <w:snapToGrid/>
                <w:kern w:val="0"/>
                <w:sz w:val="24"/>
                <w:szCs w:val="24"/>
                <w:highlight w:val="none"/>
                <w:lang w:val="en-US" w:eastAsia="zh-CN" w:bidi="ar-SA"/>
              </w:rPr>
            </w:pPr>
          </w:p>
        </w:tc>
        <w:tc>
          <w:tcPr>
            <w:tcW w:w="1196" w:type="dxa"/>
            <w:vAlign w:val="center"/>
          </w:tcPr>
          <w:p w14:paraId="5B1C1567">
            <w:pPr>
              <w:spacing w:line="360" w:lineRule="auto"/>
              <w:jc w:val="center"/>
              <w:rPr>
                <w:rFonts w:hint="eastAsia" w:ascii="宋体" w:hAnsi="宋体" w:eastAsia="宋体" w:cs="宋体"/>
                <w:snapToGrid/>
                <w:kern w:val="0"/>
                <w:sz w:val="24"/>
                <w:szCs w:val="24"/>
                <w:highlight w:val="none"/>
                <w:lang w:val="en-US" w:eastAsia="zh-CN" w:bidi="ar-SA"/>
              </w:rPr>
            </w:pPr>
          </w:p>
        </w:tc>
      </w:tr>
      <w:tr w14:paraId="4A0E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117" w:type="dxa"/>
            <w:gridSpan w:val="7"/>
            <w:vAlign w:val="center"/>
          </w:tcPr>
          <w:p w14:paraId="52E2BC3B">
            <w:pPr>
              <w:spacing w:line="360" w:lineRule="auto"/>
              <w:jc w:val="center"/>
              <w:rPr>
                <w:rFonts w:hint="eastAsia"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投标报价（小写）：</w:t>
            </w:r>
            <w:r>
              <w:rPr>
                <w:rFonts w:hint="eastAsia" w:ascii="宋体" w:hAnsi="宋体" w:eastAsia="宋体" w:cs="宋体"/>
                <w:snapToGrid/>
                <w:kern w:val="0"/>
                <w:sz w:val="24"/>
                <w:szCs w:val="24"/>
                <w:highlight w:val="none"/>
                <w:u w:val="single"/>
                <w:lang w:val="en-US" w:eastAsia="zh-CN" w:bidi="ar-SA"/>
              </w:rPr>
              <w:t xml:space="preserve">             </w:t>
            </w:r>
            <w:r>
              <w:rPr>
                <w:rFonts w:hint="eastAsia" w:ascii="宋体" w:hAnsi="宋体" w:eastAsia="宋体" w:cs="宋体"/>
                <w:snapToGrid/>
                <w:kern w:val="0"/>
                <w:sz w:val="24"/>
                <w:szCs w:val="24"/>
                <w:highlight w:val="none"/>
                <w:lang w:val="en-US" w:eastAsia="zh-CN" w:bidi="ar-SA"/>
              </w:rPr>
              <w:t>元</w:t>
            </w:r>
          </w:p>
          <w:p w14:paraId="2C928F7C">
            <w:pPr>
              <w:spacing w:line="360" w:lineRule="auto"/>
              <w:jc w:val="center"/>
              <w:rPr>
                <w:rFonts w:hint="default" w:ascii="宋体" w:hAnsi="宋体" w:eastAsia="宋体" w:cs="宋体"/>
                <w:snapToGrid/>
                <w:kern w:val="0"/>
                <w:sz w:val="24"/>
                <w:szCs w:val="24"/>
                <w:highlight w:val="none"/>
                <w:lang w:val="en-US" w:eastAsia="zh-CN" w:bidi="ar-SA"/>
              </w:rPr>
            </w:pPr>
            <w:r>
              <w:rPr>
                <w:rFonts w:hint="eastAsia" w:ascii="宋体" w:hAnsi="宋体" w:eastAsia="宋体" w:cs="宋体"/>
                <w:snapToGrid/>
                <w:kern w:val="0"/>
                <w:sz w:val="24"/>
                <w:szCs w:val="24"/>
                <w:highlight w:val="none"/>
                <w:lang w:val="en-US" w:eastAsia="zh-CN" w:bidi="ar-SA"/>
              </w:rPr>
              <w:t>投标报价（大写）：</w:t>
            </w:r>
            <w:r>
              <w:rPr>
                <w:rFonts w:hint="eastAsia" w:ascii="宋体" w:hAnsi="宋体" w:eastAsia="宋体" w:cs="宋体"/>
                <w:snapToGrid/>
                <w:kern w:val="0"/>
                <w:sz w:val="24"/>
                <w:szCs w:val="24"/>
                <w:highlight w:val="none"/>
                <w:u w:val="single"/>
                <w:lang w:val="en-US" w:eastAsia="zh-CN" w:bidi="ar-SA"/>
              </w:rPr>
              <w:t xml:space="preserve">             </w:t>
            </w:r>
            <w:r>
              <w:rPr>
                <w:rFonts w:hint="eastAsia" w:ascii="宋体" w:hAnsi="宋体" w:eastAsia="宋体" w:cs="宋体"/>
                <w:snapToGrid/>
                <w:kern w:val="0"/>
                <w:sz w:val="24"/>
                <w:szCs w:val="24"/>
                <w:highlight w:val="none"/>
                <w:lang w:val="en-US" w:eastAsia="zh-CN" w:bidi="ar-SA"/>
              </w:rPr>
              <w:t>元</w:t>
            </w:r>
          </w:p>
        </w:tc>
      </w:tr>
    </w:tbl>
    <w:p w14:paraId="50F3E0E4">
      <w:pPr>
        <w:snapToGrid w:val="0"/>
        <w:spacing w:line="360" w:lineRule="auto"/>
        <w:rPr>
          <w:rFonts w:hint="eastAsia" w:ascii="宋体" w:hAnsi="宋体" w:eastAsia="宋体" w:cs="宋体"/>
          <w:b/>
          <w:kern w:val="0"/>
          <w:sz w:val="24"/>
          <w:highlight w:val="none"/>
          <w:lang w:val="zh-CN"/>
        </w:rPr>
      </w:pPr>
    </w:p>
    <w:p w14:paraId="5A104DC6">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41B89306">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1、投标人需按本表格式填写，不得自行更改。</w:t>
      </w:r>
    </w:p>
    <w:p w14:paraId="1097C37D">
      <w:pPr>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w:t>
      </w:r>
      <w:r>
        <w:rPr>
          <w:rFonts w:hint="eastAsia" w:ascii="宋体" w:hAnsi="宋体" w:eastAsia="宋体" w:cs="宋体"/>
          <w:kern w:val="0"/>
          <w:sz w:val="24"/>
          <w:lang w:val="zh-CN"/>
        </w:rPr>
        <w:t>，</w:t>
      </w:r>
      <w:r>
        <w:rPr>
          <w:rFonts w:hint="eastAsia" w:ascii="宋体" w:hAnsi="宋体" w:eastAsia="宋体" w:cs="宋体"/>
          <w:b/>
          <w:kern w:val="0"/>
          <w:sz w:val="24"/>
          <w:lang w:val="zh-CN"/>
        </w:rPr>
        <w:t>不得出现“0元”“免费赠送”等形式的无偿报价，</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投标文件含有采购人不能接受的附加条件的，投标无效</w:t>
      </w:r>
      <w:r>
        <w:rPr>
          <w:rFonts w:hint="eastAsia" w:ascii="宋体" w:hAnsi="宋体" w:eastAsia="宋体" w:cs="宋体"/>
          <w:b/>
          <w:kern w:val="0"/>
          <w:sz w:val="24"/>
          <w:lang w:val="zh-CN"/>
        </w:rPr>
        <w:t>。</w:t>
      </w:r>
    </w:p>
    <w:p w14:paraId="6220C651">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rPr>
        <w:t>、特别提示：采购机构将对项目名称和项目编号，中标供应商名称、地址和中标金额，主要中标标的的名称、规格型号、数量、单价、服务要求等予以公示。</w:t>
      </w:r>
    </w:p>
    <w:p w14:paraId="238882A2">
      <w:pPr>
        <w:snapToGrid w:val="0"/>
        <w:spacing w:line="360" w:lineRule="auto"/>
        <w:ind w:firstLine="480" w:firstLineChars="200"/>
        <w:jc w:val="left"/>
        <w:rPr>
          <w:rFonts w:hint="eastAsia" w:ascii="宋体" w:hAnsi="宋体" w:eastAsia="宋体" w:cs="宋体"/>
          <w:b/>
          <w:kern w:val="0"/>
          <w:sz w:val="24"/>
        </w:rPr>
      </w:pPr>
      <w:r>
        <w:rPr>
          <w:rFonts w:hint="eastAsia" w:ascii="宋体" w:hAnsi="宋体" w:eastAsia="宋体" w:cs="宋体"/>
          <w:kern w:val="0"/>
          <w:sz w:val="24"/>
          <w:szCs w:val="22"/>
          <w:lang w:val="en-US" w:eastAsia="zh-CN"/>
        </w:rPr>
        <w:t>4</w:t>
      </w:r>
      <w:r>
        <w:rPr>
          <w:rFonts w:hint="eastAsia" w:ascii="宋体" w:hAnsi="宋体" w:eastAsia="宋体" w:cs="宋体"/>
          <w:kern w:val="0"/>
          <w:sz w:val="24"/>
          <w:szCs w:val="22"/>
          <w:lang w:val="zh-CN"/>
        </w:rPr>
        <w:t>、</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978F66E">
      <w:pPr>
        <w:autoSpaceDE w:val="0"/>
        <w:autoSpaceDN w:val="0"/>
        <w:spacing w:line="360" w:lineRule="auto"/>
        <w:ind w:right="1120" w:firstLine="5280" w:firstLineChars="22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67655F7D">
      <w:pPr>
        <w:autoSpaceDE w:val="0"/>
        <w:autoSpaceDN w:val="0"/>
        <w:spacing w:line="360" w:lineRule="auto"/>
        <w:ind w:right="1120" w:firstLine="5280" w:firstLineChars="2200"/>
        <w:jc w:val="left"/>
        <w:rPr>
          <w:rFonts w:hint="eastAsia" w:ascii="宋体" w:hAnsi="宋体" w:eastAsia="宋体" w:cs="宋体"/>
          <w:kern w:val="0"/>
          <w:sz w:val="24"/>
          <w:lang w:val="zh-CN"/>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                                                                                                                                                                                                            </w:t>
      </w:r>
    </w:p>
    <w:p w14:paraId="67CF3893">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rPr>
      </w:pPr>
      <w:r>
        <w:rPr>
          <w:rFonts w:hint="eastAsia" w:ascii="宋体" w:hAnsi="宋体" w:eastAsia="宋体" w:cs="宋体"/>
        </w:rPr>
        <w:t>附件</w:t>
      </w:r>
      <w:bookmarkEnd w:id="413"/>
    </w:p>
    <w:p w14:paraId="6B4DBAB8">
      <w:pPr>
        <w:spacing w:line="360" w:lineRule="auto"/>
        <w:outlineLvl w:val="0"/>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0294B039">
      <w:pPr>
        <w:spacing w:line="360" w:lineRule="auto"/>
        <w:jc w:val="center"/>
        <w:rPr>
          <w:rFonts w:hint="eastAsia" w:ascii="宋体" w:hAnsi="宋体" w:eastAsia="宋体" w:cs="宋体"/>
          <w:b/>
          <w:spacing w:val="6"/>
          <w:sz w:val="32"/>
          <w:szCs w:val="32"/>
        </w:rPr>
      </w:pPr>
      <w:bookmarkStart w:id="414" w:name="OLE_LINK13"/>
      <w:bookmarkStart w:id="415" w:name="OLE_LINK14"/>
      <w:r>
        <w:rPr>
          <w:rFonts w:hint="eastAsia" w:ascii="宋体" w:hAnsi="宋体" w:eastAsia="宋体" w:cs="宋体"/>
          <w:b/>
          <w:spacing w:val="6"/>
          <w:sz w:val="32"/>
          <w:szCs w:val="32"/>
        </w:rPr>
        <w:t>残疾人福利性单位声明函</w:t>
      </w:r>
    </w:p>
    <w:bookmarkEnd w:id="414"/>
    <w:bookmarkEnd w:id="415"/>
    <w:p w14:paraId="0547A916">
      <w:pPr>
        <w:spacing w:line="360" w:lineRule="auto"/>
        <w:rPr>
          <w:rFonts w:hint="eastAsia" w:ascii="宋体" w:hAnsi="宋体" w:eastAsia="宋体" w:cs="宋体"/>
          <w:b/>
          <w:spacing w:val="6"/>
          <w:sz w:val="30"/>
          <w:szCs w:val="30"/>
        </w:rPr>
      </w:pPr>
    </w:p>
    <w:p w14:paraId="73F2AD9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44C5C8">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FCED9D9">
      <w:pPr>
        <w:spacing w:line="360" w:lineRule="auto"/>
        <w:ind w:firstLine="480" w:firstLineChars="200"/>
        <w:rPr>
          <w:rFonts w:hint="eastAsia" w:ascii="宋体" w:hAnsi="宋体" w:eastAsia="宋体" w:cs="宋体"/>
          <w:sz w:val="24"/>
        </w:rPr>
      </w:pPr>
    </w:p>
    <w:p w14:paraId="19C63F9D">
      <w:pPr>
        <w:spacing w:line="360" w:lineRule="auto"/>
        <w:ind w:firstLine="480" w:firstLineChars="200"/>
        <w:rPr>
          <w:rFonts w:hint="eastAsia" w:ascii="宋体" w:hAnsi="宋体" w:eastAsia="宋体" w:cs="宋体"/>
          <w:sz w:val="24"/>
        </w:rPr>
      </w:pPr>
    </w:p>
    <w:p w14:paraId="2F737A16">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kern w:val="0"/>
          <w:sz w:val="24"/>
          <w:lang w:val="zh-CN"/>
        </w:rPr>
        <w:t>供应商名称（电子签名）</w:t>
      </w:r>
      <w:r>
        <w:rPr>
          <w:rFonts w:hint="eastAsia" w:ascii="宋体" w:hAnsi="宋体" w:eastAsia="宋体" w:cs="宋体"/>
          <w:sz w:val="24"/>
        </w:rPr>
        <w:t>：</w:t>
      </w:r>
    </w:p>
    <w:p w14:paraId="69D079CD">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633D01A3">
      <w:pPr>
        <w:spacing w:line="360" w:lineRule="auto"/>
        <w:ind w:firstLine="480" w:firstLineChars="200"/>
        <w:rPr>
          <w:rFonts w:hint="eastAsia" w:ascii="宋体" w:hAnsi="宋体" w:eastAsia="宋体" w:cs="宋体"/>
          <w:sz w:val="24"/>
        </w:rPr>
      </w:pPr>
    </w:p>
    <w:p w14:paraId="12774D9B">
      <w:pPr>
        <w:spacing w:line="360" w:lineRule="auto"/>
        <w:ind w:firstLine="420" w:firstLineChars="200"/>
        <w:rPr>
          <w:rFonts w:hint="eastAsia" w:ascii="宋体" w:hAnsi="宋体" w:eastAsia="宋体" w:cs="宋体"/>
        </w:rPr>
      </w:pPr>
    </w:p>
    <w:p w14:paraId="335A85D6">
      <w:pPr>
        <w:spacing w:line="360" w:lineRule="auto"/>
        <w:ind w:firstLine="420" w:firstLineChars="200"/>
        <w:rPr>
          <w:rFonts w:hint="eastAsia" w:ascii="宋体" w:hAnsi="宋体" w:eastAsia="宋体" w:cs="宋体"/>
        </w:rPr>
      </w:pPr>
    </w:p>
    <w:p w14:paraId="13822F4C">
      <w:pPr>
        <w:spacing w:line="360" w:lineRule="auto"/>
        <w:ind w:firstLine="420" w:firstLineChars="200"/>
        <w:rPr>
          <w:rFonts w:hint="eastAsia" w:ascii="宋体" w:hAnsi="宋体" w:eastAsia="宋体" w:cs="宋体"/>
        </w:rPr>
      </w:pPr>
    </w:p>
    <w:p w14:paraId="12275723">
      <w:pPr>
        <w:spacing w:line="360" w:lineRule="auto"/>
        <w:ind w:firstLine="420" w:firstLineChars="200"/>
        <w:rPr>
          <w:rFonts w:hint="eastAsia" w:ascii="宋体" w:hAnsi="宋体" w:eastAsia="宋体" w:cs="宋体"/>
        </w:rPr>
      </w:pPr>
    </w:p>
    <w:p w14:paraId="1A38DA57">
      <w:pPr>
        <w:spacing w:line="360" w:lineRule="auto"/>
        <w:rPr>
          <w:rFonts w:hint="eastAsia" w:ascii="宋体" w:hAnsi="宋体" w:eastAsia="宋体" w:cs="宋体"/>
          <w:b/>
          <w:sz w:val="24"/>
        </w:rPr>
      </w:pPr>
    </w:p>
    <w:p w14:paraId="50BC8631">
      <w:pPr>
        <w:spacing w:line="360" w:lineRule="auto"/>
        <w:rPr>
          <w:rFonts w:hint="eastAsia" w:ascii="宋体" w:hAnsi="宋体" w:eastAsia="宋体" w:cs="宋体"/>
          <w:b/>
          <w:sz w:val="24"/>
        </w:rPr>
      </w:pPr>
    </w:p>
    <w:p w14:paraId="4C9C0DF8">
      <w:pPr>
        <w:spacing w:line="360" w:lineRule="auto"/>
        <w:rPr>
          <w:rFonts w:hint="eastAsia" w:ascii="宋体" w:hAnsi="宋体" w:eastAsia="宋体" w:cs="宋体"/>
          <w:b/>
          <w:sz w:val="24"/>
        </w:rPr>
      </w:pPr>
    </w:p>
    <w:p w14:paraId="3784446F">
      <w:pPr>
        <w:spacing w:line="360" w:lineRule="auto"/>
        <w:rPr>
          <w:rFonts w:hint="eastAsia" w:ascii="宋体" w:hAnsi="宋体" w:eastAsia="宋体" w:cs="宋体"/>
          <w:b/>
          <w:sz w:val="24"/>
        </w:rPr>
      </w:pPr>
    </w:p>
    <w:p w14:paraId="307C0912">
      <w:pPr>
        <w:spacing w:line="360" w:lineRule="auto"/>
        <w:rPr>
          <w:rFonts w:hint="eastAsia" w:ascii="宋体" w:hAnsi="宋体" w:eastAsia="宋体" w:cs="宋体"/>
          <w:b/>
          <w:sz w:val="24"/>
        </w:rPr>
      </w:pPr>
    </w:p>
    <w:p w14:paraId="11EC2F08">
      <w:pPr>
        <w:spacing w:line="360" w:lineRule="auto"/>
        <w:rPr>
          <w:rFonts w:hint="eastAsia" w:ascii="宋体" w:hAnsi="宋体" w:eastAsia="宋体" w:cs="宋体"/>
          <w:b/>
          <w:sz w:val="24"/>
        </w:rPr>
      </w:pPr>
    </w:p>
    <w:p w14:paraId="1286C4F6">
      <w:pPr>
        <w:spacing w:line="360" w:lineRule="auto"/>
        <w:rPr>
          <w:rFonts w:hint="eastAsia" w:ascii="宋体" w:hAnsi="宋体" w:eastAsia="宋体" w:cs="宋体"/>
          <w:b/>
          <w:sz w:val="24"/>
        </w:rPr>
      </w:pPr>
    </w:p>
    <w:p w14:paraId="4E3ABCE1">
      <w:pPr>
        <w:spacing w:line="360" w:lineRule="auto"/>
        <w:rPr>
          <w:rFonts w:hint="eastAsia" w:ascii="宋体" w:hAnsi="宋体" w:eastAsia="宋体" w:cs="宋体"/>
          <w:b/>
          <w:sz w:val="24"/>
        </w:rPr>
      </w:pPr>
    </w:p>
    <w:p w14:paraId="3787713A">
      <w:pPr>
        <w:spacing w:line="360" w:lineRule="auto"/>
        <w:jc w:val="left"/>
        <w:outlineLvl w:val="0"/>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847E2F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620B9AC3">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5156F252">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388FEB39">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2F18942E">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634AC63D">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01AA11E0">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5562EF2">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BB746DA">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24C46932">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620440E">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60E1A20">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136105B2">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539A0777">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19E58721">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6C51E83E">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3E84BBFB">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39A8667C">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53B4C49E">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D392F56">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5FB09899">
      <w:pPr>
        <w:snapToGrid w:val="0"/>
        <w:spacing w:line="360" w:lineRule="auto"/>
        <w:rPr>
          <w:rFonts w:hint="eastAsia" w:ascii="宋体" w:hAnsi="宋体" w:eastAsia="宋体" w:cs="宋体"/>
          <w:sz w:val="24"/>
        </w:rPr>
      </w:pPr>
      <w:r>
        <w:rPr>
          <w:rFonts w:hint="eastAsia" w:ascii="宋体" w:hAnsi="宋体" w:eastAsia="宋体" w:cs="宋体"/>
          <w:sz w:val="24"/>
        </w:rPr>
        <w:t>……</w:t>
      </w:r>
    </w:p>
    <w:p w14:paraId="4FB7894D">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F20AA6F">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53E0742C">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329F2DFE">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FB84C9B">
      <w:pPr>
        <w:spacing w:line="360" w:lineRule="auto"/>
        <w:jc w:val="center"/>
        <w:rPr>
          <w:rFonts w:hint="eastAsia" w:ascii="宋体" w:hAnsi="宋体" w:eastAsia="宋体" w:cs="宋体"/>
          <w:b/>
          <w:bCs/>
          <w:sz w:val="24"/>
        </w:rPr>
      </w:pPr>
    </w:p>
    <w:p w14:paraId="656A83F1">
      <w:pPr>
        <w:spacing w:line="360" w:lineRule="auto"/>
        <w:rPr>
          <w:rFonts w:hint="eastAsia" w:ascii="宋体" w:hAnsi="宋体" w:eastAsia="宋体" w:cs="宋体"/>
          <w:b/>
          <w:sz w:val="24"/>
        </w:rPr>
      </w:pPr>
    </w:p>
    <w:p w14:paraId="018D32C9">
      <w:pPr>
        <w:spacing w:line="360" w:lineRule="auto"/>
        <w:rPr>
          <w:rFonts w:hint="eastAsia" w:ascii="宋体" w:hAnsi="宋体" w:eastAsia="宋体" w:cs="宋体"/>
          <w:b/>
          <w:sz w:val="24"/>
        </w:rPr>
      </w:pPr>
    </w:p>
    <w:p w14:paraId="54939D26">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3411E8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4C856DC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0F3DC42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3DABEB7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4787A30E">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517DC48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2AD8ABD">
      <w:pPr>
        <w:widowControl/>
        <w:spacing w:line="360" w:lineRule="auto"/>
        <w:ind w:firstLine="600" w:firstLineChars="200"/>
        <w:jc w:val="left"/>
        <w:rPr>
          <w:rFonts w:hint="eastAsia" w:ascii="宋体" w:hAnsi="宋体" w:eastAsia="宋体" w:cs="宋体"/>
          <w:sz w:val="30"/>
          <w:szCs w:val="30"/>
        </w:rPr>
      </w:pPr>
    </w:p>
    <w:p w14:paraId="152BDE61">
      <w:pPr>
        <w:spacing w:line="360" w:lineRule="auto"/>
        <w:jc w:val="center"/>
        <w:rPr>
          <w:rFonts w:hint="eastAsia" w:ascii="宋体" w:hAnsi="宋体" w:eastAsia="宋体" w:cs="宋体"/>
          <w:b/>
          <w:spacing w:val="6"/>
          <w:sz w:val="32"/>
          <w:szCs w:val="32"/>
        </w:rPr>
      </w:pPr>
    </w:p>
    <w:p w14:paraId="49FD82AB">
      <w:pPr>
        <w:spacing w:line="360" w:lineRule="auto"/>
        <w:jc w:val="center"/>
        <w:rPr>
          <w:rFonts w:hint="eastAsia" w:ascii="宋体" w:hAnsi="宋体" w:eastAsia="宋体" w:cs="宋体"/>
          <w:b/>
          <w:spacing w:val="6"/>
          <w:sz w:val="32"/>
          <w:szCs w:val="32"/>
        </w:rPr>
      </w:pPr>
    </w:p>
    <w:p w14:paraId="3A99A473">
      <w:pPr>
        <w:spacing w:line="360" w:lineRule="auto"/>
        <w:jc w:val="center"/>
        <w:rPr>
          <w:rFonts w:hint="eastAsia" w:ascii="宋体" w:hAnsi="宋体" w:eastAsia="宋体" w:cs="宋体"/>
          <w:b/>
          <w:spacing w:val="6"/>
          <w:sz w:val="32"/>
          <w:szCs w:val="32"/>
        </w:rPr>
      </w:pPr>
    </w:p>
    <w:p w14:paraId="168B2522">
      <w:pPr>
        <w:spacing w:line="360" w:lineRule="auto"/>
        <w:jc w:val="center"/>
        <w:rPr>
          <w:rFonts w:hint="eastAsia" w:ascii="宋体" w:hAnsi="宋体" w:eastAsia="宋体" w:cs="宋体"/>
          <w:b/>
          <w:spacing w:val="6"/>
          <w:sz w:val="32"/>
          <w:szCs w:val="32"/>
        </w:rPr>
      </w:pPr>
    </w:p>
    <w:p w14:paraId="3CF14C09">
      <w:pPr>
        <w:spacing w:line="360" w:lineRule="auto"/>
        <w:jc w:val="center"/>
        <w:rPr>
          <w:rFonts w:hint="eastAsia" w:ascii="宋体" w:hAnsi="宋体" w:eastAsia="宋体" w:cs="宋体"/>
          <w:b/>
          <w:spacing w:val="6"/>
          <w:sz w:val="32"/>
          <w:szCs w:val="32"/>
        </w:rPr>
      </w:pPr>
    </w:p>
    <w:p w14:paraId="62F4613B">
      <w:pPr>
        <w:spacing w:line="360" w:lineRule="auto"/>
        <w:jc w:val="center"/>
        <w:rPr>
          <w:rFonts w:hint="eastAsia" w:ascii="宋体" w:hAnsi="宋体" w:eastAsia="宋体" w:cs="宋体"/>
          <w:b/>
          <w:spacing w:val="6"/>
          <w:sz w:val="32"/>
          <w:szCs w:val="32"/>
        </w:rPr>
      </w:pPr>
    </w:p>
    <w:p w14:paraId="4AE5D4AF">
      <w:pPr>
        <w:spacing w:line="360" w:lineRule="auto"/>
        <w:jc w:val="center"/>
        <w:rPr>
          <w:rFonts w:hint="eastAsia" w:ascii="宋体" w:hAnsi="宋体" w:eastAsia="宋体" w:cs="宋体"/>
          <w:b/>
          <w:spacing w:val="6"/>
          <w:sz w:val="32"/>
          <w:szCs w:val="32"/>
        </w:rPr>
      </w:pPr>
    </w:p>
    <w:p w14:paraId="61923C83">
      <w:pPr>
        <w:spacing w:line="360" w:lineRule="auto"/>
        <w:jc w:val="center"/>
        <w:rPr>
          <w:rFonts w:hint="eastAsia" w:ascii="宋体" w:hAnsi="宋体" w:eastAsia="宋体" w:cs="宋体"/>
          <w:b/>
          <w:spacing w:val="6"/>
          <w:sz w:val="32"/>
          <w:szCs w:val="32"/>
        </w:rPr>
      </w:pPr>
    </w:p>
    <w:p w14:paraId="60596153">
      <w:pPr>
        <w:spacing w:line="360" w:lineRule="auto"/>
        <w:jc w:val="center"/>
        <w:rPr>
          <w:rFonts w:hint="eastAsia" w:ascii="宋体" w:hAnsi="宋体" w:eastAsia="宋体" w:cs="宋体"/>
          <w:b/>
          <w:spacing w:val="6"/>
          <w:sz w:val="32"/>
          <w:szCs w:val="32"/>
        </w:rPr>
      </w:pPr>
    </w:p>
    <w:p w14:paraId="1E16108A">
      <w:pPr>
        <w:spacing w:line="360" w:lineRule="auto"/>
        <w:jc w:val="center"/>
        <w:rPr>
          <w:rFonts w:hint="eastAsia" w:ascii="宋体" w:hAnsi="宋体" w:eastAsia="宋体" w:cs="宋体"/>
          <w:b/>
          <w:spacing w:val="6"/>
          <w:sz w:val="32"/>
          <w:szCs w:val="32"/>
        </w:rPr>
      </w:pPr>
    </w:p>
    <w:p w14:paraId="332F8C77">
      <w:pPr>
        <w:spacing w:line="360" w:lineRule="auto"/>
        <w:jc w:val="center"/>
        <w:rPr>
          <w:rFonts w:hint="eastAsia" w:ascii="宋体" w:hAnsi="宋体" w:eastAsia="宋体" w:cs="宋体"/>
          <w:b/>
          <w:spacing w:val="6"/>
          <w:sz w:val="32"/>
          <w:szCs w:val="32"/>
        </w:rPr>
      </w:pPr>
    </w:p>
    <w:p w14:paraId="6D2F6405">
      <w:pPr>
        <w:spacing w:line="360" w:lineRule="auto"/>
        <w:jc w:val="center"/>
        <w:rPr>
          <w:rFonts w:hint="eastAsia" w:ascii="宋体" w:hAnsi="宋体" w:eastAsia="宋体" w:cs="宋体"/>
          <w:b/>
          <w:spacing w:val="6"/>
          <w:sz w:val="32"/>
          <w:szCs w:val="32"/>
        </w:rPr>
      </w:pPr>
    </w:p>
    <w:p w14:paraId="038134C9">
      <w:pPr>
        <w:spacing w:line="360" w:lineRule="auto"/>
        <w:jc w:val="left"/>
        <w:rPr>
          <w:rFonts w:hint="eastAsia" w:ascii="宋体" w:hAnsi="宋体" w:eastAsia="宋体" w:cs="宋体"/>
          <w:b/>
          <w:spacing w:val="6"/>
          <w:sz w:val="32"/>
          <w:szCs w:val="32"/>
        </w:rPr>
      </w:pPr>
    </w:p>
    <w:p w14:paraId="30D885A4">
      <w:pPr>
        <w:spacing w:line="360" w:lineRule="auto"/>
        <w:jc w:val="left"/>
        <w:outlineLvl w:val="0"/>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6593073D">
      <w:pPr>
        <w:spacing w:line="360" w:lineRule="auto"/>
        <w:jc w:val="center"/>
        <w:rPr>
          <w:rFonts w:hint="eastAsia" w:ascii="宋体" w:hAnsi="宋体" w:eastAsia="宋体" w:cs="宋体"/>
          <w:b/>
          <w:sz w:val="24"/>
        </w:rPr>
      </w:pPr>
    </w:p>
    <w:p w14:paraId="7048286A">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1704688A">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3C00723E">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54C414AF">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E5FC2DD">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1880E0D2">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08CAFB04">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7CC9879C">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184E1372">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E6C228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C6E5967">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F813A80">
      <w:pPr>
        <w:spacing w:line="360" w:lineRule="auto"/>
        <w:rPr>
          <w:rFonts w:hint="eastAsia" w:ascii="宋体" w:hAnsi="宋体" w:eastAsia="宋体" w:cs="宋体"/>
          <w:sz w:val="24"/>
        </w:rPr>
      </w:pPr>
      <w:r>
        <w:rPr>
          <w:rFonts w:hint="eastAsia" w:ascii="宋体" w:hAnsi="宋体" w:eastAsia="宋体" w:cs="宋体"/>
          <w:sz w:val="24"/>
        </w:rPr>
        <w:t>被投诉人2</w:t>
      </w:r>
    </w:p>
    <w:p w14:paraId="26E10EAC">
      <w:pPr>
        <w:spacing w:line="360" w:lineRule="auto"/>
        <w:rPr>
          <w:rFonts w:hint="eastAsia" w:ascii="宋体" w:hAnsi="宋体" w:eastAsia="宋体" w:cs="宋体"/>
          <w:sz w:val="24"/>
          <w:u w:val="dotted"/>
        </w:rPr>
      </w:pPr>
      <w:r>
        <w:rPr>
          <w:rFonts w:hint="eastAsia" w:ascii="宋体" w:hAnsi="宋体" w:eastAsia="宋体" w:cs="宋体"/>
          <w:sz w:val="24"/>
        </w:rPr>
        <w:t>……</w:t>
      </w:r>
    </w:p>
    <w:p w14:paraId="39317794">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E293CF9">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76FB761">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A8E8FB3">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6B3A756D">
      <w:pPr>
        <w:spacing w:line="360" w:lineRule="auto"/>
        <w:rPr>
          <w:rFonts w:hint="eastAsia" w:ascii="宋体" w:hAnsi="宋体" w:eastAsia="宋体" w:cs="宋体"/>
          <w:sz w:val="24"/>
          <w:u w:val="dotted"/>
        </w:rPr>
      </w:pPr>
      <w:r>
        <w:rPr>
          <w:rFonts w:hint="eastAsia" w:ascii="宋体" w:hAnsi="宋体" w:eastAsia="宋体" w:cs="宋体"/>
          <w:sz w:val="24"/>
        </w:rPr>
        <w:t>采购</w:t>
      </w:r>
      <w:r>
        <w:rPr>
          <w:rFonts w:hint="eastAsia" w:ascii="宋体" w:hAnsi="宋体" w:cs="宋体"/>
          <w:sz w:val="24"/>
          <w:lang w:eastAsia="zh-CN"/>
        </w:rPr>
        <w:t>2025年度桐庐县计生系列保险服务项目</w:t>
      </w:r>
      <w:r>
        <w:rPr>
          <w:rFonts w:hint="eastAsia" w:ascii="宋体" w:hAnsi="宋体" w:eastAsia="宋体" w:cs="宋体"/>
          <w:sz w:val="24"/>
        </w:rPr>
        <w:t>：</w:t>
      </w:r>
      <w:r>
        <w:rPr>
          <w:rFonts w:hint="eastAsia" w:ascii="宋体" w:hAnsi="宋体" w:eastAsia="宋体" w:cs="宋体"/>
          <w:sz w:val="24"/>
          <w:u w:val="dotted"/>
        </w:rPr>
        <w:t xml:space="preserve">                                        </w:t>
      </w:r>
    </w:p>
    <w:p w14:paraId="3C3A8E00">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1B7414D0">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932463D">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13FEE487">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74674BEA">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5C483A8C">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733DA52F">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1E9A2083">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33B842AD">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23F85444">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3F052599">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63BCFFF">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6F03C24B">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1E6E6993">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C72DFF5">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441CB025">
      <w:pPr>
        <w:spacing w:line="360" w:lineRule="auto"/>
        <w:rPr>
          <w:rFonts w:hint="eastAsia" w:ascii="宋体" w:hAnsi="宋体" w:eastAsia="宋体" w:cs="宋体"/>
          <w:sz w:val="24"/>
        </w:rPr>
      </w:pPr>
      <w:r>
        <w:rPr>
          <w:rFonts w:hint="eastAsia" w:ascii="宋体" w:hAnsi="宋体" w:eastAsia="宋体" w:cs="宋体"/>
          <w:sz w:val="24"/>
        </w:rPr>
        <w:t>投诉事项2</w:t>
      </w:r>
    </w:p>
    <w:p w14:paraId="4DFEB997">
      <w:pPr>
        <w:spacing w:line="360" w:lineRule="auto"/>
        <w:rPr>
          <w:rFonts w:hint="eastAsia" w:ascii="宋体" w:hAnsi="宋体" w:eastAsia="宋体" w:cs="宋体"/>
          <w:sz w:val="24"/>
          <w:u w:val="dotted"/>
        </w:rPr>
      </w:pPr>
      <w:r>
        <w:rPr>
          <w:rFonts w:hint="eastAsia" w:ascii="宋体" w:hAnsi="宋体" w:eastAsia="宋体" w:cs="宋体"/>
          <w:sz w:val="24"/>
        </w:rPr>
        <w:t>……</w:t>
      </w:r>
    </w:p>
    <w:p w14:paraId="73531986">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662951FE">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7429CA5">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3D64AD63">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1005C579">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51FB87CF">
      <w:pPr>
        <w:spacing w:line="360" w:lineRule="auto"/>
        <w:rPr>
          <w:rFonts w:hint="eastAsia" w:ascii="宋体" w:hAnsi="宋体" w:eastAsia="宋体" w:cs="宋体"/>
          <w:b/>
          <w:sz w:val="24"/>
        </w:rPr>
      </w:pPr>
    </w:p>
    <w:p w14:paraId="2CBB1378">
      <w:pPr>
        <w:spacing w:line="360" w:lineRule="auto"/>
        <w:rPr>
          <w:rFonts w:hint="eastAsia" w:ascii="宋体" w:hAnsi="宋体" w:eastAsia="宋体" w:cs="宋体"/>
          <w:b/>
          <w:sz w:val="24"/>
        </w:rPr>
      </w:pPr>
    </w:p>
    <w:p w14:paraId="6C24A5A5">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D4B4EED">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336BE5A">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182BB2E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1C2EE1A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688B872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3D2B791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36F490E4">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746D972D">
      <w:pPr>
        <w:autoSpaceDE w:val="0"/>
        <w:autoSpaceDN w:val="0"/>
        <w:rPr>
          <w:rFonts w:hint="eastAsia" w:ascii="宋体" w:hAnsi="宋体" w:eastAsia="宋体" w:cs="宋体"/>
          <w:b/>
          <w:spacing w:val="6"/>
          <w:sz w:val="32"/>
          <w:szCs w:val="32"/>
        </w:rPr>
      </w:pPr>
    </w:p>
    <w:p w14:paraId="22718DB8">
      <w:pPr>
        <w:autoSpaceDE w:val="0"/>
        <w:autoSpaceDN w:val="0"/>
        <w:jc w:val="center"/>
        <w:outlineLvl w:val="0"/>
        <w:rPr>
          <w:rFonts w:hint="eastAsia" w:ascii="宋体" w:hAnsi="宋体" w:eastAsia="宋体" w:cs="宋体"/>
          <w:b/>
          <w:spacing w:val="6"/>
          <w:sz w:val="32"/>
          <w:szCs w:val="32"/>
        </w:rPr>
      </w:pPr>
    </w:p>
    <w:p w14:paraId="69A4FAD5">
      <w:pPr>
        <w:autoSpaceDE w:val="0"/>
        <w:autoSpaceDN w:val="0"/>
        <w:jc w:val="center"/>
        <w:outlineLvl w:val="0"/>
        <w:rPr>
          <w:rFonts w:hint="eastAsia" w:ascii="宋体" w:hAnsi="宋体" w:eastAsia="宋体" w:cs="宋体"/>
          <w:lang w:eastAsia="zh-CN"/>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r>
        <w:rPr>
          <w:rFonts w:hint="eastAsia" w:ascii="宋体" w:hAnsi="宋体" w:cs="宋体"/>
          <w:b/>
          <w:bCs/>
          <w:sz w:val="32"/>
          <w:szCs w:val="32"/>
          <w:lang w:eastAsia="zh-CN"/>
        </w:rPr>
        <w:t>（</w:t>
      </w:r>
      <w:r>
        <w:rPr>
          <w:rFonts w:hint="eastAsia" w:ascii="宋体" w:hAnsi="宋体" w:cs="宋体"/>
          <w:b/>
          <w:bCs/>
          <w:sz w:val="32"/>
          <w:szCs w:val="32"/>
          <w:lang w:val="en-US" w:eastAsia="zh-CN"/>
        </w:rPr>
        <w:t>如有</w:t>
      </w:r>
      <w:r>
        <w:rPr>
          <w:rFonts w:hint="eastAsia" w:ascii="宋体" w:hAnsi="宋体" w:cs="宋体"/>
          <w:b/>
          <w:bCs/>
          <w:sz w:val="32"/>
          <w:szCs w:val="32"/>
          <w:lang w:eastAsia="zh-CN"/>
        </w:rPr>
        <w:t>）</w:t>
      </w:r>
    </w:p>
    <w:p w14:paraId="7FA91C82">
      <w:pPr>
        <w:spacing w:before="120" w:beforeLines="50" w:line="360" w:lineRule="auto"/>
        <w:rPr>
          <w:rFonts w:hint="eastAsia" w:ascii="宋体" w:hAnsi="宋体" w:eastAsia="宋体" w:cs="宋体"/>
          <w:color w:val="auto"/>
          <w:sz w:val="24"/>
        </w:rPr>
      </w:pPr>
      <w:r>
        <w:rPr>
          <w:rFonts w:hint="eastAsia" w:ascii="宋体" w:hAnsi="宋体" w:cs="宋体"/>
          <w:color w:val="auto"/>
          <w:sz w:val="24"/>
          <w:u w:val="single"/>
          <w:lang w:eastAsia="zh-CN"/>
        </w:rPr>
        <w:t>桐庐县卫生健康局</w:t>
      </w:r>
      <w:r>
        <w:rPr>
          <w:rFonts w:hint="eastAsia" w:ascii="宋体" w:hAnsi="宋体" w:eastAsia="宋体" w:cs="宋体"/>
          <w:color w:val="auto"/>
          <w:sz w:val="24"/>
          <w:u w:val="single"/>
        </w:rPr>
        <w:t>、杭州全咨项目管理有限公司：</w:t>
      </w:r>
    </w:p>
    <w:p w14:paraId="4744913F">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(供应商全称)是中华人民共和国依法登记注册的合法企业，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w:t>
      </w:r>
      <w:r>
        <w:rPr>
          <w:rFonts w:hint="eastAsia" w:ascii="宋体" w:hAnsi="宋体" w:cs="宋体"/>
          <w:sz w:val="24"/>
          <w:lang w:eastAsia="zh-CN"/>
        </w:rPr>
        <w:t>2025年度桐庐县计生系列保险服务项目</w:t>
      </w:r>
      <w:r>
        <w:rPr>
          <w:rFonts w:hint="eastAsia" w:ascii="宋体" w:hAnsi="宋体" w:eastAsia="宋体" w:cs="宋体"/>
          <w:sz w:val="24"/>
        </w:rPr>
        <w:t>【招标编</w:t>
      </w:r>
      <w:r>
        <w:rPr>
          <w:rFonts w:hint="eastAsia" w:ascii="宋体" w:hAnsi="宋体" w:eastAsia="宋体" w:cs="宋体"/>
          <w:bCs/>
          <w:sz w:val="24"/>
        </w:rPr>
        <w:t>号：</w:t>
      </w:r>
      <w:r>
        <w:rPr>
          <w:rFonts w:hint="eastAsia" w:ascii="宋体" w:hAnsi="宋体" w:cs="宋体"/>
          <w:bCs/>
          <w:sz w:val="24"/>
          <w:lang w:eastAsia="zh-CN"/>
        </w:rPr>
        <w:t>QZ23301222025002</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9432409">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60AB6E7E">
      <w:pPr>
        <w:spacing w:line="360" w:lineRule="auto"/>
        <w:ind w:firstLine="494"/>
        <w:rPr>
          <w:rFonts w:hint="eastAsia" w:ascii="宋体" w:hAnsi="宋体" w:eastAsia="宋体" w:cs="宋体"/>
          <w:sz w:val="24"/>
        </w:rPr>
      </w:pPr>
    </w:p>
    <w:p w14:paraId="3099BE9C">
      <w:pPr>
        <w:spacing w:line="360" w:lineRule="auto"/>
        <w:ind w:firstLine="494"/>
        <w:rPr>
          <w:rFonts w:hint="eastAsia" w:ascii="宋体" w:hAnsi="宋体" w:eastAsia="宋体" w:cs="宋体"/>
          <w:sz w:val="24"/>
        </w:rPr>
      </w:pPr>
    </w:p>
    <w:p w14:paraId="1434BDAE">
      <w:pPr>
        <w:spacing w:line="360" w:lineRule="auto"/>
        <w:ind w:firstLine="494"/>
        <w:rPr>
          <w:rFonts w:hint="eastAsia" w:ascii="宋体" w:hAnsi="宋体" w:eastAsia="宋体" w:cs="宋体"/>
          <w:sz w:val="24"/>
        </w:rPr>
      </w:pPr>
    </w:p>
    <w:p w14:paraId="4D01DCD5">
      <w:pPr>
        <w:spacing w:line="360" w:lineRule="auto"/>
        <w:ind w:firstLine="494"/>
        <w:rPr>
          <w:rFonts w:hint="eastAsia" w:ascii="宋体" w:hAnsi="宋体" w:eastAsia="宋体" w:cs="宋体"/>
          <w:sz w:val="24"/>
        </w:rPr>
      </w:pPr>
    </w:p>
    <w:p w14:paraId="556DD5E5">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410A216C">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59A1B7FE">
      <w:pPr>
        <w:rPr>
          <w:rFonts w:hint="eastAsia" w:ascii="宋体" w:hAnsi="宋体" w:eastAsia="宋体" w:cs="宋体"/>
          <w:sz w:val="24"/>
        </w:rPr>
      </w:pPr>
      <w:r>
        <w:rPr>
          <w:rFonts w:hint="eastAsia" w:ascii="宋体" w:hAnsi="宋体" w:eastAsia="宋体" w:cs="宋体"/>
          <w:b/>
          <w:bCs/>
          <w:sz w:val="24"/>
        </w:rPr>
        <w:t>附：</w:t>
      </w:r>
    </w:p>
    <w:p w14:paraId="30D99578">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0AF6C0B8">
      <w:pPr>
        <w:autoSpaceDE w:val="0"/>
        <w:autoSpaceDN w:val="0"/>
        <w:jc w:val="center"/>
        <w:rPr>
          <w:rFonts w:hint="eastAsia" w:ascii="宋体" w:hAnsi="宋体" w:eastAsia="宋体" w:cs="宋体"/>
          <w:b/>
          <w:spacing w:val="6"/>
          <w:sz w:val="32"/>
          <w:szCs w:val="32"/>
        </w:rPr>
      </w:pPr>
    </w:p>
    <w:p w14:paraId="060A9C6E">
      <w:pPr>
        <w:autoSpaceDE w:val="0"/>
        <w:autoSpaceDN w:val="0"/>
        <w:jc w:val="center"/>
        <w:rPr>
          <w:rFonts w:hint="eastAsia" w:ascii="宋体" w:hAnsi="宋体" w:eastAsia="宋体" w:cs="宋体"/>
          <w:b/>
          <w:spacing w:val="6"/>
          <w:sz w:val="32"/>
          <w:szCs w:val="32"/>
        </w:rPr>
      </w:pPr>
    </w:p>
    <w:p w14:paraId="61D5A8C3">
      <w:pPr>
        <w:autoSpaceDE w:val="0"/>
        <w:autoSpaceDN w:val="0"/>
        <w:jc w:val="center"/>
        <w:rPr>
          <w:rFonts w:hint="eastAsia" w:ascii="宋体" w:hAnsi="宋体" w:eastAsia="宋体" w:cs="宋体"/>
          <w:b/>
          <w:spacing w:val="6"/>
          <w:sz w:val="32"/>
          <w:szCs w:val="32"/>
        </w:rPr>
      </w:pPr>
    </w:p>
    <w:p w14:paraId="1DCFE1CC">
      <w:pPr>
        <w:autoSpaceDE w:val="0"/>
        <w:autoSpaceDN w:val="0"/>
        <w:jc w:val="center"/>
        <w:rPr>
          <w:rFonts w:hint="eastAsia" w:ascii="宋体" w:hAnsi="宋体" w:eastAsia="宋体" w:cs="宋体"/>
          <w:b/>
          <w:spacing w:val="6"/>
          <w:sz w:val="32"/>
          <w:szCs w:val="32"/>
        </w:rPr>
      </w:pPr>
    </w:p>
    <w:p w14:paraId="11E25B86">
      <w:pPr>
        <w:autoSpaceDE w:val="0"/>
        <w:autoSpaceDN w:val="0"/>
        <w:jc w:val="center"/>
        <w:rPr>
          <w:rFonts w:hint="eastAsia" w:ascii="宋体" w:hAnsi="宋体" w:eastAsia="宋体" w:cs="宋体"/>
          <w:b/>
          <w:spacing w:val="6"/>
          <w:sz w:val="32"/>
          <w:szCs w:val="32"/>
        </w:rPr>
      </w:pPr>
    </w:p>
    <w:p w14:paraId="14E55566">
      <w:pPr>
        <w:autoSpaceDE w:val="0"/>
        <w:autoSpaceDN w:val="0"/>
        <w:jc w:val="center"/>
        <w:rPr>
          <w:rFonts w:hint="eastAsia" w:ascii="宋体" w:hAnsi="宋体" w:eastAsia="宋体" w:cs="宋体"/>
          <w:b/>
          <w:spacing w:val="6"/>
          <w:sz w:val="32"/>
          <w:szCs w:val="32"/>
        </w:rPr>
      </w:pPr>
    </w:p>
    <w:p w14:paraId="5D2164D9">
      <w:pPr>
        <w:autoSpaceDE w:val="0"/>
        <w:autoSpaceDN w:val="0"/>
        <w:jc w:val="center"/>
        <w:rPr>
          <w:rFonts w:hint="eastAsia" w:ascii="宋体" w:hAnsi="宋体" w:eastAsia="宋体" w:cs="宋体"/>
          <w:b/>
          <w:spacing w:val="6"/>
          <w:sz w:val="32"/>
          <w:szCs w:val="32"/>
        </w:rPr>
      </w:pPr>
    </w:p>
    <w:p w14:paraId="37BD697F">
      <w:pPr>
        <w:autoSpaceDE w:val="0"/>
        <w:autoSpaceDN w:val="0"/>
        <w:jc w:val="center"/>
        <w:rPr>
          <w:rFonts w:hint="eastAsia" w:ascii="宋体" w:hAnsi="宋体" w:eastAsia="宋体" w:cs="宋体"/>
          <w:b/>
          <w:spacing w:val="6"/>
          <w:sz w:val="32"/>
          <w:szCs w:val="32"/>
        </w:rPr>
      </w:pPr>
    </w:p>
    <w:p w14:paraId="152C8844">
      <w:pPr>
        <w:autoSpaceDE w:val="0"/>
        <w:autoSpaceDN w:val="0"/>
        <w:jc w:val="center"/>
        <w:rPr>
          <w:rFonts w:hint="eastAsia" w:ascii="宋体" w:hAnsi="宋体" w:eastAsia="宋体" w:cs="宋体"/>
          <w:b/>
          <w:spacing w:val="6"/>
          <w:sz w:val="32"/>
          <w:szCs w:val="32"/>
        </w:rPr>
      </w:pPr>
    </w:p>
    <w:p w14:paraId="34AC8A7A">
      <w:pPr>
        <w:autoSpaceDE w:val="0"/>
        <w:autoSpaceDN w:val="0"/>
        <w:jc w:val="center"/>
        <w:rPr>
          <w:rFonts w:hint="eastAsia" w:ascii="宋体" w:hAnsi="宋体" w:eastAsia="宋体" w:cs="宋体"/>
          <w:b/>
          <w:spacing w:val="6"/>
          <w:sz w:val="32"/>
          <w:szCs w:val="32"/>
        </w:rPr>
      </w:pPr>
    </w:p>
    <w:p w14:paraId="7026DE14">
      <w:pPr>
        <w:autoSpaceDE w:val="0"/>
        <w:autoSpaceDN w:val="0"/>
        <w:jc w:val="center"/>
        <w:rPr>
          <w:rFonts w:hint="eastAsia" w:ascii="宋体" w:hAnsi="宋体" w:eastAsia="宋体" w:cs="宋体"/>
          <w:b/>
          <w:spacing w:val="6"/>
          <w:sz w:val="32"/>
          <w:szCs w:val="32"/>
        </w:rPr>
      </w:pPr>
    </w:p>
    <w:p w14:paraId="39B4274D">
      <w:pPr>
        <w:autoSpaceDE w:val="0"/>
        <w:autoSpaceDN w:val="0"/>
        <w:jc w:val="center"/>
        <w:rPr>
          <w:rFonts w:hint="eastAsia" w:ascii="宋体" w:hAnsi="宋体" w:eastAsia="宋体" w:cs="宋体"/>
          <w:b/>
          <w:spacing w:val="6"/>
          <w:sz w:val="32"/>
          <w:szCs w:val="32"/>
        </w:rPr>
      </w:pPr>
    </w:p>
    <w:p w14:paraId="7B8168D7">
      <w:pPr>
        <w:autoSpaceDE w:val="0"/>
        <w:autoSpaceDN w:val="0"/>
        <w:jc w:val="center"/>
        <w:rPr>
          <w:rFonts w:hint="eastAsia" w:ascii="宋体" w:hAnsi="宋体" w:eastAsia="宋体" w:cs="宋体"/>
          <w:b/>
          <w:spacing w:val="6"/>
          <w:sz w:val="32"/>
          <w:szCs w:val="32"/>
        </w:rPr>
      </w:pPr>
    </w:p>
    <w:p w14:paraId="64A81E91">
      <w:pPr>
        <w:spacing w:line="360" w:lineRule="auto"/>
        <w:jc w:val="both"/>
        <w:rPr>
          <w:rFonts w:hint="eastAsia" w:ascii="宋体" w:hAnsi="宋体" w:eastAsia="宋体" w:cs="宋体"/>
          <w:sz w:val="24"/>
          <w:u w:val="single"/>
        </w:rPr>
      </w:pPr>
    </w:p>
    <w:p w14:paraId="72C4EC42">
      <w:pPr>
        <w:spacing w:line="360" w:lineRule="auto"/>
        <w:ind w:right="420"/>
        <w:rPr>
          <w:rFonts w:hint="eastAsia" w:ascii="宋体" w:hAnsi="宋体" w:eastAsia="宋体" w:cs="宋体"/>
          <w:sz w:val="24"/>
        </w:rPr>
      </w:pPr>
    </w:p>
    <w:p w14:paraId="316ADCF9">
      <w:pPr>
        <w:pStyle w:val="26"/>
        <w:ind w:firstLine="0"/>
        <w:rPr>
          <w:rFonts w:hint="eastAsia" w:ascii="宋体" w:hAnsi="宋体" w:eastAsia="宋体" w:cs="宋体"/>
        </w:rPr>
        <w:sectPr>
          <w:headerReference r:id="rId12" w:type="first"/>
          <w:footerReference r:id="rId15" w:type="first"/>
          <w:headerReference r:id="rId11" w:type="default"/>
          <w:footerReference r:id="rId13" w:type="default"/>
          <w:footerReference r:id="rId14" w:type="even"/>
          <w:pgSz w:w="11906" w:h="16838"/>
          <w:pgMar w:top="1417" w:right="1474" w:bottom="1417" w:left="1474" w:header="851" w:footer="992" w:gutter="0"/>
          <w:pgNumType w:fmt="decimal"/>
          <w:cols w:space="720" w:num="1"/>
          <w:titlePg/>
          <w:docGrid w:linePitch="312" w:charSpace="0"/>
        </w:sectPr>
      </w:pPr>
    </w:p>
    <w:tbl>
      <w:tblPr>
        <w:tblStyle w:val="63"/>
        <w:tblpPr w:leftFromText="180" w:rightFromText="180" w:vertAnchor="text" w:horzAnchor="page" w:tblpX="870" w:tblpY="221"/>
        <w:tblOverlap w:val="never"/>
        <w:tblW w:w="15119" w:type="dxa"/>
        <w:tblInd w:w="0" w:type="dxa"/>
        <w:tblLayout w:type="fixed"/>
        <w:tblCellMar>
          <w:top w:w="0" w:type="dxa"/>
          <w:left w:w="108" w:type="dxa"/>
          <w:bottom w:w="0" w:type="dxa"/>
          <w:right w:w="108" w:type="dxa"/>
        </w:tblCellMar>
      </w:tblPr>
      <w:tblGrid>
        <w:gridCol w:w="1925"/>
        <w:gridCol w:w="1350"/>
        <w:gridCol w:w="2163"/>
        <w:gridCol w:w="1660"/>
        <w:gridCol w:w="1240"/>
        <w:gridCol w:w="1419"/>
        <w:gridCol w:w="1581"/>
        <w:gridCol w:w="1285"/>
        <w:gridCol w:w="1275"/>
        <w:gridCol w:w="1221"/>
      </w:tblGrid>
      <w:tr w14:paraId="08B636FA">
        <w:tblPrEx>
          <w:tblCellMar>
            <w:top w:w="0" w:type="dxa"/>
            <w:left w:w="108" w:type="dxa"/>
            <w:bottom w:w="0" w:type="dxa"/>
            <w:right w:w="108" w:type="dxa"/>
          </w:tblCellMar>
        </w:tblPrEx>
        <w:trPr>
          <w:trHeight w:val="90" w:hRule="atLeast"/>
        </w:trPr>
        <w:tc>
          <w:tcPr>
            <w:tcW w:w="15119" w:type="dxa"/>
            <w:gridSpan w:val="10"/>
            <w:tcBorders>
              <w:top w:val="nil"/>
              <w:left w:val="nil"/>
              <w:bottom w:val="nil"/>
              <w:right w:val="nil"/>
            </w:tcBorders>
            <w:noWrap/>
            <w:vAlign w:val="bottom"/>
          </w:tcPr>
          <w:p w14:paraId="5569B84B">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中小微行业划型标准规定（根据工信部联企业〔2011〕300号制定）</w:t>
            </w:r>
          </w:p>
        </w:tc>
      </w:tr>
      <w:tr w14:paraId="2990A780">
        <w:tblPrEx>
          <w:tblCellMar>
            <w:top w:w="0" w:type="dxa"/>
            <w:left w:w="108" w:type="dxa"/>
            <w:bottom w:w="0" w:type="dxa"/>
            <w:right w:w="108" w:type="dxa"/>
          </w:tblCellMar>
        </w:tblPrEx>
        <w:trPr>
          <w:trHeight w:val="294" w:hRule="atLeast"/>
        </w:trPr>
        <w:tc>
          <w:tcPr>
            <w:tcW w:w="1925" w:type="dxa"/>
            <w:vMerge w:val="restart"/>
            <w:tcBorders>
              <w:top w:val="single" w:color="auto" w:sz="8" w:space="0"/>
              <w:left w:val="single" w:color="auto" w:sz="8" w:space="0"/>
              <w:bottom w:val="single" w:color="000000" w:sz="4" w:space="0"/>
              <w:right w:val="single" w:color="auto" w:sz="8" w:space="0"/>
            </w:tcBorders>
            <w:noWrap/>
            <w:vAlign w:val="center"/>
          </w:tcPr>
          <w:p w14:paraId="69114992">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行业</w:t>
            </w:r>
          </w:p>
        </w:tc>
        <w:tc>
          <w:tcPr>
            <w:tcW w:w="5173" w:type="dxa"/>
            <w:gridSpan w:val="3"/>
            <w:tcBorders>
              <w:top w:val="single" w:color="auto" w:sz="8" w:space="0"/>
              <w:left w:val="nil"/>
              <w:bottom w:val="single" w:color="auto" w:sz="4" w:space="0"/>
              <w:right w:val="single" w:color="000000" w:sz="8" w:space="0"/>
            </w:tcBorders>
            <w:noWrap/>
            <w:vAlign w:val="bottom"/>
          </w:tcPr>
          <w:p w14:paraId="2CD4A32D">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中型企业</w:t>
            </w:r>
          </w:p>
        </w:tc>
        <w:tc>
          <w:tcPr>
            <w:tcW w:w="4240" w:type="dxa"/>
            <w:gridSpan w:val="3"/>
            <w:tcBorders>
              <w:top w:val="single" w:color="auto" w:sz="8" w:space="0"/>
              <w:left w:val="nil"/>
              <w:bottom w:val="single" w:color="auto" w:sz="4" w:space="0"/>
              <w:right w:val="single" w:color="000000" w:sz="8" w:space="0"/>
            </w:tcBorders>
            <w:noWrap/>
            <w:vAlign w:val="bottom"/>
          </w:tcPr>
          <w:p w14:paraId="7529C693">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小型企业</w:t>
            </w:r>
          </w:p>
        </w:tc>
        <w:tc>
          <w:tcPr>
            <w:tcW w:w="3781" w:type="dxa"/>
            <w:gridSpan w:val="3"/>
            <w:tcBorders>
              <w:top w:val="single" w:color="auto" w:sz="8" w:space="0"/>
              <w:left w:val="nil"/>
              <w:bottom w:val="single" w:color="auto" w:sz="4" w:space="0"/>
              <w:right w:val="single" w:color="000000" w:sz="8" w:space="0"/>
            </w:tcBorders>
            <w:noWrap/>
            <w:vAlign w:val="bottom"/>
          </w:tcPr>
          <w:p w14:paraId="4FFDDA95">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微型企业</w:t>
            </w:r>
          </w:p>
        </w:tc>
      </w:tr>
      <w:tr w14:paraId="07FBB5EC">
        <w:tblPrEx>
          <w:tblCellMar>
            <w:top w:w="0" w:type="dxa"/>
            <w:left w:w="108" w:type="dxa"/>
            <w:bottom w:w="0" w:type="dxa"/>
            <w:right w:w="108" w:type="dxa"/>
          </w:tblCellMar>
        </w:tblPrEx>
        <w:trPr>
          <w:trHeight w:val="663" w:hRule="atLeast"/>
        </w:trPr>
        <w:tc>
          <w:tcPr>
            <w:tcW w:w="1925" w:type="dxa"/>
            <w:vMerge w:val="continue"/>
            <w:tcBorders>
              <w:top w:val="single" w:color="auto" w:sz="8" w:space="0"/>
              <w:left w:val="single" w:color="auto" w:sz="8" w:space="0"/>
              <w:bottom w:val="single" w:color="000000" w:sz="4" w:space="0"/>
              <w:right w:val="single" w:color="auto" w:sz="8" w:space="0"/>
            </w:tcBorders>
            <w:noWrap/>
            <w:vAlign w:val="center"/>
          </w:tcPr>
          <w:p w14:paraId="612911BA">
            <w:pPr>
              <w:widowControl/>
              <w:jc w:val="left"/>
              <w:rPr>
                <w:rFonts w:hint="eastAsia" w:ascii="宋体" w:hAnsi="宋体" w:eastAsia="宋体" w:cs="宋体"/>
                <w:b/>
                <w:bCs/>
                <w:kern w:val="0"/>
                <w:sz w:val="18"/>
                <w:szCs w:val="18"/>
              </w:rPr>
            </w:pPr>
          </w:p>
        </w:tc>
        <w:tc>
          <w:tcPr>
            <w:tcW w:w="1350" w:type="dxa"/>
            <w:tcBorders>
              <w:top w:val="nil"/>
              <w:left w:val="nil"/>
              <w:bottom w:val="single" w:color="auto" w:sz="4" w:space="0"/>
              <w:right w:val="single" w:color="auto" w:sz="4" w:space="0"/>
            </w:tcBorders>
            <w:noWrap/>
            <w:vAlign w:val="bottom"/>
          </w:tcPr>
          <w:p w14:paraId="6E711F5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从业人员X（人）</w:t>
            </w:r>
          </w:p>
        </w:tc>
        <w:tc>
          <w:tcPr>
            <w:tcW w:w="2163" w:type="dxa"/>
            <w:tcBorders>
              <w:top w:val="nil"/>
              <w:left w:val="nil"/>
              <w:bottom w:val="single" w:color="auto" w:sz="4" w:space="0"/>
              <w:right w:val="single" w:color="auto" w:sz="4" w:space="0"/>
            </w:tcBorders>
            <w:noWrap/>
            <w:vAlign w:val="bottom"/>
          </w:tcPr>
          <w:p w14:paraId="6B805EE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p w14:paraId="1474A5D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660" w:type="dxa"/>
            <w:tcBorders>
              <w:top w:val="nil"/>
              <w:left w:val="nil"/>
              <w:bottom w:val="single" w:color="auto" w:sz="4" w:space="0"/>
              <w:right w:val="single" w:color="auto" w:sz="8" w:space="0"/>
            </w:tcBorders>
            <w:noWrap/>
            <w:vAlign w:val="bottom"/>
          </w:tcPr>
          <w:p w14:paraId="1EA4D6A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p w14:paraId="48598F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240" w:type="dxa"/>
            <w:tcBorders>
              <w:top w:val="nil"/>
              <w:left w:val="nil"/>
              <w:bottom w:val="single" w:color="auto" w:sz="4" w:space="0"/>
              <w:right w:val="single" w:color="auto" w:sz="4" w:space="0"/>
            </w:tcBorders>
            <w:noWrap/>
            <w:vAlign w:val="bottom"/>
          </w:tcPr>
          <w:p w14:paraId="152663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从业人员X（人）</w:t>
            </w:r>
          </w:p>
        </w:tc>
        <w:tc>
          <w:tcPr>
            <w:tcW w:w="1419" w:type="dxa"/>
            <w:tcBorders>
              <w:top w:val="nil"/>
              <w:left w:val="nil"/>
              <w:bottom w:val="single" w:color="auto" w:sz="4" w:space="0"/>
              <w:right w:val="single" w:color="auto" w:sz="4" w:space="0"/>
            </w:tcBorders>
            <w:noWrap/>
            <w:vAlign w:val="bottom"/>
          </w:tcPr>
          <w:p w14:paraId="05D3994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营业收入Y</w:t>
            </w:r>
          </w:p>
          <w:p w14:paraId="65C2EA4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581" w:type="dxa"/>
            <w:tcBorders>
              <w:top w:val="nil"/>
              <w:left w:val="nil"/>
              <w:bottom w:val="single" w:color="auto" w:sz="4" w:space="0"/>
              <w:right w:val="single" w:color="auto" w:sz="8" w:space="0"/>
            </w:tcBorders>
            <w:noWrap/>
            <w:vAlign w:val="bottom"/>
          </w:tcPr>
          <w:p w14:paraId="59D1945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资产总额Z</w:t>
            </w:r>
          </w:p>
          <w:p w14:paraId="4253D8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（万元）</w:t>
            </w:r>
          </w:p>
        </w:tc>
        <w:tc>
          <w:tcPr>
            <w:tcW w:w="1285" w:type="dxa"/>
            <w:tcBorders>
              <w:top w:val="nil"/>
              <w:left w:val="nil"/>
              <w:bottom w:val="single" w:color="auto" w:sz="4" w:space="0"/>
              <w:right w:val="single" w:color="auto" w:sz="4" w:space="0"/>
            </w:tcBorders>
            <w:noWrap/>
            <w:vAlign w:val="bottom"/>
          </w:tcPr>
          <w:p w14:paraId="693A93C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从业人员X（人）</w:t>
            </w:r>
          </w:p>
        </w:tc>
        <w:tc>
          <w:tcPr>
            <w:tcW w:w="1275" w:type="dxa"/>
            <w:tcBorders>
              <w:top w:val="nil"/>
              <w:left w:val="nil"/>
              <w:bottom w:val="single" w:color="auto" w:sz="4" w:space="0"/>
              <w:right w:val="single" w:color="auto" w:sz="4" w:space="0"/>
            </w:tcBorders>
            <w:noWrap/>
            <w:vAlign w:val="bottom"/>
          </w:tcPr>
          <w:p w14:paraId="2AAE51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营业收入Y（万元）</w:t>
            </w:r>
          </w:p>
        </w:tc>
        <w:tc>
          <w:tcPr>
            <w:tcW w:w="1221" w:type="dxa"/>
            <w:tcBorders>
              <w:top w:val="nil"/>
              <w:left w:val="nil"/>
              <w:bottom w:val="single" w:color="auto" w:sz="4" w:space="0"/>
              <w:right w:val="single" w:color="auto" w:sz="8" w:space="0"/>
            </w:tcBorders>
            <w:noWrap/>
            <w:vAlign w:val="bottom"/>
          </w:tcPr>
          <w:p w14:paraId="64C7383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资产总额Z（万元）</w:t>
            </w:r>
          </w:p>
        </w:tc>
      </w:tr>
      <w:tr w14:paraId="1F3FE3DD">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1B95309B">
            <w:pPr>
              <w:widowControl/>
              <w:rPr>
                <w:rFonts w:hint="eastAsia" w:ascii="宋体" w:hAnsi="宋体" w:eastAsia="宋体" w:cs="宋体"/>
                <w:kern w:val="0"/>
                <w:sz w:val="18"/>
                <w:szCs w:val="18"/>
              </w:rPr>
            </w:pPr>
            <w:r>
              <w:rPr>
                <w:rFonts w:hint="eastAsia" w:ascii="宋体" w:hAnsi="宋体" w:eastAsia="宋体" w:cs="宋体"/>
                <w:kern w:val="0"/>
                <w:sz w:val="18"/>
                <w:szCs w:val="18"/>
              </w:rPr>
              <w:t>1、农林牧渔业</w:t>
            </w:r>
          </w:p>
        </w:tc>
        <w:tc>
          <w:tcPr>
            <w:tcW w:w="1350" w:type="dxa"/>
            <w:tcBorders>
              <w:top w:val="nil"/>
              <w:left w:val="nil"/>
              <w:bottom w:val="single" w:color="auto" w:sz="4" w:space="0"/>
              <w:right w:val="single" w:color="auto" w:sz="4" w:space="0"/>
            </w:tcBorders>
            <w:noWrap/>
            <w:vAlign w:val="bottom"/>
          </w:tcPr>
          <w:p w14:paraId="747C9C4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163" w:type="dxa"/>
            <w:tcBorders>
              <w:top w:val="nil"/>
              <w:left w:val="nil"/>
              <w:bottom w:val="single" w:color="auto" w:sz="4" w:space="0"/>
              <w:right w:val="single" w:color="auto" w:sz="4" w:space="0"/>
            </w:tcBorders>
            <w:noWrap/>
            <w:vAlign w:val="bottom"/>
          </w:tcPr>
          <w:p w14:paraId="099FB2E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500≤Y＜20000</w:t>
            </w:r>
          </w:p>
        </w:tc>
        <w:tc>
          <w:tcPr>
            <w:tcW w:w="1660" w:type="dxa"/>
            <w:tcBorders>
              <w:top w:val="nil"/>
              <w:left w:val="nil"/>
              <w:bottom w:val="single" w:color="auto" w:sz="4" w:space="0"/>
              <w:right w:val="single" w:color="auto" w:sz="8" w:space="0"/>
            </w:tcBorders>
            <w:noWrap/>
            <w:vAlign w:val="bottom"/>
          </w:tcPr>
          <w:p w14:paraId="6DF6EBE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71D028E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19" w:type="dxa"/>
            <w:tcBorders>
              <w:top w:val="nil"/>
              <w:left w:val="nil"/>
              <w:bottom w:val="single" w:color="auto" w:sz="4" w:space="0"/>
              <w:right w:val="single" w:color="auto" w:sz="4" w:space="0"/>
            </w:tcBorders>
            <w:noWrap/>
            <w:vAlign w:val="bottom"/>
          </w:tcPr>
          <w:p w14:paraId="240A545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50≤Y＜500</w:t>
            </w:r>
          </w:p>
        </w:tc>
        <w:tc>
          <w:tcPr>
            <w:tcW w:w="1581" w:type="dxa"/>
            <w:tcBorders>
              <w:top w:val="nil"/>
              <w:left w:val="nil"/>
              <w:bottom w:val="single" w:color="auto" w:sz="4" w:space="0"/>
              <w:right w:val="single" w:color="auto" w:sz="8" w:space="0"/>
            </w:tcBorders>
            <w:noWrap/>
            <w:vAlign w:val="bottom"/>
          </w:tcPr>
          <w:p w14:paraId="411EFF6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1BD8C3F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noWrap/>
            <w:vAlign w:val="bottom"/>
          </w:tcPr>
          <w:p w14:paraId="007FB3B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c>
          <w:tcPr>
            <w:tcW w:w="1221" w:type="dxa"/>
            <w:tcBorders>
              <w:top w:val="nil"/>
              <w:left w:val="nil"/>
              <w:bottom w:val="single" w:color="auto" w:sz="4" w:space="0"/>
              <w:right w:val="single" w:color="auto" w:sz="8" w:space="0"/>
            </w:tcBorders>
            <w:noWrap/>
            <w:vAlign w:val="bottom"/>
          </w:tcPr>
          <w:p w14:paraId="79850D2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18FB1451">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1FB6EAA2">
            <w:pPr>
              <w:widowControl/>
              <w:rPr>
                <w:rFonts w:hint="eastAsia" w:ascii="宋体" w:hAnsi="宋体" w:eastAsia="宋体" w:cs="宋体"/>
                <w:kern w:val="0"/>
                <w:sz w:val="18"/>
                <w:szCs w:val="18"/>
              </w:rPr>
            </w:pPr>
            <w:r>
              <w:rPr>
                <w:rFonts w:hint="eastAsia" w:ascii="宋体" w:hAnsi="宋体" w:eastAsia="宋体" w:cs="宋体"/>
                <w:kern w:val="0"/>
                <w:sz w:val="18"/>
                <w:szCs w:val="18"/>
              </w:rPr>
              <w:t>2、工业</w:t>
            </w:r>
          </w:p>
        </w:tc>
        <w:tc>
          <w:tcPr>
            <w:tcW w:w="1350" w:type="dxa"/>
            <w:tcBorders>
              <w:top w:val="nil"/>
              <w:left w:val="nil"/>
              <w:bottom w:val="single" w:color="auto" w:sz="4" w:space="0"/>
              <w:right w:val="single" w:color="auto" w:sz="4" w:space="0"/>
            </w:tcBorders>
            <w:noWrap/>
            <w:vAlign w:val="bottom"/>
          </w:tcPr>
          <w:p w14:paraId="513C4C9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1379ADD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2000≤Y＜40000</w:t>
            </w:r>
          </w:p>
        </w:tc>
        <w:tc>
          <w:tcPr>
            <w:tcW w:w="1660" w:type="dxa"/>
            <w:tcBorders>
              <w:top w:val="nil"/>
              <w:left w:val="nil"/>
              <w:bottom w:val="single" w:color="auto" w:sz="4" w:space="0"/>
              <w:right w:val="single" w:color="auto" w:sz="8" w:space="0"/>
            </w:tcBorders>
            <w:noWrap/>
            <w:vAlign w:val="bottom"/>
          </w:tcPr>
          <w:p w14:paraId="10DBDA4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2568F97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419" w:type="dxa"/>
            <w:tcBorders>
              <w:top w:val="nil"/>
              <w:left w:val="nil"/>
              <w:bottom w:val="single" w:color="auto" w:sz="4" w:space="0"/>
              <w:right w:val="single" w:color="auto" w:sz="4" w:space="0"/>
            </w:tcBorders>
            <w:noWrap/>
            <w:vAlign w:val="bottom"/>
          </w:tcPr>
          <w:p w14:paraId="57FCB81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300≤Y＜2000</w:t>
            </w:r>
          </w:p>
        </w:tc>
        <w:tc>
          <w:tcPr>
            <w:tcW w:w="1581" w:type="dxa"/>
            <w:tcBorders>
              <w:top w:val="nil"/>
              <w:left w:val="nil"/>
              <w:bottom w:val="single" w:color="auto" w:sz="4" w:space="0"/>
              <w:right w:val="single" w:color="auto" w:sz="8" w:space="0"/>
            </w:tcBorders>
            <w:noWrap/>
            <w:vAlign w:val="bottom"/>
          </w:tcPr>
          <w:p w14:paraId="4DBF5F1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3D1402F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669F1ED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c>
          <w:tcPr>
            <w:tcW w:w="1221" w:type="dxa"/>
            <w:tcBorders>
              <w:top w:val="nil"/>
              <w:left w:val="nil"/>
              <w:bottom w:val="single" w:color="auto" w:sz="4" w:space="0"/>
              <w:right w:val="single" w:color="auto" w:sz="8" w:space="0"/>
            </w:tcBorders>
            <w:noWrap/>
            <w:vAlign w:val="bottom"/>
          </w:tcPr>
          <w:p w14:paraId="6EBB22A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132D51B1">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1F5DFBA2">
            <w:pPr>
              <w:widowControl/>
              <w:rPr>
                <w:rFonts w:hint="eastAsia" w:ascii="宋体" w:hAnsi="宋体" w:eastAsia="宋体" w:cs="宋体"/>
                <w:kern w:val="0"/>
                <w:sz w:val="18"/>
                <w:szCs w:val="18"/>
              </w:rPr>
            </w:pPr>
            <w:r>
              <w:rPr>
                <w:rFonts w:hint="eastAsia" w:ascii="宋体" w:hAnsi="宋体" w:eastAsia="宋体" w:cs="宋体"/>
                <w:kern w:val="0"/>
                <w:sz w:val="18"/>
                <w:szCs w:val="18"/>
              </w:rPr>
              <w:t>3、建筑业</w:t>
            </w:r>
          </w:p>
        </w:tc>
        <w:tc>
          <w:tcPr>
            <w:tcW w:w="1350" w:type="dxa"/>
            <w:tcBorders>
              <w:top w:val="nil"/>
              <w:left w:val="nil"/>
              <w:bottom w:val="single" w:color="auto" w:sz="4" w:space="0"/>
              <w:right w:val="single" w:color="auto" w:sz="4" w:space="0"/>
            </w:tcBorders>
            <w:noWrap/>
            <w:vAlign w:val="bottom"/>
          </w:tcPr>
          <w:p w14:paraId="239F858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163" w:type="dxa"/>
            <w:tcBorders>
              <w:top w:val="nil"/>
              <w:left w:val="nil"/>
              <w:bottom w:val="single" w:color="auto" w:sz="4" w:space="0"/>
              <w:right w:val="single" w:color="auto" w:sz="4" w:space="0"/>
            </w:tcBorders>
            <w:noWrap/>
            <w:vAlign w:val="bottom"/>
          </w:tcPr>
          <w:p w14:paraId="142DE34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6000≤Y＜80000</w:t>
            </w:r>
          </w:p>
        </w:tc>
        <w:tc>
          <w:tcPr>
            <w:tcW w:w="1660" w:type="dxa"/>
            <w:tcBorders>
              <w:top w:val="nil"/>
              <w:left w:val="nil"/>
              <w:bottom w:val="single" w:color="auto" w:sz="4" w:space="0"/>
              <w:right w:val="single" w:color="auto" w:sz="8" w:space="0"/>
            </w:tcBorders>
            <w:noWrap/>
            <w:vAlign w:val="bottom"/>
          </w:tcPr>
          <w:p w14:paraId="298727B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5000≤Z＜80000</w:t>
            </w:r>
          </w:p>
        </w:tc>
        <w:tc>
          <w:tcPr>
            <w:tcW w:w="1240" w:type="dxa"/>
            <w:tcBorders>
              <w:top w:val="nil"/>
              <w:left w:val="nil"/>
              <w:bottom w:val="single" w:color="auto" w:sz="4" w:space="0"/>
              <w:right w:val="single" w:color="auto" w:sz="4" w:space="0"/>
            </w:tcBorders>
            <w:noWrap/>
            <w:vAlign w:val="bottom"/>
          </w:tcPr>
          <w:p w14:paraId="2EB7037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19" w:type="dxa"/>
            <w:tcBorders>
              <w:top w:val="nil"/>
              <w:left w:val="nil"/>
              <w:bottom w:val="single" w:color="auto" w:sz="4" w:space="0"/>
              <w:right w:val="single" w:color="auto" w:sz="4" w:space="0"/>
            </w:tcBorders>
            <w:noWrap/>
            <w:vAlign w:val="bottom"/>
          </w:tcPr>
          <w:p w14:paraId="437FB0E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300≤Y＜6000</w:t>
            </w:r>
          </w:p>
        </w:tc>
        <w:tc>
          <w:tcPr>
            <w:tcW w:w="1581" w:type="dxa"/>
            <w:tcBorders>
              <w:top w:val="nil"/>
              <w:left w:val="nil"/>
              <w:bottom w:val="single" w:color="auto" w:sz="4" w:space="0"/>
              <w:right w:val="single" w:color="auto" w:sz="8" w:space="0"/>
            </w:tcBorders>
            <w:noWrap/>
            <w:vAlign w:val="bottom"/>
          </w:tcPr>
          <w:p w14:paraId="0777B50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300≤Z＜5000</w:t>
            </w:r>
          </w:p>
        </w:tc>
        <w:tc>
          <w:tcPr>
            <w:tcW w:w="1285" w:type="dxa"/>
            <w:tcBorders>
              <w:top w:val="nil"/>
              <w:left w:val="nil"/>
              <w:bottom w:val="single" w:color="auto" w:sz="4" w:space="0"/>
              <w:right w:val="single" w:color="auto" w:sz="4" w:space="0"/>
            </w:tcBorders>
            <w:noWrap/>
            <w:vAlign w:val="bottom"/>
          </w:tcPr>
          <w:p w14:paraId="0452AD1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noWrap/>
            <w:vAlign w:val="bottom"/>
          </w:tcPr>
          <w:p w14:paraId="0B96CAC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Y＜300</w:t>
            </w:r>
          </w:p>
        </w:tc>
        <w:tc>
          <w:tcPr>
            <w:tcW w:w="1221" w:type="dxa"/>
            <w:tcBorders>
              <w:top w:val="nil"/>
              <w:left w:val="nil"/>
              <w:bottom w:val="single" w:color="auto" w:sz="4" w:space="0"/>
              <w:right w:val="single" w:color="auto" w:sz="8" w:space="0"/>
            </w:tcBorders>
            <w:noWrap/>
            <w:vAlign w:val="bottom"/>
          </w:tcPr>
          <w:p w14:paraId="0CC11CC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Z＜300</w:t>
            </w:r>
          </w:p>
        </w:tc>
      </w:tr>
      <w:tr w14:paraId="109AA8DD">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56C05E14">
            <w:pPr>
              <w:widowControl/>
              <w:rPr>
                <w:rFonts w:hint="eastAsia" w:ascii="宋体" w:hAnsi="宋体" w:eastAsia="宋体" w:cs="宋体"/>
                <w:kern w:val="0"/>
                <w:sz w:val="18"/>
                <w:szCs w:val="18"/>
              </w:rPr>
            </w:pPr>
            <w:r>
              <w:rPr>
                <w:rFonts w:hint="eastAsia" w:ascii="宋体" w:hAnsi="宋体" w:eastAsia="宋体" w:cs="宋体"/>
                <w:kern w:val="0"/>
                <w:sz w:val="18"/>
                <w:szCs w:val="18"/>
              </w:rPr>
              <w:t>4、批发业</w:t>
            </w:r>
          </w:p>
        </w:tc>
        <w:tc>
          <w:tcPr>
            <w:tcW w:w="1350" w:type="dxa"/>
            <w:tcBorders>
              <w:top w:val="nil"/>
              <w:left w:val="nil"/>
              <w:bottom w:val="single" w:color="auto" w:sz="4" w:space="0"/>
              <w:right w:val="single" w:color="auto" w:sz="4" w:space="0"/>
            </w:tcBorders>
            <w:noWrap/>
            <w:vAlign w:val="bottom"/>
          </w:tcPr>
          <w:p w14:paraId="1003AA4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20≤X＜200</w:t>
            </w:r>
          </w:p>
        </w:tc>
        <w:tc>
          <w:tcPr>
            <w:tcW w:w="2163" w:type="dxa"/>
            <w:tcBorders>
              <w:top w:val="nil"/>
              <w:left w:val="nil"/>
              <w:bottom w:val="single" w:color="auto" w:sz="4" w:space="0"/>
              <w:right w:val="single" w:color="auto" w:sz="4" w:space="0"/>
            </w:tcBorders>
            <w:noWrap/>
            <w:vAlign w:val="bottom"/>
          </w:tcPr>
          <w:p w14:paraId="2AB9755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5000≤Y＜40000</w:t>
            </w:r>
          </w:p>
        </w:tc>
        <w:tc>
          <w:tcPr>
            <w:tcW w:w="1660" w:type="dxa"/>
            <w:tcBorders>
              <w:top w:val="nil"/>
              <w:left w:val="nil"/>
              <w:bottom w:val="single" w:color="auto" w:sz="4" w:space="0"/>
              <w:right w:val="single" w:color="auto" w:sz="8" w:space="0"/>
            </w:tcBorders>
            <w:noWrap/>
            <w:vAlign w:val="bottom"/>
          </w:tcPr>
          <w:p w14:paraId="356625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587CD4A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5≤X＜20</w:t>
            </w:r>
          </w:p>
        </w:tc>
        <w:tc>
          <w:tcPr>
            <w:tcW w:w="1419" w:type="dxa"/>
            <w:tcBorders>
              <w:top w:val="nil"/>
              <w:left w:val="nil"/>
              <w:bottom w:val="single" w:color="auto" w:sz="4" w:space="0"/>
              <w:right w:val="single" w:color="auto" w:sz="4" w:space="0"/>
            </w:tcBorders>
            <w:noWrap/>
            <w:vAlign w:val="bottom"/>
          </w:tcPr>
          <w:p w14:paraId="2E07A2B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581" w:type="dxa"/>
            <w:tcBorders>
              <w:top w:val="nil"/>
              <w:left w:val="nil"/>
              <w:bottom w:val="single" w:color="auto" w:sz="4" w:space="0"/>
              <w:right w:val="single" w:color="auto" w:sz="8" w:space="0"/>
            </w:tcBorders>
            <w:noWrap/>
            <w:vAlign w:val="bottom"/>
          </w:tcPr>
          <w:p w14:paraId="3E4B30E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75F7CDE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X＜5</w:t>
            </w:r>
          </w:p>
        </w:tc>
        <w:tc>
          <w:tcPr>
            <w:tcW w:w="1275" w:type="dxa"/>
            <w:tcBorders>
              <w:top w:val="nil"/>
              <w:left w:val="nil"/>
              <w:bottom w:val="single" w:color="auto" w:sz="4" w:space="0"/>
              <w:right w:val="single" w:color="auto" w:sz="4" w:space="0"/>
            </w:tcBorders>
            <w:noWrap/>
            <w:vAlign w:val="bottom"/>
          </w:tcPr>
          <w:p w14:paraId="36F6C4B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Y＜1000</w:t>
            </w:r>
          </w:p>
        </w:tc>
        <w:tc>
          <w:tcPr>
            <w:tcW w:w="1221" w:type="dxa"/>
            <w:tcBorders>
              <w:top w:val="nil"/>
              <w:left w:val="nil"/>
              <w:bottom w:val="single" w:color="auto" w:sz="4" w:space="0"/>
              <w:right w:val="single" w:color="auto" w:sz="8" w:space="0"/>
            </w:tcBorders>
            <w:noWrap/>
            <w:vAlign w:val="bottom"/>
          </w:tcPr>
          <w:p w14:paraId="466822B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0E9D272">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331CB2BC">
            <w:pPr>
              <w:widowControl/>
              <w:rPr>
                <w:rFonts w:hint="eastAsia" w:ascii="宋体" w:hAnsi="宋体" w:eastAsia="宋体" w:cs="宋体"/>
                <w:kern w:val="0"/>
                <w:sz w:val="18"/>
                <w:szCs w:val="18"/>
              </w:rPr>
            </w:pPr>
            <w:r>
              <w:rPr>
                <w:rFonts w:hint="eastAsia" w:ascii="宋体" w:hAnsi="宋体" w:eastAsia="宋体" w:cs="宋体"/>
                <w:kern w:val="0"/>
                <w:sz w:val="18"/>
                <w:szCs w:val="18"/>
              </w:rPr>
              <w:t>5、零售业</w:t>
            </w:r>
          </w:p>
        </w:tc>
        <w:tc>
          <w:tcPr>
            <w:tcW w:w="1350" w:type="dxa"/>
            <w:tcBorders>
              <w:top w:val="nil"/>
              <w:left w:val="nil"/>
              <w:bottom w:val="single" w:color="auto" w:sz="4" w:space="0"/>
              <w:right w:val="single" w:color="auto" w:sz="4" w:space="0"/>
            </w:tcBorders>
            <w:noWrap/>
            <w:vAlign w:val="bottom"/>
          </w:tcPr>
          <w:p w14:paraId="7C1B731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50≤X＜300</w:t>
            </w:r>
          </w:p>
        </w:tc>
        <w:tc>
          <w:tcPr>
            <w:tcW w:w="2163" w:type="dxa"/>
            <w:tcBorders>
              <w:top w:val="nil"/>
              <w:left w:val="nil"/>
              <w:bottom w:val="single" w:color="auto" w:sz="4" w:space="0"/>
              <w:right w:val="single" w:color="auto" w:sz="4" w:space="0"/>
            </w:tcBorders>
            <w:noWrap/>
            <w:vAlign w:val="bottom"/>
          </w:tcPr>
          <w:p w14:paraId="59EAB05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500≤Y＜20000</w:t>
            </w:r>
          </w:p>
        </w:tc>
        <w:tc>
          <w:tcPr>
            <w:tcW w:w="1660" w:type="dxa"/>
            <w:tcBorders>
              <w:top w:val="nil"/>
              <w:left w:val="nil"/>
              <w:bottom w:val="single" w:color="auto" w:sz="4" w:space="0"/>
              <w:right w:val="single" w:color="auto" w:sz="8" w:space="0"/>
            </w:tcBorders>
            <w:noWrap/>
            <w:vAlign w:val="bottom"/>
          </w:tcPr>
          <w:p w14:paraId="5366D5EC">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cs="宋体"/>
                <w:kern w:val="0"/>
                <w:sz w:val="18"/>
                <w:szCs w:val="18"/>
                <w:lang w:val="en-US" w:eastAsia="zh-CN"/>
              </w:rPr>
              <w:t xml:space="preserve"> </w:t>
            </w:r>
          </w:p>
        </w:tc>
        <w:tc>
          <w:tcPr>
            <w:tcW w:w="1240" w:type="dxa"/>
            <w:tcBorders>
              <w:top w:val="nil"/>
              <w:left w:val="nil"/>
              <w:bottom w:val="single" w:color="auto" w:sz="4" w:space="0"/>
              <w:right w:val="single" w:color="auto" w:sz="4" w:space="0"/>
            </w:tcBorders>
            <w:noWrap/>
            <w:vAlign w:val="bottom"/>
          </w:tcPr>
          <w:p w14:paraId="2A3276A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10≤X＜50</w:t>
            </w:r>
          </w:p>
        </w:tc>
        <w:tc>
          <w:tcPr>
            <w:tcW w:w="1419" w:type="dxa"/>
            <w:tcBorders>
              <w:top w:val="nil"/>
              <w:left w:val="nil"/>
              <w:bottom w:val="single" w:color="auto" w:sz="4" w:space="0"/>
              <w:right w:val="single" w:color="auto" w:sz="4" w:space="0"/>
            </w:tcBorders>
            <w:noWrap/>
            <w:vAlign w:val="bottom"/>
          </w:tcPr>
          <w:p w14:paraId="65A7938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100≤Y＜500</w:t>
            </w:r>
          </w:p>
        </w:tc>
        <w:tc>
          <w:tcPr>
            <w:tcW w:w="1581" w:type="dxa"/>
            <w:tcBorders>
              <w:top w:val="nil"/>
              <w:left w:val="nil"/>
              <w:bottom w:val="single" w:color="auto" w:sz="4" w:space="0"/>
              <w:right w:val="single" w:color="auto" w:sz="8" w:space="0"/>
            </w:tcBorders>
            <w:noWrap/>
            <w:vAlign w:val="bottom"/>
          </w:tcPr>
          <w:p w14:paraId="5C06E95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50C3382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42CC7DC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45C32E4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4A6D8C68">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35522973">
            <w:pPr>
              <w:widowControl/>
              <w:rPr>
                <w:rFonts w:hint="eastAsia" w:ascii="宋体" w:hAnsi="宋体" w:eastAsia="宋体" w:cs="宋体"/>
                <w:kern w:val="0"/>
                <w:sz w:val="18"/>
                <w:szCs w:val="18"/>
              </w:rPr>
            </w:pPr>
            <w:r>
              <w:rPr>
                <w:rFonts w:hint="eastAsia" w:ascii="宋体" w:hAnsi="宋体" w:eastAsia="宋体" w:cs="宋体"/>
                <w:kern w:val="0"/>
                <w:sz w:val="18"/>
                <w:szCs w:val="18"/>
              </w:rPr>
              <w:t>6、交通运输业</w:t>
            </w:r>
          </w:p>
        </w:tc>
        <w:tc>
          <w:tcPr>
            <w:tcW w:w="1350" w:type="dxa"/>
            <w:tcBorders>
              <w:top w:val="nil"/>
              <w:left w:val="nil"/>
              <w:bottom w:val="single" w:color="auto" w:sz="4" w:space="0"/>
              <w:right w:val="single" w:color="auto" w:sz="4" w:space="0"/>
            </w:tcBorders>
            <w:noWrap/>
            <w:vAlign w:val="bottom"/>
          </w:tcPr>
          <w:p w14:paraId="40C571F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75D449E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3000≤Y＜30000</w:t>
            </w:r>
          </w:p>
        </w:tc>
        <w:tc>
          <w:tcPr>
            <w:tcW w:w="1660" w:type="dxa"/>
            <w:tcBorders>
              <w:top w:val="nil"/>
              <w:left w:val="nil"/>
              <w:bottom w:val="single" w:color="auto" w:sz="4" w:space="0"/>
              <w:right w:val="single" w:color="auto" w:sz="8" w:space="0"/>
            </w:tcBorders>
            <w:noWrap/>
            <w:vAlign w:val="bottom"/>
          </w:tcPr>
          <w:p w14:paraId="76322B8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43E825B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419" w:type="dxa"/>
            <w:tcBorders>
              <w:top w:val="nil"/>
              <w:left w:val="nil"/>
              <w:bottom w:val="single" w:color="auto" w:sz="4" w:space="0"/>
              <w:right w:val="single" w:color="auto" w:sz="4" w:space="0"/>
            </w:tcBorders>
            <w:noWrap/>
            <w:vAlign w:val="bottom"/>
          </w:tcPr>
          <w:p w14:paraId="3244111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200≤Y＜3000</w:t>
            </w:r>
          </w:p>
        </w:tc>
        <w:tc>
          <w:tcPr>
            <w:tcW w:w="1581" w:type="dxa"/>
            <w:tcBorders>
              <w:top w:val="nil"/>
              <w:left w:val="nil"/>
              <w:bottom w:val="single" w:color="auto" w:sz="4" w:space="0"/>
              <w:right w:val="single" w:color="auto" w:sz="8" w:space="0"/>
            </w:tcBorders>
            <w:noWrap/>
            <w:vAlign w:val="bottom"/>
          </w:tcPr>
          <w:p w14:paraId="122A120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47B7778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77214DD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V＜200</w:t>
            </w:r>
          </w:p>
        </w:tc>
        <w:tc>
          <w:tcPr>
            <w:tcW w:w="1221" w:type="dxa"/>
            <w:tcBorders>
              <w:top w:val="nil"/>
              <w:left w:val="nil"/>
              <w:bottom w:val="single" w:color="auto" w:sz="4" w:space="0"/>
              <w:right w:val="single" w:color="auto" w:sz="8" w:space="0"/>
            </w:tcBorders>
            <w:noWrap/>
            <w:vAlign w:val="bottom"/>
          </w:tcPr>
          <w:p w14:paraId="44B422F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3C979A94">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62D3E07F">
            <w:pPr>
              <w:widowControl/>
              <w:rPr>
                <w:rFonts w:hint="eastAsia" w:ascii="宋体" w:hAnsi="宋体" w:eastAsia="宋体" w:cs="宋体"/>
                <w:kern w:val="0"/>
                <w:sz w:val="18"/>
                <w:szCs w:val="18"/>
              </w:rPr>
            </w:pPr>
            <w:r>
              <w:rPr>
                <w:rFonts w:hint="eastAsia" w:ascii="宋体" w:hAnsi="宋体" w:eastAsia="宋体" w:cs="宋体"/>
                <w:kern w:val="0"/>
                <w:sz w:val="18"/>
                <w:szCs w:val="18"/>
              </w:rPr>
              <w:t>7、仓储业</w:t>
            </w:r>
          </w:p>
        </w:tc>
        <w:tc>
          <w:tcPr>
            <w:tcW w:w="1350" w:type="dxa"/>
            <w:tcBorders>
              <w:top w:val="nil"/>
              <w:left w:val="nil"/>
              <w:bottom w:val="single" w:color="auto" w:sz="4" w:space="0"/>
              <w:right w:val="single" w:color="auto" w:sz="4" w:space="0"/>
            </w:tcBorders>
            <w:noWrap/>
            <w:vAlign w:val="bottom"/>
          </w:tcPr>
          <w:p w14:paraId="18C3EF6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w:t>
            </w:r>
          </w:p>
        </w:tc>
        <w:tc>
          <w:tcPr>
            <w:tcW w:w="2163" w:type="dxa"/>
            <w:tcBorders>
              <w:top w:val="nil"/>
              <w:left w:val="nil"/>
              <w:bottom w:val="single" w:color="auto" w:sz="4" w:space="0"/>
              <w:right w:val="single" w:color="auto" w:sz="4" w:space="0"/>
            </w:tcBorders>
            <w:noWrap/>
            <w:vAlign w:val="bottom"/>
          </w:tcPr>
          <w:p w14:paraId="36010AC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1000≤Y＜30000</w:t>
            </w:r>
          </w:p>
        </w:tc>
        <w:tc>
          <w:tcPr>
            <w:tcW w:w="1660" w:type="dxa"/>
            <w:tcBorders>
              <w:top w:val="nil"/>
              <w:left w:val="nil"/>
              <w:bottom w:val="single" w:color="auto" w:sz="4" w:space="0"/>
              <w:right w:val="single" w:color="auto" w:sz="8" w:space="0"/>
            </w:tcBorders>
            <w:noWrap/>
            <w:vAlign w:val="bottom"/>
          </w:tcPr>
          <w:p w14:paraId="11DCB4E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021D8A8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20≤X＜100</w:t>
            </w:r>
          </w:p>
        </w:tc>
        <w:tc>
          <w:tcPr>
            <w:tcW w:w="1419" w:type="dxa"/>
            <w:tcBorders>
              <w:top w:val="nil"/>
              <w:left w:val="nil"/>
              <w:bottom w:val="single" w:color="auto" w:sz="4" w:space="0"/>
              <w:right w:val="single" w:color="auto" w:sz="4" w:space="0"/>
            </w:tcBorders>
            <w:noWrap/>
            <w:vAlign w:val="bottom"/>
          </w:tcPr>
          <w:p w14:paraId="40DB2B7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581" w:type="dxa"/>
            <w:tcBorders>
              <w:top w:val="nil"/>
              <w:left w:val="nil"/>
              <w:bottom w:val="single" w:color="auto" w:sz="4" w:space="0"/>
              <w:right w:val="single" w:color="auto" w:sz="8" w:space="0"/>
            </w:tcBorders>
            <w:noWrap/>
            <w:vAlign w:val="bottom"/>
          </w:tcPr>
          <w:p w14:paraId="7849EFF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1152754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0F83FA8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6B9B4FA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623EEC27">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4C554EEC">
            <w:pPr>
              <w:widowControl/>
              <w:rPr>
                <w:rFonts w:hint="eastAsia" w:ascii="宋体" w:hAnsi="宋体" w:eastAsia="宋体" w:cs="宋体"/>
                <w:kern w:val="0"/>
                <w:sz w:val="18"/>
                <w:szCs w:val="18"/>
              </w:rPr>
            </w:pPr>
            <w:r>
              <w:rPr>
                <w:rFonts w:hint="eastAsia" w:ascii="宋体" w:hAnsi="宋体" w:eastAsia="宋体" w:cs="宋体"/>
                <w:kern w:val="0"/>
                <w:sz w:val="18"/>
                <w:szCs w:val="18"/>
              </w:rPr>
              <w:t>8、邮政业</w:t>
            </w:r>
          </w:p>
        </w:tc>
        <w:tc>
          <w:tcPr>
            <w:tcW w:w="1350" w:type="dxa"/>
            <w:tcBorders>
              <w:top w:val="nil"/>
              <w:left w:val="nil"/>
              <w:bottom w:val="single" w:color="auto" w:sz="4" w:space="0"/>
              <w:right w:val="single" w:color="auto" w:sz="4" w:space="0"/>
            </w:tcBorders>
            <w:noWrap/>
            <w:vAlign w:val="bottom"/>
          </w:tcPr>
          <w:p w14:paraId="45F49EF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11B0208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2000≤Y＜30000</w:t>
            </w:r>
          </w:p>
        </w:tc>
        <w:tc>
          <w:tcPr>
            <w:tcW w:w="1660" w:type="dxa"/>
            <w:tcBorders>
              <w:top w:val="nil"/>
              <w:left w:val="nil"/>
              <w:bottom w:val="single" w:color="auto" w:sz="4" w:space="0"/>
              <w:right w:val="single" w:color="auto" w:sz="8" w:space="0"/>
            </w:tcBorders>
            <w:noWrap/>
            <w:vAlign w:val="bottom"/>
          </w:tcPr>
          <w:p w14:paraId="6F24AFA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0713B35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20≤X＜300</w:t>
            </w:r>
          </w:p>
        </w:tc>
        <w:tc>
          <w:tcPr>
            <w:tcW w:w="1419" w:type="dxa"/>
            <w:tcBorders>
              <w:top w:val="nil"/>
              <w:left w:val="nil"/>
              <w:bottom w:val="single" w:color="auto" w:sz="4" w:space="0"/>
              <w:right w:val="single" w:color="auto" w:sz="4" w:space="0"/>
            </w:tcBorders>
            <w:noWrap/>
            <w:vAlign w:val="bottom"/>
          </w:tcPr>
          <w:p w14:paraId="5124BA8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581" w:type="dxa"/>
            <w:tcBorders>
              <w:top w:val="nil"/>
              <w:left w:val="nil"/>
              <w:bottom w:val="single" w:color="auto" w:sz="4" w:space="0"/>
              <w:right w:val="single" w:color="auto" w:sz="8" w:space="0"/>
            </w:tcBorders>
            <w:noWrap/>
            <w:vAlign w:val="bottom"/>
          </w:tcPr>
          <w:p w14:paraId="78CA49C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1B4F1C2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X＜20</w:t>
            </w:r>
          </w:p>
        </w:tc>
        <w:tc>
          <w:tcPr>
            <w:tcW w:w="1275" w:type="dxa"/>
            <w:tcBorders>
              <w:top w:val="nil"/>
              <w:left w:val="nil"/>
              <w:bottom w:val="single" w:color="auto" w:sz="4" w:space="0"/>
              <w:right w:val="single" w:color="auto" w:sz="4" w:space="0"/>
            </w:tcBorders>
            <w:noWrap/>
            <w:vAlign w:val="bottom"/>
          </w:tcPr>
          <w:p w14:paraId="54F2ADF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3DCF3E9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0E7F9E42">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73ABEE0D">
            <w:pPr>
              <w:widowControl/>
              <w:rPr>
                <w:rFonts w:hint="eastAsia" w:ascii="宋体" w:hAnsi="宋体" w:eastAsia="宋体" w:cs="宋体"/>
                <w:kern w:val="0"/>
                <w:sz w:val="18"/>
                <w:szCs w:val="18"/>
              </w:rPr>
            </w:pPr>
            <w:r>
              <w:rPr>
                <w:rFonts w:hint="eastAsia" w:ascii="宋体" w:hAnsi="宋体" w:eastAsia="宋体" w:cs="宋体"/>
                <w:kern w:val="0"/>
                <w:sz w:val="18"/>
                <w:szCs w:val="18"/>
              </w:rPr>
              <w:t>9、住宿业</w:t>
            </w:r>
          </w:p>
        </w:tc>
        <w:tc>
          <w:tcPr>
            <w:tcW w:w="1350" w:type="dxa"/>
            <w:tcBorders>
              <w:top w:val="nil"/>
              <w:left w:val="nil"/>
              <w:bottom w:val="single" w:color="auto" w:sz="4" w:space="0"/>
              <w:right w:val="single" w:color="auto" w:sz="4" w:space="0"/>
            </w:tcBorders>
            <w:noWrap/>
            <w:vAlign w:val="bottom"/>
          </w:tcPr>
          <w:p w14:paraId="5A36C62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4943AFB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660" w:type="dxa"/>
            <w:tcBorders>
              <w:top w:val="nil"/>
              <w:left w:val="nil"/>
              <w:bottom w:val="single" w:color="auto" w:sz="4" w:space="0"/>
              <w:right w:val="single" w:color="auto" w:sz="8" w:space="0"/>
            </w:tcBorders>
            <w:noWrap/>
            <w:vAlign w:val="bottom"/>
          </w:tcPr>
          <w:p w14:paraId="1828C42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629D96E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1B7A163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581" w:type="dxa"/>
            <w:tcBorders>
              <w:top w:val="nil"/>
              <w:left w:val="nil"/>
              <w:bottom w:val="single" w:color="auto" w:sz="4" w:space="0"/>
              <w:right w:val="single" w:color="auto" w:sz="8" w:space="0"/>
            </w:tcBorders>
            <w:noWrap/>
            <w:vAlign w:val="bottom"/>
          </w:tcPr>
          <w:p w14:paraId="5AA7FD3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6FBBDD5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5687B93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7E2B62D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133CF31D">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26B47922">
            <w:pPr>
              <w:widowControl/>
              <w:rPr>
                <w:rFonts w:hint="eastAsia" w:ascii="宋体" w:hAnsi="宋体" w:eastAsia="宋体" w:cs="宋体"/>
                <w:kern w:val="0"/>
                <w:sz w:val="18"/>
                <w:szCs w:val="18"/>
              </w:rPr>
            </w:pPr>
            <w:r>
              <w:rPr>
                <w:rFonts w:hint="eastAsia" w:ascii="宋体" w:hAnsi="宋体" w:eastAsia="宋体" w:cs="宋体"/>
                <w:kern w:val="0"/>
                <w:sz w:val="18"/>
                <w:szCs w:val="18"/>
              </w:rPr>
              <w:t>10、餐饮业</w:t>
            </w:r>
          </w:p>
        </w:tc>
        <w:tc>
          <w:tcPr>
            <w:tcW w:w="1350" w:type="dxa"/>
            <w:tcBorders>
              <w:top w:val="nil"/>
              <w:left w:val="nil"/>
              <w:bottom w:val="single" w:color="auto" w:sz="4" w:space="0"/>
              <w:right w:val="single" w:color="auto" w:sz="4" w:space="0"/>
            </w:tcBorders>
            <w:noWrap/>
            <w:vAlign w:val="bottom"/>
          </w:tcPr>
          <w:p w14:paraId="4178149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522BD4F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2000≤Y＜10000</w:t>
            </w:r>
          </w:p>
        </w:tc>
        <w:tc>
          <w:tcPr>
            <w:tcW w:w="1660" w:type="dxa"/>
            <w:tcBorders>
              <w:top w:val="nil"/>
              <w:left w:val="nil"/>
              <w:bottom w:val="single" w:color="auto" w:sz="4" w:space="0"/>
              <w:right w:val="single" w:color="auto" w:sz="8" w:space="0"/>
            </w:tcBorders>
            <w:noWrap/>
            <w:vAlign w:val="bottom"/>
          </w:tcPr>
          <w:p w14:paraId="6EC1299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1E1A9C5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3A8A06F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100≤Y＜2000</w:t>
            </w:r>
          </w:p>
        </w:tc>
        <w:tc>
          <w:tcPr>
            <w:tcW w:w="1581" w:type="dxa"/>
            <w:tcBorders>
              <w:top w:val="nil"/>
              <w:left w:val="nil"/>
              <w:bottom w:val="single" w:color="auto" w:sz="4" w:space="0"/>
              <w:right w:val="single" w:color="auto" w:sz="8" w:space="0"/>
            </w:tcBorders>
            <w:noWrap/>
            <w:vAlign w:val="bottom"/>
          </w:tcPr>
          <w:p w14:paraId="48F51ED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64CF888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16314FA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V＜100</w:t>
            </w:r>
          </w:p>
        </w:tc>
        <w:tc>
          <w:tcPr>
            <w:tcW w:w="1221" w:type="dxa"/>
            <w:tcBorders>
              <w:top w:val="nil"/>
              <w:left w:val="nil"/>
              <w:bottom w:val="single" w:color="auto" w:sz="4" w:space="0"/>
              <w:right w:val="single" w:color="auto" w:sz="8" w:space="0"/>
            </w:tcBorders>
            <w:noWrap/>
            <w:vAlign w:val="bottom"/>
          </w:tcPr>
          <w:p w14:paraId="3833915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5075B85F">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65078F3F">
            <w:pPr>
              <w:widowControl/>
              <w:rPr>
                <w:rFonts w:hint="eastAsia" w:ascii="宋体" w:hAnsi="宋体" w:eastAsia="宋体" w:cs="宋体"/>
                <w:kern w:val="0"/>
                <w:sz w:val="18"/>
                <w:szCs w:val="18"/>
              </w:rPr>
            </w:pPr>
            <w:r>
              <w:rPr>
                <w:rFonts w:hint="eastAsia" w:ascii="宋体" w:hAnsi="宋体" w:eastAsia="宋体" w:cs="宋体"/>
                <w:kern w:val="0"/>
                <w:sz w:val="18"/>
                <w:szCs w:val="18"/>
              </w:rPr>
              <w:t>11、信息传输业</w:t>
            </w:r>
          </w:p>
        </w:tc>
        <w:tc>
          <w:tcPr>
            <w:tcW w:w="1350" w:type="dxa"/>
            <w:tcBorders>
              <w:top w:val="nil"/>
              <w:left w:val="nil"/>
              <w:bottom w:val="single" w:color="auto" w:sz="4" w:space="0"/>
              <w:right w:val="single" w:color="auto" w:sz="4" w:space="0"/>
            </w:tcBorders>
            <w:noWrap/>
            <w:vAlign w:val="bottom"/>
          </w:tcPr>
          <w:p w14:paraId="4FE7F5C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100≤X＜2000</w:t>
            </w:r>
          </w:p>
        </w:tc>
        <w:tc>
          <w:tcPr>
            <w:tcW w:w="2163" w:type="dxa"/>
            <w:tcBorders>
              <w:top w:val="nil"/>
              <w:left w:val="nil"/>
              <w:bottom w:val="single" w:color="auto" w:sz="4" w:space="0"/>
              <w:right w:val="single" w:color="auto" w:sz="4" w:space="0"/>
            </w:tcBorders>
            <w:noWrap/>
            <w:vAlign w:val="bottom"/>
          </w:tcPr>
          <w:p w14:paraId="1A29711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1000≤Y＜100000</w:t>
            </w:r>
          </w:p>
        </w:tc>
        <w:tc>
          <w:tcPr>
            <w:tcW w:w="1660" w:type="dxa"/>
            <w:tcBorders>
              <w:top w:val="nil"/>
              <w:left w:val="nil"/>
              <w:bottom w:val="single" w:color="auto" w:sz="4" w:space="0"/>
              <w:right w:val="single" w:color="auto" w:sz="8" w:space="0"/>
            </w:tcBorders>
            <w:noWrap/>
            <w:vAlign w:val="bottom"/>
          </w:tcPr>
          <w:p w14:paraId="3747CAC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2154370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746C02D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581" w:type="dxa"/>
            <w:tcBorders>
              <w:top w:val="nil"/>
              <w:left w:val="nil"/>
              <w:bottom w:val="single" w:color="auto" w:sz="4" w:space="0"/>
              <w:right w:val="single" w:color="auto" w:sz="8" w:space="0"/>
            </w:tcBorders>
            <w:noWrap/>
            <w:vAlign w:val="bottom"/>
          </w:tcPr>
          <w:p w14:paraId="6629A4C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4FB47E3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3B1714A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4721291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4B5FDB1A">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6B584B3A">
            <w:pPr>
              <w:widowControl/>
              <w:rPr>
                <w:rFonts w:hint="eastAsia" w:ascii="宋体" w:hAnsi="宋体" w:eastAsia="宋体" w:cs="宋体"/>
                <w:kern w:val="0"/>
                <w:sz w:val="18"/>
                <w:szCs w:val="18"/>
              </w:rPr>
            </w:pPr>
            <w:r>
              <w:rPr>
                <w:rFonts w:hint="eastAsia" w:ascii="宋体" w:hAnsi="宋体" w:eastAsia="宋体" w:cs="宋体"/>
                <w:kern w:val="0"/>
                <w:sz w:val="18"/>
                <w:szCs w:val="18"/>
              </w:rPr>
              <w:t>12、软件和信息技术服务业</w:t>
            </w:r>
          </w:p>
        </w:tc>
        <w:tc>
          <w:tcPr>
            <w:tcW w:w="1350" w:type="dxa"/>
            <w:tcBorders>
              <w:top w:val="nil"/>
              <w:left w:val="nil"/>
              <w:bottom w:val="single" w:color="auto" w:sz="4" w:space="0"/>
              <w:right w:val="single" w:color="auto" w:sz="4" w:space="0"/>
            </w:tcBorders>
            <w:noWrap/>
            <w:vAlign w:val="bottom"/>
          </w:tcPr>
          <w:p w14:paraId="2DEFC13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1EDA13C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1000≤Y＜10000</w:t>
            </w:r>
          </w:p>
        </w:tc>
        <w:tc>
          <w:tcPr>
            <w:tcW w:w="1660" w:type="dxa"/>
            <w:tcBorders>
              <w:top w:val="nil"/>
              <w:left w:val="nil"/>
              <w:bottom w:val="single" w:color="auto" w:sz="4" w:space="0"/>
              <w:right w:val="single" w:color="auto" w:sz="8" w:space="0"/>
            </w:tcBorders>
            <w:noWrap/>
            <w:vAlign w:val="bottom"/>
          </w:tcPr>
          <w:p w14:paraId="1E3D6F4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6C651E2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45E9453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50≤Y＜1000</w:t>
            </w:r>
          </w:p>
        </w:tc>
        <w:tc>
          <w:tcPr>
            <w:tcW w:w="1581" w:type="dxa"/>
            <w:tcBorders>
              <w:top w:val="nil"/>
              <w:left w:val="nil"/>
              <w:bottom w:val="single" w:color="auto" w:sz="4" w:space="0"/>
              <w:right w:val="single" w:color="auto" w:sz="8" w:space="0"/>
            </w:tcBorders>
            <w:noWrap/>
            <w:vAlign w:val="bottom"/>
          </w:tcPr>
          <w:p w14:paraId="442E4E9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632337C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69DC204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w:t>
            </w:r>
          </w:p>
        </w:tc>
        <w:tc>
          <w:tcPr>
            <w:tcW w:w="1221" w:type="dxa"/>
            <w:tcBorders>
              <w:top w:val="nil"/>
              <w:left w:val="nil"/>
              <w:bottom w:val="single" w:color="auto" w:sz="4" w:space="0"/>
              <w:right w:val="single" w:color="auto" w:sz="8" w:space="0"/>
            </w:tcBorders>
            <w:noWrap/>
            <w:vAlign w:val="bottom"/>
          </w:tcPr>
          <w:p w14:paraId="01F8B49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494F142F">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18C2FFA3">
            <w:pPr>
              <w:widowControl/>
              <w:rPr>
                <w:rFonts w:hint="eastAsia" w:ascii="宋体" w:hAnsi="宋体" w:eastAsia="宋体" w:cs="宋体"/>
                <w:kern w:val="0"/>
                <w:sz w:val="18"/>
                <w:szCs w:val="18"/>
              </w:rPr>
            </w:pPr>
            <w:r>
              <w:rPr>
                <w:rFonts w:hint="eastAsia" w:ascii="宋体" w:hAnsi="宋体" w:eastAsia="宋体" w:cs="宋体"/>
                <w:kern w:val="0"/>
                <w:sz w:val="18"/>
                <w:szCs w:val="18"/>
              </w:rPr>
              <w:t>13、房地产开发经营</w:t>
            </w:r>
          </w:p>
        </w:tc>
        <w:tc>
          <w:tcPr>
            <w:tcW w:w="1350" w:type="dxa"/>
            <w:tcBorders>
              <w:top w:val="nil"/>
              <w:left w:val="nil"/>
              <w:bottom w:val="single" w:color="auto" w:sz="4" w:space="0"/>
              <w:right w:val="single" w:color="auto" w:sz="4" w:space="0"/>
            </w:tcBorders>
            <w:noWrap/>
            <w:vAlign w:val="bottom"/>
          </w:tcPr>
          <w:p w14:paraId="4002869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2163" w:type="dxa"/>
            <w:tcBorders>
              <w:top w:val="nil"/>
              <w:left w:val="nil"/>
              <w:bottom w:val="single" w:color="auto" w:sz="4" w:space="0"/>
              <w:right w:val="single" w:color="auto" w:sz="4" w:space="0"/>
            </w:tcBorders>
            <w:noWrap/>
            <w:vAlign w:val="bottom"/>
          </w:tcPr>
          <w:p w14:paraId="0F6BAA1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1000≤Y＜200000</w:t>
            </w:r>
          </w:p>
        </w:tc>
        <w:tc>
          <w:tcPr>
            <w:tcW w:w="1660" w:type="dxa"/>
            <w:tcBorders>
              <w:top w:val="nil"/>
              <w:left w:val="nil"/>
              <w:bottom w:val="single" w:color="auto" w:sz="4" w:space="0"/>
              <w:right w:val="single" w:color="auto" w:sz="8" w:space="0"/>
            </w:tcBorders>
            <w:noWrap/>
            <w:vAlign w:val="bottom"/>
          </w:tcPr>
          <w:p w14:paraId="253162B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5000≤Z＜10000</w:t>
            </w:r>
          </w:p>
        </w:tc>
        <w:tc>
          <w:tcPr>
            <w:tcW w:w="1240" w:type="dxa"/>
            <w:tcBorders>
              <w:top w:val="nil"/>
              <w:left w:val="nil"/>
              <w:bottom w:val="single" w:color="auto" w:sz="4" w:space="0"/>
              <w:right w:val="single" w:color="auto" w:sz="4" w:space="0"/>
            </w:tcBorders>
            <w:noWrap/>
            <w:vAlign w:val="bottom"/>
          </w:tcPr>
          <w:p w14:paraId="0C5A599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419" w:type="dxa"/>
            <w:tcBorders>
              <w:top w:val="nil"/>
              <w:left w:val="nil"/>
              <w:bottom w:val="single" w:color="auto" w:sz="4" w:space="0"/>
              <w:right w:val="single" w:color="auto" w:sz="4" w:space="0"/>
            </w:tcBorders>
            <w:noWrap/>
            <w:vAlign w:val="bottom"/>
          </w:tcPr>
          <w:p w14:paraId="61D28B07">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100≤Y＜1000</w:t>
            </w:r>
          </w:p>
        </w:tc>
        <w:tc>
          <w:tcPr>
            <w:tcW w:w="1581" w:type="dxa"/>
            <w:tcBorders>
              <w:top w:val="nil"/>
              <w:left w:val="nil"/>
              <w:bottom w:val="single" w:color="auto" w:sz="4" w:space="0"/>
              <w:right w:val="single" w:color="auto" w:sz="8" w:space="0"/>
            </w:tcBorders>
            <w:noWrap/>
            <w:vAlign w:val="bottom"/>
          </w:tcPr>
          <w:p w14:paraId="4625B7F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2000≤Z＜5000</w:t>
            </w:r>
          </w:p>
        </w:tc>
        <w:tc>
          <w:tcPr>
            <w:tcW w:w="1285" w:type="dxa"/>
            <w:tcBorders>
              <w:top w:val="nil"/>
              <w:left w:val="nil"/>
              <w:bottom w:val="single" w:color="auto" w:sz="4" w:space="0"/>
              <w:right w:val="single" w:color="auto" w:sz="4" w:space="0"/>
            </w:tcBorders>
            <w:noWrap/>
            <w:vAlign w:val="bottom"/>
          </w:tcPr>
          <w:p w14:paraId="7B89187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75" w:type="dxa"/>
            <w:tcBorders>
              <w:top w:val="nil"/>
              <w:left w:val="nil"/>
              <w:bottom w:val="single" w:color="auto" w:sz="4" w:space="0"/>
              <w:right w:val="single" w:color="auto" w:sz="4" w:space="0"/>
            </w:tcBorders>
            <w:noWrap/>
            <w:vAlign w:val="bottom"/>
          </w:tcPr>
          <w:p w14:paraId="5CA2F67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Y＜100</w:t>
            </w:r>
          </w:p>
        </w:tc>
        <w:tc>
          <w:tcPr>
            <w:tcW w:w="1221" w:type="dxa"/>
            <w:tcBorders>
              <w:top w:val="nil"/>
              <w:left w:val="nil"/>
              <w:bottom w:val="single" w:color="auto" w:sz="4" w:space="0"/>
              <w:right w:val="single" w:color="auto" w:sz="8" w:space="0"/>
            </w:tcBorders>
            <w:noWrap/>
            <w:vAlign w:val="bottom"/>
          </w:tcPr>
          <w:p w14:paraId="10A8145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Z＜2000</w:t>
            </w:r>
          </w:p>
        </w:tc>
      </w:tr>
      <w:tr w14:paraId="20389E8C">
        <w:tblPrEx>
          <w:tblCellMar>
            <w:top w:w="0" w:type="dxa"/>
            <w:left w:w="108" w:type="dxa"/>
            <w:bottom w:w="0" w:type="dxa"/>
            <w:right w:w="108" w:type="dxa"/>
          </w:tblCellMar>
        </w:tblPrEx>
        <w:trPr>
          <w:trHeight w:val="525" w:hRule="atLeast"/>
        </w:trPr>
        <w:tc>
          <w:tcPr>
            <w:tcW w:w="1925" w:type="dxa"/>
            <w:tcBorders>
              <w:top w:val="nil"/>
              <w:left w:val="single" w:color="auto" w:sz="8" w:space="0"/>
              <w:bottom w:val="single" w:color="auto" w:sz="4" w:space="0"/>
              <w:right w:val="single" w:color="auto" w:sz="8" w:space="0"/>
            </w:tcBorders>
            <w:noWrap/>
            <w:vAlign w:val="center"/>
          </w:tcPr>
          <w:p w14:paraId="0B0D3F3A">
            <w:pPr>
              <w:widowControl/>
              <w:rPr>
                <w:rFonts w:hint="eastAsia" w:ascii="宋体" w:hAnsi="宋体" w:eastAsia="宋体" w:cs="宋体"/>
                <w:kern w:val="0"/>
                <w:sz w:val="18"/>
                <w:szCs w:val="18"/>
              </w:rPr>
            </w:pPr>
            <w:r>
              <w:rPr>
                <w:rFonts w:hint="eastAsia" w:ascii="宋体" w:hAnsi="宋体" w:eastAsia="宋体" w:cs="宋体"/>
                <w:kern w:val="0"/>
                <w:sz w:val="18"/>
                <w:szCs w:val="18"/>
              </w:rPr>
              <w:t>14、物业管理</w:t>
            </w:r>
          </w:p>
        </w:tc>
        <w:tc>
          <w:tcPr>
            <w:tcW w:w="1350" w:type="dxa"/>
            <w:tcBorders>
              <w:top w:val="nil"/>
              <w:left w:val="nil"/>
              <w:bottom w:val="single" w:color="auto" w:sz="4" w:space="0"/>
              <w:right w:val="single" w:color="auto" w:sz="4" w:space="0"/>
            </w:tcBorders>
            <w:noWrap/>
            <w:vAlign w:val="bottom"/>
          </w:tcPr>
          <w:p w14:paraId="19BB009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300≤X＜1000</w:t>
            </w:r>
          </w:p>
        </w:tc>
        <w:tc>
          <w:tcPr>
            <w:tcW w:w="2163" w:type="dxa"/>
            <w:tcBorders>
              <w:top w:val="nil"/>
              <w:left w:val="nil"/>
              <w:bottom w:val="single" w:color="auto" w:sz="4" w:space="0"/>
              <w:right w:val="single" w:color="auto" w:sz="4" w:space="0"/>
            </w:tcBorders>
            <w:noWrap/>
            <w:vAlign w:val="bottom"/>
          </w:tcPr>
          <w:p w14:paraId="5F9CABB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1000≤Y＜5000</w:t>
            </w:r>
          </w:p>
        </w:tc>
        <w:tc>
          <w:tcPr>
            <w:tcW w:w="1660" w:type="dxa"/>
            <w:tcBorders>
              <w:top w:val="nil"/>
              <w:left w:val="nil"/>
              <w:bottom w:val="single" w:color="auto" w:sz="4" w:space="0"/>
              <w:right w:val="single" w:color="auto" w:sz="8" w:space="0"/>
            </w:tcBorders>
            <w:noWrap/>
            <w:vAlign w:val="bottom"/>
          </w:tcPr>
          <w:p w14:paraId="13CD8CD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4" w:space="0"/>
              <w:right w:val="single" w:color="auto" w:sz="4" w:space="0"/>
            </w:tcBorders>
            <w:noWrap/>
            <w:vAlign w:val="bottom"/>
          </w:tcPr>
          <w:p w14:paraId="193BE9E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1419" w:type="dxa"/>
            <w:tcBorders>
              <w:top w:val="nil"/>
              <w:left w:val="nil"/>
              <w:bottom w:val="single" w:color="auto" w:sz="4" w:space="0"/>
              <w:right w:val="single" w:color="auto" w:sz="4" w:space="0"/>
            </w:tcBorders>
            <w:noWrap/>
            <w:vAlign w:val="bottom"/>
          </w:tcPr>
          <w:p w14:paraId="6D76FFB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500≤Y＜1000</w:t>
            </w:r>
          </w:p>
        </w:tc>
        <w:tc>
          <w:tcPr>
            <w:tcW w:w="1581" w:type="dxa"/>
            <w:tcBorders>
              <w:top w:val="nil"/>
              <w:left w:val="nil"/>
              <w:bottom w:val="single" w:color="auto" w:sz="4" w:space="0"/>
              <w:right w:val="single" w:color="auto" w:sz="8" w:space="0"/>
            </w:tcBorders>
            <w:noWrap/>
            <w:vAlign w:val="bottom"/>
          </w:tcPr>
          <w:p w14:paraId="389AE15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4" w:space="0"/>
              <w:right w:val="single" w:color="auto" w:sz="4" w:space="0"/>
            </w:tcBorders>
            <w:noWrap/>
            <w:vAlign w:val="bottom"/>
          </w:tcPr>
          <w:p w14:paraId="2059360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X＜100</w:t>
            </w:r>
          </w:p>
        </w:tc>
        <w:tc>
          <w:tcPr>
            <w:tcW w:w="1275" w:type="dxa"/>
            <w:tcBorders>
              <w:top w:val="nil"/>
              <w:left w:val="nil"/>
              <w:bottom w:val="single" w:color="auto" w:sz="4" w:space="0"/>
              <w:right w:val="single" w:color="auto" w:sz="4" w:space="0"/>
            </w:tcBorders>
            <w:noWrap/>
            <w:vAlign w:val="bottom"/>
          </w:tcPr>
          <w:p w14:paraId="6921563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Y＜500</w:t>
            </w:r>
          </w:p>
        </w:tc>
        <w:tc>
          <w:tcPr>
            <w:tcW w:w="1221" w:type="dxa"/>
            <w:tcBorders>
              <w:top w:val="nil"/>
              <w:left w:val="nil"/>
              <w:bottom w:val="single" w:color="auto" w:sz="4" w:space="0"/>
              <w:right w:val="single" w:color="auto" w:sz="8" w:space="0"/>
            </w:tcBorders>
            <w:noWrap/>
            <w:vAlign w:val="bottom"/>
          </w:tcPr>
          <w:p w14:paraId="65FA6A8B">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23D1E5F3">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4" w:space="0"/>
              <w:right w:val="single" w:color="auto" w:sz="8" w:space="0"/>
            </w:tcBorders>
            <w:noWrap/>
            <w:vAlign w:val="center"/>
          </w:tcPr>
          <w:p w14:paraId="5DEE25C2">
            <w:pPr>
              <w:widowControl/>
              <w:rPr>
                <w:rFonts w:hint="eastAsia" w:ascii="宋体" w:hAnsi="宋体" w:eastAsia="宋体" w:cs="宋体"/>
                <w:kern w:val="0"/>
                <w:sz w:val="18"/>
                <w:szCs w:val="18"/>
              </w:rPr>
            </w:pPr>
            <w:r>
              <w:rPr>
                <w:rFonts w:hint="eastAsia" w:ascii="宋体" w:hAnsi="宋体" w:eastAsia="宋体" w:cs="宋体"/>
                <w:kern w:val="0"/>
                <w:sz w:val="18"/>
                <w:szCs w:val="18"/>
              </w:rPr>
              <w:t>15、租赁和商务服务业</w:t>
            </w:r>
          </w:p>
        </w:tc>
        <w:tc>
          <w:tcPr>
            <w:tcW w:w="1350" w:type="dxa"/>
            <w:tcBorders>
              <w:top w:val="nil"/>
              <w:left w:val="nil"/>
              <w:bottom w:val="single" w:color="auto" w:sz="4" w:space="0"/>
              <w:right w:val="single" w:color="auto" w:sz="4" w:space="0"/>
            </w:tcBorders>
            <w:noWrap/>
            <w:vAlign w:val="bottom"/>
          </w:tcPr>
          <w:p w14:paraId="7C0A287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2163" w:type="dxa"/>
            <w:tcBorders>
              <w:top w:val="nil"/>
              <w:left w:val="nil"/>
              <w:bottom w:val="single" w:color="auto" w:sz="4" w:space="0"/>
              <w:right w:val="single" w:color="auto" w:sz="4" w:space="0"/>
            </w:tcBorders>
            <w:noWrap/>
            <w:vAlign w:val="bottom"/>
          </w:tcPr>
          <w:p w14:paraId="01728BA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660" w:type="dxa"/>
            <w:tcBorders>
              <w:top w:val="nil"/>
              <w:left w:val="nil"/>
              <w:bottom w:val="single" w:color="auto" w:sz="4" w:space="0"/>
              <w:right w:val="single" w:color="auto" w:sz="8" w:space="0"/>
            </w:tcBorders>
            <w:noWrap/>
            <w:vAlign w:val="bottom"/>
          </w:tcPr>
          <w:p w14:paraId="46AFFBD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8000≤Z＜120000</w:t>
            </w:r>
          </w:p>
        </w:tc>
        <w:tc>
          <w:tcPr>
            <w:tcW w:w="1240" w:type="dxa"/>
            <w:tcBorders>
              <w:top w:val="nil"/>
              <w:left w:val="nil"/>
              <w:bottom w:val="single" w:color="auto" w:sz="4" w:space="0"/>
              <w:right w:val="single" w:color="auto" w:sz="4" w:space="0"/>
            </w:tcBorders>
            <w:noWrap/>
            <w:vAlign w:val="bottom"/>
          </w:tcPr>
          <w:p w14:paraId="6683EBC0">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419" w:type="dxa"/>
            <w:tcBorders>
              <w:top w:val="nil"/>
              <w:left w:val="nil"/>
              <w:bottom w:val="single" w:color="auto" w:sz="4" w:space="0"/>
              <w:right w:val="single" w:color="auto" w:sz="4" w:space="0"/>
            </w:tcBorders>
            <w:noWrap/>
            <w:vAlign w:val="bottom"/>
          </w:tcPr>
          <w:p w14:paraId="0CC2CF28">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581" w:type="dxa"/>
            <w:tcBorders>
              <w:top w:val="nil"/>
              <w:left w:val="nil"/>
              <w:bottom w:val="single" w:color="auto" w:sz="4" w:space="0"/>
              <w:right w:val="single" w:color="auto" w:sz="8" w:space="0"/>
            </w:tcBorders>
            <w:noWrap/>
            <w:vAlign w:val="bottom"/>
          </w:tcPr>
          <w:p w14:paraId="3B0B677C">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100≤Z＜8000</w:t>
            </w:r>
          </w:p>
        </w:tc>
        <w:tc>
          <w:tcPr>
            <w:tcW w:w="1285" w:type="dxa"/>
            <w:tcBorders>
              <w:top w:val="nil"/>
              <w:left w:val="nil"/>
              <w:bottom w:val="single" w:color="auto" w:sz="4" w:space="0"/>
              <w:right w:val="single" w:color="auto" w:sz="4" w:space="0"/>
            </w:tcBorders>
            <w:noWrap/>
            <w:vAlign w:val="bottom"/>
          </w:tcPr>
          <w:p w14:paraId="4A2ADEC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4" w:space="0"/>
              <w:right w:val="single" w:color="auto" w:sz="4" w:space="0"/>
            </w:tcBorders>
            <w:noWrap/>
            <w:vAlign w:val="bottom"/>
          </w:tcPr>
          <w:p w14:paraId="10A777F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1" w:type="dxa"/>
            <w:tcBorders>
              <w:top w:val="nil"/>
              <w:left w:val="nil"/>
              <w:bottom w:val="single" w:color="auto" w:sz="4" w:space="0"/>
              <w:right w:val="single" w:color="auto" w:sz="8" w:space="0"/>
            </w:tcBorders>
            <w:noWrap/>
            <w:vAlign w:val="bottom"/>
          </w:tcPr>
          <w:p w14:paraId="17954626">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Z＜100</w:t>
            </w:r>
          </w:p>
        </w:tc>
      </w:tr>
      <w:tr w14:paraId="292AE3FF">
        <w:tblPrEx>
          <w:tblCellMar>
            <w:top w:w="0" w:type="dxa"/>
            <w:left w:w="108" w:type="dxa"/>
            <w:bottom w:w="0" w:type="dxa"/>
            <w:right w:w="108" w:type="dxa"/>
          </w:tblCellMar>
        </w:tblPrEx>
        <w:trPr>
          <w:trHeight w:val="360" w:hRule="atLeast"/>
        </w:trPr>
        <w:tc>
          <w:tcPr>
            <w:tcW w:w="1925" w:type="dxa"/>
            <w:tcBorders>
              <w:top w:val="nil"/>
              <w:left w:val="single" w:color="auto" w:sz="8" w:space="0"/>
              <w:bottom w:val="single" w:color="auto" w:sz="8" w:space="0"/>
              <w:right w:val="single" w:color="auto" w:sz="8" w:space="0"/>
            </w:tcBorders>
            <w:noWrap/>
            <w:vAlign w:val="center"/>
          </w:tcPr>
          <w:p w14:paraId="793F12D0">
            <w:pPr>
              <w:widowControl/>
              <w:rPr>
                <w:rFonts w:hint="eastAsia" w:ascii="宋体" w:hAnsi="宋体" w:eastAsia="宋体" w:cs="宋体"/>
                <w:kern w:val="0"/>
                <w:sz w:val="18"/>
                <w:szCs w:val="18"/>
              </w:rPr>
            </w:pPr>
            <w:r>
              <w:rPr>
                <w:rFonts w:hint="eastAsia" w:ascii="宋体" w:hAnsi="宋体" w:eastAsia="宋体" w:cs="宋体"/>
                <w:kern w:val="0"/>
                <w:sz w:val="18"/>
                <w:szCs w:val="18"/>
              </w:rPr>
              <w:t>16、其他未列明行业</w:t>
            </w:r>
          </w:p>
        </w:tc>
        <w:tc>
          <w:tcPr>
            <w:tcW w:w="1350" w:type="dxa"/>
            <w:tcBorders>
              <w:top w:val="nil"/>
              <w:left w:val="nil"/>
              <w:bottom w:val="single" w:color="auto" w:sz="8" w:space="0"/>
              <w:right w:val="single" w:color="auto" w:sz="4" w:space="0"/>
            </w:tcBorders>
            <w:noWrap/>
            <w:vAlign w:val="bottom"/>
          </w:tcPr>
          <w:p w14:paraId="503B1601">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100≤X＜300</w:t>
            </w:r>
          </w:p>
        </w:tc>
        <w:tc>
          <w:tcPr>
            <w:tcW w:w="2163" w:type="dxa"/>
            <w:tcBorders>
              <w:top w:val="nil"/>
              <w:left w:val="nil"/>
              <w:bottom w:val="single" w:color="auto" w:sz="8" w:space="0"/>
              <w:right w:val="single" w:color="auto" w:sz="4" w:space="0"/>
            </w:tcBorders>
            <w:noWrap/>
            <w:vAlign w:val="bottom"/>
          </w:tcPr>
          <w:p w14:paraId="63261625">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660" w:type="dxa"/>
            <w:tcBorders>
              <w:top w:val="nil"/>
              <w:left w:val="nil"/>
              <w:bottom w:val="single" w:color="auto" w:sz="8" w:space="0"/>
              <w:right w:val="single" w:color="auto" w:sz="8" w:space="0"/>
            </w:tcBorders>
            <w:noWrap/>
            <w:vAlign w:val="bottom"/>
          </w:tcPr>
          <w:p w14:paraId="788777A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40" w:type="dxa"/>
            <w:tcBorders>
              <w:top w:val="nil"/>
              <w:left w:val="nil"/>
              <w:bottom w:val="single" w:color="auto" w:sz="8" w:space="0"/>
              <w:right w:val="single" w:color="auto" w:sz="4" w:space="0"/>
            </w:tcBorders>
            <w:noWrap/>
            <w:vAlign w:val="bottom"/>
          </w:tcPr>
          <w:p w14:paraId="58D1BE0D">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10≤X＜100</w:t>
            </w:r>
          </w:p>
        </w:tc>
        <w:tc>
          <w:tcPr>
            <w:tcW w:w="1419" w:type="dxa"/>
            <w:tcBorders>
              <w:top w:val="nil"/>
              <w:left w:val="nil"/>
              <w:bottom w:val="single" w:color="auto" w:sz="8" w:space="0"/>
              <w:right w:val="single" w:color="auto" w:sz="4" w:space="0"/>
            </w:tcBorders>
            <w:noWrap/>
            <w:vAlign w:val="bottom"/>
          </w:tcPr>
          <w:p w14:paraId="684A5E12">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581" w:type="dxa"/>
            <w:tcBorders>
              <w:top w:val="nil"/>
              <w:left w:val="nil"/>
              <w:bottom w:val="single" w:color="auto" w:sz="8" w:space="0"/>
              <w:right w:val="single" w:color="auto" w:sz="8" w:space="0"/>
            </w:tcBorders>
            <w:noWrap/>
            <w:vAlign w:val="bottom"/>
          </w:tcPr>
          <w:p w14:paraId="2C1FB753">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85" w:type="dxa"/>
            <w:tcBorders>
              <w:top w:val="nil"/>
              <w:left w:val="nil"/>
              <w:bottom w:val="single" w:color="auto" w:sz="8" w:space="0"/>
              <w:right w:val="single" w:color="auto" w:sz="4" w:space="0"/>
            </w:tcBorders>
            <w:noWrap/>
            <w:vAlign w:val="bottom"/>
          </w:tcPr>
          <w:p w14:paraId="3CA565AF">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X＜10</w:t>
            </w:r>
          </w:p>
        </w:tc>
        <w:tc>
          <w:tcPr>
            <w:tcW w:w="1275" w:type="dxa"/>
            <w:tcBorders>
              <w:top w:val="nil"/>
              <w:left w:val="nil"/>
              <w:bottom w:val="single" w:color="auto" w:sz="8" w:space="0"/>
              <w:right w:val="single" w:color="auto" w:sz="4" w:space="0"/>
            </w:tcBorders>
            <w:noWrap/>
            <w:vAlign w:val="bottom"/>
          </w:tcPr>
          <w:p w14:paraId="64B6A6D9">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221" w:type="dxa"/>
            <w:tcBorders>
              <w:top w:val="nil"/>
              <w:left w:val="nil"/>
              <w:bottom w:val="single" w:color="auto" w:sz="8" w:space="0"/>
              <w:right w:val="single" w:color="auto" w:sz="8" w:space="0"/>
            </w:tcBorders>
            <w:noWrap/>
            <w:vAlign w:val="bottom"/>
          </w:tcPr>
          <w:p w14:paraId="02D12F74">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w:t>
            </w:r>
          </w:p>
        </w:tc>
      </w:tr>
      <w:tr w14:paraId="76F5C2FB">
        <w:tblPrEx>
          <w:tblCellMar>
            <w:top w:w="0" w:type="dxa"/>
            <w:left w:w="108" w:type="dxa"/>
            <w:bottom w:w="0" w:type="dxa"/>
            <w:right w:w="108" w:type="dxa"/>
          </w:tblCellMar>
        </w:tblPrEx>
        <w:trPr>
          <w:trHeight w:val="285" w:hRule="atLeast"/>
        </w:trPr>
        <w:tc>
          <w:tcPr>
            <w:tcW w:w="15119" w:type="dxa"/>
            <w:gridSpan w:val="10"/>
            <w:tcBorders>
              <w:top w:val="nil"/>
              <w:left w:val="nil"/>
              <w:bottom w:val="nil"/>
              <w:right w:val="nil"/>
            </w:tcBorders>
            <w:noWrap/>
            <w:vAlign w:val="bottom"/>
          </w:tcPr>
          <w:p w14:paraId="6997F57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说明　1、企业类型的划分以统计部门的统计数据为依据。</w:t>
            </w:r>
          </w:p>
          <w:p w14:paraId="6E722F5E">
            <w:pPr>
              <w:widowControl/>
              <w:ind w:firstLine="540" w:firstLineChars="300"/>
              <w:jc w:val="left"/>
              <w:rPr>
                <w:rFonts w:hint="eastAsia" w:ascii="宋体" w:hAnsi="宋体" w:eastAsia="宋体" w:cs="宋体"/>
                <w:kern w:val="0"/>
                <w:sz w:val="18"/>
                <w:szCs w:val="18"/>
              </w:rPr>
            </w:pPr>
            <w:r>
              <w:rPr>
                <w:rFonts w:hint="eastAsia" w:ascii="宋体" w:hAnsi="宋体" w:eastAsia="宋体" w:cs="宋体"/>
                <w:kern w:val="0"/>
                <w:sz w:val="18"/>
                <w:szCs w:val="18"/>
              </w:rPr>
              <w:t>2、个体工商户和本规定以外的行业，参照本规定进行划型。</w:t>
            </w:r>
          </w:p>
          <w:p w14:paraId="7814FC63">
            <w:pPr>
              <w:widowControl/>
              <w:ind w:firstLine="540" w:firstLineChars="300"/>
              <w:jc w:val="left"/>
              <w:rPr>
                <w:rFonts w:hint="eastAsia" w:ascii="宋体" w:hAnsi="宋体" w:eastAsia="宋体" w:cs="宋体"/>
                <w:kern w:val="0"/>
                <w:sz w:val="18"/>
                <w:szCs w:val="18"/>
              </w:rPr>
            </w:pPr>
            <w:r>
              <w:rPr>
                <w:rFonts w:hint="eastAsia" w:ascii="宋体" w:hAnsi="宋体" w:eastAsia="宋体" w:cs="宋体"/>
                <w:kern w:val="0"/>
                <w:sz w:val="18"/>
                <w:szCs w:val="18"/>
              </w:rPr>
              <w:t>3、本规定的中型企业标准上限即为大型企业标准的下限。</w:t>
            </w:r>
          </w:p>
        </w:tc>
      </w:tr>
    </w:tbl>
    <w:p w14:paraId="0428A5B8">
      <w:pPr>
        <w:pStyle w:val="27"/>
        <w:rPr>
          <w:rFonts w:hint="eastAsia" w:ascii="宋体" w:hAnsi="宋体" w:eastAsia="宋体" w:cs="宋体"/>
        </w:rPr>
      </w:pPr>
    </w:p>
    <w:sectPr>
      <w:pgSz w:w="16838" w:h="11906" w:orient="landscape"/>
      <w:pgMar w:top="1417" w:right="1276" w:bottom="1417" w:left="1247" w:header="851" w:footer="992"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ksdb"/>
    <w:panose1 w:val="00000000000000000000"/>
    <w:charset w:val="00"/>
    <w:family w:val="swiss"/>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华文中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华文中宋"/>
    <w:panose1 w:val="00000000000000000000"/>
    <w:charset w:val="86"/>
    <w:family w:val="modern"/>
    <w:pitch w:val="default"/>
    <w:sig w:usb0="00000000" w:usb1="00000000" w:usb2="00000000"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824D1">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5378D">
                          <w:pPr>
                            <w:pStyle w:val="4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5378D">
                    <w:pPr>
                      <w:pStyle w:val="4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B6B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6C4DE">
                          <w:pPr>
                            <w:pStyle w:val="4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286C4DE">
                    <w:pPr>
                      <w:pStyle w:val="4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033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6A95A">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86A95A">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5848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E8420">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4E8420">
                    <w:pPr>
                      <w:pStyle w:val="4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27B3">
    <w:pPr>
      <w:pStyle w:val="41"/>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FEE274">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FEE274">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8288">
    <w:pPr>
      <w:pStyle w:val="41"/>
      <w:framePr w:wrap="around" w:vAnchor="text" w:hAnchor="margin" w:xAlign="right" w:y="1"/>
      <w:rPr>
        <w:rStyle w:val="73"/>
      </w:rPr>
    </w:pPr>
    <w:r>
      <w:fldChar w:fldCharType="begin"/>
    </w:r>
    <w:r>
      <w:rPr>
        <w:rStyle w:val="73"/>
      </w:rPr>
      <w:instrText xml:space="preserve">PAGE  </w:instrText>
    </w:r>
    <w:r>
      <w:fldChar w:fldCharType="end"/>
    </w:r>
  </w:p>
  <w:p w14:paraId="039F3C97">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98B79">
    <w:pPr>
      <w:pStyle w:val="41"/>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30213">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130213">
                    <w:pPr>
                      <w:pStyle w:val="4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DF15">
    <w:pPr>
      <w:pStyle w:val="42"/>
      <w:pBdr>
        <w:bottom w:val="single" w:color="auto" w:sz="6" w:space="0"/>
      </w:pBdr>
      <w:tabs>
        <w:tab w:val="center" w:pos="4535"/>
        <w:tab w:val="right" w:pos="9070"/>
        <w:tab w:val="clear" w:pos="4153"/>
        <w:tab w:val="clear" w:pos="8306"/>
      </w:tabs>
      <w:jc w:val="left"/>
    </w:pPr>
    <w:r>
      <w:rPr>
        <w:rFonts w:hint="eastAsia" w:cs="Times New Roman"/>
        <w:sz w:val="18"/>
        <w:szCs w:val="18"/>
        <w:lang w:val="zh-CN" w:eastAsia="zh-CN"/>
      </w:rPr>
      <w:t>2025年度桐庐县计生系列保险服务项目</w:t>
    </w:r>
    <w:r>
      <w:rPr>
        <w:rFonts w:hint="eastAsia" w:ascii="Times New Roman" w:hAnsi="Times New Roman" w:eastAsia="宋体" w:cs="Times New Roman"/>
        <w:sz w:val="18"/>
        <w:szCs w:val="18"/>
        <w:lang w:val="zh-CN"/>
      </w:rPr>
      <w:t></w:t>
    </w:r>
    <w:r>
      <w:rPr>
        <w:rFonts w:hint="eastAsia"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   </w:t>
    </w:r>
    <w:r>
      <w:rPr>
        <w:rFonts w:hint="eastAsia"/>
        <w:sz w:val="18"/>
        <w:szCs w:val="18"/>
      </w:rPr>
      <w:t xml:space="preserve"> 【</w:t>
    </w:r>
    <w:r>
      <w:rPr>
        <w:rFonts w:hint="eastAsia"/>
        <w:sz w:val="18"/>
        <w:szCs w:val="18"/>
        <w:lang w:val="zh-CN"/>
      </w:rPr>
      <w:t>竞争性磋商</w:t>
    </w:r>
    <w:r>
      <w:rPr>
        <w:rFonts w:hint="eastAsia"/>
        <w:sz w:val="18"/>
        <w:szCs w:val="18"/>
      </w:rP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E50F">
    <w:pPr>
      <w:pStyle w:val="42"/>
      <w:pBdr>
        <w:bottom w:val="single" w:color="auto" w:sz="6" w:space="0"/>
      </w:pBdr>
      <w:tabs>
        <w:tab w:val="center" w:pos="4535"/>
        <w:tab w:val="right" w:pos="9070"/>
        <w:tab w:val="clear" w:pos="4153"/>
        <w:tab w:val="clear" w:pos="8306"/>
      </w:tabs>
      <w:jc w:val="left"/>
    </w:pPr>
    <w:r>
      <w:rPr>
        <w:rFonts w:hint="eastAsia" w:cs="Times New Roman"/>
        <w:sz w:val="18"/>
        <w:szCs w:val="18"/>
        <w:lang w:val="zh-CN" w:eastAsia="zh-CN"/>
      </w:rPr>
      <w:t>2025年度桐庐县计生系列保险服务项目</w:t>
    </w:r>
    <w:r>
      <w:rPr>
        <w:rFonts w:hint="eastAsia" w:ascii="Times New Roman" w:hAnsi="Times New Roman" w:eastAsia="宋体" w:cs="Times New Roman"/>
        <w:sz w:val="18"/>
        <w:szCs w:val="18"/>
        <w:lang w:val="zh-CN"/>
      </w:rPr>
      <w:t></w:t>
    </w:r>
    <w:r>
      <w:rPr>
        <w:rFonts w:hint="eastAsia"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   </w:t>
    </w:r>
    <w:r>
      <w:rPr>
        <w:rFonts w:hint="eastAsia"/>
        <w:sz w:val="18"/>
        <w:szCs w:val="18"/>
      </w:rPr>
      <w:t xml:space="preserve"> 【</w:t>
    </w:r>
    <w:r>
      <w:rPr>
        <w:rFonts w:hint="eastAsia"/>
        <w:sz w:val="18"/>
        <w:szCs w:val="18"/>
        <w:lang w:val="zh-CN"/>
      </w:rPr>
      <w:t>竞争性磋商</w:t>
    </w:r>
    <w:r>
      <w:rPr>
        <w:rFonts w:hint="eastAsia"/>
        <w:sz w:val="18"/>
        <w:szCs w:val="18"/>
      </w:rPr>
      <w:t>】</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217F">
    <w:pPr>
      <w:rPr>
        <w:rFonts w:ascii="仿宋_GB2312" w:eastAsia="仿宋_GB2312"/>
        <w:b/>
        <w:i/>
        <w:sz w:val="18"/>
        <w:u w:val="single"/>
      </w:rPr>
    </w:pPr>
    <w:r>
      <w:rPr>
        <w:rFonts w:hint="eastAsia" w:cs="Times New Roman"/>
        <w:sz w:val="18"/>
        <w:szCs w:val="18"/>
        <w:u w:val="single"/>
        <w:lang w:val="zh-CN" w:eastAsia="zh-CN"/>
      </w:rPr>
      <w:t>2025年度桐庐县计生系列保险服务项目</w:t>
    </w:r>
    <w:r>
      <w:rPr>
        <w:rFonts w:hint="eastAsia" w:ascii="Times New Roman" w:hAnsi="Times New Roman" w:eastAsia="宋体" w:cs="Times New Roman"/>
        <w:sz w:val="18"/>
        <w:szCs w:val="18"/>
        <w:u w:val="single"/>
        <w:lang w:val="zh-CN"/>
      </w:rPr>
      <w:t></w:t>
    </w:r>
    <w:r>
      <w:rPr>
        <w:rFonts w:hint="eastAsia" w:ascii="Times New Roman" w:hAnsi="Times New Roman" w:eastAsia="宋体" w:cs="Times New Roman"/>
        <w:sz w:val="18"/>
        <w:szCs w:val="18"/>
        <w:u w:val="single"/>
        <w:lang w:val="en-US" w:eastAsia="zh-CN"/>
      </w:rPr>
      <w:t xml:space="preserve"> </w:t>
    </w:r>
    <w:r>
      <w:rPr>
        <w:rFonts w:hint="eastAsia" w:cs="Times New Roman"/>
        <w:sz w:val="18"/>
        <w:szCs w:val="18"/>
        <w:u w:val="single"/>
        <w:lang w:val="en-US" w:eastAsia="zh-CN"/>
      </w:rPr>
      <w:t xml:space="preserve"> </w:t>
    </w:r>
    <w:r>
      <w:rPr>
        <w:rFonts w:hint="eastAsia" w:ascii="Times New Roman" w:hAnsi="Times New Roman" w:eastAsia="宋体" w:cs="Times New Roman"/>
        <w:sz w:val="18"/>
        <w:szCs w:val="18"/>
        <w:u w:val="single"/>
        <w:lang w:val="en-US" w:eastAsia="zh-CN"/>
      </w:rPr>
      <w:t xml:space="preserve">  </w:t>
    </w:r>
    <w:r>
      <w:rPr>
        <w:rFonts w:hint="eastAsia" w:cs="Times New Roman"/>
        <w:sz w:val="18"/>
        <w:szCs w:val="18"/>
        <w:u w:val="single"/>
        <w:lang w:val="en-US" w:eastAsia="zh-CN"/>
      </w:rPr>
      <w:t xml:space="preserve">                                           </w:t>
    </w:r>
    <w:r>
      <w:rPr>
        <w:rFonts w:hint="eastAsia" w:ascii="Times New Roman" w:hAnsi="Times New Roman" w:eastAsia="宋体" w:cs="Times New Roman"/>
        <w:sz w:val="18"/>
        <w:szCs w:val="18"/>
        <w:u w:val="single"/>
        <w:lang w:val="en-US" w:eastAsia="zh-CN"/>
      </w:rPr>
      <w:t xml:space="preserve">   </w:t>
    </w:r>
    <w:r>
      <w:rPr>
        <w:rFonts w:hint="eastAsia"/>
        <w:sz w:val="18"/>
        <w:szCs w:val="18"/>
        <w:u w:val="single"/>
      </w:rPr>
      <w:t xml:space="preserve"> 【</w:t>
    </w:r>
    <w:r>
      <w:rPr>
        <w:rFonts w:hint="eastAsia"/>
        <w:sz w:val="18"/>
        <w:szCs w:val="18"/>
        <w:u w:val="single"/>
        <w:lang w:val="zh-CN"/>
      </w:rPr>
      <w:t>竞争性磋商</w:t>
    </w:r>
    <w:r>
      <w:rPr>
        <w:rFonts w:hint="eastAsia"/>
        <w:sz w:val="18"/>
        <w:szCs w:val="18"/>
        <w:u w:val="single"/>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A382">
    <w:pPr>
      <w:pStyle w:val="42"/>
      <w:pBdr>
        <w:bottom w:val="single" w:color="auto" w:sz="6" w:space="0"/>
      </w:pBdr>
      <w:tabs>
        <w:tab w:val="center" w:pos="4535"/>
        <w:tab w:val="right" w:pos="9070"/>
        <w:tab w:val="clear" w:pos="4153"/>
        <w:tab w:val="clear" w:pos="8306"/>
      </w:tabs>
      <w:jc w:val="left"/>
    </w:pPr>
    <w:r>
      <w:rPr>
        <w:rFonts w:hint="eastAsia" w:cs="Times New Roman"/>
        <w:sz w:val="18"/>
        <w:szCs w:val="18"/>
        <w:lang w:val="zh-CN" w:eastAsia="zh-CN"/>
      </w:rPr>
      <w:t>2025年度桐庐县计生系列保险服务项目</w:t>
    </w:r>
    <w:r>
      <w:rPr>
        <w:rFonts w:hint="eastAsia" w:ascii="Times New Roman" w:hAnsi="Times New Roman" w:eastAsia="宋体" w:cs="Times New Roman"/>
        <w:sz w:val="18"/>
        <w:szCs w:val="18"/>
        <w:lang w:val="zh-CN"/>
      </w:rPr>
      <w:t></w:t>
    </w:r>
    <w:r>
      <w:rPr>
        <w:rFonts w:hint="eastAsia"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  </w:t>
    </w:r>
    <w:r>
      <w:rPr>
        <w:rFonts w:hint="eastAsia" w:cs="Times New Roman"/>
        <w:sz w:val="18"/>
        <w:szCs w:val="18"/>
        <w:lang w:val="en-US" w:eastAsia="zh-CN"/>
      </w:rPr>
      <w:t xml:space="preserve">                                           </w:t>
    </w:r>
    <w:r>
      <w:rPr>
        <w:rFonts w:hint="eastAsia" w:ascii="Times New Roman" w:hAnsi="Times New Roman" w:eastAsia="宋体" w:cs="Times New Roman"/>
        <w:sz w:val="18"/>
        <w:szCs w:val="18"/>
        <w:lang w:val="en-US" w:eastAsia="zh-CN"/>
      </w:rPr>
      <w:t xml:space="preserve">   </w:t>
    </w:r>
    <w:r>
      <w:rPr>
        <w:rFonts w:hint="eastAsia"/>
        <w:sz w:val="18"/>
        <w:szCs w:val="18"/>
      </w:rPr>
      <w:t xml:space="preserve"> 【</w:t>
    </w:r>
    <w:r>
      <w:rPr>
        <w:rFonts w:hint="eastAsia"/>
        <w:sz w:val="18"/>
        <w:szCs w:val="18"/>
        <w:lang w:val="zh-CN"/>
      </w:rPr>
      <w:t>竞争性磋商</w:t>
    </w:r>
    <w:r>
      <w:rPr>
        <w:rFonts w:hint="eastAsia"/>
        <w:sz w:val="18"/>
        <w:szCs w:val="18"/>
      </w:rPr>
      <w:t>】</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8D07">
    <w:pPr>
      <w:pStyle w:val="42"/>
      <w:pBdr>
        <w:bottom w:val="single" w:color="auto" w:sz="6" w:space="0"/>
      </w:pBdr>
      <w:tabs>
        <w:tab w:val="center" w:pos="4535"/>
        <w:tab w:val="right" w:pos="9070"/>
        <w:tab w:val="clear" w:pos="4153"/>
        <w:tab w:val="clear" w:pos="8306"/>
      </w:tabs>
      <w:jc w:val="left"/>
      <w:rPr>
        <w:rFonts w:ascii="仿宋_GB2312"/>
        <w:b/>
        <w:i/>
        <w:iCs/>
        <w:u w:val="single"/>
      </w:rPr>
    </w:pPr>
    <w:r>
      <w:rPr>
        <w:rFonts w:hint="eastAsia" w:cs="Times New Roman"/>
        <w:sz w:val="18"/>
        <w:szCs w:val="18"/>
        <w:u w:val="none"/>
        <w:lang w:val="zh-CN" w:eastAsia="zh-CN"/>
      </w:rPr>
      <w:t>2025年度桐庐县计生系列保险服务项目</w:t>
    </w:r>
    <w:r>
      <w:rPr>
        <w:rFonts w:hint="eastAsia" w:ascii="Times New Roman" w:hAnsi="Times New Roman" w:eastAsia="宋体" w:cs="Times New Roman"/>
        <w:sz w:val="18"/>
        <w:szCs w:val="18"/>
        <w:u w:val="none"/>
        <w:lang w:val="zh-CN"/>
      </w:rPr>
      <w:t></w:t>
    </w:r>
    <w:r>
      <w:rPr>
        <w:rFonts w:hint="eastAsia" w:ascii="Times New Roman" w:hAnsi="Times New Roman" w:eastAsia="宋体" w:cs="Times New Roman"/>
        <w:sz w:val="18"/>
        <w:szCs w:val="18"/>
        <w:u w:val="none"/>
        <w:lang w:val="en-US" w:eastAsia="zh-CN"/>
      </w:rPr>
      <w:t xml:space="preserve"> </w:t>
    </w:r>
    <w:r>
      <w:rPr>
        <w:rFonts w:hint="eastAsia" w:cs="Times New Roman"/>
        <w:sz w:val="18"/>
        <w:szCs w:val="18"/>
        <w:u w:val="none"/>
        <w:lang w:val="en-US" w:eastAsia="zh-CN"/>
      </w:rPr>
      <w:t xml:space="preserve"> </w:t>
    </w:r>
    <w:r>
      <w:rPr>
        <w:rFonts w:hint="eastAsia" w:ascii="Times New Roman" w:hAnsi="Times New Roman" w:eastAsia="宋体" w:cs="Times New Roman"/>
        <w:sz w:val="18"/>
        <w:szCs w:val="18"/>
        <w:u w:val="none"/>
        <w:lang w:val="en-US" w:eastAsia="zh-CN"/>
      </w:rPr>
      <w:t xml:space="preserve">  </w:t>
    </w:r>
    <w:r>
      <w:rPr>
        <w:rFonts w:hint="eastAsia" w:cs="Times New Roman"/>
        <w:sz w:val="18"/>
        <w:szCs w:val="18"/>
        <w:u w:val="none"/>
        <w:lang w:val="en-US" w:eastAsia="zh-CN"/>
      </w:rPr>
      <w:t xml:space="preserve">                                           </w:t>
    </w:r>
    <w:r>
      <w:rPr>
        <w:rFonts w:hint="eastAsia" w:ascii="Times New Roman" w:hAnsi="Times New Roman" w:eastAsia="宋体" w:cs="Times New Roman"/>
        <w:sz w:val="18"/>
        <w:szCs w:val="18"/>
        <w:u w:val="none"/>
        <w:lang w:val="en-US" w:eastAsia="zh-CN"/>
      </w:rPr>
      <w:t xml:space="preserve">   </w:t>
    </w:r>
    <w:r>
      <w:rPr>
        <w:rFonts w:hint="eastAsia"/>
        <w:sz w:val="18"/>
        <w:szCs w:val="18"/>
        <w:u w:val="none"/>
      </w:rPr>
      <w:t xml:space="preserve"> 【</w:t>
    </w:r>
    <w:r>
      <w:rPr>
        <w:rFonts w:hint="eastAsia"/>
        <w:sz w:val="18"/>
        <w:szCs w:val="18"/>
        <w:u w:val="none"/>
        <w:lang w:val="zh-CN"/>
      </w:rPr>
      <w:t>竞争性磋商</w:t>
    </w:r>
    <w:r>
      <w:rPr>
        <w:rFonts w:hint="eastAsia"/>
        <w:sz w:val="18"/>
        <w:szCs w:val="18"/>
        <w:u w:val="none"/>
      </w:rP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945A">
    <w:pPr>
      <w:pStyle w:val="42"/>
      <w:pBdr>
        <w:bottom w:val="single" w:color="auto" w:sz="6" w:space="0"/>
      </w:pBdr>
      <w:tabs>
        <w:tab w:val="center" w:pos="4535"/>
        <w:tab w:val="right" w:pos="9070"/>
        <w:tab w:val="clear" w:pos="4153"/>
        <w:tab w:val="clear" w:pos="8306"/>
      </w:tabs>
      <w:jc w:val="left"/>
    </w:pPr>
    <w:r>
      <w:rPr>
        <w:rFonts w:hint="eastAsia" w:cs="Times New Roman"/>
        <w:sz w:val="18"/>
        <w:szCs w:val="18"/>
        <w:u w:val="none"/>
        <w:lang w:val="zh-CN" w:eastAsia="zh-CN"/>
      </w:rPr>
      <w:t>2025年度桐庐县计生系列保险服务项目</w:t>
    </w:r>
    <w:r>
      <w:rPr>
        <w:rFonts w:hint="eastAsia" w:ascii="Times New Roman" w:hAnsi="Times New Roman" w:eastAsia="宋体" w:cs="Times New Roman"/>
        <w:sz w:val="18"/>
        <w:szCs w:val="18"/>
        <w:u w:val="none"/>
        <w:lang w:val="zh-CN"/>
      </w:rPr>
      <w:t></w:t>
    </w:r>
    <w:r>
      <w:rPr>
        <w:rFonts w:hint="eastAsia" w:ascii="Times New Roman" w:hAnsi="Times New Roman" w:eastAsia="宋体" w:cs="Times New Roman"/>
        <w:sz w:val="18"/>
        <w:szCs w:val="18"/>
        <w:u w:val="none"/>
        <w:lang w:val="en-US" w:eastAsia="zh-CN"/>
      </w:rPr>
      <w:t xml:space="preserve"> </w:t>
    </w:r>
    <w:r>
      <w:rPr>
        <w:rFonts w:hint="eastAsia" w:cs="Times New Roman"/>
        <w:sz w:val="18"/>
        <w:szCs w:val="18"/>
        <w:u w:val="none"/>
        <w:lang w:val="en-US" w:eastAsia="zh-CN"/>
      </w:rPr>
      <w:t xml:space="preserve"> </w:t>
    </w:r>
    <w:r>
      <w:rPr>
        <w:rFonts w:hint="eastAsia" w:ascii="Times New Roman" w:hAnsi="Times New Roman" w:eastAsia="宋体" w:cs="Times New Roman"/>
        <w:sz w:val="18"/>
        <w:szCs w:val="18"/>
        <w:u w:val="none"/>
        <w:lang w:val="en-US" w:eastAsia="zh-CN"/>
      </w:rPr>
      <w:t xml:space="preserve">  </w:t>
    </w:r>
    <w:r>
      <w:rPr>
        <w:rFonts w:hint="eastAsia" w:cs="Times New Roman"/>
        <w:sz w:val="18"/>
        <w:szCs w:val="18"/>
        <w:u w:val="none"/>
        <w:lang w:val="en-US" w:eastAsia="zh-CN"/>
      </w:rPr>
      <w:t xml:space="preserve">                                           </w:t>
    </w:r>
    <w:r>
      <w:rPr>
        <w:rFonts w:hint="eastAsia" w:ascii="Times New Roman" w:hAnsi="Times New Roman" w:eastAsia="宋体" w:cs="Times New Roman"/>
        <w:sz w:val="18"/>
        <w:szCs w:val="18"/>
        <w:u w:val="none"/>
        <w:lang w:val="en-US" w:eastAsia="zh-CN"/>
      </w:rPr>
      <w:t xml:space="preserve">   </w:t>
    </w:r>
    <w:r>
      <w:rPr>
        <w:rFonts w:hint="eastAsia"/>
        <w:sz w:val="18"/>
        <w:szCs w:val="18"/>
        <w:u w:val="none"/>
      </w:rPr>
      <w:t xml:space="preserve"> 【</w:t>
    </w:r>
    <w:r>
      <w:rPr>
        <w:rFonts w:hint="eastAsia"/>
        <w:sz w:val="18"/>
        <w:szCs w:val="18"/>
        <w:u w:val="none"/>
        <w:lang w:val="zh-CN"/>
      </w:rPr>
      <w:t>竞争性磋商</w:t>
    </w:r>
    <w:r>
      <w:rPr>
        <w:rFonts w:hint="eastAsia"/>
        <w:sz w:val="18"/>
        <w:szCs w:val="18"/>
        <w:u w:val="none"/>
      </w:rPr>
      <w:t>】</w:t>
    </w:r>
    <w:r>
      <w:rPr>
        <w:rFonts w:hint="eastAsia"/>
        <w:u w:val="none"/>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636FF"/>
    <w:multiLevelType w:val="singleLevel"/>
    <w:tmpl w:val="8F3636FF"/>
    <w:lvl w:ilvl="0" w:tentative="0">
      <w:start w:val="6"/>
      <w:numFmt w:val="chineseCounting"/>
      <w:suff w:val="nothing"/>
      <w:lvlText w:val="%1、"/>
      <w:lvlJc w:val="left"/>
      <w:rPr>
        <w:rFonts w:hint="eastAsia"/>
      </w:rPr>
    </w:lvl>
  </w:abstractNum>
  <w:abstractNum w:abstractNumId="1">
    <w:nsid w:val="0CA46A5D"/>
    <w:multiLevelType w:val="singleLevel"/>
    <w:tmpl w:val="0CA46A5D"/>
    <w:lvl w:ilvl="0" w:tentative="0">
      <w:start w:val="2"/>
      <w:numFmt w:val="decimal"/>
      <w:suff w:val="nothing"/>
      <w:lvlText w:val="%1、"/>
      <w:lvlJc w:val="left"/>
    </w:lvl>
  </w:abstractNum>
  <w:abstractNum w:abstractNumId="2">
    <w:nsid w:val="50451DBB"/>
    <w:multiLevelType w:val="singleLevel"/>
    <w:tmpl w:val="50451DB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0MTQ4MTQxMTg2MjI1ZjkyODU0OWNiMjNmMDEwMDEifQ=="/>
    <w:docVar w:name="KSO_WPS_MARK_KEY" w:val="555d059f-a7b6-4f9e-823e-fa08c68f4134"/>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654"/>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4EE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21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19C"/>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2D"/>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0BD"/>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3B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00A"/>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D42"/>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6BE"/>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003"/>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0A3"/>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A2737"/>
    <w:rsid w:val="01657C13"/>
    <w:rsid w:val="017E0CD4"/>
    <w:rsid w:val="01810306"/>
    <w:rsid w:val="01995B0E"/>
    <w:rsid w:val="019F7441"/>
    <w:rsid w:val="01B37585"/>
    <w:rsid w:val="01D55165"/>
    <w:rsid w:val="01DB1C83"/>
    <w:rsid w:val="01DF6BF8"/>
    <w:rsid w:val="01EC2C57"/>
    <w:rsid w:val="01F20F7B"/>
    <w:rsid w:val="02290C40"/>
    <w:rsid w:val="02317AF5"/>
    <w:rsid w:val="02467A44"/>
    <w:rsid w:val="025308EF"/>
    <w:rsid w:val="0261662C"/>
    <w:rsid w:val="026B2E25"/>
    <w:rsid w:val="02824D4D"/>
    <w:rsid w:val="028C11CF"/>
    <w:rsid w:val="02AA327D"/>
    <w:rsid w:val="02C95F38"/>
    <w:rsid w:val="02DC4B10"/>
    <w:rsid w:val="02DD76CE"/>
    <w:rsid w:val="02F36323"/>
    <w:rsid w:val="02F5619C"/>
    <w:rsid w:val="030D0562"/>
    <w:rsid w:val="0326446A"/>
    <w:rsid w:val="032A2EC2"/>
    <w:rsid w:val="032D5555"/>
    <w:rsid w:val="03350A88"/>
    <w:rsid w:val="03451AAA"/>
    <w:rsid w:val="036634D2"/>
    <w:rsid w:val="036D1000"/>
    <w:rsid w:val="03771E7F"/>
    <w:rsid w:val="03977E2B"/>
    <w:rsid w:val="03DD35E4"/>
    <w:rsid w:val="03E80687"/>
    <w:rsid w:val="04076900"/>
    <w:rsid w:val="04163446"/>
    <w:rsid w:val="041A5A3B"/>
    <w:rsid w:val="04203A75"/>
    <w:rsid w:val="042311BA"/>
    <w:rsid w:val="04260A4B"/>
    <w:rsid w:val="042B157A"/>
    <w:rsid w:val="04351B1E"/>
    <w:rsid w:val="043B4C5B"/>
    <w:rsid w:val="043D4169"/>
    <w:rsid w:val="04495DDA"/>
    <w:rsid w:val="0487720E"/>
    <w:rsid w:val="048F763B"/>
    <w:rsid w:val="049F330E"/>
    <w:rsid w:val="04AA775C"/>
    <w:rsid w:val="04AF1889"/>
    <w:rsid w:val="04B35139"/>
    <w:rsid w:val="04B8274F"/>
    <w:rsid w:val="04BF3ADE"/>
    <w:rsid w:val="04DC55B6"/>
    <w:rsid w:val="04F66F48"/>
    <w:rsid w:val="04FA5E3D"/>
    <w:rsid w:val="04FE4606"/>
    <w:rsid w:val="04FF6F28"/>
    <w:rsid w:val="05251E14"/>
    <w:rsid w:val="054162A1"/>
    <w:rsid w:val="05704DD8"/>
    <w:rsid w:val="05717247"/>
    <w:rsid w:val="05A16594"/>
    <w:rsid w:val="05A7762D"/>
    <w:rsid w:val="05D709B3"/>
    <w:rsid w:val="05DF10F8"/>
    <w:rsid w:val="060E5941"/>
    <w:rsid w:val="06110FAF"/>
    <w:rsid w:val="06377D37"/>
    <w:rsid w:val="06471FDD"/>
    <w:rsid w:val="06493CA7"/>
    <w:rsid w:val="06583BE9"/>
    <w:rsid w:val="065A6178"/>
    <w:rsid w:val="066F1CF3"/>
    <w:rsid w:val="06732DD2"/>
    <w:rsid w:val="06930BB8"/>
    <w:rsid w:val="06D164EA"/>
    <w:rsid w:val="0709241E"/>
    <w:rsid w:val="07140111"/>
    <w:rsid w:val="07153E89"/>
    <w:rsid w:val="071A149F"/>
    <w:rsid w:val="07245D42"/>
    <w:rsid w:val="072639A0"/>
    <w:rsid w:val="07264C62"/>
    <w:rsid w:val="075E138C"/>
    <w:rsid w:val="07646421"/>
    <w:rsid w:val="076F5347"/>
    <w:rsid w:val="07736C45"/>
    <w:rsid w:val="0779354C"/>
    <w:rsid w:val="078E2BB3"/>
    <w:rsid w:val="07BE007D"/>
    <w:rsid w:val="08031F33"/>
    <w:rsid w:val="08061376"/>
    <w:rsid w:val="080C528C"/>
    <w:rsid w:val="081E4FBF"/>
    <w:rsid w:val="08206641"/>
    <w:rsid w:val="0822060B"/>
    <w:rsid w:val="082E052D"/>
    <w:rsid w:val="08387E2F"/>
    <w:rsid w:val="08452D77"/>
    <w:rsid w:val="085B1E2C"/>
    <w:rsid w:val="086401F8"/>
    <w:rsid w:val="08751CAA"/>
    <w:rsid w:val="087C51EB"/>
    <w:rsid w:val="087E4C40"/>
    <w:rsid w:val="08BB45BC"/>
    <w:rsid w:val="08D66AD6"/>
    <w:rsid w:val="08DA33A3"/>
    <w:rsid w:val="08E80F13"/>
    <w:rsid w:val="090F4023"/>
    <w:rsid w:val="09150170"/>
    <w:rsid w:val="09335624"/>
    <w:rsid w:val="0944690F"/>
    <w:rsid w:val="09535675"/>
    <w:rsid w:val="095F057D"/>
    <w:rsid w:val="09642282"/>
    <w:rsid w:val="09733572"/>
    <w:rsid w:val="09772C16"/>
    <w:rsid w:val="098353B5"/>
    <w:rsid w:val="09837E07"/>
    <w:rsid w:val="098B26C7"/>
    <w:rsid w:val="09A60DC8"/>
    <w:rsid w:val="09A92330"/>
    <w:rsid w:val="09B06B87"/>
    <w:rsid w:val="09B41737"/>
    <w:rsid w:val="09C13146"/>
    <w:rsid w:val="09D41DD9"/>
    <w:rsid w:val="09E04166"/>
    <w:rsid w:val="09F65832"/>
    <w:rsid w:val="09F8748A"/>
    <w:rsid w:val="0A195A3E"/>
    <w:rsid w:val="0A1C0718"/>
    <w:rsid w:val="0A1C108A"/>
    <w:rsid w:val="0A206DCD"/>
    <w:rsid w:val="0A3E7710"/>
    <w:rsid w:val="0A434320"/>
    <w:rsid w:val="0A5B7E63"/>
    <w:rsid w:val="0A800031"/>
    <w:rsid w:val="0A815B89"/>
    <w:rsid w:val="0AA374A5"/>
    <w:rsid w:val="0AAB7649"/>
    <w:rsid w:val="0ABC5606"/>
    <w:rsid w:val="0AC0235E"/>
    <w:rsid w:val="0ACC0D02"/>
    <w:rsid w:val="0ADB7197"/>
    <w:rsid w:val="0AEE2A27"/>
    <w:rsid w:val="0AFE045A"/>
    <w:rsid w:val="0B1306DF"/>
    <w:rsid w:val="0B30404E"/>
    <w:rsid w:val="0B36617C"/>
    <w:rsid w:val="0B3C19E4"/>
    <w:rsid w:val="0B4C6C14"/>
    <w:rsid w:val="0B4E7969"/>
    <w:rsid w:val="0B631A88"/>
    <w:rsid w:val="0B683D45"/>
    <w:rsid w:val="0B6B051B"/>
    <w:rsid w:val="0B7F3F11"/>
    <w:rsid w:val="0B884417"/>
    <w:rsid w:val="0BAD4690"/>
    <w:rsid w:val="0BBF2615"/>
    <w:rsid w:val="0BD065D0"/>
    <w:rsid w:val="0BF6188C"/>
    <w:rsid w:val="0BF73C91"/>
    <w:rsid w:val="0C083FBC"/>
    <w:rsid w:val="0C170175"/>
    <w:rsid w:val="0C193AD3"/>
    <w:rsid w:val="0C571A41"/>
    <w:rsid w:val="0C5C1171"/>
    <w:rsid w:val="0C5E1CBC"/>
    <w:rsid w:val="0C615B50"/>
    <w:rsid w:val="0C8445DA"/>
    <w:rsid w:val="0C87121B"/>
    <w:rsid w:val="0C9E222B"/>
    <w:rsid w:val="0CB13D41"/>
    <w:rsid w:val="0CC007F7"/>
    <w:rsid w:val="0CD93263"/>
    <w:rsid w:val="0CE95B9C"/>
    <w:rsid w:val="0CFE707A"/>
    <w:rsid w:val="0D063BDA"/>
    <w:rsid w:val="0D08375F"/>
    <w:rsid w:val="0D184CFB"/>
    <w:rsid w:val="0D2B5AC1"/>
    <w:rsid w:val="0D4733F5"/>
    <w:rsid w:val="0D4A7419"/>
    <w:rsid w:val="0D4B3EBA"/>
    <w:rsid w:val="0D4C1C87"/>
    <w:rsid w:val="0D827401"/>
    <w:rsid w:val="0D84094E"/>
    <w:rsid w:val="0D894C89"/>
    <w:rsid w:val="0D8A00E9"/>
    <w:rsid w:val="0D8D589E"/>
    <w:rsid w:val="0D906017"/>
    <w:rsid w:val="0DA01C73"/>
    <w:rsid w:val="0DC9777B"/>
    <w:rsid w:val="0DCD2DC7"/>
    <w:rsid w:val="0DCE6B40"/>
    <w:rsid w:val="0DD63300"/>
    <w:rsid w:val="0DF50604"/>
    <w:rsid w:val="0DF702FE"/>
    <w:rsid w:val="0DF76096"/>
    <w:rsid w:val="0DF77E44"/>
    <w:rsid w:val="0DFC26C6"/>
    <w:rsid w:val="0E060E51"/>
    <w:rsid w:val="0E3177FA"/>
    <w:rsid w:val="0E3E5A73"/>
    <w:rsid w:val="0E43752E"/>
    <w:rsid w:val="0E5604B2"/>
    <w:rsid w:val="0E5C239D"/>
    <w:rsid w:val="0E5E1C72"/>
    <w:rsid w:val="0E6D5D79"/>
    <w:rsid w:val="0E813BB2"/>
    <w:rsid w:val="0E9D0089"/>
    <w:rsid w:val="0EAF24CD"/>
    <w:rsid w:val="0EB75826"/>
    <w:rsid w:val="0EB803EE"/>
    <w:rsid w:val="0ECC307F"/>
    <w:rsid w:val="0ED2440E"/>
    <w:rsid w:val="0EE24651"/>
    <w:rsid w:val="0EF94D4B"/>
    <w:rsid w:val="0EFF3D52"/>
    <w:rsid w:val="0F264E85"/>
    <w:rsid w:val="0F4958DC"/>
    <w:rsid w:val="0F4C0664"/>
    <w:rsid w:val="0F515DF7"/>
    <w:rsid w:val="0F587009"/>
    <w:rsid w:val="0F596BA8"/>
    <w:rsid w:val="0F5D017B"/>
    <w:rsid w:val="0F6248D2"/>
    <w:rsid w:val="0F661726"/>
    <w:rsid w:val="0F693536"/>
    <w:rsid w:val="0F704D68"/>
    <w:rsid w:val="0F7B0511"/>
    <w:rsid w:val="0F7B76D9"/>
    <w:rsid w:val="0F816ACD"/>
    <w:rsid w:val="0F92359B"/>
    <w:rsid w:val="0F9832DB"/>
    <w:rsid w:val="0FBF3FD2"/>
    <w:rsid w:val="0FBF7FF3"/>
    <w:rsid w:val="0FC85F3C"/>
    <w:rsid w:val="0FE8213B"/>
    <w:rsid w:val="10124425"/>
    <w:rsid w:val="101F18D4"/>
    <w:rsid w:val="102962AF"/>
    <w:rsid w:val="10374E70"/>
    <w:rsid w:val="10392996"/>
    <w:rsid w:val="103A5728"/>
    <w:rsid w:val="104A4BA3"/>
    <w:rsid w:val="10523A58"/>
    <w:rsid w:val="105E11FA"/>
    <w:rsid w:val="10646583"/>
    <w:rsid w:val="10725EA8"/>
    <w:rsid w:val="1077526D"/>
    <w:rsid w:val="107D4B15"/>
    <w:rsid w:val="108A3C80"/>
    <w:rsid w:val="109C2F25"/>
    <w:rsid w:val="10A65B52"/>
    <w:rsid w:val="10BE4C49"/>
    <w:rsid w:val="10C26171"/>
    <w:rsid w:val="10C34956"/>
    <w:rsid w:val="10C85AC8"/>
    <w:rsid w:val="10DB3A4D"/>
    <w:rsid w:val="10F33360"/>
    <w:rsid w:val="10FC16EA"/>
    <w:rsid w:val="110F1D40"/>
    <w:rsid w:val="111749F9"/>
    <w:rsid w:val="11266F33"/>
    <w:rsid w:val="11567578"/>
    <w:rsid w:val="11581BF4"/>
    <w:rsid w:val="118045F5"/>
    <w:rsid w:val="1186209F"/>
    <w:rsid w:val="118963A1"/>
    <w:rsid w:val="11983F0E"/>
    <w:rsid w:val="11BF336F"/>
    <w:rsid w:val="11C6522A"/>
    <w:rsid w:val="11D02E86"/>
    <w:rsid w:val="11E104CC"/>
    <w:rsid w:val="11E20309"/>
    <w:rsid w:val="11E84674"/>
    <w:rsid w:val="120B3EBE"/>
    <w:rsid w:val="1211524D"/>
    <w:rsid w:val="12255233"/>
    <w:rsid w:val="12367560"/>
    <w:rsid w:val="124949E7"/>
    <w:rsid w:val="12527D3F"/>
    <w:rsid w:val="12530213"/>
    <w:rsid w:val="127557DC"/>
    <w:rsid w:val="127723A9"/>
    <w:rsid w:val="1283614B"/>
    <w:rsid w:val="12862074"/>
    <w:rsid w:val="12883966"/>
    <w:rsid w:val="128D521B"/>
    <w:rsid w:val="12922FDC"/>
    <w:rsid w:val="129B7938"/>
    <w:rsid w:val="129E45B4"/>
    <w:rsid w:val="12A4224F"/>
    <w:rsid w:val="12D81596"/>
    <w:rsid w:val="12EF1A32"/>
    <w:rsid w:val="12F928B1"/>
    <w:rsid w:val="12FB2185"/>
    <w:rsid w:val="13072A44"/>
    <w:rsid w:val="130C5AF9"/>
    <w:rsid w:val="13286CF2"/>
    <w:rsid w:val="13394A5B"/>
    <w:rsid w:val="1356560D"/>
    <w:rsid w:val="135F4BE2"/>
    <w:rsid w:val="1365717A"/>
    <w:rsid w:val="13763F01"/>
    <w:rsid w:val="139B1A0A"/>
    <w:rsid w:val="139D25C7"/>
    <w:rsid w:val="13A50343"/>
    <w:rsid w:val="13BF3CE4"/>
    <w:rsid w:val="13E23345"/>
    <w:rsid w:val="141008D8"/>
    <w:rsid w:val="14125FE6"/>
    <w:rsid w:val="145C4EA5"/>
    <w:rsid w:val="14601C37"/>
    <w:rsid w:val="146D271E"/>
    <w:rsid w:val="14982588"/>
    <w:rsid w:val="149A5AD9"/>
    <w:rsid w:val="14A625C4"/>
    <w:rsid w:val="14A7619D"/>
    <w:rsid w:val="14B46A8F"/>
    <w:rsid w:val="14C447F8"/>
    <w:rsid w:val="14C52A4A"/>
    <w:rsid w:val="14EF5283"/>
    <w:rsid w:val="150536C3"/>
    <w:rsid w:val="150C1963"/>
    <w:rsid w:val="151447A0"/>
    <w:rsid w:val="151B08BC"/>
    <w:rsid w:val="152A0AFF"/>
    <w:rsid w:val="153E27FD"/>
    <w:rsid w:val="154A6454"/>
    <w:rsid w:val="15602773"/>
    <w:rsid w:val="15762120"/>
    <w:rsid w:val="15836462"/>
    <w:rsid w:val="15B30AF5"/>
    <w:rsid w:val="160B0931"/>
    <w:rsid w:val="16111CBF"/>
    <w:rsid w:val="161A6DC6"/>
    <w:rsid w:val="16225C7A"/>
    <w:rsid w:val="16315EBE"/>
    <w:rsid w:val="167A1613"/>
    <w:rsid w:val="167C35DD"/>
    <w:rsid w:val="16A11295"/>
    <w:rsid w:val="16A8729C"/>
    <w:rsid w:val="16B33777"/>
    <w:rsid w:val="16B5089D"/>
    <w:rsid w:val="16BC70A7"/>
    <w:rsid w:val="16C6339E"/>
    <w:rsid w:val="16C91A60"/>
    <w:rsid w:val="16F2389F"/>
    <w:rsid w:val="1703785A"/>
    <w:rsid w:val="171172B7"/>
    <w:rsid w:val="172F2D79"/>
    <w:rsid w:val="17557BEF"/>
    <w:rsid w:val="17897EF2"/>
    <w:rsid w:val="178D1819"/>
    <w:rsid w:val="17990000"/>
    <w:rsid w:val="17B86896"/>
    <w:rsid w:val="17C70888"/>
    <w:rsid w:val="17D349C1"/>
    <w:rsid w:val="17DA4A5F"/>
    <w:rsid w:val="17EC28B7"/>
    <w:rsid w:val="17F3167D"/>
    <w:rsid w:val="181E2472"/>
    <w:rsid w:val="18277578"/>
    <w:rsid w:val="1830729E"/>
    <w:rsid w:val="185E0F45"/>
    <w:rsid w:val="18602A8A"/>
    <w:rsid w:val="18610CDC"/>
    <w:rsid w:val="1870062C"/>
    <w:rsid w:val="18817102"/>
    <w:rsid w:val="18830A15"/>
    <w:rsid w:val="18852B28"/>
    <w:rsid w:val="188B5321"/>
    <w:rsid w:val="18AD0F2F"/>
    <w:rsid w:val="18B52DD6"/>
    <w:rsid w:val="18B84674"/>
    <w:rsid w:val="18CB25F9"/>
    <w:rsid w:val="18CF43F7"/>
    <w:rsid w:val="18D80511"/>
    <w:rsid w:val="190D676E"/>
    <w:rsid w:val="19687E48"/>
    <w:rsid w:val="19924EC5"/>
    <w:rsid w:val="19932372"/>
    <w:rsid w:val="199E386A"/>
    <w:rsid w:val="19A20DD5"/>
    <w:rsid w:val="19A60971"/>
    <w:rsid w:val="19AE03F1"/>
    <w:rsid w:val="19BD0194"/>
    <w:rsid w:val="1A07140F"/>
    <w:rsid w:val="1A071A03"/>
    <w:rsid w:val="1A1F16AE"/>
    <w:rsid w:val="1A3B5C77"/>
    <w:rsid w:val="1A3F504D"/>
    <w:rsid w:val="1A534654"/>
    <w:rsid w:val="1A5D3725"/>
    <w:rsid w:val="1A824F3A"/>
    <w:rsid w:val="1A900D86"/>
    <w:rsid w:val="1A984BAD"/>
    <w:rsid w:val="1A9D7FC6"/>
    <w:rsid w:val="1AAA261B"/>
    <w:rsid w:val="1AAB4490"/>
    <w:rsid w:val="1AB8220E"/>
    <w:rsid w:val="1AC3707A"/>
    <w:rsid w:val="1AE300CE"/>
    <w:rsid w:val="1AE4166C"/>
    <w:rsid w:val="1AE97FE8"/>
    <w:rsid w:val="1AF06CFB"/>
    <w:rsid w:val="1AF11B8D"/>
    <w:rsid w:val="1AFC2F3E"/>
    <w:rsid w:val="1B11359C"/>
    <w:rsid w:val="1B2A271F"/>
    <w:rsid w:val="1B4842CC"/>
    <w:rsid w:val="1B530544"/>
    <w:rsid w:val="1B713184"/>
    <w:rsid w:val="1B813443"/>
    <w:rsid w:val="1BA209CF"/>
    <w:rsid w:val="1BB4777D"/>
    <w:rsid w:val="1BB630ED"/>
    <w:rsid w:val="1BD75AB8"/>
    <w:rsid w:val="1BF14125"/>
    <w:rsid w:val="1C0459C2"/>
    <w:rsid w:val="1C1B3B4A"/>
    <w:rsid w:val="1C5B5A42"/>
    <w:rsid w:val="1C822547"/>
    <w:rsid w:val="1C876837"/>
    <w:rsid w:val="1C88086E"/>
    <w:rsid w:val="1CA23631"/>
    <w:rsid w:val="1CAB69CA"/>
    <w:rsid w:val="1CB11B06"/>
    <w:rsid w:val="1CBC0BD7"/>
    <w:rsid w:val="1CF245F9"/>
    <w:rsid w:val="1CF55E97"/>
    <w:rsid w:val="1CFC0FD3"/>
    <w:rsid w:val="1D2624F4"/>
    <w:rsid w:val="1D266CE1"/>
    <w:rsid w:val="1D271DC8"/>
    <w:rsid w:val="1D2822C8"/>
    <w:rsid w:val="1D321566"/>
    <w:rsid w:val="1D3963AF"/>
    <w:rsid w:val="1D444728"/>
    <w:rsid w:val="1D5801D4"/>
    <w:rsid w:val="1D6A673C"/>
    <w:rsid w:val="1D9247AE"/>
    <w:rsid w:val="1D993A50"/>
    <w:rsid w:val="1D9E3B64"/>
    <w:rsid w:val="1DB00010"/>
    <w:rsid w:val="1DB4365C"/>
    <w:rsid w:val="1DB567EC"/>
    <w:rsid w:val="1DD52ABB"/>
    <w:rsid w:val="1DDC0E05"/>
    <w:rsid w:val="1DF20628"/>
    <w:rsid w:val="1DF51A98"/>
    <w:rsid w:val="1E3D060F"/>
    <w:rsid w:val="1E3D7AF5"/>
    <w:rsid w:val="1E3F7D2E"/>
    <w:rsid w:val="1E4134E4"/>
    <w:rsid w:val="1E5062B3"/>
    <w:rsid w:val="1E523514"/>
    <w:rsid w:val="1E714A66"/>
    <w:rsid w:val="1E802593"/>
    <w:rsid w:val="1E8F40C9"/>
    <w:rsid w:val="1E9F5838"/>
    <w:rsid w:val="1EA703CC"/>
    <w:rsid w:val="1EB3600A"/>
    <w:rsid w:val="1EB7330C"/>
    <w:rsid w:val="1EF821D6"/>
    <w:rsid w:val="1F0A0FF3"/>
    <w:rsid w:val="1F0B3750"/>
    <w:rsid w:val="1F114ADE"/>
    <w:rsid w:val="1F5771FF"/>
    <w:rsid w:val="1F724F50"/>
    <w:rsid w:val="1F885C90"/>
    <w:rsid w:val="1F8D3B80"/>
    <w:rsid w:val="1FBD78B3"/>
    <w:rsid w:val="1FC35DD8"/>
    <w:rsid w:val="1FD06747"/>
    <w:rsid w:val="1FE868A9"/>
    <w:rsid w:val="1FF561AE"/>
    <w:rsid w:val="20034907"/>
    <w:rsid w:val="20173E4B"/>
    <w:rsid w:val="20234AC9"/>
    <w:rsid w:val="204E48BC"/>
    <w:rsid w:val="2054520E"/>
    <w:rsid w:val="206550E2"/>
    <w:rsid w:val="20717F2A"/>
    <w:rsid w:val="208921B3"/>
    <w:rsid w:val="20973DEB"/>
    <w:rsid w:val="20A35C0A"/>
    <w:rsid w:val="20B26522"/>
    <w:rsid w:val="20B44310"/>
    <w:rsid w:val="20BA367F"/>
    <w:rsid w:val="20BB2F53"/>
    <w:rsid w:val="20D65FDF"/>
    <w:rsid w:val="20DF4F83"/>
    <w:rsid w:val="20F63F8C"/>
    <w:rsid w:val="21050673"/>
    <w:rsid w:val="21052421"/>
    <w:rsid w:val="21090163"/>
    <w:rsid w:val="21101501"/>
    <w:rsid w:val="211116EB"/>
    <w:rsid w:val="21182154"/>
    <w:rsid w:val="213879C6"/>
    <w:rsid w:val="213A656E"/>
    <w:rsid w:val="216133FC"/>
    <w:rsid w:val="216D06F2"/>
    <w:rsid w:val="217157F7"/>
    <w:rsid w:val="21743C22"/>
    <w:rsid w:val="217557F8"/>
    <w:rsid w:val="218B501C"/>
    <w:rsid w:val="218E0668"/>
    <w:rsid w:val="21AF5BBE"/>
    <w:rsid w:val="21CB366A"/>
    <w:rsid w:val="21D56769"/>
    <w:rsid w:val="21E52EF3"/>
    <w:rsid w:val="21FB5D7B"/>
    <w:rsid w:val="220B1C3D"/>
    <w:rsid w:val="221D1D20"/>
    <w:rsid w:val="222039B6"/>
    <w:rsid w:val="22235254"/>
    <w:rsid w:val="22334A87"/>
    <w:rsid w:val="2236569B"/>
    <w:rsid w:val="22401962"/>
    <w:rsid w:val="2245341D"/>
    <w:rsid w:val="22461E93"/>
    <w:rsid w:val="22592A24"/>
    <w:rsid w:val="226B2757"/>
    <w:rsid w:val="22A068A5"/>
    <w:rsid w:val="22BE6801"/>
    <w:rsid w:val="22C602AB"/>
    <w:rsid w:val="22F17100"/>
    <w:rsid w:val="23111551"/>
    <w:rsid w:val="231921B3"/>
    <w:rsid w:val="232474D6"/>
    <w:rsid w:val="232D0A25"/>
    <w:rsid w:val="232D0D6E"/>
    <w:rsid w:val="233500BF"/>
    <w:rsid w:val="23377FF7"/>
    <w:rsid w:val="234E00AF"/>
    <w:rsid w:val="236B425F"/>
    <w:rsid w:val="23706277"/>
    <w:rsid w:val="237C23D4"/>
    <w:rsid w:val="23827D58"/>
    <w:rsid w:val="23836192"/>
    <w:rsid w:val="23901F29"/>
    <w:rsid w:val="239C0061"/>
    <w:rsid w:val="23A75A11"/>
    <w:rsid w:val="23AA4AC5"/>
    <w:rsid w:val="23B908A4"/>
    <w:rsid w:val="23C91E2B"/>
    <w:rsid w:val="23D34A58"/>
    <w:rsid w:val="23D902C0"/>
    <w:rsid w:val="23E95BEF"/>
    <w:rsid w:val="23FD0064"/>
    <w:rsid w:val="23FF75FB"/>
    <w:rsid w:val="24013373"/>
    <w:rsid w:val="243674C1"/>
    <w:rsid w:val="24500FB2"/>
    <w:rsid w:val="245375B0"/>
    <w:rsid w:val="24642C0A"/>
    <w:rsid w:val="247B4ED4"/>
    <w:rsid w:val="2483647E"/>
    <w:rsid w:val="249146F7"/>
    <w:rsid w:val="2492221D"/>
    <w:rsid w:val="24A26071"/>
    <w:rsid w:val="24AC56A6"/>
    <w:rsid w:val="24B22173"/>
    <w:rsid w:val="24B95AD9"/>
    <w:rsid w:val="24BE24DA"/>
    <w:rsid w:val="24C85C3F"/>
    <w:rsid w:val="24CF5825"/>
    <w:rsid w:val="24D663E6"/>
    <w:rsid w:val="24D77F2B"/>
    <w:rsid w:val="24EC7B7F"/>
    <w:rsid w:val="24EE7D9B"/>
    <w:rsid w:val="25056E93"/>
    <w:rsid w:val="25461985"/>
    <w:rsid w:val="25714529"/>
    <w:rsid w:val="257A5F62"/>
    <w:rsid w:val="258B00E2"/>
    <w:rsid w:val="25950217"/>
    <w:rsid w:val="259F2CA8"/>
    <w:rsid w:val="259F2E44"/>
    <w:rsid w:val="25A917A6"/>
    <w:rsid w:val="25B82157"/>
    <w:rsid w:val="25BE27CC"/>
    <w:rsid w:val="25F0369F"/>
    <w:rsid w:val="25F74A5C"/>
    <w:rsid w:val="260333D3"/>
    <w:rsid w:val="26093479"/>
    <w:rsid w:val="2610789E"/>
    <w:rsid w:val="261849A4"/>
    <w:rsid w:val="261C4494"/>
    <w:rsid w:val="2628662C"/>
    <w:rsid w:val="262D45DE"/>
    <w:rsid w:val="262E3697"/>
    <w:rsid w:val="267047E0"/>
    <w:rsid w:val="26797B39"/>
    <w:rsid w:val="267C6B2D"/>
    <w:rsid w:val="268D0EEE"/>
    <w:rsid w:val="26A06E73"/>
    <w:rsid w:val="26A53EF9"/>
    <w:rsid w:val="26A94201"/>
    <w:rsid w:val="26AC274F"/>
    <w:rsid w:val="26C863CA"/>
    <w:rsid w:val="26C923DE"/>
    <w:rsid w:val="26D005DA"/>
    <w:rsid w:val="26D20FF7"/>
    <w:rsid w:val="26FE16CF"/>
    <w:rsid w:val="27044A29"/>
    <w:rsid w:val="270F3FF9"/>
    <w:rsid w:val="27147861"/>
    <w:rsid w:val="271D34C8"/>
    <w:rsid w:val="273D41BF"/>
    <w:rsid w:val="27565784"/>
    <w:rsid w:val="276142BF"/>
    <w:rsid w:val="27764078"/>
    <w:rsid w:val="27783712"/>
    <w:rsid w:val="277976C4"/>
    <w:rsid w:val="27907362"/>
    <w:rsid w:val="27BB1A8B"/>
    <w:rsid w:val="27E72880"/>
    <w:rsid w:val="28292E99"/>
    <w:rsid w:val="28333E1D"/>
    <w:rsid w:val="28454BD6"/>
    <w:rsid w:val="28455253"/>
    <w:rsid w:val="28551971"/>
    <w:rsid w:val="28577A06"/>
    <w:rsid w:val="285B1C53"/>
    <w:rsid w:val="287179D5"/>
    <w:rsid w:val="287F0D0A"/>
    <w:rsid w:val="28884063"/>
    <w:rsid w:val="289F7086"/>
    <w:rsid w:val="28A15125"/>
    <w:rsid w:val="28C32028"/>
    <w:rsid w:val="28CC490F"/>
    <w:rsid w:val="28D70B46"/>
    <w:rsid w:val="28DE40AA"/>
    <w:rsid w:val="28F25980"/>
    <w:rsid w:val="28F33BD2"/>
    <w:rsid w:val="28FE280A"/>
    <w:rsid w:val="29037B8D"/>
    <w:rsid w:val="29345E77"/>
    <w:rsid w:val="294C65AD"/>
    <w:rsid w:val="29565F0F"/>
    <w:rsid w:val="295B3526"/>
    <w:rsid w:val="296C128F"/>
    <w:rsid w:val="29806583"/>
    <w:rsid w:val="29883BEF"/>
    <w:rsid w:val="298B3C4C"/>
    <w:rsid w:val="29EA6657"/>
    <w:rsid w:val="29F26D24"/>
    <w:rsid w:val="2A15033F"/>
    <w:rsid w:val="2A1662C1"/>
    <w:rsid w:val="2A1C7367"/>
    <w:rsid w:val="2A2815FA"/>
    <w:rsid w:val="2A662182"/>
    <w:rsid w:val="2A6D6092"/>
    <w:rsid w:val="2A7D76B4"/>
    <w:rsid w:val="2AA131BA"/>
    <w:rsid w:val="2AAF65D8"/>
    <w:rsid w:val="2ABA427C"/>
    <w:rsid w:val="2ACF41CB"/>
    <w:rsid w:val="2AD93DA3"/>
    <w:rsid w:val="2AE01F34"/>
    <w:rsid w:val="2AEF3F25"/>
    <w:rsid w:val="2B195446"/>
    <w:rsid w:val="2B4104F9"/>
    <w:rsid w:val="2B437463"/>
    <w:rsid w:val="2B726905"/>
    <w:rsid w:val="2B7807EE"/>
    <w:rsid w:val="2B8E1990"/>
    <w:rsid w:val="2B964CE9"/>
    <w:rsid w:val="2B9B5E5B"/>
    <w:rsid w:val="2BB138D1"/>
    <w:rsid w:val="2BBF00EC"/>
    <w:rsid w:val="2BC058C2"/>
    <w:rsid w:val="2BC37CFD"/>
    <w:rsid w:val="2BD5237F"/>
    <w:rsid w:val="2BE536CE"/>
    <w:rsid w:val="2BE758D9"/>
    <w:rsid w:val="2C0003B4"/>
    <w:rsid w:val="2C09049E"/>
    <w:rsid w:val="2C0954BB"/>
    <w:rsid w:val="2C0A653C"/>
    <w:rsid w:val="2C130F9E"/>
    <w:rsid w:val="2C191F85"/>
    <w:rsid w:val="2C276A75"/>
    <w:rsid w:val="2C2A71DF"/>
    <w:rsid w:val="2C2D392A"/>
    <w:rsid w:val="2C536736"/>
    <w:rsid w:val="2C626979"/>
    <w:rsid w:val="2C67477C"/>
    <w:rsid w:val="2C857812"/>
    <w:rsid w:val="2C9E20A7"/>
    <w:rsid w:val="2CA174A1"/>
    <w:rsid w:val="2CD05FD9"/>
    <w:rsid w:val="2CD71115"/>
    <w:rsid w:val="2CDE24A4"/>
    <w:rsid w:val="2CE82D6F"/>
    <w:rsid w:val="2CF86E5C"/>
    <w:rsid w:val="2D016192"/>
    <w:rsid w:val="2D1759B5"/>
    <w:rsid w:val="2D343236"/>
    <w:rsid w:val="2D5C786C"/>
    <w:rsid w:val="2D776454"/>
    <w:rsid w:val="2D7E77E3"/>
    <w:rsid w:val="2D83129D"/>
    <w:rsid w:val="2DAF26BA"/>
    <w:rsid w:val="2DB43204"/>
    <w:rsid w:val="2DBE22D5"/>
    <w:rsid w:val="2DC31699"/>
    <w:rsid w:val="2DD15014"/>
    <w:rsid w:val="2DE806A9"/>
    <w:rsid w:val="2DED451B"/>
    <w:rsid w:val="2DF72DE4"/>
    <w:rsid w:val="2DFA0A5A"/>
    <w:rsid w:val="2E0220AF"/>
    <w:rsid w:val="2E034A0D"/>
    <w:rsid w:val="2E140F22"/>
    <w:rsid w:val="2E312AA7"/>
    <w:rsid w:val="2E4B082A"/>
    <w:rsid w:val="2E5D4E86"/>
    <w:rsid w:val="2E5D790B"/>
    <w:rsid w:val="2E9A3C18"/>
    <w:rsid w:val="2EBB0FEE"/>
    <w:rsid w:val="2EC63002"/>
    <w:rsid w:val="2ED94FD0"/>
    <w:rsid w:val="2F0A6B38"/>
    <w:rsid w:val="2F0F103A"/>
    <w:rsid w:val="2F176141"/>
    <w:rsid w:val="2F2A7C22"/>
    <w:rsid w:val="2F2F7275"/>
    <w:rsid w:val="2F3F11F4"/>
    <w:rsid w:val="2F662C24"/>
    <w:rsid w:val="2F722CBC"/>
    <w:rsid w:val="2F7B222C"/>
    <w:rsid w:val="2F803CE6"/>
    <w:rsid w:val="2F9432ED"/>
    <w:rsid w:val="2F946CCB"/>
    <w:rsid w:val="2FAA2B11"/>
    <w:rsid w:val="2FB90FA6"/>
    <w:rsid w:val="2FC82F97"/>
    <w:rsid w:val="2FD25781"/>
    <w:rsid w:val="2FEA73B1"/>
    <w:rsid w:val="2FFD7934"/>
    <w:rsid w:val="300246FB"/>
    <w:rsid w:val="300A2AC9"/>
    <w:rsid w:val="30376367"/>
    <w:rsid w:val="30393E95"/>
    <w:rsid w:val="303E7AD5"/>
    <w:rsid w:val="303F0650"/>
    <w:rsid w:val="30466CDD"/>
    <w:rsid w:val="30711881"/>
    <w:rsid w:val="30733ACD"/>
    <w:rsid w:val="30803872"/>
    <w:rsid w:val="30843362"/>
    <w:rsid w:val="308C3862"/>
    <w:rsid w:val="309379D8"/>
    <w:rsid w:val="30A270F7"/>
    <w:rsid w:val="30A532D8"/>
    <w:rsid w:val="30BD0622"/>
    <w:rsid w:val="30C877FC"/>
    <w:rsid w:val="30D8545C"/>
    <w:rsid w:val="30DF1478"/>
    <w:rsid w:val="30EC586F"/>
    <w:rsid w:val="30FA1B69"/>
    <w:rsid w:val="311F308B"/>
    <w:rsid w:val="312406A1"/>
    <w:rsid w:val="31552F50"/>
    <w:rsid w:val="31563938"/>
    <w:rsid w:val="316D2048"/>
    <w:rsid w:val="317D375D"/>
    <w:rsid w:val="319121DA"/>
    <w:rsid w:val="319C6071"/>
    <w:rsid w:val="31AC537E"/>
    <w:rsid w:val="31AF440F"/>
    <w:rsid w:val="31B9703B"/>
    <w:rsid w:val="31D10829"/>
    <w:rsid w:val="31E247E4"/>
    <w:rsid w:val="31E3679B"/>
    <w:rsid w:val="31E732FD"/>
    <w:rsid w:val="31EA18EB"/>
    <w:rsid w:val="31ED4F37"/>
    <w:rsid w:val="31F108E6"/>
    <w:rsid w:val="32026C34"/>
    <w:rsid w:val="320F30FF"/>
    <w:rsid w:val="3239017C"/>
    <w:rsid w:val="324A05DB"/>
    <w:rsid w:val="324A4137"/>
    <w:rsid w:val="32517576"/>
    <w:rsid w:val="32732323"/>
    <w:rsid w:val="327D450D"/>
    <w:rsid w:val="328C4750"/>
    <w:rsid w:val="329B0E37"/>
    <w:rsid w:val="32B85545"/>
    <w:rsid w:val="32BE5C2C"/>
    <w:rsid w:val="32C043F9"/>
    <w:rsid w:val="32D3237F"/>
    <w:rsid w:val="32DF0D23"/>
    <w:rsid w:val="32E0684A"/>
    <w:rsid w:val="32E77BD8"/>
    <w:rsid w:val="32F522F5"/>
    <w:rsid w:val="32FA3DAF"/>
    <w:rsid w:val="32FB6478"/>
    <w:rsid w:val="32FD73FC"/>
    <w:rsid w:val="33027B33"/>
    <w:rsid w:val="33263B3F"/>
    <w:rsid w:val="33354DE7"/>
    <w:rsid w:val="336963EB"/>
    <w:rsid w:val="33816EEB"/>
    <w:rsid w:val="33896EE1"/>
    <w:rsid w:val="338F44F8"/>
    <w:rsid w:val="33A43845"/>
    <w:rsid w:val="33B201E6"/>
    <w:rsid w:val="33B2468A"/>
    <w:rsid w:val="33D46D22"/>
    <w:rsid w:val="33EB55CD"/>
    <w:rsid w:val="33EC4C02"/>
    <w:rsid w:val="33FE167D"/>
    <w:rsid w:val="340D2360"/>
    <w:rsid w:val="3410665D"/>
    <w:rsid w:val="34211214"/>
    <w:rsid w:val="342A4817"/>
    <w:rsid w:val="342E63AB"/>
    <w:rsid w:val="343C3F54"/>
    <w:rsid w:val="34594B05"/>
    <w:rsid w:val="34607C42"/>
    <w:rsid w:val="346F60D7"/>
    <w:rsid w:val="34950E68"/>
    <w:rsid w:val="34986E94"/>
    <w:rsid w:val="34A264AC"/>
    <w:rsid w:val="34AF62C9"/>
    <w:rsid w:val="34C75F13"/>
    <w:rsid w:val="34CB4388"/>
    <w:rsid w:val="34FA6E12"/>
    <w:rsid w:val="34FB796B"/>
    <w:rsid w:val="35373099"/>
    <w:rsid w:val="354B444E"/>
    <w:rsid w:val="355377A7"/>
    <w:rsid w:val="35645510"/>
    <w:rsid w:val="356856ED"/>
    <w:rsid w:val="35700359"/>
    <w:rsid w:val="358D5588"/>
    <w:rsid w:val="35BC17F0"/>
    <w:rsid w:val="35C80195"/>
    <w:rsid w:val="35CB1A33"/>
    <w:rsid w:val="35F965A0"/>
    <w:rsid w:val="36010FB1"/>
    <w:rsid w:val="36103404"/>
    <w:rsid w:val="361B184A"/>
    <w:rsid w:val="361E1B63"/>
    <w:rsid w:val="3639699D"/>
    <w:rsid w:val="363A3B40"/>
    <w:rsid w:val="365302AE"/>
    <w:rsid w:val="366003CD"/>
    <w:rsid w:val="36607A0A"/>
    <w:rsid w:val="366E227C"/>
    <w:rsid w:val="366F2E0D"/>
    <w:rsid w:val="367B6A5C"/>
    <w:rsid w:val="36A24542"/>
    <w:rsid w:val="36A71B58"/>
    <w:rsid w:val="36A74ADA"/>
    <w:rsid w:val="36AD60D5"/>
    <w:rsid w:val="36B224F9"/>
    <w:rsid w:val="36E95049"/>
    <w:rsid w:val="36EC0CC9"/>
    <w:rsid w:val="372E5DD5"/>
    <w:rsid w:val="373F410B"/>
    <w:rsid w:val="373F7FE3"/>
    <w:rsid w:val="374C0952"/>
    <w:rsid w:val="374E6478"/>
    <w:rsid w:val="3753122D"/>
    <w:rsid w:val="37531CE0"/>
    <w:rsid w:val="37585548"/>
    <w:rsid w:val="377465D6"/>
    <w:rsid w:val="37824373"/>
    <w:rsid w:val="379B2CA5"/>
    <w:rsid w:val="37B3277F"/>
    <w:rsid w:val="37B53531"/>
    <w:rsid w:val="37B824CF"/>
    <w:rsid w:val="37E172EC"/>
    <w:rsid w:val="37EE7094"/>
    <w:rsid w:val="37FF739B"/>
    <w:rsid w:val="38296C89"/>
    <w:rsid w:val="382F44FB"/>
    <w:rsid w:val="383002EB"/>
    <w:rsid w:val="38451629"/>
    <w:rsid w:val="384D672F"/>
    <w:rsid w:val="38523D46"/>
    <w:rsid w:val="38586797"/>
    <w:rsid w:val="388C36FB"/>
    <w:rsid w:val="38975BFC"/>
    <w:rsid w:val="38B4055C"/>
    <w:rsid w:val="38B75E60"/>
    <w:rsid w:val="38BC0149"/>
    <w:rsid w:val="38BE762D"/>
    <w:rsid w:val="38D87D1C"/>
    <w:rsid w:val="38EF5451"/>
    <w:rsid w:val="390B0AC4"/>
    <w:rsid w:val="390C4194"/>
    <w:rsid w:val="39175A86"/>
    <w:rsid w:val="39186D3D"/>
    <w:rsid w:val="395A1104"/>
    <w:rsid w:val="39616936"/>
    <w:rsid w:val="39636459"/>
    <w:rsid w:val="396A50BF"/>
    <w:rsid w:val="396B7F6C"/>
    <w:rsid w:val="39837B1F"/>
    <w:rsid w:val="39965EB4"/>
    <w:rsid w:val="39B417A9"/>
    <w:rsid w:val="39D52E80"/>
    <w:rsid w:val="39FC5695"/>
    <w:rsid w:val="3A006D8E"/>
    <w:rsid w:val="3A3651E5"/>
    <w:rsid w:val="3A3A2CE3"/>
    <w:rsid w:val="3A5330B8"/>
    <w:rsid w:val="3A614714"/>
    <w:rsid w:val="3A7240D1"/>
    <w:rsid w:val="3A744481"/>
    <w:rsid w:val="3A775CE5"/>
    <w:rsid w:val="3A8C7BEF"/>
    <w:rsid w:val="3A906246"/>
    <w:rsid w:val="3AAD1707"/>
    <w:rsid w:val="3AC86541"/>
    <w:rsid w:val="3ACB01E2"/>
    <w:rsid w:val="3ACE4458"/>
    <w:rsid w:val="3ACF78CF"/>
    <w:rsid w:val="3AD44EE6"/>
    <w:rsid w:val="3AED7D56"/>
    <w:rsid w:val="3AFD61EB"/>
    <w:rsid w:val="3B2349B7"/>
    <w:rsid w:val="3B345984"/>
    <w:rsid w:val="3B616CFF"/>
    <w:rsid w:val="3B6259F6"/>
    <w:rsid w:val="3B6C3370"/>
    <w:rsid w:val="3B6D431E"/>
    <w:rsid w:val="3B810D72"/>
    <w:rsid w:val="3B976654"/>
    <w:rsid w:val="3BC01EFC"/>
    <w:rsid w:val="3BC27434"/>
    <w:rsid w:val="3BCA786A"/>
    <w:rsid w:val="3BD31E2F"/>
    <w:rsid w:val="3BD3519D"/>
    <w:rsid w:val="3BF15831"/>
    <w:rsid w:val="3C105946"/>
    <w:rsid w:val="3C1D4B97"/>
    <w:rsid w:val="3C444A12"/>
    <w:rsid w:val="3C471448"/>
    <w:rsid w:val="3C5A766D"/>
    <w:rsid w:val="3C5F759A"/>
    <w:rsid w:val="3C6B187A"/>
    <w:rsid w:val="3C6C525A"/>
    <w:rsid w:val="3CA07775"/>
    <w:rsid w:val="3CB52AF5"/>
    <w:rsid w:val="3CCE23CB"/>
    <w:rsid w:val="3CD17D17"/>
    <w:rsid w:val="3CE113E1"/>
    <w:rsid w:val="3D3C7F39"/>
    <w:rsid w:val="3D440F09"/>
    <w:rsid w:val="3D4504A0"/>
    <w:rsid w:val="3D450A5A"/>
    <w:rsid w:val="3D5E4F3B"/>
    <w:rsid w:val="3D8734BB"/>
    <w:rsid w:val="3D8A3F82"/>
    <w:rsid w:val="3D8B21D4"/>
    <w:rsid w:val="3D933BE4"/>
    <w:rsid w:val="3D9A11D4"/>
    <w:rsid w:val="3DA16D89"/>
    <w:rsid w:val="3DA364BE"/>
    <w:rsid w:val="3DC02F49"/>
    <w:rsid w:val="3DE041CB"/>
    <w:rsid w:val="3DE10046"/>
    <w:rsid w:val="3DF633C5"/>
    <w:rsid w:val="3DF95BA5"/>
    <w:rsid w:val="3DFE0BF8"/>
    <w:rsid w:val="3E0D48F6"/>
    <w:rsid w:val="3E0E4BB3"/>
    <w:rsid w:val="3E1868B4"/>
    <w:rsid w:val="3E377251"/>
    <w:rsid w:val="3E42664B"/>
    <w:rsid w:val="3E4660FB"/>
    <w:rsid w:val="3E5A7334"/>
    <w:rsid w:val="3E7B5D6B"/>
    <w:rsid w:val="3E8167B1"/>
    <w:rsid w:val="3E8310FD"/>
    <w:rsid w:val="3E843E66"/>
    <w:rsid w:val="3E8F51FE"/>
    <w:rsid w:val="3E926F87"/>
    <w:rsid w:val="3E9A59DE"/>
    <w:rsid w:val="3E9B0777"/>
    <w:rsid w:val="3EA64DEB"/>
    <w:rsid w:val="3EA90437"/>
    <w:rsid w:val="3EAF4836"/>
    <w:rsid w:val="3EB821C3"/>
    <w:rsid w:val="3EC33DFA"/>
    <w:rsid w:val="3EDA5F2B"/>
    <w:rsid w:val="3F060E16"/>
    <w:rsid w:val="3F0C1519"/>
    <w:rsid w:val="3F1D1096"/>
    <w:rsid w:val="3F2F0234"/>
    <w:rsid w:val="3F6363FE"/>
    <w:rsid w:val="3F6E3B5B"/>
    <w:rsid w:val="3F756B8F"/>
    <w:rsid w:val="3F8B67BC"/>
    <w:rsid w:val="3F95482B"/>
    <w:rsid w:val="3F9A4950"/>
    <w:rsid w:val="3FBE7F13"/>
    <w:rsid w:val="3FCA4B09"/>
    <w:rsid w:val="3FF676AC"/>
    <w:rsid w:val="3FFC76BE"/>
    <w:rsid w:val="4013025E"/>
    <w:rsid w:val="40155D85"/>
    <w:rsid w:val="4019356B"/>
    <w:rsid w:val="40592157"/>
    <w:rsid w:val="405F16F6"/>
    <w:rsid w:val="406E1CAE"/>
    <w:rsid w:val="407056B1"/>
    <w:rsid w:val="409C0254"/>
    <w:rsid w:val="40A0133A"/>
    <w:rsid w:val="40C31A53"/>
    <w:rsid w:val="40C94DC1"/>
    <w:rsid w:val="40CB28E7"/>
    <w:rsid w:val="40EA6924"/>
    <w:rsid w:val="40FF545D"/>
    <w:rsid w:val="410067C8"/>
    <w:rsid w:val="41140732"/>
    <w:rsid w:val="4169774F"/>
    <w:rsid w:val="41735459"/>
    <w:rsid w:val="417411D1"/>
    <w:rsid w:val="41782A6F"/>
    <w:rsid w:val="41886A2A"/>
    <w:rsid w:val="418C02C8"/>
    <w:rsid w:val="418F0D2A"/>
    <w:rsid w:val="41D01505"/>
    <w:rsid w:val="41D659E7"/>
    <w:rsid w:val="422E5823"/>
    <w:rsid w:val="423F17DF"/>
    <w:rsid w:val="42474939"/>
    <w:rsid w:val="424C3C57"/>
    <w:rsid w:val="425D7EB7"/>
    <w:rsid w:val="425F59DD"/>
    <w:rsid w:val="42613FF3"/>
    <w:rsid w:val="42660D96"/>
    <w:rsid w:val="427F1BDB"/>
    <w:rsid w:val="428667D2"/>
    <w:rsid w:val="428B67D2"/>
    <w:rsid w:val="428F3FA1"/>
    <w:rsid w:val="42B07FBC"/>
    <w:rsid w:val="42BF022A"/>
    <w:rsid w:val="42CD1CE0"/>
    <w:rsid w:val="42E1381E"/>
    <w:rsid w:val="42ED6459"/>
    <w:rsid w:val="42FE58DD"/>
    <w:rsid w:val="43174B3D"/>
    <w:rsid w:val="434B790E"/>
    <w:rsid w:val="4360274F"/>
    <w:rsid w:val="43607C5E"/>
    <w:rsid w:val="436314FD"/>
    <w:rsid w:val="43776D56"/>
    <w:rsid w:val="43977AB6"/>
    <w:rsid w:val="43A3342B"/>
    <w:rsid w:val="43AA2C88"/>
    <w:rsid w:val="43BE4985"/>
    <w:rsid w:val="43C57AC2"/>
    <w:rsid w:val="43C77C27"/>
    <w:rsid w:val="43D341C9"/>
    <w:rsid w:val="43D917BF"/>
    <w:rsid w:val="43DE09EE"/>
    <w:rsid w:val="43E73EDC"/>
    <w:rsid w:val="43F65ECD"/>
    <w:rsid w:val="43F66C59"/>
    <w:rsid w:val="44002FAD"/>
    <w:rsid w:val="44254A04"/>
    <w:rsid w:val="446077EA"/>
    <w:rsid w:val="449101DD"/>
    <w:rsid w:val="44A65B45"/>
    <w:rsid w:val="44D43AEA"/>
    <w:rsid w:val="44DE1391"/>
    <w:rsid w:val="44FF0DB1"/>
    <w:rsid w:val="450B59A8"/>
    <w:rsid w:val="451B225C"/>
    <w:rsid w:val="452410C9"/>
    <w:rsid w:val="45317DFB"/>
    <w:rsid w:val="454D3811"/>
    <w:rsid w:val="454D4625"/>
    <w:rsid w:val="455C4456"/>
    <w:rsid w:val="456D3CE4"/>
    <w:rsid w:val="4579042C"/>
    <w:rsid w:val="457F0571"/>
    <w:rsid w:val="45851176"/>
    <w:rsid w:val="45C63B94"/>
    <w:rsid w:val="45EA1A61"/>
    <w:rsid w:val="460E7DA5"/>
    <w:rsid w:val="461865CE"/>
    <w:rsid w:val="461C2902"/>
    <w:rsid w:val="462D194E"/>
    <w:rsid w:val="46422483"/>
    <w:rsid w:val="46431172"/>
    <w:rsid w:val="4659254A"/>
    <w:rsid w:val="465B0637"/>
    <w:rsid w:val="465E3F0D"/>
    <w:rsid w:val="466A16E6"/>
    <w:rsid w:val="468244FD"/>
    <w:rsid w:val="46893F2B"/>
    <w:rsid w:val="46C4686E"/>
    <w:rsid w:val="470923BB"/>
    <w:rsid w:val="472B0583"/>
    <w:rsid w:val="472F1E22"/>
    <w:rsid w:val="473A4323"/>
    <w:rsid w:val="477B778F"/>
    <w:rsid w:val="477F61D9"/>
    <w:rsid w:val="478203EC"/>
    <w:rsid w:val="47A82EF4"/>
    <w:rsid w:val="47B025FA"/>
    <w:rsid w:val="47B93F31"/>
    <w:rsid w:val="47E0136E"/>
    <w:rsid w:val="47E56984"/>
    <w:rsid w:val="47EC2D99"/>
    <w:rsid w:val="4800731A"/>
    <w:rsid w:val="4809698F"/>
    <w:rsid w:val="4811697D"/>
    <w:rsid w:val="482A25E9"/>
    <w:rsid w:val="48435459"/>
    <w:rsid w:val="487A3570"/>
    <w:rsid w:val="487A3E25"/>
    <w:rsid w:val="488B5503"/>
    <w:rsid w:val="488C457A"/>
    <w:rsid w:val="48937E21"/>
    <w:rsid w:val="489A0361"/>
    <w:rsid w:val="48A62558"/>
    <w:rsid w:val="48A96807"/>
    <w:rsid w:val="48B16866"/>
    <w:rsid w:val="48B94FF3"/>
    <w:rsid w:val="48C06AA9"/>
    <w:rsid w:val="48C15470"/>
    <w:rsid w:val="48C52312"/>
    <w:rsid w:val="48DF5874"/>
    <w:rsid w:val="48E37AAB"/>
    <w:rsid w:val="48FD4B4C"/>
    <w:rsid w:val="490A68E0"/>
    <w:rsid w:val="491055FE"/>
    <w:rsid w:val="493A4AAE"/>
    <w:rsid w:val="49455160"/>
    <w:rsid w:val="495F5B3E"/>
    <w:rsid w:val="496F77D7"/>
    <w:rsid w:val="497654FD"/>
    <w:rsid w:val="49AB59AC"/>
    <w:rsid w:val="49B64211"/>
    <w:rsid w:val="49BC54C3"/>
    <w:rsid w:val="49D00F6E"/>
    <w:rsid w:val="49E14F29"/>
    <w:rsid w:val="49F509D5"/>
    <w:rsid w:val="49F6167F"/>
    <w:rsid w:val="4A064FA0"/>
    <w:rsid w:val="4A1470AD"/>
    <w:rsid w:val="4A16615C"/>
    <w:rsid w:val="4A4424D7"/>
    <w:rsid w:val="4A69389D"/>
    <w:rsid w:val="4A783AE0"/>
    <w:rsid w:val="4A8368F1"/>
    <w:rsid w:val="4AA04DE4"/>
    <w:rsid w:val="4AAC19DB"/>
    <w:rsid w:val="4AB82D0F"/>
    <w:rsid w:val="4ABD5996"/>
    <w:rsid w:val="4AC62A9D"/>
    <w:rsid w:val="4AC92197"/>
    <w:rsid w:val="4AD66A58"/>
    <w:rsid w:val="4AEB7664"/>
    <w:rsid w:val="4AFD7C19"/>
    <w:rsid w:val="4B0567D1"/>
    <w:rsid w:val="4B157580"/>
    <w:rsid w:val="4B236AAE"/>
    <w:rsid w:val="4B4734B2"/>
    <w:rsid w:val="4B4D16A5"/>
    <w:rsid w:val="4B707271"/>
    <w:rsid w:val="4B72052F"/>
    <w:rsid w:val="4B8E66ED"/>
    <w:rsid w:val="4B9739F7"/>
    <w:rsid w:val="4B99725C"/>
    <w:rsid w:val="4BDF36EB"/>
    <w:rsid w:val="4BEE2503"/>
    <w:rsid w:val="4BEF7DD1"/>
    <w:rsid w:val="4C237A7B"/>
    <w:rsid w:val="4C245A30"/>
    <w:rsid w:val="4C885B30"/>
    <w:rsid w:val="4CB6685F"/>
    <w:rsid w:val="4CB93F3C"/>
    <w:rsid w:val="4CBB4158"/>
    <w:rsid w:val="4CC367FE"/>
    <w:rsid w:val="4CD62D3F"/>
    <w:rsid w:val="4CDE39A2"/>
    <w:rsid w:val="4CE216E4"/>
    <w:rsid w:val="4CF9127D"/>
    <w:rsid w:val="4D077F3C"/>
    <w:rsid w:val="4D123355"/>
    <w:rsid w:val="4D2A3B31"/>
    <w:rsid w:val="4D312C52"/>
    <w:rsid w:val="4D323656"/>
    <w:rsid w:val="4D41465D"/>
    <w:rsid w:val="4D4203D5"/>
    <w:rsid w:val="4D622825"/>
    <w:rsid w:val="4D6E4D26"/>
    <w:rsid w:val="4D7006C7"/>
    <w:rsid w:val="4D905305"/>
    <w:rsid w:val="4D964A72"/>
    <w:rsid w:val="4D9C1254"/>
    <w:rsid w:val="4D9F3131"/>
    <w:rsid w:val="4DA62712"/>
    <w:rsid w:val="4DE35714"/>
    <w:rsid w:val="4DF7049E"/>
    <w:rsid w:val="4E593C28"/>
    <w:rsid w:val="4E740A62"/>
    <w:rsid w:val="4E793892"/>
    <w:rsid w:val="4E800872"/>
    <w:rsid w:val="4EC569ED"/>
    <w:rsid w:val="4ECC4F19"/>
    <w:rsid w:val="4ED50EA1"/>
    <w:rsid w:val="4EE8122A"/>
    <w:rsid w:val="4EEC050C"/>
    <w:rsid w:val="4F0E67C1"/>
    <w:rsid w:val="4F104EC3"/>
    <w:rsid w:val="4F1D07B2"/>
    <w:rsid w:val="4F2935FA"/>
    <w:rsid w:val="4F3B332E"/>
    <w:rsid w:val="4F4026F2"/>
    <w:rsid w:val="4F47354A"/>
    <w:rsid w:val="4F4F7C6B"/>
    <w:rsid w:val="4F5F701C"/>
    <w:rsid w:val="4F911C54"/>
    <w:rsid w:val="4FA11BD7"/>
    <w:rsid w:val="4FA15887"/>
    <w:rsid w:val="4FA709C3"/>
    <w:rsid w:val="4FB05ACA"/>
    <w:rsid w:val="4FCB6460"/>
    <w:rsid w:val="4FE625E0"/>
    <w:rsid w:val="5021480F"/>
    <w:rsid w:val="50371D47"/>
    <w:rsid w:val="50382487"/>
    <w:rsid w:val="503E30D6"/>
    <w:rsid w:val="505226DD"/>
    <w:rsid w:val="50683DFF"/>
    <w:rsid w:val="508C2093"/>
    <w:rsid w:val="50962ECB"/>
    <w:rsid w:val="50974594"/>
    <w:rsid w:val="509C1BAA"/>
    <w:rsid w:val="50A42E38"/>
    <w:rsid w:val="50A4577F"/>
    <w:rsid w:val="50A76ECD"/>
    <w:rsid w:val="50AF5D81"/>
    <w:rsid w:val="50B73D1F"/>
    <w:rsid w:val="50BD5BC9"/>
    <w:rsid w:val="50C11EEE"/>
    <w:rsid w:val="50C86E43"/>
    <w:rsid w:val="50D15CF8"/>
    <w:rsid w:val="50D35711"/>
    <w:rsid w:val="50D94BAC"/>
    <w:rsid w:val="50E772C9"/>
    <w:rsid w:val="50E97CFC"/>
    <w:rsid w:val="50F11EF6"/>
    <w:rsid w:val="50FA4028"/>
    <w:rsid w:val="510D65B7"/>
    <w:rsid w:val="511157AB"/>
    <w:rsid w:val="512C5624"/>
    <w:rsid w:val="51356701"/>
    <w:rsid w:val="513B13C3"/>
    <w:rsid w:val="5142540C"/>
    <w:rsid w:val="51453FF0"/>
    <w:rsid w:val="514C0FFC"/>
    <w:rsid w:val="51714DE5"/>
    <w:rsid w:val="51864D34"/>
    <w:rsid w:val="518832C8"/>
    <w:rsid w:val="518C60C3"/>
    <w:rsid w:val="518F170F"/>
    <w:rsid w:val="51A0432A"/>
    <w:rsid w:val="51A86090"/>
    <w:rsid w:val="51B7396D"/>
    <w:rsid w:val="51E33663"/>
    <w:rsid w:val="51F420AA"/>
    <w:rsid w:val="52120376"/>
    <w:rsid w:val="522E4CC3"/>
    <w:rsid w:val="52344790"/>
    <w:rsid w:val="523E73BD"/>
    <w:rsid w:val="5244713B"/>
    <w:rsid w:val="525D44AE"/>
    <w:rsid w:val="525F10E1"/>
    <w:rsid w:val="52615633"/>
    <w:rsid w:val="526A01B2"/>
    <w:rsid w:val="5273290F"/>
    <w:rsid w:val="52977FD4"/>
    <w:rsid w:val="52A25790"/>
    <w:rsid w:val="52A96B6F"/>
    <w:rsid w:val="52AD4542"/>
    <w:rsid w:val="52B45975"/>
    <w:rsid w:val="52CC60BE"/>
    <w:rsid w:val="52D94AA4"/>
    <w:rsid w:val="52E141EC"/>
    <w:rsid w:val="52EA3A62"/>
    <w:rsid w:val="52F47B6E"/>
    <w:rsid w:val="52F50BB8"/>
    <w:rsid w:val="53097272"/>
    <w:rsid w:val="53281E1B"/>
    <w:rsid w:val="532F6D06"/>
    <w:rsid w:val="534722A1"/>
    <w:rsid w:val="53544462"/>
    <w:rsid w:val="53620E89"/>
    <w:rsid w:val="5365684A"/>
    <w:rsid w:val="53964FD7"/>
    <w:rsid w:val="5397158E"/>
    <w:rsid w:val="53BF0089"/>
    <w:rsid w:val="53CC1F07"/>
    <w:rsid w:val="54013861"/>
    <w:rsid w:val="54071A30"/>
    <w:rsid w:val="54383D52"/>
    <w:rsid w:val="54387FEA"/>
    <w:rsid w:val="54436F0C"/>
    <w:rsid w:val="54487265"/>
    <w:rsid w:val="54496BDA"/>
    <w:rsid w:val="544D6070"/>
    <w:rsid w:val="54516D0E"/>
    <w:rsid w:val="54605E1E"/>
    <w:rsid w:val="54B3506A"/>
    <w:rsid w:val="54CA0D16"/>
    <w:rsid w:val="54CF254E"/>
    <w:rsid w:val="54DD4057"/>
    <w:rsid w:val="54E02C40"/>
    <w:rsid w:val="54E7490F"/>
    <w:rsid w:val="54FE1085"/>
    <w:rsid w:val="550764A4"/>
    <w:rsid w:val="550B2BF6"/>
    <w:rsid w:val="551C775D"/>
    <w:rsid w:val="55214EB5"/>
    <w:rsid w:val="55364EFD"/>
    <w:rsid w:val="5555404F"/>
    <w:rsid w:val="555D4828"/>
    <w:rsid w:val="55741347"/>
    <w:rsid w:val="557A4C8B"/>
    <w:rsid w:val="558931E1"/>
    <w:rsid w:val="55923347"/>
    <w:rsid w:val="55925180"/>
    <w:rsid w:val="55983B1B"/>
    <w:rsid w:val="55A8376B"/>
    <w:rsid w:val="55D63DB0"/>
    <w:rsid w:val="55DC29B6"/>
    <w:rsid w:val="55DD4241"/>
    <w:rsid w:val="55DF4A13"/>
    <w:rsid w:val="55E738C7"/>
    <w:rsid w:val="56244B1C"/>
    <w:rsid w:val="564E7DEA"/>
    <w:rsid w:val="56625644"/>
    <w:rsid w:val="56690780"/>
    <w:rsid w:val="566B6D1E"/>
    <w:rsid w:val="566E3FE9"/>
    <w:rsid w:val="56725887"/>
    <w:rsid w:val="569357FD"/>
    <w:rsid w:val="56B714EC"/>
    <w:rsid w:val="56C524F2"/>
    <w:rsid w:val="56DE4CCA"/>
    <w:rsid w:val="57032A2C"/>
    <w:rsid w:val="570F5219"/>
    <w:rsid w:val="57342B3C"/>
    <w:rsid w:val="57511940"/>
    <w:rsid w:val="575D12B5"/>
    <w:rsid w:val="57610A87"/>
    <w:rsid w:val="577B1140"/>
    <w:rsid w:val="577B7F21"/>
    <w:rsid w:val="577C44E3"/>
    <w:rsid w:val="577F181B"/>
    <w:rsid w:val="57921984"/>
    <w:rsid w:val="579737F0"/>
    <w:rsid w:val="57AB7B30"/>
    <w:rsid w:val="57AF5251"/>
    <w:rsid w:val="57B26373"/>
    <w:rsid w:val="57B63F04"/>
    <w:rsid w:val="57CD20C2"/>
    <w:rsid w:val="57D675AB"/>
    <w:rsid w:val="57D95FDD"/>
    <w:rsid w:val="580C3AB9"/>
    <w:rsid w:val="580F5357"/>
    <w:rsid w:val="582C5F09"/>
    <w:rsid w:val="5857493E"/>
    <w:rsid w:val="588E0972"/>
    <w:rsid w:val="589143AC"/>
    <w:rsid w:val="58917D2F"/>
    <w:rsid w:val="5894085C"/>
    <w:rsid w:val="589B6FEB"/>
    <w:rsid w:val="58AE4F0C"/>
    <w:rsid w:val="58B85899"/>
    <w:rsid w:val="58D676A0"/>
    <w:rsid w:val="58E363A9"/>
    <w:rsid w:val="593E70C4"/>
    <w:rsid w:val="594B0611"/>
    <w:rsid w:val="594F216F"/>
    <w:rsid w:val="59594ADC"/>
    <w:rsid w:val="595E1678"/>
    <w:rsid w:val="596D5BD4"/>
    <w:rsid w:val="597E3DD8"/>
    <w:rsid w:val="598002BB"/>
    <w:rsid w:val="59B91A1F"/>
    <w:rsid w:val="59C56616"/>
    <w:rsid w:val="59D2321E"/>
    <w:rsid w:val="59F80043"/>
    <w:rsid w:val="5A09252F"/>
    <w:rsid w:val="5A0B2778"/>
    <w:rsid w:val="5A0E58C7"/>
    <w:rsid w:val="5A1B2694"/>
    <w:rsid w:val="5A2A7C7B"/>
    <w:rsid w:val="5A2F1CE1"/>
    <w:rsid w:val="5A3E2560"/>
    <w:rsid w:val="5A3F0176"/>
    <w:rsid w:val="5A5D3B6E"/>
    <w:rsid w:val="5A6279C1"/>
    <w:rsid w:val="5A637A76"/>
    <w:rsid w:val="5A6D33BA"/>
    <w:rsid w:val="5A792B1F"/>
    <w:rsid w:val="5A874767"/>
    <w:rsid w:val="5A950AB4"/>
    <w:rsid w:val="5A9E7BC4"/>
    <w:rsid w:val="5AAD6F28"/>
    <w:rsid w:val="5ABF3065"/>
    <w:rsid w:val="5ACE14FA"/>
    <w:rsid w:val="5AD63A24"/>
    <w:rsid w:val="5AD84127"/>
    <w:rsid w:val="5AE1122D"/>
    <w:rsid w:val="5B155EE3"/>
    <w:rsid w:val="5B24736C"/>
    <w:rsid w:val="5B2E1A1D"/>
    <w:rsid w:val="5B2E3D47"/>
    <w:rsid w:val="5B5F2152"/>
    <w:rsid w:val="5B7E082A"/>
    <w:rsid w:val="5B7E6A7C"/>
    <w:rsid w:val="5B843A1C"/>
    <w:rsid w:val="5B863B83"/>
    <w:rsid w:val="5B873E3F"/>
    <w:rsid w:val="5B8B6B74"/>
    <w:rsid w:val="5BAC25F2"/>
    <w:rsid w:val="5BAE2173"/>
    <w:rsid w:val="5BB70CBF"/>
    <w:rsid w:val="5BB95D06"/>
    <w:rsid w:val="5BD1041F"/>
    <w:rsid w:val="5C02690E"/>
    <w:rsid w:val="5C0F1DCA"/>
    <w:rsid w:val="5C164F06"/>
    <w:rsid w:val="5C196DA7"/>
    <w:rsid w:val="5C2A048C"/>
    <w:rsid w:val="5C375C2F"/>
    <w:rsid w:val="5C80234E"/>
    <w:rsid w:val="5C8A680C"/>
    <w:rsid w:val="5C8E0F41"/>
    <w:rsid w:val="5CB309A7"/>
    <w:rsid w:val="5CB5471F"/>
    <w:rsid w:val="5CBB785C"/>
    <w:rsid w:val="5CC11316"/>
    <w:rsid w:val="5D0C4701"/>
    <w:rsid w:val="5D0F0395"/>
    <w:rsid w:val="5D1E0ADA"/>
    <w:rsid w:val="5D215AB6"/>
    <w:rsid w:val="5D221076"/>
    <w:rsid w:val="5D261179"/>
    <w:rsid w:val="5D397964"/>
    <w:rsid w:val="5D415EEE"/>
    <w:rsid w:val="5D495E73"/>
    <w:rsid w:val="5D5A391C"/>
    <w:rsid w:val="5D5F10C0"/>
    <w:rsid w:val="5D891B7B"/>
    <w:rsid w:val="5D8B36D2"/>
    <w:rsid w:val="5DA64068"/>
    <w:rsid w:val="5DAD38EE"/>
    <w:rsid w:val="5DC6470A"/>
    <w:rsid w:val="5DD24E5D"/>
    <w:rsid w:val="5DDD2180"/>
    <w:rsid w:val="5E006862"/>
    <w:rsid w:val="5E0207B9"/>
    <w:rsid w:val="5E1834A1"/>
    <w:rsid w:val="5E261785"/>
    <w:rsid w:val="5E4A7017"/>
    <w:rsid w:val="5E5341F0"/>
    <w:rsid w:val="5E552BBA"/>
    <w:rsid w:val="5E5B12F6"/>
    <w:rsid w:val="5E611C10"/>
    <w:rsid w:val="5E784F5B"/>
    <w:rsid w:val="5E7B72A3"/>
    <w:rsid w:val="5E9F598D"/>
    <w:rsid w:val="5EA7453C"/>
    <w:rsid w:val="5EA83F26"/>
    <w:rsid w:val="5EB138E3"/>
    <w:rsid w:val="5EC944B2"/>
    <w:rsid w:val="5EDF7EEE"/>
    <w:rsid w:val="5EFC7377"/>
    <w:rsid w:val="5F06174D"/>
    <w:rsid w:val="5F08322C"/>
    <w:rsid w:val="5F0A6E2B"/>
    <w:rsid w:val="5F2B6F1B"/>
    <w:rsid w:val="5F3A3602"/>
    <w:rsid w:val="5F5024DD"/>
    <w:rsid w:val="5F6277C6"/>
    <w:rsid w:val="5F683CCB"/>
    <w:rsid w:val="5F6D0B1D"/>
    <w:rsid w:val="5F73441E"/>
    <w:rsid w:val="5F8D0B82"/>
    <w:rsid w:val="5FA12D39"/>
    <w:rsid w:val="5FAF36A8"/>
    <w:rsid w:val="5FC058B5"/>
    <w:rsid w:val="5FCC5339"/>
    <w:rsid w:val="5FCF149E"/>
    <w:rsid w:val="5FD1139E"/>
    <w:rsid w:val="5FE34A5B"/>
    <w:rsid w:val="5FFE1E36"/>
    <w:rsid w:val="60031C46"/>
    <w:rsid w:val="600734E4"/>
    <w:rsid w:val="60232584"/>
    <w:rsid w:val="60675D31"/>
    <w:rsid w:val="607330CE"/>
    <w:rsid w:val="60771CEC"/>
    <w:rsid w:val="60782F1C"/>
    <w:rsid w:val="607B7A2E"/>
    <w:rsid w:val="60825176"/>
    <w:rsid w:val="6098238E"/>
    <w:rsid w:val="609F2AC4"/>
    <w:rsid w:val="60C767CF"/>
    <w:rsid w:val="60E27AAD"/>
    <w:rsid w:val="60FA2EE8"/>
    <w:rsid w:val="61054A27"/>
    <w:rsid w:val="610A52BC"/>
    <w:rsid w:val="610C4B2A"/>
    <w:rsid w:val="611D2366"/>
    <w:rsid w:val="613B0F6B"/>
    <w:rsid w:val="61421856"/>
    <w:rsid w:val="615227C4"/>
    <w:rsid w:val="61654E3F"/>
    <w:rsid w:val="61776447"/>
    <w:rsid w:val="6182292A"/>
    <w:rsid w:val="61840B64"/>
    <w:rsid w:val="619F7F92"/>
    <w:rsid w:val="61AB7E9F"/>
    <w:rsid w:val="61CF0031"/>
    <w:rsid w:val="61D76A92"/>
    <w:rsid w:val="61F01D56"/>
    <w:rsid w:val="61F94C26"/>
    <w:rsid w:val="61FC06FB"/>
    <w:rsid w:val="62000E56"/>
    <w:rsid w:val="621517BC"/>
    <w:rsid w:val="621841D9"/>
    <w:rsid w:val="62404A8B"/>
    <w:rsid w:val="624A76B8"/>
    <w:rsid w:val="624F3E49"/>
    <w:rsid w:val="62632286"/>
    <w:rsid w:val="62885958"/>
    <w:rsid w:val="628A03FC"/>
    <w:rsid w:val="62F40B65"/>
    <w:rsid w:val="62FC2CFE"/>
    <w:rsid w:val="63024505"/>
    <w:rsid w:val="63065CD5"/>
    <w:rsid w:val="630A6E47"/>
    <w:rsid w:val="63260125"/>
    <w:rsid w:val="633A772C"/>
    <w:rsid w:val="635307EE"/>
    <w:rsid w:val="635B1DB5"/>
    <w:rsid w:val="63711FED"/>
    <w:rsid w:val="63860BC4"/>
    <w:rsid w:val="63880DDC"/>
    <w:rsid w:val="638D750D"/>
    <w:rsid w:val="63AC6CC0"/>
    <w:rsid w:val="63E37DC4"/>
    <w:rsid w:val="63EF49BB"/>
    <w:rsid w:val="64055776"/>
    <w:rsid w:val="64151F48"/>
    <w:rsid w:val="64240056"/>
    <w:rsid w:val="642E6B65"/>
    <w:rsid w:val="643272F3"/>
    <w:rsid w:val="643E143A"/>
    <w:rsid w:val="64763350"/>
    <w:rsid w:val="648B6EEF"/>
    <w:rsid w:val="64A7009C"/>
    <w:rsid w:val="64BE438D"/>
    <w:rsid w:val="64C158BF"/>
    <w:rsid w:val="64CC2606"/>
    <w:rsid w:val="64CE2EAA"/>
    <w:rsid w:val="64DB6CED"/>
    <w:rsid w:val="651B533C"/>
    <w:rsid w:val="653C3090"/>
    <w:rsid w:val="65444892"/>
    <w:rsid w:val="65624D19"/>
    <w:rsid w:val="65854376"/>
    <w:rsid w:val="658767BE"/>
    <w:rsid w:val="65892531"/>
    <w:rsid w:val="65D35C16"/>
    <w:rsid w:val="65EA56AA"/>
    <w:rsid w:val="660047E4"/>
    <w:rsid w:val="66195831"/>
    <w:rsid w:val="662102C5"/>
    <w:rsid w:val="66216AD9"/>
    <w:rsid w:val="66263F98"/>
    <w:rsid w:val="662E75B1"/>
    <w:rsid w:val="662F0AD4"/>
    <w:rsid w:val="66342C2E"/>
    <w:rsid w:val="663E784C"/>
    <w:rsid w:val="666408C1"/>
    <w:rsid w:val="66703465"/>
    <w:rsid w:val="667F18FA"/>
    <w:rsid w:val="668B6A45"/>
    <w:rsid w:val="66A01F9C"/>
    <w:rsid w:val="66E001B8"/>
    <w:rsid w:val="66E37B12"/>
    <w:rsid w:val="66FE39C8"/>
    <w:rsid w:val="67073DC9"/>
    <w:rsid w:val="670E4A09"/>
    <w:rsid w:val="670F0ED0"/>
    <w:rsid w:val="67204E8B"/>
    <w:rsid w:val="672F3F24"/>
    <w:rsid w:val="673E055F"/>
    <w:rsid w:val="67551CE3"/>
    <w:rsid w:val="675F6227"/>
    <w:rsid w:val="67717495"/>
    <w:rsid w:val="677F7E04"/>
    <w:rsid w:val="67825B46"/>
    <w:rsid w:val="679F2254"/>
    <w:rsid w:val="67A07D7A"/>
    <w:rsid w:val="67A22552"/>
    <w:rsid w:val="67B22DCC"/>
    <w:rsid w:val="67BE71AA"/>
    <w:rsid w:val="67C76A72"/>
    <w:rsid w:val="67CC0B6F"/>
    <w:rsid w:val="67D90273"/>
    <w:rsid w:val="67DA7730"/>
    <w:rsid w:val="67DE5875"/>
    <w:rsid w:val="67E55852"/>
    <w:rsid w:val="67EB1AB4"/>
    <w:rsid w:val="67F56318"/>
    <w:rsid w:val="67FA1285"/>
    <w:rsid w:val="67FB416C"/>
    <w:rsid w:val="681D761D"/>
    <w:rsid w:val="68437083"/>
    <w:rsid w:val="685272C6"/>
    <w:rsid w:val="68551F4F"/>
    <w:rsid w:val="68683376"/>
    <w:rsid w:val="687C10C9"/>
    <w:rsid w:val="68840C16"/>
    <w:rsid w:val="68876EFB"/>
    <w:rsid w:val="68884654"/>
    <w:rsid w:val="689F444F"/>
    <w:rsid w:val="68A93A29"/>
    <w:rsid w:val="68B96DBB"/>
    <w:rsid w:val="68BB3BA5"/>
    <w:rsid w:val="68CA2805"/>
    <w:rsid w:val="68DF41EB"/>
    <w:rsid w:val="68E937A3"/>
    <w:rsid w:val="68F7623C"/>
    <w:rsid w:val="69020CEC"/>
    <w:rsid w:val="69074555"/>
    <w:rsid w:val="69230C63"/>
    <w:rsid w:val="693E15D3"/>
    <w:rsid w:val="69401815"/>
    <w:rsid w:val="69434E61"/>
    <w:rsid w:val="694C640B"/>
    <w:rsid w:val="6954706E"/>
    <w:rsid w:val="69627681"/>
    <w:rsid w:val="6977531D"/>
    <w:rsid w:val="69886D18"/>
    <w:rsid w:val="69A578CA"/>
    <w:rsid w:val="69C9180A"/>
    <w:rsid w:val="69CC2BFF"/>
    <w:rsid w:val="69DA3A17"/>
    <w:rsid w:val="69EE1B0B"/>
    <w:rsid w:val="69F06D97"/>
    <w:rsid w:val="69FA7C16"/>
    <w:rsid w:val="69FD55B8"/>
    <w:rsid w:val="6A0B1C62"/>
    <w:rsid w:val="6A1C1BCD"/>
    <w:rsid w:val="6A2406C8"/>
    <w:rsid w:val="6ACD532A"/>
    <w:rsid w:val="6ADE0BD1"/>
    <w:rsid w:val="6AE35122"/>
    <w:rsid w:val="6AE96859"/>
    <w:rsid w:val="6AF26B3F"/>
    <w:rsid w:val="6B032B7B"/>
    <w:rsid w:val="6B147746"/>
    <w:rsid w:val="6B1E16E2"/>
    <w:rsid w:val="6B24787C"/>
    <w:rsid w:val="6B250CC2"/>
    <w:rsid w:val="6B573233"/>
    <w:rsid w:val="6B5B6274"/>
    <w:rsid w:val="6B6F63E1"/>
    <w:rsid w:val="6B935D53"/>
    <w:rsid w:val="6BDD159D"/>
    <w:rsid w:val="6C0900F9"/>
    <w:rsid w:val="6C196F71"/>
    <w:rsid w:val="6C2216A6"/>
    <w:rsid w:val="6C226FCB"/>
    <w:rsid w:val="6C270A6A"/>
    <w:rsid w:val="6C31226F"/>
    <w:rsid w:val="6C3911C2"/>
    <w:rsid w:val="6C4038DA"/>
    <w:rsid w:val="6C501D6F"/>
    <w:rsid w:val="6C552F0B"/>
    <w:rsid w:val="6C5F6456"/>
    <w:rsid w:val="6C7D068A"/>
    <w:rsid w:val="6C8251EB"/>
    <w:rsid w:val="6C8C67B7"/>
    <w:rsid w:val="6C922387"/>
    <w:rsid w:val="6C9D744C"/>
    <w:rsid w:val="6CBF0CA2"/>
    <w:rsid w:val="6CD97FB6"/>
    <w:rsid w:val="6D055F4C"/>
    <w:rsid w:val="6D167928"/>
    <w:rsid w:val="6D26299B"/>
    <w:rsid w:val="6D321253"/>
    <w:rsid w:val="6D4772EC"/>
    <w:rsid w:val="6D5533B5"/>
    <w:rsid w:val="6D7B106D"/>
    <w:rsid w:val="6D88378A"/>
    <w:rsid w:val="6D8F751D"/>
    <w:rsid w:val="6D9078AF"/>
    <w:rsid w:val="6D934609"/>
    <w:rsid w:val="6DA57E98"/>
    <w:rsid w:val="6DAA3FEF"/>
    <w:rsid w:val="6DAA54AF"/>
    <w:rsid w:val="6DC0172B"/>
    <w:rsid w:val="6DC347C2"/>
    <w:rsid w:val="6DC9780C"/>
    <w:rsid w:val="6DCB690C"/>
    <w:rsid w:val="6DD41A5B"/>
    <w:rsid w:val="6DF43C2E"/>
    <w:rsid w:val="6DF51CA3"/>
    <w:rsid w:val="6E0B130D"/>
    <w:rsid w:val="6E0E5A3E"/>
    <w:rsid w:val="6E1F6417"/>
    <w:rsid w:val="6E1F7C4B"/>
    <w:rsid w:val="6E2145A6"/>
    <w:rsid w:val="6E4161AA"/>
    <w:rsid w:val="6E445903"/>
    <w:rsid w:val="6E5C0E9F"/>
    <w:rsid w:val="6E6B5782"/>
    <w:rsid w:val="6E8335BD"/>
    <w:rsid w:val="6E8E12EF"/>
    <w:rsid w:val="6E9248C1"/>
    <w:rsid w:val="6E972936"/>
    <w:rsid w:val="6E9F0D8B"/>
    <w:rsid w:val="6EBF02EC"/>
    <w:rsid w:val="6ED446C5"/>
    <w:rsid w:val="6ED51A64"/>
    <w:rsid w:val="6EF015E7"/>
    <w:rsid w:val="6EFF182A"/>
    <w:rsid w:val="6F0D2199"/>
    <w:rsid w:val="6F13764C"/>
    <w:rsid w:val="6F280D81"/>
    <w:rsid w:val="6F2A7D94"/>
    <w:rsid w:val="6F2B261F"/>
    <w:rsid w:val="6F481423"/>
    <w:rsid w:val="6F5C4ECE"/>
    <w:rsid w:val="6F60676D"/>
    <w:rsid w:val="6F6F69B0"/>
    <w:rsid w:val="6F8331F1"/>
    <w:rsid w:val="6FAE1A09"/>
    <w:rsid w:val="6FC34F4E"/>
    <w:rsid w:val="6FD1766A"/>
    <w:rsid w:val="6FD75BF8"/>
    <w:rsid w:val="6FFD220E"/>
    <w:rsid w:val="70291255"/>
    <w:rsid w:val="707723D0"/>
    <w:rsid w:val="70A1528F"/>
    <w:rsid w:val="70B84386"/>
    <w:rsid w:val="70BB79D3"/>
    <w:rsid w:val="70EF246D"/>
    <w:rsid w:val="70F3716D"/>
    <w:rsid w:val="70F5661B"/>
    <w:rsid w:val="71026BB1"/>
    <w:rsid w:val="71360107"/>
    <w:rsid w:val="713B688E"/>
    <w:rsid w:val="715907C0"/>
    <w:rsid w:val="715A543E"/>
    <w:rsid w:val="715E6CDC"/>
    <w:rsid w:val="716367C6"/>
    <w:rsid w:val="717402AD"/>
    <w:rsid w:val="718801FD"/>
    <w:rsid w:val="719170B1"/>
    <w:rsid w:val="719E551D"/>
    <w:rsid w:val="71A01CD2"/>
    <w:rsid w:val="71A36DE5"/>
    <w:rsid w:val="71B20DD6"/>
    <w:rsid w:val="71B40FF2"/>
    <w:rsid w:val="71B903B6"/>
    <w:rsid w:val="71D43752"/>
    <w:rsid w:val="71F1796A"/>
    <w:rsid w:val="72001B41"/>
    <w:rsid w:val="72154626"/>
    <w:rsid w:val="72262B5D"/>
    <w:rsid w:val="72283FF7"/>
    <w:rsid w:val="722E7212"/>
    <w:rsid w:val="723A0474"/>
    <w:rsid w:val="723D0FE7"/>
    <w:rsid w:val="72461A79"/>
    <w:rsid w:val="725923E4"/>
    <w:rsid w:val="72864BF7"/>
    <w:rsid w:val="729023FC"/>
    <w:rsid w:val="729329B5"/>
    <w:rsid w:val="72C25048"/>
    <w:rsid w:val="72ED47BB"/>
    <w:rsid w:val="733C4DFB"/>
    <w:rsid w:val="734343DB"/>
    <w:rsid w:val="734D525A"/>
    <w:rsid w:val="739369E5"/>
    <w:rsid w:val="73B01345"/>
    <w:rsid w:val="73C0646E"/>
    <w:rsid w:val="73C31078"/>
    <w:rsid w:val="73C82B32"/>
    <w:rsid w:val="73CF6693"/>
    <w:rsid w:val="73F90F3E"/>
    <w:rsid w:val="74081892"/>
    <w:rsid w:val="74122000"/>
    <w:rsid w:val="742222F5"/>
    <w:rsid w:val="74363F40"/>
    <w:rsid w:val="74476126"/>
    <w:rsid w:val="7459770E"/>
    <w:rsid w:val="74706664"/>
    <w:rsid w:val="747F3682"/>
    <w:rsid w:val="7487654A"/>
    <w:rsid w:val="7490772F"/>
    <w:rsid w:val="749C4185"/>
    <w:rsid w:val="74EF5B6E"/>
    <w:rsid w:val="75067759"/>
    <w:rsid w:val="752E6DCD"/>
    <w:rsid w:val="7551380D"/>
    <w:rsid w:val="75600BE5"/>
    <w:rsid w:val="7564475C"/>
    <w:rsid w:val="756B19C7"/>
    <w:rsid w:val="7583797F"/>
    <w:rsid w:val="75A666B5"/>
    <w:rsid w:val="75D20F1D"/>
    <w:rsid w:val="75D4756D"/>
    <w:rsid w:val="75DA2C18"/>
    <w:rsid w:val="75E31EA6"/>
    <w:rsid w:val="75EF43A6"/>
    <w:rsid w:val="75F54412"/>
    <w:rsid w:val="76124539"/>
    <w:rsid w:val="761D08E0"/>
    <w:rsid w:val="762027B2"/>
    <w:rsid w:val="76360227"/>
    <w:rsid w:val="763C15B6"/>
    <w:rsid w:val="763E254A"/>
    <w:rsid w:val="765D347C"/>
    <w:rsid w:val="76684159"/>
    <w:rsid w:val="76826699"/>
    <w:rsid w:val="76870A83"/>
    <w:rsid w:val="76937428"/>
    <w:rsid w:val="76966F18"/>
    <w:rsid w:val="76AD7DBE"/>
    <w:rsid w:val="76C87133"/>
    <w:rsid w:val="76CC46E8"/>
    <w:rsid w:val="76CD08D5"/>
    <w:rsid w:val="76DB4B92"/>
    <w:rsid w:val="76DE4BEC"/>
    <w:rsid w:val="76E9529A"/>
    <w:rsid w:val="76F105F2"/>
    <w:rsid w:val="77052AA4"/>
    <w:rsid w:val="770E4D00"/>
    <w:rsid w:val="77136511"/>
    <w:rsid w:val="772207AC"/>
    <w:rsid w:val="77297D8C"/>
    <w:rsid w:val="77340A39"/>
    <w:rsid w:val="77351FD0"/>
    <w:rsid w:val="77387FCF"/>
    <w:rsid w:val="773A3D47"/>
    <w:rsid w:val="77400C32"/>
    <w:rsid w:val="77472422"/>
    <w:rsid w:val="77664B3C"/>
    <w:rsid w:val="7771703D"/>
    <w:rsid w:val="777803CC"/>
    <w:rsid w:val="777F31F2"/>
    <w:rsid w:val="77A318EC"/>
    <w:rsid w:val="77B5517C"/>
    <w:rsid w:val="77C6382D"/>
    <w:rsid w:val="77C95EAB"/>
    <w:rsid w:val="77D1700D"/>
    <w:rsid w:val="77D221D2"/>
    <w:rsid w:val="77D73344"/>
    <w:rsid w:val="77E15F71"/>
    <w:rsid w:val="77E93077"/>
    <w:rsid w:val="77EC04CC"/>
    <w:rsid w:val="781D72B5"/>
    <w:rsid w:val="78462278"/>
    <w:rsid w:val="7847671C"/>
    <w:rsid w:val="786D5A56"/>
    <w:rsid w:val="787212BF"/>
    <w:rsid w:val="78747FEB"/>
    <w:rsid w:val="78775729"/>
    <w:rsid w:val="78A42DB0"/>
    <w:rsid w:val="78A656AB"/>
    <w:rsid w:val="78B2245C"/>
    <w:rsid w:val="78BA5DFC"/>
    <w:rsid w:val="78E172CC"/>
    <w:rsid w:val="78EA1D1F"/>
    <w:rsid w:val="7904172F"/>
    <w:rsid w:val="790939D1"/>
    <w:rsid w:val="790F4D60"/>
    <w:rsid w:val="790F7E27"/>
    <w:rsid w:val="7927654D"/>
    <w:rsid w:val="792A231A"/>
    <w:rsid w:val="79316829"/>
    <w:rsid w:val="795A422D"/>
    <w:rsid w:val="79751067"/>
    <w:rsid w:val="797E66A9"/>
    <w:rsid w:val="799F60E4"/>
    <w:rsid w:val="79A97383"/>
    <w:rsid w:val="79BA4CCB"/>
    <w:rsid w:val="79D264B9"/>
    <w:rsid w:val="79DD5888"/>
    <w:rsid w:val="79E2656A"/>
    <w:rsid w:val="79E27E8B"/>
    <w:rsid w:val="79F3642F"/>
    <w:rsid w:val="79F850CE"/>
    <w:rsid w:val="79FD443C"/>
    <w:rsid w:val="7A016D9E"/>
    <w:rsid w:val="7A1C14E2"/>
    <w:rsid w:val="7A1D1975"/>
    <w:rsid w:val="7A392094"/>
    <w:rsid w:val="7A3E5150"/>
    <w:rsid w:val="7A410F49"/>
    <w:rsid w:val="7A4670D6"/>
    <w:rsid w:val="7A534B63"/>
    <w:rsid w:val="7A5E1AFB"/>
    <w:rsid w:val="7A615382"/>
    <w:rsid w:val="7A67303B"/>
    <w:rsid w:val="7A7F1A71"/>
    <w:rsid w:val="7A996FD7"/>
    <w:rsid w:val="7AA37E55"/>
    <w:rsid w:val="7AAA4D40"/>
    <w:rsid w:val="7AAB1D04"/>
    <w:rsid w:val="7ABA4368"/>
    <w:rsid w:val="7AC6633F"/>
    <w:rsid w:val="7AD05746"/>
    <w:rsid w:val="7AE15D14"/>
    <w:rsid w:val="7AE2272C"/>
    <w:rsid w:val="7AE244DA"/>
    <w:rsid w:val="7B022DCE"/>
    <w:rsid w:val="7B134C31"/>
    <w:rsid w:val="7B257FFD"/>
    <w:rsid w:val="7B276391"/>
    <w:rsid w:val="7B2F5245"/>
    <w:rsid w:val="7B343476"/>
    <w:rsid w:val="7B5A2978"/>
    <w:rsid w:val="7B5A7E4C"/>
    <w:rsid w:val="7B667AF9"/>
    <w:rsid w:val="7B7468F8"/>
    <w:rsid w:val="7B8732D3"/>
    <w:rsid w:val="7B935D28"/>
    <w:rsid w:val="7BB57E40"/>
    <w:rsid w:val="7BDC53CD"/>
    <w:rsid w:val="7BEE0103"/>
    <w:rsid w:val="7C014E34"/>
    <w:rsid w:val="7C037BE1"/>
    <w:rsid w:val="7C0A0FE4"/>
    <w:rsid w:val="7C1B1373"/>
    <w:rsid w:val="7C254906"/>
    <w:rsid w:val="7C590818"/>
    <w:rsid w:val="7C6207BF"/>
    <w:rsid w:val="7C75137E"/>
    <w:rsid w:val="7C7C10F6"/>
    <w:rsid w:val="7C853BEA"/>
    <w:rsid w:val="7C881368"/>
    <w:rsid w:val="7C9E2682"/>
    <w:rsid w:val="7CDB38D7"/>
    <w:rsid w:val="7CE27788"/>
    <w:rsid w:val="7D08355D"/>
    <w:rsid w:val="7D0C32F1"/>
    <w:rsid w:val="7D0F408D"/>
    <w:rsid w:val="7D1D5C9D"/>
    <w:rsid w:val="7D285093"/>
    <w:rsid w:val="7D2B3A95"/>
    <w:rsid w:val="7D491C6C"/>
    <w:rsid w:val="7D5429C0"/>
    <w:rsid w:val="7D6E6D43"/>
    <w:rsid w:val="7D8F646F"/>
    <w:rsid w:val="7D9615AC"/>
    <w:rsid w:val="7D9B6F7F"/>
    <w:rsid w:val="7D9C716C"/>
    <w:rsid w:val="7DA0067C"/>
    <w:rsid w:val="7DB57A34"/>
    <w:rsid w:val="7DC73E5B"/>
    <w:rsid w:val="7DDA3B8E"/>
    <w:rsid w:val="7DE60973"/>
    <w:rsid w:val="7DEF0916"/>
    <w:rsid w:val="7E1352F2"/>
    <w:rsid w:val="7E1A042F"/>
    <w:rsid w:val="7E1E5218"/>
    <w:rsid w:val="7E2E3EDA"/>
    <w:rsid w:val="7E370FE0"/>
    <w:rsid w:val="7E484F9C"/>
    <w:rsid w:val="7E5F22E5"/>
    <w:rsid w:val="7E74535B"/>
    <w:rsid w:val="7E9A4E1F"/>
    <w:rsid w:val="7E9F26E2"/>
    <w:rsid w:val="7EA7723A"/>
    <w:rsid w:val="7EF43F82"/>
    <w:rsid w:val="7EF56FBB"/>
    <w:rsid w:val="7F0768EB"/>
    <w:rsid w:val="7F143BEC"/>
    <w:rsid w:val="7F182BC0"/>
    <w:rsid w:val="7F286B7B"/>
    <w:rsid w:val="7F314E72"/>
    <w:rsid w:val="7F4219EB"/>
    <w:rsid w:val="7F715AF2"/>
    <w:rsid w:val="7F736048"/>
    <w:rsid w:val="7F886E69"/>
    <w:rsid w:val="7F967F89"/>
    <w:rsid w:val="7F9D30C5"/>
    <w:rsid w:val="7F9E0BEB"/>
    <w:rsid w:val="7FB9F2D2"/>
    <w:rsid w:val="7FD141DD"/>
    <w:rsid w:val="7FF17A8F"/>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next w:val="15"/>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Balloon Text"/>
    <w:basedOn w:val="1"/>
    <w:next w:val="16"/>
    <w:link w:val="189"/>
    <w:autoRedefine/>
    <w:qFormat/>
    <w:uiPriority w:val="0"/>
    <w:rPr>
      <w:sz w:val="18"/>
      <w:szCs w:val="18"/>
    </w:rPr>
  </w:style>
  <w:style w:type="paragraph" w:styleId="16">
    <w:name w:val="toc 8"/>
    <w:basedOn w:val="1"/>
    <w:next w:val="1"/>
    <w:autoRedefine/>
    <w:qFormat/>
    <w:uiPriority w:val="0"/>
    <w:pPr>
      <w:ind w:left="2940" w:leftChars="1400"/>
    </w:pPr>
  </w:style>
  <w:style w:type="paragraph" w:styleId="17">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Body Text Indent"/>
    <w:basedOn w:val="1"/>
    <w:next w:val="14"/>
    <w:link w:val="265"/>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1"/>
    <w:autoRedefine/>
    <w:qFormat/>
    <w:uiPriority w:val="0"/>
    <w:rPr>
      <w:lang w:val="zh-CN"/>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2"/>
    <w:basedOn w:val="28"/>
    <w:next w:val="62"/>
    <w:link w:val="122"/>
    <w:autoRedefine/>
    <w:qFormat/>
    <w:uiPriority w:val="0"/>
    <w:pPr>
      <w:adjustRightInd/>
      <w:spacing w:after="120" w:line="240" w:lineRule="auto"/>
      <w:ind w:left="420" w:leftChars="200" w:firstLine="210"/>
    </w:pPr>
    <w:rPr>
      <w:sz w:val="21"/>
    </w:rPr>
  </w:style>
  <w:style w:type="paragraph" w:customStyle="1" w:styleId="62">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标题 2 Char"/>
    <w:autoRedefine/>
    <w:qFormat/>
    <w:uiPriority w:val="0"/>
    <w:rPr>
      <w:rFonts w:ascii="Arial" w:hAnsi="Arial" w:eastAsia="黑体"/>
      <w:b/>
      <w:kern w:val="2"/>
      <w:sz w:val="32"/>
      <w:lang w:val="en-US" w:eastAsia="zh-CN"/>
    </w:rPr>
  </w:style>
  <w:style w:type="character" w:customStyle="1" w:styleId="82">
    <w:name w:val="标题 1 字符1"/>
    <w:link w:val="2"/>
    <w:autoRedefine/>
    <w:qFormat/>
    <w:uiPriority w:val="9"/>
    <w:rPr>
      <w:b/>
      <w:bCs/>
      <w:kern w:val="44"/>
      <w:sz w:val="44"/>
      <w:szCs w:val="4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7"/>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8"/>
    <w:autoRedefine/>
    <w:qFormat/>
    <w:uiPriority w:val="0"/>
    <w:rPr>
      <w:rFonts w:ascii="宋体"/>
      <w:kern w:val="2"/>
      <w:sz w:val="24"/>
      <w:szCs w:val="21"/>
      <w:lang w:val="zh-CN"/>
    </w:rPr>
  </w:style>
  <w:style w:type="character" w:customStyle="1" w:styleId="183">
    <w:name w:val="标题 9 字符"/>
    <w:link w:val="10"/>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15"/>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70"/>
    <w:autoRedefine/>
    <w:qFormat/>
    <w:uiPriority w:val="0"/>
    <w:rPr>
      <w:rFonts w:ascii="仿宋_GB2312" w:hAnsi="仿宋" w:eastAsia="仿宋_GB2312" w:cs="仿宋_GB2312"/>
      <w:sz w:val="32"/>
      <w:szCs w:val="30"/>
      <w:lang w:val="zh-CN"/>
    </w:rPr>
  </w:style>
  <w:style w:type="character" w:customStyle="1" w:styleId="219">
    <w:name w:val="HTML 地址 字符"/>
    <w:link w:val="33"/>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8"/>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6"/>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5"/>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8"/>
    <w:autoRedefine/>
    <w:qFormat/>
    <w:uiPriority w:val="0"/>
    <w:rPr>
      <w:b/>
      <w:bCs/>
      <w:kern w:val="2"/>
      <w:sz w:val="24"/>
      <w:szCs w:val="24"/>
    </w:rPr>
  </w:style>
  <w:style w:type="character" w:customStyle="1" w:styleId="307">
    <w:name w:val="正文文本缩进 2 字符"/>
    <w:link w:val="39"/>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6"/>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5"/>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autoRedefine/>
    <w:qFormat/>
    <w:uiPriority w:val="0"/>
    <w:rPr>
      <w:kern w:val="2"/>
      <w:sz w:val="21"/>
      <w:szCs w:val="24"/>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9"/>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1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6"/>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next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8"/>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8"/>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6"/>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40"/>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正文"/>
    <w:basedOn w:val="1"/>
    <w:autoRedefine/>
    <w:qFormat/>
    <w:uiPriority w:val="0"/>
    <w:pPr>
      <w:spacing w:line="360" w:lineRule="auto"/>
      <w:ind w:firstLine="200" w:firstLineChars="200"/>
    </w:pPr>
    <w:rPr>
      <w:rFonts w:ascii="Calibri" w:hAnsi="Calibri" w:eastAsia="仿宋_GB2312"/>
      <w:kern w:val="0"/>
      <w:sz w:val="24"/>
    </w:rPr>
  </w:style>
  <w:style w:type="table" w:customStyle="1" w:styleId="964">
    <w:name w:val="Table Normal"/>
    <w:autoRedefine/>
    <w:semiHidden/>
    <w:unhideWhenUsed/>
    <w:qFormat/>
    <w:uiPriority w:val="0"/>
    <w:tblPr>
      <w:tblCellMar>
        <w:top w:w="0" w:type="dxa"/>
        <w:left w:w="0" w:type="dxa"/>
        <w:bottom w:w="0" w:type="dxa"/>
        <w:right w:w="0" w:type="dxa"/>
      </w:tblCellMar>
    </w:tblPr>
  </w:style>
  <w:style w:type="paragraph" w:customStyle="1" w:styleId="965">
    <w:name w:val="Normal Indent1"/>
    <w:basedOn w:val="1"/>
    <w:autoRedefine/>
    <w:qFormat/>
    <w:uiPriority w:val="0"/>
    <w:pPr>
      <w:adjustRightInd/>
      <w:ind w:firstLine="420" w:firstLineChars="200"/>
    </w:pPr>
  </w:style>
  <w:style w:type="character" w:customStyle="1" w:styleId="966">
    <w:name w:val="NormalCharacter"/>
    <w:basedOn w:val="7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05459-07BA-4852-BAFA-7ABB0273781E}">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12521</Words>
  <Characters>13728</Characters>
  <Lines>274</Lines>
  <Paragraphs>77</Paragraphs>
  <TotalTime>15</TotalTime>
  <ScaleCrop>false</ScaleCrop>
  <LinksUpToDate>false</LinksUpToDate>
  <CharactersWithSpaces>14014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2022-05-28T03:57:00Z</dcterms:created>
  <dc:creator>玥</dc:creator>
  <cp:lastModifiedBy>余麟</cp:lastModifiedBy>
  <cp:lastPrinted>2024-04-17T01:21:00Z</cp:lastPrinted>
  <dcterms:modified xsi:type="dcterms:W3CDTF">2025-03-31T08:43:05Z</dcterms:modified>
  <dc:title>杭州市市民卡扩大发卡工程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15D71DF168DDA5B0932DD967452BAABE_43</vt:lpwstr>
  </property>
  <property fmtid="{D5CDD505-2E9C-101B-9397-08002B2CF9AE}" pid="5" name="KSOTemplateDocerSaveRecord">
    <vt:lpwstr>eyJoZGlkIjoiZWU0MTQ4MTQxMTg2MjI1ZjkyODU0OWNiMjNmMDEwMDEiLCJ1c2VySWQiOiIzMzUzODAwMjkifQ==</vt:lpwstr>
  </property>
</Properties>
</file>