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A9ADE">
      <w:pPr>
        <w:rPr>
          <w:color w:val="auto"/>
          <w:highlight w:val="none"/>
        </w:rPr>
      </w:pPr>
    </w:p>
    <w:p w14:paraId="0570930F">
      <w:pPr>
        <w:pStyle w:val="23"/>
        <w:ind w:firstLine="210"/>
        <w:rPr>
          <w:color w:val="auto"/>
          <w:highlight w:val="none"/>
        </w:rPr>
      </w:pPr>
    </w:p>
    <w:p w14:paraId="4BBB4639">
      <w:pPr>
        <w:pStyle w:val="23"/>
        <w:ind w:firstLine="210"/>
        <w:jc w:val="center"/>
        <w:rPr>
          <w:rFonts w:hint="eastAsia" w:ascii="宋体" w:hAnsi="宋体" w:cs="宋体"/>
          <w:b/>
          <w:bCs/>
          <w:color w:val="auto"/>
          <w:sz w:val="52"/>
          <w:szCs w:val="52"/>
          <w:highlight w:val="none"/>
          <w:u w:val="none"/>
          <w:lang w:val="en-US" w:eastAsia="zh-CN"/>
        </w:rPr>
      </w:pPr>
      <w:r>
        <w:rPr>
          <w:rFonts w:hint="eastAsia" w:ascii="宋体" w:hAnsi="宋体" w:cs="宋体"/>
          <w:b/>
          <w:bCs/>
          <w:color w:val="auto"/>
          <w:sz w:val="52"/>
          <w:szCs w:val="52"/>
          <w:highlight w:val="none"/>
          <w:u w:val="none"/>
          <w:lang w:val="en-US" w:eastAsia="zh-CN"/>
        </w:rPr>
        <w:t>2024年桐庐县百江镇高标准农田示范区建设项目-数字化大田标段</w:t>
      </w:r>
    </w:p>
    <w:p w14:paraId="58792725">
      <w:pPr>
        <w:pStyle w:val="19"/>
        <w:rPr>
          <w:rFonts w:hint="eastAsia"/>
          <w:lang w:val="en-US" w:eastAsia="zh-CN"/>
        </w:rPr>
      </w:pPr>
    </w:p>
    <w:p w14:paraId="3F1E878D">
      <w:pPr>
        <w:rPr>
          <w:rFonts w:hint="eastAsia"/>
          <w:lang w:val="en-US" w:eastAsia="zh-CN"/>
        </w:rPr>
      </w:pPr>
    </w:p>
    <w:p w14:paraId="7C47F15F">
      <w:pPr>
        <w:pStyle w:val="12"/>
        <w:rPr>
          <w:rFonts w:hint="eastAsia"/>
          <w:lang w:val="en-US" w:eastAsia="zh-CN"/>
        </w:rPr>
      </w:pPr>
    </w:p>
    <w:p w14:paraId="7AE2B253">
      <w:pPr>
        <w:rPr>
          <w:rFonts w:hint="eastAsia"/>
          <w:lang w:val="en-US" w:eastAsia="zh-CN"/>
        </w:rPr>
      </w:pPr>
    </w:p>
    <w:p w14:paraId="6C17B764">
      <w:pPr>
        <w:pStyle w:val="19"/>
      </w:pPr>
    </w:p>
    <w:p w14:paraId="3AC6640F">
      <w:pPr>
        <w:jc w:val="center"/>
        <w:rPr>
          <w:rFonts w:ascii="宋体" w:hAnsi="宋体" w:cs="Courier New"/>
          <w:color w:val="auto"/>
          <w:sz w:val="72"/>
          <w:szCs w:val="72"/>
          <w:highlight w:val="none"/>
        </w:rPr>
      </w:pPr>
      <w:r>
        <w:rPr>
          <w:rFonts w:hint="eastAsia" w:ascii="宋体" w:hAnsi="宋体" w:cs="Courier New"/>
          <w:color w:val="auto"/>
          <w:sz w:val="72"/>
          <w:szCs w:val="72"/>
          <w:highlight w:val="none"/>
        </w:rPr>
        <w:t>招 标 文 件</w:t>
      </w:r>
    </w:p>
    <w:p w14:paraId="35966168">
      <w:pPr>
        <w:jc w:val="center"/>
        <w:rPr>
          <w:rFonts w:ascii="宋体" w:hAnsi="宋体"/>
          <w:color w:val="auto"/>
          <w:sz w:val="28"/>
          <w:szCs w:val="28"/>
          <w:highlight w:val="none"/>
        </w:rPr>
      </w:pPr>
    </w:p>
    <w:p w14:paraId="5713C17E">
      <w:pPr>
        <w:jc w:val="center"/>
        <w:rPr>
          <w:rFonts w:ascii="宋体" w:hAnsi="宋体"/>
          <w:color w:val="auto"/>
          <w:sz w:val="28"/>
          <w:szCs w:val="28"/>
          <w:highlight w:val="none"/>
        </w:rPr>
      </w:pPr>
      <w:r>
        <w:rPr>
          <w:rFonts w:hint="eastAsia" w:ascii="宋体" w:hAnsi="宋体"/>
          <w:color w:val="auto"/>
          <w:sz w:val="28"/>
          <w:szCs w:val="28"/>
          <w:highlight w:val="none"/>
        </w:rPr>
        <w:t>（编号：</w:t>
      </w:r>
      <w:r>
        <w:rPr>
          <w:rFonts w:hint="eastAsia" w:ascii="宋体" w:hAnsi="宋体"/>
          <w:color w:val="auto"/>
          <w:sz w:val="28"/>
          <w:szCs w:val="28"/>
          <w:highlight w:val="none"/>
          <w:lang w:eastAsia="zh-CN"/>
        </w:rPr>
        <w:t xml:space="preserve">HZXGD-TL2025004 </w:t>
      </w:r>
      <w:r>
        <w:rPr>
          <w:rFonts w:hint="eastAsia" w:ascii="宋体" w:hAnsi="宋体"/>
          <w:color w:val="auto"/>
          <w:sz w:val="28"/>
          <w:szCs w:val="28"/>
          <w:highlight w:val="none"/>
        </w:rPr>
        <w:t>）</w:t>
      </w:r>
    </w:p>
    <w:p w14:paraId="372BC272">
      <w:pPr>
        <w:jc w:val="center"/>
        <w:rPr>
          <w:rFonts w:ascii="宋体" w:hAnsi="宋体"/>
          <w:color w:val="auto"/>
          <w:sz w:val="28"/>
          <w:szCs w:val="28"/>
          <w:highlight w:val="none"/>
        </w:rPr>
      </w:pPr>
    </w:p>
    <w:p w14:paraId="70A8A990">
      <w:pPr>
        <w:rPr>
          <w:rFonts w:ascii="宋体" w:hAnsi="宋体"/>
          <w:color w:val="auto"/>
          <w:sz w:val="52"/>
          <w:highlight w:val="none"/>
        </w:rPr>
      </w:pPr>
    </w:p>
    <w:p w14:paraId="1D63DB7A">
      <w:pPr>
        <w:pStyle w:val="23"/>
        <w:ind w:firstLine="210"/>
        <w:rPr>
          <w:color w:val="auto"/>
          <w:highlight w:val="none"/>
        </w:rPr>
      </w:pPr>
    </w:p>
    <w:p w14:paraId="7ECAF611">
      <w:pPr>
        <w:pStyle w:val="23"/>
        <w:ind w:firstLine="210"/>
        <w:rPr>
          <w:color w:val="auto"/>
          <w:highlight w:val="none"/>
        </w:rPr>
      </w:pPr>
    </w:p>
    <w:p w14:paraId="14210BCB">
      <w:pPr>
        <w:pStyle w:val="23"/>
        <w:spacing w:line="360" w:lineRule="auto"/>
        <w:ind w:firstLine="210"/>
        <w:rPr>
          <w:color w:val="auto"/>
          <w:highlight w:val="none"/>
        </w:rPr>
      </w:pPr>
    </w:p>
    <w:p w14:paraId="2B2BD7CF">
      <w:pPr>
        <w:pStyle w:val="23"/>
        <w:spacing w:line="360" w:lineRule="auto"/>
        <w:ind w:left="0" w:leftChars="0" w:firstLine="0" w:firstLineChars="0"/>
        <w:rPr>
          <w:color w:val="auto"/>
          <w:highlight w:val="none"/>
        </w:rPr>
      </w:pPr>
    </w:p>
    <w:p w14:paraId="0737FF2E">
      <w:pPr>
        <w:tabs>
          <w:tab w:val="left" w:pos="1980"/>
          <w:tab w:val="left" w:pos="3240"/>
          <w:tab w:val="left" w:pos="3420"/>
          <w:tab w:val="left" w:pos="3600"/>
          <w:tab w:val="left" w:pos="3780"/>
        </w:tabs>
        <w:spacing w:line="360" w:lineRule="auto"/>
        <w:rPr>
          <w:rFonts w:hint="eastAsia"/>
          <w:sz w:val="32"/>
          <w:u w:val="single"/>
        </w:rPr>
      </w:pPr>
      <w:r>
        <w:rPr>
          <w:rFonts w:hint="eastAsia"/>
          <w:sz w:val="32"/>
        </w:rPr>
        <w:t>采购单位 ：</w:t>
      </w:r>
      <w:r>
        <w:rPr>
          <w:rFonts w:hint="eastAsia"/>
          <w:sz w:val="32"/>
          <w:u w:val="single"/>
        </w:rPr>
        <w:t xml:space="preserve">  </w:t>
      </w:r>
      <w:r>
        <w:rPr>
          <w:rFonts w:hint="eastAsia"/>
          <w:sz w:val="32"/>
          <w:u w:val="single"/>
          <w:lang w:val="en-US" w:eastAsia="zh-CN"/>
        </w:rPr>
        <w:t xml:space="preserve"> </w:t>
      </w:r>
      <w:r>
        <w:rPr>
          <w:rFonts w:hint="eastAsia"/>
          <w:sz w:val="32"/>
          <w:szCs w:val="32"/>
          <w:u w:val="single"/>
          <w:lang w:val="en-US" w:eastAsia="zh-CN"/>
        </w:rPr>
        <w:t xml:space="preserve">         桐庐县百江镇人民政府</w:t>
      </w:r>
      <w:r>
        <w:rPr>
          <w:rFonts w:hint="eastAsia"/>
          <w:sz w:val="32"/>
          <w:szCs w:val="32"/>
          <w:u w:val="single"/>
        </w:rPr>
        <w:t xml:space="preserve">      </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3AE05BA9">
      <w:pPr>
        <w:tabs>
          <w:tab w:val="left" w:pos="1980"/>
          <w:tab w:val="left" w:pos="3240"/>
          <w:tab w:val="left" w:pos="3420"/>
          <w:tab w:val="left" w:pos="3600"/>
          <w:tab w:val="left" w:pos="3780"/>
        </w:tabs>
        <w:spacing w:line="360" w:lineRule="auto"/>
        <w:rPr>
          <w:rFonts w:hint="eastAsia"/>
          <w:sz w:val="32"/>
          <w:u w:val="single"/>
        </w:rPr>
      </w:pPr>
    </w:p>
    <w:p w14:paraId="74466922">
      <w:pPr>
        <w:tabs>
          <w:tab w:val="left" w:pos="1980"/>
          <w:tab w:val="left" w:pos="3240"/>
          <w:tab w:val="left" w:pos="3420"/>
          <w:tab w:val="left" w:pos="3600"/>
          <w:tab w:val="left" w:pos="3780"/>
        </w:tabs>
        <w:spacing w:line="360" w:lineRule="auto"/>
        <w:rPr>
          <w:rFonts w:hint="eastAsia"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Times New Roman" w:hAnsi="Times New Roman" w:eastAsia="宋体" w:cs="Times New Roman"/>
          <w:sz w:val="32"/>
          <w:szCs w:val="32"/>
          <w:u w:val="single"/>
          <w:lang w:val="en-US" w:eastAsia="zh-CN"/>
        </w:rPr>
        <w:t xml:space="preserve"> </w:t>
      </w:r>
      <w:r>
        <w:rPr>
          <w:rFonts w:hint="eastAsia" w:cs="Times New Roman"/>
          <w:sz w:val="32"/>
          <w:szCs w:val="32"/>
          <w:u w:val="single"/>
          <w:lang w:val="en-US" w:eastAsia="zh-CN"/>
        </w:rPr>
        <w:t xml:space="preserve">邱旭阳 </w:t>
      </w:r>
      <w:r>
        <w:rPr>
          <w:rFonts w:hint="eastAsia" w:ascii="Times New Roman" w:hAnsi="Times New Roman"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DE8CC45">
      <w:pPr>
        <w:pStyle w:val="13"/>
        <w:rPr>
          <w:rFonts w:hint="eastAsia"/>
        </w:rPr>
      </w:pPr>
    </w:p>
    <w:p w14:paraId="0CBC2E8E">
      <w:pPr>
        <w:tabs>
          <w:tab w:val="left" w:pos="1620"/>
          <w:tab w:val="left" w:pos="1800"/>
          <w:tab w:val="left" w:pos="1980"/>
        </w:tabs>
        <w:spacing w:line="360" w:lineRule="auto"/>
        <w:rPr>
          <w:rFonts w:hint="eastAsia" w:ascii="宋体" w:hAnsi="宋体" w:eastAsia="宋体" w:cs="宋体"/>
          <w:color w:val="auto"/>
          <w:sz w:val="36"/>
          <w:szCs w:val="36"/>
          <w:highlight w:val="none"/>
          <w:u w:val="none"/>
        </w:rPr>
      </w:pPr>
      <w:r>
        <w:rPr>
          <w:rFonts w:hint="eastAsia" w:ascii="宋体" w:hAnsi="宋体"/>
          <w:sz w:val="33"/>
          <w:szCs w:val="33"/>
        </w:rPr>
        <w:t>采购机构 ：</w:t>
      </w:r>
      <w:r>
        <w:rPr>
          <w:rFonts w:hint="eastAsia" w:ascii="宋体" w:hAnsi="宋体"/>
          <w:sz w:val="33"/>
          <w:szCs w:val="33"/>
          <w:u w:val="single"/>
        </w:rPr>
        <w:t xml:space="preserve">  </w:t>
      </w:r>
      <w:r>
        <w:rPr>
          <w:rFonts w:hint="eastAsia" w:ascii="宋体" w:hAnsi="宋体"/>
          <w:sz w:val="33"/>
          <w:szCs w:val="33"/>
          <w:u w:val="single"/>
          <w:lang w:val="en-US" w:eastAsia="zh-CN"/>
        </w:rPr>
        <w:t xml:space="preserve"> </w:t>
      </w:r>
      <w:r>
        <w:rPr>
          <w:rFonts w:hint="eastAsia" w:ascii="宋体" w:hAnsi="宋体"/>
          <w:sz w:val="32"/>
          <w:szCs w:val="32"/>
          <w:u w:val="single"/>
          <w:lang w:val="en-US" w:eastAsia="zh-CN"/>
        </w:rPr>
        <w:t xml:space="preserve">   杭州昕高度工程咨询有限公司   </w:t>
      </w:r>
      <w:r>
        <w:rPr>
          <w:rFonts w:hint="eastAsia" w:ascii="宋体" w:hAnsi="宋体" w:cs="宋体"/>
          <w:sz w:val="33"/>
          <w:szCs w:val="33"/>
          <w:u w:val="single"/>
        </w:rPr>
        <w:t xml:space="preserve">     </w:t>
      </w:r>
      <w:r>
        <w:rPr>
          <w:rFonts w:hint="eastAsia" w:ascii="宋体" w:hAnsi="宋体" w:cs="宋体"/>
          <w:sz w:val="33"/>
          <w:szCs w:val="33"/>
          <w:u w:val="single"/>
          <w:lang w:val="en-US" w:eastAsia="zh-CN"/>
        </w:rPr>
        <w:t xml:space="preserve">        </w:t>
      </w:r>
      <w:r>
        <w:rPr>
          <w:rFonts w:hint="eastAsia" w:ascii="宋体" w:hAnsi="宋体" w:eastAsia="宋体" w:cs="宋体"/>
          <w:color w:val="auto"/>
          <w:sz w:val="33"/>
          <w:szCs w:val="33"/>
          <w:highlight w:val="none"/>
          <w:u w:val="none"/>
        </w:rPr>
        <w:t xml:space="preserve">            </w:t>
      </w:r>
    </w:p>
    <w:p w14:paraId="3DBAA2AE">
      <w:pPr>
        <w:tabs>
          <w:tab w:val="left" w:pos="1620"/>
          <w:tab w:val="left" w:pos="1800"/>
          <w:tab w:val="left" w:pos="1980"/>
        </w:tabs>
        <w:spacing w:line="480" w:lineRule="auto"/>
        <w:rPr>
          <w:rFonts w:hint="eastAsia" w:ascii="宋体" w:hAnsi="宋体" w:eastAsia="宋体" w:cs="宋体"/>
          <w:color w:val="auto"/>
          <w:sz w:val="36"/>
          <w:szCs w:val="36"/>
          <w:highlight w:val="none"/>
          <w:u w:val="none"/>
        </w:rPr>
      </w:pPr>
    </w:p>
    <w:p w14:paraId="41FF4E03">
      <w:pPr>
        <w:tabs>
          <w:tab w:val="left" w:pos="1620"/>
          <w:tab w:val="left" w:pos="1800"/>
          <w:tab w:val="left" w:pos="1980"/>
        </w:tabs>
        <w:spacing w:line="480" w:lineRule="auto"/>
        <w:rPr>
          <w:rFonts w:hint="eastAsia" w:ascii="宋体" w:hAnsi="宋体" w:eastAsia="宋体" w:cs="宋体"/>
          <w:color w:val="auto"/>
          <w:spacing w:val="-20"/>
          <w:sz w:val="36"/>
          <w:szCs w:val="36"/>
          <w:highlight w:val="none"/>
          <w:u w:val="none"/>
          <w:lang w:val="en-US" w:eastAsia="zh-CN"/>
        </w:rPr>
      </w:pPr>
      <w:r>
        <w:rPr>
          <w:rFonts w:hint="eastAsia" w:ascii="宋体" w:hAnsi="宋体" w:eastAsia="宋体" w:cs="宋体"/>
          <w:color w:val="auto"/>
          <w:sz w:val="36"/>
          <w:szCs w:val="36"/>
          <w:highlight w:val="none"/>
          <w:u w:val="none"/>
          <w:lang w:val="en-US" w:eastAsia="zh-CN"/>
        </w:rPr>
        <w:t xml:space="preserve">  </w:t>
      </w:r>
      <w:r>
        <w:rPr>
          <w:rFonts w:hint="eastAsia" w:ascii="宋体" w:hAnsi="宋体" w:eastAsia="宋体" w:cs="宋体"/>
          <w:color w:val="auto"/>
          <w:spacing w:val="-20"/>
          <w:sz w:val="36"/>
          <w:szCs w:val="36"/>
          <w:highlight w:val="none"/>
          <w:u w:val="none"/>
          <w:lang w:val="en-US" w:eastAsia="zh-CN"/>
        </w:rPr>
        <w:t xml:space="preserve">    </w:t>
      </w:r>
    </w:p>
    <w:p w14:paraId="6AEDEAAA">
      <w:pPr>
        <w:rPr>
          <w:rFonts w:hint="eastAsia" w:ascii="宋体" w:hAnsi="宋体" w:eastAsia="宋体" w:cs="宋体"/>
          <w:color w:val="auto"/>
          <w:highlight w:val="none"/>
        </w:rPr>
      </w:pPr>
    </w:p>
    <w:p w14:paraId="31464E62">
      <w:pPr>
        <w:pStyle w:val="35"/>
        <w:rPr>
          <w:rFonts w:hint="eastAsia" w:ascii="宋体" w:hAnsi="宋体" w:eastAsia="宋体" w:cs="宋体"/>
          <w:color w:val="auto"/>
          <w:highlight w:val="none"/>
        </w:rPr>
      </w:pPr>
    </w:p>
    <w:p w14:paraId="7B6E5B68">
      <w:pPr>
        <w:pStyle w:val="35"/>
        <w:rPr>
          <w:rFonts w:hint="eastAsia" w:ascii="宋体" w:hAnsi="宋体" w:eastAsia="宋体" w:cs="宋体"/>
          <w:color w:val="auto"/>
          <w:highlight w:val="none"/>
        </w:rPr>
      </w:pPr>
    </w:p>
    <w:p w14:paraId="0FFF8294">
      <w:pPr>
        <w:pStyle w:val="35"/>
        <w:rPr>
          <w:rFonts w:hint="eastAsia" w:ascii="宋体" w:hAnsi="宋体" w:eastAsia="宋体" w:cs="宋体"/>
          <w:color w:val="auto"/>
          <w:highlight w:val="none"/>
        </w:rPr>
      </w:pPr>
    </w:p>
    <w:p w14:paraId="2C3CEF88">
      <w:pPr>
        <w:pStyle w:val="35"/>
        <w:rPr>
          <w:rFonts w:hint="eastAsia" w:ascii="宋体" w:hAnsi="宋体" w:eastAsia="宋体" w:cs="宋体"/>
          <w:color w:val="auto"/>
          <w:highlight w:val="none"/>
        </w:rPr>
      </w:pPr>
    </w:p>
    <w:p w14:paraId="77AAAC87">
      <w:pPr>
        <w:pStyle w:val="35"/>
        <w:jc w:val="center"/>
        <w:rPr>
          <w:rFonts w:ascii="宋体" w:hAnsi="宋体"/>
          <w:b/>
          <w:color w:val="auto"/>
          <w:sz w:val="44"/>
          <w:szCs w:val="44"/>
          <w:highlight w:val="none"/>
        </w:rPr>
      </w:pPr>
      <w:r>
        <w:rPr>
          <w:rFonts w:hint="eastAsia" w:ascii="宋体" w:hAnsi="宋体" w:eastAsia="宋体" w:cs="宋体"/>
          <w:color w:val="auto"/>
          <w:sz w:val="36"/>
          <w:szCs w:val="36"/>
          <w:highlight w:val="none"/>
        </w:rPr>
        <w:t>202</w:t>
      </w:r>
      <w:r>
        <w:rPr>
          <w:rFonts w:hint="eastAsia" w:ascii="宋体" w:hAnsi="宋体" w:cs="宋体"/>
          <w:color w:val="auto"/>
          <w:sz w:val="36"/>
          <w:szCs w:val="36"/>
          <w:highlight w:val="none"/>
          <w:lang w:val="en-US" w:eastAsia="zh-CN"/>
        </w:rPr>
        <w:t>5</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4</w:t>
      </w:r>
      <w:r>
        <w:rPr>
          <w:rFonts w:hint="eastAsia" w:ascii="宋体" w:hAnsi="宋体" w:eastAsia="宋体" w:cs="宋体"/>
          <w:color w:val="auto"/>
          <w:sz w:val="36"/>
          <w:szCs w:val="36"/>
          <w:highlight w:val="none"/>
        </w:rPr>
        <w:t>月</w:t>
      </w:r>
    </w:p>
    <w:p w14:paraId="356B6D5E">
      <w:pPr>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2FA214F9">
      <w:pPr>
        <w:rPr>
          <w:rFonts w:ascii="宋体" w:hAnsi="宋体"/>
          <w:color w:val="auto"/>
          <w:highlight w:val="none"/>
        </w:rPr>
      </w:pPr>
    </w:p>
    <w:p w14:paraId="2581B6F9">
      <w:pPr>
        <w:pStyle w:val="23"/>
        <w:ind w:firstLine="210"/>
        <w:rPr>
          <w:color w:val="auto"/>
          <w:highlight w:val="none"/>
        </w:rPr>
      </w:pPr>
    </w:p>
    <w:p w14:paraId="66706BD1">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招标公告</w:t>
      </w:r>
    </w:p>
    <w:p w14:paraId="06EE15F4">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招标需求</w:t>
      </w:r>
    </w:p>
    <w:p w14:paraId="5160473B">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投标人须知</w:t>
      </w:r>
    </w:p>
    <w:p w14:paraId="75C396E4">
      <w:pPr>
        <w:spacing w:beforeLines="50" w:line="480" w:lineRule="exact"/>
        <w:ind w:left="1440"/>
        <w:rPr>
          <w:rFonts w:ascii="宋体"/>
          <w:color w:val="auto"/>
          <w:sz w:val="30"/>
          <w:highlight w:val="none"/>
        </w:rPr>
      </w:pPr>
      <w:r>
        <w:rPr>
          <w:rFonts w:hint="eastAsia" w:ascii="宋体"/>
          <w:color w:val="auto"/>
          <w:sz w:val="30"/>
          <w:highlight w:val="none"/>
        </w:rPr>
        <w:t>前附表</w:t>
      </w:r>
    </w:p>
    <w:p w14:paraId="058D4B13">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总 则</w:t>
      </w:r>
    </w:p>
    <w:p w14:paraId="105471BB">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招标文件</w:t>
      </w:r>
    </w:p>
    <w:p w14:paraId="58692507">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投标文件的编制</w:t>
      </w:r>
    </w:p>
    <w:p w14:paraId="48D19596">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开标</w:t>
      </w:r>
    </w:p>
    <w:p w14:paraId="2493BAE4">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评标</w:t>
      </w:r>
    </w:p>
    <w:p w14:paraId="4AD2A0C0">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定标</w:t>
      </w:r>
    </w:p>
    <w:p w14:paraId="2A832B31">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合同授予</w:t>
      </w:r>
    </w:p>
    <w:p w14:paraId="75DE8490">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评标办法及评分标准</w:t>
      </w:r>
    </w:p>
    <w:p w14:paraId="4F165A1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采购合同</w:t>
      </w:r>
    </w:p>
    <w:p w14:paraId="777CC73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投标文件格式</w:t>
      </w:r>
    </w:p>
    <w:p w14:paraId="02BF72AD">
      <w:pPr>
        <w:pStyle w:val="23"/>
        <w:ind w:firstLine="210"/>
        <w:rPr>
          <w:color w:val="auto"/>
          <w:highlight w:val="none"/>
        </w:rPr>
      </w:pPr>
    </w:p>
    <w:p w14:paraId="200129DD">
      <w:pPr>
        <w:pStyle w:val="23"/>
        <w:ind w:firstLine="210"/>
        <w:rPr>
          <w:color w:val="auto"/>
          <w:highlight w:val="none"/>
        </w:rPr>
      </w:pPr>
    </w:p>
    <w:p w14:paraId="02CDBDDD">
      <w:pPr>
        <w:pStyle w:val="23"/>
        <w:ind w:firstLine="210"/>
        <w:rPr>
          <w:color w:val="auto"/>
          <w:highlight w:val="none"/>
        </w:rPr>
      </w:pPr>
    </w:p>
    <w:p w14:paraId="497F438B">
      <w:pPr>
        <w:pStyle w:val="23"/>
        <w:ind w:firstLine="210"/>
        <w:rPr>
          <w:color w:val="auto"/>
          <w:highlight w:val="none"/>
        </w:rPr>
      </w:pPr>
    </w:p>
    <w:p w14:paraId="6FA2C1DA">
      <w:pPr>
        <w:pStyle w:val="23"/>
        <w:ind w:firstLine="210"/>
        <w:rPr>
          <w:color w:val="auto"/>
          <w:highlight w:val="none"/>
        </w:rPr>
      </w:pPr>
    </w:p>
    <w:p w14:paraId="7B879D1C">
      <w:pPr>
        <w:pStyle w:val="23"/>
        <w:ind w:firstLine="210"/>
        <w:rPr>
          <w:color w:val="auto"/>
          <w:highlight w:val="none"/>
        </w:rPr>
      </w:pPr>
    </w:p>
    <w:p w14:paraId="634B6095">
      <w:pPr>
        <w:pStyle w:val="23"/>
        <w:ind w:firstLine="210"/>
        <w:rPr>
          <w:color w:val="auto"/>
          <w:highlight w:val="none"/>
        </w:rPr>
      </w:pPr>
    </w:p>
    <w:p w14:paraId="5E64D15D">
      <w:pPr>
        <w:pStyle w:val="23"/>
        <w:ind w:firstLine="210"/>
        <w:rPr>
          <w:color w:val="auto"/>
          <w:highlight w:val="none"/>
        </w:rPr>
      </w:pPr>
    </w:p>
    <w:p w14:paraId="7BB51AE1">
      <w:pPr>
        <w:rPr>
          <w:color w:val="auto"/>
          <w:highlight w:val="none"/>
        </w:rPr>
      </w:pPr>
    </w:p>
    <w:p w14:paraId="36E71903">
      <w:pPr>
        <w:pStyle w:val="2"/>
        <w:jc w:val="center"/>
        <w:rPr>
          <w:rFonts w:hAnsi="宋体" w:eastAsia="宋体"/>
          <w:b w:val="0"/>
          <w:color w:val="auto"/>
          <w:sz w:val="32"/>
          <w:szCs w:val="32"/>
          <w:highlight w:val="none"/>
        </w:rPr>
      </w:pPr>
      <w:r>
        <w:rPr>
          <w:rFonts w:hint="eastAsia" w:hAnsi="宋体" w:eastAsia="宋体"/>
          <w:color w:val="auto"/>
          <w:kern w:val="2"/>
          <w:sz w:val="32"/>
          <w:szCs w:val="32"/>
          <w:highlight w:val="none"/>
        </w:rPr>
        <w:t>第一章   采购公告</w:t>
      </w:r>
    </w:p>
    <w:p w14:paraId="632DD16E">
      <w:pPr>
        <w:pStyle w:val="53"/>
        <w:spacing w:after="120" w:line="360" w:lineRule="auto"/>
        <w:ind w:left="479" w:leftChars="228"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根据相关法律法规规定，经批准，现就</w:t>
      </w:r>
      <w:r>
        <w:rPr>
          <w:rFonts w:hint="eastAsia" w:cs="Times New Roman" w:asciiTheme="minorEastAsia" w:hAnsiTheme="minorEastAsia" w:eastAsiaTheme="minorEastAsia"/>
          <w:color w:val="auto"/>
          <w:kern w:val="0"/>
          <w:sz w:val="24"/>
          <w:szCs w:val="24"/>
          <w:highlight w:val="none"/>
          <w:u w:val="single"/>
          <w:lang w:val="en-US" w:eastAsia="zh-CN" w:bidi="ar-SA"/>
        </w:rPr>
        <w:t>2024年桐庐县百江镇高标准农田示范区建设项目-数字化大田标段</w:t>
      </w:r>
      <w:r>
        <w:rPr>
          <w:rFonts w:hint="eastAsia" w:cs="Times New Roman" w:asciiTheme="minorEastAsia" w:hAnsiTheme="minorEastAsia" w:eastAsiaTheme="minorEastAsia"/>
          <w:color w:val="auto"/>
          <w:kern w:val="0"/>
          <w:sz w:val="24"/>
          <w:szCs w:val="24"/>
          <w:highlight w:val="none"/>
          <w:lang w:val="en-US" w:eastAsia="zh-CN" w:bidi="ar-SA"/>
        </w:rPr>
        <w:t>采用公开招标的方式进行采购，欢迎符合资格条件的企业来投标：</w:t>
      </w:r>
    </w:p>
    <w:p w14:paraId="44A71C20">
      <w:pPr>
        <w:numPr>
          <w:ilvl w:val="0"/>
          <w:numId w:val="4"/>
        </w:numPr>
        <w:tabs>
          <w:tab w:val="left" w:pos="0"/>
        </w:tabs>
        <w:spacing w:line="360" w:lineRule="auto"/>
        <w:ind w:left="210" w:leftChars="0" w:firstLine="241" w:firstLineChars="100"/>
        <w:rPr>
          <w:rFonts w:hint="eastAsia" w:ascii="宋体" w:hAnsi="宋体" w:cs="Arial"/>
          <w:b/>
          <w:bCs/>
          <w:color w:val="auto"/>
          <w:sz w:val="24"/>
          <w:highlight w:val="none"/>
        </w:rPr>
      </w:pPr>
      <w:r>
        <w:rPr>
          <w:rFonts w:hint="eastAsia" w:ascii="宋体" w:hAnsi="宋体" w:cs="Arial"/>
          <w:b/>
          <w:bCs/>
          <w:color w:val="auto"/>
          <w:sz w:val="24"/>
          <w:highlight w:val="none"/>
        </w:rPr>
        <w:t>项目编号：</w:t>
      </w:r>
      <w:r>
        <w:rPr>
          <w:rFonts w:hint="eastAsia" w:ascii="宋体" w:hAnsi="宋体" w:cs="Arial"/>
          <w:b/>
          <w:bCs/>
          <w:color w:val="auto"/>
          <w:sz w:val="24"/>
          <w:highlight w:val="none"/>
          <w:lang w:eastAsia="zh-CN"/>
        </w:rPr>
        <w:t xml:space="preserve">HZXGD-TL2025004 </w:t>
      </w:r>
    </w:p>
    <w:p w14:paraId="7202D483">
      <w:pPr>
        <w:numPr>
          <w:ilvl w:val="0"/>
          <w:numId w:val="0"/>
        </w:numPr>
        <w:tabs>
          <w:tab w:val="left" w:pos="0"/>
        </w:tabs>
        <w:spacing w:line="360" w:lineRule="auto"/>
        <w:ind w:leftChars="100" w:firstLine="241" w:firstLineChars="100"/>
        <w:rPr>
          <w:rFonts w:hint="eastAsia" w:ascii="宋体" w:hAnsi="宋体" w:eastAsia="宋体" w:cs="Arial"/>
          <w:b/>
          <w:bCs/>
          <w:color w:val="auto"/>
          <w:sz w:val="24"/>
          <w:highlight w:val="none"/>
          <w:lang w:eastAsia="zh-CN"/>
        </w:rPr>
      </w:pPr>
      <w:r>
        <w:rPr>
          <w:rFonts w:hint="eastAsia" w:ascii="宋体" w:hAnsi="宋体" w:eastAsia="宋体" w:cs="Arial"/>
          <w:b/>
          <w:bCs/>
          <w:color w:val="auto"/>
          <w:sz w:val="24"/>
          <w:highlight w:val="none"/>
          <w:lang w:eastAsia="zh-CN"/>
        </w:rPr>
        <w:t>二、采购组织类型：分散采购委托代理</w:t>
      </w:r>
    </w:p>
    <w:p w14:paraId="3A6B61C9">
      <w:pPr>
        <w:spacing w:line="360" w:lineRule="auto"/>
        <w:ind w:firstLine="482" w:firstLineChars="200"/>
        <w:rPr>
          <w:rFonts w:ascii="宋体" w:hAnsi="宋体" w:cs="Arial"/>
          <w:color w:val="auto"/>
          <w:sz w:val="24"/>
          <w:highlight w:val="none"/>
        </w:rPr>
      </w:pPr>
      <w:r>
        <w:rPr>
          <w:rFonts w:hint="eastAsia" w:ascii="宋体" w:hAnsi="宋体" w:cs="Arial"/>
          <w:b/>
          <w:color w:val="auto"/>
          <w:sz w:val="24"/>
          <w:highlight w:val="none"/>
        </w:rPr>
        <w:t>三、采购方式：</w:t>
      </w:r>
      <w:r>
        <w:rPr>
          <w:rFonts w:hint="eastAsia" w:ascii="宋体" w:hAnsi="宋体" w:cs="Arial"/>
          <w:color w:val="auto"/>
          <w:sz w:val="24"/>
          <w:highlight w:val="none"/>
        </w:rPr>
        <w:t xml:space="preserve"> </w:t>
      </w:r>
      <w:r>
        <w:rPr>
          <w:rFonts w:hint="eastAsia" w:ascii="宋体" w:hAnsi="宋体" w:cs="Arial"/>
          <w:b/>
          <w:bCs/>
          <w:color w:val="auto"/>
          <w:sz w:val="24"/>
          <w:highlight w:val="none"/>
        </w:rPr>
        <w:t>公开招标</w:t>
      </w:r>
    </w:p>
    <w:p w14:paraId="43F90C16">
      <w:pPr>
        <w:snapToGrid w:val="0"/>
        <w:spacing w:afterLines="50" w:line="460" w:lineRule="exact"/>
        <w:ind w:firstLine="482" w:firstLineChars="200"/>
        <w:rPr>
          <w:rFonts w:ascii="宋体" w:hAnsi="宋体" w:cs="Arial"/>
          <w:b/>
          <w:bCs/>
          <w:color w:val="auto"/>
          <w:sz w:val="24"/>
          <w:highlight w:val="none"/>
        </w:rPr>
      </w:pPr>
      <w:r>
        <w:rPr>
          <w:rFonts w:hint="eastAsia" w:ascii="宋体" w:hAnsi="宋体" w:cs="宋体"/>
          <w:b/>
          <w:color w:val="auto"/>
          <w:sz w:val="24"/>
          <w:highlight w:val="none"/>
        </w:rPr>
        <w:t>四、</w:t>
      </w:r>
      <w:r>
        <w:rPr>
          <w:rFonts w:hint="eastAsia" w:ascii="宋体" w:hAnsi="宋体"/>
          <w:b/>
          <w:color w:val="auto"/>
          <w:kern w:val="0"/>
          <w:sz w:val="24"/>
          <w:highlight w:val="none"/>
        </w:rPr>
        <w:t>采购内容：</w:t>
      </w:r>
    </w:p>
    <w:tbl>
      <w:tblPr>
        <w:tblStyle w:val="25"/>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53"/>
        <w:gridCol w:w="840"/>
        <w:gridCol w:w="1635"/>
        <w:gridCol w:w="1142"/>
      </w:tblGrid>
      <w:tr w14:paraId="3473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D985A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序号</w:t>
            </w:r>
          </w:p>
        </w:tc>
        <w:tc>
          <w:tcPr>
            <w:tcW w:w="4153" w:type="dxa"/>
            <w:tcBorders>
              <w:top w:val="single" w:color="auto" w:sz="4" w:space="0"/>
              <w:left w:val="single" w:color="auto" w:sz="4" w:space="0"/>
              <w:bottom w:val="single" w:color="auto" w:sz="4" w:space="0"/>
              <w:right w:val="single" w:color="auto" w:sz="4" w:space="0"/>
            </w:tcBorders>
            <w:noWrap w:val="0"/>
            <w:vAlign w:val="center"/>
          </w:tcPr>
          <w:p w14:paraId="4CC975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采购内容</w:t>
            </w:r>
          </w:p>
        </w:tc>
        <w:tc>
          <w:tcPr>
            <w:tcW w:w="840" w:type="dxa"/>
            <w:tcBorders>
              <w:top w:val="single" w:color="auto" w:sz="4" w:space="0"/>
              <w:left w:val="single" w:color="auto" w:sz="4" w:space="0"/>
              <w:right w:val="single" w:color="auto" w:sz="4" w:space="0"/>
            </w:tcBorders>
            <w:noWrap w:val="0"/>
            <w:vAlign w:val="center"/>
          </w:tcPr>
          <w:p w14:paraId="6A7C22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EAADF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预算金额</w:t>
            </w:r>
          </w:p>
          <w:p w14:paraId="3172B5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（最高限价）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D3211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备注</w:t>
            </w:r>
          </w:p>
        </w:tc>
      </w:tr>
      <w:tr w14:paraId="6525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315E85B">
            <w:pPr>
              <w:spacing w:line="360" w:lineRule="auto"/>
              <w:jc w:val="center"/>
              <w:rPr>
                <w:rFonts w:hint="eastAsia" w:ascii="宋体" w:hAnsi="宋体" w:cs="宋体"/>
                <w:color w:val="000000"/>
                <w:sz w:val="24"/>
                <w:lang w:val="en-US"/>
              </w:rPr>
            </w:pPr>
            <w:bookmarkStart w:id="0" w:name="B11_序号"/>
            <w:r>
              <w:rPr>
                <w:rFonts w:hint="eastAsia" w:ascii="宋体" w:hAnsi="宋体" w:cs="宋体"/>
                <w:color w:val="000000"/>
                <w:sz w:val="24"/>
                <w:lang w:val="en-US" w:eastAsia="zh-CN"/>
              </w:rPr>
              <w:t>1</w:t>
            </w:r>
            <w:bookmarkEnd w:id="0"/>
          </w:p>
        </w:tc>
        <w:tc>
          <w:tcPr>
            <w:tcW w:w="4153" w:type="dxa"/>
            <w:tcBorders>
              <w:top w:val="single" w:color="auto" w:sz="4" w:space="0"/>
              <w:left w:val="single" w:color="auto" w:sz="4" w:space="0"/>
              <w:bottom w:val="single" w:color="auto" w:sz="4" w:space="0"/>
              <w:right w:val="single" w:color="auto" w:sz="4" w:space="0"/>
            </w:tcBorders>
            <w:noWrap w:val="0"/>
            <w:vAlign w:val="center"/>
          </w:tcPr>
          <w:p w14:paraId="58ABC28D">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2024年桐庐县百江镇高标准农田示范区建设项目-数字化大田标段</w:t>
            </w:r>
          </w:p>
        </w:tc>
        <w:tc>
          <w:tcPr>
            <w:tcW w:w="840" w:type="dxa"/>
            <w:tcBorders>
              <w:left w:val="single" w:color="auto" w:sz="4" w:space="0"/>
              <w:bottom w:val="single" w:color="auto" w:sz="4" w:space="0"/>
              <w:right w:val="single" w:color="auto" w:sz="4" w:space="0"/>
            </w:tcBorders>
            <w:noWrap w:val="0"/>
            <w:vAlign w:val="center"/>
          </w:tcPr>
          <w:p w14:paraId="252D43EF">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733C6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 </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cs="宋体"/>
                <w:b w:val="0"/>
                <w:kern w:val="0"/>
                <w:sz w:val="24"/>
                <w:szCs w:val="24"/>
                <w:highlight w:val="none"/>
                <w:u w:val="single"/>
                <w:lang w:val="en-US" w:eastAsia="zh-CN" w:bidi="ar"/>
              </w:rPr>
              <w:t>297200</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eastAsia="宋体" w:cs="宋体"/>
                <w:b w:val="0"/>
                <w:kern w:val="0"/>
                <w:sz w:val="24"/>
                <w:szCs w:val="24"/>
                <w:highlight w:val="none"/>
                <w:lang w:val="en-US" w:eastAsia="zh-CN" w:bidi="ar"/>
              </w:rPr>
              <w:t>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1394AD3">
            <w:pPr>
              <w:spacing w:line="240" w:lineRule="auto"/>
              <w:jc w:val="center"/>
              <w:rPr>
                <w:rFonts w:hint="eastAsia" w:ascii="宋体" w:hAnsi="宋体" w:cs="宋体"/>
                <w:color w:val="000000"/>
                <w:sz w:val="24"/>
                <w:lang w:val="en-US" w:eastAsia="zh-CN"/>
              </w:rPr>
            </w:pPr>
            <w:r>
              <w:rPr>
                <w:rFonts w:hint="eastAsia" w:ascii="宋体" w:hAnsi="宋体" w:cs="宋体"/>
                <w:color w:val="000000"/>
                <w:sz w:val="24"/>
              </w:rPr>
              <w:t>详见</w:t>
            </w:r>
            <w:r>
              <w:rPr>
                <w:rFonts w:hint="eastAsia" w:ascii="宋体" w:hAnsi="宋体" w:cs="宋体"/>
                <w:color w:val="000000"/>
                <w:sz w:val="24"/>
                <w:lang w:eastAsia="zh-CN"/>
              </w:rPr>
              <w:t>采购需</w:t>
            </w:r>
            <w:r>
              <w:rPr>
                <w:rFonts w:hint="eastAsia" w:ascii="宋体" w:hAnsi="宋体" w:cs="宋体"/>
                <w:color w:val="000000"/>
                <w:sz w:val="24"/>
              </w:rPr>
              <w:t>求</w:t>
            </w:r>
          </w:p>
        </w:tc>
      </w:tr>
    </w:tbl>
    <w:p w14:paraId="4329C439">
      <w:pPr>
        <w:snapToGrid w:val="0"/>
        <w:spacing w:afterLines="50"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五、合格投标人的资格要求</w:t>
      </w:r>
    </w:p>
    <w:p w14:paraId="6F8382A3">
      <w:pPr>
        <w:spacing w:line="440" w:lineRule="exact"/>
        <w:ind w:firstLine="480" w:firstLineChars="20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1、基本条件</w:t>
      </w:r>
      <w:r>
        <w:rPr>
          <w:rFonts w:hint="eastAsia" w:cs="宋体" w:asciiTheme="minorEastAsia" w:hAnsiTheme="minorEastAsia" w:eastAsiaTheme="minorEastAsia"/>
          <w:color w:val="auto"/>
          <w:kern w:val="0"/>
          <w:sz w:val="24"/>
          <w:highlight w:val="none"/>
          <w:lang w:eastAsia="zh-CN"/>
        </w:rPr>
        <w:t>：</w:t>
      </w:r>
    </w:p>
    <w:p w14:paraId="64C016CB">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（1）具有独立承担民事责任的能力；</w:t>
      </w:r>
    </w:p>
    <w:p w14:paraId="78B7C708">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财务会计制度</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w:t>
      </w:r>
    </w:p>
    <w:p w14:paraId="092764BC">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（3）具有履行合同所必需的设备和专业技术能力；</w:t>
      </w:r>
    </w:p>
    <w:p w14:paraId="1AF54A25">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（4）有依法缴纳税收和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社会保障资金</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的良好记录；</w:t>
      </w:r>
    </w:p>
    <w:p w14:paraId="5CE42D97">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（5）参加采购活动前三年内，在经营活动中没有重大违法记录；</w:t>
      </w:r>
    </w:p>
    <w:p w14:paraId="73A54C37">
      <w:pPr>
        <w:spacing w:line="440" w:lineRule="exact"/>
        <w:ind w:firstLine="720" w:firstLineChars="3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zh-CN"/>
        </w:rPr>
        <w:t>（6）本项目拒绝联合体投标，禁止转包和分包。</w:t>
      </w:r>
    </w:p>
    <w:p w14:paraId="37BFDFF1">
      <w:pPr>
        <w:pStyle w:val="11"/>
        <w:spacing w:line="440" w:lineRule="exact"/>
        <w:ind w:firstLine="660" w:firstLineChars="275"/>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7</w:t>
      </w:r>
      <w:r>
        <w:rPr>
          <w:rFonts w:hint="eastAsia" w:asciiTheme="minorEastAsia" w:hAnsiTheme="minorEastAsia" w:eastAsiaTheme="minorEastAsia"/>
          <w:color w:val="auto"/>
          <w:kern w:val="0"/>
          <w:sz w:val="24"/>
          <w:highlight w:val="none"/>
        </w:rPr>
        <w:t>）参加本项目投标供应商需具备良好的商业信誉</w:t>
      </w:r>
      <w:bookmarkStart w:id="31" w:name="_GoBack"/>
      <w:r>
        <w:rPr>
          <w:rFonts w:hint="eastAsia" w:asciiTheme="minorEastAsia" w:hAnsiTheme="minorEastAsia" w:eastAsiaTheme="minorEastAsia"/>
          <w:color w:val="auto"/>
          <w:kern w:val="0"/>
          <w:sz w:val="24"/>
          <w:highlight w:val="none"/>
        </w:rPr>
        <w:t>，</w:t>
      </w:r>
      <w:bookmarkEnd w:id="31"/>
      <w:r>
        <w:rPr>
          <w:rFonts w:hint="eastAsia" w:asciiTheme="minorEastAsia" w:hAnsiTheme="minorEastAsia" w:eastAsiaTheme="minorEastAsia"/>
          <w:color w:val="auto"/>
          <w:kern w:val="0"/>
          <w:sz w:val="24"/>
          <w:highlight w:val="none"/>
        </w:rPr>
        <w:t>且未被“信用中国”（www.creditchina.gov.cn）、中国政府采购网（www.ccgp.gov.cn）列入失信被执行人、重大税收违法案件当事人名单、政府采购严重违法失信行为记录名单，否则将被拒绝（以开标当日采购人或采购代理机构核实的查询结果为准）。</w:t>
      </w:r>
    </w:p>
    <w:p w14:paraId="3438DBD5">
      <w:pPr>
        <w:spacing w:line="440" w:lineRule="exact"/>
        <w:ind w:firstLine="720" w:firstLineChars="3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（8）本项目拒绝联合体投标。</w:t>
      </w:r>
    </w:p>
    <w:p w14:paraId="3BBA53DD">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六、招标文件的获取</w:t>
      </w:r>
    </w:p>
    <w:p w14:paraId="110ABE47">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供应商可到</w:t>
      </w:r>
      <w:r>
        <w:rPr>
          <w:rFonts w:hint="eastAsia" w:ascii="宋体" w:hAnsi="宋体" w:cs="宋体"/>
          <w:color w:val="auto"/>
          <w:sz w:val="24"/>
          <w:highlight w:val="none"/>
          <w:lang w:eastAsia="zh-CN"/>
        </w:rPr>
        <w:t>浙江政府采购网</w:t>
      </w:r>
      <w:r>
        <w:rPr>
          <w:rFonts w:hint="eastAsia" w:ascii="仿宋" w:hAnsi="仿宋" w:eastAsia="仿宋" w:cs="仿宋"/>
          <w:kern w:val="0"/>
          <w:sz w:val="24"/>
        </w:rPr>
        <w:t>(</w:t>
      </w:r>
      <w:r>
        <w:rPr>
          <w:rFonts w:hint="eastAsia" w:ascii="仿宋" w:hAnsi="仿宋" w:eastAsia="仿宋" w:cs="仿宋"/>
          <w:kern w:val="0"/>
          <w:sz w:val="24"/>
          <w:lang w:eastAsia="zh-CN"/>
        </w:rPr>
        <w:t>https://zfcg.czt.zj.gov.cn/</w:t>
      </w:r>
      <w:r>
        <w:rPr>
          <w:rFonts w:hint="eastAsia" w:ascii="仿宋" w:hAnsi="仿宋" w:eastAsia="仿宋" w:cs="仿宋"/>
          <w:kern w:val="0"/>
          <w:sz w:val="24"/>
        </w:rPr>
        <w:t>)</w:t>
      </w:r>
      <w:r>
        <w:rPr>
          <w:rFonts w:hint="eastAsia" w:ascii="宋体" w:hAnsi="宋体" w:cs="宋体"/>
          <w:color w:val="auto"/>
          <w:sz w:val="24"/>
          <w:highlight w:val="none"/>
        </w:rPr>
        <w:t>上自行查看和下载电子文件。</w:t>
      </w:r>
    </w:p>
    <w:p w14:paraId="04BE1F3D">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w:t>
      </w:r>
      <w:r>
        <w:rPr>
          <w:rFonts w:hint="eastAsia" w:ascii="宋体" w:hAnsi="宋体" w:eastAsia="宋体" w:cs="宋体"/>
          <w:b/>
          <w:color w:val="auto"/>
          <w:sz w:val="24"/>
          <w:highlight w:val="none"/>
        </w:rPr>
        <w:t xml:space="preserve">公告期限 </w:t>
      </w:r>
    </w:p>
    <w:p w14:paraId="08EE46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w:t>
      </w:r>
    </w:p>
    <w:p w14:paraId="379C8DB0">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八、投标保证金</w:t>
      </w:r>
    </w:p>
    <w:p w14:paraId="45BB062F">
      <w:pPr>
        <w:numPr>
          <w:ilvl w:val="0"/>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本项目无需交纳投标保证金。</w:t>
      </w:r>
    </w:p>
    <w:p w14:paraId="6366294D">
      <w:pPr>
        <w:snapToGrid w:val="0"/>
        <w:spacing w:line="440" w:lineRule="exact"/>
        <w:ind w:left="479" w:leftChars="228" w:firstLine="60" w:firstLineChars="25"/>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lang w:eastAsia="zh-CN"/>
        </w:rPr>
        <w:t>九</w:t>
      </w:r>
      <w:r>
        <w:rPr>
          <w:rFonts w:hint="eastAsia" w:cs="Arial" w:asciiTheme="minorEastAsia" w:hAnsiTheme="minorEastAsia" w:eastAsiaTheme="minorEastAsia"/>
          <w:b/>
          <w:bCs/>
          <w:color w:val="auto"/>
          <w:sz w:val="24"/>
          <w:highlight w:val="none"/>
        </w:rPr>
        <w:t>、投标截止时间和地点</w:t>
      </w:r>
    </w:p>
    <w:p w14:paraId="5ADDC920">
      <w:pPr>
        <w:snapToGrid w:val="0"/>
        <w:spacing w:line="440" w:lineRule="exact"/>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w:t>
      </w:r>
      <w:r>
        <w:rPr>
          <w:rFonts w:hint="eastAsia" w:asciiTheme="minorEastAsia" w:hAnsiTheme="minorEastAsia" w:eastAsiaTheme="minorEastAsia"/>
          <w:color w:val="auto"/>
          <w:sz w:val="24"/>
          <w:highlight w:val="yellow"/>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Theme="minorEastAsia" w:hAnsiTheme="minorEastAsia" w:eastAsiaTheme="minorEastAsia"/>
          <w:color w:val="auto"/>
          <w:sz w:val="24"/>
          <w:highlight w:val="yellow"/>
        </w:rPr>
        <w:t>前将</w:t>
      </w:r>
      <w:r>
        <w:rPr>
          <w:rFonts w:hint="eastAsia" w:asciiTheme="minorEastAsia" w:hAnsiTheme="minorEastAsia" w:eastAsiaTheme="minorEastAsia"/>
          <w:b/>
          <w:bCs/>
          <w:color w:val="auto"/>
          <w:sz w:val="24"/>
          <w:highlight w:val="yellow"/>
        </w:rPr>
        <w:t>投标文件</w:t>
      </w:r>
      <w:r>
        <w:rPr>
          <w:rFonts w:hint="eastAsia" w:asciiTheme="minorEastAsia" w:hAnsiTheme="minorEastAsia" w:eastAsiaTheme="minorEastAsia"/>
          <w:color w:val="auto"/>
          <w:sz w:val="24"/>
          <w:highlight w:val="yellow"/>
        </w:rPr>
        <w:t>送交到</w:t>
      </w:r>
      <w:r>
        <w:rPr>
          <w:rFonts w:hint="eastAsia" w:cs="Times New Roman" w:asciiTheme="minorEastAsia" w:hAnsiTheme="minorEastAsia" w:eastAsiaTheme="minorEastAsia"/>
          <w:b/>
          <w:bCs/>
          <w:color w:val="auto"/>
          <w:sz w:val="24"/>
          <w:highlight w:val="yellow"/>
          <w:lang w:val="en-US" w:eastAsia="zh-CN"/>
        </w:rPr>
        <w:t>杭州昕高度工程咨询有限公司4</w:t>
      </w:r>
      <w:r>
        <w:rPr>
          <w:rFonts w:hint="eastAsia" w:cs="Times New Roman" w:asciiTheme="minorEastAsia" w:hAnsiTheme="minorEastAsia" w:eastAsiaTheme="minorEastAsia"/>
          <w:b/>
          <w:bCs/>
          <w:color w:val="auto"/>
          <w:sz w:val="24"/>
          <w:highlight w:val="yellow"/>
          <w:lang w:eastAsia="zh-CN"/>
        </w:rPr>
        <w:t>楼会议室（桐庐县城南街道云栖西路119号4楼）</w:t>
      </w:r>
      <w:r>
        <w:rPr>
          <w:rFonts w:hint="eastAsia" w:asciiTheme="minorEastAsia" w:hAnsiTheme="minorEastAsia" w:eastAsiaTheme="minorEastAsia"/>
          <w:color w:val="auto"/>
          <w:sz w:val="24"/>
          <w:highlight w:val="none"/>
        </w:rPr>
        <w:t>，逾期送达作无效标处理。</w:t>
      </w:r>
    </w:p>
    <w:p w14:paraId="070569B6">
      <w:pPr>
        <w:snapToGrid w:val="0"/>
        <w:spacing w:line="440" w:lineRule="exact"/>
        <w:ind w:firstLine="482"/>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十</w:t>
      </w:r>
      <w:r>
        <w:rPr>
          <w:rFonts w:asciiTheme="minorEastAsia" w:hAnsiTheme="minorEastAsia" w:eastAsiaTheme="minorEastAsia"/>
          <w:b/>
          <w:color w:val="auto"/>
          <w:sz w:val="24"/>
          <w:highlight w:val="none"/>
        </w:rPr>
        <w:t>、</w:t>
      </w:r>
      <w:r>
        <w:rPr>
          <w:rFonts w:hint="eastAsia" w:cs="Arial" w:asciiTheme="minorEastAsia" w:hAnsiTheme="minorEastAsia" w:eastAsiaTheme="minorEastAsia"/>
          <w:b/>
          <w:bCs/>
          <w:color w:val="auto"/>
          <w:sz w:val="24"/>
          <w:highlight w:val="none"/>
        </w:rPr>
        <w:t>开标时间及地点</w:t>
      </w:r>
    </w:p>
    <w:p w14:paraId="630E2631">
      <w:pPr>
        <w:snapToGrid w:val="0"/>
        <w:spacing w:line="440" w:lineRule="exact"/>
        <w:ind w:firstLine="540" w:firstLineChars="2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本次招标将</w:t>
      </w:r>
      <w:r>
        <w:rPr>
          <w:rFonts w:hint="eastAsia" w:asciiTheme="minorEastAsia" w:hAnsiTheme="minorEastAsia" w:eastAsiaTheme="minorEastAsia"/>
          <w:color w:val="auto"/>
          <w:sz w:val="24"/>
          <w:highlight w:val="none"/>
          <w:lang w:val="en-US" w:eastAsia="zh-CN"/>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Theme="minorEastAsia" w:hAnsiTheme="minorEastAsia" w:eastAsiaTheme="minorEastAsia"/>
          <w:color w:val="auto"/>
          <w:sz w:val="24"/>
          <w:highlight w:val="yellow"/>
        </w:rPr>
        <w:t>在</w:t>
      </w:r>
      <w:r>
        <w:rPr>
          <w:rFonts w:hint="eastAsia" w:cs="Times New Roman" w:asciiTheme="minorEastAsia" w:hAnsiTheme="minorEastAsia" w:eastAsiaTheme="minorEastAsia"/>
          <w:b/>
          <w:bCs/>
          <w:color w:val="auto"/>
          <w:sz w:val="24"/>
          <w:highlight w:val="yellow"/>
          <w:lang w:val="en-US" w:eastAsia="zh-CN"/>
        </w:rPr>
        <w:t>州昕高度工程咨询有限公司4</w:t>
      </w:r>
      <w:r>
        <w:rPr>
          <w:rFonts w:hint="eastAsia" w:cs="Times New Roman" w:asciiTheme="minorEastAsia" w:hAnsiTheme="minorEastAsia" w:eastAsiaTheme="minorEastAsia"/>
          <w:b/>
          <w:bCs/>
          <w:color w:val="auto"/>
          <w:sz w:val="24"/>
          <w:highlight w:val="yellow"/>
          <w:lang w:eastAsia="zh-CN"/>
        </w:rPr>
        <w:t>楼会议室（桐庐县城南街道云栖西路119号4楼）</w:t>
      </w:r>
      <w:r>
        <w:rPr>
          <w:rFonts w:hint="eastAsia" w:cs="宋体" w:asciiTheme="minorEastAsia" w:hAnsiTheme="minorEastAsia" w:eastAsiaTheme="minorEastAsia"/>
          <w:color w:val="auto"/>
          <w:sz w:val="24"/>
          <w:highlight w:val="none"/>
        </w:rPr>
        <w:t>开标，投标代表出席开标会议。</w:t>
      </w:r>
    </w:p>
    <w:p w14:paraId="02B9F281">
      <w:pPr>
        <w:snapToGrid w:val="0"/>
        <w:spacing w:line="440" w:lineRule="exact"/>
        <w:ind w:firstLine="482"/>
        <w:rPr>
          <w:rFonts w:hint="eastAsia" w:cs="Times New Roman" w:asciiTheme="minorEastAsia" w:hAnsiTheme="minorEastAsia" w:eastAsiaTheme="minorEastAsia"/>
          <w:b/>
          <w:color w:val="auto"/>
          <w:sz w:val="24"/>
          <w:highlight w:val="none"/>
          <w:lang w:eastAsia="zh-CN"/>
        </w:rPr>
      </w:pPr>
      <w:r>
        <w:rPr>
          <w:rFonts w:hint="eastAsia" w:cs="Times New Roman" w:asciiTheme="minorEastAsia" w:hAnsiTheme="minorEastAsia" w:eastAsiaTheme="minorEastAsia"/>
          <w:b/>
          <w:color w:val="auto"/>
          <w:sz w:val="24"/>
          <w:highlight w:val="none"/>
          <w:lang w:eastAsia="zh-CN"/>
        </w:rPr>
        <w:t>十一、注意事项</w:t>
      </w:r>
    </w:p>
    <w:p w14:paraId="6011748A">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投标人投标文件提交方式：现场提交。</w:t>
      </w:r>
    </w:p>
    <w:p w14:paraId="62D3261E">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每个投标人限安排</w:t>
      </w: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名人员进入杭州昕高度工程咨询有限公司4楼会议室递交投标书</w:t>
      </w:r>
      <w:r>
        <w:rPr>
          <w:rFonts w:hint="eastAsia" w:cs="Times New Roman" w:asciiTheme="minorEastAsia" w:hAnsiTheme="minorEastAsia" w:eastAsiaTheme="minorEastAsia"/>
          <w:color w:val="auto"/>
          <w:sz w:val="24"/>
          <w:highlight w:val="none"/>
          <w:lang w:eastAsia="zh-CN"/>
        </w:rPr>
        <w:t>。</w:t>
      </w:r>
    </w:p>
    <w:p w14:paraId="684CBDEA">
      <w:pPr>
        <w:widowControl/>
        <w:numPr>
          <w:ilvl w:val="0"/>
          <w:numId w:val="0"/>
        </w:numPr>
        <w:shd w:val="clear" w:color="auto" w:fill="FFFFFF"/>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投标人应预留充足时间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携带身份证明</w:t>
      </w:r>
      <w:r>
        <w:rPr>
          <w:rFonts w:hint="eastAsia" w:asciiTheme="minorEastAsia" w:hAnsiTheme="minorEastAsia" w:eastAsiaTheme="minorEastAsia"/>
          <w:color w:val="auto"/>
          <w:sz w:val="24"/>
          <w:highlight w:val="none"/>
        </w:rPr>
        <w:t>（一般在投标截止前</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小时）到杭州昕高度工程咨询有限公司4楼会议室开标现场，并按现场工作人员要求进行身份证核验。</w:t>
      </w:r>
    </w:p>
    <w:p w14:paraId="01365BFA">
      <w:pPr>
        <w:snapToGrid w:val="0"/>
        <w:spacing w:line="440" w:lineRule="exact"/>
        <w:ind w:firstLine="600" w:firstLineChars="250"/>
        <w:rPr>
          <w:rFonts w:hint="eastAsia" w:cs="Arial"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投标人联系人在开标期间应当保持电话畅通，若有询标，将以语音电话的方式进行。投标人通讯不通，导致</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分钟内无法联系（或拨打三次未能接通），将视作投标人不予回复或确认，评标委员会作出的决定投标人不能提起质疑。</w:t>
      </w:r>
    </w:p>
    <w:p w14:paraId="1EF9BB5A">
      <w:pPr>
        <w:snapToGrid w:val="0"/>
        <w:spacing w:line="440" w:lineRule="exact"/>
        <w:ind w:firstLine="241" w:firstLineChars="1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十</w:t>
      </w:r>
      <w:r>
        <w:rPr>
          <w:rFonts w:hint="eastAsia" w:cs="Arial" w:asciiTheme="minorEastAsia" w:hAnsiTheme="minorEastAsia" w:eastAsiaTheme="minorEastAsia"/>
          <w:b/>
          <w:color w:val="auto"/>
          <w:sz w:val="24"/>
          <w:highlight w:val="none"/>
          <w:lang w:eastAsia="zh-CN"/>
        </w:rPr>
        <w:t>二</w:t>
      </w:r>
      <w:r>
        <w:rPr>
          <w:rFonts w:hint="eastAsia" w:cs="Arial" w:asciiTheme="minorEastAsia" w:hAnsiTheme="minorEastAsia" w:eastAsiaTheme="minorEastAsia"/>
          <w:b/>
          <w:color w:val="auto"/>
          <w:sz w:val="24"/>
          <w:highlight w:val="none"/>
        </w:rPr>
        <w:t>、业务咨询：</w:t>
      </w:r>
    </w:p>
    <w:p w14:paraId="67708FEE">
      <w:pPr>
        <w:snapToGrid w:val="0"/>
        <w:spacing w:line="360" w:lineRule="auto"/>
        <w:ind w:firstLine="480" w:firstLineChars="200"/>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rPr>
        <w:t>采购代理机构名称：</w:t>
      </w:r>
      <w:r>
        <w:rPr>
          <w:rFonts w:hint="eastAsia" w:ascii="宋体" w:hAnsi="宋体"/>
          <w:color w:val="000000"/>
          <w:kern w:val="0"/>
          <w:sz w:val="24"/>
          <w:szCs w:val="21"/>
          <w:lang w:eastAsia="zh-CN"/>
        </w:rPr>
        <w:t>杭州昕高度工程咨询有限公司</w:t>
      </w:r>
    </w:p>
    <w:p w14:paraId="14DFBD9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cs="宋体"/>
          <w:sz w:val="24"/>
          <w:lang w:eastAsia="zh-CN"/>
        </w:rPr>
        <w:t>潘玲玲</w:t>
      </w:r>
    </w:p>
    <w:p w14:paraId="76EF1053">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联系电话：</w:t>
      </w:r>
      <w:r>
        <w:rPr>
          <w:rFonts w:hint="eastAsia" w:ascii="宋体" w:hAnsi="宋体" w:cs="宋体"/>
          <w:sz w:val="24"/>
          <w:lang w:val="en-US" w:eastAsia="zh-CN"/>
        </w:rPr>
        <w:t>15988839177</w:t>
      </w:r>
    </w:p>
    <w:p w14:paraId="576E6CE7">
      <w:pPr>
        <w:spacing w:line="360" w:lineRule="auto"/>
        <w:ind w:firstLine="480" w:firstLineChars="200"/>
        <w:rPr>
          <w:rFonts w:hint="eastAsia" w:ascii="宋体" w:hAnsi="宋体" w:eastAsia="宋体"/>
          <w:color w:val="000000"/>
          <w:kern w:val="0"/>
          <w:sz w:val="24"/>
          <w:szCs w:val="21"/>
          <w:lang w:val="en-US" w:eastAsia="zh-CN"/>
        </w:rPr>
      </w:pPr>
      <w:r>
        <w:rPr>
          <w:rFonts w:hint="eastAsia" w:ascii="宋体" w:hAnsi="宋体" w:eastAsia="宋体" w:cs="宋体"/>
          <w:sz w:val="24"/>
        </w:rPr>
        <w:t>地 址：</w:t>
      </w:r>
      <w:r>
        <w:rPr>
          <w:rFonts w:hint="eastAsia" w:ascii="宋体" w:hAnsi="宋体" w:cs="宋体"/>
          <w:sz w:val="24"/>
          <w:lang w:eastAsia="zh-CN"/>
        </w:rPr>
        <w:t>桐庐县城南街道云栖西路119号4楼</w:t>
      </w:r>
    </w:p>
    <w:p w14:paraId="71C4B46B">
      <w:pPr>
        <w:tabs>
          <w:tab w:val="left" w:pos="1440"/>
        </w:tabs>
        <w:spacing w:line="360" w:lineRule="auto"/>
        <w:ind w:firstLine="480" w:firstLineChars="200"/>
        <w:rPr>
          <w:rFonts w:hint="eastAsia" w:ascii="宋体" w:hAnsi="宋体" w:eastAsia="宋体" w:cs="宋体"/>
          <w:sz w:val="24"/>
        </w:rPr>
      </w:pPr>
    </w:p>
    <w:p w14:paraId="33797354">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采购人：</w:t>
      </w:r>
      <w:r>
        <w:rPr>
          <w:rFonts w:hint="eastAsia" w:ascii="宋体" w:hAnsi="宋体"/>
          <w:color w:val="000000"/>
          <w:kern w:val="0"/>
          <w:sz w:val="24"/>
          <w:szCs w:val="21"/>
          <w:lang w:eastAsia="zh-CN"/>
        </w:rPr>
        <w:t>桐庐县百江镇人民政府</w:t>
      </w:r>
      <w:r>
        <w:rPr>
          <w:rFonts w:hint="eastAsia" w:ascii="宋体" w:hAnsi="宋体" w:eastAsia="宋体"/>
          <w:color w:val="000000"/>
          <w:kern w:val="0"/>
          <w:sz w:val="24"/>
          <w:szCs w:val="21"/>
        </w:rPr>
        <w:t xml:space="preserve"> </w:t>
      </w:r>
    </w:p>
    <w:p w14:paraId="1CF6A43B">
      <w:pPr>
        <w:spacing w:line="360" w:lineRule="auto"/>
        <w:ind w:firstLine="480" w:firstLineChars="200"/>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rPr>
        <w:t>地  点：</w:t>
      </w:r>
      <w:r>
        <w:rPr>
          <w:rFonts w:hint="eastAsia" w:ascii="宋体" w:hAnsi="宋体"/>
          <w:color w:val="000000"/>
          <w:kern w:val="0"/>
          <w:sz w:val="24"/>
          <w:szCs w:val="21"/>
          <w:lang w:eastAsia="zh-CN"/>
        </w:rPr>
        <w:t>桐庐县百江镇紫燕路777号</w:t>
      </w:r>
    </w:p>
    <w:p w14:paraId="53ED030E">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联系人：</w:t>
      </w:r>
      <w:r>
        <w:rPr>
          <w:rFonts w:hint="eastAsia" w:ascii="宋体" w:hAnsi="宋体"/>
          <w:color w:val="000000"/>
          <w:kern w:val="0"/>
          <w:sz w:val="24"/>
          <w:szCs w:val="21"/>
          <w:lang w:eastAsia="zh-CN"/>
        </w:rPr>
        <w:t>邱旭阳</w:t>
      </w:r>
      <w:r>
        <w:rPr>
          <w:rFonts w:hint="eastAsia" w:ascii="宋体" w:hAnsi="宋体" w:eastAsia="宋体"/>
          <w:color w:val="000000"/>
          <w:kern w:val="0"/>
          <w:sz w:val="24"/>
          <w:szCs w:val="21"/>
        </w:rPr>
        <w:t xml:space="preserve"> </w:t>
      </w:r>
    </w:p>
    <w:p w14:paraId="516D7E61">
      <w:pPr>
        <w:spacing w:line="360" w:lineRule="auto"/>
        <w:ind w:firstLine="480" w:firstLineChars="200"/>
        <w:rPr>
          <w:rFonts w:hint="default" w:ascii="宋体" w:hAnsi="宋体" w:eastAsia="宋体"/>
          <w:color w:val="000000"/>
          <w:kern w:val="0"/>
          <w:sz w:val="24"/>
          <w:szCs w:val="21"/>
          <w:lang w:val="en-US" w:eastAsia="zh-CN"/>
        </w:rPr>
      </w:pPr>
      <w:r>
        <w:rPr>
          <w:rFonts w:hint="eastAsia" w:ascii="宋体" w:hAnsi="宋体" w:eastAsia="宋体"/>
          <w:color w:val="000000"/>
          <w:kern w:val="0"/>
          <w:sz w:val="24"/>
          <w:szCs w:val="21"/>
        </w:rPr>
        <w:t>联系电话：</w:t>
      </w:r>
      <w:r>
        <w:rPr>
          <w:rFonts w:hint="eastAsia" w:ascii="宋体" w:hAnsi="宋体"/>
          <w:color w:val="000000"/>
          <w:kern w:val="0"/>
          <w:sz w:val="24"/>
          <w:szCs w:val="21"/>
          <w:lang w:val="en-US" w:eastAsia="zh-CN"/>
        </w:rPr>
        <w:t>17826876550</w:t>
      </w:r>
    </w:p>
    <w:p w14:paraId="7571D441">
      <w:pPr>
        <w:spacing w:line="360" w:lineRule="auto"/>
        <w:ind w:firstLine="480" w:firstLineChars="200"/>
        <w:rPr>
          <w:rFonts w:hint="eastAsia" w:ascii="宋体" w:hAnsi="宋体" w:eastAsia="宋体" w:cs="Times New Roman"/>
          <w:color w:val="000000"/>
          <w:kern w:val="0"/>
          <w:sz w:val="24"/>
          <w:szCs w:val="21"/>
          <w:lang w:eastAsia="zh-CN"/>
        </w:rPr>
      </w:pPr>
      <w:r>
        <w:rPr>
          <w:rFonts w:hint="eastAsia" w:ascii="宋体" w:hAnsi="宋体" w:eastAsia="宋体" w:cs="Times New Roman"/>
          <w:color w:val="000000"/>
          <w:kern w:val="0"/>
          <w:sz w:val="24"/>
          <w:szCs w:val="21"/>
        </w:rPr>
        <w:t>监督联系人：</w:t>
      </w:r>
      <w:r>
        <w:rPr>
          <w:rFonts w:hint="eastAsia" w:ascii="宋体" w:hAnsi="宋体" w:cs="Times New Roman"/>
          <w:color w:val="000000"/>
          <w:kern w:val="0"/>
          <w:sz w:val="24"/>
          <w:szCs w:val="21"/>
          <w:lang w:eastAsia="zh-CN"/>
        </w:rPr>
        <w:t>姚逸尘</w:t>
      </w:r>
    </w:p>
    <w:p w14:paraId="5E14D4BB">
      <w:pPr>
        <w:spacing w:line="360" w:lineRule="auto"/>
        <w:ind w:firstLine="480" w:firstLineChars="200"/>
        <w:rPr>
          <w:rFonts w:hint="default" w:ascii="宋体" w:hAnsi="宋体" w:eastAsia="宋体" w:cs="Times New Roman"/>
          <w:color w:val="000000"/>
          <w:kern w:val="0"/>
          <w:sz w:val="24"/>
          <w:szCs w:val="21"/>
          <w:lang w:val="en-US" w:eastAsia="zh-CN"/>
        </w:rPr>
      </w:pPr>
      <w:r>
        <w:rPr>
          <w:rFonts w:hint="eastAsia" w:ascii="宋体" w:hAnsi="宋体" w:eastAsia="宋体" w:cs="Times New Roman"/>
          <w:color w:val="000000"/>
          <w:kern w:val="0"/>
          <w:sz w:val="24"/>
          <w:szCs w:val="21"/>
        </w:rPr>
        <w:t>联系电话：</w:t>
      </w:r>
      <w:r>
        <w:rPr>
          <w:rFonts w:hint="eastAsia" w:ascii="宋体" w:hAnsi="宋体" w:cs="Times New Roman"/>
          <w:color w:val="000000"/>
          <w:kern w:val="0"/>
          <w:sz w:val="24"/>
          <w:szCs w:val="21"/>
          <w:lang w:val="en-US" w:eastAsia="zh-CN"/>
        </w:rPr>
        <w:t>15869104631</w:t>
      </w:r>
    </w:p>
    <w:p w14:paraId="351A18B5"/>
    <w:p w14:paraId="09D0161B">
      <w:pPr>
        <w:pStyle w:val="21"/>
        <w:adjustRightInd w:val="0"/>
        <w:snapToGrid w:val="0"/>
        <w:spacing w:before="0" w:beforeAutospacing="0" w:after="0" w:afterAutospacing="0" w:line="440" w:lineRule="exact"/>
        <w:ind w:firstLine="480" w:firstLineChars="200"/>
        <w:rPr>
          <w:rFonts w:hint="eastAsia" w:ascii="宋体" w:hAnsi="宋体" w:eastAsia="宋体" w:cs="宋体"/>
          <w:color w:val="auto"/>
          <w:sz w:val="24"/>
          <w:szCs w:val="24"/>
          <w:highlight w:val="none"/>
          <w:lang w:val="en-US" w:eastAsia="zh-CN"/>
        </w:rPr>
      </w:pPr>
    </w:p>
    <w:p w14:paraId="5DB78C25">
      <w:pP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br w:type="page"/>
      </w:r>
    </w:p>
    <w:p w14:paraId="345E5FDA">
      <w:pPr>
        <w:numPr>
          <w:ilvl w:val="0"/>
          <w:numId w:val="0"/>
        </w:numPr>
        <w:snapToGrid w:val="0"/>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第二章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采购需求</w:t>
      </w:r>
    </w:p>
    <w:p w14:paraId="183A48A0">
      <w:pPr>
        <w:pStyle w:val="35"/>
        <w:rPr>
          <w:rFonts w:ascii="宋体" w:hAnsi="宋体"/>
          <w:color w:val="auto"/>
          <w:sz w:val="24"/>
          <w:szCs w:val="24"/>
          <w:highlight w:val="none"/>
        </w:rPr>
      </w:pPr>
      <w:bookmarkStart w:id="1" w:name="_Toc21864494"/>
      <w:bookmarkStart w:id="2" w:name="_Toc91899903"/>
    </w:p>
    <w:bookmarkEnd w:id="1"/>
    <w:p w14:paraId="5C4732BE">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一、项目背景：</w:t>
      </w:r>
    </w:p>
    <w:p w14:paraId="7D4DA32D">
      <w:pPr>
        <w:pStyle w:val="3"/>
        <w:tabs>
          <w:tab w:val="left" w:pos="432"/>
        </w:tabs>
        <w:spacing w:line="360" w:lineRule="auto"/>
        <w:ind w:firstLine="240" w:firstLineChars="100"/>
        <w:rPr>
          <w:rFonts w:hint="eastAsia" w:cs="Times New Roman" w:asciiTheme="minorEastAsia" w:hAnsiTheme="minorEastAsia" w:eastAsiaTheme="minorEastAsia"/>
          <w:b w:val="0"/>
          <w:bCs w:val="0"/>
          <w:color w:val="auto"/>
          <w:sz w:val="24"/>
          <w:highlight w:val="none"/>
          <w:lang w:val="en-US" w:eastAsia="zh-CN"/>
        </w:rPr>
      </w:pPr>
      <w:r>
        <w:rPr>
          <w:rFonts w:hint="eastAsia" w:cs="Times New Roman" w:asciiTheme="minorEastAsia" w:hAnsiTheme="minorEastAsia" w:eastAsiaTheme="minorEastAsia"/>
          <w:b w:val="0"/>
          <w:bCs w:val="0"/>
          <w:color w:val="auto"/>
          <w:sz w:val="24"/>
          <w:highlight w:val="none"/>
          <w:lang w:val="en-US" w:eastAsia="zh-CN"/>
        </w:rPr>
        <w:t xml:space="preserve">“十四五”全国农业绿色发展规划明确了目标：到2025年，农业绿色发展全面推进，制度体系和工作机制基本健全，科技支撑和政策保障更加有力，农村生产生活方式绿色转型取得明显进展。 </w:t>
      </w:r>
    </w:p>
    <w:p w14:paraId="6ADB0283">
      <w:pPr>
        <w:pStyle w:val="3"/>
        <w:tabs>
          <w:tab w:val="left" w:pos="432"/>
        </w:tabs>
        <w:spacing w:line="360" w:lineRule="auto"/>
        <w:ind w:firstLine="240" w:firstLineChars="1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浙江省数字乡村“十四五”规划也明确指出：建设“数字农田”，推进全省高标准农田、粮食生产功能区、永久基本农田、耕地（分水田、旱地）“一张图”管理，为农业生产力布局、粮食生产功能区“非粮化”整治等提供决策支持。</w:t>
      </w:r>
    </w:p>
    <w:p w14:paraId="4C1D211F">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经过乡镇申报，县级初审，市级评审，根据《杭州市高质量推进现代农业发展项目实施方案》(杭委农办发〔2022〕2号)和《关于下达2024年第五批市级乡村振兴发展资金的通知》(杭农〔2024〕48号)文件精神和有关要求等文件精神，桐庐县百江镇高标准农田示范区建设项目初步设计方案已通过市、县两级专家评审，现予立项。</w:t>
      </w:r>
    </w:p>
    <w:p w14:paraId="598938AA">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二、建设目标</w:t>
      </w:r>
    </w:p>
    <w:p w14:paraId="66FCF8DD">
      <w:pPr>
        <w:spacing w:line="360" w:lineRule="auto"/>
        <w:ind w:firstLine="480" w:firstLineChars="200"/>
        <w:rPr>
          <w:rFonts w:ascii="宋体" w:hAnsi="宋体" w:cs="宋体"/>
          <w:sz w:val="24"/>
        </w:rPr>
      </w:pPr>
      <w:r>
        <w:rPr>
          <w:rFonts w:hint="eastAsia" w:ascii="宋体" w:hAnsi="宋体" w:cs="宋体"/>
          <w:sz w:val="24"/>
        </w:rPr>
        <w:t>根据</w:t>
      </w:r>
      <w:r>
        <w:rPr>
          <w:rFonts w:ascii="宋体" w:hAnsi="宋体" w:cs="宋体"/>
          <w:sz w:val="24"/>
        </w:rPr>
        <w:t>《高标准农田建设质量管理办法（试行）》（农建发〔2021〕1号）、浙江省高标准农田建设质量管理实施办法（试行）》（浙农田发〔2021〕18号）、</w:t>
      </w:r>
      <w:r>
        <w:rPr>
          <w:rFonts w:hint="eastAsia" w:ascii="宋体" w:hAnsi="宋体" w:cs="宋体"/>
          <w:sz w:val="24"/>
        </w:rPr>
        <w:t>浙</w:t>
      </w:r>
      <w:r>
        <w:rPr>
          <w:rFonts w:ascii="宋体" w:hAnsi="宋体" w:cs="宋体"/>
          <w:sz w:val="24"/>
        </w:rPr>
        <w:t>江省农业农村厅 浙江省财政厅《关于开展绿色农田建设的通知》（浙农田发〔2021〕10 号）和《</w:t>
      </w:r>
      <w:r>
        <w:rPr>
          <w:rFonts w:hint="eastAsia" w:ascii="宋体" w:hAnsi="宋体" w:cs="宋体"/>
          <w:sz w:val="24"/>
        </w:rPr>
        <w:t>关于印发杭州市高质量推进现代农业发展项目实施方案的通知》(杭委农办发〔2022〕2号)</w:t>
      </w:r>
      <w:r>
        <w:rPr>
          <w:rFonts w:ascii="宋体" w:hAnsi="宋体" w:cs="宋体"/>
          <w:sz w:val="24"/>
        </w:rPr>
        <w:t>的通知要求</w:t>
      </w:r>
      <w:r>
        <w:rPr>
          <w:rFonts w:hint="eastAsia" w:ascii="宋体" w:hAnsi="宋体" w:cs="宋体"/>
          <w:sz w:val="24"/>
        </w:rPr>
        <w:t>。加强农田新基建建设，落实“建、管、用”全程监管，推进农田整体智治。探索实践数字大田，依托北斗、遥感、物联网、人工智能、区块链等新技术，配备墒情监测、虫情测报、安全追溯、肥药双控等设施装备，提升大田自动感知、监测预警和智能生产能力。做好数字农田系统监测点建设。因地制宜设置实时监测种植、“非粮化”等情况的设备，支持监测、生产数据实时上传至“浙农田”场景应用，推进全省农田“一图监管”。推进数字技术应用。因地制宜通过智能虫情识别、智能感知等设备对病虫害、土壤墒情实施监测，推广智能化灌溉技术。</w:t>
      </w:r>
    </w:p>
    <w:p w14:paraId="7CA6969F">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三、建设内容</w:t>
      </w:r>
    </w:p>
    <w:p w14:paraId="613592E2">
      <w:pPr>
        <w:pStyle w:val="3"/>
        <w:tabs>
          <w:tab w:val="left" w:pos="432"/>
        </w:tabs>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2024年桐庐县百江镇高标准农田示范区建设项目运用数字物联和信息化技术，围绕集“土壤健康、生态环保、非粮监管、节水高效”于一体，为高标准农田生产提供作物种植的智能化管理解决方案，建成环境监测、虫情预警、水质监测、非粮化AI可视化监测，实现农田实时在线监测预警、天气虫害预警机制、智能节水灌溉等多个场景应用，实时动态监控稻田内的生产情况。</w:t>
      </w:r>
    </w:p>
    <w:p w14:paraId="73B23840">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r>
        <w:rPr>
          <w:rFonts w:hint="eastAsia" w:cs="Times New Roman" w:asciiTheme="minorEastAsia" w:hAnsiTheme="minorEastAsia" w:eastAsiaTheme="minorEastAsia"/>
          <w:b/>
          <w:bCs/>
          <w:color w:val="auto"/>
          <w:sz w:val="24"/>
          <w:highlight w:val="none"/>
          <w:lang w:val="en-US" w:eastAsia="zh-CN"/>
        </w:rPr>
        <w:t>四、招标技术参数清单</w:t>
      </w:r>
    </w:p>
    <w:p w14:paraId="4B05D86A">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p>
    <w:tbl>
      <w:tblPr>
        <w:tblStyle w:val="25"/>
        <w:tblW w:w="9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907"/>
        <w:gridCol w:w="7350"/>
        <w:gridCol w:w="514"/>
        <w:gridCol w:w="604"/>
      </w:tblGrid>
      <w:tr w14:paraId="37EA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4597">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88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7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A8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技术参数要求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A9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47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14:paraId="3B37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97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488CE4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田间农情监测</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5EEC">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28F3">
            <w:pPr>
              <w:jc w:val="center"/>
              <w:rPr>
                <w:rFonts w:hint="eastAsia" w:ascii="微软雅黑" w:hAnsi="微软雅黑" w:eastAsia="微软雅黑" w:cs="微软雅黑"/>
                <w:i w:val="0"/>
                <w:iCs w:val="0"/>
                <w:color w:val="000000"/>
                <w:sz w:val="22"/>
                <w:szCs w:val="22"/>
                <w:u w:val="none"/>
              </w:rPr>
            </w:pPr>
          </w:p>
        </w:tc>
      </w:tr>
      <w:tr w14:paraId="3C53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2"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70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6A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智能虫情测报设备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A0D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1.能自动拍照、上传害虫图片，可自动清理死虫体，自动分析相关数据，历史数据可实时在线免费存储、查阅、下载；支持电脑客户端、网页版、移动端版数据共享；</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2.整体结构：须采用304不锈钢材质或不锈钢喷塑，撞击屏互成120度夹角；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3.虫体处理：须远红外虫体处理，仓温度85±5℃，虫体处理致死率≥98%，虫体完整率≥95%；虫体分散可实现虫体≥98%分散平铺；（提供具有检测资质的机构出具的带CNAS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4.保护要求：设备带有防雨棚和防雨百叶，下雨天可以正常工作，正常捕虫；具防雷击功能；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5.虫情图像拍照要求：内置≥2000万像素高清工业摄像机，显示屏≥7寸触摸屏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远程查询监控：可在电脑端和手机端远程监控平台对虫情自动采集系统的控制，包括但不限于指令发布执行、系统参数设置、采集信息的查询分析、远程手动控制换位、诱虫灯开启、加热管通断、杀虫仓和烘干仓清空、震动电机开关、传送带开关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自动识别功能：对农林常见虫害做自动识别计数，包含：草地贪夜蛾、粘虫、棉铃虫、金龟子、草地螟、玉米螟、大螟、二化螟、稻纵卷叶螟、褐飞虱属、白背飞虱、蝼蛄、甜菜夜蛾、二点委夜蛾、茶尺蠖、小绿叶蝉、烟青虫等常见害虫，识别准确率≥85%。（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★8.识别辅助：系统具有比例尺用以辅助判断虫体大小，并且具有害虫标记功能，不同害虫用不同的颜色区别标注，害虫种类与颜色一一对应；（提供具有检测资质的机构出具的带CNAS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★9.特定害虫识别：对一、二类农作物病虫害名录中趋光性害虫的单一种类识别计数准确率≥90%；（提供具有检测资质的机构出具的带CNAS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10.虫子收集储存功能：对拍完照的虫子，需要保留标本的留在储存仓内，人工定期去收集： 对于不需要标本的，虫子直接排出机器外部，避免人工去现场维护；不需要收集标本的情况下，可以不用人工去现场，只要定期去检修即可；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11.网络支持：支持网关/5G/4G/网线/网桥/WIFI等选择；</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12.防盗要求：内置GPS定位功能，在PC云端地图中查看设备站点等数据，被盗可追踪；（提供具有检测资质的机构出具的带CNAS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13.中控系统：采用四核安卓微型电脑中控，灯管开关、转仓、工作模式、拍照间隔、联网信息、远程启动/重启、设备位置报警、电量提醒、流量提醒等设备的运行状态可以通过中控远程监控；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14.自动调节拍照时间：可通过照片自动识别虫子数量多少来自动调节拍照间隔时间。（提供具有检测资质的机构出具的带CNAS 标识的检测报告）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15.工作环境：温度-20℃～70℃、湿度≤98℃。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16.其他：交流电220V电源，诱虫光源≤20W诱虫灯管，主波长360±5nm，灯管启动时间≤5秒，绝缘电阻≥2.5MΩ，Android4.0以上操作系统；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17通过部署在不同地方的虫情测报灯，将捕获到的昆虫进行统计分析，可绘制出虫害的发生趋势与发生轨迹，并确定其发生源头，以此为数据基础来做好虫害的预测预警，为病虫害的防治提供数据支撑。</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A8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AA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24F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58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C9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农业气象监测设备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30C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1.空气温度传感器：测量范围：-40～80℃，分辨率： 0.1℃，精度±0.3℃；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2.空气湿度传感器：测量范围：0～100%RH，分辨率：0.1%RH，精度±0.3；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3.光照强度传感器：工作范围-40℃~80℃ 0-80%RH，测量范围0～200000lux</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4.立杆支架：金属喷漆两节式支架，牢靠稳固，外观美观。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5.数据采集传输模块（4G）：采用TCP透明传输，进行数据互传，数据传至物联网云平台。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6.太阳能供电：含30W太阳能板、15Ah蓄电池、太阳能控制器、太阳能支架，太阳能板到主机箱带20米的线。</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F9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76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14:paraId="0B48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34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50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农业墒情监测设备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0C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1.温度测量范围：-40℃～90℃。温度测量精度：±0.3℃ 湿度测量范围：0～100%RH 湿度测量精度±5%RH</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2.远程查看：通过客户移动端实时查看设备监控的信息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3.智能报警：超过设定值后可触发报警指令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4.数据呈现：设备记录的数据会以曲线图和详细数据进行展现。同时拥有数据汇总和数据对比功能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5.数据下载：数据可存放在云平台一年，可一键导出数据</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AC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D0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28F7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E8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9F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移动式光照强度检测设备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7D2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1.光照量程：0～130000lux</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2.远程查看：通过客户移动端实时查看设备监控的信息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3.智能报警：超过设定值后可触发报警指令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4.数据呈现：设备记录的数据会以曲线图和详细数据进行展现。同时拥有数据汇总和数据对比功能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5.数据下载：数据可存放在云平台一年，可一键导出数据</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0B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80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7D2F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CE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04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农业苗情监测设备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EF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1.清晰度要求：像素不小于400万；分辨能力（约）：20m距离10×10mm清晰辨别，8m距离1×1mm清晰辨别，夜间10m距离10×10mm清晰辨别；</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2.采集系统水平转角≧350度，采集系统垂直转角≧45/45(上下)度；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3.实时采集基地作物生长情况，通过高清视频了解作物的生长态势来判断整体发育与生长是否良好，并且提供定时拍照功能，将作物长势图片拍照并上传至数据中心，以备后期的作物长势分析提供依据。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4.支持通过网页端和移动端即可远程获取监控影像，支持对摄像头的远程控制。</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D1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56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507F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DC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4A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田间枪机设备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AC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1.400万1/3”CMOS ICR红外阵列筒型网络摄像机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2.视频压缩标准 H.265 / H.264 / MJPEG；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3.最小照度：0.07Lux @(F1.2,AGC ON) ,0 Lux with IR；0.1 Lux @(F1.4,AGC ON), 0 Lux with IR；</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4.镜头：4mm, 水平视场角:78°(6mm,8mm,12mm,可选)；宽动态范围：120dB；红外照射距离最远可达：30米；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5.工作温度和湿度：-30℃~60℃,湿度小于95%(无凝结)；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6.IP67防护等级</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8E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82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14:paraId="17C3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E8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7C7C23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田间绿色防控</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D538">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1B3F">
            <w:pPr>
              <w:jc w:val="center"/>
              <w:rPr>
                <w:rFonts w:hint="eastAsia" w:ascii="微软雅黑" w:hAnsi="微软雅黑" w:eastAsia="微软雅黑" w:cs="微软雅黑"/>
                <w:i w:val="0"/>
                <w:iCs w:val="0"/>
                <w:color w:val="000000"/>
                <w:sz w:val="22"/>
                <w:szCs w:val="22"/>
                <w:u w:val="none"/>
              </w:rPr>
            </w:pPr>
          </w:p>
        </w:tc>
      </w:tr>
      <w:tr w14:paraId="7DE5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26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5E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飞蛾诱捕器</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DD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1、倒置漏斗形（倒置开放式），顶端圆弧形；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2、塑料外壳雌雄对开，插闩卡扣设计，插卡成型，田间安装方便，可叠放运输体积小；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3、外壳尺寸，高度32±0.1cm，外径16±0.1cm，内径14.8±0.1cm；漏斗，高度19.8±0.1cm，下口内径14.5±0.1cm，进虫口内径2±0.1cm；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4、诱芯柄长：12.8±0.1cm；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5、材料：塑料制品，白色；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6、整体净重≥290g/个；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7、诱捕器拉伸强度，31.2MPa；诱捕器简支梁缺口冲击强度4.8KJ/m2；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8、带诱捕器支架；配定位卡扣可调节高度，卡扣内径2.0 ±0.2cm，长度4.3±0.2cm，高度2.6±0.2cm，卡口内有锥体突出便于杆子上孔固定及调节；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9、诱捕器一侧带3组圆形环口，外径2.4 ±0.1cm， 厚度 0.2 ±0.2cm，便于与立杆连接、固定。</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96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44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B70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52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01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二化螟诱芯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06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1、外形尺寸（mm）：长度80mm±5mm，外径1.8mm±0.2mm，内径0.8mm±0.1mm ;材料：PVC毛细管;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2、诱芯净重（mg）= 220±10;活性组份0.61%；其中顺11 -十六碳烯醛占活性组分含量81.8±5%，气相分析纯度不低于97%;</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3、诱芯田间持效期：在通常自然气温下12周;田间使用密度(个/亩)：1-2个每亩 ;-15～-5℃下储藏期≥2年。</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FE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A5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C4A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6A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E0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稻纵卷叶螟诱芯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B6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1、外形尺寸（mm）：长度80mm±5mm，外径1.8mm±0.2mm，内径0.8mm±0.1mm ;材料：PVC毛细管;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2、诱芯净重（mg）= 220±10;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3、诱芯田间持效期：在通常自然气温下12周;田间使用密度(个/亩)：1-2个每亩 ;-15～-5℃下储藏期≥2年。</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80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C0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09B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2"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7C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C9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风吸式杀虫灯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D4D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1.光控功能：遮挡光控传感器，灯管应自动亮起，杀虫灯进入正常工作状态。去除光控传感器遮挡物，灯管应能自动熄灭，杀虫灯应停止工作。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2.时控功能：应具有时间控制功能，控制的时间在1-24个时间段任意控制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3.一个账户可远程控制多台不同编号的设备，配置方法由服务人员后台设置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4.可在GIS地图上列出所有安装的联网杀虫灯，可在地图上直接选择进入查看状态，便于统一管理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远程管理：支持手机App与Web端控制,具有丰富的状态信息展示,足不出户就可以了解一切，如地理位置、设备编号、基地名称、物联网卡卡号、剩余流量、卡有效期、杀虫次数、GSM天线连接是否正常等故障报警信息。可远程控制、查看设备的当前工作状态、信号强度、电量使用等情况。（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7.节能：在线时段可远程设置，最长可设置2小时，非在线时段设备休眠，每隔2h通讯一次。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★8.防逃逸功能：设备具有防逃逸功能，确保诱捕的害虫不再逃离，集虫装置采用金属网罩。（投标文件中提供具有检验资质的第三方检测机构出具的带有CMA或CNAS标识的检测报告复印件）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★9.倾倒保护：设备具有倾倒后自动断电功能。（投标文件中提供具有检验资质的第三方检测机构出具的带有CMA或CNAS标识的检测报告复印件）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10.电源： DC12.6V锂电池，功率＜20W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11.太阳能板：功率40W。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12.待机功耗≤0.7W。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13.诱虫灯规格：功率 ≤ 5W（主波长365nm混合LED灯管）。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14.风机规格：6W/12V，转速为2200转/分，防水级别为IP68，无刷电机。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15.工作温度：工作温度范围是5℃～55℃；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16.储存温度：为-5℃～35℃。，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17.低温保护：内置低温保护开关，低于5℃左右时温控开关断开，灯和风扇停止工作。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18.结构尺寸：670*408*2000mm。</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F5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EE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r>
      <w:tr w14:paraId="0322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A1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33456A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农田数字化配套建设</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D04B">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4CC7">
            <w:pPr>
              <w:jc w:val="center"/>
              <w:rPr>
                <w:rFonts w:hint="eastAsia" w:ascii="微软雅黑" w:hAnsi="微软雅黑" w:eastAsia="微软雅黑" w:cs="微软雅黑"/>
                <w:i w:val="0"/>
                <w:iCs w:val="0"/>
                <w:color w:val="000000"/>
                <w:sz w:val="22"/>
                <w:szCs w:val="22"/>
                <w:u w:val="none"/>
              </w:rPr>
            </w:pPr>
          </w:p>
        </w:tc>
      </w:tr>
      <w:tr w14:paraId="5F57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BC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8E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水泥基础</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3D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小虫体测报灯基础1个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围栏基础1个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苗情监控基础6个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防水箱基础5个</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D6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D1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6049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B3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9D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挖沟布线辅材</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750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挖沟含回填、破路含材料、二次搬运</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19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58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7118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06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90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安装调试</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D4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田间农情监测设备、风吸式杀虫灯等设备及附属设施安装调试。</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2C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53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bl>
    <w:p w14:paraId="58A91EBF">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p>
    <w:p w14:paraId="11F73261">
      <w:pPr>
        <w:pStyle w:val="2"/>
        <w:tabs>
          <w:tab w:val="left" w:pos="432"/>
          <w:tab w:val="clear" w:pos="360"/>
        </w:tabs>
        <w:spacing w:line="240" w:lineRule="auto"/>
        <w:rPr>
          <w:sz w:val="30"/>
          <w:szCs w:val="30"/>
        </w:rPr>
      </w:pPr>
      <w:r>
        <w:rPr>
          <w:rFonts w:hint="eastAsia"/>
          <w:sz w:val="30"/>
          <w:szCs w:val="30"/>
        </w:rPr>
        <w:t>五、其他要求</w:t>
      </w:r>
    </w:p>
    <w:p w14:paraId="0AC8FC79">
      <w:pPr>
        <w:spacing w:line="360" w:lineRule="auto"/>
        <w:ind w:firstLine="643"/>
        <w:rPr>
          <w:rFonts w:ascii="仿宋_GB2312" w:hAnsi="仿宋" w:eastAsia="仿宋_GB2312"/>
          <w:b/>
          <w:bCs/>
          <w:sz w:val="32"/>
          <w:szCs w:val="32"/>
          <w:lang w:val="zh-CN"/>
        </w:rPr>
      </w:pPr>
      <w:r>
        <w:rPr>
          <w:rFonts w:hint="eastAsia" w:ascii="仿宋_GB2312" w:hAnsi="仿宋" w:eastAsia="仿宋_GB2312"/>
          <w:b/>
          <w:bCs/>
          <w:sz w:val="32"/>
          <w:szCs w:val="32"/>
          <w:lang w:val="zh-CN"/>
        </w:rPr>
        <w:t>（一）项目工期要求</w:t>
      </w:r>
    </w:p>
    <w:p w14:paraId="0C8AF0C3">
      <w:pPr>
        <w:spacing w:line="360" w:lineRule="auto"/>
        <w:ind w:firstLine="480"/>
        <w:rPr>
          <w:color w:val="auto"/>
          <w:sz w:val="24"/>
          <w:lang w:val="zh-CN"/>
        </w:rPr>
      </w:pPr>
      <w:r>
        <w:rPr>
          <w:rFonts w:hint="eastAsia"/>
          <w:color w:val="auto"/>
          <w:sz w:val="24"/>
          <w:lang w:val="zh-CN"/>
        </w:rPr>
        <w:t>自签订合同之日起</w:t>
      </w:r>
      <w:r>
        <w:rPr>
          <w:rFonts w:hint="eastAsia"/>
          <w:color w:val="auto"/>
          <w:sz w:val="24"/>
          <w:highlight w:val="none"/>
          <w:lang w:val="zh-CN"/>
        </w:rPr>
        <w:t>45天内</w:t>
      </w:r>
      <w:r>
        <w:rPr>
          <w:rFonts w:hint="eastAsia"/>
          <w:color w:val="auto"/>
          <w:sz w:val="24"/>
          <w:lang w:val="zh-CN"/>
        </w:rPr>
        <w:t>完成项目产品供货、安装调试、软硬件集成等所有服务。</w:t>
      </w:r>
    </w:p>
    <w:p w14:paraId="46F802CC">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（二）付款方式</w:t>
      </w:r>
    </w:p>
    <w:p w14:paraId="29925755">
      <w:pPr>
        <w:spacing w:line="360" w:lineRule="auto"/>
        <w:ind w:firstLine="480"/>
        <w:rPr>
          <w:sz w:val="24"/>
          <w:lang w:val="zh-CN"/>
        </w:rPr>
      </w:pPr>
      <w:r>
        <w:rPr>
          <w:rFonts w:hint="eastAsia"/>
          <w:sz w:val="24"/>
          <w:lang w:val="zh-CN"/>
        </w:rPr>
        <w:t>1、项目款的结算采购单位根据合同、投标文件等资料进行验收。</w:t>
      </w:r>
    </w:p>
    <w:p w14:paraId="3B4EC3E6">
      <w:pPr>
        <w:spacing w:line="360" w:lineRule="auto"/>
        <w:ind w:firstLine="480"/>
        <w:rPr>
          <w:sz w:val="24"/>
          <w:lang w:val="zh-CN"/>
        </w:rPr>
      </w:pPr>
      <w:r>
        <w:rPr>
          <w:rFonts w:hint="eastAsia" w:ascii="Times New Roman" w:hAnsi="Times New Roman" w:eastAsia="宋体" w:cs="Times New Roman"/>
          <w:sz w:val="24"/>
          <w:szCs w:val="24"/>
          <w:lang w:val="zh-CN" w:eastAsia="zh-CN"/>
        </w:rPr>
        <w:t>在合同生效以及具备实施条件后7个工作日内支付合同价50%，</w:t>
      </w:r>
      <w:r>
        <w:rPr>
          <w:rFonts w:hint="eastAsia"/>
          <w:sz w:val="24"/>
          <w:lang w:val="zh-CN"/>
        </w:rPr>
        <w:t>验收合格后，支付剩余款项。</w:t>
      </w:r>
    </w:p>
    <w:p w14:paraId="7238A8CC">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（三）质保要求</w:t>
      </w:r>
    </w:p>
    <w:p w14:paraId="0F1BA6BF">
      <w:pPr>
        <w:spacing w:line="360" w:lineRule="auto"/>
        <w:ind w:firstLine="480"/>
        <w:rPr>
          <w:sz w:val="24"/>
          <w:lang w:val="zh-CN"/>
        </w:rPr>
      </w:pPr>
      <w:r>
        <w:rPr>
          <w:rFonts w:hint="eastAsia"/>
          <w:sz w:val="24"/>
          <w:lang w:val="zh-CN"/>
        </w:rPr>
        <w:t>1.投标产品提供不少于</w:t>
      </w:r>
      <w:r>
        <w:rPr>
          <w:rFonts w:hint="eastAsia"/>
          <w:sz w:val="24"/>
        </w:rPr>
        <w:t>三</w:t>
      </w:r>
      <w:r>
        <w:rPr>
          <w:rFonts w:hint="eastAsia"/>
          <w:sz w:val="24"/>
          <w:lang w:val="zh-CN"/>
        </w:rPr>
        <w:t>年免费质保期，质保期自验收合格次日起计算，质保期严格按照国家三包规定执行。</w:t>
      </w:r>
    </w:p>
    <w:p w14:paraId="3296C72C">
      <w:pPr>
        <w:spacing w:line="360" w:lineRule="auto"/>
        <w:ind w:firstLine="480"/>
        <w:rPr>
          <w:sz w:val="24"/>
          <w:lang w:val="zh-CN"/>
        </w:rPr>
      </w:pPr>
      <w:r>
        <w:rPr>
          <w:rFonts w:hint="eastAsia"/>
          <w:sz w:val="24"/>
          <w:lang w:val="zh-CN"/>
        </w:rPr>
        <w:t>2.乙方对产品实行终身维修，保修期内如发生不会使用情况、电脑问题及网络故障，乙方免费提供电话或者网络服务及上门服务，在甲方提出问题后乙方需在24小时内响应。</w:t>
      </w:r>
    </w:p>
    <w:p w14:paraId="60C59906">
      <w:pPr>
        <w:spacing w:line="360" w:lineRule="auto"/>
        <w:ind w:firstLine="480"/>
        <w:rPr>
          <w:sz w:val="24"/>
          <w:lang w:val="zh-CN"/>
        </w:rPr>
      </w:pPr>
      <w:r>
        <w:rPr>
          <w:rFonts w:hint="eastAsia"/>
          <w:sz w:val="24"/>
          <w:lang w:val="zh-CN"/>
        </w:rPr>
        <w:t>3.保修期内由于火灾、水灾、地震等不可抗力原因及甲方人为破坏因素造成的损坏，乙方负责免费维修，设备材料成本费由甲方承担。</w:t>
      </w:r>
    </w:p>
    <w:p w14:paraId="59C32B33">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（四）运维要求</w:t>
      </w:r>
    </w:p>
    <w:p w14:paraId="162F3D15">
      <w:pPr>
        <w:spacing w:line="360" w:lineRule="auto"/>
        <w:ind w:firstLine="480"/>
        <w:rPr>
          <w:sz w:val="24"/>
        </w:rPr>
      </w:pPr>
      <w:r>
        <w:rPr>
          <w:rFonts w:hint="eastAsia"/>
          <w:sz w:val="24"/>
        </w:rPr>
        <w:t>项目运维服务内容需包括日常运行、服务咨询、巡检保养、故障修复、特殊保障和更新升级等各方面。</w:t>
      </w:r>
    </w:p>
    <w:p w14:paraId="01A205CC">
      <w:pPr>
        <w:spacing w:line="360" w:lineRule="auto"/>
        <w:ind w:firstLine="643" w:firstLineChars="200"/>
        <w:rPr>
          <w:rFonts w:hint="eastAsia" w:ascii="黑体" w:hAnsi="宋体" w:eastAsia="黑体"/>
          <w:b/>
          <w:color w:val="auto"/>
          <w:kern w:val="0"/>
          <w:sz w:val="32"/>
          <w:highlight w:val="none"/>
        </w:rPr>
      </w:pPr>
      <w:r>
        <w:rPr>
          <w:rFonts w:hint="eastAsia" w:ascii="仿宋_GB2312" w:hAnsi="仿宋" w:eastAsia="仿宋_GB2312"/>
          <w:b/>
          <w:bCs/>
          <w:sz w:val="32"/>
          <w:szCs w:val="32"/>
        </w:rPr>
        <w:t>（五）</w:t>
      </w:r>
      <w:r>
        <w:rPr>
          <w:rFonts w:hint="eastAsia"/>
          <w:sz w:val="24"/>
        </w:rPr>
        <w:t>本次招标代理服务费由中标方承担，专家评审费用由采购方承担。</w:t>
      </w:r>
      <w:r>
        <w:rPr>
          <w:rFonts w:hint="eastAsia" w:ascii="黑体" w:hAnsi="宋体" w:eastAsia="黑体"/>
          <w:b/>
          <w:color w:val="auto"/>
          <w:kern w:val="0"/>
          <w:sz w:val="32"/>
          <w:highlight w:val="none"/>
        </w:rPr>
        <w:br w:type="page"/>
      </w:r>
    </w:p>
    <w:p w14:paraId="67F30443">
      <w:pPr>
        <w:widowControl/>
        <w:snapToGrid w:val="0"/>
        <w:spacing w:beforeLines="50"/>
        <w:jc w:val="center"/>
        <w:rPr>
          <w:rFonts w:ascii="黑体" w:hAnsi="宋体" w:eastAsia="黑体"/>
          <w:b/>
          <w:color w:val="auto"/>
          <w:kern w:val="0"/>
          <w:sz w:val="32"/>
          <w:highlight w:val="none"/>
        </w:rPr>
      </w:pPr>
      <w:r>
        <w:rPr>
          <w:rFonts w:hint="eastAsia" w:ascii="黑体" w:hAnsi="宋体" w:eastAsia="黑体"/>
          <w:b/>
          <w:color w:val="auto"/>
          <w:kern w:val="0"/>
          <w:sz w:val="32"/>
          <w:highlight w:val="none"/>
        </w:rPr>
        <w:t>第三章 投标方须知</w:t>
      </w:r>
    </w:p>
    <w:p w14:paraId="31CDB1C7">
      <w:pPr>
        <w:pStyle w:val="2"/>
        <w:spacing w:line="240" w:lineRule="auto"/>
        <w:ind w:left="855" w:leftChars="407" w:firstLine="3196" w:firstLineChars="995"/>
        <w:rPr>
          <w:rFonts w:hAnsi="宋体"/>
          <w:color w:val="auto"/>
          <w:kern w:val="2"/>
          <w:sz w:val="32"/>
          <w:szCs w:val="32"/>
          <w:highlight w:val="none"/>
        </w:rPr>
      </w:pPr>
      <w:r>
        <w:rPr>
          <w:rFonts w:hint="eastAsia" w:hAnsi="宋体"/>
          <w:color w:val="auto"/>
          <w:kern w:val="2"/>
          <w:sz w:val="32"/>
          <w:szCs w:val="32"/>
          <w:highlight w:val="none"/>
        </w:rPr>
        <w:t>前附表</w:t>
      </w:r>
    </w:p>
    <w:tbl>
      <w:tblPr>
        <w:tblStyle w:val="25"/>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304"/>
      </w:tblGrid>
      <w:tr w14:paraId="6E42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7" w:type="dxa"/>
            <w:vAlign w:val="center"/>
          </w:tcPr>
          <w:p w14:paraId="70C7DE20">
            <w:pPr>
              <w:snapToGrid w:val="0"/>
              <w:rPr>
                <w:rFonts w:ascii="宋体" w:hAnsi="宋体"/>
                <w:color w:val="auto"/>
                <w:sz w:val="24"/>
                <w:highlight w:val="none"/>
              </w:rPr>
            </w:pPr>
            <w:r>
              <w:rPr>
                <w:rFonts w:hint="eastAsia" w:ascii="宋体" w:hAnsi="宋体"/>
                <w:color w:val="auto"/>
                <w:sz w:val="24"/>
                <w:highlight w:val="none"/>
              </w:rPr>
              <w:t>序号</w:t>
            </w:r>
          </w:p>
        </w:tc>
        <w:tc>
          <w:tcPr>
            <w:tcW w:w="8304" w:type="dxa"/>
            <w:vAlign w:val="center"/>
          </w:tcPr>
          <w:p w14:paraId="44CAF3FB">
            <w:pPr>
              <w:snapToGrid w:val="0"/>
              <w:ind w:firstLine="480"/>
              <w:jc w:val="center"/>
              <w:rPr>
                <w:rFonts w:ascii="宋体" w:hAnsi="宋体"/>
                <w:color w:val="auto"/>
                <w:sz w:val="24"/>
                <w:highlight w:val="none"/>
              </w:rPr>
            </w:pPr>
            <w:r>
              <w:rPr>
                <w:rFonts w:hint="eastAsia" w:ascii="宋体" w:hAnsi="宋体"/>
                <w:color w:val="auto"/>
                <w:sz w:val="24"/>
                <w:highlight w:val="none"/>
              </w:rPr>
              <w:t>内容、要求</w:t>
            </w:r>
          </w:p>
        </w:tc>
      </w:tr>
      <w:tr w14:paraId="3CF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7" w:type="dxa"/>
            <w:vAlign w:val="center"/>
          </w:tcPr>
          <w:p w14:paraId="7F06FEDC">
            <w:pPr>
              <w:snapToGrid w:val="0"/>
              <w:rPr>
                <w:rFonts w:ascii="宋体" w:hAnsi="宋体"/>
                <w:color w:val="auto"/>
                <w:sz w:val="24"/>
                <w:highlight w:val="none"/>
              </w:rPr>
            </w:pPr>
            <w:r>
              <w:rPr>
                <w:rFonts w:hint="eastAsia" w:ascii="宋体" w:hAnsi="宋体"/>
                <w:color w:val="auto"/>
                <w:sz w:val="24"/>
                <w:highlight w:val="none"/>
              </w:rPr>
              <w:t xml:space="preserve">  1</w:t>
            </w:r>
          </w:p>
        </w:tc>
        <w:tc>
          <w:tcPr>
            <w:tcW w:w="8304" w:type="dxa"/>
            <w:vAlign w:val="center"/>
          </w:tcPr>
          <w:p w14:paraId="7F1158D9">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2024年桐庐县百江镇高标准农田示范区建设项目-数字化大田标段</w:t>
            </w:r>
          </w:p>
        </w:tc>
      </w:tr>
      <w:tr w14:paraId="69DA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7" w:type="dxa"/>
            <w:vAlign w:val="center"/>
          </w:tcPr>
          <w:p w14:paraId="40844D05">
            <w:pPr>
              <w:snapToGrid w:val="0"/>
              <w:rPr>
                <w:rFonts w:ascii="宋体" w:hAnsi="宋体"/>
                <w:color w:val="auto"/>
                <w:sz w:val="24"/>
                <w:highlight w:val="none"/>
              </w:rPr>
            </w:pPr>
            <w:r>
              <w:rPr>
                <w:rFonts w:hint="eastAsia" w:ascii="宋体" w:hAnsi="宋体"/>
                <w:color w:val="auto"/>
                <w:sz w:val="24"/>
                <w:highlight w:val="none"/>
              </w:rPr>
              <w:t xml:space="preserve">  2</w:t>
            </w:r>
          </w:p>
        </w:tc>
        <w:tc>
          <w:tcPr>
            <w:tcW w:w="8304" w:type="dxa"/>
            <w:vAlign w:val="center"/>
          </w:tcPr>
          <w:p w14:paraId="721D1EE4">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采购数量及单位：详见招标需求</w:t>
            </w:r>
            <w:r>
              <w:rPr>
                <w:rFonts w:hint="eastAsia" w:ascii="宋体" w:hAnsi="宋体" w:eastAsia="宋体" w:cs="宋体"/>
                <w:color w:val="auto"/>
                <w:sz w:val="24"/>
                <w:highlight w:val="none"/>
                <w:lang w:eastAsia="zh-CN"/>
              </w:rPr>
              <w:t>。</w:t>
            </w:r>
          </w:p>
        </w:tc>
      </w:tr>
      <w:tr w14:paraId="243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7" w:type="dxa"/>
            <w:vAlign w:val="center"/>
          </w:tcPr>
          <w:p w14:paraId="4A734BB3">
            <w:pPr>
              <w:snapToGrid w:val="0"/>
              <w:rPr>
                <w:rFonts w:ascii="宋体" w:hAnsi="宋体"/>
                <w:color w:val="auto"/>
                <w:sz w:val="24"/>
                <w:highlight w:val="none"/>
              </w:rPr>
            </w:pPr>
            <w:r>
              <w:rPr>
                <w:rFonts w:hint="eastAsia" w:ascii="宋体" w:hAnsi="宋体"/>
                <w:color w:val="auto"/>
                <w:sz w:val="24"/>
                <w:highlight w:val="none"/>
              </w:rPr>
              <w:t xml:space="preserve">  3</w:t>
            </w:r>
          </w:p>
        </w:tc>
        <w:tc>
          <w:tcPr>
            <w:tcW w:w="8304" w:type="dxa"/>
            <w:vAlign w:val="center"/>
          </w:tcPr>
          <w:p w14:paraId="79355E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投标报价及费用：1.本项目投标应以人民币报价；2.不论投标结果如何，投标人均应自行承担所有与投标有关的全部费用。</w:t>
            </w:r>
          </w:p>
        </w:tc>
      </w:tr>
      <w:tr w14:paraId="552E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trPr>
        <w:tc>
          <w:tcPr>
            <w:tcW w:w="827" w:type="dxa"/>
            <w:vAlign w:val="center"/>
          </w:tcPr>
          <w:p w14:paraId="275D84B1">
            <w:pPr>
              <w:snapToGrid w:val="0"/>
              <w:rPr>
                <w:rFonts w:ascii="宋体" w:hAnsi="宋体"/>
                <w:color w:val="auto"/>
                <w:sz w:val="24"/>
                <w:highlight w:val="none"/>
              </w:rPr>
            </w:pPr>
            <w:r>
              <w:rPr>
                <w:rFonts w:hint="eastAsia" w:ascii="宋体" w:hAnsi="宋体"/>
                <w:color w:val="auto"/>
                <w:sz w:val="24"/>
                <w:highlight w:val="none"/>
              </w:rPr>
              <w:t xml:space="preserve">  4</w:t>
            </w:r>
          </w:p>
        </w:tc>
        <w:tc>
          <w:tcPr>
            <w:tcW w:w="8304" w:type="dxa"/>
            <w:vAlign w:val="center"/>
          </w:tcPr>
          <w:p w14:paraId="77196E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a.投标截止后，在投标有效期内，供应商不能撤销投标文件。供应商强行撤销投标文件的，应按采购预算金额的 2%赔偿对采购组织机构造成损失。</w:t>
            </w:r>
          </w:p>
          <w:p w14:paraId="534998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p w14:paraId="720427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c.存在下列行为的，采购代理机构将其失信行为上报采购主管部门，由主管部门按有关规定对其违法失信行为记录进行公开：</w:t>
            </w:r>
          </w:p>
          <w:p w14:paraId="3387A9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1"/>
            </w:r>
            <w:r>
              <w:rPr>
                <w:rFonts w:hint="eastAsia" w:ascii="宋体" w:hAnsi="宋体" w:eastAsia="宋体" w:cs="宋体"/>
                <w:color w:val="auto"/>
                <w:sz w:val="24"/>
                <w:highlight w:val="none"/>
              </w:rPr>
              <w:t>中标或者成交后，拒绝签订采购合同的；</w:t>
            </w:r>
          </w:p>
          <w:p w14:paraId="1ED305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2"/>
            </w:r>
            <w:r>
              <w:rPr>
                <w:rFonts w:hint="eastAsia" w:ascii="宋体" w:hAnsi="宋体" w:eastAsia="宋体" w:cs="宋体"/>
                <w:color w:val="auto"/>
                <w:sz w:val="24"/>
                <w:highlight w:val="none"/>
              </w:rPr>
              <w:t>投标有效期内撤销投标文件的。</w:t>
            </w:r>
          </w:p>
        </w:tc>
      </w:tr>
      <w:tr w14:paraId="0456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7" w:type="dxa"/>
            <w:vAlign w:val="center"/>
          </w:tcPr>
          <w:p w14:paraId="44C31325">
            <w:pPr>
              <w:snapToGrid w:val="0"/>
              <w:rPr>
                <w:rFonts w:ascii="宋体" w:hAnsi="宋体"/>
                <w:color w:val="auto"/>
                <w:sz w:val="24"/>
                <w:highlight w:val="none"/>
              </w:rPr>
            </w:pPr>
            <w:r>
              <w:rPr>
                <w:rFonts w:hint="eastAsia" w:ascii="宋体" w:hAnsi="宋体"/>
                <w:color w:val="auto"/>
                <w:sz w:val="24"/>
                <w:highlight w:val="none"/>
              </w:rPr>
              <w:t xml:space="preserve">  5</w:t>
            </w:r>
          </w:p>
        </w:tc>
        <w:tc>
          <w:tcPr>
            <w:tcW w:w="8304" w:type="dxa"/>
            <w:vAlign w:val="center"/>
          </w:tcPr>
          <w:p w14:paraId="1A2F9DC5">
            <w:pPr>
              <w:snapToGrid w:val="0"/>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答疑与澄清：</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D56333D">
            <w:pPr>
              <w:snapToGrid w:val="0"/>
              <w:spacing w:line="360" w:lineRule="auto"/>
              <w:rPr>
                <w:rFonts w:ascii="宋体" w:hAnsi="宋体"/>
                <w:color w:val="auto"/>
                <w:sz w:val="24"/>
                <w:highlight w:val="none"/>
              </w:rPr>
            </w:pPr>
            <w:r>
              <w:rPr>
                <w:rFonts w:hint="eastAsia" w:ascii="宋体" w:hAnsi="宋体" w:eastAsia="宋体" w:cs="宋体"/>
                <w:color w:val="auto"/>
                <w:sz w:val="24"/>
                <w:szCs w:val="24"/>
                <w:highlight w:val="none"/>
              </w:rPr>
              <w:t>质疑和投诉按照《政府采购质疑和投诉办法》（财政部令第94号）规定，范本在《浙江政府采购网》中“下载专区”内下载。质疑时要求供应商在法定质疑期内一次性提出针对同一采购程序环节的质疑。”</w:t>
            </w:r>
          </w:p>
        </w:tc>
      </w:tr>
      <w:tr w14:paraId="0905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7" w:type="dxa"/>
            <w:vAlign w:val="center"/>
          </w:tcPr>
          <w:p w14:paraId="27EABE25">
            <w:pPr>
              <w:snapToGrid w:val="0"/>
              <w:rPr>
                <w:rFonts w:ascii="宋体" w:hAnsi="宋体"/>
                <w:color w:val="auto"/>
                <w:sz w:val="24"/>
                <w:highlight w:val="none"/>
              </w:rPr>
            </w:pPr>
            <w:r>
              <w:rPr>
                <w:rFonts w:hint="eastAsia" w:ascii="宋体" w:hAnsi="宋体"/>
                <w:color w:val="auto"/>
                <w:sz w:val="24"/>
                <w:highlight w:val="none"/>
              </w:rPr>
              <w:t xml:space="preserve">  6</w:t>
            </w:r>
          </w:p>
        </w:tc>
        <w:tc>
          <w:tcPr>
            <w:tcW w:w="8304" w:type="dxa"/>
            <w:vAlign w:val="center"/>
          </w:tcPr>
          <w:p w14:paraId="476FE6DF">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投标文件组成：</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份；报价文件：正本1份，副本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w:t>
            </w:r>
          </w:p>
        </w:tc>
      </w:tr>
      <w:tr w14:paraId="2EC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27" w:type="dxa"/>
            <w:vAlign w:val="center"/>
          </w:tcPr>
          <w:p w14:paraId="7E3D390E">
            <w:pPr>
              <w:snapToGrid w:val="0"/>
              <w:jc w:val="center"/>
              <w:rPr>
                <w:rFonts w:ascii="宋体" w:hAnsi="宋体"/>
                <w:color w:val="auto"/>
                <w:sz w:val="24"/>
                <w:highlight w:val="none"/>
              </w:rPr>
            </w:pPr>
            <w:r>
              <w:rPr>
                <w:rFonts w:hint="eastAsia" w:ascii="宋体" w:hAnsi="宋体"/>
                <w:color w:val="auto"/>
                <w:sz w:val="24"/>
                <w:highlight w:val="none"/>
              </w:rPr>
              <w:t>7</w:t>
            </w:r>
          </w:p>
        </w:tc>
        <w:tc>
          <w:tcPr>
            <w:tcW w:w="8304" w:type="dxa"/>
            <w:vAlign w:val="center"/>
          </w:tcPr>
          <w:p w14:paraId="60212E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投标截止时间及地点：投标人应于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宋体" w:hAnsi="宋体" w:eastAsia="宋体" w:cs="宋体"/>
                <w:color w:val="auto"/>
                <w:sz w:val="24"/>
                <w:highlight w:val="none"/>
              </w:rPr>
              <w:t>前将投标文件送交到</w:t>
            </w:r>
            <w:r>
              <w:rPr>
                <w:rFonts w:hint="eastAsia" w:ascii="宋体" w:hAnsi="宋体" w:cs="宋体"/>
                <w:color w:val="auto"/>
                <w:sz w:val="24"/>
                <w:highlight w:val="none"/>
                <w:lang w:val="en-US" w:eastAsia="zh-CN"/>
              </w:rPr>
              <w:t>杭</w:t>
            </w:r>
            <w:r>
              <w:rPr>
                <w:rFonts w:hint="eastAsia" w:ascii="宋体" w:hAnsi="宋体" w:eastAsia="宋体" w:cs="宋体"/>
                <w:color w:val="auto"/>
                <w:sz w:val="24"/>
                <w:highlight w:val="none"/>
              </w:rPr>
              <w:t>州昕高度工程咨询有限公司4楼会议室（桐庐县城南街道云栖西路119号4楼），逾期送达作无效标处理。</w:t>
            </w:r>
          </w:p>
        </w:tc>
      </w:tr>
      <w:tr w14:paraId="73DC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vAlign w:val="center"/>
          </w:tcPr>
          <w:p w14:paraId="7450BE86">
            <w:pPr>
              <w:snapToGrid w:val="0"/>
              <w:jc w:val="center"/>
              <w:rPr>
                <w:rFonts w:ascii="宋体" w:hAnsi="宋体"/>
                <w:color w:val="auto"/>
                <w:sz w:val="24"/>
                <w:highlight w:val="none"/>
              </w:rPr>
            </w:pPr>
            <w:r>
              <w:rPr>
                <w:rFonts w:hint="eastAsia" w:ascii="宋体" w:hAnsi="宋体"/>
                <w:color w:val="auto"/>
                <w:sz w:val="24"/>
                <w:highlight w:val="none"/>
              </w:rPr>
              <w:t>8</w:t>
            </w:r>
          </w:p>
        </w:tc>
        <w:tc>
          <w:tcPr>
            <w:tcW w:w="8304" w:type="dxa"/>
            <w:vAlign w:val="center"/>
          </w:tcPr>
          <w:p w14:paraId="2EF18B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开标时间及地点：本次招标将</w:t>
            </w:r>
            <w:r>
              <w:rPr>
                <w:rFonts w:hint="eastAsia" w:ascii="宋体" w:hAnsi="宋体" w:cs="宋体"/>
                <w:color w:val="auto"/>
                <w:sz w:val="24"/>
                <w:highlight w:val="none"/>
                <w:lang w:val="en-US" w:eastAsia="zh-CN"/>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杭</w:t>
            </w:r>
            <w:r>
              <w:rPr>
                <w:rFonts w:hint="eastAsia" w:ascii="宋体" w:hAnsi="宋体" w:eastAsia="宋体" w:cs="宋体"/>
                <w:color w:val="auto"/>
                <w:sz w:val="24"/>
                <w:highlight w:val="none"/>
              </w:rPr>
              <w:t>州昕高度工程咨询有限公司4楼会议室（桐庐县城南街道云栖西路119号4楼）开标，投标人派代表出席开标会议。</w:t>
            </w:r>
          </w:p>
        </w:tc>
      </w:tr>
      <w:tr w14:paraId="798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14:paraId="09E7A8CB">
            <w:pPr>
              <w:snapToGrid w:val="0"/>
              <w:rPr>
                <w:rFonts w:ascii="宋体" w:hAnsi="宋体"/>
                <w:color w:val="auto"/>
                <w:sz w:val="24"/>
                <w:highlight w:val="none"/>
              </w:rPr>
            </w:pPr>
            <w:r>
              <w:rPr>
                <w:rFonts w:hint="eastAsia" w:ascii="宋体" w:hAnsi="宋体"/>
                <w:color w:val="auto"/>
                <w:sz w:val="24"/>
                <w:highlight w:val="none"/>
              </w:rPr>
              <w:t xml:space="preserve">  9</w:t>
            </w:r>
          </w:p>
        </w:tc>
        <w:tc>
          <w:tcPr>
            <w:tcW w:w="8304" w:type="dxa"/>
            <w:vAlign w:val="center"/>
          </w:tcPr>
          <w:p w14:paraId="6D1BAB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评标办法及标准：按照采购文件第四章评标办法及评分标准。</w:t>
            </w:r>
          </w:p>
        </w:tc>
      </w:tr>
      <w:tr w14:paraId="438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27" w:type="dxa"/>
            <w:vAlign w:val="center"/>
          </w:tcPr>
          <w:p w14:paraId="17F3A193">
            <w:pPr>
              <w:snapToGrid w:val="0"/>
              <w:rPr>
                <w:rFonts w:ascii="宋体" w:hAnsi="宋体"/>
                <w:color w:val="auto"/>
                <w:sz w:val="24"/>
                <w:highlight w:val="none"/>
              </w:rPr>
            </w:pPr>
            <w:r>
              <w:rPr>
                <w:rFonts w:hint="eastAsia" w:ascii="宋体" w:hAnsi="宋体"/>
                <w:color w:val="auto"/>
                <w:sz w:val="24"/>
                <w:highlight w:val="none"/>
              </w:rPr>
              <w:t xml:space="preserve">  10</w:t>
            </w:r>
          </w:p>
        </w:tc>
        <w:tc>
          <w:tcPr>
            <w:tcW w:w="8304" w:type="dxa"/>
            <w:vAlign w:val="center"/>
          </w:tcPr>
          <w:p w14:paraId="56186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中标（成交）公告：采购人确定1名中标人后，在</w:t>
            </w:r>
            <w:r>
              <w:rPr>
                <w:rFonts w:hint="eastAsia" w:ascii="宋体" w:hAnsi="宋体" w:cs="宋体"/>
                <w:color w:val="auto"/>
                <w:sz w:val="24"/>
                <w:highlight w:val="none"/>
                <w:lang w:eastAsia="zh-CN"/>
              </w:rPr>
              <w:t>浙江政府采购网</w:t>
            </w:r>
            <w:r>
              <w:rPr>
                <w:rFonts w:hint="eastAsia" w:ascii="仿宋" w:hAnsi="仿宋" w:eastAsia="仿宋" w:cs="仿宋"/>
                <w:kern w:val="0"/>
                <w:sz w:val="24"/>
              </w:rPr>
              <w:t>(</w:t>
            </w:r>
            <w:r>
              <w:rPr>
                <w:rFonts w:hint="eastAsia" w:ascii="仿宋" w:hAnsi="仿宋" w:eastAsia="仿宋" w:cs="仿宋"/>
                <w:kern w:val="0"/>
                <w:sz w:val="24"/>
                <w:lang w:eastAsia="zh-CN"/>
              </w:rPr>
              <w:t>https://zfcg.czt.zj.gov.cn/</w:t>
            </w:r>
            <w:r>
              <w:rPr>
                <w:rFonts w:hint="eastAsia" w:ascii="仿宋" w:hAnsi="仿宋" w:eastAsia="仿宋" w:cs="仿宋"/>
                <w:kern w:val="0"/>
                <w:sz w:val="24"/>
              </w:rPr>
              <w:t>)</w:t>
            </w:r>
            <w:r>
              <w:rPr>
                <w:rFonts w:hint="eastAsia" w:ascii="宋体" w:hAnsi="宋体" w:eastAsia="宋体" w:cs="宋体"/>
                <w:color w:val="auto"/>
                <w:sz w:val="24"/>
                <w:highlight w:val="none"/>
              </w:rPr>
              <w:t>上进行1个工作日的中标公告。</w:t>
            </w:r>
          </w:p>
        </w:tc>
      </w:tr>
      <w:tr w14:paraId="759B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7" w:type="dxa"/>
            <w:vAlign w:val="center"/>
          </w:tcPr>
          <w:p w14:paraId="6B0BEAA6">
            <w:pPr>
              <w:snapToGrid w:val="0"/>
              <w:rPr>
                <w:rFonts w:ascii="宋体" w:hAnsi="宋体"/>
                <w:color w:val="auto"/>
                <w:sz w:val="24"/>
                <w:highlight w:val="none"/>
              </w:rPr>
            </w:pPr>
            <w:r>
              <w:rPr>
                <w:rFonts w:hint="eastAsia" w:ascii="宋体" w:hAnsi="宋体"/>
                <w:color w:val="auto"/>
                <w:sz w:val="24"/>
                <w:highlight w:val="none"/>
              </w:rPr>
              <w:t xml:space="preserve">  11</w:t>
            </w:r>
          </w:p>
        </w:tc>
        <w:tc>
          <w:tcPr>
            <w:tcW w:w="8304" w:type="dxa"/>
            <w:vAlign w:val="center"/>
          </w:tcPr>
          <w:p w14:paraId="068838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中标（成交）通知书：成交结果在中标（成交）公告时，代理机构以书面形式发出《成交通知书》。</w:t>
            </w:r>
          </w:p>
        </w:tc>
      </w:tr>
      <w:tr w14:paraId="5202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7" w:type="dxa"/>
            <w:vAlign w:val="center"/>
          </w:tcPr>
          <w:p w14:paraId="7C9B183D">
            <w:pPr>
              <w:snapToGrid w:val="0"/>
              <w:rPr>
                <w:rFonts w:ascii="宋体" w:hAnsi="宋体"/>
                <w:color w:val="auto"/>
                <w:sz w:val="24"/>
                <w:highlight w:val="none"/>
              </w:rPr>
            </w:pPr>
            <w:r>
              <w:rPr>
                <w:rFonts w:hint="eastAsia" w:ascii="宋体" w:hAnsi="宋体"/>
                <w:color w:val="auto"/>
                <w:sz w:val="24"/>
                <w:highlight w:val="none"/>
              </w:rPr>
              <w:t xml:space="preserve">  12</w:t>
            </w:r>
          </w:p>
        </w:tc>
        <w:tc>
          <w:tcPr>
            <w:tcW w:w="8304" w:type="dxa"/>
            <w:vAlign w:val="center"/>
          </w:tcPr>
          <w:p w14:paraId="193ED0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签订合同：中标通知书发出后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天内。</w:t>
            </w:r>
          </w:p>
        </w:tc>
      </w:tr>
      <w:tr w14:paraId="33C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27" w:type="dxa"/>
            <w:vAlign w:val="center"/>
          </w:tcPr>
          <w:p w14:paraId="235895A5">
            <w:pPr>
              <w:snapToGrid w:val="0"/>
              <w:rPr>
                <w:rFonts w:ascii="宋体" w:hAnsi="宋体"/>
                <w:color w:val="auto"/>
                <w:sz w:val="24"/>
                <w:highlight w:val="none"/>
              </w:rPr>
            </w:pPr>
            <w:r>
              <w:rPr>
                <w:rFonts w:hint="eastAsia" w:ascii="宋体" w:hAnsi="宋体"/>
                <w:color w:val="auto"/>
                <w:sz w:val="24"/>
                <w:highlight w:val="none"/>
              </w:rPr>
              <w:t xml:space="preserve">  13</w:t>
            </w:r>
          </w:p>
        </w:tc>
        <w:tc>
          <w:tcPr>
            <w:tcW w:w="8304" w:type="dxa"/>
            <w:vAlign w:val="center"/>
          </w:tcPr>
          <w:p w14:paraId="09DC4E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投标文件有效期：90 天。</w:t>
            </w:r>
          </w:p>
        </w:tc>
      </w:tr>
      <w:tr w14:paraId="120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7" w:type="dxa"/>
            <w:vAlign w:val="center"/>
          </w:tcPr>
          <w:p w14:paraId="7F504379">
            <w:pPr>
              <w:snapToGrid w:val="0"/>
              <w:rPr>
                <w:rFonts w:ascii="宋体" w:hAnsi="宋体"/>
                <w:color w:val="auto"/>
                <w:sz w:val="24"/>
                <w:highlight w:val="none"/>
              </w:rPr>
            </w:pPr>
            <w:r>
              <w:rPr>
                <w:rFonts w:hint="eastAsia" w:ascii="宋体" w:hAnsi="宋体"/>
                <w:color w:val="auto"/>
                <w:sz w:val="24"/>
                <w:highlight w:val="none"/>
              </w:rPr>
              <w:t xml:space="preserve">  14</w:t>
            </w:r>
          </w:p>
        </w:tc>
        <w:tc>
          <w:tcPr>
            <w:tcW w:w="8304" w:type="dxa"/>
            <w:vAlign w:val="center"/>
          </w:tcPr>
          <w:p w14:paraId="3FBD65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解释：本招标文件的解释权属于招标采购单位。</w:t>
            </w:r>
          </w:p>
        </w:tc>
      </w:tr>
      <w:tr w14:paraId="5DFE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7" w:type="dxa"/>
            <w:vAlign w:val="center"/>
          </w:tcPr>
          <w:p w14:paraId="06C0CD83">
            <w:pPr>
              <w:snapToGrid w:val="0"/>
              <w:jc w:val="center"/>
              <w:rPr>
                <w:rFonts w:ascii="宋体" w:hAnsi="宋体"/>
                <w:color w:val="auto"/>
                <w:sz w:val="24"/>
                <w:highlight w:val="none"/>
              </w:rPr>
            </w:pPr>
            <w:r>
              <w:rPr>
                <w:rFonts w:hint="eastAsia" w:ascii="宋体" w:hAnsi="宋体"/>
                <w:color w:val="auto"/>
                <w:highlight w:val="none"/>
              </w:rPr>
              <w:t>15</w:t>
            </w:r>
          </w:p>
        </w:tc>
        <w:tc>
          <w:tcPr>
            <w:tcW w:w="8304" w:type="dxa"/>
            <w:vAlign w:val="center"/>
          </w:tcPr>
          <w:p w14:paraId="06D3C6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本项目招投标活动适用《中华人民共和国政府招投标法》等有关法律法规规章及其他规范性文件。</w:t>
            </w:r>
          </w:p>
        </w:tc>
      </w:tr>
      <w:tr w14:paraId="5A4F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7" w:type="dxa"/>
            <w:vAlign w:val="center"/>
          </w:tcPr>
          <w:p w14:paraId="341F3718">
            <w:pPr>
              <w:snapToGrid w:val="0"/>
              <w:jc w:val="center"/>
              <w:rPr>
                <w:rFonts w:ascii="宋体" w:hAnsi="宋体"/>
                <w:color w:val="auto"/>
                <w:highlight w:val="none"/>
              </w:rPr>
            </w:pPr>
            <w:r>
              <w:rPr>
                <w:rFonts w:hint="eastAsia" w:ascii="宋体" w:hAnsi="宋体"/>
                <w:color w:val="auto"/>
                <w:highlight w:val="none"/>
              </w:rPr>
              <w:t>16</w:t>
            </w:r>
          </w:p>
        </w:tc>
        <w:tc>
          <w:tcPr>
            <w:tcW w:w="8304" w:type="dxa"/>
            <w:vAlign w:val="center"/>
          </w:tcPr>
          <w:p w14:paraId="7A58B292">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本项目设置上限价（最高限价），上限价为</w:t>
            </w:r>
            <w:r>
              <w:rPr>
                <w:rFonts w:hint="eastAsia" w:ascii="宋体" w:hAnsi="宋体" w:cs="宋体"/>
                <w:color w:val="auto"/>
                <w:sz w:val="24"/>
                <w:highlight w:val="none"/>
                <w:lang w:val="en-US" w:eastAsia="zh-CN"/>
              </w:rPr>
              <w:t>29.72</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；超过最高限价的作无效标处理。</w:t>
            </w:r>
          </w:p>
        </w:tc>
      </w:tr>
    </w:tbl>
    <w:p w14:paraId="5F0E860B">
      <w:pPr>
        <w:pStyle w:val="14"/>
        <w:snapToGrid w:val="0"/>
        <w:spacing w:before="120" w:after="120" w:line="360" w:lineRule="auto"/>
        <w:rPr>
          <w:rFonts w:hAnsi="宋体"/>
          <w:b/>
          <w:color w:val="auto"/>
          <w:sz w:val="24"/>
          <w:szCs w:val="24"/>
          <w:highlight w:val="none"/>
        </w:rPr>
      </w:pPr>
      <w:r>
        <w:rPr>
          <w:rFonts w:hint="eastAsia" w:hAnsi="宋体"/>
          <w:b/>
          <w:color w:val="auto"/>
          <w:sz w:val="24"/>
          <w:szCs w:val="24"/>
          <w:highlight w:val="none"/>
        </w:rPr>
        <w:t>一 、 总  则</w:t>
      </w:r>
    </w:p>
    <w:p w14:paraId="137163AA">
      <w:pPr>
        <w:tabs>
          <w:tab w:val="left" w:pos="360"/>
          <w:tab w:val="left" w:pos="540"/>
          <w:tab w:val="left" w:pos="720"/>
        </w:tabs>
        <w:snapToGrid w:val="0"/>
        <w:spacing w:line="360" w:lineRule="auto"/>
        <w:ind w:firstLine="482" w:firstLineChars="200"/>
        <w:jc w:val="left"/>
        <w:outlineLvl w:val="1"/>
        <w:rPr>
          <w:rFonts w:ascii="宋体" w:hAnsi="宋体"/>
          <w:b/>
          <w:color w:val="auto"/>
          <w:sz w:val="24"/>
          <w:highlight w:val="none"/>
        </w:rPr>
      </w:pPr>
      <w:bookmarkStart w:id="3" w:name="_Toc177824872"/>
      <w:bookmarkStart w:id="4" w:name="_Toc177824939"/>
      <w:bookmarkStart w:id="5" w:name="_Toc177825120"/>
      <w:bookmarkStart w:id="6" w:name="_Toc177870537"/>
      <w:r>
        <w:rPr>
          <w:rFonts w:hint="eastAsia" w:ascii="宋体" w:hAnsi="宋体"/>
          <w:b/>
          <w:color w:val="auto"/>
          <w:sz w:val="24"/>
          <w:highlight w:val="none"/>
        </w:rPr>
        <w:t>（一）适用范围</w:t>
      </w:r>
      <w:bookmarkEnd w:id="3"/>
      <w:bookmarkEnd w:id="4"/>
      <w:bookmarkEnd w:id="5"/>
      <w:bookmarkEnd w:id="6"/>
    </w:p>
    <w:p w14:paraId="0E2F677D">
      <w:pPr>
        <w:spacing w:line="420" w:lineRule="exact"/>
        <w:ind w:firstLine="424"/>
        <w:rPr>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2024年桐庐县百江镇高标准农田示范区建设项目-数字化大田标段</w:t>
      </w:r>
      <w:r>
        <w:rPr>
          <w:rFonts w:hint="eastAsia" w:ascii="宋体" w:hAnsi="宋体"/>
          <w:color w:val="auto"/>
          <w:sz w:val="24"/>
          <w:highlight w:val="none"/>
        </w:rPr>
        <w:t>的招标、评标、定标、验收、合同履约、付款等（法律、法规另有规定的，从其规定）。</w:t>
      </w:r>
    </w:p>
    <w:p w14:paraId="4394790F">
      <w:pPr>
        <w:snapToGrid w:val="0"/>
        <w:spacing w:line="360" w:lineRule="auto"/>
        <w:ind w:firstLine="482" w:firstLineChars="200"/>
        <w:jc w:val="left"/>
        <w:outlineLvl w:val="1"/>
        <w:rPr>
          <w:rFonts w:ascii="宋体" w:hAnsi="宋体"/>
          <w:b/>
          <w:color w:val="auto"/>
          <w:sz w:val="24"/>
          <w:highlight w:val="none"/>
        </w:rPr>
      </w:pPr>
      <w:bookmarkStart w:id="7" w:name="_Toc177824940"/>
      <w:bookmarkStart w:id="8" w:name="_Toc177825121"/>
      <w:bookmarkStart w:id="9" w:name="_Toc177824873"/>
      <w:bookmarkStart w:id="10" w:name="_Toc177870538"/>
      <w:r>
        <w:rPr>
          <w:rFonts w:hint="eastAsia" w:ascii="宋体" w:hAnsi="宋体"/>
          <w:b/>
          <w:color w:val="auto"/>
          <w:sz w:val="24"/>
          <w:highlight w:val="none"/>
        </w:rPr>
        <w:t>（二）定义</w:t>
      </w:r>
      <w:bookmarkEnd w:id="7"/>
      <w:bookmarkEnd w:id="8"/>
      <w:bookmarkEnd w:id="9"/>
      <w:bookmarkEnd w:id="10"/>
    </w:p>
    <w:p w14:paraId="7B08A11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1.“投标人”系指向采购机构提交投标文件的单位。</w:t>
      </w:r>
    </w:p>
    <w:p w14:paraId="0C7BD45A">
      <w:pPr>
        <w:snapToGrid w:val="0"/>
        <w:spacing w:line="360" w:lineRule="auto"/>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2.“采购人”系指</w:t>
      </w:r>
      <w:r>
        <w:rPr>
          <w:rFonts w:hint="eastAsia" w:ascii="宋体" w:hAnsi="宋体"/>
          <w:color w:val="auto"/>
          <w:sz w:val="24"/>
          <w:highlight w:val="none"/>
          <w:lang w:val="en-US" w:eastAsia="zh-CN"/>
        </w:rPr>
        <w:t>桐庐县百江镇人民政府。</w:t>
      </w:r>
    </w:p>
    <w:p w14:paraId="729655B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3.“服务”系指招标文件规定投标人须承担的运营、策划、招商、咨询、培训、及其他类似的义务。</w:t>
      </w:r>
    </w:p>
    <w:p w14:paraId="7BB4563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4.“培训”系指中标人按合同要求，向采购人提供专业培训、系统管理培训和其他相关培训等。</w:t>
      </w:r>
    </w:p>
    <w:p w14:paraId="15CF22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5.“项目”系指投标人按招标文件规定向采购人提供的服务。</w:t>
      </w:r>
    </w:p>
    <w:p w14:paraId="6CC6BD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6.“书面形式”包括信函、传真、电报、电子文档等。</w:t>
      </w:r>
    </w:p>
    <w:p w14:paraId="117503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“★”系指实质性要求条款。</w:t>
      </w:r>
    </w:p>
    <w:p w14:paraId="3FB045C7">
      <w:pPr>
        <w:snapToGrid w:val="0"/>
        <w:spacing w:line="360" w:lineRule="auto"/>
        <w:ind w:firstLine="482" w:firstLineChars="200"/>
        <w:jc w:val="left"/>
        <w:outlineLvl w:val="1"/>
        <w:rPr>
          <w:rFonts w:ascii="宋体" w:hAnsi="宋体"/>
          <w:b/>
          <w:color w:val="auto"/>
          <w:sz w:val="24"/>
          <w:highlight w:val="none"/>
        </w:rPr>
      </w:pPr>
      <w:bookmarkStart w:id="11" w:name="_Toc177870539"/>
      <w:r>
        <w:rPr>
          <w:rFonts w:hint="eastAsia" w:ascii="宋体" w:hAnsi="宋体"/>
          <w:b/>
          <w:color w:val="auto"/>
          <w:sz w:val="24"/>
          <w:highlight w:val="none"/>
        </w:rPr>
        <w:t>（三）招标方式</w:t>
      </w:r>
      <w:bookmarkEnd w:id="11"/>
    </w:p>
    <w:p w14:paraId="0FB29107">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3E1D51D9">
      <w:pPr>
        <w:snapToGrid w:val="0"/>
        <w:spacing w:line="360" w:lineRule="auto"/>
        <w:ind w:firstLine="482" w:firstLineChars="200"/>
        <w:jc w:val="left"/>
        <w:outlineLvl w:val="1"/>
        <w:rPr>
          <w:b/>
          <w:color w:val="auto"/>
          <w:sz w:val="24"/>
          <w:highlight w:val="none"/>
        </w:rPr>
      </w:pPr>
      <w:bookmarkStart w:id="12" w:name="_Toc177825122"/>
      <w:bookmarkStart w:id="13" w:name="_Toc177870540"/>
      <w:bookmarkStart w:id="14" w:name="_Toc177824874"/>
      <w:bookmarkStart w:id="15" w:name="_Toc177824941"/>
      <w:r>
        <w:rPr>
          <w:rFonts w:hint="eastAsia"/>
          <w:b/>
          <w:color w:val="auto"/>
          <w:sz w:val="24"/>
          <w:highlight w:val="none"/>
        </w:rPr>
        <w:t>（四）投标委托</w:t>
      </w:r>
      <w:bookmarkEnd w:id="12"/>
      <w:bookmarkEnd w:id="13"/>
      <w:bookmarkEnd w:id="14"/>
      <w:bookmarkEnd w:id="15"/>
    </w:p>
    <w:p w14:paraId="5B3B1241">
      <w:pPr>
        <w:pStyle w:val="14"/>
        <w:snapToGrid w:val="0"/>
        <w:spacing w:line="360" w:lineRule="auto"/>
        <w:ind w:firstLine="482" w:firstLineChars="200"/>
        <w:rPr>
          <w:rFonts w:hAnsi="宋体"/>
          <w:b/>
          <w:bCs/>
          <w:color w:val="auto"/>
          <w:sz w:val="24"/>
          <w:highlight w:val="none"/>
        </w:rPr>
      </w:pPr>
      <w:bookmarkStart w:id="16" w:name="_Toc177824942"/>
      <w:bookmarkStart w:id="17" w:name="_Toc177870541"/>
      <w:bookmarkStart w:id="18" w:name="_Toc177825123"/>
      <w:bookmarkStart w:id="19" w:name="_Toc177824875"/>
      <w:r>
        <w:rPr>
          <w:rFonts w:hint="eastAsia" w:hAnsi="宋体"/>
          <w:b/>
          <w:bCs/>
          <w:color w:val="auto"/>
          <w:sz w:val="24"/>
          <w:highlight w:val="none"/>
        </w:rPr>
        <w:t>法定代表人（携带法定代表人资格证明书）或授权委托代理人（携带法定代表人授权委托书）应准时参加开标会议，并携带本人居民身份证或采购人认可的其他身份证明。</w:t>
      </w:r>
    </w:p>
    <w:p w14:paraId="45793525">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（五）投标费用</w:t>
      </w:r>
      <w:bookmarkEnd w:id="16"/>
      <w:bookmarkEnd w:id="17"/>
      <w:bookmarkEnd w:id="18"/>
      <w:bookmarkEnd w:id="19"/>
    </w:p>
    <w:p w14:paraId="136B8013">
      <w:pPr>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olor w:val="auto"/>
          <w:sz w:val="24"/>
          <w:highlight w:val="none"/>
        </w:rPr>
        <w:t>不论投标结果如何，投标人均应自行承担所有与投标有关的全部费用。</w:t>
      </w:r>
    </w:p>
    <w:p w14:paraId="19B9E776">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w:t>
      </w:r>
      <w:bookmarkStart w:id="20" w:name="_Toc177870542"/>
      <w:r>
        <w:rPr>
          <w:rFonts w:hint="eastAsia" w:ascii="宋体" w:hAnsi="宋体"/>
          <w:b/>
          <w:color w:val="auto"/>
          <w:sz w:val="24"/>
          <w:highlight w:val="none"/>
        </w:rPr>
        <w:t>特别说明：</w:t>
      </w:r>
      <w:bookmarkEnd w:id="20"/>
    </w:p>
    <w:p w14:paraId="4401666C">
      <w:pPr>
        <w:snapToGrid w:val="0"/>
        <w:spacing w:line="360" w:lineRule="auto"/>
        <w:ind w:firstLine="480" w:firstLineChars="200"/>
        <w:jc w:val="left"/>
        <w:rPr>
          <w:rFonts w:hint="eastAsia" w:ascii="宋体" w:hAnsi="宋体" w:eastAsia="宋体" w:cs="Times New Roman"/>
          <w:color w:val="auto"/>
          <w:sz w:val="24"/>
          <w:highlight w:val="none"/>
        </w:rPr>
      </w:pPr>
      <w:bookmarkStart w:id="21" w:name="_Toc177870543"/>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AD72DA7">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投标人投标所使用的资格、信誉、荣誉、业绩与企业认证必须为本企业所拥有。投标人投标所使用的采购项目实施人员可以为其控股公司的工作人员。</w:t>
      </w:r>
    </w:p>
    <w:p w14:paraId="4835911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B4BB4E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投标人应仔细阅读招标文件的所有内容，按照招标文件的要求提交投标文件。投标文件应对招标文件的要求作出实质性响应，并对所提供的全部资料的真实性承担法律责任。</w:t>
      </w:r>
    </w:p>
    <w:p w14:paraId="23DA9D3C">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（七）质疑</w:t>
      </w:r>
      <w:bookmarkEnd w:id="21"/>
      <w:r>
        <w:rPr>
          <w:rFonts w:hint="eastAsia" w:hAnsi="宋体"/>
          <w:b/>
          <w:bCs/>
          <w:color w:val="auto"/>
          <w:sz w:val="24"/>
          <w:szCs w:val="24"/>
          <w:highlight w:val="none"/>
        </w:rPr>
        <w:t>和投诉</w:t>
      </w:r>
    </w:p>
    <w:p w14:paraId="6CF683D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1</w:t>
      </w:r>
      <w:r>
        <w:rPr>
          <w:rFonts w:hint="eastAsia" w:hAnsi="宋体"/>
          <w:bCs/>
          <w:color w:val="auto"/>
          <w:sz w:val="24"/>
          <w:szCs w:val="24"/>
          <w:highlight w:val="none"/>
          <w:lang w:eastAsia="zh-CN"/>
        </w:rPr>
        <w:t>.</w:t>
      </w:r>
      <w:r>
        <w:rPr>
          <w:rFonts w:hint="eastAsia" w:hAnsi="宋体"/>
          <w:bCs/>
          <w:color w:val="auto"/>
          <w:sz w:val="24"/>
          <w:szCs w:val="24"/>
          <w:highlight w:val="none"/>
        </w:rPr>
        <w:t>投标人认为招标文件、招标过程和中标结果使自己的合法权益受到损害的，应当在知道或者应知其权益受到损害之日起七个工作日内，以书面形式向采购机构提出质疑。投标人对采购机构的质疑答复不满意或者招标采购人未在规定时间内作出答复的，可以在答复期满后十五个工作日内向同级采购监管部门投诉。</w:t>
      </w:r>
    </w:p>
    <w:p w14:paraId="685941F4">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投标供应商在法定质疑期内一次性提出针对同一采购程序环节的质疑。</w:t>
      </w:r>
    </w:p>
    <w:p w14:paraId="0140531F">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投标人认可采购机构在质疑答复程序中启用的调查和复评等程序，在该程序操作过程未明显违反法律禁止性规定时，不得提出疑义；</w:t>
      </w:r>
    </w:p>
    <w:p w14:paraId="39CF0E1D">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5C0BB104">
      <w:pPr>
        <w:pStyle w:val="14"/>
        <w:snapToGrid w:val="0"/>
        <w:spacing w:line="360" w:lineRule="auto"/>
        <w:ind w:firstLine="436" w:firstLineChars="181"/>
        <w:outlineLvl w:val="0"/>
        <w:rPr>
          <w:rFonts w:hAnsi="宋体"/>
          <w:b/>
          <w:color w:val="auto"/>
          <w:sz w:val="24"/>
          <w:szCs w:val="24"/>
          <w:highlight w:val="none"/>
        </w:rPr>
      </w:pPr>
      <w:bookmarkStart w:id="22" w:name="_Toc177870544"/>
      <w:r>
        <w:rPr>
          <w:rFonts w:hint="eastAsia" w:hAnsi="宋体"/>
          <w:b/>
          <w:color w:val="auto"/>
          <w:sz w:val="24"/>
          <w:szCs w:val="24"/>
          <w:highlight w:val="none"/>
        </w:rPr>
        <w:t>二、招标文件</w:t>
      </w:r>
      <w:bookmarkEnd w:id="22"/>
    </w:p>
    <w:p w14:paraId="4B336067">
      <w:pPr>
        <w:snapToGrid w:val="0"/>
        <w:spacing w:line="360" w:lineRule="auto"/>
        <w:ind w:firstLine="316" w:firstLineChars="131"/>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2A64BE8E">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1.招标公告</w:t>
      </w:r>
    </w:p>
    <w:p w14:paraId="0C569A36">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2.招标需求</w:t>
      </w:r>
    </w:p>
    <w:p w14:paraId="64382BE9">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3.投标人须知</w:t>
      </w:r>
    </w:p>
    <w:p w14:paraId="6704DB88">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4.评标办法及标准</w:t>
      </w:r>
    </w:p>
    <w:p w14:paraId="19DB5441">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5.采购合同</w:t>
      </w:r>
    </w:p>
    <w:p w14:paraId="5B57ADF3">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6.投标文件格式</w:t>
      </w:r>
    </w:p>
    <w:p w14:paraId="23E48AF6">
      <w:pPr>
        <w:snapToGrid w:val="0"/>
        <w:spacing w:line="360" w:lineRule="auto"/>
        <w:ind w:firstLine="318" w:firstLineChars="132"/>
        <w:jc w:val="left"/>
        <w:rPr>
          <w:rFonts w:ascii="宋体" w:hAnsi="宋体"/>
          <w:b/>
          <w:color w:val="auto"/>
          <w:sz w:val="24"/>
          <w:highlight w:val="none"/>
        </w:rPr>
      </w:pPr>
      <w:r>
        <w:rPr>
          <w:rFonts w:hint="eastAsia" w:ascii="宋体" w:hAnsi="宋体"/>
          <w:b/>
          <w:color w:val="auto"/>
          <w:sz w:val="24"/>
          <w:highlight w:val="none"/>
        </w:rPr>
        <w:t>（二）投标人的风险</w:t>
      </w:r>
    </w:p>
    <w:p w14:paraId="6E519A1B">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投标人没有按照招标文件要求提供全部资料，或者投标人没有对招标文件在各方面者作出实质性响应是投标人的风险，并可能导致其投标被拒绝。</w:t>
      </w:r>
    </w:p>
    <w:p w14:paraId="689CB0BE">
      <w:pPr>
        <w:pStyle w:val="8"/>
        <w:numPr>
          <w:ilvl w:val="0"/>
          <w:numId w:val="0"/>
        </w:numPr>
        <w:tabs>
          <w:tab w:val="left" w:pos="454"/>
          <w:tab w:val="left" w:pos="720"/>
        </w:tabs>
        <w:snapToGrid w:val="0"/>
        <w:spacing w:line="360" w:lineRule="auto"/>
        <w:ind w:firstLine="318" w:firstLineChars="132"/>
        <w:rPr>
          <w:rFonts w:ascii="宋体" w:hAnsi="宋体"/>
          <w:b/>
          <w:color w:val="auto"/>
          <w:sz w:val="24"/>
          <w:highlight w:val="none"/>
        </w:rPr>
      </w:pPr>
      <w:r>
        <w:rPr>
          <w:rFonts w:hint="eastAsia" w:ascii="宋体" w:hAnsi="宋体"/>
          <w:b/>
          <w:color w:val="auto"/>
          <w:sz w:val="24"/>
          <w:highlight w:val="none"/>
        </w:rPr>
        <w:t xml:space="preserve">（三）招标文件的澄清与修改 </w:t>
      </w:r>
    </w:p>
    <w:p w14:paraId="1236844D">
      <w:pPr>
        <w:spacing w:line="360" w:lineRule="auto"/>
        <w:ind w:firstLine="480"/>
        <w:jc w:val="left"/>
        <w:rPr>
          <w:rFonts w:ascii="宋体" w:hAnsi="宋体" w:cs="宋体"/>
          <w:b/>
          <w:color w:val="auto"/>
          <w:sz w:val="24"/>
          <w:highlight w:val="none"/>
        </w:rPr>
      </w:pPr>
      <w:bookmarkStart w:id="23" w:name="_Toc177870545"/>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投标人应认真阅读本招标文件，发现其中有误或有不合理要求的，投标人应当于</w:t>
      </w:r>
      <w:r>
        <w:rPr>
          <w:rFonts w:hint="eastAsia" w:hAnsi="宋体"/>
          <w:b/>
          <w:color w:val="auto"/>
          <w:sz w:val="24"/>
          <w:highlight w:val="none"/>
          <w:u w:val="single"/>
        </w:rPr>
        <w:t>前附表第</w:t>
      </w:r>
      <w:r>
        <w:rPr>
          <w:rFonts w:hint="eastAsia" w:hAnsi="宋体"/>
          <w:b/>
          <w:color w:val="auto"/>
          <w:sz w:val="24"/>
          <w:highlight w:val="none"/>
          <w:u w:val="single"/>
          <w:lang w:val="en-US" w:eastAsia="zh-CN"/>
        </w:rPr>
        <w:t>5</w:t>
      </w:r>
      <w:r>
        <w:rPr>
          <w:rFonts w:hint="eastAsia" w:hAnsi="宋体"/>
          <w:b/>
          <w:color w:val="auto"/>
          <w:sz w:val="24"/>
          <w:highlight w:val="none"/>
          <w:u w:val="single"/>
        </w:rPr>
        <w:t>项规定时间前</w:t>
      </w:r>
      <w:r>
        <w:rPr>
          <w:rFonts w:hint="eastAsia" w:ascii="宋体" w:hAnsi="宋体" w:cs="宋体"/>
          <w:color w:val="auto"/>
          <w:sz w:val="24"/>
          <w:highlight w:val="none"/>
        </w:rPr>
        <w:t>以书面形式向采购人、采购代理机构提出。招标方将在规定的时间内，在指定的采购信息发布媒体上发布更正公告，潜在投标人请自行查看。</w:t>
      </w:r>
      <w:r>
        <w:rPr>
          <w:rFonts w:hint="eastAsia" w:ascii="宋体" w:hAnsi="宋体" w:cs="宋体"/>
          <w:b/>
          <w:color w:val="auto"/>
          <w:sz w:val="24"/>
          <w:highlight w:val="none"/>
        </w:rPr>
        <w:t>逾期提出招标方将不予受理。</w:t>
      </w:r>
    </w:p>
    <w:p w14:paraId="1621BD5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招标方主动进行的澄清、修改：招标方无论出于何种原因，均可主动对招标文件中的相关事项，用补充文件等方式进行澄清和修改。</w:t>
      </w:r>
    </w:p>
    <w:p w14:paraId="71EC92FB">
      <w:pPr>
        <w:spacing w:line="360" w:lineRule="auto"/>
        <w:ind w:firstLine="480"/>
        <w:jc w:val="left"/>
        <w:rPr>
          <w:rFonts w:ascii="宋体" w:hAnsi="宋体" w:cs="宋体"/>
          <w:b/>
          <w:color w:val="auto"/>
          <w:sz w:val="28"/>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1AC82BE6">
      <w:pPr>
        <w:pStyle w:val="14"/>
        <w:snapToGrid w:val="0"/>
        <w:spacing w:line="360" w:lineRule="auto"/>
        <w:ind w:firstLine="482" w:firstLineChars="200"/>
        <w:outlineLvl w:val="1"/>
        <w:rPr>
          <w:rFonts w:hAnsi="宋体"/>
          <w:b/>
          <w:color w:val="auto"/>
          <w:sz w:val="24"/>
          <w:szCs w:val="24"/>
          <w:highlight w:val="none"/>
        </w:rPr>
      </w:pPr>
      <w:r>
        <w:rPr>
          <w:rFonts w:hint="eastAsia" w:hAnsi="宋体"/>
          <w:b/>
          <w:color w:val="auto"/>
          <w:sz w:val="24"/>
          <w:szCs w:val="24"/>
          <w:highlight w:val="none"/>
        </w:rPr>
        <w:t>三、投标文件</w:t>
      </w:r>
      <w:bookmarkEnd w:id="23"/>
      <w:r>
        <w:rPr>
          <w:rFonts w:hint="eastAsia" w:hAnsi="宋体"/>
          <w:b/>
          <w:color w:val="auto"/>
          <w:sz w:val="24"/>
          <w:szCs w:val="24"/>
          <w:highlight w:val="none"/>
        </w:rPr>
        <w:t>的编制</w:t>
      </w:r>
    </w:p>
    <w:p w14:paraId="2BBF7ACA">
      <w:pPr>
        <w:snapToGrid w:val="0"/>
        <w:spacing w:line="360" w:lineRule="auto"/>
        <w:ind w:firstLine="482" w:firstLineChars="200"/>
        <w:jc w:val="left"/>
        <w:outlineLvl w:val="0"/>
        <w:rPr>
          <w:rFonts w:ascii="宋体" w:hAnsi="宋体"/>
          <w:b/>
          <w:color w:val="auto"/>
          <w:sz w:val="24"/>
          <w:highlight w:val="none"/>
        </w:rPr>
      </w:pPr>
      <w:bookmarkStart w:id="24" w:name="_Toc177825124"/>
      <w:bookmarkStart w:id="25" w:name="_Toc177824876"/>
      <w:bookmarkStart w:id="26" w:name="_Toc177824943"/>
      <w:bookmarkStart w:id="27" w:name="_Toc177870546"/>
      <w:r>
        <w:rPr>
          <w:rFonts w:hint="eastAsia" w:ascii="宋体" w:hAnsi="宋体"/>
          <w:b/>
          <w:color w:val="auto"/>
          <w:sz w:val="24"/>
          <w:highlight w:val="none"/>
        </w:rPr>
        <w:t>（一）投标文件的组成</w:t>
      </w:r>
      <w:bookmarkEnd w:id="24"/>
      <w:bookmarkEnd w:id="25"/>
      <w:bookmarkEnd w:id="26"/>
      <w:bookmarkEnd w:id="27"/>
    </w:p>
    <w:p w14:paraId="13F8140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olor w:val="auto"/>
          <w:sz w:val="24"/>
          <w:highlight w:val="none"/>
          <w:lang w:eastAsia="zh-CN"/>
        </w:rPr>
        <w:t>资信技术</w:t>
      </w:r>
      <w:r>
        <w:rPr>
          <w:rFonts w:hint="eastAsia" w:ascii="宋体" w:hAnsi="宋体"/>
          <w:color w:val="auto"/>
          <w:sz w:val="24"/>
          <w:highlight w:val="none"/>
        </w:rPr>
        <w:t>文件、报价文件二部分组成。</w:t>
      </w:r>
    </w:p>
    <w:p w14:paraId="7980B05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1.资信技术文件（均不含报价）：</w:t>
      </w:r>
    </w:p>
    <w:p w14:paraId="47423551">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）法定代表人授权委托书；（若</w:t>
      </w:r>
      <w:r>
        <w:rPr>
          <w:rFonts w:ascii="宋体" w:hAnsi="宋体" w:cs="宋体"/>
          <w:color w:val="auto"/>
          <w:sz w:val="24"/>
          <w:highlight w:val="none"/>
          <w:lang w:val="zh-CN"/>
        </w:rPr>
        <w:t>法定代表人参加开标会议</w:t>
      </w:r>
      <w:r>
        <w:rPr>
          <w:rFonts w:hint="eastAsia" w:ascii="宋体" w:hAnsi="宋体" w:cs="宋体"/>
          <w:color w:val="auto"/>
          <w:sz w:val="24"/>
          <w:highlight w:val="none"/>
          <w:lang w:val="zh-CN"/>
        </w:rPr>
        <w:t>的</w:t>
      </w:r>
      <w:r>
        <w:rPr>
          <w:rFonts w:ascii="宋体" w:hAnsi="宋体" w:cs="宋体"/>
          <w:color w:val="auto"/>
          <w:sz w:val="24"/>
          <w:highlight w:val="none"/>
          <w:lang w:val="zh-CN"/>
        </w:rPr>
        <w:t>，可不提供</w:t>
      </w:r>
      <w:r>
        <w:rPr>
          <w:rFonts w:hint="eastAsia" w:ascii="宋体" w:hAnsi="宋体" w:cs="宋体"/>
          <w:color w:val="auto"/>
          <w:sz w:val="24"/>
          <w:highlight w:val="none"/>
          <w:lang w:val="zh-CN"/>
        </w:rPr>
        <w:t>）（格式见附件）</w:t>
      </w:r>
    </w:p>
    <w:p w14:paraId="20905A1C">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eastAsia="宋体" w:cs="宋体"/>
          <w:bCs/>
          <w:color w:val="auto"/>
          <w:sz w:val="24"/>
          <w:highlight w:val="none"/>
          <w:lang w:val="zh-CN"/>
        </w:rPr>
        <w:t>“供应商的资格要求”规定的证明文件（格式见附件）</w:t>
      </w:r>
      <w:r>
        <w:rPr>
          <w:rFonts w:hint="eastAsia" w:ascii="宋体" w:hAnsi="宋体" w:cs="宋体"/>
          <w:bCs/>
          <w:color w:val="auto"/>
          <w:sz w:val="24"/>
          <w:highlight w:val="none"/>
          <w:lang w:val="zh-CN"/>
        </w:rPr>
        <w:t>及</w:t>
      </w:r>
      <w:r>
        <w:rPr>
          <w:rFonts w:hint="eastAsia" w:ascii="宋体" w:hAnsi="宋体"/>
          <w:color w:val="auto"/>
          <w:sz w:val="24"/>
          <w:highlight w:val="none"/>
          <w:lang w:eastAsia="zh-CN"/>
        </w:rPr>
        <w:t>投标人资质证书及项目负责人证书复印件加盖公章</w:t>
      </w:r>
      <w:r>
        <w:rPr>
          <w:rFonts w:hint="eastAsia" w:ascii="宋体" w:hAnsi="宋体" w:eastAsia="宋体" w:cs="宋体"/>
          <w:bCs/>
          <w:color w:val="auto"/>
          <w:sz w:val="24"/>
          <w:highlight w:val="none"/>
          <w:lang w:val="zh-CN"/>
        </w:rPr>
        <w:t>；</w:t>
      </w:r>
    </w:p>
    <w:p w14:paraId="3255B0FB">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zh-CN"/>
        </w:rPr>
        <w:t>法定代表人授权委托书</w:t>
      </w:r>
      <w:r>
        <w:rPr>
          <w:rFonts w:hint="eastAsia" w:ascii="宋体" w:hAnsi="宋体" w:cs="宋体"/>
          <w:bCs/>
          <w:color w:val="auto"/>
          <w:sz w:val="24"/>
          <w:highlight w:val="none"/>
          <w:lang w:val="zh-CN"/>
        </w:rPr>
        <w:t>及投标前廉政诚信承诺书</w:t>
      </w:r>
      <w:r>
        <w:rPr>
          <w:rFonts w:hint="eastAsia" w:ascii="宋体" w:hAnsi="宋体" w:eastAsia="宋体" w:cs="宋体"/>
          <w:bCs/>
          <w:color w:val="auto"/>
          <w:sz w:val="24"/>
          <w:highlight w:val="none"/>
          <w:lang w:val="zh-CN"/>
        </w:rPr>
        <w:t>（格式见附件）；</w:t>
      </w:r>
    </w:p>
    <w:p w14:paraId="634DB5F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4</w:t>
      </w:r>
      <w:r>
        <w:rPr>
          <w:rFonts w:hint="eastAsia" w:ascii="宋体" w:hAnsi="宋体" w:cs="宋体"/>
          <w:bCs/>
          <w:sz w:val="24"/>
          <w:lang w:val="zh-CN"/>
        </w:rPr>
        <w:t>）供应商的基本情况介绍；</w:t>
      </w:r>
    </w:p>
    <w:p w14:paraId="05F7A9F5">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5</w:t>
      </w:r>
      <w:r>
        <w:rPr>
          <w:rFonts w:hint="eastAsia" w:ascii="宋体" w:hAnsi="宋体" w:cs="宋体"/>
          <w:bCs/>
          <w:sz w:val="24"/>
          <w:lang w:val="zh-CN"/>
        </w:rPr>
        <w:t>）</w:t>
      </w:r>
      <w:r>
        <w:rPr>
          <w:rFonts w:hint="eastAsia" w:ascii="宋体" w:hAnsi="宋体" w:eastAsia="宋体" w:cs="宋体"/>
          <w:color w:val="auto"/>
          <w:sz w:val="24"/>
          <w:szCs w:val="24"/>
          <w:lang w:eastAsia="zh-CN"/>
        </w:rPr>
        <w:t>评标标准相应的商务技术资料</w:t>
      </w:r>
      <w:r>
        <w:rPr>
          <w:rFonts w:hint="eastAsia" w:ascii="宋体" w:hAnsi="宋体" w:cs="宋体"/>
          <w:bCs/>
          <w:sz w:val="24"/>
          <w:lang w:val="zh-CN"/>
        </w:rPr>
        <w:t>；</w:t>
      </w:r>
    </w:p>
    <w:p w14:paraId="4BCAF89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6</w:t>
      </w:r>
      <w:r>
        <w:rPr>
          <w:rFonts w:hint="eastAsia" w:ascii="宋体" w:hAnsi="宋体" w:cs="宋体"/>
          <w:bCs/>
          <w:sz w:val="24"/>
          <w:lang w:val="zh-CN"/>
        </w:rPr>
        <w:t>）供应商需要说明的其他文件和说明。</w:t>
      </w:r>
    </w:p>
    <w:p w14:paraId="21FB6CE0">
      <w:pPr>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2.报价文件：</w:t>
      </w:r>
    </w:p>
    <w:p w14:paraId="346F2767">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（1）投标函（格式见附件）</w:t>
      </w:r>
      <w:r>
        <w:rPr>
          <w:rFonts w:hint="eastAsia" w:ascii="宋体" w:hAnsi="宋体" w:eastAsia="宋体" w:cs="宋体"/>
          <w:color w:val="auto"/>
          <w:sz w:val="24"/>
          <w:highlight w:val="none"/>
          <w:lang w:val="zh-CN" w:eastAsia="zh-CN"/>
        </w:rPr>
        <w:t>；</w:t>
      </w:r>
    </w:p>
    <w:p w14:paraId="7A6AC9F1">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（2）开标一览表（格式见附件）</w:t>
      </w:r>
      <w:r>
        <w:rPr>
          <w:rFonts w:hint="eastAsia" w:ascii="宋体" w:hAnsi="宋体" w:eastAsia="宋体" w:cs="宋体"/>
          <w:color w:val="auto"/>
          <w:sz w:val="24"/>
          <w:highlight w:val="none"/>
          <w:lang w:val="zh-CN" w:eastAsia="zh-CN"/>
        </w:rPr>
        <w:t>；</w:t>
      </w:r>
    </w:p>
    <w:p w14:paraId="221F65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（3）投标人需要说明的其他文件和说明（格式略）</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ab/>
      </w:r>
    </w:p>
    <w:p w14:paraId="37550698">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（二）投标文件的语言及计量</w:t>
      </w:r>
    </w:p>
    <w:p w14:paraId="18F5932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1.投标文件以及投标人与采购机构就有关投标事宜的所有来往函电，均应以中文汉语书写。除签名、盖章、专用名称等特殊情形外，以中文汉语以外的文字表述的投标文件视同未提供。</w:t>
      </w:r>
    </w:p>
    <w:p w14:paraId="1234B5D4">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2.投标计量单位，招标文件已有明确规定的，使用招标文件规定的计量单位；招标文件没有规定的，应采用中华人民共和国法定计量单位（货币单位：人民币元），否则视同未响应。</w:t>
      </w:r>
    </w:p>
    <w:p w14:paraId="792A8E8A">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（三）投标报价</w:t>
      </w:r>
    </w:p>
    <w:p w14:paraId="11ED7A35">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59797D30">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本次报价为招标文件和合同中要求完成的所有因完成本项目服务所产生的一切费用；投标报价为总价，此报价包括但不限于工作、生活、交通、通讯、设备（仪器）、人工、材料、差旅费、利润、税收以及服务成果全部验收完毕前可能产生的其他费用；本项目合同实施过程中的一切风险（包括安全和交通事故等），均由投标人考虑并承担。</w:t>
      </w:r>
    </w:p>
    <w:p w14:paraId="56016B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3.招标文件未列明，而供应商认为必需的费用也需列入报价。</w:t>
      </w:r>
    </w:p>
    <w:p w14:paraId="1B5B0D36">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4.投标单位综合考虑投标报价。</w:t>
      </w:r>
    </w:p>
    <w:p w14:paraId="1C0CC4F1">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5.本合同实施过程中，采购人对由投标人的失误造成的漏项，不允许再补列，也不承担任何经济责任。</w:t>
      </w:r>
    </w:p>
    <w:p w14:paraId="3CDA49E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6.投标期间发生的费用由投标人自行承担。</w:t>
      </w:r>
    </w:p>
    <w:p w14:paraId="407235E9">
      <w:pPr>
        <w:tabs>
          <w:tab w:val="left" w:pos="454"/>
          <w:tab w:val="left" w:pos="720"/>
        </w:tabs>
        <w:autoSpaceDE w:val="0"/>
        <w:autoSpaceDN w:val="0"/>
        <w:adjustRightInd w:val="0"/>
        <w:spacing w:line="360" w:lineRule="auto"/>
        <w:ind w:firstLine="354" w:firstLineChars="147"/>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（四）投标文件的有效期</w:t>
      </w:r>
    </w:p>
    <w:p w14:paraId="3ACE60E9">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自投标截止日起</w:t>
      </w:r>
      <w:r>
        <w:rPr>
          <w:rFonts w:hint="eastAsia" w:ascii="宋体" w:hAnsi="宋体"/>
          <w:color w:val="auto"/>
          <w:kern w:val="0"/>
          <w:sz w:val="24"/>
          <w:highlight w:val="none"/>
          <w:u w:val="single"/>
          <w:lang w:val="zh-CN"/>
        </w:rPr>
        <w:t>90</w:t>
      </w:r>
      <w:r>
        <w:rPr>
          <w:rFonts w:hint="eastAsia" w:ascii="宋体" w:hAnsi="宋体"/>
          <w:color w:val="auto"/>
          <w:kern w:val="0"/>
          <w:sz w:val="24"/>
          <w:highlight w:val="none"/>
          <w:lang w:val="zh-CN"/>
        </w:rPr>
        <w:t>天投标书应保持有效。有效期短于这个规定期限的投标将被拒绝。</w:t>
      </w:r>
    </w:p>
    <w:p w14:paraId="280DDD81">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2.</w:t>
      </w:r>
      <w:r>
        <w:rPr>
          <w:rFonts w:hint="eastAsia" w:ascii="宋体" w:hAnsi="宋体"/>
          <w:color w:val="auto"/>
          <w:kern w:val="0"/>
          <w:sz w:val="24"/>
          <w:highlight w:val="none"/>
          <w:lang w:val="zh-CN"/>
        </w:rPr>
        <w:t>在特殊情况下，采购机构可与投标人协商延长投标书的有效期，这种要求和答复均以书面形式进行。</w:t>
      </w:r>
    </w:p>
    <w:p w14:paraId="41EB2157">
      <w:pPr>
        <w:autoSpaceDE w:val="0"/>
        <w:autoSpaceDN w:val="0"/>
        <w:adjustRightInd w:val="0"/>
        <w:spacing w:line="360" w:lineRule="auto"/>
        <w:ind w:firstLine="480"/>
        <w:jc w:val="left"/>
        <w:rPr>
          <w:rFonts w:ascii="宋体" w:hAnsi="宋体"/>
          <w:b/>
          <w:color w:val="auto"/>
          <w:sz w:val="24"/>
          <w:highlight w:val="none"/>
          <w:lang w:val="zh-CN"/>
        </w:rPr>
      </w:pPr>
      <w:r>
        <w:rPr>
          <w:rFonts w:ascii="宋体" w:hAnsi="宋体"/>
          <w:color w:val="auto"/>
          <w:sz w:val="24"/>
          <w:highlight w:val="none"/>
          <w:lang w:val="zh-CN"/>
        </w:rPr>
        <w:t>3.</w:t>
      </w:r>
      <w:r>
        <w:rPr>
          <w:rFonts w:hint="eastAsia" w:ascii="宋体" w:hAnsi="宋体"/>
          <w:color w:val="auto"/>
          <w:sz w:val="24"/>
          <w:highlight w:val="none"/>
          <w:lang w:val="zh-CN"/>
        </w:rPr>
        <w:t>投标人可拒绝接受延期要求而不会导致投标保证金被没收。同意延长有效期的投标人需要相应延长投标保证金的有效期，但不能修改投标文件。</w:t>
      </w:r>
    </w:p>
    <w:p w14:paraId="0321AE19">
      <w:pPr>
        <w:autoSpaceDE w:val="0"/>
        <w:autoSpaceDN w:val="0"/>
        <w:adjustRightInd w:val="0"/>
        <w:spacing w:line="360" w:lineRule="auto"/>
        <w:ind w:firstLine="480"/>
        <w:jc w:val="left"/>
        <w:rPr>
          <w:rFonts w:ascii="宋体" w:hAnsi="宋体"/>
          <w:color w:val="auto"/>
          <w:sz w:val="24"/>
          <w:highlight w:val="none"/>
          <w:lang w:val="zh-CN"/>
        </w:rPr>
      </w:pPr>
      <w:r>
        <w:rPr>
          <w:rFonts w:ascii="宋体" w:hAnsi="宋体"/>
          <w:color w:val="auto"/>
          <w:sz w:val="24"/>
          <w:highlight w:val="none"/>
          <w:lang w:val="zh-CN"/>
        </w:rPr>
        <w:t>4.</w:t>
      </w:r>
      <w:r>
        <w:rPr>
          <w:rFonts w:hint="eastAsia" w:ascii="宋体" w:hAnsi="宋体"/>
          <w:color w:val="auto"/>
          <w:sz w:val="24"/>
          <w:highlight w:val="none"/>
          <w:lang w:val="zh-CN"/>
        </w:rPr>
        <w:t>中标人的投标文件自开标之日起至合同履行完毕止均应保持有效。</w:t>
      </w:r>
    </w:p>
    <w:p w14:paraId="0752C789">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（五）投标文件的签署和份数</w:t>
      </w:r>
    </w:p>
    <w:p w14:paraId="662A23AB">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.投标人应本招标文件规定的格式编制、装订投标文件，投标文件内容不完整、编排混乱导致投标文件被误读、漏读或者查找不到相关内容的，是投标人的责任。</w:t>
      </w:r>
    </w:p>
    <w:p w14:paraId="50495840">
      <w:pPr>
        <w:spacing w:line="360" w:lineRule="auto"/>
        <w:ind w:firstLine="240" w:firstLineChars="100"/>
        <w:rPr>
          <w:rFonts w:ascii="宋体"/>
          <w:b/>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w:t>
      </w:r>
      <w:r>
        <w:rPr>
          <w:rFonts w:hint="eastAsia" w:ascii="宋体" w:hAnsi="宋体"/>
          <w:bCs/>
          <w:color w:val="auto"/>
          <w:sz w:val="24"/>
          <w:highlight w:val="none"/>
        </w:rPr>
        <w:t>投标人应将</w:t>
      </w:r>
      <w:r>
        <w:rPr>
          <w:rFonts w:hint="eastAsia" w:ascii="宋体"/>
          <w:b/>
          <w:color w:val="auto"/>
          <w:sz w:val="24"/>
          <w:highlight w:val="none"/>
          <w:lang w:val="zh-CN" w:eastAsia="zh-CN"/>
        </w:rPr>
        <w:t>资信技术</w:t>
      </w:r>
      <w:r>
        <w:rPr>
          <w:rFonts w:hint="eastAsia" w:ascii="宋体"/>
          <w:b/>
          <w:color w:val="auto"/>
          <w:sz w:val="24"/>
          <w:highlight w:val="none"/>
          <w:lang w:val="zh-CN"/>
        </w:rPr>
        <w:t>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w:t>
      </w:r>
      <w:r>
        <w:rPr>
          <w:rFonts w:hint="eastAsia" w:ascii="宋体"/>
          <w:b/>
          <w:bCs/>
          <w:color w:val="auto"/>
          <w:sz w:val="24"/>
          <w:highlight w:val="none"/>
          <w:lang w:val="zh-CN"/>
        </w:rPr>
        <w:t>报价文件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份分别编制并单独装订成册，投标文件的封面应注明</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字样。</w:t>
      </w:r>
      <w:r>
        <w:rPr>
          <w:rFonts w:hint="eastAsia" w:ascii="宋体"/>
          <w:b/>
          <w:color w:val="auto"/>
          <w:sz w:val="24"/>
          <w:highlight w:val="none"/>
          <w:lang w:val="zh-CN"/>
        </w:rPr>
        <w:t xml:space="preserve">推荐使用胶装订本。 </w:t>
      </w:r>
    </w:p>
    <w:p w14:paraId="238DD1F2">
      <w:pPr>
        <w:autoSpaceDE w:val="0"/>
        <w:autoSpaceDN w:val="0"/>
        <w:adjustRightInd w:val="0"/>
        <w:spacing w:line="360" w:lineRule="auto"/>
        <w:ind w:firstLine="437"/>
        <w:jc w:val="left"/>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投标文件的正本需打印或用不褪色的墨水填写。正本与副本内容不一致的，以正本为准。</w:t>
      </w:r>
    </w:p>
    <w:p w14:paraId="7887ABC4">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投标文件须由投标人在规定位置盖公章并由法定代表人或法定代表授权人签署，投标人应写全称。</w:t>
      </w:r>
    </w:p>
    <w:p w14:paraId="1613963C">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投标文件不得涂改，若有修改错漏处，须加盖单位公章或者法定代表人或授权委托人签字或盖章。投标文件因字迹潦草或表达不清所引起的后果由投标人负责。</w:t>
      </w:r>
    </w:p>
    <w:p w14:paraId="5B280A90">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（七）投标文件的包装、递交、修改和撤回</w:t>
      </w:r>
    </w:p>
    <w:p w14:paraId="1C20BD39">
      <w:pPr>
        <w:pStyle w:val="11"/>
        <w:snapToGrid w:val="0"/>
        <w:spacing w:line="396" w:lineRule="auto"/>
        <w:ind w:firstLine="434" w:firstLineChars="181"/>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投标人应按资信技术</w:t>
      </w:r>
      <w:r>
        <w:rPr>
          <w:rFonts w:hint="eastAsia" w:ascii="宋体"/>
          <w:b/>
          <w:color w:val="auto"/>
          <w:sz w:val="24"/>
          <w:highlight w:val="none"/>
          <w:lang w:val="zh-CN"/>
        </w:rPr>
        <w:t>文件</w:t>
      </w:r>
      <w:r>
        <w:rPr>
          <w:rFonts w:hint="eastAsia" w:ascii="宋体" w:hAnsi="宋体"/>
          <w:b/>
          <w:color w:val="auto"/>
          <w:sz w:val="24"/>
          <w:highlight w:val="none"/>
        </w:rPr>
        <w:t>、报价文件两部分分别密封封装</w:t>
      </w:r>
      <w:r>
        <w:rPr>
          <w:rFonts w:hint="eastAsia" w:ascii="宋体" w:hAnsi="宋体"/>
          <w:color w:val="auto"/>
          <w:sz w:val="24"/>
          <w:highlight w:val="none"/>
        </w:rPr>
        <w:t>投标文件， [参照《</w:t>
      </w:r>
      <w:r>
        <w:rPr>
          <w:rFonts w:ascii="宋体" w:hAnsi="宋体"/>
          <w:b/>
          <w:color w:val="auto"/>
          <w:sz w:val="24"/>
          <w:highlight w:val="none"/>
        </w:rPr>
        <w:t>投标文件</w:t>
      </w:r>
      <w:r>
        <w:rPr>
          <w:rFonts w:hint="eastAsia" w:ascii="宋体" w:hAnsi="宋体"/>
          <w:b/>
          <w:color w:val="auto"/>
          <w:sz w:val="24"/>
          <w:highlight w:val="none"/>
        </w:rPr>
        <w:t>外层包装</w:t>
      </w:r>
      <w:r>
        <w:rPr>
          <w:rFonts w:ascii="宋体" w:hAnsi="宋体"/>
          <w:b/>
          <w:color w:val="auto"/>
          <w:sz w:val="24"/>
          <w:highlight w:val="none"/>
        </w:rPr>
        <w:t>封面格式</w:t>
      </w:r>
      <w:r>
        <w:rPr>
          <w:rFonts w:hint="eastAsia" w:ascii="宋体" w:hAnsi="宋体"/>
          <w:b/>
          <w:color w:val="auto"/>
          <w:sz w:val="24"/>
          <w:highlight w:val="none"/>
        </w:rPr>
        <w:t>》</w:t>
      </w:r>
      <w:r>
        <w:rPr>
          <w:rFonts w:hint="eastAsia" w:ascii="宋体" w:hAnsi="宋体"/>
          <w:color w:val="auto"/>
          <w:sz w:val="24"/>
          <w:highlight w:val="none"/>
        </w:rPr>
        <w:t>（见附件）的要求]在包装封面上注明投标人名称、</w:t>
      </w:r>
      <w:r>
        <w:rPr>
          <w:rFonts w:ascii="宋体" w:hAnsi="宋体"/>
          <w:color w:val="auto"/>
          <w:sz w:val="24"/>
          <w:highlight w:val="none"/>
        </w:rPr>
        <w:t>投标人地址</w:t>
      </w:r>
      <w:r>
        <w:rPr>
          <w:rFonts w:hint="eastAsia" w:ascii="宋体" w:hAnsi="宋体"/>
          <w:color w:val="auto"/>
          <w:sz w:val="24"/>
          <w:highlight w:val="none"/>
        </w:rPr>
        <w:t>、投标文件名称（资信技术文件、报价文件等）、投标项目名称、项目编号等内容，并加盖投标人公章。</w:t>
      </w:r>
    </w:p>
    <w:p w14:paraId="67E8E59F">
      <w:pPr>
        <w:pStyle w:val="11"/>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2.</w:t>
      </w:r>
      <w:r>
        <w:rPr>
          <w:rFonts w:hint="eastAsia" w:ascii="宋体" w:hAnsi="宋体"/>
          <w:bCs/>
          <w:color w:val="auto"/>
          <w:sz w:val="24"/>
          <w:highlight w:val="none"/>
        </w:rPr>
        <w:t>未按规定密封或标记的投标文件将有可能被拒绝，未按规定标记造成投标文件被误投或提前拆封的风险由投标人承担。</w:t>
      </w:r>
    </w:p>
    <w:p w14:paraId="264ED117">
      <w:pPr>
        <w:pStyle w:val="11"/>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14:paraId="2A82B624">
      <w:pPr>
        <w:pStyle w:val="11"/>
        <w:tabs>
          <w:tab w:val="left" w:pos="1365"/>
          <w:tab w:val="left" w:pos="3375"/>
        </w:tabs>
        <w:spacing w:line="360" w:lineRule="auto"/>
        <w:ind w:firstLine="482"/>
        <w:rPr>
          <w:rFonts w:ascii="宋体" w:hAnsi="宋体"/>
          <w:snapToGrid w:val="0"/>
          <w:color w:val="auto"/>
          <w:sz w:val="24"/>
          <w:highlight w:val="none"/>
        </w:rPr>
      </w:pPr>
      <w:r>
        <w:rPr>
          <w:rFonts w:hint="eastAsia" w:ascii="宋体" w:hAnsi="宋体"/>
          <w:b/>
          <w:color w:val="auto"/>
          <w:sz w:val="24"/>
          <w:highlight w:val="none"/>
          <w:lang w:val="zh-CN"/>
        </w:rPr>
        <w:t>（八）投标无效的情形</w:t>
      </w:r>
    </w:p>
    <w:p w14:paraId="48DA5372">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A78557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val="zh-CN"/>
        </w:rPr>
        <w:t>在符合性审查时，如发现下列情形之一的，投标文件将被视为无效投标：</w:t>
      </w:r>
    </w:p>
    <w:p w14:paraId="7A6242D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（1）投标有效期不足的；</w:t>
      </w:r>
    </w:p>
    <w:p w14:paraId="6A0B684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（2）投标人被列入失信被执行人、重大税收违法案件当事人名单、采购严重违法失信行为记录名单的；</w:t>
      </w:r>
    </w:p>
    <w:p w14:paraId="4BA1A17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（3）投标文件未按招标文件要求签署、盖章的；</w:t>
      </w:r>
    </w:p>
    <w:p w14:paraId="1B325A5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（4）与招标文件有重大偏离、未满足带“★”号实质性指标的投标文件；</w:t>
      </w:r>
    </w:p>
    <w:p w14:paraId="272E82B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（5）对一个标项提供两个投标方案的；</w:t>
      </w:r>
    </w:p>
    <w:p w14:paraId="3521AE5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w:t>
      </w:r>
      <w:r>
        <w:rPr>
          <w:rFonts w:hint="eastAsia" w:ascii="宋体" w:hAnsi="宋体" w:eastAsia="宋体" w:cs="Times New Roman"/>
          <w:color w:val="auto"/>
          <w:sz w:val="24"/>
          <w:highlight w:val="none"/>
          <w:lang w:val="zh-CN" w:eastAsia="zh-CN"/>
        </w:rPr>
        <w:t>资信</w:t>
      </w:r>
      <w:r>
        <w:rPr>
          <w:rFonts w:hint="eastAsia" w:ascii="宋体" w:hAnsi="宋体" w:eastAsia="宋体" w:cs="Times New Roman"/>
          <w:color w:val="auto"/>
          <w:sz w:val="24"/>
          <w:highlight w:val="none"/>
          <w:lang w:val="zh-CN"/>
        </w:rPr>
        <w:t>技术文件中出现投标价格信息的；</w:t>
      </w:r>
    </w:p>
    <w:p w14:paraId="5075BA0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（7）投标人被视为串通投标的；</w:t>
      </w:r>
    </w:p>
    <w:p w14:paraId="145CF6F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（8）投标文件含有采购人不能接受的附加条件的；</w:t>
      </w:r>
    </w:p>
    <w:p w14:paraId="03C7106F">
      <w:pPr>
        <w:pStyle w:val="11"/>
        <w:snapToGrid w:val="0"/>
        <w:spacing w:line="396" w:lineRule="auto"/>
        <w:ind w:firstLine="434" w:firstLineChars="181"/>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lang w:val="zh-CN" w:eastAsia="zh-CN"/>
        </w:rPr>
        <w:t>）投标人及项目负责人资格不符合招标文件规定的；</w:t>
      </w:r>
    </w:p>
    <w:p w14:paraId="1F0FE68C">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lang w:val="en-US" w:eastAsia="zh-CN"/>
        </w:rPr>
        <w:t>10</w:t>
      </w:r>
      <w:r>
        <w:rPr>
          <w:rFonts w:hint="eastAsia" w:ascii="宋体" w:hAnsi="宋体" w:eastAsia="宋体" w:cs="Times New Roman"/>
          <w:color w:val="auto"/>
          <w:sz w:val="24"/>
          <w:highlight w:val="none"/>
          <w:lang w:val="zh-CN"/>
        </w:rPr>
        <w:t>）不符合法律、法规和本招标文件规定的其他实质性要求的。</w:t>
      </w:r>
    </w:p>
    <w:p w14:paraId="03572E6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2.在技术评议时，如发现下列情形之一的，投标文件将被视为无效投标：</w:t>
      </w:r>
    </w:p>
    <w:p w14:paraId="6F80FCD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（1）未提供或未如实提供投标货物的技术参数，或者投标文件标明的响应或偏离与事实不符或虚假投标的；</w:t>
      </w:r>
    </w:p>
    <w:p w14:paraId="37F6692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（2）明显不符合招标文件要求的规格型号、质量标准，或者与招标文件中标“★”的技术指标、主要功能项目发生实质性偏离的；</w:t>
      </w:r>
    </w:p>
    <w:p w14:paraId="5A4383B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（3）与其他参加本次投标供应商的投标文件（技术文件）的文字表述内容相同连续20行以上或者差错相同2处以上的；</w:t>
      </w:r>
    </w:p>
    <w:p w14:paraId="74DCA21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（4）投标技术方案不明确，存在一个或一个以上备选（替代）投标方案的；</w:t>
      </w:r>
    </w:p>
    <w:p w14:paraId="76C580A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3.在报价评议时，如发现下列情形之一的，投标文件将被视为无效投标：</w:t>
      </w:r>
    </w:p>
    <w:p w14:paraId="33D085E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（1）未采用人民币报价或者未按照招标文件标明的币种报价的；</w:t>
      </w:r>
    </w:p>
    <w:p w14:paraId="7D042E1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（2）投标报价超出招标文件规定的最高限价的；</w:t>
      </w:r>
    </w:p>
    <w:p w14:paraId="643BE92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（3）开标一览表中的投标报价合计与投标报价明细表的总价不一致的，投标人拒绝修正的；</w:t>
      </w:r>
    </w:p>
    <w:p w14:paraId="4E93194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（4）投标报价具有选择性，唱标价格与投标文件承诺的优惠/折扣后价格不一致的。</w:t>
      </w:r>
    </w:p>
    <w:p w14:paraId="655F790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4.符合招标文件明确规定的其他无效投标条款的。</w:t>
      </w:r>
    </w:p>
    <w:p w14:paraId="3C450EF8">
      <w:pPr>
        <w:autoSpaceDE w:val="0"/>
        <w:autoSpaceDN w:val="0"/>
        <w:adjustRightInd w:val="0"/>
        <w:spacing w:line="360" w:lineRule="auto"/>
        <w:ind w:firstLine="482"/>
        <w:rPr>
          <w:rFonts w:ascii="宋体" w:hAnsi="宋体"/>
          <w:b/>
          <w:color w:val="auto"/>
          <w:sz w:val="24"/>
          <w:highlight w:val="none"/>
          <w:lang w:val="zh-CN"/>
        </w:rPr>
      </w:pPr>
      <w:r>
        <w:rPr>
          <w:rFonts w:hint="eastAsia" w:ascii="宋体" w:hAnsi="宋体"/>
          <w:b/>
          <w:color w:val="auto"/>
          <w:sz w:val="24"/>
          <w:highlight w:val="none"/>
          <w:lang w:val="zh-CN"/>
        </w:rPr>
        <w:t>四、开标</w:t>
      </w:r>
    </w:p>
    <w:p w14:paraId="192CA329">
      <w:pPr>
        <w:autoSpaceDE w:val="0"/>
        <w:autoSpaceDN w:val="0"/>
        <w:adjustRightInd w:val="0"/>
        <w:spacing w:line="440" w:lineRule="exact"/>
        <w:ind w:firstLine="354"/>
        <w:rPr>
          <w:rFonts w:ascii="宋体" w:hAnsi="宋体"/>
          <w:b/>
          <w:color w:val="auto"/>
          <w:sz w:val="24"/>
          <w:highlight w:val="none"/>
        </w:rPr>
      </w:pPr>
      <w:r>
        <w:rPr>
          <w:rFonts w:hint="eastAsia" w:ascii="宋体" w:hAnsi="宋体"/>
          <w:b/>
          <w:color w:val="auto"/>
          <w:sz w:val="24"/>
          <w:highlight w:val="none"/>
          <w:lang w:val="zh-CN"/>
        </w:rPr>
        <w:t>（一）开标准备</w:t>
      </w:r>
    </w:p>
    <w:p w14:paraId="30207134">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采购机构将在规定的时间和地点进行开标，投标人的法定代表人或其委托代理人参加开标会并签到。</w:t>
      </w:r>
    </w:p>
    <w:p w14:paraId="6A4E9660">
      <w:pPr>
        <w:autoSpaceDE w:val="0"/>
        <w:autoSpaceDN w:val="0"/>
        <w:adjustRightInd w:val="0"/>
        <w:spacing w:line="440" w:lineRule="exact"/>
        <w:ind w:firstLine="354"/>
        <w:rPr>
          <w:rFonts w:ascii="宋体" w:hAnsi="宋体"/>
          <w:b/>
          <w:color w:val="auto"/>
          <w:sz w:val="24"/>
          <w:highlight w:val="none"/>
          <w:lang w:val="zh-CN"/>
        </w:rPr>
      </w:pPr>
      <w:r>
        <w:rPr>
          <w:rFonts w:hint="eastAsia" w:ascii="宋体" w:hAnsi="宋体"/>
          <w:b/>
          <w:color w:val="auto"/>
          <w:sz w:val="24"/>
          <w:highlight w:val="none"/>
          <w:lang w:val="zh-CN"/>
        </w:rPr>
        <w:t>（二） 开标程序</w:t>
      </w:r>
    </w:p>
    <w:p w14:paraId="0C2CADC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1.开标会由采购机构主持，主持人宣布开标会议开始；</w:t>
      </w:r>
    </w:p>
    <w:p w14:paraId="6DE5AC5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2.介绍参加开标会的人员名单；</w:t>
      </w:r>
    </w:p>
    <w:p w14:paraId="40FC95F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3.对投标人的法定代表人或委托代理人进行身份验证；</w:t>
      </w:r>
    </w:p>
    <w:p w14:paraId="1C5387D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4.打开资信技术文件外包装，清点正本、副本数量，符合招标文件要求的进行评审；不符合要求的，不予评审，并由投标人代表签字确认；</w:t>
      </w:r>
    </w:p>
    <w:p w14:paraId="0DE0831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5.资信技术文件评审结束后，由主持人公布评审结果；</w:t>
      </w:r>
    </w:p>
    <w:p w14:paraId="132AE10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6.宣布有效投标人名单，宣读有效投标人的投标报价；</w:t>
      </w:r>
    </w:p>
    <w:p w14:paraId="395535C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7.宣布本项目的拟中标候选人；</w:t>
      </w:r>
    </w:p>
    <w:p w14:paraId="58FABDE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8.开标会议结束。</w:t>
      </w:r>
    </w:p>
    <w:p w14:paraId="11E2E2EE">
      <w:pPr>
        <w:autoSpaceDE w:val="0"/>
        <w:autoSpaceDN w:val="0"/>
        <w:adjustRightInd w:val="0"/>
        <w:spacing w:line="360" w:lineRule="auto"/>
        <w:ind w:firstLine="472" w:firstLineChars="196"/>
        <w:rPr>
          <w:rFonts w:ascii="宋体" w:hAnsi="宋体"/>
          <w:b/>
          <w:color w:val="auto"/>
          <w:sz w:val="24"/>
          <w:highlight w:val="none"/>
          <w:lang w:val="zh-CN"/>
        </w:rPr>
      </w:pPr>
      <w:r>
        <w:rPr>
          <w:rFonts w:hint="eastAsia" w:ascii="宋体" w:hAnsi="宋体"/>
          <w:b/>
          <w:color w:val="auto"/>
          <w:sz w:val="24"/>
          <w:highlight w:val="none"/>
          <w:lang w:val="zh-CN"/>
        </w:rPr>
        <w:t>五、评标</w:t>
      </w:r>
    </w:p>
    <w:bookmarkEnd w:id="2"/>
    <w:p w14:paraId="51CC7428">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（一）组建评标委员会</w:t>
      </w:r>
    </w:p>
    <w:p w14:paraId="4CFE598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采购机构依法组建由</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人及以上（含）奇数的人员组成的评标委员会，负责对投标文件进行审查、质询、评审和比较等。评标委员会由采购人代表和采购评审专家组成，其中采购咨询专家人数不少于成员总数的三分之二。</w:t>
      </w:r>
    </w:p>
    <w:p w14:paraId="660DF963">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（二）评标的方式</w:t>
      </w:r>
    </w:p>
    <w:p w14:paraId="5AC9FD9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本项目采用不公开方式评标，评标的依据为招标文件和投标文件。</w:t>
      </w:r>
    </w:p>
    <w:p w14:paraId="2B0FEB7E">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（三）评标程序</w:t>
      </w:r>
    </w:p>
    <w:p w14:paraId="3790D2A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1.资格审查</w:t>
      </w:r>
    </w:p>
    <w:p w14:paraId="5DA0BE1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人或采购代理机构依据法律法规和招标文件的规定，对投标人的基本资格条件、特定资格条件进行审查。投标人未按照招标文件要求提供与基本资格条件、特定资格条件相应的有效资格证明材料的或资格证明文件不全的，视为投标人不具备招标文件中规定的资格要求，其投标无效。</w:t>
      </w:r>
    </w:p>
    <w:p w14:paraId="04681A8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评标委员会对投标人的投标文件的完整性、合法性等进行审查。</w:t>
      </w:r>
    </w:p>
    <w:p w14:paraId="4D0BF84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2.实质审查与比较</w:t>
      </w:r>
    </w:p>
    <w:p w14:paraId="21ED743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（1）评标委员会审查投标文件的实质性内容是否符合招标文件的实质性要求。</w:t>
      </w:r>
    </w:p>
    <w:p w14:paraId="0CE3F7A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（2）评标委员会将根据投标人的投标文件进行审查、核对,如有疑问,将对投标人进行询标,投标人要向评标委员会澄清有关问题,并最终以书面形式进行答复。</w:t>
      </w:r>
    </w:p>
    <w:p w14:paraId="025A191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（3）各投标人的资信技术分按照评标委员会成员的独立评分结果汇总数后的算术平均分计算。</w:t>
      </w:r>
    </w:p>
    <w:p w14:paraId="59769D7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（4）评标委员会根据投标人的商务报价,计算各投标人的价格分。</w:t>
      </w:r>
    </w:p>
    <w:p w14:paraId="47FA009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（5）评标委员会完成评标后,评委对各部分得分汇总,得出本项目最终得分,评标委员会按评标原则推荐中标候选人同时起草评标报告。</w:t>
      </w:r>
    </w:p>
    <w:p w14:paraId="0400A5CA">
      <w:pPr>
        <w:autoSpaceDE w:val="0"/>
        <w:autoSpaceDN w:val="0"/>
        <w:adjustRightInd w:val="0"/>
        <w:spacing w:line="360" w:lineRule="auto"/>
        <w:ind w:firstLine="360"/>
        <w:rPr>
          <w:rFonts w:ascii="宋体"/>
          <w:b/>
          <w:color w:val="auto"/>
          <w:sz w:val="24"/>
          <w:highlight w:val="none"/>
          <w:lang w:val="zh-CN"/>
        </w:rPr>
      </w:pPr>
      <w:r>
        <w:rPr>
          <w:rFonts w:hint="eastAsia" w:ascii="宋体"/>
          <w:color w:val="auto"/>
          <w:sz w:val="24"/>
          <w:highlight w:val="none"/>
          <w:lang w:val="zh-CN"/>
        </w:rPr>
        <w:t>（四）</w:t>
      </w:r>
      <w:r>
        <w:rPr>
          <w:rFonts w:hint="eastAsia" w:ascii="宋体"/>
          <w:b/>
          <w:color w:val="auto"/>
          <w:sz w:val="24"/>
          <w:highlight w:val="none"/>
          <w:lang w:val="zh-CN"/>
        </w:rPr>
        <w:t>澄清问题的形式</w:t>
      </w:r>
    </w:p>
    <w:p w14:paraId="33B44F4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其委托代理人签字或盖章确认，并不得超出投标文件的范围或者改变投标文件的实质性内容。</w:t>
      </w:r>
    </w:p>
    <w:p w14:paraId="48AB9B77">
      <w:pPr>
        <w:autoSpaceDE w:val="0"/>
        <w:autoSpaceDN w:val="0"/>
        <w:adjustRightInd w:val="0"/>
        <w:spacing w:line="360" w:lineRule="auto"/>
        <w:ind w:firstLine="480"/>
        <w:rPr>
          <w:rFonts w:ascii="宋体"/>
          <w:b/>
          <w:color w:val="auto"/>
          <w:sz w:val="24"/>
          <w:highlight w:val="none"/>
          <w:lang w:val="zh-CN"/>
        </w:rPr>
      </w:pPr>
      <w:r>
        <w:rPr>
          <w:rFonts w:hint="eastAsia" w:ascii="宋体"/>
          <w:color w:val="auto"/>
          <w:sz w:val="24"/>
          <w:highlight w:val="none"/>
          <w:lang w:val="zh-CN"/>
        </w:rPr>
        <w:t>（五）</w:t>
      </w:r>
      <w:r>
        <w:rPr>
          <w:rFonts w:hint="eastAsia" w:ascii="宋体"/>
          <w:b/>
          <w:color w:val="auto"/>
          <w:sz w:val="24"/>
          <w:highlight w:val="none"/>
          <w:lang w:val="zh-CN"/>
        </w:rPr>
        <w:t>错误修正</w:t>
      </w:r>
    </w:p>
    <w:p w14:paraId="0192F79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投标文件如果出现计算或表达上的错误，修正错误的原则如下：</w:t>
      </w:r>
    </w:p>
    <w:p w14:paraId="7C514A5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1.投标文件中开标一览表（报价表）内容与投标文件中相应内容不一致的，以开标一览表（报价表）为准；</w:t>
      </w:r>
    </w:p>
    <w:p w14:paraId="1890148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2.大写金额和小写金额不一致的，以大写金额为准；</w:t>
      </w:r>
    </w:p>
    <w:p w14:paraId="3A6562D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 xml:space="preserve">3.单价金额小数点或者百分比有明显错位的，以开标一览表的总价为准，并修改单价； </w:t>
      </w:r>
    </w:p>
    <w:p w14:paraId="6525B36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4.总价金额与按单价汇总金额不一致的，以单价金额计算结果为准。</w:t>
      </w:r>
    </w:p>
    <w:p w14:paraId="3A37B3D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同时出现两种以上不一致的，按照前款规定的顺序修正。修正后的报价《政府采购货物和服务招标投标管理办法》规定经投标人确认后产生约束力，投标人不确认的，其投标无效。</w:t>
      </w:r>
    </w:p>
    <w:p w14:paraId="390193C9">
      <w:pPr>
        <w:tabs>
          <w:tab w:val="left" w:pos="630"/>
        </w:tabs>
        <w:autoSpaceDE w:val="0"/>
        <w:autoSpaceDN w:val="0"/>
        <w:adjustRightInd w:val="0"/>
        <w:spacing w:line="360" w:lineRule="auto"/>
        <w:ind w:firstLine="318"/>
        <w:rPr>
          <w:rFonts w:ascii="宋体"/>
          <w:b/>
          <w:color w:val="auto"/>
          <w:sz w:val="24"/>
          <w:highlight w:val="none"/>
          <w:lang w:val="zh-CN"/>
        </w:rPr>
      </w:pPr>
      <w:r>
        <w:rPr>
          <w:rFonts w:hint="eastAsia" w:ascii="宋体"/>
          <w:b/>
          <w:color w:val="auto"/>
          <w:sz w:val="24"/>
          <w:highlight w:val="none"/>
          <w:lang w:val="zh-CN"/>
        </w:rPr>
        <w:t>（六）评标原则和评标办法</w:t>
      </w:r>
    </w:p>
    <w:p w14:paraId="515B3CF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4CD8F2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2.评标办法。根据采购项目的实际情况采用综合评分法。本项目的具体评标办法详见《第四章：评标办法及评分标准》。</w:t>
      </w:r>
    </w:p>
    <w:p w14:paraId="622BD2D1">
      <w:pPr>
        <w:pStyle w:val="14"/>
        <w:keepNext w:val="0"/>
        <w:keepLines w:val="0"/>
        <w:pageBreakBefore w:val="0"/>
        <w:widowControl w:val="0"/>
        <w:kinsoku/>
        <w:wordWrap/>
        <w:overflowPunct/>
        <w:topLinePunct w:val="0"/>
        <w:bidi w:val="0"/>
        <w:snapToGrid w:val="0"/>
        <w:spacing w:line="360" w:lineRule="exact"/>
        <w:ind w:firstLine="482" w:firstLineChars="200"/>
        <w:textAlignment w:val="auto"/>
        <w:rPr>
          <w:rFonts w:hAnsi="宋体"/>
          <w:b/>
          <w:color w:val="auto"/>
          <w:sz w:val="24"/>
          <w:szCs w:val="24"/>
          <w:highlight w:val="none"/>
        </w:rPr>
      </w:pPr>
      <w:bookmarkStart w:id="28" w:name="_Toc177870555"/>
      <w:r>
        <w:rPr>
          <w:rFonts w:hint="eastAsia" w:hAnsi="宋体"/>
          <w:b/>
          <w:color w:val="auto"/>
          <w:sz w:val="24"/>
          <w:szCs w:val="24"/>
          <w:highlight w:val="none"/>
        </w:rPr>
        <w:t>六、</w:t>
      </w:r>
      <w:bookmarkEnd w:id="28"/>
      <w:r>
        <w:rPr>
          <w:rFonts w:hint="eastAsia" w:hAnsi="宋体"/>
          <w:b/>
          <w:color w:val="auto"/>
          <w:sz w:val="24"/>
          <w:szCs w:val="24"/>
          <w:highlight w:val="none"/>
        </w:rPr>
        <w:t>确定中标人</w:t>
      </w:r>
    </w:p>
    <w:p w14:paraId="3AC1BEB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1.中标公告：采购机构在评标结束后将采购结果确认函交采购人确认，采购结果经采购人确认后，在发布招标公告的网站上进行1个工作日的中标公告。</w:t>
      </w:r>
    </w:p>
    <w:p w14:paraId="22C28B9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val="zh-CN"/>
        </w:rPr>
        <w:t>.采购代理机构、在评标结束后2个工作日内将评标报告送采购人。采购人应当自收到评标报告之日起</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zh-CN"/>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中标公告期限为1个工作日</w:t>
      </w:r>
    </w:p>
    <w:p w14:paraId="0970D5F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.在公告中标结果的同时，采购人或者采购代理机构将向中标人发出中标通知书。中标通知书发出后，采购人不得违法改变中标结果，中标人无正当理由不得放弃中标。</w:t>
      </w:r>
    </w:p>
    <w:p w14:paraId="71E0E7FC">
      <w:pPr>
        <w:keepNext w:val="0"/>
        <w:keepLines w:val="0"/>
        <w:pageBreakBefore w:val="0"/>
        <w:widowControl w:val="0"/>
        <w:kinsoku/>
        <w:wordWrap/>
        <w:overflowPunct/>
        <w:topLinePunct w:val="0"/>
        <w:autoSpaceDE w:val="0"/>
        <w:autoSpaceDN w:val="0"/>
        <w:bidi w:val="0"/>
        <w:adjustRightInd w:val="0"/>
        <w:spacing w:line="360" w:lineRule="auto"/>
        <w:ind w:firstLine="436"/>
        <w:textAlignment w:val="auto"/>
        <w:rPr>
          <w:rFonts w:ascii="宋体"/>
          <w:b/>
          <w:color w:val="auto"/>
          <w:sz w:val="24"/>
          <w:highlight w:val="none"/>
          <w:lang w:val="zh-CN"/>
        </w:rPr>
      </w:pPr>
      <w:r>
        <w:rPr>
          <w:rFonts w:hint="eastAsia" w:ascii="宋体"/>
          <w:b/>
          <w:color w:val="auto"/>
          <w:sz w:val="24"/>
          <w:highlight w:val="none"/>
          <w:lang w:val="zh-CN"/>
        </w:rPr>
        <w:t>七、合同授予</w:t>
      </w:r>
    </w:p>
    <w:p w14:paraId="62444797">
      <w:pPr>
        <w:pStyle w:val="11"/>
        <w:snapToGrid w:val="0"/>
        <w:spacing w:line="360"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lang w:val="zh-CN"/>
        </w:rPr>
        <w:t>日内与采购人签订合同。</w:t>
      </w:r>
    </w:p>
    <w:p w14:paraId="5FDFDAC0">
      <w:pPr>
        <w:pStyle w:val="11"/>
        <w:snapToGrid w:val="0"/>
        <w:spacing w:line="360"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2.中标人拖延、拒签合同的,将按照相关规定处理并取消中标资格。</w:t>
      </w:r>
    </w:p>
    <w:p w14:paraId="3A64CD2D">
      <w:pPr>
        <w:autoSpaceDE w:val="0"/>
        <w:autoSpaceDN w:val="0"/>
        <w:adjustRightInd w:val="0"/>
        <w:spacing w:line="360" w:lineRule="auto"/>
        <w:ind w:firstLine="480"/>
        <w:jc w:val="left"/>
        <w:rPr>
          <w:rFonts w:hint="eastAsia" w:ascii="宋体" w:hAnsi="宋体"/>
          <w:bCs/>
          <w:sz w:val="24"/>
          <w:lang w:val="en-US" w:eastAsia="zh-CN"/>
        </w:rPr>
      </w:pPr>
      <w:r>
        <w:rPr>
          <w:rFonts w:hint="eastAsia" w:ascii="宋体" w:hAnsi="宋体" w:cs="Times New Roman"/>
          <w:color w:val="auto"/>
          <w:sz w:val="24"/>
          <w:highlight w:val="none"/>
          <w:lang w:val="en-US" w:eastAsia="zh-CN"/>
        </w:rPr>
        <w:t>3.代理服务费：</w:t>
      </w:r>
      <w:r>
        <w:rPr>
          <w:rFonts w:hint="eastAsia" w:ascii="宋体" w:hAnsi="宋体"/>
          <w:bCs/>
          <w:sz w:val="24"/>
          <w:lang w:val="en-US" w:eastAsia="zh-CN"/>
        </w:rPr>
        <w:t>本次采购的代理服务费按浙价服【2003】77号文收取；</w:t>
      </w:r>
    </w:p>
    <w:p w14:paraId="406F8670">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r>
        <w:rPr>
          <w:rFonts w:hint="eastAsia" w:ascii="宋体" w:hAnsi="宋体" w:cs="宋体"/>
          <w:b w:val="0"/>
          <w:bCs/>
          <w:color w:val="auto"/>
          <w:sz w:val="24"/>
          <w:lang w:val="en-US" w:eastAsia="zh-CN"/>
        </w:rPr>
        <w:t>4</w:t>
      </w:r>
      <w:r>
        <w:rPr>
          <w:rFonts w:hint="eastAsia" w:ascii="宋体" w:hAnsi="宋体" w:eastAsia="宋体" w:cs="宋体"/>
          <w:b w:val="0"/>
          <w:bCs/>
          <w:color w:val="auto"/>
          <w:sz w:val="24"/>
        </w:rPr>
        <w:t>、开标过程中产生的其他费用按实际支出收取；</w:t>
      </w:r>
    </w:p>
    <w:p w14:paraId="3BA59DE7">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r>
        <w:rPr>
          <w:rFonts w:hint="eastAsia" w:ascii="宋体" w:hAnsi="宋体" w:cs="宋体"/>
          <w:b w:val="0"/>
          <w:bCs/>
          <w:color w:val="auto"/>
          <w:sz w:val="24"/>
          <w:lang w:val="en-US" w:eastAsia="zh-CN"/>
        </w:rPr>
        <w:t>5</w:t>
      </w:r>
      <w:r>
        <w:rPr>
          <w:rFonts w:hint="eastAsia" w:ascii="宋体" w:hAnsi="宋体" w:eastAsia="宋体" w:cs="宋体"/>
          <w:b w:val="0"/>
          <w:bCs/>
          <w:color w:val="auto"/>
          <w:sz w:val="24"/>
        </w:rPr>
        <w:t>、以上费用均由中标单位在领取中标通知书时，一次性支付给代理公司，上述两项费用应含在投标报价中（不得单独列项），</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在投标报价中考虑上述费用。</w:t>
      </w:r>
    </w:p>
    <w:p w14:paraId="1DBEDEB3">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p>
    <w:p w14:paraId="55B1220E">
      <w:pPr>
        <w:snapToGrid w:val="0"/>
        <w:spacing w:line="360" w:lineRule="auto"/>
        <w:ind w:firstLine="585" w:firstLineChars="182"/>
        <w:jc w:val="center"/>
        <w:rPr>
          <w:rFonts w:hAnsi="宋体"/>
          <w:b/>
          <w:color w:val="auto"/>
          <w:sz w:val="32"/>
          <w:szCs w:val="32"/>
          <w:highlight w:val="none"/>
        </w:rPr>
      </w:pPr>
      <w:r>
        <w:rPr>
          <w:rFonts w:hint="eastAsia" w:hAnsi="宋体"/>
          <w:b/>
          <w:color w:val="auto"/>
          <w:sz w:val="32"/>
          <w:szCs w:val="32"/>
          <w:highlight w:val="none"/>
        </w:rPr>
        <w:t>第四章  评标办法及评分标准</w:t>
      </w:r>
    </w:p>
    <w:p w14:paraId="557483C6">
      <w:pPr>
        <w:spacing w:afterLines="50" w:line="360" w:lineRule="auto"/>
        <w:rPr>
          <w:rFonts w:ascii="宋体" w:hAnsi="宋体"/>
          <w:b/>
          <w:color w:val="auto"/>
          <w:sz w:val="24"/>
          <w:highlight w:val="none"/>
        </w:rPr>
      </w:pPr>
      <w:r>
        <w:rPr>
          <w:rFonts w:hint="eastAsia" w:ascii="宋体" w:hAnsi="宋体"/>
          <w:b/>
          <w:color w:val="auto"/>
          <w:sz w:val="24"/>
          <w:highlight w:val="none"/>
        </w:rPr>
        <w:t>一、总则</w:t>
      </w:r>
    </w:p>
    <w:p w14:paraId="693A6035">
      <w:pPr>
        <w:spacing w:afterLines="50" w:line="360" w:lineRule="auto"/>
        <w:ind w:firstLine="480" w:firstLineChars="200"/>
        <w:rPr>
          <w:color w:val="auto"/>
          <w:sz w:val="24"/>
          <w:highlight w:val="none"/>
        </w:rPr>
      </w:pPr>
      <w:r>
        <w:rPr>
          <w:rFonts w:hint="eastAsia" w:ascii="宋体" w:hAnsi="宋体"/>
          <w:color w:val="auto"/>
          <w:sz w:val="24"/>
          <w:highlight w:val="none"/>
        </w:rPr>
        <w:t>本次评标采用综合评分法。合格投标人评标综合得分为商务报价分和资信技术分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p>
    <w:p w14:paraId="6E21780A">
      <w:pPr>
        <w:spacing w:afterLines="50"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投标人评标综合得分=价格分+资信技术分</w:t>
      </w:r>
      <w:r>
        <w:rPr>
          <w:rFonts w:hint="eastAsia" w:ascii="宋体" w:hAnsi="宋体"/>
          <w:bCs/>
          <w:color w:val="auto"/>
          <w:sz w:val="24"/>
          <w:highlight w:val="none"/>
          <w:lang w:val="en-US" w:eastAsia="zh-CN"/>
        </w:rPr>
        <w:t xml:space="preserve">  </w:t>
      </w:r>
    </w:p>
    <w:p w14:paraId="42C91C24">
      <w:pPr>
        <w:spacing w:afterLines="50" w:line="360" w:lineRule="auto"/>
        <w:rPr>
          <w:b/>
          <w:color w:val="auto"/>
          <w:sz w:val="24"/>
          <w:highlight w:val="none"/>
        </w:rPr>
      </w:pPr>
      <w:r>
        <w:rPr>
          <w:rFonts w:hint="eastAsia"/>
          <w:b/>
          <w:color w:val="auto"/>
          <w:sz w:val="24"/>
          <w:highlight w:val="none"/>
        </w:rPr>
        <w:t>二、评标内容及标准</w:t>
      </w:r>
    </w:p>
    <w:p w14:paraId="15F180D2">
      <w:pPr>
        <w:spacing w:afterLines="50" w:line="360" w:lineRule="auto"/>
        <w:rPr>
          <w:rFonts w:hAnsi="宋体"/>
          <w:b/>
          <w:bCs/>
          <w:color w:val="auto"/>
          <w:sz w:val="24"/>
          <w:highlight w:val="none"/>
        </w:rPr>
      </w:pPr>
      <w:r>
        <w:rPr>
          <w:rFonts w:hAnsi="宋体"/>
          <w:b/>
          <w:color w:val="auto"/>
          <w:sz w:val="24"/>
          <w:highlight w:val="none"/>
        </w:rPr>
        <w:t>（一）</w:t>
      </w:r>
      <w:r>
        <w:rPr>
          <w:rFonts w:hAnsi="宋体"/>
          <w:b/>
          <w:bCs/>
          <w:color w:val="auto"/>
          <w:sz w:val="24"/>
          <w:highlight w:val="none"/>
        </w:rPr>
        <w:t>价格分（</w:t>
      </w:r>
      <w:r>
        <w:rPr>
          <w:rFonts w:hint="eastAsia" w:hAnsi="宋体"/>
          <w:b/>
          <w:bCs/>
          <w:color w:val="auto"/>
          <w:sz w:val="24"/>
          <w:highlight w:val="none"/>
          <w:lang w:val="en-US" w:eastAsia="zh-CN"/>
        </w:rPr>
        <w:t>30</w:t>
      </w:r>
      <w:r>
        <w:rPr>
          <w:rFonts w:ascii="宋体" w:hAnsi="宋体"/>
          <w:b/>
          <w:color w:val="auto"/>
          <w:sz w:val="24"/>
          <w:highlight w:val="none"/>
        </w:rPr>
        <w:t>分</w:t>
      </w:r>
      <w:r>
        <w:rPr>
          <w:rFonts w:hAnsi="宋体"/>
          <w:b/>
          <w:bCs/>
          <w:color w:val="auto"/>
          <w:sz w:val="24"/>
          <w:highlight w:val="none"/>
        </w:rPr>
        <w:t>）</w:t>
      </w:r>
    </w:p>
    <w:p w14:paraId="11FD6784">
      <w:pPr>
        <w:pStyle w:val="13"/>
        <w:spacing w:after="0" w:line="360" w:lineRule="auto"/>
        <w:rPr>
          <w:rFonts w:ascii="宋体" w:hAnsi="宋体" w:cs="宋体"/>
          <w:color w:val="auto"/>
          <w:sz w:val="24"/>
          <w:highlight w:val="none"/>
        </w:rPr>
      </w:pPr>
      <w:r>
        <w:rPr>
          <w:rFonts w:hint="eastAsia" w:ascii="宋体" w:hAnsi="宋体" w:cs="宋体"/>
          <w:color w:val="auto"/>
          <w:sz w:val="24"/>
          <w:highlight w:val="none"/>
        </w:rPr>
        <w:t>1、价格分采用低价优先法计算，即满足招标文件要求且投标价格最低的投标报价为评标基准价，其他投标人的价格分按照下列公式计算：</w:t>
      </w:r>
    </w:p>
    <w:p w14:paraId="466E2E24">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20</w:t>
      </w:r>
    </w:p>
    <w:p w14:paraId="28AFC549">
      <w:pPr>
        <w:pStyle w:val="13"/>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★2、投标人的投标报价超过设定的上限价的作为无效标处理。</w:t>
      </w:r>
    </w:p>
    <w:p w14:paraId="47A254D7">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bCs/>
          <w:color w:val="auto"/>
          <w:sz w:val="24"/>
          <w:highlight w:val="none"/>
        </w:rPr>
        <w:t>报价是中标的一个重要因素，但最低报价不是中标的唯一依据。</w:t>
      </w:r>
    </w:p>
    <w:p w14:paraId="45F3A6BB">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w:t>
      </w:r>
      <w:r>
        <w:rPr>
          <w:rFonts w:hint="eastAsia" w:ascii="宋体" w:hAnsi="宋体" w:cs="宋体"/>
          <w:b/>
          <w:bCs/>
          <w:color w:val="auto"/>
          <w:sz w:val="24"/>
          <w:highlight w:val="none"/>
        </w:rPr>
        <w:t>标人不能证明其报价合理性</w:t>
      </w:r>
      <w:r>
        <w:rPr>
          <w:rFonts w:hint="eastAsia" w:ascii="宋体" w:hAnsi="宋体" w:cs="宋体"/>
          <w:color w:val="auto"/>
          <w:sz w:val="24"/>
          <w:highlight w:val="none"/>
        </w:rPr>
        <w:t>的，评标委员会应当将其作为无效投标处理。对弄虚作假、恶意串通的供应商，应将其列入不良行为记录名单，在1至3年内禁止参加采购活动。</w:t>
      </w:r>
    </w:p>
    <w:p w14:paraId="2C08F8CD">
      <w:pPr>
        <w:widowControl/>
        <w:jc w:val="left"/>
        <w:rPr>
          <w:rFonts w:ascii="宋体" w:hAnsi="宋体" w:cs="宋体"/>
          <w:b/>
          <w:bCs/>
          <w:color w:val="auto"/>
          <w:sz w:val="24"/>
          <w:szCs w:val="28"/>
          <w:highlight w:val="none"/>
        </w:rPr>
      </w:pPr>
      <w:r>
        <w:rPr>
          <w:rFonts w:hint="eastAsia" w:ascii="宋体" w:hAnsi="宋体" w:cs="宋体"/>
          <w:b/>
          <w:color w:val="auto"/>
          <w:sz w:val="24"/>
          <w:highlight w:val="none"/>
        </w:rPr>
        <w:t>（二）资信技术评分（</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bl>
      <w:tblPr>
        <w:tblStyle w:val="25"/>
        <w:tblpPr w:leftFromText="180" w:rightFromText="180" w:vertAnchor="text" w:horzAnchor="page" w:tblpXSpec="center" w:tblpY="126"/>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5"/>
        <w:gridCol w:w="1431"/>
        <w:gridCol w:w="7483"/>
        <w:gridCol w:w="929"/>
      </w:tblGrid>
      <w:tr w14:paraId="0E91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75" w:hRule="atLeast"/>
          <w:jc w:val="center"/>
        </w:trPr>
        <w:tc>
          <w:tcPr>
            <w:tcW w:w="225" w:type="pct"/>
            <w:shd w:val="clear" w:color="auto" w:fill="FFFFFF"/>
            <w:vAlign w:val="center"/>
          </w:tcPr>
          <w:p w14:paraId="730286DD">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693" w:type="pct"/>
            <w:shd w:val="clear" w:color="auto" w:fill="FFFFFF"/>
            <w:vAlign w:val="center"/>
          </w:tcPr>
          <w:p w14:paraId="752556F6">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评分内容</w:t>
            </w:r>
          </w:p>
        </w:tc>
        <w:tc>
          <w:tcPr>
            <w:tcW w:w="3629" w:type="pct"/>
            <w:shd w:val="clear" w:color="auto" w:fill="FFFFFF"/>
            <w:vAlign w:val="center"/>
          </w:tcPr>
          <w:p w14:paraId="0039AB9F">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450" w:type="pct"/>
            <w:shd w:val="clear" w:color="auto" w:fill="FFFFFF"/>
            <w:vAlign w:val="center"/>
          </w:tcPr>
          <w:p w14:paraId="15F812CC">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分值</w:t>
            </w:r>
          </w:p>
        </w:tc>
      </w:tr>
      <w:tr w14:paraId="5822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62" w:hRule="atLeast"/>
          <w:jc w:val="center"/>
        </w:trPr>
        <w:tc>
          <w:tcPr>
            <w:tcW w:w="225" w:type="pct"/>
            <w:shd w:val="clear" w:color="auto" w:fill="FFFFFF"/>
            <w:vAlign w:val="center"/>
          </w:tcPr>
          <w:p w14:paraId="5CB1C18E">
            <w:pPr>
              <w:spacing w:line="440" w:lineRule="exact"/>
              <w:jc w:val="center"/>
              <w:rPr>
                <w:rFonts w:hint="eastAsia" w:ascii="宋体" w:hAnsi="宋体" w:eastAsia="宋体" w:cs="宋体"/>
                <w:bCs/>
                <w:sz w:val="24"/>
                <w:szCs w:val="24"/>
                <w:highlight w:val="yellow"/>
              </w:rPr>
            </w:pPr>
            <w:r>
              <w:rPr>
                <w:rFonts w:hint="eastAsia" w:ascii="宋体" w:hAnsi="宋体" w:eastAsia="宋体" w:cs="宋体"/>
                <w:bCs/>
                <w:sz w:val="24"/>
                <w:szCs w:val="24"/>
                <w:highlight w:val="none"/>
              </w:rPr>
              <w:t>1</w:t>
            </w:r>
          </w:p>
        </w:tc>
        <w:tc>
          <w:tcPr>
            <w:tcW w:w="693" w:type="pct"/>
            <w:shd w:val="clear" w:color="auto" w:fill="FFFFFF"/>
            <w:vAlign w:val="center"/>
          </w:tcPr>
          <w:p w14:paraId="1D5B168A">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产品指标参数</w:t>
            </w:r>
          </w:p>
        </w:tc>
        <w:tc>
          <w:tcPr>
            <w:tcW w:w="3629" w:type="pct"/>
            <w:shd w:val="clear" w:color="auto" w:fill="FFFFFF"/>
            <w:vAlign w:val="center"/>
          </w:tcPr>
          <w:p w14:paraId="1E73570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标“★”为关键参数指标，每项负偏离扣1分，其他指标参数，出现负偏离每一项扣0.5分，扣完为止。</w:t>
            </w:r>
          </w:p>
        </w:tc>
        <w:tc>
          <w:tcPr>
            <w:tcW w:w="450" w:type="pct"/>
            <w:shd w:val="clear" w:color="auto" w:fill="FFFFFF"/>
            <w:vAlign w:val="center"/>
          </w:tcPr>
          <w:p w14:paraId="1DEA0F69">
            <w:pPr>
              <w:spacing w:line="4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r>
      <w:tr w14:paraId="616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385" w:hRule="atLeast"/>
          <w:jc w:val="center"/>
        </w:trPr>
        <w:tc>
          <w:tcPr>
            <w:tcW w:w="225" w:type="pct"/>
            <w:shd w:val="clear" w:color="auto" w:fill="FFFFFF"/>
            <w:vAlign w:val="center"/>
          </w:tcPr>
          <w:p w14:paraId="4A24BD0E">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2</w:t>
            </w:r>
          </w:p>
        </w:tc>
        <w:tc>
          <w:tcPr>
            <w:tcW w:w="693" w:type="pct"/>
            <w:shd w:val="clear" w:color="auto" w:fill="FFFFFF"/>
            <w:vAlign w:val="center"/>
          </w:tcPr>
          <w:p w14:paraId="39664B0B">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体系认证证书</w:t>
            </w:r>
          </w:p>
        </w:tc>
        <w:tc>
          <w:tcPr>
            <w:tcW w:w="3629" w:type="pct"/>
            <w:shd w:val="clear" w:color="auto" w:fill="FFFFFF"/>
            <w:vAlign w:val="center"/>
          </w:tcPr>
          <w:p w14:paraId="7A9636D3">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1、投标人具有有效质量管理体系认证证书ISO9001，得1分；</w:t>
            </w:r>
          </w:p>
          <w:p w14:paraId="11541A35">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2、投标人具有有效环境管理体系认证证书ISO14001，得1分；</w:t>
            </w:r>
          </w:p>
          <w:p w14:paraId="21155CF3">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3、投标人具有有效职业健康安全管理体系认证证书ISO45001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p>
          <w:p w14:paraId="7362E8B4">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4、投标人具有有效信息技术服务管理体系认证证书ISO20000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p>
          <w:p w14:paraId="0088C2F2">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5、投标人具有有效信息安全管理体系认证ISO27001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r>
              <w:rPr>
                <w:rFonts w:hint="eastAsia" w:ascii="宋体" w:hAnsi="宋体" w:cs="宋体"/>
                <w:sz w:val="24"/>
                <w:szCs w:val="24"/>
                <w:lang w:val="en-US" w:eastAsia="zh-CN"/>
              </w:rPr>
              <w:t>。</w:t>
            </w:r>
          </w:p>
          <w:p w14:paraId="6B2FB252">
            <w:pPr>
              <w:spacing w:line="440" w:lineRule="exact"/>
              <w:rPr>
                <w:rFonts w:hint="eastAsia" w:ascii="宋体" w:hAnsi="宋体" w:eastAsia="宋体" w:cs="宋体"/>
                <w:bCs/>
                <w:sz w:val="24"/>
                <w:szCs w:val="24"/>
              </w:rPr>
            </w:pPr>
            <w:r>
              <w:rPr>
                <w:rFonts w:hint="eastAsia" w:ascii="宋体" w:hAnsi="宋体" w:eastAsia="宋体" w:cs="宋体"/>
                <w:b/>
                <w:bCs/>
                <w:color w:val="FF0000"/>
                <w:kern w:val="0"/>
                <w:sz w:val="24"/>
                <w:szCs w:val="24"/>
                <w:lang w:val="en-US" w:eastAsia="zh-CN" w:bidi="ar"/>
              </w:rPr>
              <w:t>注：以上证书需在有效期内，提供复印件并加盖单位公章，未提供不得分。</w:t>
            </w:r>
          </w:p>
        </w:tc>
        <w:tc>
          <w:tcPr>
            <w:tcW w:w="450" w:type="pct"/>
            <w:shd w:val="clear" w:color="auto" w:fill="FFFFFF"/>
            <w:vAlign w:val="center"/>
          </w:tcPr>
          <w:p w14:paraId="7BCED810">
            <w:pPr>
              <w:spacing w:line="44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r>
      <w:tr w14:paraId="78B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33D85196">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693" w:type="pct"/>
            <w:shd w:val="clear" w:color="auto" w:fill="FFFFFF"/>
            <w:vAlign w:val="center"/>
          </w:tcPr>
          <w:p w14:paraId="149CFE7F">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类似业绩</w:t>
            </w:r>
          </w:p>
        </w:tc>
        <w:tc>
          <w:tcPr>
            <w:tcW w:w="3629" w:type="pct"/>
            <w:shd w:val="clear" w:color="auto" w:fill="FFFFFF"/>
            <w:vAlign w:val="center"/>
          </w:tcPr>
          <w:p w14:paraId="2E768845">
            <w:pPr>
              <w:spacing w:line="440" w:lineRule="exact"/>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2</w:t>
            </w:r>
            <w:r>
              <w:rPr>
                <w:rFonts w:hint="eastAsia" w:ascii="宋体" w:hAnsi="宋体" w:eastAsia="宋体" w:cs="宋体"/>
                <w:bCs/>
                <w:sz w:val="24"/>
                <w:szCs w:val="24"/>
              </w:rPr>
              <w:t>年1月1日以来投标人成功完成过的类似</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业绩案例的，每个案例得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0368D4F7">
            <w:pPr>
              <w:spacing w:line="440" w:lineRule="exact"/>
              <w:rPr>
                <w:rFonts w:hint="eastAsia" w:ascii="宋体" w:hAnsi="宋体" w:eastAsia="宋体" w:cs="宋体"/>
                <w:bCs/>
                <w:sz w:val="24"/>
                <w:szCs w:val="24"/>
                <w:highlight w:val="green"/>
              </w:rPr>
            </w:pPr>
            <w:r>
              <w:rPr>
                <w:rFonts w:hint="eastAsia" w:ascii="宋体" w:hAnsi="宋体" w:eastAsia="宋体" w:cs="宋体"/>
                <w:b/>
                <w:bCs/>
                <w:color w:val="FF0000"/>
                <w:kern w:val="0"/>
                <w:sz w:val="24"/>
                <w:szCs w:val="24"/>
                <w:lang w:val="en-US" w:eastAsia="zh-CN" w:bidi="ar"/>
              </w:rPr>
              <w:t>注：须同时提供业绩合同和中标通知书</w:t>
            </w:r>
            <w:r>
              <w:rPr>
                <w:rFonts w:hint="eastAsia" w:ascii="宋体" w:hAnsi="宋体" w:eastAsia="宋体" w:cs="宋体"/>
                <w:b/>
                <w:bCs/>
                <w:color w:val="FF0000"/>
                <w:kern w:val="0"/>
                <w:sz w:val="24"/>
                <w:szCs w:val="24"/>
                <w:lang w:val="en-GB" w:eastAsia="zh-CN" w:bidi="ar"/>
              </w:rPr>
              <w:t>扫描件</w:t>
            </w:r>
            <w:r>
              <w:rPr>
                <w:rFonts w:hint="eastAsia" w:ascii="宋体" w:hAnsi="宋体" w:cs="宋体"/>
                <w:b/>
                <w:bCs/>
                <w:color w:val="FF0000"/>
                <w:kern w:val="0"/>
                <w:sz w:val="24"/>
                <w:szCs w:val="24"/>
                <w:lang w:val="en-GB" w:eastAsia="zh-CN" w:bidi="ar"/>
              </w:rPr>
              <w:t>加盖</w:t>
            </w:r>
            <w:r>
              <w:rPr>
                <w:rFonts w:hint="eastAsia" w:ascii="宋体" w:hAnsi="宋体" w:eastAsia="宋体" w:cs="宋体"/>
                <w:b/>
                <w:bCs/>
                <w:color w:val="FF0000"/>
                <w:kern w:val="0"/>
                <w:sz w:val="24"/>
                <w:szCs w:val="24"/>
                <w:lang w:val="en-US" w:eastAsia="zh-CN" w:bidi="ar"/>
              </w:rPr>
              <w:t>公</w:t>
            </w:r>
            <w:r>
              <w:rPr>
                <w:rFonts w:hint="eastAsia" w:ascii="宋体" w:hAnsi="宋体" w:eastAsia="宋体" w:cs="宋体"/>
                <w:b/>
                <w:bCs/>
                <w:color w:val="FF0000"/>
                <w:kern w:val="0"/>
                <w:sz w:val="24"/>
                <w:szCs w:val="24"/>
                <w:lang w:val="en-GB" w:eastAsia="zh-CN" w:bidi="ar"/>
              </w:rPr>
              <w:t>章</w:t>
            </w:r>
            <w:r>
              <w:rPr>
                <w:rFonts w:hint="eastAsia" w:ascii="宋体" w:hAnsi="宋体" w:eastAsia="宋体" w:cs="宋体"/>
                <w:b/>
                <w:bCs/>
                <w:color w:val="FF0000"/>
                <w:kern w:val="0"/>
                <w:sz w:val="24"/>
                <w:szCs w:val="24"/>
                <w:lang w:val="en-GB" w:bidi="ar"/>
              </w:rPr>
              <w:t>，未提供不得分</w:t>
            </w:r>
            <w:r>
              <w:rPr>
                <w:rFonts w:hint="eastAsia" w:ascii="宋体" w:hAnsi="宋体" w:eastAsia="宋体" w:cs="宋体"/>
                <w:b/>
                <w:bCs/>
                <w:color w:val="FF0000"/>
                <w:kern w:val="0"/>
                <w:sz w:val="24"/>
                <w:szCs w:val="24"/>
                <w:lang w:val="en-GB" w:eastAsia="zh-CN" w:bidi="ar"/>
              </w:rPr>
              <w:t>。</w:t>
            </w:r>
          </w:p>
        </w:tc>
        <w:tc>
          <w:tcPr>
            <w:tcW w:w="450" w:type="pct"/>
            <w:shd w:val="clear" w:color="auto" w:fill="FFFFFF"/>
            <w:vAlign w:val="center"/>
          </w:tcPr>
          <w:p w14:paraId="72FBFED8">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r>
      <w:tr w14:paraId="7E2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0" w:hRule="atLeast"/>
          <w:jc w:val="center"/>
        </w:trPr>
        <w:tc>
          <w:tcPr>
            <w:tcW w:w="225" w:type="pct"/>
            <w:shd w:val="clear" w:color="auto" w:fill="FFFFFF"/>
            <w:vAlign w:val="center"/>
          </w:tcPr>
          <w:p w14:paraId="40F088CC">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693" w:type="pct"/>
            <w:shd w:val="clear" w:color="auto" w:fill="FFFFFF"/>
            <w:vAlign w:val="center"/>
          </w:tcPr>
          <w:p w14:paraId="2488A4CB">
            <w:pPr>
              <w:spacing w:line="4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拟投入本项目的班组成员情况</w:t>
            </w:r>
          </w:p>
        </w:tc>
        <w:tc>
          <w:tcPr>
            <w:tcW w:w="3629" w:type="pct"/>
            <w:shd w:val="clear" w:color="auto" w:fill="FFFFFF"/>
            <w:vAlign w:val="center"/>
          </w:tcPr>
          <w:p w14:paraId="3EA0CB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1、</w:t>
            </w:r>
            <w:r>
              <w:rPr>
                <w:rFonts w:hint="eastAsia" w:ascii="宋体" w:hAnsi="宋体" w:cs="仿宋_GB2312"/>
                <w:b/>
                <w:bCs/>
                <w:color w:val="auto"/>
                <w:sz w:val="24"/>
              </w:rPr>
              <w:t>项目经理：</w:t>
            </w:r>
          </w:p>
          <w:p w14:paraId="466DD6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拟担任本项目项目经理</w:t>
            </w:r>
            <w:r>
              <w:rPr>
                <w:rFonts w:hint="eastAsia" w:ascii="宋体" w:hAnsi="宋体" w:eastAsia="宋体" w:cs="仿宋_GB2312"/>
                <w:color w:val="auto"/>
                <w:sz w:val="24"/>
              </w:rPr>
              <w:t>具有</w:t>
            </w:r>
            <w:r>
              <w:rPr>
                <w:rFonts w:hint="eastAsia" w:ascii="宋体" w:hAnsi="宋体" w:eastAsia="宋体" w:cs="仿宋_GB2312"/>
                <w:color w:val="auto"/>
                <w:sz w:val="24"/>
                <w:lang w:val="en-US" w:eastAsia="zh-CN"/>
              </w:rPr>
              <w:t>高级工程师（信息技术）认证证书和</w:t>
            </w:r>
            <w:r>
              <w:rPr>
                <w:rFonts w:hint="eastAsia" w:ascii="宋体" w:hAnsi="宋体" w:eastAsia="宋体" w:cs="仿宋_GB2312"/>
                <w:color w:val="auto"/>
                <w:sz w:val="24"/>
              </w:rPr>
              <w:t>信息系统项目管理师证书</w:t>
            </w:r>
            <w:r>
              <w:rPr>
                <w:rFonts w:hint="eastAsia" w:ascii="宋体" w:hAnsi="宋体" w:cs="仿宋_GB2312"/>
                <w:color w:val="auto"/>
                <w:sz w:val="24"/>
              </w:rPr>
              <w:t>，每满足一项得1分，最</w:t>
            </w:r>
            <w:r>
              <w:rPr>
                <w:rFonts w:hint="eastAsia" w:ascii="宋体" w:hAnsi="宋体" w:cs="仿宋_GB2312"/>
                <w:color w:val="auto"/>
                <w:sz w:val="24"/>
                <w:lang w:val="en-US" w:eastAsia="zh-CN"/>
              </w:rPr>
              <w:t>高</w:t>
            </w:r>
            <w:r>
              <w:rPr>
                <w:rFonts w:hint="eastAsia" w:ascii="宋体" w:hAnsi="宋体" w:cs="仿宋_GB2312"/>
                <w:color w:val="auto"/>
                <w:sz w:val="24"/>
              </w:rPr>
              <w:t>得</w:t>
            </w:r>
            <w:r>
              <w:rPr>
                <w:rFonts w:hint="eastAsia" w:ascii="宋体" w:hAnsi="宋体" w:cs="仿宋_GB2312"/>
                <w:color w:val="auto"/>
                <w:sz w:val="24"/>
                <w:lang w:val="en-US" w:eastAsia="zh-CN"/>
              </w:rPr>
              <w:t>2</w:t>
            </w:r>
            <w:r>
              <w:rPr>
                <w:rFonts w:hint="eastAsia" w:ascii="宋体" w:hAnsi="宋体" w:cs="仿宋_GB2312"/>
                <w:color w:val="auto"/>
                <w:sz w:val="24"/>
              </w:rPr>
              <w:t>分，没有不得分。</w:t>
            </w:r>
          </w:p>
          <w:p w14:paraId="00BD3D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2、</w:t>
            </w:r>
            <w:r>
              <w:rPr>
                <w:rFonts w:hint="eastAsia" w:ascii="宋体" w:hAnsi="宋体" w:cs="仿宋_GB2312"/>
                <w:b/>
                <w:bCs/>
                <w:color w:val="auto"/>
                <w:sz w:val="24"/>
              </w:rPr>
              <w:t>技术负责人：</w:t>
            </w:r>
          </w:p>
          <w:p w14:paraId="11E5FF3F">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bCs/>
                <w:sz w:val="24"/>
                <w:szCs w:val="24"/>
                <w:lang w:val="en-US" w:eastAsia="zh-CN"/>
              </w:rPr>
            </w:pPr>
            <w:r>
              <w:rPr>
                <w:rFonts w:hint="eastAsia" w:ascii="宋体" w:hAnsi="宋体" w:cs="仿宋_GB2312"/>
                <w:color w:val="auto"/>
                <w:sz w:val="24"/>
              </w:rPr>
              <w:t>拟担任本项目</w:t>
            </w:r>
            <w:r>
              <w:rPr>
                <w:rFonts w:hint="eastAsia" w:ascii="宋体" w:hAnsi="宋体" w:cs="仿宋_GB2312"/>
                <w:color w:val="auto"/>
                <w:sz w:val="24"/>
                <w:lang w:val="en-US" w:eastAsia="zh-CN"/>
              </w:rPr>
              <w:t>技术负责人</w:t>
            </w:r>
            <w:r>
              <w:rPr>
                <w:rFonts w:hint="eastAsia" w:ascii="宋体" w:hAnsi="宋体" w:eastAsia="宋体" w:cs="仿宋_GB2312"/>
                <w:color w:val="auto"/>
                <w:sz w:val="24"/>
                <w:lang w:val="en-US" w:eastAsia="zh-CN"/>
              </w:rPr>
              <w:t>具有高级工程师（系统集成方向）认证证书和信息系统项目管理师证书</w:t>
            </w:r>
            <w:r>
              <w:rPr>
                <w:rFonts w:hint="eastAsia" w:ascii="宋体" w:hAnsi="宋体" w:cs="仿宋_GB2312"/>
                <w:color w:val="auto"/>
                <w:sz w:val="24"/>
              </w:rPr>
              <w:t>的得</w:t>
            </w:r>
            <w:r>
              <w:rPr>
                <w:rFonts w:hint="eastAsia" w:ascii="宋体" w:hAnsi="宋体" w:cs="仿宋_GB2312"/>
                <w:color w:val="auto"/>
                <w:sz w:val="24"/>
                <w:lang w:val="en-US" w:eastAsia="zh-CN"/>
              </w:rPr>
              <w:t>2</w:t>
            </w:r>
            <w:r>
              <w:rPr>
                <w:rFonts w:hint="eastAsia" w:ascii="宋体" w:hAnsi="宋体" w:cs="仿宋_GB2312"/>
                <w:color w:val="auto"/>
                <w:sz w:val="24"/>
              </w:rPr>
              <w:t>分，每满足一项得1分，</w:t>
            </w:r>
            <w:r>
              <w:rPr>
                <w:rFonts w:hint="eastAsia" w:ascii="宋体" w:hAnsi="宋体" w:eastAsia="宋体" w:cs="宋体"/>
                <w:bCs/>
                <w:sz w:val="24"/>
                <w:szCs w:val="24"/>
                <w:lang w:eastAsia="zh-CN"/>
              </w:rPr>
              <w:t>最高得</w:t>
            </w:r>
            <w:r>
              <w:rPr>
                <w:rFonts w:hint="eastAsia" w:ascii="宋体" w:hAnsi="宋体" w:eastAsia="宋体" w:cs="宋体"/>
                <w:bCs/>
                <w:sz w:val="24"/>
                <w:szCs w:val="24"/>
                <w:lang w:val="en-US" w:eastAsia="zh-CN"/>
              </w:rPr>
              <w:t>2分。</w:t>
            </w:r>
          </w:p>
          <w:p w14:paraId="381127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3、</w:t>
            </w:r>
            <w:r>
              <w:rPr>
                <w:rFonts w:hint="eastAsia" w:ascii="宋体" w:hAnsi="宋体" w:cs="仿宋_GB2312"/>
                <w:b/>
                <w:bCs/>
                <w:color w:val="auto"/>
                <w:sz w:val="24"/>
              </w:rPr>
              <w:t>项目团队成员（除项目经理/项目负责人外）：</w:t>
            </w:r>
          </w:p>
          <w:p w14:paraId="212BD2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有2</w:t>
            </w:r>
            <w:r>
              <w:rPr>
                <w:rFonts w:ascii="宋体" w:hAnsi="宋体" w:cs="仿宋_GB2312"/>
                <w:color w:val="auto"/>
                <w:sz w:val="24"/>
              </w:rPr>
              <w:t>名及以上具有</w:t>
            </w:r>
            <w:r>
              <w:rPr>
                <w:rFonts w:hint="eastAsia" w:ascii="宋体" w:hAnsi="宋体" w:eastAsia="宋体" w:cs="仿宋_GB2312"/>
                <w:color w:val="auto"/>
                <w:sz w:val="24"/>
                <w:lang w:val="en-US" w:eastAsia="zh-CN"/>
              </w:rPr>
              <w:t>低压电工作业证书</w:t>
            </w:r>
            <w:r>
              <w:rPr>
                <w:rFonts w:hint="eastAsia" w:ascii="宋体" w:hAnsi="宋体" w:cs="仿宋_GB2312"/>
                <w:color w:val="auto"/>
                <w:sz w:val="24"/>
                <w:lang w:val="en-US" w:eastAsia="zh-CN"/>
              </w:rPr>
              <w:t>得1</w:t>
            </w:r>
            <w:r>
              <w:rPr>
                <w:rFonts w:ascii="宋体" w:hAnsi="宋体" w:cs="仿宋_GB2312"/>
                <w:color w:val="auto"/>
                <w:sz w:val="24"/>
              </w:rPr>
              <w:t>分。</w:t>
            </w:r>
          </w:p>
          <w:p w14:paraId="69DB2D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ascii="宋体" w:hAnsi="宋体" w:cs="仿宋_GB2312"/>
                <w:color w:val="auto"/>
                <w:sz w:val="24"/>
              </w:rPr>
              <w:t>有</w:t>
            </w:r>
            <w:r>
              <w:rPr>
                <w:rFonts w:hint="eastAsia" w:ascii="宋体" w:hAnsi="宋体" w:cs="仿宋_GB2312"/>
                <w:color w:val="auto"/>
                <w:sz w:val="24"/>
                <w:lang w:val="en-US" w:eastAsia="zh-CN"/>
              </w:rPr>
              <w:t>2</w:t>
            </w:r>
            <w:r>
              <w:rPr>
                <w:rFonts w:ascii="宋体" w:hAnsi="宋体" w:cs="仿宋_GB2312"/>
                <w:color w:val="auto"/>
                <w:sz w:val="24"/>
              </w:rPr>
              <w:t>名及以上具有</w:t>
            </w:r>
            <w:r>
              <w:rPr>
                <w:rFonts w:hint="eastAsia" w:ascii="宋体" w:hAnsi="宋体" w:eastAsia="宋体" w:cs="仿宋_GB2312"/>
                <w:color w:val="auto"/>
                <w:sz w:val="24"/>
                <w:lang w:val="en-US" w:eastAsia="zh-CN"/>
              </w:rPr>
              <w:t>高级工程师认证证书</w:t>
            </w:r>
            <w:r>
              <w:rPr>
                <w:rFonts w:ascii="宋体" w:hAnsi="宋体" w:cs="仿宋_GB2312"/>
                <w:color w:val="auto"/>
                <w:sz w:val="24"/>
              </w:rPr>
              <w:t>得</w:t>
            </w:r>
            <w:r>
              <w:rPr>
                <w:rFonts w:hint="eastAsia" w:ascii="宋体" w:hAnsi="宋体" w:cs="仿宋_GB2312"/>
                <w:color w:val="auto"/>
                <w:sz w:val="24"/>
                <w:lang w:val="en-US" w:eastAsia="zh-CN"/>
              </w:rPr>
              <w:t>1</w:t>
            </w:r>
            <w:r>
              <w:rPr>
                <w:rFonts w:ascii="宋体" w:hAnsi="宋体" w:cs="仿宋_GB2312"/>
                <w:color w:val="auto"/>
                <w:sz w:val="24"/>
              </w:rPr>
              <w:t>分</w:t>
            </w:r>
            <w:r>
              <w:rPr>
                <w:rFonts w:hint="eastAsia" w:ascii="宋体" w:hAnsi="宋体" w:cs="仿宋_GB2312"/>
                <w:color w:val="auto"/>
                <w:sz w:val="24"/>
              </w:rPr>
              <w:t>。</w:t>
            </w:r>
          </w:p>
          <w:p w14:paraId="41F7D5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本项最高得</w:t>
            </w:r>
            <w:r>
              <w:rPr>
                <w:rFonts w:hint="eastAsia" w:ascii="宋体" w:hAnsi="宋体" w:cs="仿宋_GB2312"/>
                <w:color w:val="auto"/>
                <w:sz w:val="24"/>
                <w:lang w:val="en-US" w:eastAsia="zh-CN"/>
              </w:rPr>
              <w:t>2</w:t>
            </w:r>
            <w:r>
              <w:rPr>
                <w:rFonts w:hint="eastAsia" w:ascii="宋体" w:hAnsi="宋体" w:cs="仿宋_GB2312"/>
                <w:color w:val="auto"/>
                <w:sz w:val="24"/>
              </w:rPr>
              <w:t>分。</w:t>
            </w:r>
          </w:p>
          <w:p w14:paraId="640BACD5">
            <w:pPr>
              <w:snapToGrid w:val="0"/>
              <w:spacing w:line="440" w:lineRule="exact"/>
              <w:jc w:val="left"/>
              <w:rPr>
                <w:rFonts w:hint="eastAsia" w:ascii="宋体" w:hAnsi="宋体" w:eastAsia="宋体" w:cs="宋体"/>
                <w:b w:val="0"/>
                <w:bCs/>
                <w:sz w:val="24"/>
                <w:szCs w:val="24"/>
              </w:rPr>
            </w:pPr>
            <w:r>
              <w:rPr>
                <w:rFonts w:hint="eastAsia" w:ascii="宋体" w:hAnsi="宋体" w:eastAsia="宋体" w:cs="宋体"/>
                <w:b/>
                <w:bCs w:val="0"/>
                <w:color w:val="FF0000"/>
                <w:kern w:val="0"/>
                <w:sz w:val="24"/>
                <w:szCs w:val="24"/>
                <w:lang w:val="en-GB" w:eastAsia="zh-CN" w:bidi="ar"/>
              </w:rPr>
              <w:t>注：须提供职称证书、特种作业证书及近三个月社保证明材料扫描件并加盖</w:t>
            </w:r>
            <w:r>
              <w:rPr>
                <w:rFonts w:hint="eastAsia" w:ascii="宋体" w:hAnsi="宋体" w:eastAsia="宋体" w:cs="宋体"/>
                <w:b/>
                <w:bCs w:val="0"/>
                <w:color w:val="FF0000"/>
                <w:kern w:val="0"/>
                <w:sz w:val="24"/>
                <w:szCs w:val="24"/>
                <w:lang w:val="en-US" w:eastAsia="zh-CN" w:bidi="ar"/>
              </w:rPr>
              <w:t>公</w:t>
            </w:r>
            <w:r>
              <w:rPr>
                <w:rFonts w:hint="eastAsia" w:ascii="宋体" w:hAnsi="宋体" w:eastAsia="宋体" w:cs="宋体"/>
                <w:b/>
                <w:bCs w:val="0"/>
                <w:color w:val="FF0000"/>
                <w:kern w:val="0"/>
                <w:sz w:val="24"/>
                <w:szCs w:val="24"/>
                <w:lang w:val="en-GB" w:eastAsia="zh-CN" w:bidi="ar"/>
              </w:rPr>
              <w:t>章，未提供不得分。</w:t>
            </w:r>
          </w:p>
        </w:tc>
        <w:tc>
          <w:tcPr>
            <w:tcW w:w="450" w:type="pct"/>
            <w:shd w:val="clear" w:color="auto" w:fill="FFFFFF"/>
            <w:vAlign w:val="center"/>
          </w:tcPr>
          <w:p w14:paraId="240286E1">
            <w:pPr>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r>
      <w:tr w14:paraId="0869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833" w:hRule="atLeast"/>
          <w:jc w:val="center"/>
        </w:trPr>
        <w:tc>
          <w:tcPr>
            <w:tcW w:w="225" w:type="pct"/>
            <w:shd w:val="clear" w:color="auto" w:fill="FFFFFF"/>
            <w:vAlign w:val="center"/>
          </w:tcPr>
          <w:p w14:paraId="08D99D62">
            <w:pPr>
              <w:snapToGrid w:val="0"/>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693" w:type="pct"/>
            <w:shd w:val="clear" w:color="auto" w:fill="FFFFFF"/>
            <w:vAlign w:val="center"/>
          </w:tcPr>
          <w:p w14:paraId="5D4329F9">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拟投入本项目设备</w:t>
            </w:r>
          </w:p>
        </w:tc>
        <w:tc>
          <w:tcPr>
            <w:tcW w:w="3629" w:type="pct"/>
            <w:shd w:val="clear" w:color="auto" w:fill="FFFFFF"/>
            <w:vAlign w:val="center"/>
          </w:tcPr>
          <w:p w14:paraId="21CFA305">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投标人的运维设备、售后运维车辆（须为运维专用车辆，能够随车带梯子、工具等备件的工程车或面包车）配备1辆得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分，最高得4分；</w:t>
            </w:r>
          </w:p>
          <w:p w14:paraId="2E606AD7">
            <w:pPr>
              <w:pStyle w:val="7"/>
              <w:keepNext/>
              <w:keepLines/>
              <w:pageBreakBefore w:val="0"/>
              <w:widowControl/>
              <w:tabs>
                <w:tab w:val="left" w:pos="1440"/>
              </w:tabs>
              <w:kinsoku/>
              <w:wordWrap/>
              <w:overflowPunct/>
              <w:topLinePunct w:val="0"/>
              <w:autoSpaceDE/>
              <w:autoSpaceDN/>
              <w:bidi w:val="0"/>
              <w:adjustRightInd/>
              <w:snapToGrid/>
              <w:spacing w:line="360" w:lineRule="auto"/>
              <w:ind w:left="1151" w:hanging="1151"/>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FF0000"/>
                <w:kern w:val="0"/>
                <w:sz w:val="24"/>
                <w:szCs w:val="24"/>
                <w:lang w:val="en-GB" w:eastAsia="zh-CN" w:bidi="ar"/>
              </w:rPr>
              <w:t>注：须提供相关设备车辆行驶证（投标人名下），以上证明资料扫描件加</w:t>
            </w:r>
            <w:r>
              <w:rPr>
                <w:rFonts w:hint="eastAsia" w:ascii="宋体" w:hAnsi="宋体" w:eastAsia="宋体" w:cs="宋体"/>
                <w:b/>
                <w:bCs w:val="0"/>
                <w:color w:val="FF0000"/>
                <w:kern w:val="0"/>
                <w:sz w:val="24"/>
                <w:szCs w:val="24"/>
                <w:lang w:val="en-GB" w:eastAsia="zh-CN" w:bidi="ar"/>
              </w:rPr>
              <w:t>盖</w:t>
            </w:r>
            <w:r>
              <w:rPr>
                <w:rFonts w:hint="eastAsia" w:ascii="宋体" w:hAnsi="宋体" w:eastAsia="宋体" w:cs="宋体"/>
                <w:b/>
                <w:bCs w:val="0"/>
                <w:color w:val="FF0000"/>
                <w:kern w:val="0"/>
                <w:sz w:val="24"/>
                <w:szCs w:val="24"/>
                <w:lang w:val="en-US" w:eastAsia="zh-CN" w:bidi="ar"/>
              </w:rPr>
              <w:t>公</w:t>
            </w:r>
            <w:r>
              <w:rPr>
                <w:rFonts w:hint="eastAsia" w:ascii="宋体" w:hAnsi="宋体" w:eastAsia="宋体" w:cs="宋体"/>
                <w:b/>
                <w:bCs/>
                <w:color w:val="FF0000"/>
                <w:kern w:val="0"/>
                <w:sz w:val="24"/>
                <w:szCs w:val="24"/>
                <w:lang w:val="en-GB" w:eastAsia="zh-CN" w:bidi="ar"/>
              </w:rPr>
              <w:t>章，未提供不得分。</w:t>
            </w:r>
          </w:p>
        </w:tc>
        <w:tc>
          <w:tcPr>
            <w:tcW w:w="450" w:type="pct"/>
            <w:shd w:val="clear" w:color="auto" w:fill="FFFFFF"/>
            <w:vAlign w:val="center"/>
          </w:tcPr>
          <w:p w14:paraId="2AAC93A9">
            <w:pPr>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r>
      <w:tr w14:paraId="38D9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57D489D5">
            <w:pPr>
              <w:snapToGrid w:val="0"/>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693" w:type="pct"/>
            <w:shd w:val="clear" w:color="auto" w:fill="FFFFFF"/>
            <w:vAlign w:val="center"/>
          </w:tcPr>
          <w:p w14:paraId="1C48E1AD">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实施方案</w:t>
            </w:r>
          </w:p>
        </w:tc>
        <w:tc>
          <w:tcPr>
            <w:tcW w:w="3629" w:type="pct"/>
            <w:shd w:val="clear" w:color="auto" w:fill="FFFFFF"/>
            <w:vAlign w:val="center"/>
          </w:tcPr>
          <w:p w14:paraId="6AB9FABF">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质量保证措施：投标人供货的质量、供货的方案、可靠性及技术保障的措施（</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54B633DC">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工期保证措施：投标人对供货时间、工程进度的控制、对进度影响因素考虑周全程度和响应程度等措施（</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tc>
        <w:tc>
          <w:tcPr>
            <w:tcW w:w="450" w:type="pct"/>
            <w:shd w:val="clear" w:color="auto" w:fill="FFFFFF"/>
            <w:vAlign w:val="center"/>
          </w:tcPr>
          <w:p w14:paraId="77F3B91E">
            <w:pPr>
              <w:spacing w:line="44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6</w:t>
            </w:r>
          </w:p>
        </w:tc>
      </w:tr>
      <w:tr w14:paraId="12C4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vMerge w:val="restart"/>
            <w:shd w:val="clear" w:color="auto" w:fill="FFFFFF"/>
            <w:vAlign w:val="center"/>
          </w:tcPr>
          <w:p w14:paraId="3330CCC5">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693" w:type="pct"/>
            <w:vMerge w:val="restart"/>
            <w:shd w:val="clear" w:color="auto" w:fill="FFFFFF"/>
            <w:vAlign w:val="center"/>
          </w:tcPr>
          <w:p w14:paraId="45BE9E39">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总体设计情况</w:t>
            </w:r>
          </w:p>
        </w:tc>
        <w:tc>
          <w:tcPr>
            <w:tcW w:w="3629" w:type="pct"/>
            <w:shd w:val="clear" w:color="auto" w:fill="FFFFFF"/>
            <w:vAlign w:val="center"/>
          </w:tcPr>
          <w:p w14:paraId="530ECFDE">
            <w:pPr>
              <w:snapToGrid w:val="0"/>
              <w:spacing w:line="440" w:lineRule="exact"/>
              <w:jc w:val="left"/>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t>为保证</w:t>
            </w:r>
            <w:r>
              <w:rPr>
                <w:rFonts w:hint="eastAsia" w:ascii="宋体" w:hAnsi="宋体" w:cs="宋体"/>
                <w:bCs/>
                <w:sz w:val="24"/>
                <w:szCs w:val="24"/>
                <w:highlight w:val="none"/>
                <w:lang w:val="en-US" w:eastAsia="zh-CN"/>
              </w:rPr>
              <w:t>项目的完整实施根据投标人现场勘察提供杀虫灯安装点位图，提供全面、详细、准确的得4分，一般得1分 、不提供不得分。</w:t>
            </w:r>
          </w:p>
          <w:p w14:paraId="3BF948CB">
            <w:pPr>
              <w:snapToGrid w:val="0"/>
              <w:spacing w:line="440" w:lineRule="exact"/>
              <w:jc w:val="lef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提供智能虫情测报站安装点位图，根据点位设置得准确性有效性评分，准确有效得4分，一般得1分，不提供不得分 。</w:t>
            </w:r>
          </w:p>
        </w:tc>
        <w:tc>
          <w:tcPr>
            <w:tcW w:w="450" w:type="pct"/>
            <w:shd w:val="clear" w:color="auto" w:fill="FFFFFF"/>
            <w:vAlign w:val="center"/>
          </w:tcPr>
          <w:p w14:paraId="54760C75">
            <w:pPr>
              <w:spacing w:line="4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8</w:t>
            </w:r>
          </w:p>
        </w:tc>
      </w:tr>
      <w:tr w14:paraId="03BD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25" w:type="pct"/>
            <w:vMerge w:val="continue"/>
            <w:shd w:val="clear" w:color="auto" w:fill="FFFFFF"/>
            <w:vAlign w:val="center"/>
          </w:tcPr>
          <w:p w14:paraId="5DCDB9E0">
            <w:pPr>
              <w:spacing w:line="440" w:lineRule="exact"/>
              <w:jc w:val="center"/>
              <w:rPr>
                <w:rFonts w:hint="eastAsia" w:ascii="宋体" w:hAnsi="宋体" w:eastAsia="宋体" w:cs="宋体"/>
                <w:bCs/>
                <w:sz w:val="24"/>
                <w:szCs w:val="24"/>
                <w:highlight w:val="none"/>
              </w:rPr>
            </w:pPr>
          </w:p>
        </w:tc>
        <w:tc>
          <w:tcPr>
            <w:tcW w:w="693" w:type="pct"/>
            <w:vMerge w:val="continue"/>
            <w:shd w:val="clear" w:color="auto" w:fill="FFFFFF"/>
            <w:vAlign w:val="center"/>
          </w:tcPr>
          <w:p w14:paraId="66C1D06C">
            <w:pPr>
              <w:spacing w:line="440" w:lineRule="exact"/>
              <w:jc w:val="center"/>
              <w:rPr>
                <w:rFonts w:hint="eastAsia" w:ascii="宋体" w:hAnsi="宋体" w:eastAsia="宋体" w:cs="宋体"/>
                <w:bCs/>
                <w:sz w:val="24"/>
                <w:szCs w:val="24"/>
                <w:highlight w:val="none"/>
              </w:rPr>
            </w:pPr>
          </w:p>
        </w:tc>
        <w:tc>
          <w:tcPr>
            <w:tcW w:w="3629" w:type="pct"/>
            <w:shd w:val="clear" w:color="auto" w:fill="FFFFFF"/>
            <w:vAlign w:val="center"/>
          </w:tcPr>
          <w:p w14:paraId="49DFACA7">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根据投标</w:t>
            </w:r>
            <w:r>
              <w:rPr>
                <w:rFonts w:hint="eastAsia" w:ascii="宋体" w:hAnsi="宋体" w:cs="宋体"/>
                <w:bCs/>
                <w:sz w:val="24"/>
                <w:szCs w:val="24"/>
                <w:highlight w:val="none"/>
                <w:lang w:val="en-US" w:eastAsia="zh-CN"/>
              </w:rPr>
              <w:t>人</w:t>
            </w:r>
            <w:r>
              <w:rPr>
                <w:rFonts w:hint="eastAsia" w:ascii="宋体" w:hAnsi="宋体" w:eastAsia="宋体" w:cs="宋体"/>
                <w:bCs/>
                <w:sz w:val="24"/>
                <w:szCs w:val="24"/>
                <w:highlight w:val="none"/>
                <w:lang w:val="en-US" w:eastAsia="zh-CN"/>
              </w:rPr>
              <w:t>通过现场踏勘，提供</w:t>
            </w:r>
            <w:r>
              <w:rPr>
                <w:rFonts w:hint="eastAsia" w:ascii="宋体" w:hAnsi="宋体" w:cs="宋体"/>
                <w:bCs/>
                <w:sz w:val="24"/>
                <w:szCs w:val="24"/>
                <w:highlight w:val="none"/>
                <w:lang w:val="en-US" w:eastAsia="zh-CN"/>
              </w:rPr>
              <w:t>杀虫灯现场安装</w:t>
            </w:r>
            <w:r>
              <w:rPr>
                <w:rFonts w:hint="eastAsia" w:ascii="宋体" w:hAnsi="宋体" w:eastAsia="宋体" w:cs="宋体"/>
                <w:bCs/>
                <w:sz w:val="24"/>
                <w:szCs w:val="24"/>
                <w:highlight w:val="none"/>
                <w:lang w:val="en-US" w:eastAsia="zh-CN"/>
              </w:rPr>
              <w:t>效果图、</w:t>
            </w:r>
            <w:r>
              <w:rPr>
                <w:rFonts w:hint="eastAsia" w:ascii="宋体" w:hAnsi="宋体" w:cs="宋体"/>
                <w:bCs/>
                <w:sz w:val="24"/>
                <w:szCs w:val="24"/>
                <w:highlight w:val="none"/>
                <w:lang w:val="en-US" w:eastAsia="zh-CN"/>
              </w:rPr>
              <w:t>和智能虫情测报站</w:t>
            </w:r>
            <w:r>
              <w:rPr>
                <w:rFonts w:hint="eastAsia" w:ascii="宋体" w:hAnsi="宋体" w:eastAsia="宋体" w:cs="宋体"/>
                <w:bCs/>
                <w:sz w:val="24"/>
                <w:szCs w:val="24"/>
                <w:highlight w:val="none"/>
                <w:lang w:val="en-US" w:eastAsia="zh-CN"/>
              </w:rPr>
              <w:t>效果图，根据提供资料的详细科学合理性进行评分。（0-6）。</w:t>
            </w:r>
          </w:p>
        </w:tc>
        <w:tc>
          <w:tcPr>
            <w:tcW w:w="450" w:type="pct"/>
            <w:shd w:val="clear" w:color="auto" w:fill="FFFFFF"/>
            <w:vAlign w:val="center"/>
          </w:tcPr>
          <w:p w14:paraId="46EEFB2C">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r>
      <w:tr w14:paraId="760D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07087CAF">
            <w:pPr>
              <w:spacing w:line="44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9</w:t>
            </w:r>
          </w:p>
        </w:tc>
        <w:tc>
          <w:tcPr>
            <w:tcW w:w="693" w:type="pct"/>
            <w:shd w:val="clear" w:color="auto" w:fill="FFFFFF"/>
            <w:vAlign w:val="center"/>
          </w:tcPr>
          <w:p w14:paraId="68BD9619">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售后服务</w:t>
            </w:r>
          </w:p>
        </w:tc>
        <w:tc>
          <w:tcPr>
            <w:tcW w:w="3629" w:type="pct"/>
            <w:shd w:val="clear" w:color="auto" w:fill="FFFFFF"/>
            <w:vAlign w:val="center"/>
          </w:tcPr>
          <w:p w14:paraId="3094D58B">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投标人的</w:t>
            </w:r>
            <w:r>
              <w:rPr>
                <w:rFonts w:hint="eastAsia" w:ascii="宋体" w:hAnsi="宋体" w:eastAsia="宋体" w:cs="宋体"/>
                <w:sz w:val="24"/>
                <w:szCs w:val="24"/>
                <w:highlight w:val="none"/>
              </w:rPr>
              <w:t>售后服务承诺的可行性、完整性和可操作性</w:t>
            </w: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售后服务方案（包括售后服务流程、应急服务能力、故障响应处理、售后服务方式、售后技术支持能力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本地化服务能力、服务设施设备</w:t>
            </w:r>
            <w:r>
              <w:rPr>
                <w:rFonts w:hint="eastAsia" w:ascii="宋体" w:hAnsi="宋体" w:eastAsia="宋体" w:cs="宋体"/>
                <w:sz w:val="24"/>
                <w:szCs w:val="24"/>
                <w:highlight w:val="none"/>
              </w:rPr>
              <w:t>等）情况进行评审。（0-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lang w:val="en-GB" w:eastAsia="zh-CN"/>
              </w:rPr>
              <w:t>。</w:t>
            </w:r>
          </w:p>
        </w:tc>
        <w:tc>
          <w:tcPr>
            <w:tcW w:w="450" w:type="pct"/>
            <w:shd w:val="clear" w:color="auto" w:fill="FFFFFF"/>
            <w:vAlign w:val="center"/>
          </w:tcPr>
          <w:p w14:paraId="71257089">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r>
      <w:tr w14:paraId="16A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351558F5">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693" w:type="pct"/>
            <w:shd w:val="clear" w:color="auto" w:fill="FFFFFF"/>
            <w:vAlign w:val="center"/>
          </w:tcPr>
          <w:p w14:paraId="6EDBDC08">
            <w:pPr>
              <w:spacing w:line="440" w:lineRule="exact"/>
              <w:rPr>
                <w:rFonts w:hint="eastAsia" w:ascii="宋体" w:hAnsi="宋体" w:eastAsia="宋体" w:cs="宋体"/>
                <w:bCs/>
                <w:sz w:val="24"/>
                <w:szCs w:val="24"/>
                <w:highlight w:val="none"/>
                <w:lang w:val="en-US" w:eastAsia="zh-CN"/>
              </w:rPr>
            </w:pPr>
            <w:r>
              <w:rPr>
                <w:rFonts w:hint="eastAsia" w:ascii="宋体" w:hAnsi="宋体" w:cs="宋体"/>
                <w:sz w:val="24"/>
                <w:lang w:bidi="ar"/>
              </w:rPr>
              <w:t>数据融合获取</w:t>
            </w:r>
          </w:p>
        </w:tc>
        <w:tc>
          <w:tcPr>
            <w:tcW w:w="3629" w:type="pct"/>
            <w:shd w:val="clear" w:color="auto" w:fill="FFFFFF"/>
            <w:vAlign w:val="center"/>
          </w:tcPr>
          <w:p w14:paraId="70577928">
            <w:pPr>
              <w:widowControl/>
              <w:spacing w:line="360" w:lineRule="auto"/>
              <w:jc w:val="left"/>
              <w:rPr>
                <w:rFonts w:ascii="宋体" w:hAnsi="宋体" w:cs="宋体"/>
                <w:color w:val="auto"/>
                <w:sz w:val="24"/>
                <w:lang w:bidi="ar"/>
              </w:rPr>
            </w:pPr>
            <w:r>
              <w:rPr>
                <w:rFonts w:hint="eastAsia" w:ascii="宋体" w:hAnsi="宋体" w:cs="宋体"/>
                <w:color w:val="auto"/>
                <w:sz w:val="24"/>
                <w:lang w:bidi="ar"/>
              </w:rPr>
              <w:t>数据资源整合和本地化数据利用的能力，遵循《浙江省数字三农协同应用平台基础数据归集规范（〔2021〕1号）》要求与数据融合共享原则，根据《浙江省农业农村厅办公室关于做好“浙江乡村大脑”全省贯通工作的通知》、浙江省农田建设要求等，充分与浙江省农业体系现有系统对接共享，包括浙江乡村大脑（浙江省数字三农协同应用平台）、浙农田、杭州市乡村大脑工作台、淳安县一体化智能化公共数据平台等对接，具有对接能力的，对接一个得2分，最高得6分。</w:t>
            </w:r>
          </w:p>
          <w:p w14:paraId="47DC62A9">
            <w:pPr>
              <w:spacing w:line="360" w:lineRule="auto"/>
              <w:rPr>
                <w:rFonts w:hint="eastAsia" w:ascii="宋体" w:hAnsi="宋体" w:eastAsia="宋体" w:cs="宋体"/>
                <w:sz w:val="24"/>
                <w:szCs w:val="24"/>
                <w:highlight w:val="none"/>
              </w:rPr>
            </w:pPr>
            <w:r>
              <w:rPr>
                <w:rFonts w:hint="eastAsia" w:ascii="宋体" w:hAnsi="宋体" w:cs="宋体"/>
                <w:b/>
                <w:bCs/>
                <w:color w:val="auto"/>
                <w:sz w:val="24"/>
                <w:lang w:bidi="ar"/>
              </w:rPr>
              <w:t>注：须提供相关数据对接证明材料复印件，不提供不得分。</w:t>
            </w:r>
          </w:p>
        </w:tc>
        <w:tc>
          <w:tcPr>
            <w:tcW w:w="450" w:type="pct"/>
            <w:shd w:val="clear" w:color="auto" w:fill="FFFFFF"/>
            <w:vAlign w:val="center"/>
          </w:tcPr>
          <w:p w14:paraId="2EE572AD">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r>
      <w:tr w14:paraId="4B7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88" w:hRule="atLeast"/>
          <w:jc w:val="center"/>
        </w:trPr>
        <w:tc>
          <w:tcPr>
            <w:tcW w:w="225" w:type="pct"/>
            <w:shd w:val="clear" w:color="auto" w:fill="FFFFFF"/>
            <w:vAlign w:val="center"/>
          </w:tcPr>
          <w:p w14:paraId="6CD79836">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693" w:type="pct"/>
            <w:shd w:val="clear" w:color="auto" w:fill="FFFFFF"/>
            <w:vAlign w:val="center"/>
          </w:tcPr>
          <w:p w14:paraId="0CB22B25">
            <w:pPr>
              <w:spacing w:line="440" w:lineRule="exact"/>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GB" w:eastAsia="zh-CN"/>
              </w:rPr>
              <w:t>合理化建议</w:t>
            </w:r>
          </w:p>
        </w:tc>
        <w:tc>
          <w:tcPr>
            <w:tcW w:w="3629" w:type="pct"/>
            <w:shd w:val="clear" w:color="auto" w:fill="FFFFFF"/>
            <w:vAlign w:val="center"/>
          </w:tcPr>
          <w:p w14:paraId="0F28B8A5">
            <w:pPr>
              <w:spacing w:line="440" w:lineRule="exact"/>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GB" w:eastAsia="zh-CN"/>
              </w:rPr>
              <w:t>根据本项目的现状及实际情况，提出合理化建议（</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en-GB" w:eastAsia="zh-CN"/>
              </w:rPr>
              <w:t>分）。</w:t>
            </w:r>
          </w:p>
        </w:tc>
        <w:tc>
          <w:tcPr>
            <w:tcW w:w="450" w:type="pct"/>
            <w:shd w:val="clear" w:color="auto" w:fill="FFFFFF"/>
            <w:vAlign w:val="center"/>
          </w:tcPr>
          <w:p w14:paraId="5330CE2A">
            <w:pPr>
              <w:spacing w:line="440" w:lineRule="exact"/>
              <w:jc w:val="center"/>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US" w:eastAsia="zh-CN"/>
              </w:rPr>
              <w:t>2</w:t>
            </w:r>
          </w:p>
        </w:tc>
      </w:tr>
    </w:tbl>
    <w:p w14:paraId="3D4455AE">
      <w:pPr>
        <w:spacing w:before="120"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lang w:eastAsia="zh-CN"/>
        </w:rPr>
        <w:t>注：</w:t>
      </w:r>
      <w:r>
        <w:rPr>
          <w:rFonts w:hint="eastAsia" w:ascii="宋体" w:hAnsi="宋体" w:cs="宋体"/>
          <w:b/>
          <w:color w:val="auto"/>
          <w:sz w:val="24"/>
          <w:highlight w:val="none"/>
        </w:rPr>
        <w:t xml:space="preserve">资信技术分的计算 </w:t>
      </w:r>
    </w:p>
    <w:p w14:paraId="393FBBFD">
      <w:pPr>
        <w:spacing w:afterLines="50"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 xml:space="preserve">  资信技术评分按照评标委员会成员的独立评分结果汇总后的算术平均分计算，计算公式为：资信技术评分＝评标委员会所有成员评分合计数/评标委员会组成人员数。</w:t>
      </w:r>
    </w:p>
    <w:p w14:paraId="0B64BEA7">
      <w:pPr>
        <w:spacing w:afterLines="50" w:line="360" w:lineRule="auto"/>
        <w:ind w:firstLine="200" w:firstLineChars="100"/>
        <w:jc w:val="left"/>
        <w:rPr>
          <w:rFonts w:hint="eastAsia" w:ascii="宋体" w:hAnsi="宋体" w:cs="宋体"/>
          <w:color w:val="auto"/>
          <w:sz w:val="24"/>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56F2323E">
      <w:pPr>
        <w:snapToGrid w:val="0"/>
        <w:spacing w:line="460" w:lineRule="exact"/>
        <w:jc w:val="center"/>
        <w:rPr>
          <w:rFonts w:hint="eastAsia" w:ascii="宋体"/>
          <w:b/>
          <w:bCs/>
          <w:color w:val="000000"/>
          <w:sz w:val="32"/>
          <w:szCs w:val="32"/>
        </w:rPr>
      </w:pPr>
    </w:p>
    <w:p w14:paraId="2E6E2280">
      <w:pPr>
        <w:snapToGrid w:val="0"/>
        <w:spacing w:line="460" w:lineRule="exact"/>
        <w:jc w:val="center"/>
        <w:rPr>
          <w:rFonts w:hint="eastAsia" w:ascii="宋体"/>
          <w:b/>
          <w:bCs/>
          <w:color w:val="000000"/>
          <w:sz w:val="32"/>
          <w:szCs w:val="32"/>
        </w:rPr>
      </w:pPr>
    </w:p>
    <w:p w14:paraId="44495447">
      <w:pPr>
        <w:snapToGrid w:val="0"/>
        <w:spacing w:line="460" w:lineRule="exact"/>
        <w:jc w:val="center"/>
        <w:rPr>
          <w:rFonts w:hint="eastAsia" w:ascii="宋体"/>
          <w:b/>
          <w:bCs/>
          <w:color w:val="000000"/>
          <w:sz w:val="32"/>
          <w:szCs w:val="32"/>
        </w:rPr>
      </w:pPr>
    </w:p>
    <w:p w14:paraId="6237AB7A">
      <w:pPr>
        <w:snapToGrid w:val="0"/>
        <w:spacing w:line="460" w:lineRule="exact"/>
        <w:jc w:val="center"/>
        <w:rPr>
          <w:rFonts w:hint="eastAsia" w:ascii="宋体"/>
          <w:b/>
          <w:bCs/>
          <w:color w:val="000000"/>
          <w:sz w:val="32"/>
          <w:szCs w:val="32"/>
        </w:rPr>
      </w:pPr>
    </w:p>
    <w:p w14:paraId="2C063F38">
      <w:pPr>
        <w:snapToGrid w:val="0"/>
        <w:spacing w:line="460" w:lineRule="exact"/>
        <w:jc w:val="center"/>
        <w:rPr>
          <w:rFonts w:hint="eastAsia" w:ascii="宋体"/>
          <w:b/>
          <w:bCs/>
          <w:color w:val="000000"/>
          <w:sz w:val="32"/>
          <w:szCs w:val="32"/>
        </w:rPr>
      </w:pPr>
    </w:p>
    <w:p w14:paraId="5ED4DD44">
      <w:pPr>
        <w:snapToGrid w:val="0"/>
        <w:spacing w:line="460" w:lineRule="exact"/>
        <w:jc w:val="center"/>
        <w:rPr>
          <w:rFonts w:hint="eastAsia" w:ascii="宋体"/>
          <w:b/>
          <w:bCs/>
          <w:color w:val="000000"/>
          <w:sz w:val="32"/>
          <w:szCs w:val="32"/>
        </w:rPr>
      </w:pPr>
    </w:p>
    <w:p w14:paraId="2ADD3FF8">
      <w:pPr>
        <w:snapToGrid w:val="0"/>
        <w:spacing w:line="460" w:lineRule="exact"/>
        <w:jc w:val="center"/>
        <w:rPr>
          <w:rFonts w:hint="eastAsia" w:ascii="宋体"/>
          <w:b/>
          <w:bCs/>
          <w:color w:val="000000"/>
          <w:sz w:val="32"/>
          <w:szCs w:val="32"/>
        </w:rPr>
      </w:pPr>
    </w:p>
    <w:p w14:paraId="76DF6096">
      <w:pPr>
        <w:snapToGrid w:val="0"/>
        <w:spacing w:line="460" w:lineRule="exact"/>
        <w:jc w:val="both"/>
        <w:rPr>
          <w:rFonts w:hint="eastAsia" w:ascii="宋体"/>
          <w:b/>
          <w:bCs/>
          <w:color w:val="000000"/>
          <w:sz w:val="32"/>
          <w:szCs w:val="32"/>
        </w:rPr>
      </w:pPr>
    </w:p>
    <w:p w14:paraId="3516BBCC">
      <w:pPr>
        <w:rPr>
          <w:rFonts w:hint="eastAsia" w:ascii="宋体"/>
          <w:b/>
          <w:bCs/>
          <w:color w:val="000000"/>
          <w:sz w:val="32"/>
          <w:szCs w:val="32"/>
        </w:rPr>
      </w:pPr>
      <w:r>
        <w:rPr>
          <w:rFonts w:hint="eastAsia" w:ascii="宋体"/>
          <w:b/>
          <w:bCs/>
          <w:color w:val="000000"/>
          <w:sz w:val="32"/>
          <w:szCs w:val="32"/>
        </w:rPr>
        <w:br w:type="page"/>
      </w:r>
    </w:p>
    <w:p w14:paraId="084E6C0C">
      <w:pPr>
        <w:snapToGrid w:val="0"/>
        <w:spacing w:line="460" w:lineRule="exact"/>
        <w:jc w:val="center"/>
        <w:rPr>
          <w:rFonts w:hint="eastAsia" w:ascii="宋体"/>
          <w:b/>
          <w:bCs/>
          <w:color w:val="000000"/>
          <w:sz w:val="32"/>
          <w:szCs w:val="32"/>
        </w:rPr>
      </w:pPr>
      <w:r>
        <w:rPr>
          <w:rFonts w:hint="eastAsia" w:ascii="宋体"/>
          <w:b/>
          <w:bCs/>
          <w:color w:val="000000"/>
          <w:sz w:val="32"/>
          <w:szCs w:val="32"/>
        </w:rPr>
        <w:t>第五章 采购合同（范本）</w:t>
      </w:r>
    </w:p>
    <w:p w14:paraId="00087F17">
      <w:pPr>
        <w:pStyle w:val="55"/>
        <w:spacing w:before="0"/>
        <w:ind w:firstLineChars="0"/>
        <w:jc w:val="center"/>
        <w:rPr>
          <w:rFonts w:ascii="宋体" w:hAnsi="宋体"/>
        </w:rPr>
      </w:pPr>
      <w:r>
        <w:rPr>
          <w:rFonts w:hint="eastAsia" w:ascii="宋体" w:hAnsi="宋体"/>
        </w:rPr>
        <w:t xml:space="preserve">  （具体文本以实际签署的为准）</w:t>
      </w:r>
    </w:p>
    <w:p w14:paraId="1991E25E">
      <w:pPr>
        <w:snapToGrid w:val="0"/>
        <w:spacing w:before="120" w:after="120" w:line="360" w:lineRule="auto"/>
        <w:rPr>
          <w:rFonts w:asci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项目编号：</w:t>
      </w:r>
    </w:p>
    <w:p w14:paraId="68CD2A4B">
      <w:pPr>
        <w:snapToGrid w:val="0"/>
        <w:spacing w:before="120" w:after="120" w:line="360" w:lineRule="auto"/>
        <w:rPr>
          <w:rFonts w:ascii="宋体"/>
          <w:sz w:val="24"/>
          <w:szCs w:val="24"/>
        </w:rPr>
      </w:pPr>
      <w:r>
        <w:rPr>
          <w:rFonts w:hint="eastAsia" w:ascii="宋体" w:hAnsi="宋体"/>
          <w:sz w:val="24"/>
          <w:szCs w:val="24"/>
        </w:rPr>
        <w:t>甲方：（</w:t>
      </w:r>
      <w:r>
        <w:rPr>
          <w:rFonts w:hint="eastAsia" w:ascii="宋体" w:hAnsi="宋体"/>
          <w:sz w:val="24"/>
          <w:szCs w:val="24"/>
          <w:lang w:eastAsia="zh-CN"/>
        </w:rPr>
        <w:t>采购单位</w:t>
      </w:r>
      <w:r>
        <w:rPr>
          <w:rFonts w:hint="eastAsia" w:ascii="宋体" w:hAnsi="宋体"/>
          <w:sz w:val="24"/>
          <w:szCs w:val="24"/>
        </w:rPr>
        <w:t>）</w:t>
      </w:r>
    </w:p>
    <w:p w14:paraId="004B2759">
      <w:pPr>
        <w:snapToGrid w:val="0"/>
        <w:spacing w:before="120" w:after="120" w:line="360" w:lineRule="auto"/>
        <w:rPr>
          <w:rFonts w:ascii="宋体"/>
          <w:sz w:val="24"/>
          <w:szCs w:val="24"/>
        </w:rPr>
      </w:pPr>
      <w:r>
        <w:rPr>
          <w:rFonts w:hint="eastAsia" w:ascii="宋体" w:hAnsi="宋体"/>
          <w:sz w:val="24"/>
          <w:szCs w:val="24"/>
        </w:rPr>
        <w:t>乙方：（</w:t>
      </w:r>
      <w:r>
        <w:rPr>
          <w:rFonts w:hint="eastAsia" w:ascii="宋体" w:hAnsi="宋体"/>
          <w:sz w:val="24"/>
          <w:szCs w:val="24"/>
          <w:lang w:eastAsia="zh-CN"/>
        </w:rPr>
        <w:t>中标单位</w:t>
      </w:r>
      <w:r>
        <w:rPr>
          <w:rFonts w:hint="eastAsia" w:ascii="宋体" w:hAnsi="宋体"/>
          <w:sz w:val="24"/>
          <w:szCs w:val="24"/>
        </w:rPr>
        <w:t>）</w:t>
      </w:r>
    </w:p>
    <w:p w14:paraId="71135020">
      <w:pPr>
        <w:snapToGrid w:val="0"/>
        <w:spacing w:before="120" w:after="120" w:line="360" w:lineRule="auto"/>
        <w:rPr>
          <w:rFonts w:ascii="宋体"/>
          <w:b/>
          <w:sz w:val="24"/>
          <w:szCs w:val="24"/>
        </w:rPr>
      </w:pPr>
      <w:r>
        <w:rPr>
          <w:rFonts w:ascii="宋体" w:hAnsi="宋体"/>
          <w:b/>
          <w:sz w:val="24"/>
          <w:szCs w:val="24"/>
        </w:rPr>
        <w:t xml:space="preserve">     </w:t>
      </w:r>
      <w:r>
        <w:rPr>
          <w:rFonts w:hint="eastAsia" w:ascii="宋体" w:hAnsi="宋体"/>
          <w:sz w:val="24"/>
          <w:szCs w:val="24"/>
        </w:rPr>
        <w:t>甲、乙双方</w:t>
      </w:r>
      <w:r>
        <w:rPr>
          <w:rFonts w:hint="eastAsia" w:ascii="宋体" w:hAnsi="宋体" w:cs="宋体"/>
          <w:sz w:val="24"/>
        </w:rPr>
        <w:t>根据《中华人民共和国政府采购法》、《中华人民共和国</w:t>
      </w:r>
      <w:r>
        <w:rPr>
          <w:rFonts w:hint="eastAsia" w:ascii="宋体" w:hAnsi="宋体" w:cs="宋体"/>
          <w:sz w:val="24"/>
          <w:lang w:eastAsia="zh-CN"/>
        </w:rPr>
        <w:t>民法典</w:t>
      </w:r>
      <w:r>
        <w:rPr>
          <w:rFonts w:hint="eastAsia" w:ascii="宋体" w:hAnsi="宋体" w:cs="宋体"/>
          <w:sz w:val="24"/>
        </w:rPr>
        <w:t>》等有关法律法规的规定</w:t>
      </w:r>
      <w:r>
        <w:rPr>
          <w:rFonts w:hint="eastAsia" w:ascii="宋体" w:hAnsi="宋体" w:cs="宋体"/>
          <w:sz w:val="24"/>
          <w:lang w:eastAsia="zh-CN"/>
        </w:rPr>
        <w:t>，</w:t>
      </w:r>
      <w:r>
        <w:rPr>
          <w:rFonts w:hint="eastAsia" w:ascii="宋体" w:hAnsi="宋体"/>
          <w:sz w:val="24"/>
          <w:szCs w:val="24"/>
        </w:rPr>
        <w:t>关于</w:t>
      </w:r>
      <w:r>
        <w:rPr>
          <w:rFonts w:ascii="宋体" w:hAnsi="宋体"/>
          <w:sz w:val="24"/>
          <w:szCs w:val="24"/>
        </w:rPr>
        <w:t>_________</w:t>
      </w:r>
      <w:r>
        <w:rPr>
          <w:rFonts w:hint="eastAsia" w:ascii="宋体" w:hAnsi="宋体"/>
          <w:sz w:val="24"/>
          <w:szCs w:val="24"/>
        </w:rPr>
        <w:t>项目（于</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日以</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方式）招标的结果，签署本合同。</w:t>
      </w:r>
    </w:p>
    <w:p w14:paraId="473B3629">
      <w:pPr>
        <w:numPr>
          <w:ilvl w:val="0"/>
          <w:numId w:val="5"/>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服务内容</w:t>
      </w:r>
    </w:p>
    <w:p w14:paraId="07D6107A">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二、合同金额</w:t>
      </w:r>
    </w:p>
    <w:p w14:paraId="674D81F4">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本合同金额为（大写）：_____________元（￥_________元）人民币。</w:t>
      </w:r>
    </w:p>
    <w:p w14:paraId="14775B3C">
      <w:pPr>
        <w:numPr>
          <w:ilvl w:val="0"/>
          <w:numId w:val="0"/>
        </w:numPr>
        <w:spacing w:line="360" w:lineRule="auto"/>
        <w:ind w:leftChars="0"/>
        <w:jc w:val="both"/>
        <w:rPr>
          <w:rFonts w:hint="eastAsia" w:ascii="宋体" w:hAnsi="宋体" w:cs="宋体"/>
          <w:b/>
          <w:bCs/>
          <w:color w:val="auto"/>
          <w:kern w:val="2"/>
          <w:sz w:val="24"/>
          <w:lang w:val="en-US" w:eastAsia="zh-CN"/>
        </w:rPr>
      </w:pPr>
      <w:r>
        <w:rPr>
          <w:rFonts w:hint="eastAsia" w:ascii="宋体" w:hAnsi="宋体" w:cs="宋体"/>
          <w:b/>
          <w:bCs/>
          <w:color w:val="auto"/>
          <w:kern w:val="2"/>
          <w:sz w:val="24"/>
          <w:lang w:val="en-US" w:eastAsia="zh-CN"/>
        </w:rPr>
        <w:t>三、服务期限</w:t>
      </w:r>
    </w:p>
    <w:p w14:paraId="399F8F66">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四、知识产权</w:t>
      </w:r>
    </w:p>
    <w:p w14:paraId="4E22089E">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乙方应保证提供服务过程中不会侵犯任何第三方的知识产权。</w:t>
      </w:r>
    </w:p>
    <w:p w14:paraId="397FBFF8">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en-US" w:eastAsia="zh-CN"/>
        </w:rPr>
        <w:t>五、</w:t>
      </w:r>
      <w:r>
        <w:rPr>
          <w:rFonts w:hint="eastAsia" w:ascii="宋体" w:hAnsi="宋体" w:eastAsia="宋体" w:cs="宋体"/>
          <w:b/>
          <w:bCs/>
          <w:color w:val="auto"/>
          <w:kern w:val="2"/>
          <w:sz w:val="24"/>
          <w:lang w:val="en-US" w:eastAsia="zh-CN"/>
        </w:rPr>
        <w:t>履约保证金</w:t>
      </w:r>
      <w:r>
        <w:rPr>
          <w:rFonts w:hint="eastAsia" w:ascii="宋体" w:hAnsi="宋体" w:cs="宋体"/>
          <w:b/>
          <w:bCs/>
          <w:color w:val="auto"/>
          <w:kern w:val="2"/>
          <w:sz w:val="24"/>
          <w:lang w:val="en-US" w:eastAsia="zh-CN"/>
        </w:rPr>
        <w:t>（如有）</w:t>
      </w:r>
    </w:p>
    <w:p w14:paraId="11323E3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在签订合同前，需向采购方支付中标价2%的履约保证金，待该项目完成后15个工作日内无息退还。</w:t>
      </w:r>
    </w:p>
    <w:p w14:paraId="159B812D">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六、转包或分包</w:t>
      </w:r>
    </w:p>
    <w:p w14:paraId="3A20AE76">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1.本合同范围的服务，应由乙方直接供应，不得转让他人供应；</w:t>
      </w:r>
    </w:p>
    <w:p w14:paraId="6EE4204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2.除非得到甲方的书面同意，乙方不得将本合同范围的服务全部或部分分包给他人供应；</w:t>
      </w:r>
    </w:p>
    <w:p w14:paraId="398316CB">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3.如有转让和未经甲方同意的分包行为，甲方有权解除合同，没收履约保证金并追究乙方的违约责任。</w:t>
      </w:r>
    </w:p>
    <w:p w14:paraId="740F56D5">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七、项目进度要求</w:t>
      </w:r>
    </w:p>
    <w:p w14:paraId="2C727D5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八、款项支付</w:t>
      </w:r>
    </w:p>
    <w:p w14:paraId="7F9EC50C">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九、税费</w:t>
      </w:r>
    </w:p>
    <w:p w14:paraId="7B04DC8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本合同执行中相关的一切税费均由乙方负担。</w:t>
      </w:r>
    </w:p>
    <w:p w14:paraId="17E60A6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w:t>
      </w:r>
      <w:r>
        <w:rPr>
          <w:rFonts w:hint="eastAsia" w:ascii="宋体" w:hAnsi="宋体" w:eastAsia="宋体" w:cs="宋体"/>
          <w:b/>
          <w:bCs/>
          <w:color w:val="auto"/>
          <w:kern w:val="2"/>
          <w:sz w:val="24"/>
          <w:lang w:val="zh-CN" w:eastAsia="zh-CN"/>
        </w:rPr>
        <w:t>甲方的责任与义务</w:t>
      </w:r>
    </w:p>
    <w:p w14:paraId="176E52BC">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甲方应当主要负责项目的所有外部关系的联系与协调，为乙方工作提供良好的外部条件。</w:t>
      </w:r>
    </w:p>
    <w:p w14:paraId="380308F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甲方应当按双方约定的内容和时间，向乙方提供与项目有关的资料。</w:t>
      </w:r>
    </w:p>
    <w:p w14:paraId="5042B180">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甲方应授权一名熟悉本项目情况、能迅速做出决定的项目代表，负责与乙方联系。更换代表，要提前通知乙方。</w:t>
      </w:r>
    </w:p>
    <w:p w14:paraId="7E85634F">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val="0"/>
          <w:bCs w:val="0"/>
          <w:color w:val="auto"/>
          <w:kern w:val="2"/>
          <w:sz w:val="24"/>
          <w:lang w:val="en-US" w:eastAsia="zh-CN"/>
        </w:rPr>
        <w:t>甲方有与乙方订立补充合同的签订权。</w:t>
      </w:r>
    </w:p>
    <w:p w14:paraId="27C43549">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十一、</w:t>
      </w:r>
      <w:r>
        <w:rPr>
          <w:rFonts w:hint="eastAsia" w:ascii="宋体" w:hAnsi="宋体" w:eastAsia="宋体" w:cs="宋体"/>
          <w:b/>
          <w:bCs/>
          <w:color w:val="auto"/>
          <w:kern w:val="2"/>
          <w:sz w:val="24"/>
          <w:lang w:val="zh-CN" w:eastAsia="zh-CN"/>
        </w:rPr>
        <w:t>乙方的责任与义务</w:t>
      </w:r>
    </w:p>
    <w:p w14:paraId="5E998E4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根据投标文件的承诺向甲方委派项目组人员。</w:t>
      </w:r>
    </w:p>
    <w:p w14:paraId="1DDD830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在履行本合同义务的期间，应运用合理的技能，认真、勤奋的工作。</w:t>
      </w:r>
    </w:p>
    <w:p w14:paraId="27105AA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在本合同期内或合同终止后，未征得有关方同意，不得泄漏与本项目、本合同有关的技术、资料等，不得以任何形式侵害甲方的知识产权。</w:t>
      </w:r>
    </w:p>
    <w:p w14:paraId="2FDDC51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负责处理好与相关项目实施单位的协调工作。</w:t>
      </w:r>
    </w:p>
    <w:p w14:paraId="2A758FB1">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二</w:t>
      </w:r>
      <w:r>
        <w:rPr>
          <w:rFonts w:hint="eastAsia" w:ascii="宋体" w:hAnsi="宋体" w:eastAsia="宋体" w:cs="宋体"/>
          <w:b/>
          <w:bCs/>
          <w:color w:val="auto"/>
          <w:kern w:val="2"/>
          <w:sz w:val="24"/>
          <w:lang w:val="en-US" w:eastAsia="zh-CN"/>
        </w:rPr>
        <w:t>、违约责任</w:t>
      </w:r>
    </w:p>
    <w:p w14:paraId="6F2A2163">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1．甲方无正当理由拒收接受服务的，甲方向乙方偿付合同款项百分之五作为违约金。</w:t>
      </w:r>
    </w:p>
    <w:p w14:paraId="5BF7E95A">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2．甲方无故逾期验收和办理款项支付手续的,甲方应按逾期付款总额每日万分之五向乙方支付违约金。</w:t>
      </w:r>
    </w:p>
    <w:p w14:paraId="3DDE446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043C09">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三</w:t>
      </w:r>
      <w:r>
        <w:rPr>
          <w:rFonts w:hAnsi="宋体"/>
          <w:b/>
          <w:sz w:val="24"/>
        </w:rPr>
        <w:t>、不可抗力事件处理</w:t>
      </w:r>
    </w:p>
    <w:p w14:paraId="47C69A2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1．在合同有效期内，任何一方因不可抗力事件导致不能履行合同，则合同履行期可延长，其延长期与不可抗力影响期相同。</w:t>
      </w:r>
    </w:p>
    <w:p w14:paraId="50C9B76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2．不可抗力事件发生后，应立即通知对方，并寄送有关权威机构出具的证明。</w:t>
      </w:r>
    </w:p>
    <w:p w14:paraId="48FD144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3．不可抗力事件延续120天以上，双方应通过友好协商，确定是否继续履行合同。</w:t>
      </w:r>
    </w:p>
    <w:p w14:paraId="478E56C5">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四</w:t>
      </w:r>
      <w:r>
        <w:rPr>
          <w:rFonts w:hAnsi="宋体"/>
          <w:b/>
          <w:sz w:val="24"/>
        </w:rPr>
        <w:t>、诉讼</w:t>
      </w:r>
    </w:p>
    <w:p w14:paraId="3D502256">
      <w:pPr>
        <w:pStyle w:val="14"/>
        <w:snapToGrid w:val="0"/>
        <w:spacing w:before="120" w:after="120" w:line="360" w:lineRule="auto"/>
        <w:rPr>
          <w:rFonts w:hAnsi="宋体"/>
          <w:sz w:val="24"/>
        </w:rPr>
      </w:pPr>
      <w:r>
        <w:rPr>
          <w:rFonts w:hAnsi="宋体"/>
          <w:sz w:val="24"/>
        </w:rPr>
        <w:t>双方在执行合同中所发生的一切争议，应通过协商解决。如协商不成，</w:t>
      </w:r>
      <w:r>
        <w:rPr>
          <w:rFonts w:hint="eastAsia" w:hAnsi="宋体"/>
          <w:sz w:val="24"/>
        </w:rPr>
        <w:t>可向甲方所在地经济仲裁机构提请仲裁或向人民法院提起诉讼。</w:t>
      </w:r>
    </w:p>
    <w:p w14:paraId="1868D3A4">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五</w:t>
      </w:r>
      <w:r>
        <w:rPr>
          <w:rFonts w:hAnsi="宋体"/>
          <w:b/>
          <w:sz w:val="24"/>
        </w:rPr>
        <w:t>、合同生效及其它</w:t>
      </w:r>
    </w:p>
    <w:p w14:paraId="076A1D89">
      <w:pPr>
        <w:pStyle w:val="14"/>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合同经双方法定代表人或授权代表签字并加盖单位公章后生效。</w:t>
      </w:r>
    </w:p>
    <w:p w14:paraId="113A3C35">
      <w:pPr>
        <w:pStyle w:val="14"/>
        <w:snapToGrid w:val="0"/>
        <w:spacing w:before="120" w:after="120" w:line="360" w:lineRule="auto"/>
        <w:rPr>
          <w:rFonts w:hAnsi="宋体"/>
          <w:sz w:val="24"/>
        </w:rPr>
      </w:pPr>
      <w:r>
        <w:rPr>
          <w:rFonts w:hint="eastAsia" w:hAnsi="宋体"/>
          <w:sz w:val="24"/>
        </w:rPr>
        <w:t xml:space="preserve">2. </w:t>
      </w:r>
      <w:r>
        <w:rPr>
          <w:rFonts w:hAnsi="宋体"/>
          <w:sz w:val="24"/>
        </w:rPr>
        <w:t>本合同未尽事宜，遵照《合同法》有关条文执行。</w:t>
      </w:r>
    </w:p>
    <w:p w14:paraId="0791FE91">
      <w:pPr>
        <w:pStyle w:val="14"/>
        <w:snapToGrid w:val="0"/>
        <w:spacing w:before="120" w:after="120" w:line="360" w:lineRule="auto"/>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.本合同一式</w:t>
      </w:r>
      <w:r>
        <w:rPr>
          <w:rFonts w:hint="eastAsia" w:hAnsi="宋体" w:eastAsia="宋体"/>
          <w:sz w:val="24"/>
          <w:lang w:eastAsia="zh-CN"/>
        </w:rPr>
        <w:t>肆</w:t>
      </w:r>
      <w:r>
        <w:rPr>
          <w:rFonts w:hint="eastAsia" w:ascii="宋体" w:hAnsi="宋体" w:eastAsia="宋体"/>
          <w:sz w:val="24"/>
        </w:rPr>
        <w:t>份，</w:t>
      </w:r>
      <w:r>
        <w:rPr>
          <w:rFonts w:hint="eastAsia" w:hAnsi="宋体"/>
          <w:sz w:val="24"/>
        </w:rPr>
        <w:t>具有同等法律效力</w:t>
      </w:r>
      <w:r>
        <w:rPr>
          <w:rFonts w:hint="eastAsia" w:hAnsi="宋体"/>
          <w:sz w:val="24"/>
          <w:lang w:eastAsia="zh-CN"/>
        </w:rPr>
        <w:t>。</w:t>
      </w:r>
      <w:r>
        <w:rPr>
          <w:rFonts w:hint="eastAsia" w:ascii="宋体" w:hAnsi="宋体" w:eastAsia="宋体"/>
          <w:sz w:val="24"/>
        </w:rPr>
        <w:t>甲方、乙方各执</w:t>
      </w:r>
      <w:r>
        <w:rPr>
          <w:rFonts w:hint="eastAsia" w:hAnsi="宋体" w:eastAsia="宋体"/>
          <w:sz w:val="24"/>
          <w:lang w:eastAsia="zh-CN"/>
        </w:rPr>
        <w:t>贰</w:t>
      </w:r>
      <w:r>
        <w:rPr>
          <w:rFonts w:hint="eastAsia" w:ascii="宋体" w:hAnsi="宋体" w:eastAsia="宋体"/>
          <w:sz w:val="24"/>
        </w:rPr>
        <w:t>份。</w:t>
      </w:r>
    </w:p>
    <w:p w14:paraId="7BAC30BF">
      <w:pPr>
        <w:pStyle w:val="14"/>
        <w:snapToGrid w:val="0"/>
        <w:spacing w:before="120" w:after="120" w:line="360" w:lineRule="auto"/>
        <w:rPr>
          <w:rFonts w:hint="eastAsia" w:hAnsi="宋体"/>
          <w:sz w:val="24"/>
        </w:rPr>
      </w:pPr>
    </w:p>
    <w:p w14:paraId="240E4E6D">
      <w:pPr>
        <w:pStyle w:val="14"/>
        <w:snapToGrid w:val="0"/>
        <w:spacing w:before="120" w:after="120" w:line="360" w:lineRule="auto"/>
        <w:rPr>
          <w:rFonts w:hint="eastAsia" w:hAnsi="宋体"/>
          <w:sz w:val="24"/>
        </w:rPr>
      </w:pPr>
      <w:r>
        <w:rPr>
          <w:rFonts w:hint="eastAsia" w:hAnsi="宋体"/>
          <w:sz w:val="24"/>
        </w:rPr>
        <w:t xml:space="preserve">  甲方：                                   乙方： </w:t>
      </w:r>
    </w:p>
    <w:p w14:paraId="7626CAF2">
      <w:pPr>
        <w:pStyle w:val="14"/>
        <w:snapToGrid w:val="0"/>
        <w:spacing w:before="120" w:after="120" w:line="360" w:lineRule="auto"/>
        <w:rPr>
          <w:rFonts w:hint="eastAsia" w:hAnsi="宋体"/>
          <w:sz w:val="24"/>
        </w:rPr>
      </w:pPr>
      <w:r>
        <w:rPr>
          <w:rFonts w:hint="eastAsia" w:hAnsi="宋体"/>
          <w:sz w:val="24"/>
        </w:rPr>
        <w:t xml:space="preserve">  地址：                                   地址： </w:t>
      </w:r>
    </w:p>
    <w:p w14:paraId="54040F8F">
      <w:pPr>
        <w:pStyle w:val="14"/>
        <w:snapToGrid w:val="0"/>
        <w:spacing w:before="120" w:after="120" w:line="360" w:lineRule="auto"/>
        <w:rPr>
          <w:rFonts w:hint="eastAsia" w:hAnsi="宋体"/>
          <w:sz w:val="24"/>
        </w:rPr>
      </w:pPr>
      <w:r>
        <w:rPr>
          <w:rFonts w:hint="eastAsia" w:hAnsi="宋体"/>
          <w:sz w:val="24"/>
        </w:rPr>
        <w:t xml:space="preserve">  法定（授权）代表人：                     法定（授权）代表人：</w:t>
      </w:r>
    </w:p>
    <w:p w14:paraId="692F8CDA">
      <w:pPr>
        <w:pStyle w:val="14"/>
        <w:snapToGrid w:val="0"/>
        <w:spacing w:before="120" w:after="120" w:line="360" w:lineRule="auto"/>
        <w:ind w:firstLine="5040" w:firstLineChars="2100"/>
        <w:rPr>
          <w:rFonts w:hint="eastAsia"/>
          <w:b/>
          <w:bCs/>
          <w:sz w:val="28"/>
          <w:szCs w:val="28"/>
        </w:rPr>
      </w:pPr>
      <w:r>
        <w:rPr>
          <w:rFonts w:hint="eastAsia" w:hAnsi="宋体"/>
          <w:sz w:val="24"/>
        </w:rPr>
        <w:t xml:space="preserve">签字日期：      年  月  </w:t>
      </w:r>
      <w:r>
        <w:rPr>
          <w:rFonts w:hint="eastAsia" w:hAnsi="宋体"/>
          <w:sz w:val="24"/>
          <w:lang w:val="en-US" w:eastAsia="zh-CN"/>
        </w:rPr>
        <w:t xml:space="preserve"> </w:t>
      </w:r>
      <w:r>
        <w:rPr>
          <w:rFonts w:hint="eastAsia" w:hAnsi="宋体"/>
          <w:sz w:val="24"/>
        </w:rPr>
        <w:t>日</w:t>
      </w:r>
    </w:p>
    <w:p w14:paraId="00F0E710"/>
    <w:p w14:paraId="275E9A6A">
      <w:pPr>
        <w:pStyle w:val="14"/>
        <w:snapToGrid w:val="0"/>
        <w:spacing w:before="120" w:after="120" w:line="360" w:lineRule="auto"/>
        <w:rPr>
          <w:rFonts w:hAnsi="宋体"/>
          <w:color w:val="auto"/>
          <w:sz w:val="24"/>
          <w:highlight w:val="none"/>
        </w:rPr>
      </w:pPr>
    </w:p>
    <w:p w14:paraId="494D3590">
      <w:pPr>
        <w:spacing w:afterLines="50" w:line="360" w:lineRule="auto"/>
        <w:jc w:val="center"/>
        <w:rPr>
          <w:rFonts w:hint="eastAsia" w:hAnsi="宋体"/>
          <w:b/>
          <w:color w:val="auto"/>
          <w:sz w:val="32"/>
          <w:szCs w:val="32"/>
          <w:highlight w:val="none"/>
        </w:rPr>
      </w:pPr>
      <w:bookmarkStart w:id="29" w:name="_Toc194217897"/>
      <w:bookmarkStart w:id="30" w:name="_Toc177870561"/>
    </w:p>
    <w:p w14:paraId="4B95A7DE">
      <w:pPr>
        <w:spacing w:afterLines="50" w:line="360" w:lineRule="auto"/>
        <w:jc w:val="center"/>
        <w:rPr>
          <w:rFonts w:hint="eastAsia" w:hAnsi="宋体"/>
          <w:b/>
          <w:color w:val="auto"/>
          <w:sz w:val="32"/>
          <w:szCs w:val="32"/>
          <w:highlight w:val="none"/>
        </w:rPr>
      </w:pPr>
    </w:p>
    <w:p w14:paraId="04514ABA">
      <w:pPr>
        <w:spacing w:afterLines="50" w:line="360" w:lineRule="auto"/>
        <w:jc w:val="center"/>
        <w:rPr>
          <w:rFonts w:hint="eastAsia" w:hAnsi="宋体"/>
          <w:b/>
          <w:color w:val="auto"/>
          <w:sz w:val="32"/>
          <w:szCs w:val="32"/>
          <w:highlight w:val="none"/>
        </w:rPr>
      </w:pPr>
    </w:p>
    <w:p w14:paraId="114F82F4">
      <w:pPr>
        <w:spacing w:afterLines="50" w:line="360" w:lineRule="auto"/>
        <w:jc w:val="center"/>
        <w:rPr>
          <w:rFonts w:hint="eastAsia" w:hAnsi="宋体"/>
          <w:b/>
          <w:color w:val="auto"/>
          <w:sz w:val="32"/>
          <w:szCs w:val="32"/>
          <w:highlight w:val="none"/>
        </w:rPr>
      </w:pPr>
    </w:p>
    <w:p w14:paraId="048D7824">
      <w:pPr>
        <w:spacing w:afterLines="50" w:line="360" w:lineRule="auto"/>
        <w:jc w:val="center"/>
        <w:rPr>
          <w:rFonts w:hint="eastAsia" w:hAnsi="宋体"/>
          <w:b/>
          <w:color w:val="auto"/>
          <w:sz w:val="32"/>
          <w:szCs w:val="32"/>
          <w:highlight w:val="none"/>
        </w:rPr>
      </w:pPr>
    </w:p>
    <w:p w14:paraId="62472058">
      <w:pPr>
        <w:spacing w:afterLines="50" w:line="360" w:lineRule="auto"/>
        <w:jc w:val="center"/>
        <w:rPr>
          <w:rFonts w:hint="eastAsia" w:hAnsi="宋体"/>
          <w:b/>
          <w:color w:val="auto"/>
          <w:sz w:val="32"/>
          <w:szCs w:val="32"/>
          <w:highlight w:val="none"/>
        </w:rPr>
      </w:pPr>
    </w:p>
    <w:p w14:paraId="0E045146">
      <w:pPr>
        <w:spacing w:afterLines="50" w:line="360" w:lineRule="auto"/>
        <w:jc w:val="center"/>
        <w:rPr>
          <w:rFonts w:hint="eastAsia" w:hAnsi="宋体"/>
          <w:b/>
          <w:color w:val="auto"/>
          <w:sz w:val="32"/>
          <w:szCs w:val="32"/>
          <w:highlight w:val="none"/>
        </w:rPr>
      </w:pPr>
    </w:p>
    <w:p w14:paraId="325DD39A">
      <w:pPr>
        <w:spacing w:afterLines="50" w:line="360" w:lineRule="auto"/>
        <w:jc w:val="center"/>
        <w:rPr>
          <w:rFonts w:hint="eastAsia" w:hAnsi="宋体"/>
          <w:b/>
          <w:color w:val="auto"/>
          <w:sz w:val="32"/>
          <w:szCs w:val="32"/>
          <w:highlight w:val="none"/>
        </w:rPr>
      </w:pPr>
    </w:p>
    <w:p w14:paraId="30571AA3">
      <w:pPr>
        <w:spacing w:afterLines="50" w:line="360" w:lineRule="auto"/>
        <w:jc w:val="center"/>
        <w:rPr>
          <w:rFonts w:hint="eastAsia" w:hAnsi="宋体"/>
          <w:b/>
          <w:color w:val="auto"/>
          <w:sz w:val="32"/>
          <w:szCs w:val="32"/>
          <w:highlight w:val="none"/>
        </w:rPr>
      </w:pPr>
    </w:p>
    <w:p w14:paraId="4FEB87DE">
      <w:pPr>
        <w:spacing w:afterLines="50" w:line="360" w:lineRule="auto"/>
        <w:jc w:val="center"/>
        <w:rPr>
          <w:rFonts w:hint="eastAsia" w:hAnsi="宋体"/>
          <w:b/>
          <w:color w:val="auto"/>
          <w:sz w:val="32"/>
          <w:szCs w:val="32"/>
          <w:highlight w:val="none"/>
        </w:rPr>
      </w:pPr>
    </w:p>
    <w:p w14:paraId="2C3A8858">
      <w:pPr>
        <w:spacing w:afterLines="50" w:line="360" w:lineRule="auto"/>
        <w:jc w:val="center"/>
        <w:rPr>
          <w:rFonts w:hint="eastAsia" w:hAnsi="宋体"/>
          <w:b/>
          <w:color w:val="auto"/>
          <w:sz w:val="32"/>
          <w:szCs w:val="32"/>
          <w:highlight w:val="none"/>
        </w:rPr>
      </w:pPr>
    </w:p>
    <w:p w14:paraId="0E0765B3">
      <w:pPr>
        <w:spacing w:afterLines="50" w:line="360" w:lineRule="auto"/>
        <w:jc w:val="center"/>
        <w:rPr>
          <w:rFonts w:hint="eastAsia" w:hAnsi="宋体"/>
          <w:b/>
          <w:color w:val="auto"/>
          <w:sz w:val="32"/>
          <w:szCs w:val="32"/>
          <w:highlight w:val="none"/>
        </w:rPr>
      </w:pPr>
    </w:p>
    <w:p w14:paraId="5246D170">
      <w:pPr>
        <w:spacing w:afterLines="50" w:line="360" w:lineRule="auto"/>
        <w:jc w:val="center"/>
        <w:rPr>
          <w:rFonts w:hint="eastAsia" w:hAnsi="宋体"/>
          <w:b/>
          <w:color w:val="auto"/>
          <w:sz w:val="32"/>
          <w:szCs w:val="32"/>
          <w:highlight w:val="none"/>
        </w:rPr>
      </w:pPr>
    </w:p>
    <w:p w14:paraId="6A0D91DF">
      <w:pPr>
        <w:spacing w:afterLines="50" w:line="360" w:lineRule="auto"/>
        <w:jc w:val="center"/>
        <w:rPr>
          <w:rFonts w:hint="eastAsia" w:hAnsi="宋体"/>
          <w:b/>
          <w:color w:val="auto"/>
          <w:sz w:val="32"/>
          <w:szCs w:val="32"/>
          <w:highlight w:val="none"/>
        </w:rPr>
      </w:pPr>
    </w:p>
    <w:p w14:paraId="665D1EDD">
      <w:pPr>
        <w:spacing w:afterLines="50" w:line="360" w:lineRule="auto"/>
        <w:jc w:val="center"/>
        <w:rPr>
          <w:rFonts w:hint="eastAsia" w:hAnsi="宋体"/>
          <w:b/>
          <w:color w:val="auto"/>
          <w:sz w:val="32"/>
          <w:szCs w:val="32"/>
          <w:highlight w:val="none"/>
        </w:rPr>
      </w:pPr>
    </w:p>
    <w:p w14:paraId="37AEDDE8">
      <w:pPr>
        <w:spacing w:afterLines="50" w:line="360" w:lineRule="auto"/>
        <w:jc w:val="center"/>
        <w:rPr>
          <w:rFonts w:hAnsi="宋体"/>
          <w:b/>
          <w:color w:val="auto"/>
          <w:sz w:val="32"/>
          <w:szCs w:val="32"/>
          <w:highlight w:val="none"/>
        </w:rPr>
      </w:pPr>
      <w:r>
        <w:rPr>
          <w:rFonts w:hint="eastAsia" w:hAnsi="宋体"/>
          <w:b/>
          <w:color w:val="auto"/>
          <w:sz w:val="32"/>
          <w:szCs w:val="32"/>
          <w:highlight w:val="none"/>
        </w:rPr>
        <w:t>第六章    投标文件格式</w:t>
      </w:r>
    </w:p>
    <w:p w14:paraId="6FD47E35">
      <w:pPr>
        <w:snapToGrid w:val="0"/>
        <w:spacing w:beforeLines="50" w:after="50"/>
        <w:rPr>
          <w:rFonts w:ascii="宋体" w:hAnsi="宋体"/>
          <w:b/>
          <w:color w:val="auto"/>
          <w:sz w:val="24"/>
          <w:highlight w:val="none"/>
        </w:rPr>
      </w:pPr>
      <w:r>
        <w:rPr>
          <w:rFonts w:hint="eastAsia" w:ascii="宋体" w:hAnsi="宋体"/>
          <w:b/>
          <w:color w:val="auto"/>
          <w:sz w:val="24"/>
          <w:highlight w:val="none"/>
        </w:rPr>
        <w:t>1.所有投标文件的外包装封面格式：</w:t>
      </w:r>
    </w:p>
    <w:p w14:paraId="2E1754A1">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3FC22E5F">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 标 文 件</w:t>
      </w:r>
    </w:p>
    <w:p w14:paraId="62E27F16">
      <w:pPr>
        <w:snapToGrid w:val="0"/>
        <w:spacing w:beforeLines="50" w:after="50" w:line="38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1EBAA087">
      <w:pPr>
        <w:snapToGrid w:val="0"/>
        <w:spacing w:beforeLines="50" w:after="50" w:line="38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2EB25AB9">
      <w:pPr>
        <w:pStyle w:val="11"/>
        <w:snapToGrid w:val="0"/>
        <w:spacing w:before="50" w:after="50" w:line="380" w:lineRule="exact"/>
        <w:ind w:firstLine="1020" w:firstLineChars="425"/>
        <w:rPr>
          <w:rFonts w:ascii="仿宋_GB2312" w:eastAsia="仿宋_GB2312"/>
          <w:bCs/>
          <w:color w:val="auto"/>
          <w:sz w:val="24"/>
          <w:highlight w:val="none"/>
        </w:rPr>
      </w:pPr>
      <w:r>
        <w:rPr>
          <w:rFonts w:ascii="宋体" w:hAnsi="宋体"/>
          <w:bCs/>
          <w:color w:val="auto"/>
          <w:sz w:val="24"/>
          <w:highlight w:val="none"/>
        </w:rPr>
        <w:t>投标文件名称：</w:t>
      </w:r>
      <w:r>
        <w:rPr>
          <w:rFonts w:hint="eastAsia" w:ascii="宋体" w:hAnsi="宋体"/>
          <w:bCs/>
          <w:color w:val="auto"/>
          <w:sz w:val="24"/>
          <w:highlight w:val="none"/>
        </w:rPr>
        <w:t>（资信技术文件）或（报价文件）</w:t>
      </w:r>
    </w:p>
    <w:p w14:paraId="1E8D7873">
      <w:pPr>
        <w:pStyle w:val="11"/>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B16BB65">
      <w:pPr>
        <w:pStyle w:val="11"/>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4934E07">
      <w:pPr>
        <w:pStyle w:val="11"/>
        <w:snapToGrid w:val="0"/>
        <w:spacing w:before="50" w:after="50" w:line="380" w:lineRule="exact"/>
        <w:ind w:firstLine="960" w:firstLineChars="400"/>
        <w:rPr>
          <w:rFonts w:ascii="宋体" w:hAnsi="宋体"/>
          <w:bCs/>
          <w:color w:val="auto"/>
          <w:sz w:val="24"/>
          <w:highlight w:val="none"/>
        </w:rPr>
      </w:pPr>
      <w:r>
        <w:rPr>
          <w:rFonts w:ascii="宋体" w:hAnsi="宋体"/>
          <w:bCs/>
          <w:color w:val="auto"/>
          <w:sz w:val="24"/>
          <w:highlight w:val="none"/>
        </w:rPr>
        <w:t>在  年  月  日  时  分之前不得启封</w:t>
      </w:r>
    </w:p>
    <w:p w14:paraId="5284466A">
      <w:pPr>
        <w:snapToGrid w:val="0"/>
        <w:spacing w:beforeLines="50" w:after="50" w:line="380" w:lineRule="exact"/>
        <w:ind w:firstLine="4080" w:firstLineChars="1700"/>
        <w:rPr>
          <w:rFonts w:ascii="宋体" w:hAnsi="宋体"/>
          <w:bCs/>
          <w:color w:val="auto"/>
          <w:sz w:val="24"/>
          <w:highlight w:val="none"/>
        </w:rPr>
      </w:pPr>
      <w:r>
        <w:rPr>
          <w:rFonts w:hint="eastAsia" w:ascii="宋体" w:hAnsi="宋体"/>
          <w:bCs/>
          <w:color w:val="auto"/>
          <w:sz w:val="24"/>
          <w:highlight w:val="none"/>
        </w:rPr>
        <w:t>法定代表人签字或盖章：</w:t>
      </w:r>
    </w:p>
    <w:p w14:paraId="3C14B901">
      <w:pPr>
        <w:snapToGrid w:val="0"/>
        <w:spacing w:beforeLines="50" w:after="50" w:line="380" w:lineRule="exact"/>
        <w:ind w:firstLine="645"/>
        <w:jc w:val="center"/>
        <w:rPr>
          <w:rFonts w:ascii="宋体" w:hAnsi="宋体"/>
          <w:bCs/>
          <w:color w:val="auto"/>
          <w:sz w:val="24"/>
          <w:highlight w:val="none"/>
        </w:rPr>
      </w:pPr>
      <w:r>
        <w:rPr>
          <w:rFonts w:hint="eastAsia" w:ascii="宋体" w:hAnsi="宋体"/>
          <w:bCs/>
          <w:color w:val="auto"/>
          <w:sz w:val="24"/>
          <w:highlight w:val="none"/>
        </w:rPr>
        <w:t>年月日</w:t>
      </w:r>
    </w:p>
    <w:p w14:paraId="41B8F3C1">
      <w:pPr>
        <w:snapToGrid w:val="0"/>
        <w:spacing w:beforeLines="50" w:after="50" w:line="380" w:lineRule="exact"/>
        <w:ind w:firstLine="645"/>
        <w:jc w:val="center"/>
        <w:rPr>
          <w:rFonts w:ascii="宋体" w:hAnsi="宋体"/>
          <w:bCs/>
          <w:color w:val="auto"/>
          <w:sz w:val="24"/>
          <w:highlight w:val="none"/>
        </w:rPr>
      </w:pPr>
    </w:p>
    <w:p w14:paraId="69322EC8">
      <w:pPr>
        <w:snapToGrid w:val="0"/>
        <w:spacing w:beforeLines="50" w:after="50"/>
        <w:rPr>
          <w:rFonts w:ascii="宋体" w:hAnsi="宋体"/>
          <w:b/>
          <w:color w:val="auto"/>
          <w:sz w:val="24"/>
          <w:highlight w:val="none"/>
        </w:rPr>
      </w:pPr>
      <w:r>
        <w:rPr>
          <w:rFonts w:hint="eastAsia" w:ascii="宋体" w:hAnsi="宋体"/>
          <w:b/>
          <w:color w:val="auto"/>
          <w:sz w:val="24"/>
          <w:highlight w:val="none"/>
        </w:rPr>
        <w:t xml:space="preserve">2. 资信技术（报价）文件封面格式： </w:t>
      </w:r>
    </w:p>
    <w:p w14:paraId="42720E31">
      <w:pPr>
        <w:snapToGrid w:val="0"/>
        <w:spacing w:beforeLines="50" w:after="50"/>
        <w:ind w:firstLine="5542" w:firstLineChars="2300"/>
        <w:rPr>
          <w:rFonts w:ascii="宋体" w:hAnsi="宋体"/>
          <w:b/>
          <w:bCs/>
          <w:color w:val="auto"/>
          <w:sz w:val="24"/>
          <w:highlight w:val="none"/>
        </w:rPr>
      </w:pPr>
      <w:r>
        <w:rPr>
          <w:rFonts w:hint="eastAsia" w:ascii="宋体" w:hAnsi="宋体"/>
          <w:b/>
          <w:bCs/>
          <w:color w:val="auto"/>
          <w:sz w:val="24"/>
          <w:highlight w:val="none"/>
        </w:rPr>
        <w:t>正本/或副本</w:t>
      </w:r>
    </w:p>
    <w:p w14:paraId="360F0BEB">
      <w:pPr>
        <w:snapToGrid w:val="0"/>
        <w:spacing w:beforeLines="50" w:after="50" w:line="36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44312B25">
      <w:pPr>
        <w:snapToGrid w:val="0"/>
        <w:spacing w:beforeLines="50" w:after="50" w:line="360" w:lineRule="exact"/>
        <w:jc w:val="center"/>
        <w:rPr>
          <w:rFonts w:ascii="宋体" w:hAnsi="宋体"/>
          <w:bCs/>
          <w:color w:val="auto"/>
          <w:sz w:val="24"/>
          <w:highlight w:val="none"/>
        </w:rPr>
      </w:pPr>
      <w:r>
        <w:rPr>
          <w:rFonts w:hint="eastAsia" w:ascii="宋体" w:hAnsi="宋体"/>
          <w:color w:val="auto"/>
          <w:sz w:val="24"/>
          <w:highlight w:val="none"/>
          <w:lang w:val="zh-CN"/>
        </w:rPr>
        <w:t>资信技术文件</w:t>
      </w:r>
      <w:r>
        <w:rPr>
          <w:rFonts w:hint="eastAsia" w:ascii="宋体" w:hAnsi="宋体"/>
          <w:bCs/>
          <w:color w:val="auto"/>
          <w:sz w:val="24"/>
          <w:highlight w:val="none"/>
        </w:rPr>
        <w:t xml:space="preserve">  或   </w:t>
      </w:r>
      <w:r>
        <w:rPr>
          <w:rFonts w:hint="eastAsia" w:ascii="宋体" w:hAnsi="宋体"/>
          <w:color w:val="auto"/>
          <w:sz w:val="24"/>
          <w:highlight w:val="none"/>
        </w:rPr>
        <w:t>报价文件</w:t>
      </w:r>
    </w:p>
    <w:p w14:paraId="4E6B38E3">
      <w:pPr>
        <w:snapToGrid w:val="0"/>
        <w:spacing w:beforeLines="50" w:after="50" w:line="36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436D445A">
      <w:pPr>
        <w:snapToGrid w:val="0"/>
        <w:spacing w:beforeLines="50" w:after="50" w:line="36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4F284C27">
      <w:pPr>
        <w:pStyle w:val="11"/>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9446D78">
      <w:pPr>
        <w:pStyle w:val="11"/>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972DCB2">
      <w:pPr>
        <w:snapToGrid w:val="0"/>
        <w:spacing w:beforeLines="50" w:after="50" w:line="360" w:lineRule="exact"/>
        <w:ind w:firstLine="4080" w:firstLineChars="1700"/>
        <w:rPr>
          <w:rFonts w:ascii="宋体" w:hAnsi="宋体"/>
          <w:color w:val="auto"/>
          <w:sz w:val="24"/>
          <w:highlight w:val="none"/>
        </w:rPr>
      </w:pPr>
      <w:r>
        <w:rPr>
          <w:rFonts w:hint="eastAsia" w:ascii="宋体" w:hAnsi="宋体"/>
          <w:color w:val="auto"/>
          <w:sz w:val="24"/>
          <w:highlight w:val="none"/>
        </w:rPr>
        <w:t>法定代表人签字或盖章：</w:t>
      </w:r>
    </w:p>
    <w:p w14:paraId="13531DE1">
      <w:pPr>
        <w:snapToGrid w:val="0"/>
        <w:spacing w:beforeLines="50" w:after="50" w:line="360" w:lineRule="exact"/>
        <w:ind w:firstLine="645"/>
        <w:jc w:val="center"/>
        <w:rPr>
          <w:rFonts w:ascii="宋体" w:hAnsi="宋体"/>
          <w:bCs/>
          <w:color w:val="auto"/>
          <w:sz w:val="24"/>
          <w:highlight w:val="none"/>
        </w:rPr>
      </w:pPr>
      <w:r>
        <w:rPr>
          <w:rFonts w:hint="eastAsia" w:ascii="宋体" w:hAnsi="宋体"/>
          <w:color w:val="auto"/>
          <w:sz w:val="24"/>
          <w:highlight w:val="none"/>
        </w:rPr>
        <w:t>年月日</w:t>
      </w:r>
    </w:p>
    <w:p w14:paraId="7E6A51AD">
      <w:pPr>
        <w:snapToGrid w:val="0"/>
        <w:spacing w:beforeLines="50" w:after="50" w:line="380" w:lineRule="exact"/>
        <w:ind w:firstLine="645"/>
        <w:rPr>
          <w:rFonts w:ascii="宋体" w:hAnsi="宋体"/>
          <w:color w:val="auto"/>
          <w:sz w:val="24"/>
          <w:highlight w:val="none"/>
        </w:rPr>
      </w:pPr>
    </w:p>
    <w:p w14:paraId="707BD101">
      <w:pPr>
        <w:keepNext w:val="0"/>
        <w:keepLines w:val="0"/>
        <w:widowControl/>
        <w:suppressLineNumbers w:val="0"/>
        <w:jc w:val="left"/>
        <w:rPr>
          <w:rFonts w:hint="eastAsia" w:ascii="宋体" w:hAnsi="宋体" w:eastAsia="宋体" w:cs="宋体"/>
          <w:color w:val="auto"/>
          <w:sz w:val="24"/>
          <w:szCs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eastAsia="宋体" w:cs="宋体"/>
          <w:b/>
          <w:color w:val="auto"/>
          <w:kern w:val="0"/>
          <w:sz w:val="24"/>
          <w:szCs w:val="24"/>
          <w:highlight w:val="none"/>
          <w:lang w:val="en-US" w:eastAsia="zh-CN" w:bidi="ar"/>
        </w:rPr>
        <w:t xml:space="preserve">★符合“供应商的资格要求”规定的证明文件 </w:t>
      </w:r>
    </w:p>
    <w:p w14:paraId="11F8B92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（1）★营业执照等证明文件 </w:t>
      </w:r>
    </w:p>
    <w:p w14:paraId="021A8E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证明材料：营业执照（或事业单位法人证书或执业许可证或自然人有效身份证明）</w:t>
      </w:r>
      <w:r>
        <w:rPr>
          <w:rFonts w:hint="eastAsia" w:ascii="宋体" w:hAnsi="宋体" w:eastAsia="宋体" w:cs="宋体"/>
          <w:color w:val="auto"/>
          <w:kern w:val="0"/>
          <w:sz w:val="24"/>
          <w:szCs w:val="24"/>
          <w:highlight w:val="none"/>
          <w:lang w:val="en-US" w:eastAsia="zh-CN" w:bidi="ar"/>
        </w:rPr>
        <w:t xml:space="preserve">（提供复印件加盖投标供应商公章）。 </w:t>
      </w:r>
    </w:p>
    <w:p w14:paraId="770016E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提示和说明： </w:t>
      </w:r>
    </w:p>
    <w:p w14:paraId="2768A4E1">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217CE22F">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540E8A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4409DA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CBE9D3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5B2500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C9C140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96765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7E0BE8E">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86A0A0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D335B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（2）★具有良好的商业信誉和健全的财务会计制度的承诺函 </w:t>
      </w:r>
    </w:p>
    <w:p w14:paraId="2D7F961E">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u w:val="singl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6E7126B9">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14:paraId="2EC58B2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C025C7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0C4C42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E7B74A">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4D7D669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55D8B3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F41BA2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8D7171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DC474F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F0C03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26BCA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29274CC">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8E379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A2F061B">
      <w:pPr>
        <w:pStyle w:val="12"/>
        <w:rPr>
          <w:rFonts w:hint="eastAsia" w:ascii="宋体" w:hAnsi="宋体" w:eastAsia="宋体" w:cs="宋体"/>
          <w:b/>
          <w:color w:val="auto"/>
          <w:kern w:val="0"/>
          <w:sz w:val="24"/>
          <w:szCs w:val="24"/>
          <w:highlight w:val="none"/>
          <w:lang w:val="en-US" w:eastAsia="zh-CN" w:bidi="ar"/>
        </w:rPr>
      </w:pPr>
    </w:p>
    <w:p w14:paraId="4EF2395B">
      <w:pPr>
        <w:rPr>
          <w:rFonts w:hint="eastAsia"/>
          <w:lang w:val="en-US" w:eastAsia="zh-CN"/>
        </w:rPr>
      </w:pPr>
    </w:p>
    <w:p w14:paraId="194C5713">
      <w:pPr>
        <w:rPr>
          <w:rFonts w:hint="eastAsia" w:ascii="宋体" w:hAnsi="宋体" w:eastAsia="宋体" w:cs="宋体"/>
          <w:b/>
          <w:color w:val="auto"/>
          <w:kern w:val="0"/>
          <w:sz w:val="24"/>
          <w:szCs w:val="24"/>
          <w:highlight w:val="none"/>
          <w:lang w:val="en-US" w:eastAsia="zh-CN" w:bidi="ar"/>
        </w:rPr>
      </w:pPr>
    </w:p>
    <w:p w14:paraId="15D76D68">
      <w:pPr>
        <w:pStyle w:val="12"/>
        <w:rPr>
          <w:rFonts w:hint="eastAsia"/>
          <w:color w:val="auto"/>
          <w:highlight w:val="none"/>
          <w:lang w:val="en-US" w:eastAsia="zh-CN"/>
        </w:rPr>
      </w:pPr>
    </w:p>
    <w:p w14:paraId="610BE6C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4CAA33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（3）★具有履行合同所必需的设备和专业技术能力的承诺函 </w:t>
      </w:r>
    </w:p>
    <w:p w14:paraId="30E3879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2C8A4362">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采购人可取消我方任何资格 （投标/谈判/中标（成交）/签订合同），我方对此无任何异议，并愿意承担一切后果和责任。 </w:t>
      </w:r>
    </w:p>
    <w:p w14:paraId="3C54FCE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546BEE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EF07AD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ECA35C2">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09C1AB2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ADC1C6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BE117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94F433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DB5529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14FA9A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3C625B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60AEF6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8AF69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BB2267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（4）★依法缴纳税收和社会保障金的承诺函 </w:t>
      </w:r>
    </w:p>
    <w:p w14:paraId="5F861A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35410374">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已依法办理税务、社保登记手续，并依法缴纳税收和社会保障金，符合本项目采购文件规定的投标供应商资格要求，本文件中所提供的相关材料均真实有效，如有虚假或隐瞒，采购人可取消我方任何资格（投标/谈判/中标（成交）/签订合同），我方对此无任何异议，并愿意承担一切后果和责任。 </w:t>
      </w:r>
    </w:p>
    <w:p w14:paraId="7ADEF56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BFD32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C0B1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71890E4">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8D302D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5F76B7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0CDE7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DC38B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B6E0E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47135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5FD2A3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ED9E23F">
      <w:pPr>
        <w:pStyle w:val="6"/>
        <w:numPr>
          <w:ilvl w:val="4"/>
          <w:numId w:val="0"/>
        </w:numPr>
        <w:ind w:leftChars="0"/>
        <w:rPr>
          <w:rFonts w:hint="eastAsia"/>
          <w:color w:val="auto"/>
          <w:highlight w:val="none"/>
          <w:lang w:val="en-US" w:eastAsia="zh-CN"/>
        </w:rPr>
      </w:pPr>
    </w:p>
    <w:p w14:paraId="38DD7224">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4546A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3D4B803">
      <w:pPr>
        <w:pStyle w:val="12"/>
        <w:rPr>
          <w:rFonts w:hint="eastAsia" w:ascii="宋体" w:hAnsi="宋体" w:eastAsia="宋体" w:cs="宋体"/>
          <w:b/>
          <w:color w:val="auto"/>
          <w:kern w:val="0"/>
          <w:sz w:val="24"/>
          <w:szCs w:val="24"/>
          <w:highlight w:val="none"/>
          <w:lang w:val="en-US" w:eastAsia="zh-CN" w:bidi="ar"/>
        </w:rPr>
      </w:pPr>
    </w:p>
    <w:p w14:paraId="63E74A36">
      <w:pPr>
        <w:rPr>
          <w:rFonts w:hint="eastAsia" w:ascii="宋体" w:hAnsi="宋体" w:eastAsia="宋体" w:cs="宋体"/>
          <w:b/>
          <w:color w:val="auto"/>
          <w:kern w:val="0"/>
          <w:sz w:val="24"/>
          <w:szCs w:val="24"/>
          <w:highlight w:val="none"/>
          <w:lang w:val="en-US" w:eastAsia="zh-CN" w:bidi="ar"/>
        </w:rPr>
      </w:pPr>
    </w:p>
    <w:p w14:paraId="1BC5DD28">
      <w:pPr>
        <w:pStyle w:val="12"/>
        <w:rPr>
          <w:rFonts w:hint="eastAsia"/>
          <w:color w:val="auto"/>
          <w:highlight w:val="none"/>
          <w:lang w:val="en-US" w:eastAsia="zh-CN"/>
        </w:rPr>
      </w:pPr>
    </w:p>
    <w:p w14:paraId="13250F9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934C3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（5）★近三年内在经营活动中没有重大违法记录的承诺函 </w:t>
      </w:r>
    </w:p>
    <w:p w14:paraId="2707C09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554B64EE">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我方在参加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31D2C5D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E71CDF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6ED7F2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BE47805">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5423536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2CB75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F859D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31E82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2693FB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F9CF8E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72EF27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3E56AE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（6）★没有失信记录承诺函 </w:t>
      </w:r>
    </w:p>
    <w:p w14:paraId="1DE776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5BB33A1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的采购活动，在投标文件递交前，我方未被“信用中国”（www.creditchina.gov.cn）、中国政府采购网（www.ccgp.gov.cn）列入失信被执行人名单、重大税收违法案件当事人名单、政府采购严重违法失信行为记录名单。 </w:t>
      </w:r>
    </w:p>
    <w:p w14:paraId="31EE6A40">
      <w:pPr>
        <w:keepNext w:val="0"/>
        <w:keepLines w:val="0"/>
        <w:widowControl/>
        <w:suppressLineNumbers w:val="0"/>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我方已经清楚了解本次项目采购文件中有关“供应商信用信息查询、存档与使用”的相关规定，同意由采购人或采购代理机构按采购文件规定对我方的信用信息记录进行统一查询，并以采购人或采购代理机构统一查询的结果为准。 </w:t>
      </w:r>
    </w:p>
    <w:p w14:paraId="3C101CA0">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我方上述承诺内容如有虚假或隐瞒，采购人可取消我方任何资格（投标/谈判/中标（成交）/签订合同），我方对此无任何异议，并愿意承担一切后果和责任。 </w:t>
      </w:r>
    </w:p>
    <w:p w14:paraId="1405D5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B9C301E">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36E98E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5A3853E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109323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2032DFE">
      <w:pPr>
        <w:pStyle w:val="35"/>
        <w:rPr>
          <w:rFonts w:hint="eastAsia"/>
          <w:color w:val="auto"/>
          <w:sz w:val="24"/>
          <w:szCs w:val="24"/>
          <w:highlight w:val="none"/>
          <w:lang w:val="en-US" w:eastAsia="zh-CN"/>
        </w:rPr>
      </w:pPr>
    </w:p>
    <w:p w14:paraId="0C454C5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3267CF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4C52FA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8912591">
      <w:pPr>
        <w:pStyle w:val="13"/>
        <w:rPr>
          <w:rFonts w:hint="eastAsia" w:ascii="宋体" w:hAnsi="宋体" w:eastAsia="宋体" w:cs="宋体"/>
          <w:b/>
          <w:color w:val="auto"/>
          <w:kern w:val="0"/>
          <w:sz w:val="24"/>
          <w:szCs w:val="24"/>
          <w:highlight w:val="none"/>
          <w:lang w:val="en-US" w:eastAsia="zh-CN" w:bidi="ar"/>
        </w:rPr>
      </w:pPr>
    </w:p>
    <w:p w14:paraId="759F3963">
      <w:pPr>
        <w:pStyle w:val="8"/>
        <w:numPr>
          <w:ilvl w:val="0"/>
          <w:numId w:val="0"/>
        </w:numPr>
        <w:ind w:leftChars="0"/>
        <w:rPr>
          <w:rFonts w:hint="eastAsia"/>
          <w:lang w:val="en-US" w:eastAsia="zh-CN"/>
        </w:rPr>
      </w:pPr>
    </w:p>
    <w:p w14:paraId="68C05FF7">
      <w:pPr>
        <w:spacing w:line="700" w:lineRule="exact"/>
        <w:outlineLvl w:val="3"/>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法定代表人授权书</w:t>
      </w:r>
    </w:p>
    <w:p w14:paraId="48B68BC7">
      <w:pPr>
        <w:snapToGrid w:val="0"/>
        <w:spacing w:beforeLines="50" w:after="50"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65E67EAE">
      <w:pPr>
        <w:snapToGrid w:val="0"/>
        <w:spacing w:beforeLines="50" w:after="50" w:line="360" w:lineRule="auto"/>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我（姓名）系（投标人名称）的法定代表人，现授权委托本单位在职职工（姓名）以我方的名义参加项目的投标活动，并代表我方全权办理针对上述项目的投标、开标、询标、签约等具体事务和签署相关文件。</w:t>
      </w:r>
    </w:p>
    <w:p w14:paraId="10C8D71F">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我方对被授权人的签名负全部责任。</w:t>
      </w:r>
    </w:p>
    <w:p w14:paraId="32F481FD">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5C42EB7A">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23A2C6C">
      <w:pPr>
        <w:snapToGrid w:val="0"/>
        <w:spacing w:beforeLines="50" w:after="50" w:line="360" w:lineRule="auto"/>
        <w:rPr>
          <w:rFonts w:ascii="宋体" w:hAnsi="宋体"/>
          <w:color w:val="auto"/>
          <w:sz w:val="24"/>
          <w:highlight w:val="none"/>
        </w:rPr>
      </w:pPr>
    </w:p>
    <w:p w14:paraId="34D78A92">
      <w:pPr>
        <w:snapToGrid w:val="0"/>
        <w:spacing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被授权人签名：法定代表人签字或盖章</w:t>
      </w:r>
      <w:r>
        <w:rPr>
          <w:rFonts w:ascii="宋体" w:hAnsi="宋体"/>
          <w:color w:val="auto"/>
          <w:sz w:val="24"/>
          <w:highlight w:val="none"/>
        </w:rPr>
        <w:t>：</w:t>
      </w:r>
    </w:p>
    <w:p w14:paraId="6CB6EB47">
      <w:pPr>
        <w:snapToGrid w:val="0"/>
        <w:spacing w:beforeLines="50" w:after="50" w:line="360" w:lineRule="auto"/>
        <w:ind w:firstLine="960" w:firstLineChars="400"/>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rPr>
        <w:t>职务：</w:t>
      </w:r>
    </w:p>
    <w:p w14:paraId="17590646">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被授权人身份证号码：</w:t>
      </w:r>
    </w:p>
    <w:p w14:paraId="0E1A369C">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 xml:space="preserve">                                                   投标人盖章：</w:t>
      </w:r>
    </w:p>
    <w:p w14:paraId="54069CD9">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 xml:space="preserve">                                    年    月    日</w:t>
      </w:r>
    </w:p>
    <w:p w14:paraId="65B75F8C">
      <w:pPr>
        <w:spacing w:line="580" w:lineRule="exact"/>
        <w:rPr>
          <w:rFonts w:ascii="宋体" w:hAnsi="宋体"/>
          <w:color w:val="auto"/>
          <w:sz w:val="24"/>
          <w:highlight w:val="none"/>
        </w:rPr>
      </w:pPr>
      <w:r>
        <w:rPr>
          <w:rFonts w:hint="eastAsia" w:hAnsi="宋体"/>
          <w:b/>
          <w:color w:val="auto"/>
          <w:sz w:val="24"/>
          <w:highlight w:val="none"/>
        </w:rPr>
        <w:t>后附授权代理人身份证复印件</w:t>
      </w:r>
      <w:r>
        <w:rPr>
          <w:rFonts w:hint="eastAsia"/>
          <w:b/>
          <w:color w:val="auto"/>
          <w:sz w:val="24"/>
          <w:highlight w:val="none"/>
        </w:rPr>
        <w:t>（双面）</w:t>
      </w:r>
      <w:r>
        <w:rPr>
          <w:rFonts w:hint="eastAsia"/>
          <w:b/>
          <w:color w:val="auto"/>
          <w:sz w:val="24"/>
          <w:highlight w:val="none"/>
          <w:lang w:eastAsia="zh-CN"/>
        </w:rPr>
        <w:t>及投标前廉政诚信承诺书</w:t>
      </w:r>
      <w:r>
        <w:rPr>
          <w:rFonts w:hAnsi="宋体"/>
          <w:b/>
          <w:color w:val="auto"/>
          <w:sz w:val="24"/>
          <w:highlight w:val="none"/>
        </w:rPr>
        <w:br w:type="page"/>
      </w:r>
    </w:p>
    <w:p w14:paraId="29603BEE">
      <w:pPr>
        <w:ind w:firstLine="3855" w:firstLineChars="1600"/>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投标前廉政诚信承诺书</w:t>
      </w:r>
    </w:p>
    <w:p w14:paraId="6C31DC96">
      <w:pPr>
        <w:rPr>
          <w:rFonts w:hint="eastAsia" w:hAnsi="宋体" w:eastAsia="宋体" w:cs="宋体"/>
          <w:b/>
          <w:color w:val="auto"/>
          <w:sz w:val="24"/>
          <w:szCs w:val="24"/>
          <w:highlight w:val="none"/>
          <w:lang w:val="en-US" w:eastAsia="zh-CN"/>
        </w:rPr>
      </w:pPr>
    </w:p>
    <w:p w14:paraId="03EA24F6">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以法定代表人或授权委托人的身份郑重声明并承诺：本企业在参加桐庐县百江镇人民政府（以下简称“招标方”）的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项目投标。投标期间将严格遵守国家相关法律、法规及党风廉政建设，守法经营，诚实信用。接受各级行政主管部门及相关监督机构监管，确保招标工作的公平、公正、公开。同时履行以下各项承诺，如有违反，本企业愿承担相应责任并接受行政主管部门依据法律法规做出的处罚。</w:t>
      </w:r>
    </w:p>
    <w:p w14:paraId="6D436810">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第一条</w:t>
      </w:r>
      <w:r>
        <w:rPr>
          <w:rFonts w:hint="eastAsia" w:ascii="宋体" w:hAnsi="宋体"/>
          <w:color w:val="auto"/>
          <w:sz w:val="24"/>
          <w:highlight w:val="none"/>
          <w:lang w:val="en-US" w:eastAsia="zh-CN"/>
        </w:rPr>
        <w:t xml:space="preserve"> 严格遵守国家招投标法律法规，不以各种方式虚假投标，履行(投标文件或资格预审申请文件)要求的责任和义务。</w:t>
      </w:r>
    </w:p>
    <w:p w14:paraId="38325629">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第二条</w:t>
      </w:r>
      <w:r>
        <w:rPr>
          <w:rFonts w:hint="eastAsia" w:ascii="宋体" w:hAnsi="宋体"/>
          <w:color w:val="auto"/>
          <w:sz w:val="24"/>
          <w:highlight w:val="none"/>
          <w:lang w:val="en-US" w:eastAsia="zh-CN"/>
        </w:rPr>
        <w:t xml:space="preserve"> 保证不提供伪造、涂改的公文及相关证明、证照、证件、业绩或谎报相关信息。</w:t>
      </w:r>
    </w:p>
    <w:p w14:paraId="1712101E">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第三条</w:t>
      </w:r>
      <w:r>
        <w:rPr>
          <w:rFonts w:hint="eastAsia" w:ascii="宋体" w:hAnsi="宋体"/>
          <w:color w:val="auto"/>
          <w:sz w:val="24"/>
          <w:highlight w:val="none"/>
          <w:lang w:val="en-US" w:eastAsia="zh-CN"/>
        </w:rPr>
        <w:t xml:space="preserve"> 保证不借用他人资质投标或出售资质给他人投标，不与其他投标人串通投标、围标，不使用非法手段获取中标。</w:t>
      </w:r>
    </w:p>
    <w:p w14:paraId="61F1AA8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第四条</w:t>
      </w:r>
      <w:r>
        <w:rPr>
          <w:rFonts w:hint="eastAsia" w:ascii="宋体" w:hAnsi="宋体"/>
          <w:color w:val="auto"/>
          <w:sz w:val="24"/>
          <w:highlight w:val="none"/>
          <w:lang w:val="en-US" w:eastAsia="zh-CN"/>
        </w:rPr>
        <w:t xml:space="preserve"> 保证投标文件内容无任何虚假。</w:t>
      </w:r>
    </w:p>
    <w:p w14:paraId="525123F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第五条</w:t>
      </w:r>
      <w:r>
        <w:rPr>
          <w:rFonts w:hint="eastAsia" w:ascii="宋体" w:hAnsi="宋体"/>
          <w:color w:val="auto"/>
          <w:sz w:val="24"/>
          <w:highlight w:val="none"/>
          <w:lang w:val="en-US" w:eastAsia="zh-CN"/>
        </w:rPr>
        <w:t xml:space="preserve"> 保证按照招标文件及中标通知书规定签订施工合同或供货合同，并提交履约担保。</w:t>
      </w:r>
    </w:p>
    <w:p w14:paraId="495859B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第六条</w:t>
      </w:r>
      <w:r>
        <w:rPr>
          <w:rFonts w:hint="eastAsia" w:ascii="宋体" w:hAnsi="宋体"/>
          <w:color w:val="auto"/>
          <w:sz w:val="24"/>
          <w:highlight w:val="none"/>
          <w:lang w:val="en-US" w:eastAsia="zh-CN"/>
        </w:rPr>
        <w:t xml:space="preserve"> 若我公司中标，保证在履行合同过程中遵守法律法规，不非法转包。</w:t>
      </w:r>
    </w:p>
    <w:p w14:paraId="307C120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第七条</w:t>
      </w:r>
      <w:r>
        <w:rPr>
          <w:rFonts w:hint="eastAsia" w:ascii="宋体" w:hAnsi="宋体"/>
          <w:color w:val="auto"/>
          <w:sz w:val="24"/>
          <w:highlight w:val="none"/>
          <w:lang w:val="en-US" w:eastAsia="zh-CN"/>
        </w:rPr>
        <w:t xml:space="preserve"> 若我公司中标，保证中标之后按照投标文件和合同承诺派驻现场管理人员及投入设备，严格按照质量和工期要求履行合同。</w:t>
      </w:r>
    </w:p>
    <w:p w14:paraId="42F06B3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第八条</w:t>
      </w:r>
      <w:r>
        <w:rPr>
          <w:rFonts w:hint="eastAsia" w:ascii="宋体" w:hAnsi="宋体"/>
          <w:color w:val="auto"/>
          <w:sz w:val="24"/>
          <w:highlight w:val="none"/>
          <w:lang w:val="en-US" w:eastAsia="zh-CN"/>
        </w:rPr>
        <w:t xml:space="preserve"> 若我公司中标，保证中标之后加强施工现场管理，安全生产，密切配合建设单位及监理单位开展工作。</w:t>
      </w:r>
    </w:p>
    <w:p w14:paraId="204E585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第九条</w:t>
      </w:r>
      <w:r>
        <w:rPr>
          <w:rFonts w:hint="eastAsia" w:ascii="宋体" w:hAnsi="宋体"/>
          <w:color w:val="auto"/>
          <w:sz w:val="24"/>
          <w:highlight w:val="none"/>
          <w:lang w:val="en-US" w:eastAsia="zh-CN"/>
        </w:rPr>
        <w:t xml:space="preserve"> 严格遵守国家有关法律法规及相关政策,以及廉洁从业的各项规定。依法合规参与竞争，努力推进诚信建设，决不从事任何不正当竞争和任何违法违纪行为。</w:t>
      </w:r>
    </w:p>
    <w:p w14:paraId="2B63D4DD">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第十条</w:t>
      </w:r>
      <w:r>
        <w:rPr>
          <w:rFonts w:hint="eastAsia" w:ascii="宋体" w:hAnsi="宋体"/>
          <w:color w:val="auto"/>
          <w:sz w:val="24"/>
          <w:highlight w:val="none"/>
          <w:lang w:val="en-US" w:eastAsia="zh-CN"/>
        </w:rPr>
        <w:t xml:space="preserve"> 不以任何理由、任何形式向招标方的相关工作人员或其亲戚、朋友等利益相关人提供宴请或馈赠礼金、购物卡、会员卡电子礼卡、有价证券、贵重物品及中介费，介绍费、咨询费、回扣等好处费、感谢费。</w:t>
      </w:r>
    </w:p>
    <w:p w14:paraId="751FB09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第十一条</w:t>
      </w:r>
      <w:r>
        <w:rPr>
          <w:rFonts w:hint="eastAsia" w:ascii="宋体" w:hAnsi="宋体"/>
          <w:color w:val="auto"/>
          <w:sz w:val="24"/>
          <w:highlight w:val="none"/>
          <w:lang w:val="en-US" w:eastAsia="zh-CN"/>
        </w:rPr>
        <w:t xml:space="preserve"> 不以任何理由为招标方有关人员及部门组织有可能影响公正执行招投标工作的宴请、健身、娱乐等影响招标公平、公正的任何活动。</w:t>
      </w:r>
    </w:p>
    <w:p w14:paraId="15A9BD98">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第十二条</w:t>
      </w:r>
      <w:r>
        <w:rPr>
          <w:rFonts w:hint="eastAsia" w:ascii="宋体" w:hAnsi="宋体"/>
          <w:color w:val="auto"/>
          <w:sz w:val="24"/>
          <w:highlight w:val="none"/>
          <w:lang w:val="en-US" w:eastAsia="zh-CN"/>
        </w:rPr>
        <w:t xml:space="preserve"> 不接受或暗示为招标方有关人员装修住房、婚丧嫁娶、配偶子女的工作安排以及出国（境）、旅游等提供方便。</w:t>
      </w:r>
    </w:p>
    <w:p w14:paraId="4E80CB26">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第十三条</w:t>
      </w:r>
      <w:r>
        <w:rPr>
          <w:rFonts w:hint="eastAsia" w:ascii="宋体" w:hAnsi="宋体"/>
          <w:color w:val="auto"/>
          <w:sz w:val="24"/>
          <w:highlight w:val="none"/>
          <w:lang w:val="en-US" w:eastAsia="zh-CN"/>
        </w:rPr>
        <w:t xml:space="preserve"> 不向招标方有关人员购置或提供通讯工具、交通工具、电脑和高档办公用品等。</w:t>
      </w:r>
    </w:p>
    <w:p w14:paraId="6B86B9D3">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第十四条</w:t>
      </w:r>
      <w:r>
        <w:rPr>
          <w:rFonts w:hint="eastAsia" w:ascii="宋体" w:hAnsi="宋体"/>
          <w:color w:val="auto"/>
          <w:sz w:val="24"/>
          <w:highlight w:val="none"/>
          <w:lang w:val="en-US" w:eastAsia="zh-CN"/>
        </w:rPr>
        <w:t xml:space="preserve"> 不宴请或邀请招标方的任何人参加高档娱乐消费、旅游等活动。</w:t>
      </w:r>
    </w:p>
    <w:p w14:paraId="2A01601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第十五条</w:t>
      </w:r>
      <w:r>
        <w:rPr>
          <w:rFonts w:hint="eastAsia" w:ascii="宋体" w:hAnsi="宋体"/>
          <w:color w:val="auto"/>
          <w:sz w:val="24"/>
          <w:highlight w:val="none"/>
          <w:lang w:val="en-US" w:eastAsia="zh-CN"/>
        </w:rPr>
        <w:t xml:space="preserve"> 不以任何形式报销招标方的任何人以及亲友的各种票据及费用。</w:t>
      </w:r>
    </w:p>
    <w:p w14:paraId="0B823DA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第十六条</w:t>
      </w:r>
      <w:r>
        <w:rPr>
          <w:rFonts w:hint="eastAsia" w:ascii="宋体" w:hAnsi="宋体"/>
          <w:color w:val="auto"/>
          <w:sz w:val="24"/>
          <w:highlight w:val="none"/>
          <w:lang w:val="en-US" w:eastAsia="zh-CN"/>
        </w:rPr>
        <w:t xml:space="preserve"> 定期、不定期对项目建设中的廉政建设和廉洁从业情况进行内部监督检查，同时主动接受外部有关部门依法依纪监督检查，及时发现和整改存在的各种问题。</w:t>
      </w:r>
    </w:p>
    <w:p w14:paraId="17610DF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第十七条</w:t>
      </w:r>
      <w:r>
        <w:rPr>
          <w:rFonts w:hint="eastAsia" w:ascii="宋体" w:hAnsi="宋体"/>
          <w:color w:val="auto"/>
          <w:sz w:val="24"/>
          <w:highlight w:val="none"/>
          <w:lang w:val="en-US" w:eastAsia="zh-CN"/>
        </w:rPr>
        <w:t xml:space="preserve"> 发现我方相关人员在招标过程中有不廉洁行为，坚决予以抵制，对廉政建设和廉洁从业情况进行内部监督检查，并及时向桐庐县纪委监委派驻第七纪检监察组举报。</w:t>
      </w:r>
    </w:p>
    <w:p w14:paraId="50698AA2">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第十八条</w:t>
      </w:r>
      <w:r>
        <w:rPr>
          <w:rFonts w:hint="eastAsia" w:ascii="宋体" w:hAnsi="宋体"/>
          <w:color w:val="auto"/>
          <w:sz w:val="24"/>
          <w:highlight w:val="none"/>
          <w:lang w:val="en-US" w:eastAsia="zh-CN"/>
        </w:rPr>
        <w:t xml:space="preserve"> 我方自愿将本承诺书作为投标文件及合同的附件，具有同等的法律效力。</w:t>
      </w:r>
    </w:p>
    <w:p w14:paraId="13B2B5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第十九条</w:t>
      </w:r>
      <w:r>
        <w:rPr>
          <w:rFonts w:hint="eastAsia" w:ascii="宋体" w:hAnsi="宋体"/>
          <w:color w:val="auto"/>
          <w:sz w:val="24"/>
          <w:highlight w:val="none"/>
          <w:lang w:val="en-US" w:eastAsia="zh-CN"/>
        </w:rPr>
        <w:t xml:space="preserve"> 若违反上述承诺或违反有关法律法规以及有关规定，我方自愿放弃与招标方所有往来业务，并承担招标方制度规定的赔偿金额(自愿从已付的履约金中扣罚)及一切法律责任。</w:t>
      </w:r>
    </w:p>
    <w:p w14:paraId="5A755A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第二十条</w:t>
      </w:r>
      <w:r>
        <w:rPr>
          <w:rFonts w:hint="eastAsia" w:ascii="宋体" w:hAnsi="宋体"/>
          <w:color w:val="auto"/>
          <w:sz w:val="24"/>
          <w:highlight w:val="none"/>
          <w:lang w:val="en-US" w:eastAsia="zh-CN"/>
        </w:rPr>
        <w:t xml:space="preserve"> 本承诺书自签署之日起生效。</w:t>
      </w:r>
    </w:p>
    <w:p w14:paraId="678FBEAB">
      <w:pPr>
        <w:snapToGrid w:val="0"/>
        <w:spacing w:beforeLines="50" w:after="50" w:line="360" w:lineRule="auto"/>
        <w:ind w:firstLine="720" w:firstLineChars="300"/>
        <w:rPr>
          <w:rFonts w:hint="eastAsia" w:ascii="宋体" w:hAnsi="宋体"/>
          <w:color w:val="auto"/>
          <w:sz w:val="24"/>
          <w:highlight w:val="none"/>
          <w:lang w:val="en-US" w:eastAsia="zh-CN"/>
        </w:rPr>
      </w:pPr>
    </w:p>
    <w:p w14:paraId="6A2ADD59">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承诺单位（公章）：</w:t>
      </w:r>
    </w:p>
    <w:p w14:paraId="6656399D">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法定代表人：</w:t>
      </w:r>
    </w:p>
    <w:p w14:paraId="784AA976">
      <w:pPr>
        <w:snapToGrid w:val="0"/>
        <w:spacing w:beforeLines="50" w:after="50" w:line="360" w:lineRule="auto"/>
        <w:ind w:firstLine="720" w:firstLineChars="300"/>
        <w:rPr>
          <w:rFonts w:hint="eastAsia" w:hAnsi="宋体" w:eastAsia="宋体" w:cs="宋体"/>
          <w:b/>
          <w:color w:val="auto"/>
          <w:sz w:val="24"/>
          <w:szCs w:val="24"/>
          <w:highlight w:val="none"/>
          <w:lang w:val="en-US" w:eastAsia="zh-CN"/>
        </w:rPr>
      </w:pPr>
      <w:r>
        <w:rPr>
          <w:rFonts w:hint="eastAsia" w:ascii="宋体" w:hAnsi="宋体"/>
          <w:color w:val="auto"/>
          <w:sz w:val="24"/>
          <w:highlight w:val="none"/>
          <w:lang w:val="en-US" w:eastAsia="zh-CN"/>
        </w:rPr>
        <w:t xml:space="preserve">                    承诺日期：  年   月   日</w:t>
      </w:r>
      <w:r>
        <w:rPr>
          <w:rFonts w:hint="eastAsia" w:hAnsi="宋体" w:eastAsia="宋体" w:cs="宋体"/>
          <w:b/>
          <w:color w:val="auto"/>
          <w:sz w:val="24"/>
          <w:szCs w:val="24"/>
          <w:highlight w:val="none"/>
          <w:lang w:val="en-US" w:eastAsia="zh-CN"/>
        </w:rPr>
        <w:br w:type="page"/>
      </w:r>
    </w:p>
    <w:p w14:paraId="4E1622AF">
      <w:pPr>
        <w:pStyle w:val="57"/>
        <w:spacing w:line="360" w:lineRule="auto"/>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5</w:t>
      </w:r>
      <w:r>
        <w:rPr>
          <w:rFonts w:hint="eastAsia" w:hAnsi="宋体" w:eastAsia="宋体" w:cs="宋体"/>
          <w:b/>
          <w:color w:val="auto"/>
          <w:sz w:val="24"/>
          <w:szCs w:val="24"/>
          <w:highlight w:val="none"/>
        </w:rPr>
        <w:t>. 类似案例成功的业绩一览表</w:t>
      </w:r>
    </w:p>
    <w:p w14:paraId="170A7537">
      <w:pPr>
        <w:pStyle w:val="57"/>
        <w:spacing w:line="360" w:lineRule="auto"/>
        <w:jc w:val="center"/>
        <w:rPr>
          <w:rFonts w:hAnsi="宋体" w:eastAsia="宋体" w:cs="宋体"/>
          <w:bCs/>
          <w:color w:val="auto"/>
          <w:sz w:val="24"/>
          <w:szCs w:val="24"/>
          <w:highlight w:val="none"/>
        </w:rPr>
      </w:pPr>
      <w:r>
        <w:rPr>
          <w:rFonts w:hint="eastAsia" w:hAnsi="宋体" w:eastAsia="宋体" w:cs="宋体"/>
          <w:bCs/>
          <w:color w:val="auto"/>
          <w:sz w:val="24"/>
          <w:szCs w:val="24"/>
          <w:highlight w:val="none"/>
        </w:rPr>
        <w:t>成功案例业绩一览表</w:t>
      </w:r>
    </w:p>
    <w:tbl>
      <w:tblPr>
        <w:tblStyle w:val="2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68"/>
        <w:gridCol w:w="1240"/>
        <w:gridCol w:w="1785"/>
        <w:gridCol w:w="1365"/>
        <w:gridCol w:w="1213"/>
        <w:gridCol w:w="1738"/>
      </w:tblGrid>
      <w:tr w14:paraId="770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76C5E11">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768" w:type="dxa"/>
            <w:vAlign w:val="center"/>
          </w:tcPr>
          <w:p w14:paraId="5FFACA69">
            <w:pPr>
              <w:jc w:val="center"/>
              <w:rPr>
                <w:rFonts w:ascii="宋体" w:hAnsi="宋体" w:cs="宋体"/>
                <w:bCs/>
                <w:color w:val="auto"/>
                <w:sz w:val="24"/>
                <w:highlight w:val="none"/>
              </w:rPr>
            </w:pPr>
            <w:r>
              <w:rPr>
                <w:rFonts w:hint="eastAsia" w:ascii="宋体" w:hAnsi="宋体" w:cs="宋体"/>
                <w:bCs/>
                <w:color w:val="auto"/>
                <w:sz w:val="24"/>
                <w:highlight w:val="none"/>
              </w:rPr>
              <w:t>采购单位名称</w:t>
            </w:r>
          </w:p>
        </w:tc>
        <w:tc>
          <w:tcPr>
            <w:tcW w:w="1240" w:type="dxa"/>
            <w:vAlign w:val="center"/>
          </w:tcPr>
          <w:p w14:paraId="310FB83A">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785" w:type="dxa"/>
            <w:vAlign w:val="center"/>
          </w:tcPr>
          <w:p w14:paraId="614E4BD9">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项目简要描述</w:t>
            </w:r>
          </w:p>
        </w:tc>
        <w:tc>
          <w:tcPr>
            <w:tcW w:w="1365" w:type="dxa"/>
            <w:vAlign w:val="center"/>
          </w:tcPr>
          <w:p w14:paraId="130DD2D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合同金额</w:t>
            </w:r>
          </w:p>
          <w:p w14:paraId="4EBA635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（万元）</w:t>
            </w:r>
          </w:p>
        </w:tc>
        <w:tc>
          <w:tcPr>
            <w:tcW w:w="1213" w:type="dxa"/>
            <w:vAlign w:val="center"/>
          </w:tcPr>
          <w:p w14:paraId="721673A2">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实施时间</w:t>
            </w:r>
          </w:p>
        </w:tc>
        <w:tc>
          <w:tcPr>
            <w:tcW w:w="1738" w:type="dxa"/>
          </w:tcPr>
          <w:p w14:paraId="73D4ECE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采购单位联系人及联系电话</w:t>
            </w:r>
          </w:p>
        </w:tc>
      </w:tr>
      <w:tr w14:paraId="5FA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3" w:type="dxa"/>
            <w:vAlign w:val="center"/>
          </w:tcPr>
          <w:p w14:paraId="56AD8886">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768" w:type="dxa"/>
            <w:vAlign w:val="center"/>
          </w:tcPr>
          <w:p w14:paraId="711A30DF">
            <w:pPr>
              <w:jc w:val="center"/>
              <w:rPr>
                <w:rFonts w:ascii="宋体" w:hAnsi="宋体" w:cs="宋体"/>
                <w:bCs/>
                <w:color w:val="auto"/>
                <w:sz w:val="24"/>
                <w:highlight w:val="none"/>
              </w:rPr>
            </w:pPr>
          </w:p>
        </w:tc>
        <w:tc>
          <w:tcPr>
            <w:tcW w:w="1240" w:type="dxa"/>
          </w:tcPr>
          <w:p w14:paraId="5FC019B9">
            <w:pPr>
              <w:jc w:val="center"/>
              <w:rPr>
                <w:rFonts w:ascii="宋体" w:hAnsi="宋体" w:cs="宋体"/>
                <w:bCs/>
                <w:color w:val="auto"/>
                <w:sz w:val="24"/>
                <w:highlight w:val="none"/>
              </w:rPr>
            </w:pPr>
          </w:p>
        </w:tc>
        <w:tc>
          <w:tcPr>
            <w:tcW w:w="1785" w:type="dxa"/>
          </w:tcPr>
          <w:p w14:paraId="05161A5D">
            <w:pPr>
              <w:jc w:val="center"/>
              <w:rPr>
                <w:rFonts w:ascii="宋体" w:hAnsi="宋体" w:cs="宋体"/>
                <w:bCs/>
                <w:color w:val="auto"/>
                <w:sz w:val="24"/>
                <w:highlight w:val="none"/>
              </w:rPr>
            </w:pPr>
          </w:p>
        </w:tc>
        <w:tc>
          <w:tcPr>
            <w:tcW w:w="1365" w:type="dxa"/>
            <w:vAlign w:val="center"/>
          </w:tcPr>
          <w:p w14:paraId="528EACCA">
            <w:pPr>
              <w:jc w:val="center"/>
              <w:rPr>
                <w:rFonts w:ascii="宋体" w:hAnsi="宋体" w:cs="宋体"/>
                <w:bCs/>
                <w:color w:val="auto"/>
                <w:sz w:val="24"/>
                <w:highlight w:val="none"/>
              </w:rPr>
            </w:pPr>
          </w:p>
        </w:tc>
        <w:tc>
          <w:tcPr>
            <w:tcW w:w="1213" w:type="dxa"/>
            <w:vAlign w:val="center"/>
          </w:tcPr>
          <w:p w14:paraId="683250D9">
            <w:pPr>
              <w:jc w:val="center"/>
              <w:rPr>
                <w:rFonts w:ascii="宋体" w:hAnsi="宋体" w:cs="宋体"/>
                <w:bCs/>
                <w:color w:val="auto"/>
                <w:sz w:val="24"/>
                <w:highlight w:val="none"/>
              </w:rPr>
            </w:pPr>
          </w:p>
        </w:tc>
        <w:tc>
          <w:tcPr>
            <w:tcW w:w="1738" w:type="dxa"/>
          </w:tcPr>
          <w:p w14:paraId="67DFA07D">
            <w:pPr>
              <w:jc w:val="center"/>
              <w:rPr>
                <w:rFonts w:ascii="宋体" w:hAnsi="宋体" w:cs="宋体"/>
                <w:bCs/>
                <w:color w:val="auto"/>
                <w:sz w:val="24"/>
                <w:highlight w:val="none"/>
              </w:rPr>
            </w:pPr>
          </w:p>
        </w:tc>
      </w:tr>
      <w:tr w14:paraId="0EFF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3" w:type="dxa"/>
            <w:vAlign w:val="center"/>
          </w:tcPr>
          <w:p w14:paraId="4BF3E5EC">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768" w:type="dxa"/>
            <w:vAlign w:val="center"/>
          </w:tcPr>
          <w:p w14:paraId="2C541C2C">
            <w:pPr>
              <w:jc w:val="center"/>
              <w:rPr>
                <w:rFonts w:ascii="宋体" w:hAnsi="宋体" w:cs="宋体"/>
                <w:bCs/>
                <w:color w:val="auto"/>
                <w:sz w:val="24"/>
                <w:highlight w:val="none"/>
              </w:rPr>
            </w:pPr>
          </w:p>
        </w:tc>
        <w:tc>
          <w:tcPr>
            <w:tcW w:w="1240" w:type="dxa"/>
          </w:tcPr>
          <w:p w14:paraId="3CD7A43D">
            <w:pPr>
              <w:jc w:val="center"/>
              <w:rPr>
                <w:rFonts w:ascii="宋体" w:hAnsi="宋体" w:cs="宋体"/>
                <w:bCs/>
                <w:color w:val="auto"/>
                <w:sz w:val="24"/>
                <w:highlight w:val="none"/>
              </w:rPr>
            </w:pPr>
          </w:p>
        </w:tc>
        <w:tc>
          <w:tcPr>
            <w:tcW w:w="1785" w:type="dxa"/>
          </w:tcPr>
          <w:p w14:paraId="29A65D7C">
            <w:pPr>
              <w:jc w:val="center"/>
              <w:rPr>
                <w:rFonts w:ascii="宋体" w:hAnsi="宋体" w:cs="宋体"/>
                <w:bCs/>
                <w:color w:val="auto"/>
                <w:sz w:val="24"/>
                <w:highlight w:val="none"/>
              </w:rPr>
            </w:pPr>
          </w:p>
        </w:tc>
        <w:tc>
          <w:tcPr>
            <w:tcW w:w="1365" w:type="dxa"/>
            <w:vAlign w:val="center"/>
          </w:tcPr>
          <w:p w14:paraId="3383CE9B">
            <w:pPr>
              <w:jc w:val="center"/>
              <w:rPr>
                <w:rFonts w:ascii="宋体" w:hAnsi="宋体" w:cs="宋体"/>
                <w:bCs/>
                <w:color w:val="auto"/>
                <w:sz w:val="24"/>
                <w:highlight w:val="none"/>
              </w:rPr>
            </w:pPr>
          </w:p>
        </w:tc>
        <w:tc>
          <w:tcPr>
            <w:tcW w:w="1213" w:type="dxa"/>
            <w:vAlign w:val="center"/>
          </w:tcPr>
          <w:p w14:paraId="6ABFDE75">
            <w:pPr>
              <w:jc w:val="center"/>
              <w:rPr>
                <w:rFonts w:ascii="宋体" w:hAnsi="宋体" w:cs="宋体"/>
                <w:bCs/>
                <w:color w:val="auto"/>
                <w:sz w:val="24"/>
                <w:highlight w:val="none"/>
              </w:rPr>
            </w:pPr>
          </w:p>
        </w:tc>
        <w:tc>
          <w:tcPr>
            <w:tcW w:w="1738" w:type="dxa"/>
          </w:tcPr>
          <w:p w14:paraId="7034C848">
            <w:pPr>
              <w:jc w:val="center"/>
              <w:rPr>
                <w:rFonts w:ascii="宋体" w:hAnsi="宋体" w:cs="宋体"/>
                <w:bCs/>
                <w:color w:val="auto"/>
                <w:sz w:val="24"/>
                <w:highlight w:val="none"/>
              </w:rPr>
            </w:pPr>
          </w:p>
        </w:tc>
      </w:tr>
      <w:tr w14:paraId="603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Align w:val="center"/>
          </w:tcPr>
          <w:p w14:paraId="4EA072EE">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768" w:type="dxa"/>
            <w:vAlign w:val="center"/>
          </w:tcPr>
          <w:p w14:paraId="1115AC05">
            <w:pPr>
              <w:jc w:val="center"/>
              <w:rPr>
                <w:rFonts w:ascii="宋体" w:hAnsi="宋体" w:cs="宋体"/>
                <w:bCs/>
                <w:color w:val="auto"/>
                <w:sz w:val="24"/>
                <w:highlight w:val="none"/>
              </w:rPr>
            </w:pPr>
          </w:p>
        </w:tc>
        <w:tc>
          <w:tcPr>
            <w:tcW w:w="1240" w:type="dxa"/>
          </w:tcPr>
          <w:p w14:paraId="734F3FD2">
            <w:pPr>
              <w:jc w:val="center"/>
              <w:rPr>
                <w:rFonts w:ascii="宋体" w:hAnsi="宋体" w:cs="宋体"/>
                <w:bCs/>
                <w:color w:val="auto"/>
                <w:sz w:val="24"/>
                <w:highlight w:val="none"/>
              </w:rPr>
            </w:pPr>
          </w:p>
        </w:tc>
        <w:tc>
          <w:tcPr>
            <w:tcW w:w="1785" w:type="dxa"/>
          </w:tcPr>
          <w:p w14:paraId="31FE6B5C">
            <w:pPr>
              <w:jc w:val="center"/>
              <w:rPr>
                <w:rFonts w:ascii="宋体" w:hAnsi="宋体" w:cs="宋体"/>
                <w:bCs/>
                <w:color w:val="auto"/>
                <w:sz w:val="24"/>
                <w:highlight w:val="none"/>
              </w:rPr>
            </w:pPr>
          </w:p>
        </w:tc>
        <w:tc>
          <w:tcPr>
            <w:tcW w:w="1365" w:type="dxa"/>
            <w:vAlign w:val="center"/>
          </w:tcPr>
          <w:p w14:paraId="41E3551F">
            <w:pPr>
              <w:jc w:val="center"/>
              <w:rPr>
                <w:rFonts w:ascii="宋体" w:hAnsi="宋体" w:cs="宋体"/>
                <w:bCs/>
                <w:color w:val="auto"/>
                <w:sz w:val="24"/>
                <w:highlight w:val="none"/>
              </w:rPr>
            </w:pPr>
          </w:p>
        </w:tc>
        <w:tc>
          <w:tcPr>
            <w:tcW w:w="1213" w:type="dxa"/>
            <w:vAlign w:val="center"/>
          </w:tcPr>
          <w:p w14:paraId="2935B125">
            <w:pPr>
              <w:jc w:val="center"/>
              <w:rPr>
                <w:rFonts w:ascii="宋体" w:hAnsi="宋体" w:cs="宋体"/>
                <w:bCs/>
                <w:color w:val="auto"/>
                <w:sz w:val="24"/>
                <w:highlight w:val="none"/>
              </w:rPr>
            </w:pPr>
          </w:p>
        </w:tc>
        <w:tc>
          <w:tcPr>
            <w:tcW w:w="1738" w:type="dxa"/>
          </w:tcPr>
          <w:p w14:paraId="77F92389">
            <w:pPr>
              <w:jc w:val="center"/>
              <w:rPr>
                <w:rFonts w:ascii="宋体" w:hAnsi="宋体" w:cs="宋体"/>
                <w:bCs/>
                <w:color w:val="auto"/>
                <w:sz w:val="24"/>
                <w:highlight w:val="none"/>
              </w:rPr>
            </w:pPr>
          </w:p>
        </w:tc>
      </w:tr>
      <w:tr w14:paraId="4207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3" w:type="dxa"/>
            <w:vAlign w:val="center"/>
          </w:tcPr>
          <w:p w14:paraId="6E731482">
            <w:pPr>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768" w:type="dxa"/>
            <w:vAlign w:val="center"/>
          </w:tcPr>
          <w:p w14:paraId="680F8F8A">
            <w:pPr>
              <w:jc w:val="center"/>
              <w:rPr>
                <w:rFonts w:ascii="宋体" w:hAnsi="宋体" w:cs="宋体"/>
                <w:bCs/>
                <w:color w:val="auto"/>
                <w:sz w:val="24"/>
                <w:highlight w:val="none"/>
              </w:rPr>
            </w:pPr>
          </w:p>
        </w:tc>
        <w:tc>
          <w:tcPr>
            <w:tcW w:w="1240" w:type="dxa"/>
          </w:tcPr>
          <w:p w14:paraId="28D61391">
            <w:pPr>
              <w:jc w:val="center"/>
              <w:rPr>
                <w:rFonts w:ascii="宋体" w:hAnsi="宋体" w:cs="宋体"/>
                <w:bCs/>
                <w:color w:val="auto"/>
                <w:sz w:val="24"/>
                <w:highlight w:val="none"/>
              </w:rPr>
            </w:pPr>
          </w:p>
        </w:tc>
        <w:tc>
          <w:tcPr>
            <w:tcW w:w="1785" w:type="dxa"/>
          </w:tcPr>
          <w:p w14:paraId="3E85239E">
            <w:pPr>
              <w:jc w:val="center"/>
              <w:rPr>
                <w:rFonts w:ascii="宋体" w:hAnsi="宋体" w:cs="宋体"/>
                <w:bCs/>
                <w:color w:val="auto"/>
                <w:sz w:val="24"/>
                <w:highlight w:val="none"/>
              </w:rPr>
            </w:pPr>
          </w:p>
        </w:tc>
        <w:tc>
          <w:tcPr>
            <w:tcW w:w="1365" w:type="dxa"/>
            <w:vAlign w:val="center"/>
          </w:tcPr>
          <w:p w14:paraId="3CA56D77">
            <w:pPr>
              <w:jc w:val="center"/>
              <w:rPr>
                <w:rFonts w:ascii="宋体" w:hAnsi="宋体" w:cs="宋体"/>
                <w:bCs/>
                <w:color w:val="auto"/>
                <w:sz w:val="24"/>
                <w:highlight w:val="none"/>
              </w:rPr>
            </w:pPr>
          </w:p>
        </w:tc>
        <w:tc>
          <w:tcPr>
            <w:tcW w:w="1213" w:type="dxa"/>
            <w:vAlign w:val="center"/>
          </w:tcPr>
          <w:p w14:paraId="51A6B211">
            <w:pPr>
              <w:jc w:val="center"/>
              <w:rPr>
                <w:rFonts w:ascii="宋体" w:hAnsi="宋体" w:cs="宋体"/>
                <w:bCs/>
                <w:color w:val="auto"/>
                <w:sz w:val="24"/>
                <w:highlight w:val="none"/>
              </w:rPr>
            </w:pPr>
          </w:p>
        </w:tc>
        <w:tc>
          <w:tcPr>
            <w:tcW w:w="1738" w:type="dxa"/>
          </w:tcPr>
          <w:p w14:paraId="31F9621F">
            <w:pPr>
              <w:jc w:val="center"/>
              <w:rPr>
                <w:rFonts w:ascii="宋体" w:hAnsi="宋体" w:cs="宋体"/>
                <w:bCs/>
                <w:color w:val="auto"/>
                <w:sz w:val="24"/>
                <w:highlight w:val="none"/>
              </w:rPr>
            </w:pPr>
          </w:p>
        </w:tc>
      </w:tr>
    </w:tbl>
    <w:p w14:paraId="516A2EA4">
      <w:pPr>
        <w:spacing w:line="400" w:lineRule="exact"/>
        <w:ind w:firstLine="720" w:firstLineChars="300"/>
        <w:rPr>
          <w:rFonts w:ascii="宋体" w:hAnsi="宋体" w:cs="宋体"/>
          <w:bCs/>
          <w:color w:val="auto"/>
          <w:sz w:val="24"/>
          <w:highlight w:val="none"/>
        </w:rPr>
      </w:pPr>
    </w:p>
    <w:p w14:paraId="05A1A140">
      <w:pPr>
        <w:spacing w:line="400" w:lineRule="exact"/>
        <w:ind w:firstLine="360" w:firstLineChars="150"/>
        <w:rPr>
          <w:rFonts w:ascii="宋体" w:hAnsi="宋体" w:cs="宋体"/>
          <w:b/>
          <w:color w:val="auto"/>
          <w:sz w:val="24"/>
          <w:highlight w:val="none"/>
        </w:rPr>
      </w:pPr>
      <w:r>
        <w:rPr>
          <w:rFonts w:hint="eastAsia" w:ascii="宋体" w:hAnsi="宋体" w:cs="宋体"/>
          <w:bCs/>
          <w:color w:val="auto"/>
          <w:sz w:val="24"/>
          <w:highlight w:val="none"/>
        </w:rPr>
        <w:t>注：（业绩证明材料应提供复印件并加盖公章）</w:t>
      </w:r>
    </w:p>
    <w:p w14:paraId="21AE8AB7">
      <w:pPr>
        <w:snapToGrid w:val="0"/>
        <w:spacing w:before="50" w:after="50" w:line="26" w:lineRule="atLeast"/>
        <w:ind w:right="-817" w:rightChars="-389"/>
        <w:rPr>
          <w:rFonts w:ascii="宋体" w:hAnsi="宋体" w:cs="宋体"/>
          <w:color w:val="auto"/>
          <w:sz w:val="24"/>
          <w:highlight w:val="none"/>
        </w:rPr>
      </w:pPr>
    </w:p>
    <w:p w14:paraId="7968A1AE">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0DC30075">
      <w:pPr>
        <w:snapToGrid w:val="0"/>
        <w:spacing w:before="50" w:after="50" w:line="26" w:lineRule="atLeast"/>
        <w:ind w:right="-817" w:rightChars="-389"/>
        <w:rPr>
          <w:rFonts w:ascii="宋体" w:hAnsi="宋体" w:cs="宋体"/>
          <w:color w:val="auto"/>
          <w:sz w:val="24"/>
          <w:highlight w:val="none"/>
        </w:rPr>
      </w:pPr>
    </w:p>
    <w:p w14:paraId="40108C04">
      <w:pPr>
        <w:pStyle w:val="23"/>
        <w:ind w:firstLine="210"/>
        <w:rPr>
          <w:color w:val="auto"/>
          <w:highlight w:val="none"/>
        </w:rPr>
      </w:pPr>
    </w:p>
    <w:p w14:paraId="18A98AF1">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7E2A8C1F">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法定代表人或委托代理人（签字或盖章）：</w:t>
      </w:r>
    </w:p>
    <w:p w14:paraId="315B4AD5">
      <w:pPr>
        <w:snapToGrid w:val="0"/>
        <w:spacing w:line="360" w:lineRule="auto"/>
        <w:ind w:left="2934" w:leftChars="1397"/>
        <w:jc w:val="left"/>
        <w:rPr>
          <w:rFonts w:ascii="宋体" w:hAnsi="宋体" w:cs="宋体"/>
          <w:bCs/>
          <w:color w:val="auto"/>
          <w:sz w:val="24"/>
          <w:highlight w:val="none"/>
          <w:u w:val="single"/>
        </w:rPr>
      </w:pPr>
    </w:p>
    <w:p w14:paraId="3ACC04ED">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投标人名称（盖章）：</w:t>
      </w:r>
    </w:p>
    <w:p w14:paraId="471DCA81">
      <w:pPr>
        <w:snapToGrid w:val="0"/>
        <w:spacing w:line="360" w:lineRule="auto"/>
        <w:ind w:left="2934" w:leftChars="1397"/>
        <w:jc w:val="left"/>
        <w:rPr>
          <w:rFonts w:ascii="宋体" w:hAnsi="宋体" w:cs="宋体"/>
          <w:bCs/>
          <w:color w:val="auto"/>
          <w:sz w:val="24"/>
          <w:highlight w:val="none"/>
          <w:u w:val="single"/>
        </w:rPr>
      </w:pPr>
    </w:p>
    <w:p w14:paraId="6D5084CC">
      <w:pPr>
        <w:snapToGrid w:val="0"/>
        <w:spacing w:line="360" w:lineRule="auto"/>
        <w:jc w:val="left"/>
        <w:rPr>
          <w:rFonts w:ascii="宋体" w:hAnsi="宋体"/>
          <w:color w:val="auto"/>
          <w:sz w:val="24"/>
          <w:highlight w:val="none"/>
        </w:rPr>
        <w:sectPr>
          <w:headerReference r:id="rId3" w:type="default"/>
          <w:footerReference r:id="rId4" w:type="default"/>
          <w:pgSz w:w="11906" w:h="16838"/>
          <w:pgMar w:top="1418" w:right="964" w:bottom="1134" w:left="964" w:header="851" w:footer="992" w:gutter="0"/>
          <w:cols w:space="720" w:num="1"/>
          <w:titlePg/>
          <w:docGrid w:linePitch="312" w:charSpace="0"/>
        </w:sectPr>
      </w:pPr>
      <w:r>
        <w:rPr>
          <w:rFonts w:hint="eastAsia" w:ascii="宋体" w:hAnsi="宋体" w:cs="宋体"/>
          <w:bCs/>
          <w:color w:val="auto"/>
          <w:sz w:val="24"/>
          <w:highlight w:val="none"/>
          <w:u w:val="single"/>
        </w:rPr>
        <w:t>日期</w:t>
      </w:r>
    </w:p>
    <w:p w14:paraId="1AD4A128">
      <w:pPr>
        <w:spacing w:line="360" w:lineRule="auto"/>
        <w:rPr>
          <w:rFonts w:ascii="宋体" w:hAnsi="宋体" w:cs="宋体"/>
          <w:b/>
          <w:color w:val="auto"/>
          <w:sz w:val="24"/>
          <w:highlight w:val="none"/>
        </w:rPr>
      </w:pP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cs="宋体"/>
          <w:b/>
          <w:color w:val="auto"/>
          <w:sz w:val="24"/>
          <w:highlight w:val="none"/>
        </w:rPr>
        <w:t>拟派主要人员表</w:t>
      </w:r>
    </w:p>
    <w:p w14:paraId="62622282">
      <w:pPr>
        <w:spacing w:line="26" w:lineRule="atLeast"/>
        <w:rPr>
          <w:rFonts w:ascii="宋体" w:hAnsi="宋体" w:cs="宋体"/>
          <w:color w:val="auto"/>
          <w:sz w:val="24"/>
          <w:highlight w:val="none"/>
          <w:u w:val="single"/>
        </w:rPr>
      </w:pPr>
      <w:r>
        <w:rPr>
          <w:rFonts w:hint="eastAsia" w:ascii="宋体" w:hAnsi="宋体" w:cs="宋体"/>
          <w:color w:val="auto"/>
          <w:sz w:val="24"/>
          <w:highlight w:val="none"/>
        </w:rPr>
        <w:t>项目名称：</w:t>
      </w:r>
    </w:p>
    <w:p w14:paraId="4ABD87CB">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招标编号：</w:t>
      </w:r>
    </w:p>
    <w:p w14:paraId="48CCABFD">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投标人名称：</w:t>
      </w:r>
    </w:p>
    <w:p w14:paraId="3FD3897B">
      <w:pPr>
        <w:snapToGrid w:val="0"/>
        <w:spacing w:before="50" w:after="50" w:line="26" w:lineRule="atLeast"/>
        <w:rPr>
          <w:rFonts w:ascii="宋体" w:hAnsi="宋体" w:cs="宋体"/>
          <w:color w:val="auto"/>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619"/>
        <w:gridCol w:w="1587"/>
        <w:gridCol w:w="961"/>
      </w:tblGrid>
      <w:tr w14:paraId="4AEA5F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tcBorders>
              <w:top w:val="single" w:color="auto" w:sz="8" w:space="0"/>
              <w:left w:val="single" w:color="auto" w:sz="8" w:space="0"/>
              <w:bottom w:val="single" w:color="auto" w:sz="6" w:space="0"/>
              <w:right w:val="single" w:color="auto" w:sz="6" w:space="0"/>
            </w:tcBorders>
            <w:vAlign w:val="center"/>
          </w:tcPr>
          <w:p w14:paraId="07AEF61B">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tcBorders>
              <w:top w:val="single" w:color="auto" w:sz="8" w:space="0"/>
              <w:left w:val="single" w:color="auto" w:sz="6" w:space="0"/>
              <w:bottom w:val="single" w:color="auto" w:sz="6" w:space="0"/>
              <w:right w:val="single" w:color="auto" w:sz="6" w:space="0"/>
            </w:tcBorders>
            <w:vAlign w:val="center"/>
          </w:tcPr>
          <w:p w14:paraId="6B06BD5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tcBorders>
              <w:top w:val="single" w:color="auto" w:sz="8" w:space="0"/>
              <w:left w:val="single" w:color="auto" w:sz="6" w:space="0"/>
              <w:bottom w:val="single" w:color="auto" w:sz="6" w:space="0"/>
              <w:right w:val="single" w:color="auto" w:sz="6" w:space="0"/>
            </w:tcBorders>
            <w:vAlign w:val="center"/>
          </w:tcPr>
          <w:p w14:paraId="40709993">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tcBorders>
              <w:top w:val="single" w:color="auto" w:sz="8" w:space="0"/>
              <w:left w:val="single" w:color="auto" w:sz="6" w:space="0"/>
              <w:bottom w:val="single" w:color="auto" w:sz="6" w:space="0"/>
              <w:right w:val="single" w:color="auto" w:sz="6" w:space="0"/>
            </w:tcBorders>
            <w:vAlign w:val="center"/>
          </w:tcPr>
          <w:p w14:paraId="40AF04E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tcBorders>
              <w:top w:val="single" w:color="auto" w:sz="8" w:space="0"/>
              <w:left w:val="single" w:color="auto" w:sz="6" w:space="0"/>
              <w:bottom w:val="single" w:color="auto" w:sz="6" w:space="0"/>
              <w:right w:val="single" w:color="auto" w:sz="6" w:space="0"/>
            </w:tcBorders>
            <w:vAlign w:val="center"/>
          </w:tcPr>
          <w:p w14:paraId="4EF0E272">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tcBorders>
              <w:top w:val="single" w:color="auto" w:sz="8" w:space="0"/>
              <w:left w:val="single" w:color="auto" w:sz="6" w:space="0"/>
              <w:bottom w:val="single" w:color="auto" w:sz="6" w:space="0"/>
              <w:right w:val="single" w:color="auto" w:sz="6" w:space="0"/>
            </w:tcBorders>
            <w:vAlign w:val="center"/>
          </w:tcPr>
          <w:p w14:paraId="0DD2B11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619" w:type="dxa"/>
            <w:tcBorders>
              <w:top w:val="single" w:color="auto" w:sz="8" w:space="0"/>
              <w:left w:val="single" w:color="auto" w:sz="6" w:space="0"/>
              <w:bottom w:val="single" w:color="auto" w:sz="6" w:space="0"/>
              <w:right w:val="single" w:color="auto" w:sz="6" w:space="0"/>
            </w:tcBorders>
            <w:vAlign w:val="center"/>
          </w:tcPr>
          <w:p w14:paraId="65F8B796">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本项目拟</w:t>
            </w:r>
          </w:p>
          <w:p w14:paraId="75371B2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任的岗位</w:t>
            </w:r>
          </w:p>
        </w:tc>
        <w:tc>
          <w:tcPr>
            <w:tcW w:w="1587" w:type="dxa"/>
            <w:tcBorders>
              <w:top w:val="single" w:color="auto" w:sz="8" w:space="0"/>
              <w:left w:val="single" w:color="auto" w:sz="6" w:space="0"/>
              <w:bottom w:val="single" w:color="auto" w:sz="6" w:space="0"/>
              <w:right w:val="single" w:color="auto" w:sz="6" w:space="0"/>
            </w:tcBorders>
            <w:vAlign w:val="center"/>
          </w:tcPr>
          <w:p w14:paraId="14C3AF74">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961" w:type="dxa"/>
            <w:tcBorders>
              <w:top w:val="single" w:color="auto" w:sz="8" w:space="0"/>
              <w:left w:val="single" w:color="auto" w:sz="6" w:space="0"/>
              <w:bottom w:val="single" w:color="auto" w:sz="6" w:space="0"/>
              <w:right w:val="single" w:color="auto" w:sz="8" w:space="0"/>
            </w:tcBorders>
            <w:vAlign w:val="center"/>
          </w:tcPr>
          <w:p w14:paraId="08FC6F4C">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E03F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7308E7A">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C4097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59A904D">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FD1A9E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356211E1">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92CD442">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4D358F8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CB94AE9">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376D42C2">
            <w:pPr>
              <w:spacing w:line="400" w:lineRule="exact"/>
              <w:rPr>
                <w:rFonts w:ascii="宋体" w:hAnsi="宋体" w:cs="宋体"/>
                <w:color w:val="auto"/>
                <w:sz w:val="22"/>
                <w:highlight w:val="none"/>
              </w:rPr>
            </w:pPr>
          </w:p>
        </w:tc>
      </w:tr>
      <w:tr w14:paraId="7FC80A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B78EC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42E734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1638C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5E132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54C8B13">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2B7A6DA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A0DCC3C">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CB2378D">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8117608">
            <w:pPr>
              <w:spacing w:line="400" w:lineRule="exact"/>
              <w:rPr>
                <w:rFonts w:ascii="宋体" w:hAnsi="宋体" w:cs="宋体"/>
                <w:color w:val="auto"/>
                <w:sz w:val="22"/>
                <w:highlight w:val="none"/>
              </w:rPr>
            </w:pPr>
          </w:p>
        </w:tc>
      </w:tr>
      <w:tr w14:paraId="630224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2F557CF3">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DAFC7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C84444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2B31B6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69369D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1355404">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0D42160">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0C6F25B3">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83E50F">
            <w:pPr>
              <w:spacing w:line="400" w:lineRule="exact"/>
              <w:rPr>
                <w:rFonts w:ascii="宋体" w:hAnsi="宋体" w:cs="宋体"/>
                <w:color w:val="auto"/>
                <w:sz w:val="22"/>
                <w:highlight w:val="none"/>
              </w:rPr>
            </w:pPr>
          </w:p>
        </w:tc>
      </w:tr>
      <w:tr w14:paraId="7134FD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A6BC9E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6A3DEA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A98C165">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53F7AF0">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82F149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5DBE834A">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7D8C4D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2E78848F">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0D13C3FA">
            <w:pPr>
              <w:spacing w:line="400" w:lineRule="exact"/>
              <w:rPr>
                <w:rFonts w:ascii="宋体" w:hAnsi="宋体" w:cs="宋体"/>
                <w:color w:val="auto"/>
                <w:sz w:val="22"/>
                <w:highlight w:val="none"/>
              </w:rPr>
            </w:pPr>
          </w:p>
        </w:tc>
      </w:tr>
      <w:tr w14:paraId="61F9A4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022FF22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B61F23B">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7A3406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EFF53A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4CAC9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4DB3E46">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62715C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D137CA7">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AD52EB">
            <w:pPr>
              <w:spacing w:line="400" w:lineRule="exact"/>
              <w:rPr>
                <w:rFonts w:ascii="宋体" w:hAnsi="宋体" w:cs="宋体"/>
                <w:color w:val="auto"/>
                <w:sz w:val="22"/>
                <w:highlight w:val="none"/>
              </w:rPr>
            </w:pPr>
          </w:p>
        </w:tc>
      </w:tr>
      <w:tr w14:paraId="33FEEC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120C83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D5C171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72CB6E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BDAF21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E98A88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61F686F1">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559C586F">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0E4333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12FF5CD">
            <w:pPr>
              <w:spacing w:line="400" w:lineRule="exact"/>
              <w:rPr>
                <w:rFonts w:ascii="宋体" w:hAnsi="宋体" w:cs="宋体"/>
                <w:color w:val="auto"/>
                <w:sz w:val="22"/>
                <w:highlight w:val="none"/>
              </w:rPr>
            </w:pPr>
          </w:p>
        </w:tc>
      </w:tr>
      <w:tr w14:paraId="7C2050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706DF53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DC01A35">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75D3C9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AE4B0A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90CB43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1AA0878">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2CB2FE3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79429C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BE48B2">
            <w:pPr>
              <w:spacing w:line="400" w:lineRule="exact"/>
              <w:rPr>
                <w:rFonts w:ascii="宋体" w:hAnsi="宋体" w:cs="宋体"/>
                <w:color w:val="auto"/>
                <w:sz w:val="22"/>
                <w:highlight w:val="none"/>
              </w:rPr>
            </w:pPr>
          </w:p>
        </w:tc>
      </w:tr>
      <w:tr w14:paraId="2F7E4A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358A0AF">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0D3127B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10E18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AC19D2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52DB479">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ADAB90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4B5E082">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5C86CA2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3225A8">
            <w:pPr>
              <w:spacing w:line="400" w:lineRule="exact"/>
              <w:rPr>
                <w:rFonts w:ascii="宋体" w:hAnsi="宋体" w:cs="宋体"/>
                <w:color w:val="auto"/>
                <w:sz w:val="22"/>
                <w:highlight w:val="none"/>
              </w:rPr>
            </w:pPr>
          </w:p>
        </w:tc>
      </w:tr>
      <w:tr w14:paraId="240DD7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157468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5E61F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3E45AB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275979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C7AE3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99F18BD">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421EF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9C59851">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276C960">
            <w:pPr>
              <w:spacing w:line="400" w:lineRule="exact"/>
              <w:rPr>
                <w:rFonts w:ascii="宋体" w:hAnsi="宋体" w:cs="宋体"/>
                <w:color w:val="auto"/>
                <w:sz w:val="22"/>
                <w:highlight w:val="none"/>
              </w:rPr>
            </w:pPr>
          </w:p>
        </w:tc>
      </w:tr>
      <w:tr w14:paraId="04CC22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6EAB33F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25C8D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A6A38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7079B6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3D2BC06">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BF3E2BC">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B921A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1F839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AD81A9D">
            <w:pPr>
              <w:spacing w:line="400" w:lineRule="exact"/>
              <w:rPr>
                <w:rFonts w:ascii="宋体" w:hAnsi="宋体" w:cs="宋体"/>
                <w:color w:val="auto"/>
                <w:sz w:val="22"/>
                <w:highlight w:val="none"/>
              </w:rPr>
            </w:pPr>
          </w:p>
        </w:tc>
      </w:tr>
    </w:tbl>
    <w:p w14:paraId="510491B3">
      <w:pPr>
        <w:spacing w:line="400" w:lineRule="exact"/>
        <w:ind w:firstLine="221" w:firstLineChars="100"/>
        <w:rPr>
          <w:rFonts w:ascii="宋体" w:hAnsi="宋体" w:cs="宋体"/>
          <w:b/>
          <w:color w:val="auto"/>
          <w:sz w:val="22"/>
          <w:highlight w:val="none"/>
        </w:rPr>
      </w:pPr>
      <w:r>
        <w:rPr>
          <w:rFonts w:hint="eastAsia" w:ascii="宋体" w:hAnsi="宋体" w:cs="宋体"/>
          <w:b/>
          <w:color w:val="auto"/>
          <w:sz w:val="22"/>
          <w:highlight w:val="none"/>
        </w:rPr>
        <w:t>注：1、本表可在不改变格式的情况下根据具体需要自行增减。</w:t>
      </w:r>
    </w:p>
    <w:p w14:paraId="6C1091C9">
      <w:pPr>
        <w:spacing w:line="400" w:lineRule="exact"/>
        <w:ind w:firstLine="663" w:firstLineChars="300"/>
        <w:rPr>
          <w:rFonts w:ascii="宋体" w:hAnsi="宋体" w:cs="宋体"/>
          <w:b/>
          <w:color w:val="auto"/>
          <w:sz w:val="22"/>
          <w:highlight w:val="none"/>
        </w:rPr>
      </w:pPr>
      <w:r>
        <w:rPr>
          <w:rFonts w:hint="eastAsia" w:ascii="宋体" w:hAnsi="宋体" w:cs="宋体"/>
          <w:b/>
          <w:color w:val="auto"/>
          <w:sz w:val="22"/>
          <w:highlight w:val="none"/>
        </w:rPr>
        <w:t>2、提供本表人员的身份证、职称资格证书、认证证书等复印件加盖公章。</w:t>
      </w:r>
    </w:p>
    <w:p w14:paraId="7AFF855B">
      <w:pPr>
        <w:pStyle w:val="14"/>
        <w:spacing w:before="120" w:after="120" w:line="360" w:lineRule="auto"/>
        <w:rPr>
          <w:rFonts w:hAnsi="宋体" w:cs="宋体"/>
          <w:color w:val="auto"/>
          <w:szCs w:val="21"/>
          <w:highlight w:val="none"/>
        </w:rPr>
      </w:pPr>
    </w:p>
    <w:p w14:paraId="3098BD58">
      <w:pPr>
        <w:snapToGrid w:val="0"/>
        <w:spacing w:before="50" w:after="50"/>
        <w:ind w:left="-3" w:leftChars="-72" w:right="-817" w:rightChars="-389" w:hanging="148" w:hangingChars="62"/>
        <w:rPr>
          <w:rFonts w:ascii="宋体" w:hAnsi="宋体" w:cs="宋体"/>
          <w:color w:val="auto"/>
          <w:sz w:val="24"/>
          <w:szCs w:val="20"/>
          <w:highlight w:val="none"/>
        </w:rPr>
      </w:pPr>
      <w:r>
        <w:rPr>
          <w:rFonts w:hint="eastAsia" w:ascii="宋体" w:hAnsi="宋体" w:cs="宋体"/>
          <w:color w:val="auto"/>
          <w:sz w:val="24"/>
          <w:highlight w:val="none"/>
        </w:rPr>
        <w:t xml:space="preserve">法定代表人或授权委托人（签字或盖章）：                    </w:t>
      </w:r>
    </w:p>
    <w:p w14:paraId="18411C95">
      <w:pPr>
        <w:snapToGrid w:val="0"/>
        <w:spacing w:before="50" w:after="50"/>
        <w:ind w:left="-3" w:leftChars="-72" w:right="-817" w:rightChars="-389" w:hanging="148" w:hangingChars="62"/>
        <w:rPr>
          <w:rFonts w:ascii="宋体" w:hAnsi="宋体" w:cs="宋体"/>
          <w:color w:val="auto"/>
          <w:sz w:val="24"/>
          <w:highlight w:val="none"/>
        </w:rPr>
      </w:pPr>
    </w:p>
    <w:p w14:paraId="055AE71A">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投标人名称（盖公章）：                                </w:t>
      </w:r>
    </w:p>
    <w:p w14:paraId="3ADE5986">
      <w:pPr>
        <w:snapToGrid w:val="0"/>
        <w:spacing w:before="50" w:after="50"/>
        <w:ind w:left="-3" w:leftChars="-72" w:right="-817" w:rightChars="-389" w:hanging="148" w:hangingChars="62"/>
        <w:rPr>
          <w:rFonts w:ascii="宋体" w:hAnsi="宋体" w:cs="宋体"/>
          <w:color w:val="auto"/>
          <w:sz w:val="24"/>
          <w:highlight w:val="none"/>
        </w:rPr>
      </w:pPr>
    </w:p>
    <w:p w14:paraId="45FF8C86">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日期： </w:t>
      </w:r>
    </w:p>
    <w:p w14:paraId="535B80E1">
      <w:pPr>
        <w:pStyle w:val="23"/>
        <w:ind w:firstLine="0" w:firstLineChars="0"/>
        <w:rPr>
          <w:rFonts w:ascii="宋体" w:hAnsi="宋体" w:cs="宋体"/>
          <w:color w:val="auto"/>
          <w:sz w:val="24"/>
          <w:highlight w:val="none"/>
        </w:rPr>
        <w:sectPr>
          <w:pgSz w:w="11906" w:h="16838"/>
          <w:pgMar w:top="1440" w:right="1080" w:bottom="1440" w:left="1080" w:header="851" w:footer="992" w:gutter="0"/>
          <w:cols w:space="720" w:num="1"/>
          <w:titlePg/>
          <w:docGrid w:linePitch="312" w:charSpace="0"/>
        </w:sectPr>
      </w:pPr>
    </w:p>
    <w:p w14:paraId="0478508C">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7</w:t>
      </w:r>
      <w:r>
        <w:rPr>
          <w:rFonts w:ascii="宋体" w:hAnsi="宋体"/>
          <w:b/>
          <w:color w:val="auto"/>
          <w:sz w:val="24"/>
          <w:highlight w:val="none"/>
        </w:rPr>
        <w:t>.</w:t>
      </w:r>
      <w:r>
        <w:rPr>
          <w:rFonts w:hint="eastAsia" w:ascii="宋体" w:hAnsi="宋体"/>
          <w:b/>
          <w:color w:val="auto"/>
          <w:sz w:val="24"/>
          <w:highlight w:val="none"/>
        </w:rPr>
        <w:t>投 标 函</w:t>
      </w:r>
    </w:p>
    <w:p w14:paraId="56F22ACE">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1361F96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0D311604">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14:paraId="00F9FD62">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工</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7BDA8AF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14:paraId="6B73950E">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6B053566">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590489E9">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1EEC54CA">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2651FDB0">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788ED87B">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32F81DB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139A4E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17015810">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01187F06">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14:paraId="4B4D0751">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52146D87">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7BD58AAD">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180AD889">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4B816AF1">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794A9D40">
      <w:pPr>
        <w:spacing w:beforeLines="50" w:afterLines="50" w:line="480" w:lineRule="exact"/>
        <w:ind w:left="105" w:leftChars="50" w:right="105" w:rightChars="50"/>
        <w:rPr>
          <w:rFonts w:ascii="宋体" w:hAnsi="宋体"/>
          <w:b/>
          <w:color w:val="auto"/>
          <w:spacing w:val="20"/>
          <w:position w:val="2"/>
          <w:sz w:val="24"/>
          <w:highlight w:val="none"/>
        </w:rPr>
      </w:pPr>
      <w:r>
        <w:rPr>
          <w:rFonts w:ascii="宋体" w:hAnsi="宋体"/>
          <w:b/>
          <w:color w:val="auto"/>
          <w:spacing w:val="20"/>
          <w:position w:val="2"/>
          <w:sz w:val="24"/>
          <w:highlight w:val="none"/>
        </w:rPr>
        <w:br w:type="page"/>
      </w:r>
      <w:r>
        <w:rPr>
          <w:rFonts w:hint="eastAsia" w:ascii="宋体" w:hAnsi="宋体"/>
          <w:b/>
          <w:color w:val="auto"/>
          <w:spacing w:val="20"/>
          <w:position w:val="2"/>
          <w:sz w:val="24"/>
          <w:highlight w:val="none"/>
          <w:lang w:val="en-US" w:eastAsia="zh-CN"/>
        </w:rPr>
        <w:t>8</w:t>
      </w:r>
      <w:r>
        <w:rPr>
          <w:rFonts w:hint="eastAsia" w:ascii="宋体" w:hAnsi="宋体"/>
          <w:b/>
          <w:color w:val="auto"/>
          <w:spacing w:val="20"/>
          <w:position w:val="2"/>
          <w:sz w:val="24"/>
          <w:highlight w:val="none"/>
        </w:rPr>
        <w:t>.开标一览表</w:t>
      </w:r>
    </w:p>
    <w:p w14:paraId="07211C93">
      <w:pPr>
        <w:snapToGrid w:val="0"/>
        <w:spacing w:before="50" w:after="50"/>
        <w:rPr>
          <w:rFonts w:ascii="宋体"/>
          <w:color w:val="auto"/>
          <w:sz w:val="24"/>
          <w:highlight w:val="none"/>
        </w:rPr>
      </w:pPr>
      <w:r>
        <w:rPr>
          <w:rFonts w:hint="eastAsia" w:ascii="宋体" w:hAnsi="宋体" w:cs="宋体"/>
          <w:color w:val="auto"/>
          <w:sz w:val="24"/>
          <w:highlight w:val="none"/>
        </w:rPr>
        <w:t>投标人名称：</w:t>
      </w:r>
    </w:p>
    <w:p w14:paraId="2630EF95">
      <w:pPr>
        <w:snapToGrid w:val="0"/>
        <w:spacing w:before="50" w:after="50"/>
        <w:rPr>
          <w:rFonts w:ascii="宋体"/>
          <w:color w:val="auto"/>
          <w:sz w:val="24"/>
          <w:highlight w:val="none"/>
        </w:rPr>
      </w:pPr>
      <w:r>
        <w:rPr>
          <w:rFonts w:hint="eastAsia" w:ascii="宋体" w:hAnsi="宋体" w:cs="宋体"/>
          <w:color w:val="auto"/>
          <w:sz w:val="24"/>
          <w:highlight w:val="none"/>
        </w:rPr>
        <w:t>项目名称：</w:t>
      </w:r>
    </w:p>
    <w:p w14:paraId="3E63C5F4">
      <w:pPr>
        <w:snapToGrid w:val="0"/>
        <w:spacing w:before="50" w:after="50"/>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单位</w:t>
      </w:r>
      <w:r>
        <w:rPr>
          <w:rFonts w:ascii="宋体" w:hAnsi="宋体" w:cs="宋体"/>
          <w:color w:val="auto"/>
          <w:sz w:val="24"/>
          <w:highlight w:val="none"/>
        </w:rPr>
        <w:t>：元</w:t>
      </w:r>
    </w:p>
    <w:tbl>
      <w:tblPr>
        <w:tblStyle w:val="25"/>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439"/>
        <w:gridCol w:w="1119"/>
        <w:gridCol w:w="2908"/>
      </w:tblGrid>
      <w:tr w14:paraId="7C9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vAlign w:val="center"/>
          </w:tcPr>
          <w:p w14:paraId="305D13FB">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标项</w:t>
            </w:r>
          </w:p>
        </w:tc>
        <w:tc>
          <w:tcPr>
            <w:tcW w:w="3439" w:type="dxa"/>
            <w:vAlign w:val="center"/>
          </w:tcPr>
          <w:p w14:paraId="0D30C2A5">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内容</w:t>
            </w:r>
          </w:p>
        </w:tc>
        <w:tc>
          <w:tcPr>
            <w:tcW w:w="1119" w:type="dxa"/>
            <w:vAlign w:val="center"/>
          </w:tcPr>
          <w:p w14:paraId="06AC8B02">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数量</w:t>
            </w:r>
          </w:p>
        </w:tc>
        <w:tc>
          <w:tcPr>
            <w:tcW w:w="2908" w:type="dxa"/>
            <w:vAlign w:val="center"/>
          </w:tcPr>
          <w:p w14:paraId="64E6470B">
            <w:pPr>
              <w:spacing w:line="360" w:lineRule="auto"/>
              <w:jc w:val="center"/>
              <w:rPr>
                <w:rFonts w:hint="eastAsia" w:ascii="宋体" w:hAnsi="宋体" w:eastAsia="宋体"/>
                <w:b/>
                <w:color w:val="auto"/>
                <w:spacing w:val="-6"/>
                <w:szCs w:val="21"/>
                <w:highlight w:val="none"/>
                <w:lang w:eastAsia="zh-CN"/>
              </w:rPr>
            </w:pPr>
            <w:r>
              <w:rPr>
                <w:rFonts w:hint="eastAsia" w:ascii="宋体" w:hAnsi="宋体"/>
                <w:b/>
                <w:color w:val="auto"/>
                <w:spacing w:val="-6"/>
                <w:szCs w:val="21"/>
                <w:highlight w:val="none"/>
                <w:lang w:eastAsia="zh-CN"/>
              </w:rPr>
              <w:t>投标报价</w:t>
            </w:r>
          </w:p>
        </w:tc>
      </w:tr>
      <w:tr w14:paraId="4CE8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3" w:type="dxa"/>
            <w:vAlign w:val="center"/>
          </w:tcPr>
          <w:p w14:paraId="46FDAE9A">
            <w:pPr>
              <w:spacing w:line="380" w:lineRule="exact"/>
              <w:jc w:val="center"/>
              <w:rPr>
                <w:rFonts w:ascii="宋体" w:hAnsi="宋体"/>
                <w:b/>
                <w:color w:val="auto"/>
                <w:spacing w:val="-6"/>
                <w:szCs w:val="21"/>
                <w:highlight w:val="none"/>
              </w:rPr>
            </w:pPr>
            <w:r>
              <w:rPr>
                <w:rFonts w:hint="eastAsia" w:ascii="宋体" w:hAnsi="宋体"/>
                <w:b/>
                <w:color w:val="auto"/>
                <w:spacing w:val="-6"/>
                <w:szCs w:val="21"/>
                <w:highlight w:val="none"/>
              </w:rPr>
              <w:t>1</w:t>
            </w:r>
          </w:p>
        </w:tc>
        <w:tc>
          <w:tcPr>
            <w:tcW w:w="3439" w:type="dxa"/>
            <w:vAlign w:val="center"/>
          </w:tcPr>
          <w:p w14:paraId="5B98AE92">
            <w:pPr>
              <w:pStyle w:val="53"/>
              <w:widowControl w:val="0"/>
              <w:spacing w:afterLines="0" w:line="380" w:lineRule="exact"/>
              <w:ind w:firstLine="0" w:firstLineChars="0"/>
              <w:jc w:val="center"/>
              <w:rPr>
                <w:rFonts w:hint="eastAsia" w:eastAsia="宋体"/>
                <w:color w:val="auto"/>
                <w:highlight w:val="none"/>
                <w:lang w:eastAsia="zh-CN"/>
              </w:rPr>
            </w:pPr>
            <w:r>
              <w:rPr>
                <w:rFonts w:hint="eastAsia"/>
                <w:color w:val="auto"/>
                <w:highlight w:val="none"/>
                <w:lang w:eastAsia="zh-CN"/>
              </w:rPr>
              <w:t xml:space="preserve">2024年桐庐县百江镇高标准农田示范区建设项目-数字化大田标段 </w:t>
            </w:r>
          </w:p>
        </w:tc>
        <w:tc>
          <w:tcPr>
            <w:tcW w:w="1119" w:type="dxa"/>
            <w:vAlign w:val="center"/>
          </w:tcPr>
          <w:p w14:paraId="77A46282">
            <w:pPr>
              <w:pStyle w:val="53"/>
              <w:widowControl w:val="0"/>
              <w:spacing w:afterLines="0" w:line="380" w:lineRule="exact"/>
              <w:ind w:firstLine="0" w:firstLineChars="0"/>
              <w:jc w:val="center"/>
              <w:rPr>
                <w:color w:val="auto"/>
                <w:highlight w:val="none"/>
              </w:rPr>
            </w:pPr>
            <w:r>
              <w:rPr>
                <w:rFonts w:hint="eastAsia"/>
                <w:color w:val="auto"/>
                <w:highlight w:val="none"/>
              </w:rPr>
              <w:t>1项</w:t>
            </w:r>
          </w:p>
        </w:tc>
        <w:tc>
          <w:tcPr>
            <w:tcW w:w="2908" w:type="dxa"/>
            <w:vAlign w:val="center"/>
          </w:tcPr>
          <w:p w14:paraId="048BD22E">
            <w:pPr>
              <w:pStyle w:val="53"/>
              <w:widowControl w:val="0"/>
              <w:spacing w:afterLines="0" w:line="380" w:lineRule="exact"/>
              <w:ind w:firstLine="0" w:firstLineChars="0"/>
              <w:jc w:val="both"/>
              <w:rPr>
                <w:rFonts w:hint="eastAsia"/>
                <w:color w:val="auto"/>
                <w:highlight w:val="none"/>
                <w:u w:val="single"/>
                <w:lang w:val="en-US" w:eastAsia="zh-CN"/>
              </w:rPr>
            </w:pPr>
            <w:r>
              <w:rPr>
                <w:rFonts w:hint="eastAsia"/>
                <w:color w:val="auto"/>
                <w:highlight w:val="none"/>
                <w:lang w:eastAsia="zh-CN"/>
              </w:rPr>
              <w:t>大写：</w:t>
            </w:r>
            <w:r>
              <w:rPr>
                <w:rFonts w:hint="eastAsia"/>
                <w:color w:val="auto"/>
                <w:highlight w:val="none"/>
                <w:u w:val="single"/>
                <w:lang w:val="en-US" w:eastAsia="zh-CN"/>
              </w:rPr>
              <w:t xml:space="preserve">             </w:t>
            </w:r>
          </w:p>
          <w:p w14:paraId="6A543711">
            <w:pPr>
              <w:pStyle w:val="53"/>
              <w:widowControl w:val="0"/>
              <w:spacing w:afterLines="0" w:line="380" w:lineRule="exact"/>
              <w:ind w:firstLine="0" w:firstLineChars="0"/>
              <w:jc w:val="both"/>
              <w:rPr>
                <w:rFonts w:hint="default"/>
                <w:color w:val="auto"/>
                <w:highlight w:val="none"/>
                <w:u w:val="single"/>
                <w:lang w:val="en-US" w:eastAsia="zh-CN"/>
              </w:rPr>
            </w:pPr>
            <w:r>
              <w:rPr>
                <w:rFonts w:hint="eastAsia"/>
                <w:color w:val="auto"/>
                <w:highlight w:val="none"/>
                <w:u w:val="none"/>
                <w:lang w:val="en-US" w:eastAsia="zh-CN"/>
              </w:rPr>
              <w:t>小写：</w:t>
            </w:r>
            <w:r>
              <w:rPr>
                <w:rFonts w:hint="eastAsia"/>
                <w:color w:val="auto"/>
                <w:highlight w:val="none"/>
                <w:u w:val="single"/>
                <w:lang w:val="en-US" w:eastAsia="zh-CN"/>
              </w:rPr>
              <w:t xml:space="preserve">             </w:t>
            </w:r>
          </w:p>
        </w:tc>
      </w:tr>
    </w:tbl>
    <w:p w14:paraId="063C6101">
      <w:pPr>
        <w:snapToGrid w:val="0"/>
        <w:spacing w:before="50" w:after="50"/>
        <w:rPr>
          <w:rFonts w:ascii="宋体" w:hAnsi="宋体" w:cs="宋体"/>
          <w:color w:val="auto"/>
          <w:sz w:val="24"/>
          <w:highlight w:val="none"/>
          <w:u w:val="single"/>
        </w:rPr>
      </w:pPr>
    </w:p>
    <w:p w14:paraId="19691849">
      <w:pPr>
        <w:pStyle w:val="14"/>
        <w:spacing w:line="460" w:lineRule="atLeast"/>
        <w:rPr>
          <w:rFonts w:hAnsi="宋体"/>
          <w:color w:val="auto"/>
          <w:sz w:val="24"/>
          <w:szCs w:val="24"/>
          <w:highlight w:val="none"/>
        </w:rPr>
      </w:pPr>
      <w:r>
        <w:rPr>
          <w:rFonts w:hint="eastAsia" w:hAnsi="宋体"/>
          <w:color w:val="auto"/>
          <w:sz w:val="24"/>
          <w:szCs w:val="24"/>
          <w:highlight w:val="none"/>
        </w:rPr>
        <w:t>备注：1、大写总价与小写总价不一致，以大写总价为准。“投标报价合计”应与投标函中的“投标总报价”相一致。</w:t>
      </w:r>
    </w:p>
    <w:p w14:paraId="666CF99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highlight w:val="none"/>
        </w:rPr>
        <w:t>投标报价是履行合同的最终价格，包括设备费（包括必备的附件）、安装材料费、运输装卸费、安装调试费和税费等一切费用。本项目投标报价单价不做调整，数量按实调整。</w:t>
      </w:r>
    </w:p>
    <w:p w14:paraId="725AF46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3、投标报价不得超过招标文件设定的上限价。</w:t>
      </w:r>
    </w:p>
    <w:p w14:paraId="0CBD24F1">
      <w:pPr>
        <w:autoSpaceDE w:val="0"/>
        <w:autoSpaceDN w:val="0"/>
        <w:adjustRightInd w:val="0"/>
        <w:spacing w:line="440" w:lineRule="exact"/>
        <w:ind w:firstLine="3600" w:firstLineChars="1500"/>
        <w:rPr>
          <w:rFonts w:ascii="宋体" w:hAnsi="宋体" w:cs="仿宋_GB2312"/>
          <w:color w:val="auto"/>
          <w:kern w:val="0"/>
          <w:sz w:val="24"/>
          <w:highlight w:val="none"/>
          <w:lang w:val="zh-CN"/>
        </w:rPr>
      </w:pPr>
    </w:p>
    <w:p w14:paraId="1A66A57B">
      <w:pPr>
        <w:pStyle w:val="23"/>
        <w:ind w:firstLine="210"/>
        <w:rPr>
          <w:color w:val="auto"/>
          <w:highlight w:val="none"/>
          <w:lang w:val="zh-CN"/>
        </w:rPr>
      </w:pPr>
    </w:p>
    <w:p w14:paraId="448602CD">
      <w:pPr>
        <w:spacing w:beforeLines="50" w:afterLines="50" w:line="480" w:lineRule="exact"/>
        <w:ind w:left="2551" w:leftChars="1215" w:right="105" w:rightChars="50"/>
        <w:rPr>
          <w:rFonts w:ascii="宋体" w:hAnsi="宋体"/>
          <w:b/>
          <w:color w:val="auto"/>
          <w:spacing w:val="20"/>
          <w:position w:val="2"/>
          <w:sz w:val="24"/>
          <w:highlight w:val="none"/>
        </w:rPr>
      </w:pPr>
      <w:r>
        <w:rPr>
          <w:rFonts w:hint="eastAsia" w:ascii="宋体" w:hAnsi="宋体"/>
          <w:b/>
          <w:color w:val="auto"/>
          <w:spacing w:val="20"/>
          <w:position w:val="2"/>
          <w:sz w:val="24"/>
          <w:highlight w:val="none"/>
        </w:rPr>
        <w:t>投标人： （盖章）</w:t>
      </w:r>
    </w:p>
    <w:p w14:paraId="710F1ED3">
      <w:pPr>
        <w:spacing w:beforeLines="50" w:afterLines="50" w:line="480" w:lineRule="exact"/>
        <w:ind w:left="2551" w:leftChars="1215" w:right="105" w:rightChars="50"/>
        <w:rPr>
          <w:rFonts w:ascii="宋体" w:hAnsi="宋体"/>
          <w:b/>
          <w:color w:val="auto"/>
          <w:sz w:val="24"/>
          <w:highlight w:val="none"/>
        </w:rPr>
      </w:pPr>
      <w:r>
        <w:rPr>
          <w:rFonts w:hint="eastAsia" w:ascii="宋体" w:hAnsi="宋体"/>
          <w:b/>
          <w:color w:val="auto"/>
          <w:sz w:val="24"/>
          <w:highlight w:val="none"/>
        </w:rPr>
        <w:t>法定代表人或委托代理人：（签字或盖章）</w:t>
      </w:r>
    </w:p>
    <w:p w14:paraId="782E8574">
      <w:pPr>
        <w:spacing w:line="480" w:lineRule="exact"/>
        <w:ind w:right="105" w:rightChars="50" w:firstLine="2528" w:firstLineChars="900"/>
        <w:jc w:val="left"/>
        <w:rPr>
          <w:rFonts w:hint="eastAsia" w:ascii="宋体" w:hAnsi="宋体"/>
          <w:b/>
          <w:color w:val="auto"/>
          <w:spacing w:val="20"/>
          <w:position w:val="2"/>
          <w:sz w:val="24"/>
          <w:highlight w:val="none"/>
          <w:lang w:eastAsia="zh-CN"/>
        </w:rPr>
      </w:pPr>
      <w:r>
        <w:rPr>
          <w:rFonts w:hint="eastAsia" w:ascii="宋体" w:hAnsi="宋体"/>
          <w:b/>
          <w:color w:val="auto"/>
          <w:spacing w:val="20"/>
          <w:position w:val="2"/>
          <w:sz w:val="24"/>
          <w:highlight w:val="none"/>
        </w:rPr>
        <w:t>日 期</w:t>
      </w:r>
      <w:r>
        <w:rPr>
          <w:rFonts w:hint="eastAsia" w:ascii="宋体" w:hAnsi="宋体"/>
          <w:b/>
          <w:color w:val="auto"/>
          <w:spacing w:val="20"/>
          <w:position w:val="2"/>
          <w:sz w:val="24"/>
          <w:highlight w:val="none"/>
          <w:lang w:eastAsia="zh-CN"/>
        </w:rPr>
        <w:t>：</w:t>
      </w:r>
    </w:p>
    <w:p w14:paraId="7D682A68">
      <w:pPr>
        <w:spacing w:line="480" w:lineRule="exact"/>
        <w:ind w:left="105" w:leftChars="50" w:right="105" w:rightChars="50" w:firstLine="4200" w:firstLineChars="1750"/>
        <w:jc w:val="left"/>
        <w:rPr>
          <w:rFonts w:ascii="宋体" w:hAnsi="宋体" w:cs="仿宋_GB2312"/>
          <w:color w:val="auto"/>
          <w:kern w:val="0"/>
          <w:sz w:val="24"/>
          <w:highlight w:val="none"/>
        </w:rPr>
      </w:pPr>
    </w:p>
    <w:p w14:paraId="02B49225">
      <w:pPr>
        <w:spacing w:line="480" w:lineRule="exact"/>
        <w:ind w:left="105" w:leftChars="50" w:right="105" w:rightChars="50" w:firstLine="4200" w:firstLineChars="1750"/>
        <w:jc w:val="left"/>
        <w:rPr>
          <w:rFonts w:ascii="宋体" w:hAnsi="宋体" w:cs="仿宋_GB2312"/>
          <w:color w:val="auto"/>
          <w:kern w:val="0"/>
          <w:sz w:val="24"/>
          <w:highlight w:val="none"/>
        </w:rPr>
      </w:pPr>
    </w:p>
    <w:p w14:paraId="35729217">
      <w:pPr>
        <w:bidi w:val="0"/>
        <w:rPr>
          <w:rFonts w:hint="eastAsia"/>
          <w:color w:val="auto"/>
          <w:highlight w:val="none"/>
          <w:lang w:val="en-US" w:eastAsia="zh-CN"/>
        </w:rPr>
      </w:pPr>
    </w:p>
    <w:p w14:paraId="3DB0EEF6">
      <w:pPr>
        <w:bidi w:val="0"/>
        <w:rPr>
          <w:rFonts w:hint="eastAsia"/>
          <w:color w:val="auto"/>
          <w:highlight w:val="none"/>
          <w:lang w:val="en-US" w:eastAsia="zh-CN"/>
        </w:rPr>
      </w:pPr>
    </w:p>
    <w:p w14:paraId="1CFE2288">
      <w:pPr>
        <w:bidi w:val="0"/>
        <w:rPr>
          <w:rFonts w:hint="eastAsia"/>
          <w:color w:val="auto"/>
          <w:highlight w:val="none"/>
          <w:lang w:val="en-US" w:eastAsia="zh-CN"/>
        </w:rPr>
      </w:pPr>
    </w:p>
    <w:p w14:paraId="7F59A359">
      <w:pPr>
        <w:bidi w:val="0"/>
        <w:rPr>
          <w:rFonts w:hint="eastAsia"/>
          <w:color w:val="auto"/>
          <w:highlight w:val="none"/>
          <w:lang w:val="en-US" w:eastAsia="zh-CN"/>
        </w:rPr>
      </w:pPr>
    </w:p>
    <w:bookmarkEnd w:id="29"/>
    <w:bookmarkEnd w:id="30"/>
    <w:p w14:paraId="110FBFAE">
      <w:pPr>
        <w:tabs>
          <w:tab w:val="left" w:pos="2723"/>
        </w:tabs>
        <w:bidi w:val="0"/>
        <w:jc w:val="left"/>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03DF">
    <w:pPr>
      <w:pStyle w:val="1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1361">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20"/>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hE71QAAAAMBAAAPAAAAAAAAAAEAIAAA&#10;ACIAAABkcnMvZG93bnJldi54bWxQSwECFAAUAAAACACHTuJAmnqKX9YBAACiAwAADgAAAAAAAAAB&#10;ACAAAAAkAQAAZHJzL2Uyb0RvYy54bWxQSwUGAAAAAAYABgBZAQAAbAUAAAAA&#10;">
              <v:fill on="f" focussize="0,0"/>
              <v:stroke on="f" weight="1.25pt"/>
              <v:imagedata o:title=""/>
              <o:lock v:ext="edit" aspectratio="f"/>
              <v:textbox inset="0mm,0mm,0mm,0mm" style="mso-fit-shape-to-text:t;">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83D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2A0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C89"/>
    <w:multiLevelType w:val="singleLevel"/>
    <w:tmpl w:val="8D215C89"/>
    <w:lvl w:ilvl="0" w:tentative="0">
      <w:start w:val="1"/>
      <w:numFmt w:val="chineseCounting"/>
      <w:suff w:val="nothing"/>
      <w:lvlText w:val="%1、"/>
      <w:lvlJc w:val="left"/>
      <w:rPr>
        <w:rFonts w:hint="eastAsia"/>
      </w:rPr>
    </w:lvl>
  </w:abstractNum>
  <w:abstractNum w:abstractNumId="1">
    <w:nsid w:val="084F73A4"/>
    <w:multiLevelType w:val="singleLevel"/>
    <w:tmpl w:val="084F73A4"/>
    <w:lvl w:ilvl="0" w:tentative="0">
      <w:start w:val="1"/>
      <w:numFmt w:val="decimal"/>
      <w:pStyle w:val="8"/>
      <w:lvlText w:val="%1."/>
      <w:lvlJc w:val="left"/>
      <w:pPr>
        <w:tabs>
          <w:tab w:val="left" w:pos="360"/>
        </w:tabs>
        <w:ind w:left="360" w:hanging="360"/>
      </w:pPr>
    </w:lvl>
  </w:abstractNum>
  <w:abstractNum w:abstractNumId="2">
    <w:nsid w:val="186A3D88"/>
    <w:multiLevelType w:val="singleLevel"/>
    <w:tmpl w:val="186A3D88"/>
    <w:lvl w:ilvl="0" w:tentative="0">
      <w:start w:val="1"/>
      <w:numFmt w:val="chineseCounting"/>
      <w:suff w:val="nothing"/>
      <w:lvlText w:val="%1、"/>
      <w:lvlJc w:val="left"/>
      <w:rPr>
        <w:rFonts w:hint="eastAsia"/>
      </w:rPr>
    </w:lvl>
  </w:abstractNum>
  <w:abstractNum w:abstractNumId="3">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4">
    <w:nsid w:val="763060DB"/>
    <w:multiLevelType w:val="multilevel"/>
    <w:tmpl w:val="763060DB"/>
    <w:lvl w:ilvl="0" w:tentative="0">
      <w:start w:val="1"/>
      <w:numFmt w:val="japaneseCounting"/>
      <w:lvlText w:val="第%1章"/>
      <w:lvlJc w:val="left"/>
      <w:pPr>
        <w:tabs>
          <w:tab w:val="left" w:pos="4155"/>
        </w:tabs>
        <w:ind w:left="415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jY5ODExYWQ5MjRjMzNmN2M0MWIyZjAwZjliOTQifQ=="/>
  </w:docVars>
  <w:rsids>
    <w:rsidRoot w:val="00A139C6"/>
    <w:rsid w:val="0002510E"/>
    <w:rsid w:val="00066124"/>
    <w:rsid w:val="000B4DA6"/>
    <w:rsid w:val="000B7CB0"/>
    <w:rsid w:val="000E2D3D"/>
    <w:rsid w:val="000E783E"/>
    <w:rsid w:val="00103F8F"/>
    <w:rsid w:val="001056E8"/>
    <w:rsid w:val="00114B49"/>
    <w:rsid w:val="001531CA"/>
    <w:rsid w:val="00156E54"/>
    <w:rsid w:val="00190B3E"/>
    <w:rsid w:val="00190CC4"/>
    <w:rsid w:val="001C6359"/>
    <w:rsid w:val="001D21D5"/>
    <w:rsid w:val="002103CE"/>
    <w:rsid w:val="00236FF9"/>
    <w:rsid w:val="0029273C"/>
    <w:rsid w:val="002A0552"/>
    <w:rsid w:val="002D47C8"/>
    <w:rsid w:val="002E3440"/>
    <w:rsid w:val="003075F6"/>
    <w:rsid w:val="00317CBA"/>
    <w:rsid w:val="00327C0F"/>
    <w:rsid w:val="00337BB6"/>
    <w:rsid w:val="00343F80"/>
    <w:rsid w:val="00393C8F"/>
    <w:rsid w:val="003E63DD"/>
    <w:rsid w:val="004024D4"/>
    <w:rsid w:val="0043789B"/>
    <w:rsid w:val="00445E4E"/>
    <w:rsid w:val="0045096B"/>
    <w:rsid w:val="004573E2"/>
    <w:rsid w:val="0047316E"/>
    <w:rsid w:val="00476133"/>
    <w:rsid w:val="00476D6C"/>
    <w:rsid w:val="00501AA4"/>
    <w:rsid w:val="00513378"/>
    <w:rsid w:val="005245F0"/>
    <w:rsid w:val="00526786"/>
    <w:rsid w:val="00536736"/>
    <w:rsid w:val="005555F0"/>
    <w:rsid w:val="00584E95"/>
    <w:rsid w:val="005A5221"/>
    <w:rsid w:val="005B634C"/>
    <w:rsid w:val="005C02B9"/>
    <w:rsid w:val="005D3D03"/>
    <w:rsid w:val="00605DF4"/>
    <w:rsid w:val="00606250"/>
    <w:rsid w:val="00610F8F"/>
    <w:rsid w:val="00620E0F"/>
    <w:rsid w:val="00635338"/>
    <w:rsid w:val="00647B9E"/>
    <w:rsid w:val="006617BF"/>
    <w:rsid w:val="006636A9"/>
    <w:rsid w:val="00665A1F"/>
    <w:rsid w:val="0069722F"/>
    <w:rsid w:val="006A3BD7"/>
    <w:rsid w:val="006C216C"/>
    <w:rsid w:val="006D71A8"/>
    <w:rsid w:val="006E1D83"/>
    <w:rsid w:val="00702D8B"/>
    <w:rsid w:val="00712875"/>
    <w:rsid w:val="00715ECC"/>
    <w:rsid w:val="00722326"/>
    <w:rsid w:val="00740C64"/>
    <w:rsid w:val="00742ADD"/>
    <w:rsid w:val="007811A0"/>
    <w:rsid w:val="0079283C"/>
    <w:rsid w:val="007E1B2F"/>
    <w:rsid w:val="00844090"/>
    <w:rsid w:val="00844A82"/>
    <w:rsid w:val="00855BE8"/>
    <w:rsid w:val="00892407"/>
    <w:rsid w:val="008B6D2F"/>
    <w:rsid w:val="008E3A95"/>
    <w:rsid w:val="008E6A68"/>
    <w:rsid w:val="008F1E93"/>
    <w:rsid w:val="008F2649"/>
    <w:rsid w:val="009410B4"/>
    <w:rsid w:val="0097055F"/>
    <w:rsid w:val="00975788"/>
    <w:rsid w:val="009856E1"/>
    <w:rsid w:val="009944E4"/>
    <w:rsid w:val="009E19AD"/>
    <w:rsid w:val="00A02BB1"/>
    <w:rsid w:val="00A041F2"/>
    <w:rsid w:val="00A139C6"/>
    <w:rsid w:val="00A26247"/>
    <w:rsid w:val="00A30AB9"/>
    <w:rsid w:val="00A31304"/>
    <w:rsid w:val="00A4427C"/>
    <w:rsid w:val="00A6098D"/>
    <w:rsid w:val="00AF3378"/>
    <w:rsid w:val="00AF7D40"/>
    <w:rsid w:val="00B0201D"/>
    <w:rsid w:val="00B332DD"/>
    <w:rsid w:val="00B40BA3"/>
    <w:rsid w:val="00B73318"/>
    <w:rsid w:val="00BF065D"/>
    <w:rsid w:val="00C75835"/>
    <w:rsid w:val="00CA71ED"/>
    <w:rsid w:val="00CD23AD"/>
    <w:rsid w:val="00CE2C3B"/>
    <w:rsid w:val="00D02105"/>
    <w:rsid w:val="00D24108"/>
    <w:rsid w:val="00D4150D"/>
    <w:rsid w:val="00D51893"/>
    <w:rsid w:val="00D9360D"/>
    <w:rsid w:val="00DA6962"/>
    <w:rsid w:val="00DB1FE1"/>
    <w:rsid w:val="00DB47A7"/>
    <w:rsid w:val="00DE1DEC"/>
    <w:rsid w:val="00DF2400"/>
    <w:rsid w:val="00DF4FF7"/>
    <w:rsid w:val="00E17407"/>
    <w:rsid w:val="00E608B1"/>
    <w:rsid w:val="00E7211D"/>
    <w:rsid w:val="00EA71B8"/>
    <w:rsid w:val="00EB143E"/>
    <w:rsid w:val="00EB3251"/>
    <w:rsid w:val="00ED618B"/>
    <w:rsid w:val="00EF7183"/>
    <w:rsid w:val="00F33F66"/>
    <w:rsid w:val="00F44A07"/>
    <w:rsid w:val="00F67C3C"/>
    <w:rsid w:val="00F91414"/>
    <w:rsid w:val="00FA112A"/>
    <w:rsid w:val="00FB6103"/>
    <w:rsid w:val="00FC0963"/>
    <w:rsid w:val="00FC1225"/>
    <w:rsid w:val="00FC4609"/>
    <w:rsid w:val="00FD0626"/>
    <w:rsid w:val="00FD2BE8"/>
    <w:rsid w:val="00FD4B1D"/>
    <w:rsid w:val="00FE032B"/>
    <w:rsid w:val="011473B7"/>
    <w:rsid w:val="012B64AF"/>
    <w:rsid w:val="01395070"/>
    <w:rsid w:val="01644352"/>
    <w:rsid w:val="029F503E"/>
    <w:rsid w:val="02D31DB7"/>
    <w:rsid w:val="02F32E07"/>
    <w:rsid w:val="03372BDE"/>
    <w:rsid w:val="03570B2C"/>
    <w:rsid w:val="043556B5"/>
    <w:rsid w:val="047F2744"/>
    <w:rsid w:val="049B1BBF"/>
    <w:rsid w:val="04A56402"/>
    <w:rsid w:val="0550391B"/>
    <w:rsid w:val="059211F2"/>
    <w:rsid w:val="05BC381C"/>
    <w:rsid w:val="05CA0B3E"/>
    <w:rsid w:val="05DB66F5"/>
    <w:rsid w:val="06032B60"/>
    <w:rsid w:val="066D219D"/>
    <w:rsid w:val="067C00F5"/>
    <w:rsid w:val="06AB60C8"/>
    <w:rsid w:val="06BD481F"/>
    <w:rsid w:val="06F51A39"/>
    <w:rsid w:val="07375BAD"/>
    <w:rsid w:val="07541B99"/>
    <w:rsid w:val="079E5C2C"/>
    <w:rsid w:val="07E55609"/>
    <w:rsid w:val="07FD17DC"/>
    <w:rsid w:val="080A32C2"/>
    <w:rsid w:val="08276DEE"/>
    <w:rsid w:val="08716E9D"/>
    <w:rsid w:val="08B95574"/>
    <w:rsid w:val="08F81AB7"/>
    <w:rsid w:val="09093EA8"/>
    <w:rsid w:val="09B856AC"/>
    <w:rsid w:val="0A320086"/>
    <w:rsid w:val="0A8D3D36"/>
    <w:rsid w:val="0AC736EC"/>
    <w:rsid w:val="0ADA51CD"/>
    <w:rsid w:val="0B291CB1"/>
    <w:rsid w:val="0B570B11"/>
    <w:rsid w:val="0B9C6927"/>
    <w:rsid w:val="0BD24168"/>
    <w:rsid w:val="0C9377D8"/>
    <w:rsid w:val="0CB91E30"/>
    <w:rsid w:val="0CB960EA"/>
    <w:rsid w:val="0E2941D4"/>
    <w:rsid w:val="0E311F05"/>
    <w:rsid w:val="0E485F85"/>
    <w:rsid w:val="0E534AE1"/>
    <w:rsid w:val="0F0740B7"/>
    <w:rsid w:val="0F372A10"/>
    <w:rsid w:val="0F377C18"/>
    <w:rsid w:val="0F3D5DB7"/>
    <w:rsid w:val="0F4A0448"/>
    <w:rsid w:val="0F53091D"/>
    <w:rsid w:val="0F63097F"/>
    <w:rsid w:val="0F933B9D"/>
    <w:rsid w:val="0FC67BF2"/>
    <w:rsid w:val="0FCE2E27"/>
    <w:rsid w:val="0FD56288"/>
    <w:rsid w:val="10545AEF"/>
    <w:rsid w:val="10947326"/>
    <w:rsid w:val="10DC1574"/>
    <w:rsid w:val="11154CEA"/>
    <w:rsid w:val="11DE7533"/>
    <w:rsid w:val="12085D3A"/>
    <w:rsid w:val="12445622"/>
    <w:rsid w:val="1299159B"/>
    <w:rsid w:val="146A1F96"/>
    <w:rsid w:val="148D505F"/>
    <w:rsid w:val="15113833"/>
    <w:rsid w:val="154141BE"/>
    <w:rsid w:val="15B22B1C"/>
    <w:rsid w:val="15B30AF5"/>
    <w:rsid w:val="15BB7360"/>
    <w:rsid w:val="166D7F44"/>
    <w:rsid w:val="16CB04F1"/>
    <w:rsid w:val="16EB58FD"/>
    <w:rsid w:val="179B0B0D"/>
    <w:rsid w:val="179D1A5D"/>
    <w:rsid w:val="17BB32AF"/>
    <w:rsid w:val="17C53D06"/>
    <w:rsid w:val="1831583C"/>
    <w:rsid w:val="183269FC"/>
    <w:rsid w:val="186B3909"/>
    <w:rsid w:val="187A6A62"/>
    <w:rsid w:val="189A5F9C"/>
    <w:rsid w:val="18A8749F"/>
    <w:rsid w:val="18FF04FE"/>
    <w:rsid w:val="19246A0B"/>
    <w:rsid w:val="19744A3F"/>
    <w:rsid w:val="19751590"/>
    <w:rsid w:val="19766A09"/>
    <w:rsid w:val="199822B8"/>
    <w:rsid w:val="19B66E06"/>
    <w:rsid w:val="19D379B8"/>
    <w:rsid w:val="19E46493"/>
    <w:rsid w:val="19F64268"/>
    <w:rsid w:val="1A4E703E"/>
    <w:rsid w:val="1A6156EF"/>
    <w:rsid w:val="1A6A58A1"/>
    <w:rsid w:val="1B5B6566"/>
    <w:rsid w:val="1BE8301C"/>
    <w:rsid w:val="1BFB6E27"/>
    <w:rsid w:val="1C2C1601"/>
    <w:rsid w:val="1C3438EB"/>
    <w:rsid w:val="1C527208"/>
    <w:rsid w:val="1C9B5EE2"/>
    <w:rsid w:val="1C9B5FE2"/>
    <w:rsid w:val="1DC651AE"/>
    <w:rsid w:val="1DDE252B"/>
    <w:rsid w:val="1E05210A"/>
    <w:rsid w:val="1E5C7D08"/>
    <w:rsid w:val="1E8E0344"/>
    <w:rsid w:val="1E935967"/>
    <w:rsid w:val="1F525822"/>
    <w:rsid w:val="1F5E66A2"/>
    <w:rsid w:val="1F6364A1"/>
    <w:rsid w:val="1F716968"/>
    <w:rsid w:val="1FD71884"/>
    <w:rsid w:val="1FE02DE5"/>
    <w:rsid w:val="20A538D8"/>
    <w:rsid w:val="20B02E89"/>
    <w:rsid w:val="20E309A6"/>
    <w:rsid w:val="216B2C1A"/>
    <w:rsid w:val="21D02A2F"/>
    <w:rsid w:val="21DA565B"/>
    <w:rsid w:val="21FE03AF"/>
    <w:rsid w:val="221F4465"/>
    <w:rsid w:val="222C1D3E"/>
    <w:rsid w:val="225C2514"/>
    <w:rsid w:val="22BA5BB9"/>
    <w:rsid w:val="22D402FC"/>
    <w:rsid w:val="23615FB0"/>
    <w:rsid w:val="2366325C"/>
    <w:rsid w:val="237F2512"/>
    <w:rsid w:val="23843B36"/>
    <w:rsid w:val="23A7428B"/>
    <w:rsid w:val="2422350E"/>
    <w:rsid w:val="24B97B65"/>
    <w:rsid w:val="24BE227A"/>
    <w:rsid w:val="250015BF"/>
    <w:rsid w:val="25073CB6"/>
    <w:rsid w:val="25261CB0"/>
    <w:rsid w:val="256B38F9"/>
    <w:rsid w:val="25B274BA"/>
    <w:rsid w:val="25B966E0"/>
    <w:rsid w:val="25CD7992"/>
    <w:rsid w:val="261179B5"/>
    <w:rsid w:val="263E317D"/>
    <w:rsid w:val="26416A11"/>
    <w:rsid w:val="26AB4D95"/>
    <w:rsid w:val="26B96FD8"/>
    <w:rsid w:val="26F879AF"/>
    <w:rsid w:val="27147861"/>
    <w:rsid w:val="271E2A35"/>
    <w:rsid w:val="27637EA1"/>
    <w:rsid w:val="278E3170"/>
    <w:rsid w:val="27B971F3"/>
    <w:rsid w:val="27D16B3F"/>
    <w:rsid w:val="27FE5726"/>
    <w:rsid w:val="28446BDF"/>
    <w:rsid w:val="289F174B"/>
    <w:rsid w:val="28E5130A"/>
    <w:rsid w:val="291B0E2C"/>
    <w:rsid w:val="292D69B8"/>
    <w:rsid w:val="294F692F"/>
    <w:rsid w:val="29792D36"/>
    <w:rsid w:val="299D58EC"/>
    <w:rsid w:val="29A70519"/>
    <w:rsid w:val="2A037928"/>
    <w:rsid w:val="2A36189D"/>
    <w:rsid w:val="2A6D3510"/>
    <w:rsid w:val="2A887ED8"/>
    <w:rsid w:val="2B12589E"/>
    <w:rsid w:val="2B7935AF"/>
    <w:rsid w:val="2C2D310D"/>
    <w:rsid w:val="2C2E719C"/>
    <w:rsid w:val="2CDC792B"/>
    <w:rsid w:val="2D1F736F"/>
    <w:rsid w:val="2DBA2E0B"/>
    <w:rsid w:val="2E220AB6"/>
    <w:rsid w:val="2ED129D7"/>
    <w:rsid w:val="2EE846BD"/>
    <w:rsid w:val="2F0562EB"/>
    <w:rsid w:val="2F3445FD"/>
    <w:rsid w:val="2F983987"/>
    <w:rsid w:val="2FC75471"/>
    <w:rsid w:val="2FC7668E"/>
    <w:rsid w:val="2FD933F6"/>
    <w:rsid w:val="2FF975F4"/>
    <w:rsid w:val="300930AE"/>
    <w:rsid w:val="30150224"/>
    <w:rsid w:val="306E1EC1"/>
    <w:rsid w:val="30A21CC5"/>
    <w:rsid w:val="30B70DAA"/>
    <w:rsid w:val="31216E03"/>
    <w:rsid w:val="312E1520"/>
    <w:rsid w:val="312E220D"/>
    <w:rsid w:val="31446865"/>
    <w:rsid w:val="31503B28"/>
    <w:rsid w:val="31813D3E"/>
    <w:rsid w:val="31D97811"/>
    <w:rsid w:val="32317519"/>
    <w:rsid w:val="3256624B"/>
    <w:rsid w:val="32B90F1F"/>
    <w:rsid w:val="32EF6BBC"/>
    <w:rsid w:val="34594B05"/>
    <w:rsid w:val="345C332C"/>
    <w:rsid w:val="34CF439C"/>
    <w:rsid w:val="34D75DBA"/>
    <w:rsid w:val="350A0244"/>
    <w:rsid w:val="35415CC5"/>
    <w:rsid w:val="354535B9"/>
    <w:rsid w:val="356C5546"/>
    <w:rsid w:val="35862349"/>
    <w:rsid w:val="35AD269B"/>
    <w:rsid w:val="36ED4BFB"/>
    <w:rsid w:val="37265173"/>
    <w:rsid w:val="376F75C7"/>
    <w:rsid w:val="37741019"/>
    <w:rsid w:val="37A4078E"/>
    <w:rsid w:val="37D11B96"/>
    <w:rsid w:val="37DE3270"/>
    <w:rsid w:val="37EE5E3A"/>
    <w:rsid w:val="38506549"/>
    <w:rsid w:val="38A547BD"/>
    <w:rsid w:val="38BD38B5"/>
    <w:rsid w:val="39237ACB"/>
    <w:rsid w:val="39B2476E"/>
    <w:rsid w:val="3A9B7C54"/>
    <w:rsid w:val="3B223EA3"/>
    <w:rsid w:val="3B552E28"/>
    <w:rsid w:val="3B55433A"/>
    <w:rsid w:val="3B6F6D08"/>
    <w:rsid w:val="3B7B6A49"/>
    <w:rsid w:val="3BFD3A52"/>
    <w:rsid w:val="3C0F5D01"/>
    <w:rsid w:val="3C5E715D"/>
    <w:rsid w:val="3C6F3A4A"/>
    <w:rsid w:val="3C701FC2"/>
    <w:rsid w:val="3D5D4658"/>
    <w:rsid w:val="3DA87BCD"/>
    <w:rsid w:val="3DB4451E"/>
    <w:rsid w:val="3E057CB4"/>
    <w:rsid w:val="3E463404"/>
    <w:rsid w:val="3E6D3687"/>
    <w:rsid w:val="3EDA50E9"/>
    <w:rsid w:val="3EE037B8"/>
    <w:rsid w:val="3EE226C5"/>
    <w:rsid w:val="3EEA61FB"/>
    <w:rsid w:val="3EEB1340"/>
    <w:rsid w:val="3EF6262B"/>
    <w:rsid w:val="3F10189F"/>
    <w:rsid w:val="3FD57E98"/>
    <w:rsid w:val="3FD77FBC"/>
    <w:rsid w:val="3FF027C2"/>
    <w:rsid w:val="40C4228E"/>
    <w:rsid w:val="412130E0"/>
    <w:rsid w:val="4169503B"/>
    <w:rsid w:val="4180784A"/>
    <w:rsid w:val="41C061C4"/>
    <w:rsid w:val="423B19A8"/>
    <w:rsid w:val="4243519E"/>
    <w:rsid w:val="424401C9"/>
    <w:rsid w:val="424C431B"/>
    <w:rsid w:val="429351BF"/>
    <w:rsid w:val="42CD6DEA"/>
    <w:rsid w:val="42D00998"/>
    <w:rsid w:val="42EB59BD"/>
    <w:rsid w:val="43032909"/>
    <w:rsid w:val="4304261B"/>
    <w:rsid w:val="445D5F4C"/>
    <w:rsid w:val="446817D6"/>
    <w:rsid w:val="44D206E8"/>
    <w:rsid w:val="44E43BF4"/>
    <w:rsid w:val="44E71A39"/>
    <w:rsid w:val="44EB3558"/>
    <w:rsid w:val="4590465C"/>
    <w:rsid w:val="45A6681C"/>
    <w:rsid w:val="45BA2751"/>
    <w:rsid w:val="45BA68A7"/>
    <w:rsid w:val="464949DA"/>
    <w:rsid w:val="465810C1"/>
    <w:rsid w:val="46655989"/>
    <w:rsid w:val="4679084C"/>
    <w:rsid w:val="468C2B19"/>
    <w:rsid w:val="469C5726"/>
    <w:rsid w:val="46E04B14"/>
    <w:rsid w:val="46F34946"/>
    <w:rsid w:val="46FB68B7"/>
    <w:rsid w:val="47446987"/>
    <w:rsid w:val="47822CC0"/>
    <w:rsid w:val="479B74B7"/>
    <w:rsid w:val="47A80038"/>
    <w:rsid w:val="47BD1B53"/>
    <w:rsid w:val="48004C2D"/>
    <w:rsid w:val="4802267D"/>
    <w:rsid w:val="481325CB"/>
    <w:rsid w:val="484054DD"/>
    <w:rsid w:val="48A2638E"/>
    <w:rsid w:val="48BA4827"/>
    <w:rsid w:val="48BD16AF"/>
    <w:rsid w:val="48F454C0"/>
    <w:rsid w:val="49066BB2"/>
    <w:rsid w:val="4924651B"/>
    <w:rsid w:val="49DB5E2A"/>
    <w:rsid w:val="4A0A26D2"/>
    <w:rsid w:val="4A5D4FB9"/>
    <w:rsid w:val="4A6C6EE9"/>
    <w:rsid w:val="4AA11227"/>
    <w:rsid w:val="4AC565F9"/>
    <w:rsid w:val="4AD14F9E"/>
    <w:rsid w:val="4B370FD5"/>
    <w:rsid w:val="4B46746A"/>
    <w:rsid w:val="4B5D4A84"/>
    <w:rsid w:val="4B9F6E4A"/>
    <w:rsid w:val="4BD24EF9"/>
    <w:rsid w:val="4C0A7203"/>
    <w:rsid w:val="4C101B77"/>
    <w:rsid w:val="4C3D7BCC"/>
    <w:rsid w:val="4C5715E9"/>
    <w:rsid w:val="4C83676C"/>
    <w:rsid w:val="4C9269AF"/>
    <w:rsid w:val="4C9C0B16"/>
    <w:rsid w:val="4D203A7E"/>
    <w:rsid w:val="4D6761CB"/>
    <w:rsid w:val="4D6B4F55"/>
    <w:rsid w:val="4D9D7E4D"/>
    <w:rsid w:val="4DAF3ED9"/>
    <w:rsid w:val="4E256286"/>
    <w:rsid w:val="4E2646C0"/>
    <w:rsid w:val="4EC36AA5"/>
    <w:rsid w:val="4F1F7AFC"/>
    <w:rsid w:val="4F3330A7"/>
    <w:rsid w:val="4F443F90"/>
    <w:rsid w:val="4F876573"/>
    <w:rsid w:val="4F882685"/>
    <w:rsid w:val="4F971BA3"/>
    <w:rsid w:val="50267B3A"/>
    <w:rsid w:val="502D3266"/>
    <w:rsid w:val="50B83409"/>
    <w:rsid w:val="50BA0B02"/>
    <w:rsid w:val="511D0D77"/>
    <w:rsid w:val="5145340B"/>
    <w:rsid w:val="51953212"/>
    <w:rsid w:val="520E5D83"/>
    <w:rsid w:val="522D3402"/>
    <w:rsid w:val="524E5126"/>
    <w:rsid w:val="52527700"/>
    <w:rsid w:val="529A47B9"/>
    <w:rsid w:val="529B480F"/>
    <w:rsid w:val="52A1794C"/>
    <w:rsid w:val="535058A7"/>
    <w:rsid w:val="53530C46"/>
    <w:rsid w:val="544B7B6F"/>
    <w:rsid w:val="5471223B"/>
    <w:rsid w:val="54ED6E78"/>
    <w:rsid w:val="55D10546"/>
    <w:rsid w:val="55D9153C"/>
    <w:rsid w:val="55DE2FB4"/>
    <w:rsid w:val="55FB26A1"/>
    <w:rsid w:val="56355705"/>
    <w:rsid w:val="563665FD"/>
    <w:rsid w:val="563A15EF"/>
    <w:rsid w:val="56721D2E"/>
    <w:rsid w:val="57121B06"/>
    <w:rsid w:val="575C2CD0"/>
    <w:rsid w:val="57C87748"/>
    <w:rsid w:val="57D57CC2"/>
    <w:rsid w:val="58496ABB"/>
    <w:rsid w:val="587C29ED"/>
    <w:rsid w:val="58CA32B4"/>
    <w:rsid w:val="58F16DF2"/>
    <w:rsid w:val="591746CB"/>
    <w:rsid w:val="5947326F"/>
    <w:rsid w:val="599F44A1"/>
    <w:rsid w:val="59AD4E28"/>
    <w:rsid w:val="59D15BB1"/>
    <w:rsid w:val="59D46D07"/>
    <w:rsid w:val="5A3B68D8"/>
    <w:rsid w:val="5A5A4FB0"/>
    <w:rsid w:val="5AA760DC"/>
    <w:rsid w:val="5B036727"/>
    <w:rsid w:val="5B0730E9"/>
    <w:rsid w:val="5B3C2907"/>
    <w:rsid w:val="5B7F5ADF"/>
    <w:rsid w:val="5BAC4CDC"/>
    <w:rsid w:val="5BEE5DD0"/>
    <w:rsid w:val="5BFF35E1"/>
    <w:rsid w:val="5D042FB1"/>
    <w:rsid w:val="5D9F24CC"/>
    <w:rsid w:val="5DB6074F"/>
    <w:rsid w:val="5DFE7A32"/>
    <w:rsid w:val="5ED8301D"/>
    <w:rsid w:val="5F055CA5"/>
    <w:rsid w:val="5F094892"/>
    <w:rsid w:val="5FC058B5"/>
    <w:rsid w:val="6047263F"/>
    <w:rsid w:val="60DD47E0"/>
    <w:rsid w:val="61502C69"/>
    <w:rsid w:val="61D76EE6"/>
    <w:rsid w:val="62AE3B4D"/>
    <w:rsid w:val="636E5628"/>
    <w:rsid w:val="63836581"/>
    <w:rsid w:val="63E354F0"/>
    <w:rsid w:val="63F21DB5"/>
    <w:rsid w:val="641B0F20"/>
    <w:rsid w:val="64354769"/>
    <w:rsid w:val="643B637A"/>
    <w:rsid w:val="65197815"/>
    <w:rsid w:val="651F0203"/>
    <w:rsid w:val="65BF4C54"/>
    <w:rsid w:val="66666BF8"/>
    <w:rsid w:val="666C3444"/>
    <w:rsid w:val="66791B58"/>
    <w:rsid w:val="66837C48"/>
    <w:rsid w:val="6708637A"/>
    <w:rsid w:val="67430BF2"/>
    <w:rsid w:val="675A3074"/>
    <w:rsid w:val="676C4773"/>
    <w:rsid w:val="67892392"/>
    <w:rsid w:val="681C5653"/>
    <w:rsid w:val="683805B6"/>
    <w:rsid w:val="68527E66"/>
    <w:rsid w:val="689E0B09"/>
    <w:rsid w:val="68B72522"/>
    <w:rsid w:val="68EB7ABC"/>
    <w:rsid w:val="6914371D"/>
    <w:rsid w:val="697551C8"/>
    <w:rsid w:val="697B37CA"/>
    <w:rsid w:val="69C8788B"/>
    <w:rsid w:val="69F907E9"/>
    <w:rsid w:val="69FC1BE0"/>
    <w:rsid w:val="6A631351"/>
    <w:rsid w:val="6ABC128E"/>
    <w:rsid w:val="6AC50223"/>
    <w:rsid w:val="6B1116BB"/>
    <w:rsid w:val="6B411B54"/>
    <w:rsid w:val="6B710834"/>
    <w:rsid w:val="6B9F6CC6"/>
    <w:rsid w:val="6BC95AF1"/>
    <w:rsid w:val="6C150D37"/>
    <w:rsid w:val="6C5B3FAA"/>
    <w:rsid w:val="6C6627AF"/>
    <w:rsid w:val="6C893CB1"/>
    <w:rsid w:val="6CF14AE8"/>
    <w:rsid w:val="6CFC1CD2"/>
    <w:rsid w:val="6D0F039F"/>
    <w:rsid w:val="6D8702B2"/>
    <w:rsid w:val="6E330556"/>
    <w:rsid w:val="6EEF1AE8"/>
    <w:rsid w:val="6F081520"/>
    <w:rsid w:val="6F1B52F1"/>
    <w:rsid w:val="6F3E67F6"/>
    <w:rsid w:val="6F67169E"/>
    <w:rsid w:val="6F742218"/>
    <w:rsid w:val="6F765F90"/>
    <w:rsid w:val="6F857F81"/>
    <w:rsid w:val="6FCC0D4E"/>
    <w:rsid w:val="70205EFC"/>
    <w:rsid w:val="70700649"/>
    <w:rsid w:val="707C7F92"/>
    <w:rsid w:val="70F76C5D"/>
    <w:rsid w:val="71164CCF"/>
    <w:rsid w:val="711E37A1"/>
    <w:rsid w:val="718304F0"/>
    <w:rsid w:val="71A031CF"/>
    <w:rsid w:val="71AF12E6"/>
    <w:rsid w:val="71C11D77"/>
    <w:rsid w:val="721101F2"/>
    <w:rsid w:val="72332E5E"/>
    <w:rsid w:val="72663F9C"/>
    <w:rsid w:val="72A42E14"/>
    <w:rsid w:val="72D03C09"/>
    <w:rsid w:val="73294D6F"/>
    <w:rsid w:val="738A200A"/>
    <w:rsid w:val="73A35A1D"/>
    <w:rsid w:val="743A1CD5"/>
    <w:rsid w:val="74401E3C"/>
    <w:rsid w:val="744C5512"/>
    <w:rsid w:val="745E6FF3"/>
    <w:rsid w:val="749874CC"/>
    <w:rsid w:val="749A2558"/>
    <w:rsid w:val="753A7A60"/>
    <w:rsid w:val="75DD6D9D"/>
    <w:rsid w:val="760636E6"/>
    <w:rsid w:val="76A20AB6"/>
    <w:rsid w:val="76B7084E"/>
    <w:rsid w:val="777E5C7B"/>
    <w:rsid w:val="77882D05"/>
    <w:rsid w:val="779E2611"/>
    <w:rsid w:val="77EA34D4"/>
    <w:rsid w:val="787B63C5"/>
    <w:rsid w:val="79F93A46"/>
    <w:rsid w:val="79FF3026"/>
    <w:rsid w:val="7AA70489"/>
    <w:rsid w:val="7AFD57B8"/>
    <w:rsid w:val="7B114DBF"/>
    <w:rsid w:val="7C4473F6"/>
    <w:rsid w:val="7C707121"/>
    <w:rsid w:val="7C7E7F1B"/>
    <w:rsid w:val="7CBD3FBA"/>
    <w:rsid w:val="7CD54F91"/>
    <w:rsid w:val="7D1331F6"/>
    <w:rsid w:val="7D5F72C3"/>
    <w:rsid w:val="7D891584"/>
    <w:rsid w:val="7D935CBD"/>
    <w:rsid w:val="7DAC6785"/>
    <w:rsid w:val="7DDC0FFC"/>
    <w:rsid w:val="7E26326C"/>
    <w:rsid w:val="7E5B1AAC"/>
    <w:rsid w:val="7F1971B9"/>
    <w:rsid w:val="7F5856E2"/>
    <w:rsid w:val="7F633869"/>
    <w:rsid w:val="7F89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9"/>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40"/>
    <w:autoRedefine/>
    <w:qFormat/>
    <w:uiPriority w:val="0"/>
    <w:pPr>
      <w:keepNext/>
      <w:keepLines/>
      <w:numPr>
        <w:ilvl w:val="4"/>
        <w:numId w:val="1"/>
      </w:numPr>
      <w:snapToGrid w:val="0"/>
      <w:spacing w:beforeLines="50"/>
      <w:jc w:val="left"/>
      <w:outlineLvl w:val="4"/>
    </w:pPr>
    <w:rPr>
      <w:rFonts w:eastAsia="黑体"/>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List Number"/>
    <w:basedOn w:val="1"/>
    <w:next w:val="9"/>
    <w:autoRedefine/>
    <w:qFormat/>
    <w:uiPriority w:val="0"/>
    <w:pPr>
      <w:numPr>
        <w:ilvl w:val="0"/>
        <w:numId w:val="2"/>
      </w:numPr>
    </w:pPr>
  </w:style>
  <w:style w:type="paragraph" w:styleId="9">
    <w:name w:val="Balloon Text"/>
    <w:basedOn w:val="1"/>
    <w:next w:val="10"/>
    <w:link w:val="56"/>
    <w:autoRedefine/>
    <w:qFormat/>
    <w:uiPriority w:val="0"/>
    <w:rPr>
      <w:sz w:val="18"/>
      <w:szCs w:val="18"/>
    </w:rPr>
  </w:style>
  <w:style w:type="paragraph" w:styleId="10">
    <w:name w:val="toc 8"/>
    <w:basedOn w:val="1"/>
    <w:next w:val="1"/>
    <w:autoRedefine/>
    <w:semiHidden/>
    <w:qFormat/>
    <w:uiPriority w:val="0"/>
    <w:pPr>
      <w:ind w:left="1470"/>
      <w:jc w:val="left"/>
    </w:pPr>
    <w:rPr>
      <w:sz w:val="18"/>
      <w:szCs w:val="18"/>
    </w:rPr>
  </w:style>
  <w:style w:type="paragraph" w:styleId="11">
    <w:name w:val="Normal Indent"/>
    <w:basedOn w:val="1"/>
    <w:qFormat/>
    <w:uiPriority w:val="0"/>
    <w:pPr>
      <w:ind w:firstLine="420" w:firstLineChars="200"/>
    </w:pPr>
  </w:style>
  <w:style w:type="paragraph" w:styleId="12">
    <w:name w:val="Body Text"/>
    <w:basedOn w:val="1"/>
    <w:next w:val="1"/>
    <w:link w:val="42"/>
    <w:autoRedefine/>
    <w:unhideWhenUsed/>
    <w:qFormat/>
    <w:uiPriority w:val="0"/>
    <w:pPr>
      <w:spacing w:after="120"/>
    </w:pPr>
  </w:style>
  <w:style w:type="paragraph" w:styleId="13">
    <w:name w:val="Body Text Indent"/>
    <w:basedOn w:val="1"/>
    <w:next w:val="8"/>
    <w:link w:val="47"/>
    <w:autoRedefine/>
    <w:qFormat/>
    <w:uiPriority w:val="0"/>
    <w:pPr>
      <w:spacing w:after="120"/>
      <w:ind w:left="420" w:leftChars="200"/>
    </w:pPr>
  </w:style>
  <w:style w:type="paragraph" w:styleId="14">
    <w:name w:val="Plain Text"/>
    <w:basedOn w:val="1"/>
    <w:next w:val="1"/>
    <w:link w:val="48"/>
    <w:qFormat/>
    <w:uiPriority w:val="0"/>
    <w:rPr>
      <w:rFonts w:ascii="宋体" w:hAnsi="Courier New"/>
      <w:szCs w:val="20"/>
    </w:rPr>
  </w:style>
  <w:style w:type="paragraph" w:styleId="15">
    <w:name w:val="Date"/>
    <w:basedOn w:val="1"/>
    <w:next w:val="1"/>
    <w:qFormat/>
    <w:uiPriority w:val="0"/>
    <w:pPr>
      <w:ind w:left="100"/>
    </w:pPr>
    <w:rPr>
      <w:sz w:val="28"/>
      <w:szCs w:val="20"/>
    </w:rPr>
  </w:style>
  <w:style w:type="paragraph" w:styleId="16">
    <w:name w:val="footer"/>
    <w:basedOn w:val="1"/>
    <w:link w:val="46"/>
    <w:autoRedefine/>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afterLines="50"/>
      <w:jc w:val="center"/>
    </w:pPr>
    <w:rPr>
      <w:rFonts w:eastAsia="Times New Roman"/>
      <w:sz w:val="18"/>
      <w:szCs w:val="18"/>
    </w:rPr>
  </w:style>
  <w:style w:type="paragraph" w:styleId="19">
    <w:name w:val="toc 6"/>
    <w:basedOn w:val="1"/>
    <w:next w:val="1"/>
    <w:autoRedefine/>
    <w:semiHidden/>
    <w:qFormat/>
    <w:uiPriority w:val="0"/>
    <w:pPr>
      <w:ind w:left="1050"/>
      <w:jc w:val="left"/>
    </w:pPr>
    <w:rPr>
      <w:sz w:val="18"/>
      <w:szCs w:val="18"/>
    </w:rPr>
  </w:style>
  <w:style w:type="paragraph" w:styleId="20">
    <w:name w:val="Body Text 2"/>
    <w:basedOn w:val="1"/>
    <w:link w:val="45"/>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44"/>
    <w:qFormat/>
    <w:uiPriority w:val="0"/>
    <w:pPr>
      <w:widowControl/>
      <w:spacing w:before="240" w:after="60"/>
      <w:jc w:val="center"/>
      <w:outlineLvl w:val="0"/>
    </w:pPr>
    <w:rPr>
      <w:rFonts w:ascii="@华文中宋" w:hAnsi="@华文中宋"/>
      <w:b/>
      <w:bCs/>
      <w:sz w:val="32"/>
      <w:szCs w:val="32"/>
    </w:rPr>
  </w:style>
  <w:style w:type="paragraph" w:styleId="23">
    <w:name w:val="Body Text First Indent"/>
    <w:basedOn w:val="12"/>
    <w:next w:val="19"/>
    <w:link w:val="43"/>
    <w:qFormat/>
    <w:uiPriority w:val="0"/>
    <w:pPr>
      <w:ind w:firstLine="420" w:firstLineChars="100"/>
    </w:pPr>
  </w:style>
  <w:style w:type="paragraph" w:styleId="24">
    <w:name w:val="Body Text First Indent 2"/>
    <w:basedOn w:val="13"/>
    <w:autoRedefine/>
    <w:semiHidden/>
    <w:unhideWhenUsed/>
    <w:qFormat/>
    <w:uiPriority w:val="0"/>
    <w:pPr>
      <w:ind w:firstLine="420" w:firstLineChars="200"/>
    </w:pPr>
    <w:rPr>
      <w:szCs w:val="2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rPr>
  </w:style>
  <w:style w:type="character" w:styleId="29">
    <w:name w:val="page number"/>
    <w:basedOn w:val="27"/>
    <w:qFormat/>
    <w:uiPriority w:val="0"/>
  </w:style>
  <w:style w:type="character" w:styleId="30">
    <w:name w:val="FollowedHyperlink"/>
    <w:basedOn w:val="27"/>
    <w:autoRedefine/>
    <w:semiHidden/>
    <w:unhideWhenUsed/>
    <w:qFormat/>
    <w:uiPriority w:val="99"/>
    <w:rPr>
      <w:color w:val="000000"/>
      <w:u w:val="single"/>
    </w:rPr>
  </w:style>
  <w:style w:type="character" w:styleId="31">
    <w:name w:val="Hyperlink"/>
    <w:qFormat/>
    <w:uiPriority w:val="99"/>
    <w:rPr>
      <w:rFonts w:cs="Times New Roman"/>
      <w:color w:val="0000FF"/>
      <w:u w:val="single"/>
    </w:rPr>
  </w:style>
  <w:style w:type="character" w:styleId="32">
    <w:name w:val="HTML Sample"/>
    <w:basedOn w:val="27"/>
    <w:semiHidden/>
    <w:unhideWhenUsed/>
    <w:qFormat/>
    <w:uiPriority w:val="99"/>
    <w:rPr>
      <w:rFonts w:ascii="Courier New" w:hAnsi="Courier New"/>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正文缩进1"/>
    <w:basedOn w:val="1"/>
    <w:autoRedefine/>
    <w:qFormat/>
    <w:uiPriority w:val="0"/>
    <w:pPr>
      <w:ind w:firstLine="420" w:firstLineChars="200"/>
    </w:p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UserStyle_0"/>
    <w:next w:val="1"/>
    <w:qFormat/>
    <w:uiPriority w:val="0"/>
    <w:pPr>
      <w:spacing w:line="312" w:lineRule="atLeast"/>
      <w:jc w:val="both"/>
      <w:textAlignment w:val="baseline"/>
    </w:pPr>
    <w:rPr>
      <w:rFonts w:ascii="宋体" w:hAnsi="宋体" w:eastAsia="宋体" w:cs="Times New Roman"/>
      <w:sz w:val="24"/>
      <w:szCs w:val="22"/>
      <w:lang w:val="en-US" w:eastAsia="zh-CN" w:bidi="ar-SA"/>
    </w:rPr>
  </w:style>
  <w:style w:type="character" w:customStyle="1" w:styleId="37">
    <w:name w:val="标题 1 Char"/>
    <w:basedOn w:val="27"/>
    <w:link w:val="2"/>
    <w:qFormat/>
    <w:uiPriority w:val="0"/>
    <w:rPr>
      <w:rFonts w:ascii="宋体" w:hAnsi="Arial" w:eastAsia="黑体" w:cs="Times New Roman"/>
      <w:b/>
      <w:color w:val="000000"/>
      <w:kern w:val="44"/>
      <w:sz w:val="36"/>
      <w:szCs w:val="20"/>
    </w:rPr>
  </w:style>
  <w:style w:type="character" w:customStyle="1" w:styleId="38">
    <w:name w:val="标题 2 Char"/>
    <w:basedOn w:val="27"/>
    <w:link w:val="3"/>
    <w:qFormat/>
    <w:uiPriority w:val="0"/>
    <w:rPr>
      <w:rFonts w:ascii="Arial" w:hAnsi="Arial" w:eastAsia="黑体" w:cs="Times New Roman"/>
      <w:b/>
      <w:bCs/>
      <w:sz w:val="32"/>
      <w:szCs w:val="32"/>
    </w:rPr>
  </w:style>
  <w:style w:type="character" w:customStyle="1" w:styleId="39">
    <w:name w:val="标题 3 Char"/>
    <w:basedOn w:val="27"/>
    <w:link w:val="4"/>
    <w:qFormat/>
    <w:uiPriority w:val="0"/>
    <w:rPr>
      <w:rFonts w:ascii="黑体" w:hAnsi="Times New Roman" w:eastAsia="黑体" w:cs="Times New Roman"/>
      <w:b/>
      <w:color w:val="000000"/>
      <w:kern w:val="0"/>
      <w:sz w:val="28"/>
      <w:szCs w:val="20"/>
    </w:rPr>
  </w:style>
  <w:style w:type="character" w:customStyle="1" w:styleId="40">
    <w:name w:val="标题 5 Char"/>
    <w:basedOn w:val="27"/>
    <w:link w:val="6"/>
    <w:qFormat/>
    <w:uiPriority w:val="0"/>
    <w:rPr>
      <w:rFonts w:ascii="Times New Roman" w:hAnsi="Times New Roman" w:eastAsia="黑体" w:cs="Times New Roman"/>
      <w:bCs/>
      <w:sz w:val="28"/>
      <w:szCs w:val="28"/>
    </w:rPr>
  </w:style>
  <w:style w:type="character" w:customStyle="1" w:styleId="41">
    <w:name w:val="页眉 Char"/>
    <w:basedOn w:val="27"/>
    <w:link w:val="17"/>
    <w:qFormat/>
    <w:uiPriority w:val="0"/>
    <w:rPr>
      <w:rFonts w:ascii="Times New Roman" w:hAnsi="Times New Roman" w:eastAsia="宋体" w:cs="Times New Roman"/>
      <w:sz w:val="18"/>
      <w:szCs w:val="18"/>
    </w:rPr>
  </w:style>
  <w:style w:type="character" w:customStyle="1" w:styleId="42">
    <w:name w:val="正文文本 Char"/>
    <w:basedOn w:val="27"/>
    <w:link w:val="12"/>
    <w:semiHidden/>
    <w:qFormat/>
    <w:uiPriority w:val="99"/>
    <w:rPr>
      <w:rFonts w:ascii="Times New Roman" w:hAnsi="Times New Roman" w:eastAsia="宋体" w:cs="Times New Roman"/>
      <w:szCs w:val="24"/>
    </w:rPr>
  </w:style>
  <w:style w:type="character" w:customStyle="1" w:styleId="43">
    <w:name w:val="正文首行缩进 Char"/>
    <w:basedOn w:val="42"/>
    <w:link w:val="23"/>
    <w:qFormat/>
    <w:uiPriority w:val="0"/>
    <w:rPr>
      <w:rFonts w:ascii="Times New Roman" w:hAnsi="Times New Roman" w:eastAsia="宋体" w:cs="Times New Roman"/>
      <w:szCs w:val="24"/>
    </w:rPr>
  </w:style>
  <w:style w:type="character" w:customStyle="1" w:styleId="44">
    <w:name w:val="标题 Char"/>
    <w:basedOn w:val="27"/>
    <w:link w:val="22"/>
    <w:qFormat/>
    <w:uiPriority w:val="0"/>
    <w:rPr>
      <w:rFonts w:ascii="@华文中宋" w:hAnsi="@华文中宋" w:eastAsia="宋体" w:cs="Times New Roman"/>
      <w:b/>
      <w:bCs/>
      <w:sz w:val="32"/>
      <w:szCs w:val="32"/>
    </w:rPr>
  </w:style>
  <w:style w:type="character" w:customStyle="1" w:styleId="45">
    <w:name w:val="正文文本 2 Char"/>
    <w:basedOn w:val="27"/>
    <w:link w:val="20"/>
    <w:qFormat/>
    <w:uiPriority w:val="0"/>
    <w:rPr>
      <w:rFonts w:ascii="Times New Roman" w:hAnsi="Times New Roman" w:eastAsia="宋体" w:cs="Times New Roman"/>
      <w:szCs w:val="24"/>
    </w:rPr>
  </w:style>
  <w:style w:type="character" w:customStyle="1" w:styleId="46">
    <w:name w:val="页脚 Char"/>
    <w:basedOn w:val="27"/>
    <w:link w:val="16"/>
    <w:qFormat/>
    <w:uiPriority w:val="0"/>
    <w:rPr>
      <w:rFonts w:ascii="Times New Roman" w:hAnsi="Times New Roman" w:eastAsia="宋体" w:cs="Times New Roman"/>
      <w:sz w:val="18"/>
      <w:szCs w:val="18"/>
    </w:rPr>
  </w:style>
  <w:style w:type="character" w:customStyle="1" w:styleId="47">
    <w:name w:val="正文文本缩进 Char"/>
    <w:basedOn w:val="27"/>
    <w:link w:val="13"/>
    <w:qFormat/>
    <w:uiPriority w:val="0"/>
    <w:rPr>
      <w:rFonts w:ascii="Times New Roman" w:hAnsi="Times New Roman" w:eastAsia="宋体" w:cs="Times New Roman"/>
      <w:szCs w:val="24"/>
    </w:rPr>
  </w:style>
  <w:style w:type="character" w:customStyle="1" w:styleId="48">
    <w:name w:val="纯文本 Char"/>
    <w:basedOn w:val="27"/>
    <w:link w:val="14"/>
    <w:qFormat/>
    <w:uiPriority w:val="99"/>
    <w:rPr>
      <w:rFonts w:ascii="宋体" w:hAnsi="Courier New" w:eastAsia="宋体" w:cs="Times New Roman"/>
      <w:szCs w:val="20"/>
    </w:rPr>
  </w:style>
  <w:style w:type="paragraph" w:customStyle="1" w:styleId="49">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表内文字"/>
    <w:basedOn w:val="1"/>
    <w:qFormat/>
    <w:uiPriority w:val="0"/>
    <w:pPr>
      <w:snapToGrid w:val="0"/>
      <w:spacing w:before="50" w:after="50"/>
      <w:jc w:val="center"/>
    </w:pPr>
    <w:rPr>
      <w:rFonts w:ascii="宋体" w:hAnsi="宋体"/>
      <w:sz w:val="24"/>
      <w:szCs w:val="20"/>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正文段"/>
    <w:basedOn w:val="1"/>
    <w:autoRedefine/>
    <w:qFormat/>
    <w:uiPriority w:val="0"/>
    <w:pPr>
      <w:widowControl/>
      <w:snapToGrid w:val="0"/>
      <w:spacing w:afterLines="50"/>
      <w:ind w:firstLine="200" w:firstLineChars="200"/>
    </w:pPr>
    <w:rPr>
      <w:kern w:val="0"/>
      <w:sz w:val="24"/>
      <w:szCs w:val="20"/>
    </w:rPr>
  </w:style>
  <w:style w:type="paragraph" w:customStyle="1" w:styleId="54">
    <w:name w:val="样式1"/>
    <w:basedOn w:val="3"/>
    <w:qFormat/>
    <w:uiPriority w:val="0"/>
    <w:pPr>
      <w:jc w:val="center"/>
    </w:pPr>
    <w:rPr>
      <w:rFonts w:ascii="@华文中宋" w:hAnsi="@华文中宋" w:eastAsia="@华文中宋"/>
      <w:sz w:val="36"/>
      <w:szCs w:val="36"/>
    </w:rPr>
  </w:style>
  <w:style w:type="paragraph" w:customStyle="1" w:styleId="55">
    <w:name w:val="标准中文版式_正文"/>
    <w:basedOn w:val="1"/>
    <w:autoRedefine/>
    <w:qFormat/>
    <w:uiPriority w:val="0"/>
    <w:pPr>
      <w:spacing w:before="30" w:line="360" w:lineRule="auto"/>
      <w:ind w:firstLine="200" w:firstLineChars="200"/>
    </w:pPr>
    <w:rPr>
      <w:rFonts w:ascii="Arial" w:hAnsi="Arial"/>
      <w:sz w:val="24"/>
    </w:rPr>
  </w:style>
  <w:style w:type="character" w:customStyle="1" w:styleId="56">
    <w:name w:val="批注框文本 Char"/>
    <w:basedOn w:val="27"/>
    <w:link w:val="9"/>
    <w:qFormat/>
    <w:uiPriority w:val="0"/>
    <w:rPr>
      <w:rFonts w:ascii="Times New Roman" w:hAnsi="Times New Roman" w:eastAsia="宋体" w:cs="Times New Roman"/>
      <w:sz w:val="18"/>
      <w:szCs w:val="18"/>
    </w:rPr>
  </w:style>
  <w:style w:type="paragraph" w:customStyle="1" w:styleId="57">
    <w:name w:val="纯文本1"/>
    <w:basedOn w:val="1"/>
    <w:qFormat/>
    <w:uiPriority w:val="0"/>
    <w:pPr>
      <w:adjustRightInd w:val="0"/>
      <w:textAlignment w:val="baseline"/>
    </w:pPr>
    <w:rPr>
      <w:rFonts w:ascii="宋体" w:hAnsi="Courier New" w:eastAsia="楷体_GB2312"/>
      <w:sz w:val="26"/>
      <w:szCs w:val="20"/>
    </w:rPr>
  </w:style>
  <w:style w:type="character" w:customStyle="1" w:styleId="58">
    <w:name w:val="font81"/>
    <w:basedOn w:val="27"/>
    <w:qFormat/>
    <w:uiPriority w:val="0"/>
    <w:rPr>
      <w:rFonts w:hint="eastAsia" w:ascii="宋体" w:hAnsi="宋体" w:eastAsia="宋体" w:cs="宋体"/>
      <w:color w:val="000000"/>
      <w:sz w:val="20"/>
      <w:szCs w:val="20"/>
      <w:u w:val="none"/>
    </w:rPr>
  </w:style>
  <w:style w:type="character" w:customStyle="1" w:styleId="59">
    <w:name w:val="font71"/>
    <w:basedOn w:val="27"/>
    <w:qFormat/>
    <w:uiPriority w:val="0"/>
    <w:rPr>
      <w:rFonts w:hint="default" w:ascii="Times New Roman" w:hAnsi="Times New Roman" w:cs="Times New Roman"/>
      <w:color w:val="000000"/>
      <w:sz w:val="20"/>
      <w:szCs w:val="20"/>
      <w:u w:val="none"/>
    </w:rPr>
  </w:style>
  <w:style w:type="character" w:customStyle="1" w:styleId="60">
    <w:name w:val="font111"/>
    <w:basedOn w:val="27"/>
    <w:qFormat/>
    <w:uiPriority w:val="0"/>
    <w:rPr>
      <w:rFonts w:hint="eastAsia" w:ascii="宋体" w:hAnsi="宋体" w:eastAsia="宋体" w:cs="宋体"/>
      <w:color w:val="000000"/>
      <w:sz w:val="20"/>
      <w:szCs w:val="20"/>
      <w:u w:val="none"/>
    </w:rPr>
  </w:style>
  <w:style w:type="character" w:customStyle="1" w:styleId="61">
    <w:name w:val="font11"/>
    <w:basedOn w:val="27"/>
    <w:autoRedefine/>
    <w:qFormat/>
    <w:uiPriority w:val="0"/>
    <w:rPr>
      <w:rFonts w:hint="default" w:ascii="Calibri" w:hAnsi="Calibri" w:cs="Calibri"/>
      <w:color w:val="000000"/>
      <w:sz w:val="16"/>
      <w:szCs w:val="16"/>
      <w:u w:val="none"/>
    </w:rPr>
  </w:style>
  <w:style w:type="character" w:customStyle="1" w:styleId="62">
    <w:name w:val="font21"/>
    <w:basedOn w:val="27"/>
    <w:qFormat/>
    <w:uiPriority w:val="0"/>
    <w:rPr>
      <w:rFonts w:hint="eastAsia" w:ascii="宋体" w:hAnsi="宋体" w:eastAsia="宋体" w:cs="宋体"/>
      <w:color w:val="000000"/>
      <w:sz w:val="16"/>
      <w:szCs w:val="16"/>
      <w:u w:val="none"/>
    </w:rPr>
  </w:style>
  <w:style w:type="paragraph" w:customStyle="1" w:styleId="63">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图片表格"/>
    <w:basedOn w:val="1"/>
    <w:qFormat/>
    <w:uiPriority w:val="6"/>
    <w:pPr>
      <w:adjustRightInd w:val="0"/>
      <w:jc w:val="center"/>
    </w:pPr>
    <w:rPr>
      <w:szCs w:val="21"/>
    </w:rPr>
  </w:style>
  <w:style w:type="paragraph" w:customStyle="1" w:styleId="66">
    <w:name w:val="p0"/>
    <w:basedOn w:val="1"/>
    <w:qFormat/>
    <w:uiPriority w:val="0"/>
    <w:pPr>
      <w:widowControl/>
    </w:pPr>
    <w:rPr>
      <w:kern w:val="0"/>
      <w:szCs w:val="21"/>
    </w:rPr>
  </w:style>
  <w:style w:type="paragraph" w:customStyle="1" w:styleId="67">
    <w:name w:val="正文首行缩进 21"/>
    <w:basedOn w:val="1"/>
    <w:qFormat/>
    <w:uiPriority w:val="0"/>
    <w:pPr>
      <w:spacing w:after="120"/>
      <w:ind w:left="420" w:leftChars="200" w:firstLine="420"/>
    </w:pPr>
    <w:rPr>
      <w:rFonts w:cs="宋体"/>
      <w:color w:val="000000"/>
      <w:szCs w:val="21"/>
    </w:rPr>
  </w:style>
  <w:style w:type="character" w:customStyle="1" w:styleId="68">
    <w:name w:val="NormalCharacter"/>
    <w:link w:val="69"/>
    <w:autoRedefine/>
    <w:semiHidden/>
    <w:qFormat/>
    <w:uiPriority w:val="0"/>
    <w:rPr>
      <w:rFonts w:ascii="Tahoma" w:hAnsi="Tahoma"/>
      <w:sz w:val="24"/>
    </w:rPr>
  </w:style>
  <w:style w:type="paragraph" w:customStyle="1" w:styleId="69">
    <w:name w:val="UserStyle_85"/>
    <w:basedOn w:val="1"/>
    <w:link w:val="68"/>
    <w:qFormat/>
    <w:uiPriority w:val="0"/>
    <w:rPr>
      <w:rFonts w:ascii="Tahoma" w:hAnsi="Tahoma"/>
      <w:sz w:val="24"/>
    </w:rPr>
  </w:style>
  <w:style w:type="paragraph" w:styleId="70">
    <w:name w:val="List Paragraph"/>
    <w:basedOn w:val="1"/>
    <w:unhideWhenUsed/>
    <w:qFormat/>
    <w:uiPriority w:val="99"/>
    <w:pPr>
      <w:ind w:firstLine="420" w:firstLineChars="200"/>
    </w:pPr>
  </w:style>
  <w:style w:type="paragraph" w:customStyle="1" w:styleId="71">
    <w:name w:val="标准正文"/>
    <w:basedOn w:val="1"/>
    <w:autoRedefine/>
    <w:qFormat/>
    <w:uiPriority w:val="0"/>
    <w:pPr>
      <w:tabs>
        <w:tab w:val="left" w:pos="780"/>
      </w:tabs>
      <w:adjustRightInd/>
      <w:spacing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2161</Words>
  <Characters>2352</Characters>
  <Lines>171</Lines>
  <Paragraphs>48</Paragraphs>
  <TotalTime>23</TotalTime>
  <ScaleCrop>false</ScaleCrop>
  <LinksUpToDate>false</LinksUpToDate>
  <CharactersWithSpaces>2492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2020-08-23T02:49:00Z</dcterms:created>
  <dc:creator>浙江华耀建设咨询有限公司</dc:creator>
  <cp:lastModifiedBy>洪钧淼</cp:lastModifiedBy>
  <cp:lastPrinted>2021-12-15T01:08:00Z</cp:lastPrinted>
  <dcterms:modified xsi:type="dcterms:W3CDTF">2025-04-11T02:09:15Z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7A7508C108D04A6BA060AF84D3EBFC5E_13</vt:lpwstr>
  </property>
  <property fmtid="{D5CDD505-2E9C-101B-9397-08002B2CF9AE}" pid="4" name="KSOTemplateDocerSaveRecord">
    <vt:lpwstr>eyJoZGlkIjoiNzZkNzc3YTdkYzliY2JlZTM1Y2EwZWZmNjAyYTBjYjUiLCJ1c2VySWQiOiIyNjQyMTkyMTMifQ==</vt:lpwstr>
  </property>
</Properties>
</file>