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3B290">
      <w:pPr>
        <w:widowControl/>
        <w:spacing w:line="560" w:lineRule="exact"/>
        <w:jc w:val="center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2025年临安区公示地价制订工作方案</w:t>
      </w:r>
    </w:p>
    <w:p w14:paraId="3E69C3F2">
      <w:pPr>
        <w:widowControl/>
        <w:spacing w:line="560" w:lineRule="exact"/>
        <w:jc w:val="center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自然资源开发利用科</w:t>
      </w:r>
    </w:p>
    <w:p w14:paraId="3E62BD4A">
      <w:pPr>
        <w:widowControl/>
        <w:spacing w:line="560" w:lineRule="exact"/>
        <w:jc w:val="center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(2025年2月)</w:t>
      </w:r>
    </w:p>
    <w:p w14:paraId="4E17137D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项目简介</w:t>
      </w:r>
    </w:p>
    <w:p w14:paraId="16873617">
      <w:pPr>
        <w:pStyle w:val="3"/>
        <w:snapToGrid w:val="0"/>
        <w:spacing w:before="0" w:beforeAutospacing="0" w:after="0" w:afterAutospacing="0" w:line="360" w:lineRule="auto"/>
        <w:ind w:firstLine="320" w:firstLineChars="1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1、更新的必要性</w:t>
      </w:r>
    </w:p>
    <w:p w14:paraId="7F605315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浙江省人民政府办公厅关于加强土地出让管理工作的通知》（浙政办发〔2015〕130号、《关于进一步规范浙江省基准地价更新管理的实施意见》(浙土资办〔2014〕107号)、《浙江省自然资源厅关于进一步加强政府公示地价管理的通知》（浙自然资厅函〔2024〕1075号）等文件要求，基准地价原则上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年应更新一次。临安区现行城镇基准地价于2018年6月27日由人民政府公布实施，距今已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超三年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更新期限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，因此有必要进行更新。临安区目前尚未建立集体建设用地基准地价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城镇标定地价体系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和临时改变房屋用途土地收益金标准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，根据浙自然资厅函〔2024〕1075号文件和市局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工作部署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要求，需增加这部分内容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形成完善的公示地价体系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530F593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2、工作内容</w:t>
      </w:r>
    </w:p>
    <w:p w14:paraId="00E609A6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完成辖区范围内城镇基准地价、集体建设用地基准地价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制订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相关基础数据调查，采用多因素综合评价法评定土地级别，以市场资料分析法进行验证，建立至少涵盖商服、住宅、工业、公共管理和公共服务设施用地四大类用地的土地分类级别体系。</w:t>
      </w:r>
    </w:p>
    <w:p w14:paraId="2E315B23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完成辖区范围内城镇基准地价、集体建设用地基准地价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制订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，建立商服、住宅、工业、公共管理和公共服务设施用地的城镇和集体建设用地基准地价、地下空间级别基准地价、划拨土地使用权基准地价，至少包括级别价，有条件和有应用需要的可以建立商业路线价、区片价等。</w:t>
      </w:r>
    </w:p>
    <w:p w14:paraId="50D0B2CD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③建立产业细分用途基准地价及其修正体系。</w:t>
      </w:r>
    </w:p>
    <w:p w14:paraId="35783883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sz w:val="32"/>
          <w:szCs w:val="32"/>
        </w:rPr>
        <w:instrText xml:space="preserve">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= 4 \* GB3</w:instrText>
      </w:r>
      <w:r>
        <w:rPr>
          <w:rFonts w:ascii="仿宋" w:hAnsi="仿宋" w:eastAsia="仿宋" w:cs="仿宋"/>
          <w:color w:val="000000"/>
          <w:sz w:val="32"/>
          <w:szCs w:val="32"/>
        </w:rPr>
        <w:instrText xml:space="preserve"> </w:instrText>
      </w:r>
      <w:r>
        <w:rPr>
          <w:rFonts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④</w:t>
      </w:r>
      <w:r>
        <w:rPr>
          <w:rFonts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建立城镇标定地价及修正体系。</w:t>
      </w:r>
    </w:p>
    <w:p w14:paraId="10CCA3CF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⑤建立针对上述不同用途和级别、区片等基准地价体系对应的基准地价修正体系。</w:t>
      </w:r>
    </w:p>
    <w:p w14:paraId="7BA19D64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⑥</w:t>
      </w:r>
      <w:r>
        <w:rPr>
          <w:rFonts w:ascii="仿宋" w:hAnsi="仿宋" w:eastAsia="仿宋" w:cs="仿宋"/>
          <w:color w:val="000000"/>
          <w:sz w:val="32"/>
          <w:szCs w:val="32"/>
        </w:rPr>
        <w:t>研究制定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临时改变房屋用途土地收益金标准。</w:t>
      </w:r>
    </w:p>
    <w:p w14:paraId="2A0EEE17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预算价格组成</w:t>
      </w:r>
    </w:p>
    <w:p w14:paraId="5A110547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根据《杭州市区公示地价制订工作方案》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杭土储〔2025〕5号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市区公示地价制订工作，市本级技术统筹支撑工作拟安排预算50万元。其他城区按每个城区原则上不低于50万元的标准安排预算，具体由各分局结合城区建设用地范围、工作内容、工作量大小商区财政部门确定。</w:t>
      </w:r>
    </w:p>
    <w:p w14:paraId="71D4DE29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故本次临安区公示地价制订工作预算总额为50万元，本年度支付总额款的60%（30万元），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2026年支付余款，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从储备中心运作经费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列支。</w:t>
      </w:r>
    </w:p>
    <w:p w14:paraId="306DDCF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三、具体实施方案（资质要求、进度安排等）</w:t>
      </w:r>
    </w:p>
    <w:p w14:paraId="2551B559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前期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准备工作阶段，主要工作内容包括：拟定工作方案，报相关部门审批，通过公开招标或竞争性磋商方式确定项目实施单位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，预计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3月底前完成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AA6D0E0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2.基准地价成果编制阶段，主要工作由中标单位组织实施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，初步成果的梳理和汇总，形成成果初步报告，预计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4月底前完成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CA80E64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3.意见征求、听证阶段，主要工作包括项目成果征求意见、听证、验收、报批和公布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，预计5月底前完成（征求各部门意见和听证流程并联走）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30F2D9D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4.验收、报批阶段，根据验收申请，及时开展成果验收，同步开展公众意见征求，区政府常务会议审议并发布，预计6月底前完成。</w:t>
      </w:r>
      <w:bookmarkStart w:id="0" w:name="_GoBack"/>
      <w:bookmarkEnd w:id="0"/>
    </w:p>
    <w:p w14:paraId="6A5BA9B3">
      <w:pPr>
        <w:pStyle w:val="3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资质要求：在省级自然资源主管部门完成备案的土地评估机构。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BD5F4"/>
    <w:multiLevelType w:val="singleLevel"/>
    <w:tmpl w:val="3E1BD5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2ED4"/>
    <w:rsid w:val="000E4EDD"/>
    <w:rsid w:val="002C01B9"/>
    <w:rsid w:val="002E3069"/>
    <w:rsid w:val="00301BBC"/>
    <w:rsid w:val="00332122"/>
    <w:rsid w:val="005843D1"/>
    <w:rsid w:val="0083244A"/>
    <w:rsid w:val="11162294"/>
    <w:rsid w:val="236D1991"/>
    <w:rsid w:val="2DC22923"/>
    <w:rsid w:val="375F2ED4"/>
    <w:rsid w:val="5D187323"/>
    <w:rsid w:val="792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1022</Words>
  <Characters>1077</Characters>
  <Lines>7</Lines>
  <Paragraphs>2</Paragraphs>
  <TotalTime>4</TotalTime>
  <ScaleCrop>false</ScaleCrop>
  <LinksUpToDate>false</LinksUpToDate>
  <CharactersWithSpaces>1077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2025-02-14T02:13:00Z</dcterms:created>
  <dc:creator>杨芸</dc:creator>
  <cp:lastModifiedBy>杨芸</cp:lastModifiedBy>
  <dcterms:modified xsi:type="dcterms:W3CDTF">2025-02-21T01:07:20Z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71BE593284E34CD68CFC4502B1E75BBE_11</vt:lpwstr>
  </property>
  <property fmtid="{D5CDD505-2E9C-101B-9397-08002B2CF9AE}" pid="4" name="KSOTemplateDocerSaveRecord">
    <vt:lpwstr>eyJoZGlkIjoiNjdlODJkNzAzYjYxNjdhMTE1MTA1ODNmMmY1NmU4MzIiLCJ1c2VySWQiOiIxNjY3NDI4MjA0In0=</vt:lpwstr>
  </property>
</Properties>
</file>