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0B4CB">
      <w:pPr>
        <w:spacing w:line="560" w:lineRule="exact"/>
        <w:jc w:val="center"/>
        <w:rPr>
          <w:rFonts w:hint="eastAsia" w:ascii="黑体" w:hAnsi="黑体" w:eastAsia="黑体"/>
          <w:sz w:val="44"/>
          <w:szCs w:val="44"/>
        </w:rPr>
      </w:pPr>
      <w:r>
        <w:rPr>
          <w:rFonts w:hint="eastAsia" w:ascii="方正小标宋简体" w:hAnsi="方正小标宋简体" w:eastAsia="方正小标宋简体" w:cs="方正小标宋简体"/>
          <w:sz w:val="44"/>
          <w:szCs w:val="44"/>
        </w:rPr>
        <w:t>关于2025年天目山保护区生物多样性长期监测样地建设项目政府采购方案的报告</w:t>
      </w:r>
    </w:p>
    <w:p w14:paraId="1B94B26E">
      <w:pPr>
        <w:spacing w:line="560" w:lineRule="exact"/>
        <w:ind w:firstLine="420" w:firstLineChars="200"/>
      </w:pPr>
    </w:p>
    <w:p w14:paraId="08204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因工作需要，</w:t>
      </w:r>
      <w:r>
        <w:rPr>
          <w:rFonts w:hint="eastAsia" w:ascii="仿宋_GB2312" w:hAnsi="仿宋_GB2312" w:eastAsia="仿宋_GB2312" w:cs="仿宋_GB2312"/>
          <w:sz w:val="32"/>
          <w:szCs w:val="32"/>
          <w:u w:val="single"/>
        </w:rPr>
        <w:t>科研科</w:t>
      </w:r>
      <w:r>
        <w:rPr>
          <w:rFonts w:hint="eastAsia" w:ascii="仿宋_GB2312" w:hAnsi="仿宋_GB2312" w:eastAsia="仿宋_GB2312" w:cs="仿宋_GB2312"/>
          <w:sz w:val="32"/>
          <w:szCs w:val="32"/>
        </w:rPr>
        <w:t>拟进行</w:t>
      </w:r>
      <w:r>
        <w:rPr>
          <w:rFonts w:hint="eastAsia" w:ascii="仿宋_GB2312" w:hAnsi="仿宋_GB2312" w:eastAsia="仿宋_GB2312" w:cs="仿宋_GB2312"/>
          <w:sz w:val="32"/>
          <w:szCs w:val="32"/>
          <w:u w:val="single"/>
        </w:rPr>
        <w:t>2025年天目山保护区生物多样性长期监测样地建设项目</w:t>
      </w:r>
      <w:r>
        <w:rPr>
          <w:rFonts w:hint="eastAsia" w:ascii="仿宋_GB2312" w:hAnsi="仿宋_GB2312" w:eastAsia="仿宋_GB2312" w:cs="仿宋_GB2312"/>
          <w:sz w:val="32"/>
          <w:szCs w:val="32"/>
        </w:rPr>
        <w:t>政府采购，现将采购方案提交局</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组，请研究审议：</w:t>
      </w:r>
    </w:p>
    <w:p w14:paraId="5860B375">
      <w:pPr>
        <w:pStyle w:val="3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一、采购名称</w:t>
      </w:r>
    </w:p>
    <w:p w14:paraId="10D161B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2025年天目山保护区生物多样性长期监测样地建设项目</w:t>
      </w:r>
    </w:p>
    <w:p w14:paraId="4B9DF3D5">
      <w:pPr>
        <w:pStyle w:val="3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二、采购需求</w:t>
      </w:r>
    </w:p>
    <w:p w14:paraId="05A00A20">
      <w:pPr>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根据《浙江省林业局关于推进省级以上自然保护地生物多样性长期监测样地建设的通知》（浙林字函〔2022〕297号）要求，至2025年底，天目山保护区需建成生物多样性长期监测样地15个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7个1公顷、8个400平方米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。2025年前已建成9个（5个1公顷、4个400平方米）。</w:t>
      </w:r>
    </w:p>
    <w:p w14:paraId="67B115A2">
      <w:pPr>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2025年，需按照《浙江省自然保护地生物多样性长期监测样地建设和调查技术规范（1.0版）》要求，完成6个生物多样性长期监测样地（2个1公顷、4个400平方米）新建、调查和数据汇总上报任务。</w:t>
      </w:r>
    </w:p>
    <w:p w14:paraId="0F97E7E8">
      <w:pPr>
        <w:pStyle w:val="3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三、样地</w:t>
      </w:r>
      <w:r>
        <w:rPr>
          <w:rFonts w:hint="eastAsia" w:ascii="黑体" w:hAnsi="黑体" w:eastAsia="黑体" w:cs="黑体"/>
          <w:bCs/>
          <w:sz w:val="32"/>
          <w:szCs w:val="32"/>
          <w:lang w:val="en-US" w:eastAsia="zh-CN"/>
        </w:rPr>
        <w:t>选</w:t>
      </w:r>
      <w:r>
        <w:rPr>
          <w:rFonts w:hint="eastAsia" w:ascii="黑体" w:hAnsi="黑体" w:eastAsia="黑体" w:cs="黑体"/>
          <w:bCs/>
          <w:sz w:val="32"/>
          <w:szCs w:val="32"/>
        </w:rPr>
        <w:t>址</w:t>
      </w:r>
    </w:p>
    <w:p w14:paraId="51A87304">
      <w:pPr>
        <w:pStyle w:val="31"/>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1.15个样地</w:t>
      </w:r>
      <w:r>
        <w:rPr>
          <w:rFonts w:hint="eastAsia" w:ascii="仿宋_GB2312" w:hAnsi="仿宋_GB2312" w:eastAsia="仿宋_GB2312" w:cs="仿宋_GB2312"/>
          <w:b/>
          <w:bCs/>
          <w:sz w:val="32"/>
          <w:szCs w:val="32"/>
          <w:lang w:val="en-US" w:eastAsia="zh-CN"/>
        </w:rPr>
        <w:t>选址</w:t>
      </w:r>
      <w:r>
        <w:rPr>
          <w:rFonts w:hint="eastAsia" w:ascii="仿宋_GB2312" w:hAnsi="仿宋_GB2312" w:eastAsia="仿宋_GB2312" w:cs="仿宋_GB2312"/>
          <w:b/>
          <w:bCs/>
          <w:sz w:val="32"/>
          <w:szCs w:val="32"/>
        </w:rPr>
        <w:t>方案。</w:t>
      </w:r>
      <w:r>
        <w:rPr>
          <w:rFonts w:hint="eastAsia" w:ascii="仿宋_GB2312" w:hAnsi="仿宋_GB2312" w:eastAsia="仿宋_GB2312" w:cs="仿宋_GB2312"/>
          <w:sz w:val="32"/>
          <w:szCs w:val="32"/>
        </w:rPr>
        <w:t>2024年，合理规划保护区计划任务中的15个生物多样性长期监测样地布局，并将方案上报局党组、浙江省林业局审核通过。方案根据植被类型设置样地10个（7个1公顷、3个400平方米），根据主要保护对象设置5个（均为400平方米）。</w:t>
      </w:r>
    </w:p>
    <w:p w14:paraId="46514216">
      <w:pPr>
        <w:pStyle w:val="31"/>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2.已建设情况。</w:t>
      </w:r>
      <w:r>
        <w:rPr>
          <w:rFonts w:hint="eastAsia" w:ascii="仿宋_GB2312" w:hAnsi="仿宋_GB2312" w:eastAsia="仿宋_GB2312" w:cs="仿宋_GB2312"/>
          <w:sz w:val="32"/>
          <w:szCs w:val="32"/>
        </w:rPr>
        <w:t>2023年以前，已建成3个（均为1公顷）。2024年建成6个（2个1公顷、4个400平方米）。样地地址见《天目山生物多样性长期监测样地分布图》（附件）。</w:t>
      </w:r>
    </w:p>
    <w:p w14:paraId="36611378">
      <w:pPr>
        <w:pStyle w:val="31"/>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3.2025年计划建设地址。</w:t>
      </w:r>
      <w:r>
        <w:rPr>
          <w:rFonts w:hint="eastAsia" w:ascii="仿宋_GB2312" w:hAnsi="仿宋_GB2312" w:eastAsia="仿宋_GB2312" w:cs="仿宋_GB2312"/>
          <w:sz w:val="32"/>
          <w:szCs w:val="32"/>
        </w:rPr>
        <w:t>（1）2个1公顷。</w:t>
      </w:r>
      <w:r>
        <w:rPr>
          <w:rFonts w:hint="eastAsia" w:ascii="仿宋_GB2312" w:hAnsi="仿宋_GB2312" w:eastAsia="仿宋_GB2312" w:cs="仿宋_GB2312"/>
          <w:sz w:val="32"/>
          <w:szCs w:val="32"/>
          <w:lang w:val="en-US" w:eastAsia="zh-CN"/>
        </w:rPr>
        <w:t>分别为：</w:t>
      </w:r>
      <w:r>
        <w:rPr>
          <w:rFonts w:hint="eastAsia" w:ascii="仿宋_GB2312" w:hAnsi="仿宋_GB2312" w:eastAsia="仿宋_GB2312" w:cs="仿宋_GB2312"/>
          <w:sz w:val="32"/>
          <w:szCs w:val="32"/>
        </w:rPr>
        <w:t>仙人顶灌丛矮林（毛山荆子-茅栗林）、外横塘针阔混交林（黄山松-灯台树-杉木林）；（2）4个400平米。</w:t>
      </w:r>
      <w:r>
        <w:rPr>
          <w:rFonts w:hint="eastAsia" w:ascii="仿宋_GB2312" w:hAnsi="仿宋_GB2312" w:eastAsia="仿宋_GB2312" w:cs="仿宋_GB2312"/>
          <w:sz w:val="32"/>
          <w:szCs w:val="32"/>
          <w:lang w:val="en-US" w:eastAsia="zh-CN"/>
        </w:rPr>
        <w:t>分别为：</w:t>
      </w:r>
      <w:r>
        <w:rPr>
          <w:rFonts w:hint="eastAsia" w:ascii="仿宋_GB2312" w:hAnsi="仿宋_GB2312" w:eastAsia="仿宋_GB2312" w:cs="仿宋_GB2312"/>
          <w:sz w:val="32"/>
          <w:szCs w:val="32"/>
        </w:rPr>
        <w:t>五里亭（柳杉-银杏-紫楠林）、大树王（柳杉-银杏林）、横坞（金钱松-银杏林）、地藏殿（金钱松-银杏林）。</w:t>
      </w:r>
    </w:p>
    <w:p w14:paraId="4534B564">
      <w:pPr>
        <w:pStyle w:val="3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四、采购预算、资金来源、计划进度</w:t>
      </w:r>
    </w:p>
    <w:p w14:paraId="121F8C2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预算资金：66万元。</w:t>
      </w:r>
    </w:p>
    <w:p w14:paraId="5F5091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资金来源：2025年中央林业草原生态保护恢复资金。</w:t>
      </w:r>
    </w:p>
    <w:p w14:paraId="30E32EB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计划进度：4月，完成实施方案、局政府采购流程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待资金文件下达后，完成政府采购意向公开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月底前完成验收及资金支付。</w:t>
      </w:r>
    </w:p>
    <w:p w14:paraId="1683B9A3">
      <w:pPr>
        <w:pStyle w:val="3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五、采购方式</w:t>
      </w:r>
    </w:p>
    <w:p w14:paraId="56755A8F">
      <w:pPr>
        <w:pStyle w:val="31"/>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服务类——公开采购——竞争性磋商</w:t>
      </w:r>
    </w:p>
    <w:p w14:paraId="6F201090">
      <w:pPr>
        <w:numPr>
          <w:ilvl w:val="0"/>
          <w:numId w:val="2"/>
        </w:num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是否委托第三方代理公司</w:t>
      </w:r>
    </w:p>
    <w:p w14:paraId="3C2864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是。</w:t>
      </w:r>
    </w:p>
    <w:p w14:paraId="3CF55BDE">
      <w:pPr>
        <w:tabs>
          <w:tab w:val="left" w:pos="1102"/>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附件：《天目山生物多样性长期监测样地分布图》</w:t>
      </w:r>
    </w:p>
    <w:p w14:paraId="74AD8D62">
      <w:pPr>
        <w:tabs>
          <w:tab w:val="left" w:pos="1102"/>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4AC060B8">
      <w:pPr>
        <w:tabs>
          <w:tab w:val="left" w:pos="1102"/>
        </w:tabs>
        <w:jc w:val="center"/>
        <w:rPr>
          <w:rFonts w:hint="eastAsia"/>
        </w:rPr>
      </w:pPr>
      <w:r>
        <w:rPr>
          <w:rFonts w:hint="eastAsia"/>
        </w:rPr>
        <w:drawing>
          <wp:inline distT="0" distB="0" distL="114300" distR="114300">
            <wp:extent cx="5230495" cy="7395845"/>
            <wp:effectExtent l="0" t="0" r="8255" b="0"/>
            <wp:docPr id="1" name="图片 1" descr="样地分布图改2024121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样地分布图改20241213_00"/>
                    <pic:cNvPicPr>
                      <a:picLocks noChangeAspect="1"/>
                    </pic:cNvPicPr>
                  </pic:nvPicPr>
                  <pic:blipFill>
                    <a:blip r:embed="rId4"/>
                    <a:stretch>
                      <a:fillRect/>
                    </a:stretch>
                  </pic:blipFill>
                  <pic:spPr>
                    <a:xfrm>
                      <a:off x="0" y="0"/>
                      <a:ext cx="5230585" cy="7396272"/>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425" w:hanging="425"/>
      </w:pPr>
      <w:rPr>
        <w:rFonts w:hint="eastAsia"/>
      </w:rPr>
    </w:lvl>
    <w:lvl w:ilvl="1" w:tentative="0">
      <w:start w:val="1"/>
      <w:numFmt w:val="decimal"/>
      <w:pStyle w:val="2"/>
      <w:lvlText w:val="%1.%2"/>
      <w:lvlJc w:val="left"/>
      <w:pPr>
        <w:ind w:left="1701" w:hanging="567"/>
      </w:pPr>
      <w:rPr>
        <w:rFonts w:hint="eastAsia"/>
        <w:b w:val="0"/>
      </w:rPr>
    </w:lvl>
    <w:lvl w:ilvl="2" w:tentative="0">
      <w:start w:val="1"/>
      <w:numFmt w:val="decimal"/>
      <w:pStyle w:val="4"/>
      <w:lvlText w:val="%1.%2.%3"/>
      <w:lvlJc w:val="left"/>
      <w:pPr>
        <w:ind w:left="1474" w:hanging="1049"/>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20CCAB5"/>
    <w:multiLevelType w:val="singleLevel"/>
    <w:tmpl w:val="220CCAB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C91B1E"/>
    <w:rsid w:val="00014DBB"/>
    <w:rsid w:val="00022106"/>
    <w:rsid w:val="00066D37"/>
    <w:rsid w:val="000B2EA0"/>
    <w:rsid w:val="000C288F"/>
    <w:rsid w:val="000C459B"/>
    <w:rsid w:val="000D0AB7"/>
    <w:rsid w:val="00100C98"/>
    <w:rsid w:val="00192AF1"/>
    <w:rsid w:val="00196229"/>
    <w:rsid w:val="001E2379"/>
    <w:rsid w:val="001F2FD7"/>
    <w:rsid w:val="001F2FEC"/>
    <w:rsid w:val="002579B8"/>
    <w:rsid w:val="00264DFB"/>
    <w:rsid w:val="00265A2E"/>
    <w:rsid w:val="002A2D60"/>
    <w:rsid w:val="002B2BBB"/>
    <w:rsid w:val="002D1930"/>
    <w:rsid w:val="002D78E5"/>
    <w:rsid w:val="002E41C4"/>
    <w:rsid w:val="00315D1E"/>
    <w:rsid w:val="00334E0D"/>
    <w:rsid w:val="00361359"/>
    <w:rsid w:val="00361A2F"/>
    <w:rsid w:val="00372876"/>
    <w:rsid w:val="003A34F3"/>
    <w:rsid w:val="003D21D1"/>
    <w:rsid w:val="003D3AD5"/>
    <w:rsid w:val="0040019D"/>
    <w:rsid w:val="004208A9"/>
    <w:rsid w:val="00424899"/>
    <w:rsid w:val="00455FFA"/>
    <w:rsid w:val="00564EC6"/>
    <w:rsid w:val="006149A4"/>
    <w:rsid w:val="006A0D2C"/>
    <w:rsid w:val="006B4A7F"/>
    <w:rsid w:val="006E6D73"/>
    <w:rsid w:val="00715F69"/>
    <w:rsid w:val="00731880"/>
    <w:rsid w:val="007434F1"/>
    <w:rsid w:val="0074418B"/>
    <w:rsid w:val="0076631C"/>
    <w:rsid w:val="00773F04"/>
    <w:rsid w:val="007763FC"/>
    <w:rsid w:val="00785394"/>
    <w:rsid w:val="007A107C"/>
    <w:rsid w:val="007F498F"/>
    <w:rsid w:val="007F649D"/>
    <w:rsid w:val="00805D71"/>
    <w:rsid w:val="00840AC3"/>
    <w:rsid w:val="008555AD"/>
    <w:rsid w:val="0088061B"/>
    <w:rsid w:val="008977FA"/>
    <w:rsid w:val="008A16B1"/>
    <w:rsid w:val="008E66A1"/>
    <w:rsid w:val="00956FD2"/>
    <w:rsid w:val="0095745B"/>
    <w:rsid w:val="00A479FB"/>
    <w:rsid w:val="00A718CE"/>
    <w:rsid w:val="00A936FA"/>
    <w:rsid w:val="00A96601"/>
    <w:rsid w:val="00AE460D"/>
    <w:rsid w:val="00B04836"/>
    <w:rsid w:val="00B218FD"/>
    <w:rsid w:val="00B501AE"/>
    <w:rsid w:val="00B5705D"/>
    <w:rsid w:val="00B63429"/>
    <w:rsid w:val="00BB15EA"/>
    <w:rsid w:val="00BC1105"/>
    <w:rsid w:val="00BC4596"/>
    <w:rsid w:val="00BD1CDA"/>
    <w:rsid w:val="00BE76EF"/>
    <w:rsid w:val="00BF7B1E"/>
    <w:rsid w:val="00C53C4B"/>
    <w:rsid w:val="00C64647"/>
    <w:rsid w:val="00C91B1E"/>
    <w:rsid w:val="00CE2F64"/>
    <w:rsid w:val="00CF0787"/>
    <w:rsid w:val="00DA6A47"/>
    <w:rsid w:val="00DB52B1"/>
    <w:rsid w:val="00DE43EA"/>
    <w:rsid w:val="00DF6714"/>
    <w:rsid w:val="00E03D63"/>
    <w:rsid w:val="00E36604"/>
    <w:rsid w:val="00E845D9"/>
    <w:rsid w:val="00E86D2F"/>
    <w:rsid w:val="00E92162"/>
    <w:rsid w:val="00EA79F8"/>
    <w:rsid w:val="00EB38B3"/>
    <w:rsid w:val="00EF4E8F"/>
    <w:rsid w:val="00F51B80"/>
    <w:rsid w:val="00F61186"/>
    <w:rsid w:val="00F90FBD"/>
    <w:rsid w:val="00FA6433"/>
    <w:rsid w:val="00FB6EAE"/>
    <w:rsid w:val="00FC7B39"/>
    <w:rsid w:val="00FE587D"/>
    <w:rsid w:val="00FF39CC"/>
    <w:rsid w:val="00FF7A2C"/>
    <w:rsid w:val="04DD1378"/>
    <w:rsid w:val="04EE4194"/>
    <w:rsid w:val="064D64F9"/>
    <w:rsid w:val="08D77CDA"/>
    <w:rsid w:val="14CC7966"/>
    <w:rsid w:val="1CE03B08"/>
    <w:rsid w:val="1DBE6AD2"/>
    <w:rsid w:val="23565D17"/>
    <w:rsid w:val="24BD1791"/>
    <w:rsid w:val="25E10C61"/>
    <w:rsid w:val="28F415A5"/>
    <w:rsid w:val="29416706"/>
    <w:rsid w:val="2CFF40FB"/>
    <w:rsid w:val="33804412"/>
    <w:rsid w:val="33F35073"/>
    <w:rsid w:val="353E70E9"/>
    <w:rsid w:val="35604025"/>
    <w:rsid w:val="36572972"/>
    <w:rsid w:val="378524E9"/>
    <w:rsid w:val="39546289"/>
    <w:rsid w:val="3DA678B1"/>
    <w:rsid w:val="40E55F32"/>
    <w:rsid w:val="420F71C9"/>
    <w:rsid w:val="4229787D"/>
    <w:rsid w:val="436867DC"/>
    <w:rsid w:val="48A139C9"/>
    <w:rsid w:val="4C1F7101"/>
    <w:rsid w:val="4CB053F8"/>
    <w:rsid w:val="4E2731BB"/>
    <w:rsid w:val="4F517407"/>
    <w:rsid w:val="558628E8"/>
    <w:rsid w:val="5DB736CF"/>
    <w:rsid w:val="5DB97951"/>
    <w:rsid w:val="5E733904"/>
    <w:rsid w:val="664523A6"/>
    <w:rsid w:val="66A0630D"/>
    <w:rsid w:val="6B260FD5"/>
    <w:rsid w:val="6EFD04AE"/>
    <w:rsid w:val="734D01F6"/>
    <w:rsid w:val="777A0CD8"/>
    <w:rsid w:val="7AD1051F"/>
    <w:rsid w:val="7F0A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Lines="100" w:afterLines="200"/>
      <w:jc w:val="center"/>
      <w:outlineLvl w:val="0"/>
    </w:pPr>
    <w:rPr>
      <w:rFonts w:ascii="黑体" w:hAnsi="宋体" w:eastAsia="黑体"/>
      <w:b/>
      <w:bCs/>
      <w:kern w:val="32"/>
      <w:sz w:val="44"/>
      <w:szCs w:val="44"/>
    </w:rPr>
  </w:style>
  <w:style w:type="paragraph" w:styleId="2">
    <w:name w:val="heading 2"/>
    <w:basedOn w:val="1"/>
    <w:next w:val="1"/>
    <w:autoRedefine/>
    <w:qFormat/>
    <w:uiPriority w:val="9"/>
    <w:pPr>
      <w:keepNext/>
      <w:keepLines/>
      <w:numPr>
        <w:ilvl w:val="1"/>
        <w:numId w:val="1"/>
      </w:numPr>
      <w:spacing w:before="260" w:after="260"/>
      <w:ind w:left="992" w:firstLine="0"/>
      <w:jc w:val="left"/>
      <w:outlineLvl w:val="1"/>
    </w:pPr>
    <w:rPr>
      <w:rFonts w:ascii="Calibri Light" w:hAnsi="Calibri Light" w:eastAsia="黑体" w:cs="宋体"/>
      <w:bCs/>
      <w:szCs w:val="32"/>
    </w:rPr>
  </w:style>
  <w:style w:type="paragraph" w:styleId="4">
    <w:name w:val="heading 3"/>
    <w:basedOn w:val="1"/>
    <w:next w:val="1"/>
    <w:autoRedefine/>
    <w:qFormat/>
    <w:uiPriority w:val="0"/>
    <w:pPr>
      <w:keepNext/>
      <w:keepLines/>
      <w:numPr>
        <w:ilvl w:val="2"/>
        <w:numId w:val="1"/>
      </w:numPr>
      <w:spacing w:before="260" w:after="260" w:line="416" w:lineRule="auto"/>
      <w:ind w:firstLine="0"/>
      <w:outlineLvl w:val="2"/>
    </w:pPr>
    <w:rPr>
      <w:rFonts w:ascii="楷体" w:hAnsi="楷体" w:eastAsia="楷体"/>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autoRedefine/>
    <w:qFormat/>
    <w:uiPriority w:val="0"/>
    <w:pPr>
      <w:jc w:val="left"/>
    </w:pPr>
  </w:style>
  <w:style w:type="paragraph" w:styleId="6">
    <w:name w:val="Body Text"/>
    <w:basedOn w:val="1"/>
    <w:next w:val="1"/>
    <w:autoRedefine/>
    <w:qFormat/>
    <w:uiPriority w:val="99"/>
    <w:pPr>
      <w:spacing w:after="120"/>
    </w:pPr>
  </w:style>
  <w:style w:type="paragraph" w:styleId="7">
    <w:name w:val="Body Text Indent"/>
    <w:basedOn w:val="1"/>
    <w:autoRedefine/>
    <w:qFormat/>
    <w:uiPriority w:val="99"/>
    <w:pPr>
      <w:spacing w:after="120"/>
      <w:ind w:left="420" w:leftChars="200"/>
    </w:pPr>
    <w:rPr>
      <w:kern w:val="0"/>
      <w:szCs w:val="20"/>
    </w:rPr>
  </w:style>
  <w:style w:type="paragraph" w:styleId="8">
    <w:name w:val="Balloon Text"/>
    <w:basedOn w:val="1"/>
    <w:link w:val="32"/>
    <w:autoRedefine/>
    <w:qFormat/>
    <w:uiPriority w:val="0"/>
    <w:rPr>
      <w:sz w:val="18"/>
      <w:szCs w:val="18"/>
    </w:rPr>
  </w:style>
  <w:style w:type="paragraph" w:styleId="9">
    <w:name w:val="footer"/>
    <w:basedOn w:val="1"/>
    <w:link w:val="34"/>
    <w:autoRedefine/>
    <w:qFormat/>
    <w:uiPriority w:val="99"/>
    <w:pPr>
      <w:tabs>
        <w:tab w:val="center" w:pos="4153"/>
        <w:tab w:val="right" w:pos="8306"/>
      </w:tabs>
      <w:snapToGrid w:val="0"/>
      <w:jc w:val="left"/>
    </w:pPr>
    <w:rPr>
      <w:sz w:val="18"/>
      <w:szCs w:val="18"/>
    </w:rPr>
  </w:style>
  <w:style w:type="paragraph" w:styleId="10">
    <w:name w:val="header"/>
    <w:basedOn w:val="1"/>
    <w:link w:val="33"/>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30"/>
    <w:autoRedefine/>
    <w:qFormat/>
    <w:uiPriority w:val="0"/>
    <w:rPr>
      <w:b/>
      <w:bCs/>
    </w:rPr>
  </w:style>
  <w:style w:type="paragraph" w:styleId="12">
    <w:name w:val="Body Text First Indent"/>
    <w:basedOn w:val="6"/>
    <w:next w:val="1"/>
    <w:autoRedefine/>
    <w:qFormat/>
    <w:uiPriority w:val="99"/>
    <w:pPr>
      <w:ind w:left="226" w:firstLine="420" w:firstLineChars="100"/>
    </w:pPr>
    <w:rPr>
      <w:rFonts w:ascii="宋体" w:hAnsi="宋体" w:cs="宋体"/>
      <w:szCs w:val="32"/>
      <w:lang w:val="zh-CN" w:bidi="zh-CN"/>
    </w:rPr>
  </w:style>
  <w:style w:type="paragraph" w:styleId="13">
    <w:name w:val="Body Text First Indent 2"/>
    <w:basedOn w:val="7"/>
    <w:autoRedefine/>
    <w:qFormat/>
    <w:uiPriority w:val="0"/>
    <w:pPr>
      <w:ind w:left="0" w:leftChars="0"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autoRedefine/>
    <w:qFormat/>
    <w:uiPriority w:val="0"/>
    <w:rPr>
      <w:sz w:val="21"/>
      <w:szCs w:val="21"/>
    </w:rPr>
  </w:style>
  <w:style w:type="paragraph" w:customStyle="1" w:styleId="18">
    <w:name w:val="表格"/>
    <w:basedOn w:val="1"/>
    <w:next w:val="1"/>
    <w:autoRedefine/>
    <w:qFormat/>
    <w:uiPriority w:val="0"/>
    <w:pPr>
      <w:jc w:val="center"/>
    </w:pPr>
    <w:rPr>
      <w:sz w:val="24"/>
    </w:rPr>
  </w:style>
  <w:style w:type="character" w:customStyle="1" w:styleId="19">
    <w:name w:val="font01"/>
    <w:basedOn w:val="16"/>
    <w:autoRedefine/>
    <w:qFormat/>
    <w:uiPriority w:val="0"/>
    <w:rPr>
      <w:rFonts w:hint="eastAsia" w:ascii="仿宋" w:hAnsi="仿宋" w:eastAsia="仿宋" w:cs="仿宋"/>
      <w:color w:val="000000"/>
      <w:sz w:val="24"/>
      <w:szCs w:val="24"/>
      <w:u w:val="none"/>
    </w:rPr>
  </w:style>
  <w:style w:type="character" w:customStyle="1" w:styleId="20">
    <w:name w:val="font31"/>
    <w:basedOn w:val="16"/>
    <w:autoRedefine/>
    <w:qFormat/>
    <w:uiPriority w:val="0"/>
    <w:rPr>
      <w:rFonts w:hint="default" w:ascii="Times New Roman" w:hAnsi="Times New Roman" w:cs="Times New Roman"/>
      <w:color w:val="000000"/>
      <w:sz w:val="20"/>
      <w:szCs w:val="20"/>
      <w:u w:val="single"/>
    </w:rPr>
  </w:style>
  <w:style w:type="character" w:customStyle="1" w:styleId="21">
    <w:name w:val="font91"/>
    <w:basedOn w:val="16"/>
    <w:autoRedefine/>
    <w:qFormat/>
    <w:uiPriority w:val="0"/>
    <w:rPr>
      <w:rFonts w:hint="eastAsia" w:ascii="宋体" w:hAnsi="宋体" w:eastAsia="宋体" w:cs="宋体"/>
      <w:color w:val="000000"/>
      <w:sz w:val="20"/>
      <w:szCs w:val="20"/>
      <w:u w:val="single"/>
    </w:rPr>
  </w:style>
  <w:style w:type="character" w:customStyle="1" w:styleId="22">
    <w:name w:val="font51"/>
    <w:basedOn w:val="16"/>
    <w:autoRedefine/>
    <w:qFormat/>
    <w:uiPriority w:val="0"/>
    <w:rPr>
      <w:rFonts w:hint="default" w:ascii="Times New Roman" w:hAnsi="Times New Roman" w:cs="Times New Roman"/>
      <w:color w:val="000000"/>
      <w:sz w:val="22"/>
      <w:szCs w:val="22"/>
      <w:u w:val="none"/>
    </w:rPr>
  </w:style>
  <w:style w:type="character" w:customStyle="1" w:styleId="23">
    <w:name w:val="font11"/>
    <w:basedOn w:val="16"/>
    <w:autoRedefine/>
    <w:qFormat/>
    <w:uiPriority w:val="0"/>
    <w:rPr>
      <w:rFonts w:hint="default" w:ascii="Times New Roman" w:hAnsi="Times New Roman" w:cs="Times New Roman"/>
      <w:color w:val="000000"/>
      <w:sz w:val="20"/>
      <w:szCs w:val="20"/>
      <w:u w:val="none"/>
    </w:rPr>
  </w:style>
  <w:style w:type="character" w:customStyle="1" w:styleId="24">
    <w:name w:val="font61"/>
    <w:basedOn w:val="16"/>
    <w:autoRedefine/>
    <w:qFormat/>
    <w:uiPriority w:val="0"/>
    <w:rPr>
      <w:rFonts w:hint="eastAsia" w:ascii="宋体" w:hAnsi="宋体" w:eastAsia="宋体" w:cs="宋体"/>
      <w:color w:val="000000"/>
      <w:sz w:val="20"/>
      <w:szCs w:val="20"/>
      <w:u w:val="none"/>
    </w:rPr>
  </w:style>
  <w:style w:type="character" w:customStyle="1" w:styleId="25">
    <w:name w:val="font71"/>
    <w:basedOn w:val="16"/>
    <w:autoRedefine/>
    <w:qFormat/>
    <w:uiPriority w:val="0"/>
    <w:rPr>
      <w:rFonts w:hint="default" w:ascii="Times New Roman" w:hAnsi="Times New Roman" w:cs="Times New Roman"/>
      <w:color w:val="000000"/>
      <w:sz w:val="20"/>
      <w:szCs w:val="20"/>
      <w:u w:val="none"/>
    </w:rPr>
  </w:style>
  <w:style w:type="character" w:customStyle="1" w:styleId="26">
    <w:name w:val="font21"/>
    <w:basedOn w:val="16"/>
    <w:autoRedefine/>
    <w:qFormat/>
    <w:uiPriority w:val="0"/>
    <w:rPr>
      <w:rFonts w:hint="eastAsia" w:ascii="宋体" w:hAnsi="宋体" w:eastAsia="宋体" w:cs="宋体"/>
      <w:color w:val="000000"/>
      <w:sz w:val="20"/>
      <w:szCs w:val="20"/>
      <w:u w:val="none"/>
    </w:rPr>
  </w:style>
  <w:style w:type="character" w:customStyle="1" w:styleId="27">
    <w:name w:val="font41"/>
    <w:basedOn w:val="16"/>
    <w:autoRedefine/>
    <w:qFormat/>
    <w:uiPriority w:val="0"/>
    <w:rPr>
      <w:rFonts w:hint="default" w:ascii="Times New Roman" w:hAnsi="Times New Roman" w:cs="Times New Roman"/>
      <w:color w:val="000000"/>
      <w:sz w:val="20"/>
      <w:szCs w:val="20"/>
      <w:u w:val="none"/>
    </w:rPr>
  </w:style>
  <w:style w:type="character" w:customStyle="1" w:styleId="28">
    <w:name w:val="font81"/>
    <w:basedOn w:val="16"/>
    <w:autoRedefine/>
    <w:qFormat/>
    <w:uiPriority w:val="0"/>
    <w:rPr>
      <w:rFonts w:hint="eastAsia" w:ascii="宋体" w:hAnsi="宋体" w:eastAsia="宋体" w:cs="宋体"/>
      <w:color w:val="000000"/>
      <w:sz w:val="20"/>
      <w:szCs w:val="20"/>
      <w:u w:val="none"/>
    </w:rPr>
  </w:style>
  <w:style w:type="character" w:customStyle="1" w:styleId="29">
    <w:name w:val="批注文字 字符"/>
    <w:basedOn w:val="16"/>
    <w:link w:val="5"/>
    <w:autoRedefine/>
    <w:qFormat/>
    <w:uiPriority w:val="0"/>
    <w:rPr>
      <w:kern w:val="2"/>
      <w:sz w:val="21"/>
      <w:szCs w:val="24"/>
    </w:rPr>
  </w:style>
  <w:style w:type="character" w:customStyle="1" w:styleId="30">
    <w:name w:val="批注主题 字符"/>
    <w:basedOn w:val="29"/>
    <w:link w:val="11"/>
    <w:autoRedefine/>
    <w:qFormat/>
    <w:uiPriority w:val="0"/>
    <w:rPr>
      <w:b/>
      <w:bCs/>
      <w:kern w:val="2"/>
      <w:sz w:val="21"/>
      <w:szCs w:val="24"/>
    </w:rPr>
  </w:style>
  <w:style w:type="paragraph" w:styleId="31">
    <w:name w:val="List Paragraph"/>
    <w:basedOn w:val="1"/>
    <w:autoRedefine/>
    <w:qFormat/>
    <w:uiPriority w:val="99"/>
    <w:pPr>
      <w:ind w:firstLine="420" w:firstLineChars="200"/>
    </w:pPr>
  </w:style>
  <w:style w:type="character" w:customStyle="1" w:styleId="32">
    <w:name w:val="批注框文本 字符"/>
    <w:basedOn w:val="16"/>
    <w:link w:val="8"/>
    <w:autoRedefine/>
    <w:qFormat/>
    <w:uiPriority w:val="0"/>
    <w:rPr>
      <w:kern w:val="2"/>
      <w:sz w:val="18"/>
      <w:szCs w:val="18"/>
    </w:rPr>
  </w:style>
  <w:style w:type="character" w:customStyle="1" w:styleId="33">
    <w:name w:val="页眉 字符"/>
    <w:basedOn w:val="16"/>
    <w:link w:val="10"/>
    <w:autoRedefine/>
    <w:qFormat/>
    <w:uiPriority w:val="99"/>
    <w:rPr>
      <w:kern w:val="2"/>
      <w:sz w:val="18"/>
      <w:szCs w:val="18"/>
    </w:rPr>
  </w:style>
  <w:style w:type="character" w:customStyle="1" w:styleId="34">
    <w:name w:val="页脚 字符"/>
    <w:basedOn w:val="16"/>
    <w:link w:val="9"/>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828</Words>
  <Characters>893</Characters>
  <Lines>25</Lines>
  <Paragraphs>21</Paragraphs>
  <TotalTime>2</TotalTime>
  <ScaleCrop>false</ScaleCrop>
  <LinksUpToDate>false</LinksUpToDate>
  <CharactersWithSpaces>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2022-09-15T02:42:00Z</dcterms:created>
  <dc:creator>皓月当空</dc:creator>
  <cp:lastModifiedBy>nash⚡</cp:lastModifiedBy>
  <cp:lastPrinted>2025-04-21T06:25:00Z</cp:lastPrinted>
  <dcterms:modified xsi:type="dcterms:W3CDTF">2025-04-27T07:43:32Z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3504AB93DFCF43B6BCF434CD61D6C52D_13</vt:lpwstr>
  </property>
  <property fmtid="{D5CDD505-2E9C-101B-9397-08002B2CF9AE}" pid="4" name="KSOTemplateDocerSaveRecord">
    <vt:lpwstr>eyJoZGlkIjoiMGI4OWQzNzJhMWExNzNhMDk5ZDViNGE4ODhkOGU2NTgiLCJ1c2VySWQiOiI1MTAxNDkwNjEifQ==</vt:lpwstr>
  </property>
</Properties>
</file>