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6ECD5">
      <w:pPr>
        <w:spacing w:line="360" w:lineRule="auto"/>
        <w:jc w:val="center"/>
        <w:rPr>
          <w:rFonts w:ascii="宋体" w:hAnsi="宋体" w:cs="宋体"/>
          <w:b/>
          <w:color w:val="auto"/>
          <w:sz w:val="24"/>
          <w:highlight w:val="none"/>
        </w:rPr>
      </w:pPr>
    </w:p>
    <w:p w14:paraId="4F7A3F3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52"/>
          <w:szCs w:val="52"/>
          <w:highlight w:val="none"/>
          <w:lang w:eastAsia="zh-CN"/>
        </w:rPr>
        <w:t xml:space="preserve">2025年度太炎社区片区化大物业管理服务项目 </w:t>
      </w:r>
      <w:r>
        <w:rPr>
          <w:rFonts w:hint="eastAsia" w:ascii="宋体" w:hAnsi="宋体" w:cs="宋体"/>
          <w:color w:val="auto"/>
          <w:sz w:val="52"/>
          <w:szCs w:val="52"/>
          <w:highlight w:val="none"/>
        </w:rPr>
        <w:t> </w:t>
      </w:r>
    </w:p>
    <w:p w14:paraId="32C69D5E">
      <w:pPr>
        <w:adjustRightInd/>
        <w:spacing w:line="360" w:lineRule="auto"/>
        <w:jc w:val="center"/>
        <w:rPr>
          <w:rFonts w:hint="eastAsia" w:ascii="宋体" w:hAnsi="宋体" w:cs="宋体"/>
          <w:color w:val="auto"/>
          <w:sz w:val="48"/>
          <w:szCs w:val="48"/>
          <w:highlight w:val="none"/>
        </w:rPr>
      </w:pPr>
    </w:p>
    <w:p w14:paraId="3D56741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97CB1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EC3EAA5">
      <w:pPr>
        <w:snapToGrid w:val="0"/>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ZFCGY2025-033</w:t>
      </w:r>
    </w:p>
    <w:p w14:paraId="60092FB6">
      <w:pPr>
        <w:snapToGrid w:val="0"/>
        <w:spacing w:line="360" w:lineRule="auto"/>
        <w:jc w:val="center"/>
        <w:rPr>
          <w:rFonts w:ascii="宋体" w:hAnsi="宋体" w:cs="宋体"/>
          <w:color w:val="auto"/>
          <w:sz w:val="30"/>
          <w:szCs w:val="30"/>
          <w:highlight w:val="none"/>
        </w:rPr>
      </w:pPr>
    </w:p>
    <w:p w14:paraId="79C4D590">
      <w:pPr>
        <w:adjustRightInd/>
        <w:spacing w:line="360" w:lineRule="auto"/>
        <w:rPr>
          <w:rFonts w:hint="default" w:ascii="宋体" w:hAnsi="宋体" w:eastAsia="宋体" w:cs="宋体"/>
          <w:color w:val="auto"/>
          <w:sz w:val="28"/>
          <w:szCs w:val="20"/>
          <w:highlight w:val="none"/>
          <w:lang w:val="en-US" w:eastAsia="zh-CN"/>
        </w:rPr>
      </w:pPr>
    </w:p>
    <w:p w14:paraId="2E41633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ED02D10">
      <w:pPr>
        <w:spacing w:line="360" w:lineRule="auto"/>
        <w:jc w:val="center"/>
        <w:rPr>
          <w:rFonts w:ascii="宋体" w:hAnsi="宋体" w:cs="宋体"/>
          <w:b/>
          <w:color w:val="auto"/>
          <w:sz w:val="44"/>
          <w:szCs w:val="44"/>
          <w:highlight w:val="none"/>
        </w:rPr>
      </w:pPr>
    </w:p>
    <w:p w14:paraId="38DCC314">
      <w:pPr>
        <w:spacing w:line="360" w:lineRule="auto"/>
        <w:jc w:val="center"/>
        <w:rPr>
          <w:rFonts w:ascii="宋体" w:hAnsi="宋体" w:cs="宋体"/>
          <w:color w:val="auto"/>
          <w:sz w:val="24"/>
          <w:highlight w:val="none"/>
        </w:rPr>
      </w:pPr>
    </w:p>
    <w:p w14:paraId="78BD52D5">
      <w:pPr>
        <w:spacing w:line="360" w:lineRule="auto"/>
        <w:jc w:val="center"/>
        <w:rPr>
          <w:rFonts w:ascii="宋体" w:hAnsi="宋体" w:cs="宋体"/>
          <w:color w:val="auto"/>
          <w:sz w:val="24"/>
          <w:highlight w:val="none"/>
        </w:rPr>
      </w:pPr>
    </w:p>
    <w:p w14:paraId="292F0BF5">
      <w:pPr>
        <w:spacing w:line="360" w:lineRule="auto"/>
        <w:rPr>
          <w:rFonts w:ascii="宋体" w:hAnsi="宋体" w:cs="宋体"/>
          <w:color w:val="auto"/>
          <w:sz w:val="32"/>
          <w:szCs w:val="32"/>
          <w:highlight w:val="none"/>
        </w:rPr>
      </w:pPr>
    </w:p>
    <w:p w14:paraId="55E4D8F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：杭州市余杭区人民政府仓前街道办事处</w:t>
      </w:r>
    </w:p>
    <w:p w14:paraId="3921AA67">
      <w:pPr>
        <w:spacing w:line="360" w:lineRule="auto"/>
        <w:ind w:firstLine="1280" w:firstLineChars="4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：浙江质安工程管理有限公司</w:t>
      </w:r>
    </w:p>
    <w:p w14:paraId="7A3A692D">
      <w:pPr>
        <w:spacing w:line="360" w:lineRule="auto"/>
        <w:jc w:val="center"/>
        <w:rPr>
          <w:rFonts w:hint="eastAsia" w:ascii="宋体" w:hAnsi="宋体" w:eastAsia="宋体" w:cs="宋体"/>
          <w:bCs/>
          <w:color w:val="auto"/>
          <w:sz w:val="32"/>
          <w:szCs w:val="32"/>
          <w:highlight w:val="none"/>
          <w:lang w:eastAsia="zh-CN"/>
        </w:rPr>
      </w:pPr>
    </w:p>
    <w:p w14:paraId="0ACDA30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十三</w:t>
      </w:r>
      <w:r>
        <w:rPr>
          <w:rFonts w:hint="eastAsia" w:ascii="宋体" w:hAnsi="宋体" w:cs="宋体"/>
          <w:bCs/>
          <w:color w:val="auto"/>
          <w:sz w:val="32"/>
          <w:szCs w:val="32"/>
          <w:highlight w:val="none"/>
        </w:rPr>
        <w:t>日</w:t>
      </w:r>
    </w:p>
    <w:p w14:paraId="2A8B5A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B40200D">
      <w:pPr>
        <w:pStyle w:val="637"/>
        <w:rPr>
          <w:color w:val="auto"/>
          <w:highlight w:val="none"/>
        </w:rPr>
      </w:pPr>
    </w:p>
    <w:p w14:paraId="674765C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B19F4D3">
      <w:pPr>
        <w:spacing w:line="360" w:lineRule="auto"/>
        <w:rPr>
          <w:rFonts w:ascii="宋体" w:hAnsi="宋体" w:cs="宋体"/>
          <w:color w:val="auto"/>
          <w:sz w:val="32"/>
          <w:szCs w:val="32"/>
          <w:highlight w:val="none"/>
        </w:rPr>
      </w:pPr>
    </w:p>
    <w:p w14:paraId="52F12093">
      <w:pPr>
        <w:spacing w:line="360" w:lineRule="auto"/>
        <w:rPr>
          <w:rFonts w:ascii="宋体" w:hAnsi="宋体" w:cs="宋体"/>
          <w:color w:val="auto"/>
          <w:sz w:val="32"/>
          <w:szCs w:val="32"/>
          <w:highlight w:val="none"/>
        </w:rPr>
      </w:pPr>
    </w:p>
    <w:p w14:paraId="1C9B5A6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82ACEF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95333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006CAB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99EE0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9C0442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9C6153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3AAC467">
      <w:pPr>
        <w:spacing w:line="360" w:lineRule="auto"/>
        <w:ind w:firstLine="549" w:firstLineChars="229"/>
        <w:rPr>
          <w:rFonts w:ascii="宋体" w:hAnsi="宋体" w:cs="宋体"/>
          <w:color w:val="auto"/>
          <w:sz w:val="24"/>
          <w:highlight w:val="none"/>
        </w:rPr>
      </w:pPr>
    </w:p>
    <w:p w14:paraId="1640B377">
      <w:pPr>
        <w:spacing w:line="360" w:lineRule="auto"/>
        <w:ind w:firstLine="549" w:firstLineChars="229"/>
        <w:rPr>
          <w:rFonts w:ascii="宋体" w:hAnsi="宋体" w:cs="宋体"/>
          <w:color w:val="auto"/>
          <w:sz w:val="24"/>
          <w:highlight w:val="none"/>
        </w:rPr>
      </w:pPr>
    </w:p>
    <w:p w14:paraId="182E2E25">
      <w:pPr>
        <w:spacing w:line="360" w:lineRule="auto"/>
        <w:ind w:firstLine="549" w:firstLineChars="229"/>
        <w:rPr>
          <w:rFonts w:ascii="宋体" w:hAnsi="宋体" w:cs="宋体"/>
          <w:color w:val="auto"/>
          <w:sz w:val="24"/>
          <w:highlight w:val="none"/>
        </w:rPr>
      </w:pPr>
    </w:p>
    <w:p w14:paraId="34D388E4">
      <w:pPr>
        <w:spacing w:line="360" w:lineRule="auto"/>
        <w:ind w:firstLine="549" w:firstLineChars="229"/>
        <w:rPr>
          <w:rFonts w:ascii="宋体" w:hAnsi="宋体" w:cs="宋体"/>
          <w:color w:val="auto"/>
          <w:sz w:val="24"/>
          <w:highlight w:val="none"/>
        </w:rPr>
      </w:pPr>
    </w:p>
    <w:p w14:paraId="48004343">
      <w:pPr>
        <w:spacing w:line="360" w:lineRule="auto"/>
        <w:ind w:firstLine="549" w:firstLineChars="229"/>
        <w:rPr>
          <w:rFonts w:ascii="宋体" w:hAnsi="宋体" w:cs="宋体"/>
          <w:color w:val="auto"/>
          <w:sz w:val="24"/>
          <w:highlight w:val="none"/>
        </w:rPr>
      </w:pPr>
    </w:p>
    <w:p w14:paraId="2D15DABD">
      <w:pPr>
        <w:spacing w:line="360" w:lineRule="auto"/>
        <w:ind w:firstLine="549" w:firstLineChars="229"/>
        <w:rPr>
          <w:rFonts w:ascii="宋体" w:hAnsi="宋体" w:cs="宋体"/>
          <w:color w:val="auto"/>
          <w:sz w:val="24"/>
          <w:highlight w:val="none"/>
        </w:rPr>
      </w:pPr>
    </w:p>
    <w:p w14:paraId="4EDDC402">
      <w:pPr>
        <w:spacing w:line="360" w:lineRule="auto"/>
        <w:ind w:firstLine="549" w:firstLineChars="229"/>
        <w:rPr>
          <w:rFonts w:ascii="宋体" w:hAnsi="宋体" w:cs="宋体"/>
          <w:color w:val="auto"/>
          <w:sz w:val="24"/>
          <w:highlight w:val="none"/>
        </w:rPr>
      </w:pPr>
    </w:p>
    <w:p w14:paraId="702F7755">
      <w:pPr>
        <w:spacing w:line="360" w:lineRule="auto"/>
        <w:ind w:firstLine="549" w:firstLineChars="229"/>
        <w:rPr>
          <w:rFonts w:ascii="宋体" w:hAnsi="宋体" w:cs="宋体"/>
          <w:color w:val="auto"/>
          <w:sz w:val="24"/>
          <w:highlight w:val="none"/>
        </w:rPr>
      </w:pPr>
    </w:p>
    <w:p w14:paraId="3B504116">
      <w:pPr>
        <w:spacing w:line="360" w:lineRule="auto"/>
        <w:ind w:firstLine="549" w:firstLineChars="229"/>
        <w:rPr>
          <w:rFonts w:ascii="宋体" w:hAnsi="宋体" w:cs="宋体"/>
          <w:color w:val="auto"/>
          <w:sz w:val="24"/>
          <w:highlight w:val="none"/>
        </w:rPr>
      </w:pPr>
    </w:p>
    <w:p w14:paraId="02F98C7A">
      <w:pPr>
        <w:spacing w:line="360" w:lineRule="auto"/>
        <w:ind w:firstLine="549" w:firstLineChars="229"/>
        <w:rPr>
          <w:rFonts w:ascii="宋体" w:hAnsi="宋体" w:cs="宋体"/>
          <w:color w:val="auto"/>
          <w:sz w:val="24"/>
          <w:highlight w:val="none"/>
        </w:rPr>
      </w:pPr>
    </w:p>
    <w:p w14:paraId="7D48C830">
      <w:pPr>
        <w:spacing w:line="360" w:lineRule="auto"/>
        <w:ind w:firstLine="549" w:firstLineChars="229"/>
        <w:rPr>
          <w:rFonts w:ascii="宋体" w:hAnsi="宋体" w:cs="宋体"/>
          <w:color w:val="auto"/>
          <w:sz w:val="24"/>
          <w:highlight w:val="none"/>
        </w:rPr>
      </w:pPr>
    </w:p>
    <w:p w14:paraId="11B500F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0C6B3C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43B412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2025年度太炎社区片区化大物业管理服务项目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yellow"/>
        </w:rPr>
        <w:t>202</w:t>
      </w:r>
      <w:r>
        <w:rPr>
          <w:rStyle w:val="76"/>
          <w:rFonts w:hint="eastAsia" w:ascii="宋体" w:hAnsi="宋体" w:cs="宋体"/>
          <w:snapToGrid/>
          <w:color w:val="auto"/>
          <w:kern w:val="2"/>
          <w:sz w:val="24"/>
          <w:szCs w:val="24"/>
          <w:highlight w:val="yellow"/>
          <w:lang w:val="en-US" w:eastAsia="zh-CN"/>
        </w:rPr>
        <w:t>5</w:t>
      </w:r>
      <w:r>
        <w:rPr>
          <w:rStyle w:val="76"/>
          <w:rFonts w:hint="eastAsia" w:ascii="宋体" w:hAnsi="宋体" w:eastAsia="宋体" w:cs="宋体"/>
          <w:snapToGrid/>
          <w:color w:val="auto"/>
          <w:kern w:val="2"/>
          <w:sz w:val="24"/>
          <w:szCs w:val="24"/>
          <w:highlight w:val="yellow"/>
        </w:rPr>
        <w:t>年</w:t>
      </w:r>
      <w:r>
        <w:rPr>
          <w:rStyle w:val="76"/>
          <w:rFonts w:hint="eastAsia" w:ascii="宋体" w:hAnsi="宋体" w:cs="宋体"/>
          <w:snapToGrid/>
          <w:color w:val="auto"/>
          <w:kern w:val="2"/>
          <w:sz w:val="24"/>
          <w:szCs w:val="24"/>
          <w:highlight w:val="yellow"/>
          <w:lang w:val="en-US" w:eastAsia="zh-CN"/>
        </w:rPr>
        <w:t>04</w:t>
      </w:r>
      <w:r>
        <w:rPr>
          <w:rStyle w:val="76"/>
          <w:rFonts w:hint="eastAsia" w:ascii="宋体" w:hAnsi="宋体" w:eastAsia="宋体" w:cs="宋体"/>
          <w:snapToGrid/>
          <w:color w:val="auto"/>
          <w:kern w:val="2"/>
          <w:sz w:val="24"/>
          <w:szCs w:val="24"/>
          <w:highlight w:val="yellow"/>
        </w:rPr>
        <w:t>月</w:t>
      </w:r>
      <w:r>
        <w:rPr>
          <w:rStyle w:val="76"/>
          <w:rFonts w:hint="eastAsia" w:ascii="宋体" w:hAnsi="宋体" w:cs="宋体"/>
          <w:snapToGrid/>
          <w:color w:val="auto"/>
          <w:kern w:val="2"/>
          <w:sz w:val="24"/>
          <w:szCs w:val="24"/>
          <w:highlight w:val="yellow"/>
          <w:lang w:val="en-US" w:eastAsia="zh-CN"/>
        </w:rPr>
        <w:t xml:space="preserve">  </w:t>
      </w:r>
      <w:r>
        <w:rPr>
          <w:rStyle w:val="76"/>
          <w:rFonts w:hint="eastAsia" w:ascii="宋体" w:hAnsi="宋体" w:eastAsia="宋体" w:cs="宋体"/>
          <w:snapToGrid/>
          <w:color w:val="auto"/>
          <w:kern w:val="2"/>
          <w:sz w:val="24"/>
          <w:szCs w:val="24"/>
          <w:highlight w:val="yellow"/>
        </w:rPr>
        <w:t>日</w:t>
      </w:r>
      <w:r>
        <w:rPr>
          <w:rStyle w:val="76"/>
          <w:rFonts w:hint="eastAsia" w:ascii="宋体" w:hAnsi="宋体" w:cs="宋体"/>
          <w:snapToGrid/>
          <w:color w:val="auto"/>
          <w:kern w:val="2"/>
          <w:sz w:val="24"/>
          <w:szCs w:val="24"/>
          <w:highlight w:val="yellow"/>
          <w:lang w:val="en-US" w:eastAsia="zh-CN"/>
        </w:rPr>
        <w:t xml:space="preserve">  </w:t>
      </w:r>
      <w:r>
        <w:rPr>
          <w:rStyle w:val="76"/>
          <w:rFonts w:hint="eastAsia" w:ascii="宋体" w:hAnsi="宋体" w:eastAsia="宋体" w:cs="宋体"/>
          <w:snapToGrid/>
          <w:color w:val="auto"/>
          <w:kern w:val="2"/>
          <w:sz w:val="24"/>
          <w:szCs w:val="24"/>
          <w:highlight w:val="yellow"/>
        </w:rPr>
        <w:t>点</w:t>
      </w:r>
      <w:r>
        <w:rPr>
          <w:rStyle w:val="76"/>
          <w:rFonts w:hint="eastAsia" w:ascii="宋体" w:hAnsi="宋体" w:cs="宋体"/>
          <w:snapToGrid/>
          <w:color w:val="auto"/>
          <w:kern w:val="2"/>
          <w:sz w:val="24"/>
          <w:szCs w:val="24"/>
          <w:highlight w:val="yellow"/>
          <w:lang w:val="en-US" w:eastAsia="zh-CN"/>
        </w:rPr>
        <w:t>00</w:t>
      </w:r>
      <w:r>
        <w:rPr>
          <w:rStyle w:val="76"/>
          <w:rFonts w:hint="eastAsia" w:ascii="宋体" w:hAnsi="宋体" w:eastAsia="宋体" w:cs="宋体"/>
          <w:snapToGrid/>
          <w:color w:val="auto"/>
          <w:kern w:val="2"/>
          <w:sz w:val="24"/>
          <w:szCs w:val="24"/>
          <w:highlight w:val="yellow"/>
        </w:rPr>
        <w:t>分</w:t>
      </w:r>
      <w:r>
        <w:rPr>
          <w:rStyle w:val="76"/>
          <w:rFonts w:hint="eastAsia" w:ascii="宋体" w:hAnsi="宋体" w:eastAsia="宋体" w:cs="宋体"/>
          <w:bCs/>
          <w:snapToGrid/>
          <w:color w:val="auto"/>
          <w:kern w:val="2"/>
          <w:sz w:val="24"/>
          <w:szCs w:val="24"/>
          <w:highlight w:val="yellow"/>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2D2AEA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B0E4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ZFCGY2025-033</w:t>
      </w:r>
    </w:p>
    <w:p w14:paraId="49D952E0">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2025年度太炎社区片区化大物业管理服务项目 </w:t>
      </w:r>
      <w:r>
        <w:rPr>
          <w:rFonts w:hint="eastAsia" w:ascii="宋体" w:hAnsi="宋体" w:cs="宋体"/>
          <w:color w:val="auto"/>
          <w:sz w:val="24"/>
          <w:highlight w:val="none"/>
        </w:rPr>
        <w:t> </w:t>
      </w:r>
    </w:p>
    <w:p w14:paraId="12E8155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10750000</w:t>
      </w:r>
      <w:r>
        <w:rPr>
          <w:rFonts w:ascii="宋体" w:hAnsi="宋体" w:cs="宋体"/>
          <w:color w:val="auto"/>
          <w:sz w:val="24"/>
          <w:highlight w:val="none"/>
        </w:rPr>
        <w:t xml:space="preserve"> </w:t>
      </w:r>
    </w:p>
    <w:p w14:paraId="4C40DE0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10750000</w:t>
      </w:r>
      <w:r>
        <w:rPr>
          <w:rFonts w:ascii="宋体" w:hAnsi="宋体" w:cs="宋体"/>
          <w:b w:val="0"/>
          <w:bCs/>
          <w:color w:val="auto"/>
          <w:sz w:val="24"/>
          <w:highlight w:val="none"/>
        </w:rPr>
        <w:t xml:space="preserve"> </w:t>
      </w:r>
    </w:p>
    <w:p w14:paraId="61F627C8">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eastAsia="zh-CN"/>
        </w:rPr>
        <w:t>2025年度太炎社区片区化大物业管理服务项目 ，</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2025年度太炎社区片区化大物业管理服务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F0F8340">
      <w:pPr>
        <w:pStyle w:val="131"/>
        <w:ind w:firstLine="482"/>
        <w:outlineLvl w:val="2"/>
        <w:rPr>
          <w:rFonts w:ascii="宋体" w:hAnsi="宋体" w:cs="宋体"/>
          <w:b w:val="0"/>
          <w:bCs/>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一年</w:t>
      </w:r>
      <w:r>
        <w:rPr>
          <w:rFonts w:hint="eastAsia" w:ascii="宋体" w:hAnsi="宋体" w:cs="宋体"/>
          <w:b w:val="0"/>
          <w:bCs/>
          <w:color w:val="auto"/>
          <w:highlight w:val="none"/>
          <w:lang w:eastAsia="zh-CN"/>
        </w:rPr>
        <w:t>。</w:t>
      </w:r>
      <w:r>
        <w:rPr>
          <w:rFonts w:ascii="宋体" w:hAnsi="宋体" w:cs="宋体"/>
          <w:b w:val="0"/>
          <w:bCs/>
          <w:color w:val="auto"/>
          <w:highlight w:val="none"/>
        </w:rPr>
        <w:t xml:space="preserve"> </w:t>
      </w:r>
    </w:p>
    <w:p w14:paraId="4F2B4C97">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D818BE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DC7E5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87DE94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3BD3B6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BD4D01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864799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0ACEF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271D4D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6071AD5">
      <w:pPr>
        <w:rPr>
          <w:rFonts w:ascii="宋体" w:hAnsi="宋体" w:cs="宋体"/>
          <w:color w:val="auto"/>
          <w:highlight w:val="none"/>
        </w:rPr>
      </w:pPr>
    </w:p>
    <w:p w14:paraId="0023350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EC650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34FF3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3B1DC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E384A2A">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D4C7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9FE30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3919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2FF64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0C1EB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5A360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128A47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31FE9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00</w:t>
      </w:r>
      <w:r>
        <w:rPr>
          <w:rFonts w:hint="eastAsia" w:ascii="宋体" w:hAnsi="宋体" w:cs="宋体"/>
          <w:color w:val="auto"/>
          <w:sz w:val="24"/>
          <w:highlight w:val="yellow"/>
          <w:u w:val="single"/>
        </w:rPr>
        <w:t>分00秒</w:t>
      </w:r>
      <w:r>
        <w:rPr>
          <w:rFonts w:hint="eastAsia" w:ascii="宋体" w:hAnsi="宋体" w:cs="宋体"/>
          <w:bCs/>
          <w:color w:val="auto"/>
          <w:sz w:val="24"/>
          <w:highlight w:val="yellow"/>
          <w:u w:val="single"/>
        </w:rPr>
        <w:t xml:space="preserve"> </w:t>
      </w:r>
      <w:r>
        <w:rPr>
          <w:rFonts w:hint="eastAsia" w:ascii="宋体" w:hAnsi="宋体" w:cs="宋体"/>
          <w:color w:val="auto"/>
          <w:sz w:val="24"/>
          <w:highlight w:val="none"/>
        </w:rPr>
        <w:t>（北京时间）</w:t>
      </w:r>
    </w:p>
    <w:p w14:paraId="0F81DE5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462390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00</w:t>
      </w:r>
      <w:r>
        <w:rPr>
          <w:rFonts w:hint="eastAsia" w:ascii="宋体" w:hAnsi="宋体" w:cs="宋体"/>
          <w:color w:val="auto"/>
          <w:sz w:val="24"/>
          <w:highlight w:val="yellow"/>
          <w:u w:val="single"/>
        </w:rPr>
        <w:t>分00秒</w:t>
      </w:r>
      <w:r>
        <w:rPr>
          <w:rFonts w:hint="eastAsia" w:ascii="宋体" w:hAnsi="宋体" w:cs="宋体"/>
          <w:bCs/>
          <w:color w:val="auto"/>
          <w:sz w:val="24"/>
          <w:highlight w:val="none"/>
          <w:u w:val="single"/>
        </w:rPr>
        <w:t xml:space="preserve">  </w:t>
      </w:r>
    </w:p>
    <w:p w14:paraId="2602E4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38FD4F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82466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4B9C27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9E5D7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733A7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6CD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3EB2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4D1B1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3AAA4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3DB29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   </w:t>
      </w:r>
      <w:r>
        <w:rPr>
          <w:rFonts w:hint="eastAsia" w:ascii="宋体" w:hAnsi="宋体" w:cs="宋体"/>
          <w:color w:val="auto"/>
          <w:sz w:val="24"/>
          <w:highlight w:val="none"/>
        </w:rPr>
        <w:t xml:space="preserve"> </w:t>
      </w:r>
    </w:p>
    <w:p w14:paraId="7D9BD7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14:paraId="0DDC1E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35DEDC6">
      <w:pPr>
        <w:spacing w:line="24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项目联系人（询问）：赵</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14:paraId="1B2B67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89519371</w:t>
      </w:r>
      <w:r>
        <w:rPr>
          <w:rFonts w:hint="eastAsia" w:ascii="宋体" w:hAnsi="宋体" w:cs="宋体"/>
          <w:color w:val="auto"/>
          <w:sz w:val="24"/>
          <w:highlight w:val="none"/>
        </w:rPr>
        <w:t xml:space="preserve">        </w:t>
      </w:r>
    </w:p>
    <w:p w14:paraId="1759B7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 </w:t>
      </w:r>
    </w:p>
    <w:p w14:paraId="004B0C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14:paraId="1D1C2F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DF8D8A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浙江质安工程管理有限公司</w:t>
      </w:r>
    </w:p>
    <w:p w14:paraId="7E7614F2">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浙江省杭州市余杭区中泰街道南湖大厦1幢1914室</w:t>
      </w:r>
    </w:p>
    <w:p w14:paraId="029EB5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7DC63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项目联系人（询问）：曹俊杰 </w:t>
      </w:r>
    </w:p>
    <w:p w14:paraId="64D9B7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14:paraId="2589C3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包琳</w:t>
      </w:r>
      <w:r>
        <w:rPr>
          <w:rFonts w:hint="eastAsia" w:ascii="宋体" w:hAnsi="宋体" w:cs="宋体"/>
          <w:color w:val="auto"/>
          <w:sz w:val="24"/>
          <w:highlight w:val="none"/>
        </w:rPr>
        <w:t xml:space="preserve"> </w:t>
      </w:r>
    </w:p>
    <w:p w14:paraId="12D5DD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bookmarkStart w:id="11" w:name="OLE_LINK7"/>
      <w:r>
        <w:rPr>
          <w:rFonts w:hint="eastAsia" w:ascii="宋体" w:hAnsi="宋体" w:cs="宋体"/>
          <w:color w:val="auto"/>
          <w:sz w:val="24"/>
          <w:highlight w:val="none"/>
          <w:lang w:val="en-US" w:eastAsia="zh-CN"/>
        </w:rPr>
        <w:t>13735483636</w:t>
      </w:r>
      <w:bookmarkEnd w:id="11"/>
    </w:p>
    <w:p w14:paraId="535E9A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8697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A94FD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6D1622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A45EF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A2C1E8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政策咨询电话：陈先生、厉先生，0571-89580460、89580456政府采购监管部门工作人员</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E5E57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C0CCCB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1D79AA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B28220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D2D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8E006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2DE7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4E9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64B9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C0F5C1">
            <w:pPr>
              <w:snapToGrid w:val="0"/>
              <w:spacing w:line="360" w:lineRule="auto"/>
              <w:jc w:val="center"/>
              <w:rPr>
                <w:rFonts w:ascii="宋体" w:hAnsi="宋体" w:cs="宋体"/>
                <w:color w:val="auto"/>
                <w:sz w:val="24"/>
                <w:highlight w:val="none"/>
              </w:rPr>
            </w:pPr>
          </w:p>
          <w:p w14:paraId="1F8806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BD5F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9766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CB43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B95ED3A">
            <w:pPr>
              <w:snapToGrid w:val="0"/>
              <w:spacing w:line="360" w:lineRule="auto"/>
              <w:jc w:val="center"/>
              <w:rPr>
                <w:rFonts w:ascii="宋体" w:hAnsi="宋体" w:cs="宋体"/>
                <w:color w:val="auto"/>
                <w:sz w:val="24"/>
                <w:highlight w:val="none"/>
              </w:rPr>
            </w:pPr>
          </w:p>
          <w:p w14:paraId="3694E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0083E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C459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2025年度太炎社区片区化大物业管理服务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行业；</w:t>
            </w:r>
          </w:p>
          <w:p w14:paraId="20EA39DF">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人以下的为微型企业。</w:t>
            </w:r>
          </w:p>
        </w:tc>
      </w:tr>
      <w:tr w14:paraId="60CAA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D0800A">
            <w:pPr>
              <w:snapToGrid w:val="0"/>
              <w:spacing w:line="360" w:lineRule="auto"/>
              <w:jc w:val="center"/>
              <w:rPr>
                <w:rFonts w:ascii="宋体" w:hAnsi="宋体" w:cs="宋体"/>
                <w:color w:val="auto"/>
                <w:sz w:val="24"/>
                <w:highlight w:val="none"/>
              </w:rPr>
            </w:pPr>
          </w:p>
          <w:p w14:paraId="67D18D3F">
            <w:pPr>
              <w:snapToGrid w:val="0"/>
              <w:spacing w:line="360" w:lineRule="auto"/>
              <w:jc w:val="center"/>
              <w:rPr>
                <w:rFonts w:ascii="宋体" w:hAnsi="宋体" w:cs="宋体"/>
                <w:color w:val="auto"/>
                <w:sz w:val="24"/>
                <w:highlight w:val="none"/>
              </w:rPr>
            </w:pPr>
          </w:p>
          <w:p w14:paraId="49296B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6C780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1E3EE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D43EB5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2174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FA97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01CA5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2C1DC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8428BA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8B60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A7BCF2">
            <w:pPr>
              <w:snapToGrid w:val="0"/>
              <w:spacing w:line="360" w:lineRule="auto"/>
              <w:jc w:val="center"/>
              <w:rPr>
                <w:rFonts w:ascii="宋体" w:hAnsi="宋体" w:cs="宋体"/>
                <w:color w:val="auto"/>
                <w:sz w:val="24"/>
                <w:highlight w:val="none"/>
              </w:rPr>
            </w:pPr>
          </w:p>
          <w:p w14:paraId="5C9F9C0F">
            <w:pPr>
              <w:snapToGrid w:val="0"/>
              <w:spacing w:line="360" w:lineRule="auto"/>
              <w:jc w:val="center"/>
              <w:rPr>
                <w:rFonts w:ascii="宋体" w:hAnsi="宋体" w:cs="宋体"/>
                <w:color w:val="auto"/>
                <w:sz w:val="24"/>
                <w:highlight w:val="none"/>
              </w:rPr>
            </w:pPr>
          </w:p>
          <w:p w14:paraId="6699CC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9341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40B5B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37B9ED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EEC5B36">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B8A2E37">
            <w:pPr>
              <w:pStyle w:val="79"/>
              <w:ind w:firstLine="0" w:firstLineChars="0"/>
              <w:rPr>
                <w:color w:val="auto"/>
                <w:highlight w:val="none"/>
              </w:rPr>
            </w:pPr>
          </w:p>
        </w:tc>
      </w:tr>
      <w:tr w14:paraId="384B4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3B31CC">
            <w:pPr>
              <w:snapToGrid w:val="0"/>
              <w:spacing w:line="360" w:lineRule="auto"/>
              <w:jc w:val="center"/>
              <w:rPr>
                <w:rFonts w:ascii="宋体" w:hAnsi="宋体" w:cs="宋体"/>
                <w:color w:val="auto"/>
                <w:sz w:val="24"/>
                <w:highlight w:val="none"/>
              </w:rPr>
            </w:pPr>
          </w:p>
          <w:p w14:paraId="748DAF53">
            <w:pPr>
              <w:snapToGrid w:val="0"/>
              <w:spacing w:line="360" w:lineRule="auto"/>
              <w:jc w:val="center"/>
              <w:rPr>
                <w:rFonts w:ascii="宋体" w:hAnsi="宋体" w:cs="宋体"/>
                <w:color w:val="auto"/>
                <w:sz w:val="24"/>
                <w:highlight w:val="none"/>
              </w:rPr>
            </w:pPr>
          </w:p>
          <w:p w14:paraId="68720E5D">
            <w:pPr>
              <w:snapToGrid w:val="0"/>
              <w:spacing w:line="360" w:lineRule="auto"/>
              <w:jc w:val="center"/>
              <w:rPr>
                <w:rFonts w:ascii="宋体" w:hAnsi="宋体" w:cs="宋体"/>
                <w:color w:val="auto"/>
                <w:sz w:val="24"/>
                <w:highlight w:val="none"/>
              </w:rPr>
            </w:pPr>
          </w:p>
          <w:p w14:paraId="7B7179C9">
            <w:pPr>
              <w:snapToGrid w:val="0"/>
              <w:spacing w:line="360" w:lineRule="auto"/>
              <w:jc w:val="center"/>
              <w:rPr>
                <w:rFonts w:ascii="宋体" w:hAnsi="宋体" w:cs="宋体"/>
                <w:color w:val="auto"/>
                <w:sz w:val="24"/>
                <w:highlight w:val="none"/>
              </w:rPr>
            </w:pPr>
          </w:p>
          <w:p w14:paraId="41A77F3F">
            <w:pPr>
              <w:snapToGrid w:val="0"/>
              <w:spacing w:line="360" w:lineRule="auto"/>
              <w:jc w:val="center"/>
              <w:rPr>
                <w:rFonts w:ascii="宋体" w:hAnsi="宋体" w:cs="宋体"/>
                <w:color w:val="auto"/>
                <w:sz w:val="24"/>
                <w:highlight w:val="none"/>
              </w:rPr>
            </w:pPr>
          </w:p>
          <w:p w14:paraId="0E897344">
            <w:pPr>
              <w:snapToGrid w:val="0"/>
              <w:spacing w:line="360" w:lineRule="auto"/>
              <w:jc w:val="center"/>
              <w:rPr>
                <w:rFonts w:ascii="宋体" w:hAnsi="宋体" w:cs="宋体"/>
                <w:color w:val="auto"/>
                <w:sz w:val="24"/>
                <w:highlight w:val="none"/>
              </w:rPr>
            </w:pPr>
          </w:p>
          <w:p w14:paraId="07B40D69">
            <w:pPr>
              <w:snapToGrid w:val="0"/>
              <w:spacing w:line="360" w:lineRule="auto"/>
              <w:jc w:val="center"/>
              <w:rPr>
                <w:rFonts w:ascii="宋体" w:hAnsi="宋体" w:cs="宋体"/>
                <w:color w:val="auto"/>
                <w:sz w:val="24"/>
                <w:highlight w:val="none"/>
              </w:rPr>
            </w:pPr>
          </w:p>
          <w:p w14:paraId="25C2ED30">
            <w:pPr>
              <w:snapToGrid w:val="0"/>
              <w:spacing w:line="360" w:lineRule="auto"/>
              <w:jc w:val="center"/>
              <w:rPr>
                <w:rFonts w:ascii="宋体" w:hAnsi="宋体" w:cs="宋体"/>
                <w:color w:val="auto"/>
                <w:sz w:val="24"/>
                <w:highlight w:val="none"/>
              </w:rPr>
            </w:pPr>
          </w:p>
          <w:p w14:paraId="350D05C0">
            <w:pPr>
              <w:snapToGrid w:val="0"/>
              <w:spacing w:line="360" w:lineRule="auto"/>
              <w:jc w:val="center"/>
              <w:rPr>
                <w:rFonts w:ascii="宋体" w:hAnsi="宋体" w:cs="宋体"/>
                <w:color w:val="auto"/>
                <w:sz w:val="24"/>
                <w:highlight w:val="none"/>
              </w:rPr>
            </w:pPr>
          </w:p>
          <w:p w14:paraId="25C85C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CB69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92DE37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CF3336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7DBE91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DC8DD3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2799E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624D66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DEB6FB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C23B9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17D5B9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2BFD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1ADDF9">
            <w:pPr>
              <w:snapToGrid w:val="0"/>
              <w:spacing w:line="360" w:lineRule="auto"/>
              <w:jc w:val="center"/>
              <w:rPr>
                <w:rFonts w:ascii="宋体" w:hAnsi="宋体" w:cs="宋体"/>
                <w:color w:val="auto"/>
                <w:sz w:val="24"/>
                <w:highlight w:val="none"/>
              </w:rPr>
            </w:pPr>
          </w:p>
          <w:p w14:paraId="716C1041">
            <w:pPr>
              <w:snapToGrid w:val="0"/>
              <w:spacing w:line="360" w:lineRule="auto"/>
              <w:jc w:val="center"/>
              <w:rPr>
                <w:rFonts w:ascii="宋体" w:hAnsi="宋体" w:cs="宋体"/>
                <w:color w:val="auto"/>
                <w:sz w:val="24"/>
                <w:highlight w:val="none"/>
              </w:rPr>
            </w:pPr>
          </w:p>
          <w:p w14:paraId="4C2F97B8">
            <w:pPr>
              <w:snapToGrid w:val="0"/>
              <w:spacing w:line="360" w:lineRule="auto"/>
              <w:jc w:val="center"/>
              <w:rPr>
                <w:rFonts w:ascii="宋体" w:hAnsi="宋体" w:cs="宋体"/>
                <w:color w:val="auto"/>
                <w:sz w:val="24"/>
                <w:highlight w:val="none"/>
              </w:rPr>
            </w:pPr>
          </w:p>
          <w:p w14:paraId="06437A27">
            <w:pPr>
              <w:snapToGrid w:val="0"/>
              <w:spacing w:line="360" w:lineRule="auto"/>
              <w:jc w:val="center"/>
              <w:rPr>
                <w:rFonts w:ascii="宋体" w:hAnsi="宋体" w:cs="宋体"/>
                <w:color w:val="auto"/>
                <w:sz w:val="24"/>
                <w:highlight w:val="none"/>
              </w:rPr>
            </w:pPr>
          </w:p>
          <w:p w14:paraId="4F2F3A16">
            <w:pPr>
              <w:snapToGrid w:val="0"/>
              <w:spacing w:line="360" w:lineRule="auto"/>
              <w:jc w:val="center"/>
              <w:rPr>
                <w:rFonts w:ascii="宋体" w:hAnsi="宋体" w:cs="宋体"/>
                <w:color w:val="auto"/>
                <w:sz w:val="24"/>
                <w:highlight w:val="none"/>
              </w:rPr>
            </w:pPr>
          </w:p>
          <w:p w14:paraId="0599E676">
            <w:pPr>
              <w:snapToGrid w:val="0"/>
              <w:spacing w:line="360" w:lineRule="auto"/>
              <w:jc w:val="center"/>
              <w:rPr>
                <w:rFonts w:ascii="宋体" w:hAnsi="宋体" w:cs="宋体"/>
                <w:color w:val="auto"/>
                <w:sz w:val="24"/>
                <w:highlight w:val="none"/>
              </w:rPr>
            </w:pPr>
          </w:p>
          <w:p w14:paraId="4AEE82FB">
            <w:pPr>
              <w:snapToGrid w:val="0"/>
              <w:spacing w:line="360" w:lineRule="auto"/>
              <w:jc w:val="center"/>
              <w:rPr>
                <w:rFonts w:ascii="宋体" w:hAnsi="宋体" w:cs="宋体"/>
                <w:color w:val="auto"/>
                <w:sz w:val="24"/>
                <w:highlight w:val="none"/>
              </w:rPr>
            </w:pPr>
          </w:p>
          <w:p w14:paraId="3AB0F9E0">
            <w:pPr>
              <w:snapToGrid w:val="0"/>
              <w:spacing w:line="360" w:lineRule="auto"/>
              <w:jc w:val="center"/>
              <w:rPr>
                <w:rFonts w:ascii="宋体" w:hAnsi="宋体" w:cs="宋体"/>
                <w:color w:val="auto"/>
                <w:sz w:val="24"/>
                <w:highlight w:val="none"/>
              </w:rPr>
            </w:pPr>
          </w:p>
          <w:p w14:paraId="0865B0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6CCD2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14A161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AEDDEC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F09E3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AEB54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4C83C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FFA29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2F72E2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71E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2CA3D76">
            <w:pPr>
              <w:snapToGrid w:val="0"/>
              <w:spacing w:line="360" w:lineRule="auto"/>
              <w:jc w:val="center"/>
              <w:rPr>
                <w:rFonts w:ascii="宋体" w:hAnsi="宋体" w:cs="宋体"/>
                <w:color w:val="auto"/>
                <w:sz w:val="24"/>
                <w:highlight w:val="none"/>
              </w:rPr>
            </w:pPr>
          </w:p>
          <w:p w14:paraId="4D7F8FC7">
            <w:pPr>
              <w:snapToGrid w:val="0"/>
              <w:spacing w:line="360" w:lineRule="auto"/>
              <w:jc w:val="center"/>
              <w:rPr>
                <w:rFonts w:ascii="宋体" w:hAnsi="宋体" w:cs="宋体"/>
                <w:color w:val="auto"/>
                <w:sz w:val="24"/>
                <w:highlight w:val="none"/>
              </w:rPr>
            </w:pPr>
          </w:p>
          <w:p w14:paraId="4F72F6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A9EF3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0B2846D">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F4310D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2441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1F167A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2B526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07A0C0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B940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9D828E0">
            <w:pPr>
              <w:snapToGrid w:val="0"/>
              <w:spacing w:line="360" w:lineRule="auto"/>
              <w:jc w:val="center"/>
              <w:rPr>
                <w:rFonts w:ascii="宋体" w:hAnsi="宋体" w:cs="宋体"/>
                <w:color w:val="auto"/>
                <w:sz w:val="24"/>
                <w:highlight w:val="none"/>
              </w:rPr>
            </w:pPr>
          </w:p>
          <w:p w14:paraId="6AFEC6D0">
            <w:pPr>
              <w:snapToGrid w:val="0"/>
              <w:spacing w:line="360" w:lineRule="auto"/>
              <w:jc w:val="center"/>
              <w:rPr>
                <w:rFonts w:ascii="宋体" w:hAnsi="宋体" w:cs="宋体"/>
                <w:color w:val="auto"/>
                <w:sz w:val="24"/>
                <w:highlight w:val="none"/>
              </w:rPr>
            </w:pPr>
          </w:p>
          <w:p w14:paraId="08481C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095E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3D01AF">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46B798C">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48FDBEF">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41C688E0">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297D30D">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FF70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C5A8DF">
            <w:pPr>
              <w:snapToGrid w:val="0"/>
              <w:spacing w:line="360" w:lineRule="auto"/>
              <w:jc w:val="center"/>
              <w:rPr>
                <w:rFonts w:ascii="宋体" w:hAnsi="宋体" w:cs="宋体"/>
                <w:color w:val="auto"/>
                <w:sz w:val="24"/>
                <w:highlight w:val="none"/>
              </w:rPr>
            </w:pPr>
          </w:p>
          <w:p w14:paraId="530069DB">
            <w:pPr>
              <w:snapToGrid w:val="0"/>
              <w:spacing w:line="360" w:lineRule="auto"/>
              <w:jc w:val="center"/>
              <w:rPr>
                <w:rFonts w:ascii="宋体" w:hAnsi="宋体" w:cs="宋体"/>
                <w:color w:val="auto"/>
                <w:sz w:val="24"/>
                <w:highlight w:val="none"/>
              </w:rPr>
            </w:pPr>
          </w:p>
          <w:p w14:paraId="57F081B5">
            <w:pPr>
              <w:snapToGrid w:val="0"/>
              <w:spacing w:line="360" w:lineRule="auto"/>
              <w:jc w:val="center"/>
              <w:rPr>
                <w:rFonts w:ascii="宋体" w:hAnsi="宋体" w:cs="宋体"/>
                <w:color w:val="auto"/>
                <w:sz w:val="24"/>
                <w:highlight w:val="none"/>
              </w:rPr>
            </w:pPr>
          </w:p>
          <w:p w14:paraId="4D68B499">
            <w:pPr>
              <w:snapToGrid w:val="0"/>
              <w:spacing w:line="360" w:lineRule="auto"/>
              <w:jc w:val="center"/>
              <w:rPr>
                <w:rFonts w:ascii="宋体" w:hAnsi="宋体" w:cs="宋体"/>
                <w:color w:val="auto"/>
                <w:sz w:val="24"/>
                <w:highlight w:val="none"/>
              </w:rPr>
            </w:pPr>
          </w:p>
          <w:p w14:paraId="432F56BD">
            <w:pPr>
              <w:snapToGrid w:val="0"/>
              <w:spacing w:line="360" w:lineRule="auto"/>
              <w:jc w:val="center"/>
              <w:rPr>
                <w:rFonts w:ascii="宋体" w:hAnsi="宋体" w:cs="宋体"/>
                <w:color w:val="auto"/>
                <w:sz w:val="24"/>
                <w:highlight w:val="none"/>
              </w:rPr>
            </w:pPr>
          </w:p>
          <w:p w14:paraId="3B806A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6567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DF34A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D23FE1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2325DE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51A478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686C8C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FBBD67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9CCA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433E346">
            <w:pPr>
              <w:snapToGrid w:val="0"/>
              <w:spacing w:line="360" w:lineRule="auto"/>
              <w:jc w:val="center"/>
              <w:rPr>
                <w:rFonts w:ascii="宋体" w:hAnsi="宋体" w:cs="宋体"/>
                <w:color w:val="auto"/>
                <w:sz w:val="24"/>
                <w:highlight w:val="none"/>
              </w:rPr>
            </w:pPr>
          </w:p>
          <w:p w14:paraId="0B2A6B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764D5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627E9E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A5E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7DB1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B3959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F03730">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浙江省杭州市余杭区</w:t>
            </w:r>
            <w:r>
              <w:rPr>
                <w:rFonts w:hint="eastAsia" w:hAnsi="宋体" w:cs="宋体"/>
                <w:color w:val="auto"/>
                <w:sz w:val="24"/>
                <w:highlight w:val="none"/>
                <w:u w:val="single"/>
                <w:lang w:val="en-US" w:eastAsia="zh-CN"/>
              </w:rPr>
              <w:t>城南路668号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15389175400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1E59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F4086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C89598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0C7A54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F4A1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8ACC21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CC9C04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094802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83FF4B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527A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5AE2683">
            <w:pPr>
              <w:snapToGrid w:val="0"/>
              <w:spacing w:line="360" w:lineRule="auto"/>
              <w:jc w:val="center"/>
              <w:rPr>
                <w:rFonts w:hint="eastAsia" w:ascii="宋体" w:hAnsi="宋体" w:eastAsia="宋体" w:cs="宋体"/>
                <w:color w:val="auto"/>
                <w:sz w:val="24"/>
                <w:highlight w:val="none"/>
                <w:lang w:val="en-US" w:eastAsia="zh-CN"/>
              </w:rPr>
            </w:pPr>
          </w:p>
          <w:p w14:paraId="6418EC0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F42790E">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7B5158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2509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2699374">
            <w:pPr>
              <w:snapToGrid w:val="0"/>
              <w:spacing w:line="360" w:lineRule="auto"/>
              <w:jc w:val="center"/>
              <w:rPr>
                <w:rFonts w:hint="eastAsia" w:ascii="宋体" w:hAnsi="宋体" w:eastAsia="宋体" w:cs="宋体"/>
                <w:color w:val="auto"/>
                <w:sz w:val="24"/>
                <w:highlight w:val="none"/>
                <w:lang w:val="en-US" w:eastAsia="zh-CN"/>
              </w:rPr>
            </w:pPr>
          </w:p>
          <w:p w14:paraId="0DF5FE9E">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4D861FC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935D68F">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招标服务费：代理服务费按照国家计委印发的《招标代理服务收费管理暂行办法》计价格[2002]1980号文件计取;但不单列进投标总价，由</w:t>
            </w:r>
            <w:r>
              <w:rPr>
                <w:rFonts w:hint="eastAsia" w:ascii="宋体" w:hAnsi="宋体" w:cs="宋体"/>
                <w:b/>
                <w:bCs/>
                <w:color w:val="auto"/>
                <w:sz w:val="24"/>
                <w:lang w:eastAsia="zh-CN"/>
              </w:rPr>
              <w:t>中标人</w:t>
            </w:r>
            <w:r>
              <w:rPr>
                <w:rFonts w:hint="eastAsia" w:ascii="宋体" w:hAnsi="宋体" w:cs="宋体"/>
                <w:b/>
                <w:bCs/>
                <w:color w:val="auto"/>
                <w:sz w:val="24"/>
              </w:rPr>
              <w:t>在领取中标通知书前支付给招标代理机构，各投标人应在投标报价中予以考虑。</w:t>
            </w:r>
          </w:p>
        </w:tc>
      </w:tr>
      <w:tr w14:paraId="35302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C5322C7">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1675A35D">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14:paraId="0F7D2F22">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w:t>
            </w:r>
            <w:r>
              <w:rPr>
                <w:rFonts w:hint="eastAsia" w:ascii="宋体" w:hAnsi="宋体" w:cs="宋体"/>
                <w:b/>
                <w:bCs/>
                <w:color w:val="auto"/>
                <w:sz w:val="24"/>
                <w:lang w:val="en-US" w:eastAsia="zh-CN"/>
              </w:rPr>
              <w:t>副本</w:t>
            </w:r>
            <w:r>
              <w:rPr>
                <w:rFonts w:hint="eastAsia" w:ascii="宋体" w:hAnsi="宋体" w:cs="宋体"/>
                <w:b/>
                <w:bCs/>
                <w:color w:val="auto"/>
                <w:sz w:val="24"/>
              </w:rPr>
              <w:t>可为正本</w:t>
            </w:r>
            <w:r>
              <w:rPr>
                <w:rFonts w:hint="eastAsia" w:ascii="宋体" w:hAnsi="宋体" w:cs="宋体"/>
                <w:b/>
                <w:bCs/>
                <w:color w:val="auto"/>
                <w:sz w:val="24"/>
                <w:lang w:val="en-US" w:eastAsia="zh-CN"/>
              </w:rPr>
              <w:t>盖章后的</w:t>
            </w:r>
            <w:r>
              <w:rPr>
                <w:rFonts w:hint="eastAsia" w:ascii="宋体" w:hAnsi="宋体" w:cs="宋体"/>
                <w:b/>
                <w:bCs/>
                <w:color w:val="auto"/>
                <w:sz w:val="24"/>
              </w:rPr>
              <w:t>复印件），承诺书详见附件。</w:t>
            </w:r>
          </w:p>
        </w:tc>
      </w:tr>
    </w:tbl>
    <w:p w14:paraId="2612E43E">
      <w:pPr>
        <w:snapToGrid w:val="0"/>
        <w:spacing w:line="360" w:lineRule="auto"/>
        <w:jc w:val="center"/>
        <w:rPr>
          <w:rFonts w:ascii="宋体" w:hAnsi="宋体" w:cs="宋体"/>
          <w:b/>
          <w:color w:val="auto"/>
          <w:sz w:val="32"/>
          <w:szCs w:val="20"/>
          <w:highlight w:val="none"/>
        </w:rPr>
      </w:pPr>
    </w:p>
    <w:bookmarkEnd w:id="10"/>
    <w:p w14:paraId="401934C7">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44AD011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AA04C4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564A97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467FC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26CF2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EAA5A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42B8F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96414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48AB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61FC0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99F8CF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BBCC9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583F89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E28379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F8F1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34D4C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CED7C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42E38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4CA7D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D54C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45A5B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A97D8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AB37A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77A9D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48AD6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915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8342A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7D4FE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F52D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75BA753">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030F52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E8981DE">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4AD5D3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F13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A62D83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F573E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FBDA800">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57FF1E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6B148DA">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D9D2659">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882850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48D4ED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BA1CE8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F897E7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1FF1F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37885E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590B92F">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450291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47C18E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D7B7E2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4A86B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E24BFF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03654A0">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D46588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3CAF8F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343EA2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452F8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A8CC935">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D8A3DF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31121D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69C4F4C">
      <w:pPr>
        <w:pStyle w:val="889"/>
        <w:shd w:val="clear" w:color="auto" w:fill="FFFFFF"/>
        <w:snapToGrid w:val="0"/>
        <w:spacing w:after="240" w:afterAutospacing="0" w:line="360" w:lineRule="auto"/>
        <w:ind w:firstLine="400"/>
        <w:contextualSpacing/>
        <w:rPr>
          <w:rFonts w:hint="eastAsia"/>
          <w:color w:val="auto"/>
          <w:highlight w:val="none"/>
        </w:rPr>
      </w:pPr>
    </w:p>
    <w:p w14:paraId="67C9126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5491230">
      <w:pPr>
        <w:pStyle w:val="131"/>
        <w:snapToGrid w:val="0"/>
        <w:spacing w:before="0"/>
        <w:ind w:firstLine="360"/>
        <w:rPr>
          <w:rFonts w:ascii="宋体" w:hAnsi="宋体" w:cs="宋体"/>
          <w:color w:val="auto"/>
          <w:sz w:val="18"/>
          <w:szCs w:val="18"/>
          <w:highlight w:val="none"/>
        </w:rPr>
      </w:pPr>
    </w:p>
    <w:p w14:paraId="457B576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9F6077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C51513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DDC30C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C781CC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B37FFD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074A62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BD9834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D7DC27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3FAB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4AD22D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E9BCC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7AA9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AFE65A">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893AAF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03DA48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ECE039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3293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54482F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C42914A">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03F258B">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031FBD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E1D77B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3BEFD5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01A1F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661E6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DA9B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60F4B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5B02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55E38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D969A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7228E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F705F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D9D9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A81A8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60DD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D894E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DC633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3F4E8B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3A7ADD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3D3042D">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F375B6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82B422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07233E2">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7A409F8">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A4ECA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22C3F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04115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6AE108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012339">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DA6A3C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6595E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F9F470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6058B3D">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5D118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D2C71F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93AC7D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7C31CDB">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C91CBDC">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3148D8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B0DED0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71E4FC8">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F83AF2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D2AC248">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506A22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7FE924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279B974">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433ED51">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595D1C3">
      <w:pPr>
        <w:pStyle w:val="131"/>
        <w:spacing w:before="0"/>
        <w:ind w:firstLine="643"/>
        <w:rPr>
          <w:rFonts w:ascii="宋体" w:hAnsi="宋体" w:cs="宋体"/>
          <w:b/>
          <w:color w:val="auto"/>
          <w:sz w:val="32"/>
          <w:highlight w:val="none"/>
        </w:rPr>
      </w:pPr>
    </w:p>
    <w:p w14:paraId="03B55486">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62DFC37">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D5AD9C">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4D77A1E">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649C5F3">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8C7B74B">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1742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BA42FD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76510D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4DFAEA5">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C0D730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2EFC7A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BFEE86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3DCF7D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0CAC44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076FBF1">
      <w:pPr>
        <w:pStyle w:val="131"/>
        <w:spacing w:before="0"/>
        <w:ind w:firstLine="0" w:firstLineChars="0"/>
        <w:rPr>
          <w:rFonts w:ascii="宋体" w:hAnsi="宋体" w:cs="宋体"/>
          <w:color w:val="auto"/>
          <w:kern w:val="0"/>
          <w:szCs w:val="24"/>
          <w:highlight w:val="none"/>
        </w:rPr>
      </w:pPr>
    </w:p>
    <w:p w14:paraId="7AF82FF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884CF11">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67B7396">
      <w:pPr>
        <w:spacing w:line="360" w:lineRule="auto"/>
        <w:rPr>
          <w:rFonts w:ascii="宋体" w:hAnsi="宋体" w:cs="宋体"/>
          <w:b/>
          <w:color w:val="auto"/>
          <w:sz w:val="24"/>
          <w:highlight w:val="none"/>
        </w:rPr>
      </w:pPr>
    </w:p>
    <w:p w14:paraId="5235AB2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6B8F179">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1C872C9">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949131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69C643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F765E2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4F83AD8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476C82">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F0639B9">
      <w:pPr>
        <w:pStyle w:val="80"/>
        <w:rPr>
          <w:color w:val="auto"/>
          <w:highlight w:val="none"/>
        </w:rPr>
      </w:pPr>
    </w:p>
    <w:p w14:paraId="35A1DCAB">
      <w:pPr>
        <w:snapToGrid w:val="0"/>
        <w:spacing w:line="360" w:lineRule="auto"/>
        <w:ind w:left="120" w:leftChars="57" w:firstLine="482" w:firstLineChars="150"/>
        <w:jc w:val="center"/>
        <w:rPr>
          <w:rFonts w:ascii="宋体" w:hAnsi="宋体" w:cs="宋体"/>
          <w:b/>
          <w:color w:val="auto"/>
          <w:sz w:val="32"/>
          <w:highlight w:val="none"/>
        </w:rPr>
      </w:pPr>
    </w:p>
    <w:p w14:paraId="189ACFD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4084ED0">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D0167E8">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3C2DAF4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0F0BD9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3BAFE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347387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0B4857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44C7366">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71660FB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5497367">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647F523">
      <w:pPr>
        <w:pStyle w:val="5"/>
        <w:rPr>
          <w:color w:val="auto"/>
          <w:highlight w:val="none"/>
        </w:rPr>
      </w:pPr>
      <w:r>
        <w:rPr>
          <w:rFonts w:ascii="宋体" w:hAnsi="宋体" w:eastAsia="宋体"/>
          <w:b/>
          <w:bCs/>
          <w:color w:val="auto"/>
          <w:sz w:val="24"/>
          <w:szCs w:val="32"/>
          <w:highlight w:val="none"/>
          <w:lang w:val="en-US"/>
        </w:rPr>
        <w:t>27.预付款</w:t>
      </w:r>
    </w:p>
    <w:p w14:paraId="17BFA3B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91A55DC">
      <w:pPr>
        <w:rPr>
          <w:color w:val="auto"/>
          <w:highlight w:val="none"/>
        </w:rPr>
      </w:pPr>
    </w:p>
    <w:p w14:paraId="0B12A386">
      <w:pPr>
        <w:snapToGrid w:val="0"/>
        <w:spacing w:line="360" w:lineRule="auto"/>
        <w:ind w:firstLine="3357" w:firstLineChars="1045"/>
        <w:rPr>
          <w:rFonts w:ascii="宋体" w:hAnsi="宋体" w:cs="宋体"/>
          <w:b/>
          <w:color w:val="auto"/>
          <w:sz w:val="32"/>
          <w:highlight w:val="none"/>
        </w:rPr>
      </w:pPr>
    </w:p>
    <w:p w14:paraId="438A54C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CFE4E0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A0E82F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2A3E88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5AF3F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CDA5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B94B52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20D34F">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C794896">
      <w:pPr>
        <w:tabs>
          <w:tab w:val="left" w:pos="0"/>
        </w:tabs>
        <w:spacing w:line="360" w:lineRule="auto"/>
        <w:ind w:firstLine="480"/>
        <w:rPr>
          <w:rFonts w:ascii="宋体" w:hAnsi="宋体" w:cs="宋体"/>
          <w:color w:val="auto"/>
          <w:sz w:val="24"/>
          <w:highlight w:val="none"/>
        </w:rPr>
      </w:pPr>
    </w:p>
    <w:p w14:paraId="330EDA2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9F5EA7B">
      <w:pPr>
        <w:pStyle w:val="3"/>
        <w:spacing w:line="360" w:lineRule="auto"/>
        <w:ind w:firstLine="0" w:firstLineChars="0"/>
        <w:rPr>
          <w:rFonts w:cs="宋体"/>
          <w:b/>
          <w:color w:val="auto"/>
          <w:highlight w:val="none"/>
        </w:rPr>
      </w:pPr>
      <w:r>
        <w:rPr>
          <w:rFonts w:hint="eastAsia" w:cs="宋体"/>
          <w:b/>
          <w:color w:val="auto"/>
          <w:highlight w:val="none"/>
        </w:rPr>
        <w:t>30.验收</w:t>
      </w:r>
    </w:p>
    <w:p w14:paraId="7C1EBA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46178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353BF0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F4A2A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A775C8">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026FF61">
      <w:pPr>
        <w:pStyle w:val="80"/>
        <w:rPr>
          <w:color w:val="auto"/>
          <w:highlight w:val="none"/>
        </w:rPr>
      </w:pPr>
    </w:p>
    <w:bookmarkEnd w:id="14"/>
    <w:p w14:paraId="0A1648D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011"/>
      <w:bookmarkEnd w:id="16"/>
      <w:bookmarkStart w:id="17" w:name="_Hlt68072990"/>
      <w:bookmarkEnd w:id="17"/>
      <w:bookmarkStart w:id="18" w:name="_Hlt68073093"/>
      <w:bookmarkEnd w:id="18"/>
      <w:bookmarkStart w:id="19" w:name="_Hlt74714665"/>
      <w:bookmarkEnd w:id="19"/>
      <w:bookmarkStart w:id="20" w:name="_Hlt74730295"/>
      <w:bookmarkEnd w:id="20"/>
      <w:bookmarkStart w:id="21" w:name="_Hlt68057669"/>
      <w:bookmarkEnd w:id="21"/>
      <w:bookmarkStart w:id="22" w:name="_Hlt75236101"/>
      <w:bookmarkEnd w:id="22"/>
      <w:bookmarkStart w:id="23" w:name="_Hlt74729768"/>
      <w:bookmarkEnd w:id="23"/>
      <w:bookmarkStart w:id="24" w:name="_Hlt68072998"/>
      <w:bookmarkEnd w:id="24"/>
      <w:bookmarkStart w:id="25" w:name="_Hlt74707468"/>
      <w:bookmarkEnd w:id="25"/>
      <w:bookmarkStart w:id="26" w:name="_Hlt68403820"/>
      <w:bookmarkEnd w:id="26"/>
      <w:bookmarkStart w:id="27" w:name="_Hlt75236290"/>
      <w:bookmarkEnd w:id="27"/>
    </w:p>
    <w:bookmarkEnd w:id="12"/>
    <w:bookmarkEnd w:id="13"/>
    <w:p w14:paraId="6A51DF1B">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23D39032">
      <w:pPr>
        <w:bidi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14:paraId="00AB68C8">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2025年度太炎社区片区化大物业管理服务项目集市政、绿化、保洁、序化管理为一体，通过片区统筹为基层治理赋能增效。</w:t>
      </w:r>
    </w:p>
    <w:p w14:paraId="026D4EEF">
      <w:pPr>
        <w:tabs>
          <w:tab w:val="left" w:pos="0"/>
        </w:tabs>
        <w:spacing w:line="360" w:lineRule="auto"/>
        <w:ind w:firstLine="48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项目四至范围：北至众成街、南至余杭塘河、西至绿汀路、东至聚成路</w:t>
      </w:r>
      <w:r>
        <w:rPr>
          <w:rFonts w:hint="eastAsia" w:ascii="宋体" w:hAnsi="宋体" w:eastAsia="宋体" w:cs="宋体"/>
          <w:color w:val="auto"/>
          <w:kern w:val="0"/>
          <w:sz w:val="24"/>
          <w:szCs w:val="24"/>
          <w:lang w:eastAsia="zh-CN"/>
        </w:rPr>
        <w:t>。</w:t>
      </w:r>
    </w:p>
    <w:p w14:paraId="20833D21">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服务内容包含：</w:t>
      </w:r>
      <w:r>
        <w:rPr>
          <w:rFonts w:hint="eastAsia" w:ascii="宋体" w:hAnsi="宋体" w:eastAsia="宋体" w:cs="宋体"/>
          <w:color w:val="auto"/>
          <w:kern w:val="0"/>
          <w:sz w:val="24"/>
          <w:szCs w:val="24"/>
          <w:highlight w:val="none"/>
        </w:rPr>
        <w:t>（一）辖区内9条路段环境保洁和绿化管养服务（道路保洁总面积15.74万㎡，绿化面积7.27万㎡）、区域内3座公共厕所及仓兴街沿线零星住宅区域保洁；（二）大物业管理区域内序化管理服务；（三）仓兴街钱神花园、太炎花苑小区以及沿线零星住宅区域全年市政管网清污</w:t>
      </w:r>
      <w:r>
        <w:rPr>
          <w:rFonts w:hint="eastAsia" w:ascii="宋体" w:hAnsi="宋体" w:eastAsia="宋体" w:cs="宋体"/>
          <w:color w:val="auto"/>
          <w:kern w:val="0"/>
          <w:sz w:val="24"/>
          <w:szCs w:val="24"/>
        </w:rPr>
        <w:t>。</w:t>
      </w:r>
    </w:p>
    <w:p w14:paraId="2EFEF826">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二、服务期限</w:t>
      </w:r>
    </w:p>
    <w:p w14:paraId="1164BA10">
      <w:pPr>
        <w:bidi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b/>
          <w:bCs/>
          <w:color w:val="auto"/>
          <w:kern w:val="0"/>
          <w:sz w:val="24"/>
          <w:lang w:val="en-US" w:eastAsia="zh-CN"/>
        </w:rPr>
        <w:t>本项目服务期一年</w:t>
      </w:r>
      <w:r>
        <w:rPr>
          <w:rFonts w:hint="default" w:ascii="宋体" w:hAnsi="宋体" w:cs="宋体"/>
          <w:color w:val="auto"/>
          <w:kern w:val="0"/>
          <w:sz w:val="24"/>
          <w:lang w:val="en-US" w:eastAsia="zh-CN"/>
        </w:rPr>
        <w:t>。投标</w:t>
      </w:r>
      <w:r>
        <w:rPr>
          <w:rFonts w:hint="eastAsia" w:ascii="宋体" w:hAnsi="宋体" w:cs="宋体"/>
          <w:color w:val="auto"/>
          <w:kern w:val="0"/>
          <w:sz w:val="24"/>
          <w:lang w:val="en-US" w:eastAsia="zh-CN"/>
        </w:rPr>
        <w:t>供应商</w:t>
      </w:r>
      <w:r>
        <w:rPr>
          <w:rFonts w:hint="default" w:ascii="宋体" w:hAnsi="宋体" w:cs="宋体"/>
          <w:color w:val="auto"/>
          <w:kern w:val="0"/>
          <w:sz w:val="24"/>
          <w:lang w:val="en-US" w:eastAsia="zh-CN"/>
        </w:rPr>
        <w:t>必须就所有服务内容报</w:t>
      </w:r>
      <w:r>
        <w:rPr>
          <w:rFonts w:hint="eastAsia" w:ascii="宋体" w:hAnsi="宋体" w:cs="宋体"/>
          <w:color w:val="auto"/>
          <w:kern w:val="0"/>
          <w:sz w:val="24"/>
          <w:lang w:val="en-US" w:eastAsia="zh-CN"/>
        </w:rPr>
        <w:t>一年</w:t>
      </w:r>
      <w:r>
        <w:rPr>
          <w:rFonts w:hint="default" w:ascii="宋体" w:hAnsi="宋体" w:cs="宋体"/>
          <w:color w:val="auto"/>
          <w:kern w:val="0"/>
          <w:sz w:val="24"/>
          <w:lang w:val="en-US" w:eastAsia="zh-CN"/>
        </w:rPr>
        <w:t>的服务总价。项目在合同期限内，供应商能严格履行合同。</w:t>
      </w:r>
    </w:p>
    <w:p w14:paraId="53A19658">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三、付款结算方式</w:t>
      </w:r>
    </w:p>
    <w:p w14:paraId="1CE79E49">
      <w:pPr>
        <w:bidi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1、进度款：采用先作业后拨付的方式，采购人于</w:t>
      </w:r>
      <w:r>
        <w:rPr>
          <w:rFonts w:hint="eastAsia" w:ascii="宋体" w:hAnsi="宋体" w:eastAsia="宋体" w:cs="宋体"/>
          <w:snapToGrid w:val="0"/>
          <w:color w:val="auto"/>
          <w:kern w:val="0"/>
          <w:sz w:val="24"/>
          <w:szCs w:val="24"/>
          <w:highlight w:val="none"/>
          <w:lang w:val="en-US" w:eastAsia="zh-CN"/>
        </w:rPr>
        <w:t>每季度</w:t>
      </w:r>
      <w:r>
        <w:rPr>
          <w:rFonts w:hint="eastAsia" w:ascii="宋体" w:hAnsi="宋体" w:cs="宋体"/>
          <w:snapToGrid w:val="0"/>
          <w:color w:val="auto"/>
          <w:kern w:val="0"/>
          <w:sz w:val="24"/>
          <w:szCs w:val="24"/>
          <w:highlight w:val="none"/>
          <w:lang w:val="en-US" w:eastAsia="zh-CN"/>
        </w:rPr>
        <w:t>考核结束后的次月末</w:t>
      </w:r>
      <w:r>
        <w:rPr>
          <w:rFonts w:hint="eastAsia" w:ascii="宋体" w:hAnsi="宋体" w:eastAsia="宋体" w:cs="宋体"/>
          <w:color w:val="auto"/>
          <w:kern w:val="0"/>
          <w:sz w:val="24"/>
          <w:szCs w:val="24"/>
          <w:highlight w:val="none"/>
          <w:lang w:val="en-US" w:eastAsia="zh-CN"/>
        </w:rPr>
        <w:t>支付该季度服务款项。采购人付款前，中标供应商应提供正式发票交采购人审核。</w:t>
      </w:r>
    </w:p>
    <w:p w14:paraId="41249394">
      <w:pPr>
        <w:bidi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2、零星维修费用：单项单次材料费在500元以下，由中标供应</w:t>
      </w:r>
      <w:r>
        <w:rPr>
          <w:rFonts w:hint="eastAsia" w:ascii="宋体" w:hAnsi="宋体" w:eastAsia="宋体" w:cs="宋体"/>
          <w:color w:val="auto"/>
          <w:kern w:val="0"/>
          <w:sz w:val="24"/>
          <w:szCs w:val="24"/>
          <w:lang w:val="en-US" w:eastAsia="zh-CN"/>
        </w:rPr>
        <w:t>商承担并维修，单项单次材料费在500元及以上的，由采购人承担并委托第三方维修。</w:t>
      </w:r>
    </w:p>
    <w:p w14:paraId="098640EB">
      <w:pPr>
        <w:bidi w:val="0"/>
        <w:rPr>
          <w:rFonts w:hint="eastAsia" w:ascii="宋体" w:hAnsi="宋体" w:eastAsia="宋体" w:cs="宋体"/>
          <w:color w:val="auto"/>
          <w:sz w:val="24"/>
          <w:szCs w:val="24"/>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服务范围及相关要求</w:t>
      </w:r>
    </w:p>
    <w:p w14:paraId="555AEC9F">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1、道路、停车场、绿化（含时花、行道树）清单</w:t>
      </w:r>
    </w:p>
    <w:tbl>
      <w:tblPr>
        <w:tblStyle w:val="62"/>
        <w:tblW w:w="49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578"/>
        <w:gridCol w:w="1440"/>
        <w:gridCol w:w="1246"/>
        <w:gridCol w:w="1197"/>
        <w:gridCol w:w="1383"/>
        <w:gridCol w:w="1099"/>
        <w:gridCol w:w="1131"/>
      </w:tblGrid>
      <w:tr w14:paraId="5CE2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6CA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EF4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道路名称</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74E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道路面积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3BAA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停车场面积（㎡）</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2BA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道路内</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绿化面积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91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道路外</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绿化面积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A74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时花面积（㎡）</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83B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行道树面积(4㎡/棵)</w:t>
            </w:r>
          </w:p>
        </w:tc>
      </w:tr>
      <w:tr w14:paraId="1EC2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BA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13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乾仓街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（良睦路-泊志路）</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40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19022.92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7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C5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301.44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FB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14826.62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D3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13.93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2E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760.00 </w:t>
            </w:r>
          </w:p>
        </w:tc>
      </w:tr>
      <w:tr w14:paraId="3DE7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3A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2F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仓兴街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（良睦路-绿汀路）</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5B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35967.06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6E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8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1209.70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0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1234.25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BB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334.80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33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840.00 </w:t>
            </w:r>
          </w:p>
        </w:tc>
      </w:tr>
      <w:tr w14:paraId="0D4E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3C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0C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创明路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（东莲街-云门大街）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A8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15772.96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AC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1C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22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498.90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2C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25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34B8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93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30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泊志路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（云门大街-仓兴街）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E7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14817.01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99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2818.42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B9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AE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1167.26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76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4.68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4B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272.00 </w:t>
            </w:r>
          </w:p>
        </w:tc>
      </w:tr>
      <w:tr w14:paraId="6DFA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A1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86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仓兴街支路一（绿汀路-仓兴街支路二）</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E7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3011.97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70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7D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12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15.93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94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E4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4D9A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F4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98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仓兴街支路二（访云街-仓兴街）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FB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3547.11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C9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02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E8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143.85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25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F8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258B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30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B5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乾仓北路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（云门大街-乾仓街）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A4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3706.45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5E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06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C0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34.55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0A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1F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156.00 </w:t>
            </w:r>
          </w:p>
        </w:tc>
      </w:tr>
      <w:tr w14:paraId="662E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90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F8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街边小巷</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2E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6436.22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FD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1B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70.66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22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1870.64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47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0.78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74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49E9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CE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A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汀港街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53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8172.70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43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BF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87.22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BD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37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73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0339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BD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A9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梦创街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（良睦路-礼贤路）</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5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6357.83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2E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E3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333.63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99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12272.87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C6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15.47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9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13AF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5E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0D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礼贤路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（众成街-湖畔研创中心道闸）</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34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3697.27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BF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2760.50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D2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96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5199.14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B1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13.26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8A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6179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BD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9D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众成街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（聚橙路-良睦路）</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21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31323.66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77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47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70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31010.93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C4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10.50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61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0703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E1B1">
            <w:pPr>
              <w:jc w:val="center"/>
              <w:rPr>
                <w:rFonts w:hint="eastAsia" w:ascii="宋体" w:hAnsi="宋体" w:eastAsia="宋体" w:cs="宋体"/>
                <w:i w:val="0"/>
                <w:iCs w:val="0"/>
                <w:color w:val="auto"/>
                <w:sz w:val="24"/>
                <w:szCs w:val="24"/>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F4E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72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151833.16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A3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5578.92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F4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2002.65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E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68295.31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9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393.42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70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2028.00 </w:t>
            </w:r>
          </w:p>
        </w:tc>
      </w:tr>
    </w:tbl>
    <w:p w14:paraId="00CEC67A">
      <w:pPr>
        <w:numPr>
          <w:ilvl w:val="0"/>
          <w:numId w:val="0"/>
        </w:numPr>
        <w:bidi w:val="0"/>
        <w:spacing w:line="360" w:lineRule="auto"/>
        <w:rPr>
          <w:rFonts w:hint="eastAsia" w:ascii="宋体" w:hAnsi="宋体" w:eastAsia="宋体" w:cs="宋体"/>
          <w:b/>
          <w:bCs/>
          <w:color w:val="auto"/>
          <w:sz w:val="24"/>
          <w:szCs w:val="24"/>
          <w:lang w:val="en-US" w:eastAsia="zh-CN"/>
        </w:rPr>
      </w:pPr>
    </w:p>
    <w:p w14:paraId="706271ED">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2、公共厕所清单</w:t>
      </w:r>
    </w:p>
    <w:tbl>
      <w:tblPr>
        <w:tblStyle w:val="62"/>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25"/>
        <w:gridCol w:w="5164"/>
        <w:gridCol w:w="1924"/>
        <w:gridCol w:w="1760"/>
      </w:tblGrid>
      <w:tr w14:paraId="24C1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jc w:val="center"/>
        </w:trPr>
        <w:tc>
          <w:tcPr>
            <w:tcW w:w="564" w:type="pct"/>
            <w:shd w:val="clear" w:color="auto" w:fill="auto"/>
            <w:noWrap/>
            <w:vAlign w:val="center"/>
          </w:tcPr>
          <w:p w14:paraId="1E9FB5F5">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588" w:type="pct"/>
            <w:shd w:val="clear" w:color="auto" w:fill="auto"/>
            <w:noWrap/>
            <w:vAlign w:val="center"/>
          </w:tcPr>
          <w:p w14:paraId="0CC5B269">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964" w:type="pct"/>
            <w:shd w:val="clear" w:color="auto" w:fill="auto"/>
            <w:noWrap/>
            <w:vAlign w:val="center"/>
          </w:tcPr>
          <w:p w14:paraId="6013C7BD">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882" w:type="pct"/>
            <w:shd w:val="clear" w:color="auto" w:fill="auto"/>
            <w:noWrap/>
            <w:vAlign w:val="center"/>
          </w:tcPr>
          <w:p w14:paraId="31D2FC34">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59F1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564" w:type="pct"/>
            <w:shd w:val="clear" w:color="auto" w:fill="auto"/>
            <w:noWrap/>
            <w:vAlign w:val="center"/>
          </w:tcPr>
          <w:p w14:paraId="4709E83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2588" w:type="pct"/>
            <w:shd w:val="clear" w:color="auto" w:fill="auto"/>
            <w:noWrap/>
            <w:vAlign w:val="center"/>
          </w:tcPr>
          <w:p w14:paraId="68F94C2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文源公厕</w:t>
            </w:r>
          </w:p>
        </w:tc>
        <w:tc>
          <w:tcPr>
            <w:tcW w:w="964" w:type="pct"/>
            <w:shd w:val="clear" w:color="auto" w:fill="auto"/>
            <w:noWrap/>
            <w:vAlign w:val="center"/>
          </w:tcPr>
          <w:p w14:paraId="494E1C3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882" w:type="pct"/>
            <w:shd w:val="clear" w:color="auto" w:fill="auto"/>
            <w:noWrap/>
            <w:vAlign w:val="center"/>
          </w:tcPr>
          <w:p w14:paraId="14C4899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r>
      <w:tr w14:paraId="567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4" w:type="pct"/>
            <w:shd w:val="clear" w:color="auto" w:fill="auto"/>
            <w:noWrap/>
            <w:vAlign w:val="center"/>
          </w:tcPr>
          <w:p w14:paraId="1C26EE6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2588" w:type="pct"/>
            <w:shd w:val="clear" w:color="auto" w:fill="auto"/>
            <w:noWrap/>
            <w:vAlign w:val="center"/>
          </w:tcPr>
          <w:p w14:paraId="16EDD8C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文昌公厕</w:t>
            </w:r>
          </w:p>
        </w:tc>
        <w:tc>
          <w:tcPr>
            <w:tcW w:w="964" w:type="pct"/>
            <w:shd w:val="clear" w:color="auto" w:fill="auto"/>
            <w:noWrap/>
            <w:vAlign w:val="center"/>
          </w:tcPr>
          <w:p w14:paraId="71A0BF0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882" w:type="pct"/>
            <w:shd w:val="clear" w:color="auto" w:fill="auto"/>
            <w:noWrap/>
            <w:vAlign w:val="center"/>
          </w:tcPr>
          <w:p w14:paraId="637DCEE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r>
      <w:tr w14:paraId="02DB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564" w:type="pct"/>
            <w:shd w:val="clear" w:color="auto" w:fill="auto"/>
            <w:noWrap/>
            <w:vAlign w:val="center"/>
          </w:tcPr>
          <w:p w14:paraId="0C4134F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2588" w:type="pct"/>
            <w:shd w:val="clear" w:color="auto" w:fill="auto"/>
            <w:noWrap/>
            <w:vAlign w:val="center"/>
          </w:tcPr>
          <w:p w14:paraId="5DD6BBA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法国村公厕（预留）</w:t>
            </w:r>
          </w:p>
        </w:tc>
        <w:tc>
          <w:tcPr>
            <w:tcW w:w="964" w:type="pct"/>
            <w:shd w:val="clear" w:color="auto" w:fill="auto"/>
            <w:noWrap/>
            <w:vAlign w:val="center"/>
          </w:tcPr>
          <w:p w14:paraId="5BC733F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882" w:type="pct"/>
            <w:shd w:val="clear" w:color="auto" w:fill="auto"/>
            <w:noWrap/>
            <w:vAlign w:val="center"/>
          </w:tcPr>
          <w:p w14:paraId="022B84D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r>
      <w:tr w14:paraId="71BC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64" w:type="pct"/>
            <w:shd w:val="clear" w:color="auto" w:fill="auto"/>
            <w:noWrap/>
            <w:vAlign w:val="center"/>
          </w:tcPr>
          <w:p w14:paraId="0382C52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合计</w:t>
            </w:r>
          </w:p>
        </w:tc>
        <w:tc>
          <w:tcPr>
            <w:tcW w:w="2588" w:type="pct"/>
            <w:shd w:val="clear" w:color="auto" w:fill="auto"/>
            <w:noWrap/>
            <w:vAlign w:val="center"/>
          </w:tcPr>
          <w:p w14:paraId="3EA010F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964" w:type="pct"/>
            <w:shd w:val="clear" w:color="auto" w:fill="auto"/>
            <w:noWrap/>
            <w:vAlign w:val="center"/>
          </w:tcPr>
          <w:p w14:paraId="062DABC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882" w:type="pct"/>
            <w:shd w:val="clear" w:color="auto" w:fill="auto"/>
            <w:noWrap/>
            <w:vAlign w:val="center"/>
          </w:tcPr>
          <w:p w14:paraId="10F9063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r>
    </w:tbl>
    <w:p w14:paraId="439B8F0E">
      <w:pPr>
        <w:numPr>
          <w:ilvl w:val="0"/>
          <w:numId w:val="0"/>
        </w:numPr>
        <w:bidi w:val="0"/>
        <w:spacing w:line="360" w:lineRule="auto"/>
        <w:rPr>
          <w:rFonts w:hint="eastAsia" w:ascii="宋体" w:hAnsi="宋体" w:eastAsia="宋体" w:cs="宋体"/>
          <w:b/>
          <w:bCs/>
          <w:color w:val="auto"/>
          <w:sz w:val="24"/>
          <w:szCs w:val="24"/>
          <w:lang w:val="en-US" w:eastAsia="zh-CN"/>
        </w:rPr>
      </w:pPr>
    </w:p>
    <w:p w14:paraId="557DF0BD">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仓兴街沿线零星住宅区域保洁清单</w:t>
      </w:r>
    </w:p>
    <w:tbl>
      <w:tblPr>
        <w:tblStyle w:val="62"/>
        <w:tblW w:w="49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6590"/>
        <w:gridCol w:w="1158"/>
        <w:gridCol w:w="946"/>
      </w:tblGrid>
      <w:tr w14:paraId="5953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B2D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A60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仓兴街</w:t>
            </w:r>
            <w:r>
              <w:rPr>
                <w:rFonts w:hint="eastAsia" w:ascii="宋体" w:hAnsi="宋体" w:cs="宋体"/>
                <w:b/>
                <w:bCs/>
                <w:color w:val="auto"/>
                <w:sz w:val="24"/>
                <w:szCs w:val="24"/>
                <w:lang w:val="en-US" w:eastAsia="zh-CN"/>
              </w:rPr>
              <w:t>零星住宅区域保洁</w:t>
            </w:r>
            <w:r>
              <w:rPr>
                <w:rFonts w:hint="eastAsia" w:ascii="宋体" w:hAnsi="宋体" w:eastAsia="宋体" w:cs="宋体"/>
                <w:b/>
                <w:bCs/>
                <w:i w:val="0"/>
                <w:iCs w:val="0"/>
                <w:color w:val="auto"/>
                <w:kern w:val="0"/>
                <w:sz w:val="24"/>
                <w:szCs w:val="24"/>
                <w:u w:val="none"/>
                <w:lang w:val="en-US" w:eastAsia="zh-CN" w:bidi="ar"/>
              </w:rPr>
              <w:t>名称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A8C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区域</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C55D">
            <w:pPr>
              <w:jc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单位</w:t>
            </w:r>
          </w:p>
        </w:tc>
      </w:tr>
      <w:tr w14:paraId="4713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367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364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太炎广场对面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FCD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43C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7EC8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B64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B55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cs="宋体"/>
                <w:i w:val="0"/>
                <w:iCs w:val="0"/>
                <w:color w:val="auto"/>
                <w:sz w:val="24"/>
                <w:szCs w:val="24"/>
                <w:lang w:val="en-US" w:eastAsia="zh-CN" w:bidi="ar"/>
              </w:rPr>
              <w:t>原</w:t>
            </w:r>
            <w:r>
              <w:rPr>
                <w:rStyle w:val="122"/>
                <w:rFonts w:hint="eastAsia" w:ascii="宋体" w:hAnsi="宋体" w:eastAsia="宋体" w:cs="宋体"/>
                <w:i w:val="0"/>
                <w:iCs w:val="0"/>
                <w:color w:val="auto"/>
                <w:sz w:val="24"/>
                <w:szCs w:val="24"/>
                <w:lang w:val="en-US" w:eastAsia="zh-CN" w:bidi="ar"/>
              </w:rPr>
              <w:t xml:space="preserve">如海超市东面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1AC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40B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23D3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D92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4C9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银行对面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6D6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361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57D0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92D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DBF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灵源村委西面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8F3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106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5FB8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437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5</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51B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菜场南面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619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C1D5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346A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057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6</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B04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菜鸟酒店前</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220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54D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56F0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952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合计</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BAE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E71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B8B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bl>
    <w:p w14:paraId="5C2FBC6E">
      <w:pPr>
        <w:numPr>
          <w:ilvl w:val="0"/>
          <w:numId w:val="0"/>
        </w:numPr>
        <w:bidi w:val="0"/>
        <w:spacing w:line="360" w:lineRule="auto"/>
        <w:rPr>
          <w:rFonts w:hint="eastAsia" w:ascii="宋体" w:hAnsi="宋体" w:eastAsia="宋体" w:cs="宋体"/>
          <w:b/>
          <w:bCs/>
          <w:color w:val="auto"/>
          <w:sz w:val="24"/>
          <w:szCs w:val="24"/>
          <w:lang w:val="en-US" w:eastAsia="zh-CN"/>
        </w:rPr>
      </w:pPr>
    </w:p>
    <w:p w14:paraId="049DF174">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4、仓兴街钱神花园、太炎花苑小区以及沿线零星住宅区域全年市政管网清污清单</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82"/>
        <w:gridCol w:w="966"/>
        <w:gridCol w:w="2857"/>
        <w:gridCol w:w="1387"/>
        <w:gridCol w:w="1375"/>
        <w:gridCol w:w="2392"/>
      </w:tblGrid>
      <w:tr w14:paraId="242F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493" w:type="pct"/>
            <w:shd w:val="clear" w:color="auto" w:fill="auto"/>
            <w:noWrap/>
            <w:vAlign w:val="center"/>
          </w:tcPr>
          <w:p w14:paraId="57D4BFC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85" w:type="pct"/>
            <w:shd w:val="clear" w:color="auto" w:fill="auto"/>
            <w:vAlign w:val="center"/>
          </w:tcPr>
          <w:p w14:paraId="7AE846A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区域</w:t>
            </w:r>
          </w:p>
        </w:tc>
        <w:tc>
          <w:tcPr>
            <w:tcW w:w="1434" w:type="pct"/>
            <w:shd w:val="clear" w:color="auto" w:fill="auto"/>
            <w:noWrap/>
            <w:vAlign w:val="center"/>
          </w:tcPr>
          <w:p w14:paraId="00CFAB1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养护内容</w:t>
            </w:r>
          </w:p>
        </w:tc>
        <w:tc>
          <w:tcPr>
            <w:tcW w:w="696" w:type="pct"/>
            <w:shd w:val="clear" w:color="auto" w:fill="auto"/>
            <w:vAlign w:val="center"/>
          </w:tcPr>
          <w:p w14:paraId="3A83A2B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90" w:type="pct"/>
            <w:shd w:val="clear" w:color="auto" w:fill="auto"/>
            <w:vAlign w:val="center"/>
          </w:tcPr>
          <w:p w14:paraId="4D23464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200" w:type="pct"/>
            <w:shd w:val="clear" w:color="auto" w:fill="auto"/>
            <w:vAlign w:val="center"/>
          </w:tcPr>
          <w:p w14:paraId="159E781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养护次数</w:t>
            </w:r>
          </w:p>
        </w:tc>
      </w:tr>
      <w:tr w14:paraId="491D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restart"/>
            <w:shd w:val="clear" w:color="auto" w:fill="auto"/>
            <w:vAlign w:val="center"/>
          </w:tcPr>
          <w:p w14:paraId="42EE6DD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485" w:type="pct"/>
            <w:vMerge w:val="restart"/>
            <w:shd w:val="clear" w:color="auto" w:fill="auto"/>
            <w:vAlign w:val="center"/>
          </w:tcPr>
          <w:p w14:paraId="232B063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太炎花苑</w:t>
            </w:r>
          </w:p>
        </w:tc>
        <w:tc>
          <w:tcPr>
            <w:tcW w:w="1434" w:type="pct"/>
            <w:shd w:val="clear" w:color="auto" w:fill="auto"/>
            <w:noWrap/>
            <w:vAlign w:val="center"/>
          </w:tcPr>
          <w:p w14:paraId="3E372E7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DN300以内</w:t>
            </w:r>
          </w:p>
        </w:tc>
        <w:tc>
          <w:tcPr>
            <w:tcW w:w="696" w:type="pct"/>
            <w:shd w:val="clear" w:color="auto" w:fill="auto"/>
            <w:noWrap/>
            <w:vAlign w:val="center"/>
          </w:tcPr>
          <w:p w14:paraId="7B07CC5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米</w:t>
            </w:r>
          </w:p>
        </w:tc>
        <w:tc>
          <w:tcPr>
            <w:tcW w:w="690" w:type="pct"/>
            <w:shd w:val="clear" w:color="auto" w:fill="auto"/>
            <w:vAlign w:val="center"/>
          </w:tcPr>
          <w:p w14:paraId="0B456FE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756.4</w:t>
            </w:r>
          </w:p>
        </w:tc>
        <w:tc>
          <w:tcPr>
            <w:tcW w:w="1200" w:type="pct"/>
            <w:shd w:val="clear" w:color="auto" w:fill="auto"/>
            <w:vAlign w:val="center"/>
          </w:tcPr>
          <w:p w14:paraId="1DA9046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4762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continue"/>
            <w:shd w:val="clear" w:color="auto" w:fill="auto"/>
            <w:vAlign w:val="center"/>
          </w:tcPr>
          <w:p w14:paraId="54318E6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3133BDB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38A6D12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检查井（直径700mm）</w:t>
            </w:r>
          </w:p>
        </w:tc>
        <w:tc>
          <w:tcPr>
            <w:tcW w:w="696" w:type="pct"/>
            <w:shd w:val="clear" w:color="auto" w:fill="auto"/>
            <w:noWrap/>
            <w:vAlign w:val="center"/>
          </w:tcPr>
          <w:p w14:paraId="54F4172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6974619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123</w:t>
            </w:r>
          </w:p>
        </w:tc>
        <w:tc>
          <w:tcPr>
            <w:tcW w:w="1200" w:type="pct"/>
            <w:shd w:val="clear" w:color="auto" w:fill="auto"/>
            <w:vAlign w:val="center"/>
          </w:tcPr>
          <w:p w14:paraId="438411D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3898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continue"/>
            <w:shd w:val="clear" w:color="auto" w:fill="auto"/>
            <w:vAlign w:val="center"/>
          </w:tcPr>
          <w:p w14:paraId="6268E09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7B1F47B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083ED47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化粪池</w:t>
            </w:r>
          </w:p>
        </w:tc>
        <w:tc>
          <w:tcPr>
            <w:tcW w:w="696" w:type="pct"/>
            <w:shd w:val="clear" w:color="auto" w:fill="auto"/>
            <w:noWrap/>
            <w:vAlign w:val="center"/>
          </w:tcPr>
          <w:p w14:paraId="33A0295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1829622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11</w:t>
            </w:r>
          </w:p>
        </w:tc>
        <w:tc>
          <w:tcPr>
            <w:tcW w:w="1200" w:type="pct"/>
            <w:shd w:val="clear" w:color="auto" w:fill="auto"/>
            <w:vAlign w:val="center"/>
          </w:tcPr>
          <w:p w14:paraId="27E6B42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2D62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restart"/>
            <w:shd w:val="clear" w:color="auto" w:fill="auto"/>
            <w:noWrap/>
            <w:vAlign w:val="center"/>
          </w:tcPr>
          <w:p w14:paraId="6E959DC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485" w:type="pct"/>
            <w:vMerge w:val="restart"/>
            <w:shd w:val="clear" w:color="auto" w:fill="auto"/>
            <w:vAlign w:val="center"/>
          </w:tcPr>
          <w:p w14:paraId="37E35BE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钱神花苑</w:t>
            </w:r>
          </w:p>
        </w:tc>
        <w:tc>
          <w:tcPr>
            <w:tcW w:w="1434" w:type="pct"/>
            <w:shd w:val="clear" w:color="auto" w:fill="auto"/>
            <w:noWrap/>
            <w:vAlign w:val="center"/>
          </w:tcPr>
          <w:p w14:paraId="20CE671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DN300以内</w:t>
            </w:r>
          </w:p>
        </w:tc>
        <w:tc>
          <w:tcPr>
            <w:tcW w:w="696" w:type="pct"/>
            <w:shd w:val="clear" w:color="auto" w:fill="auto"/>
            <w:noWrap/>
            <w:vAlign w:val="center"/>
          </w:tcPr>
          <w:p w14:paraId="31C8AB9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米</w:t>
            </w:r>
          </w:p>
        </w:tc>
        <w:tc>
          <w:tcPr>
            <w:tcW w:w="690" w:type="pct"/>
            <w:shd w:val="clear" w:color="auto" w:fill="auto"/>
            <w:vAlign w:val="center"/>
          </w:tcPr>
          <w:p w14:paraId="1013044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1111.22</w:t>
            </w:r>
          </w:p>
        </w:tc>
        <w:tc>
          <w:tcPr>
            <w:tcW w:w="1200" w:type="pct"/>
            <w:shd w:val="clear" w:color="auto" w:fill="auto"/>
            <w:vAlign w:val="center"/>
          </w:tcPr>
          <w:p w14:paraId="1237FD4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3D1D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continue"/>
            <w:shd w:val="clear" w:color="auto" w:fill="auto"/>
            <w:noWrap/>
            <w:vAlign w:val="center"/>
          </w:tcPr>
          <w:p w14:paraId="2D157B9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6C38DB2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4535A66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检查井（直径700mm）</w:t>
            </w:r>
          </w:p>
        </w:tc>
        <w:tc>
          <w:tcPr>
            <w:tcW w:w="696" w:type="pct"/>
            <w:shd w:val="clear" w:color="auto" w:fill="auto"/>
            <w:noWrap/>
            <w:vAlign w:val="center"/>
          </w:tcPr>
          <w:p w14:paraId="12E8E9F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03FEE13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148</w:t>
            </w:r>
          </w:p>
        </w:tc>
        <w:tc>
          <w:tcPr>
            <w:tcW w:w="1200" w:type="pct"/>
            <w:shd w:val="clear" w:color="auto" w:fill="auto"/>
            <w:vAlign w:val="center"/>
          </w:tcPr>
          <w:p w14:paraId="28F650C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2CA9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continue"/>
            <w:shd w:val="clear" w:color="auto" w:fill="auto"/>
            <w:noWrap/>
            <w:vAlign w:val="center"/>
          </w:tcPr>
          <w:p w14:paraId="2AE62BA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79F39C8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6010D08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化粪池</w:t>
            </w:r>
          </w:p>
        </w:tc>
        <w:tc>
          <w:tcPr>
            <w:tcW w:w="696" w:type="pct"/>
            <w:shd w:val="clear" w:color="auto" w:fill="auto"/>
            <w:noWrap/>
            <w:vAlign w:val="center"/>
          </w:tcPr>
          <w:p w14:paraId="1AAAC94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2C6A88A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1200" w:type="pct"/>
            <w:shd w:val="clear" w:color="auto" w:fill="auto"/>
            <w:vAlign w:val="center"/>
          </w:tcPr>
          <w:p w14:paraId="5935710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0EC8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restart"/>
            <w:shd w:val="clear" w:color="auto" w:fill="auto"/>
            <w:vAlign w:val="center"/>
          </w:tcPr>
          <w:p w14:paraId="54688FD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485" w:type="pct"/>
            <w:vMerge w:val="restart"/>
            <w:shd w:val="clear" w:color="auto" w:fill="auto"/>
            <w:vAlign w:val="center"/>
          </w:tcPr>
          <w:p w14:paraId="7B5857E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仓兴街</w:t>
            </w:r>
          </w:p>
        </w:tc>
        <w:tc>
          <w:tcPr>
            <w:tcW w:w="1434" w:type="pct"/>
            <w:shd w:val="clear" w:color="auto" w:fill="auto"/>
            <w:noWrap/>
            <w:vAlign w:val="center"/>
          </w:tcPr>
          <w:p w14:paraId="3BFF5ED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DN300以内</w:t>
            </w:r>
          </w:p>
        </w:tc>
        <w:tc>
          <w:tcPr>
            <w:tcW w:w="696" w:type="pct"/>
            <w:shd w:val="clear" w:color="auto" w:fill="auto"/>
            <w:noWrap/>
            <w:vAlign w:val="center"/>
          </w:tcPr>
          <w:p w14:paraId="05F426E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米</w:t>
            </w:r>
          </w:p>
        </w:tc>
        <w:tc>
          <w:tcPr>
            <w:tcW w:w="690" w:type="pct"/>
            <w:shd w:val="clear" w:color="auto" w:fill="auto"/>
            <w:vAlign w:val="center"/>
          </w:tcPr>
          <w:p w14:paraId="5ACD48D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4240.1</w:t>
            </w:r>
          </w:p>
        </w:tc>
        <w:tc>
          <w:tcPr>
            <w:tcW w:w="1200" w:type="pct"/>
            <w:shd w:val="clear" w:color="auto" w:fill="auto"/>
            <w:vAlign w:val="center"/>
          </w:tcPr>
          <w:p w14:paraId="0931877D">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4次（3个月/次）</w:t>
            </w:r>
          </w:p>
        </w:tc>
      </w:tr>
      <w:tr w14:paraId="4296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3" w:type="pct"/>
            <w:vMerge w:val="continue"/>
            <w:shd w:val="clear" w:color="auto" w:fill="auto"/>
            <w:vAlign w:val="center"/>
          </w:tcPr>
          <w:p w14:paraId="0398928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2E519C0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535E2D0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检查井（500*500）</w:t>
            </w:r>
          </w:p>
        </w:tc>
        <w:tc>
          <w:tcPr>
            <w:tcW w:w="696" w:type="pct"/>
            <w:shd w:val="clear" w:color="auto" w:fill="auto"/>
            <w:noWrap/>
            <w:vAlign w:val="center"/>
          </w:tcPr>
          <w:p w14:paraId="0FF14F3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02D4303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438</w:t>
            </w:r>
          </w:p>
        </w:tc>
        <w:tc>
          <w:tcPr>
            <w:tcW w:w="1200" w:type="pct"/>
            <w:shd w:val="clear" w:color="auto" w:fill="auto"/>
            <w:vAlign w:val="center"/>
          </w:tcPr>
          <w:p w14:paraId="70CA7CE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12次（2个月/次）</w:t>
            </w:r>
          </w:p>
        </w:tc>
      </w:tr>
      <w:tr w14:paraId="4D8E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3" w:type="pct"/>
            <w:vMerge w:val="continue"/>
            <w:shd w:val="clear" w:color="auto" w:fill="auto"/>
            <w:vAlign w:val="center"/>
          </w:tcPr>
          <w:p w14:paraId="0BA2C04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20B267A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08937F2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隔油池</w:t>
            </w:r>
          </w:p>
        </w:tc>
        <w:tc>
          <w:tcPr>
            <w:tcW w:w="696" w:type="pct"/>
            <w:shd w:val="clear" w:color="auto" w:fill="auto"/>
            <w:noWrap/>
            <w:vAlign w:val="center"/>
          </w:tcPr>
          <w:p w14:paraId="179C980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22CA080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50</w:t>
            </w:r>
          </w:p>
        </w:tc>
        <w:tc>
          <w:tcPr>
            <w:tcW w:w="1200" w:type="pct"/>
            <w:shd w:val="clear" w:color="auto" w:fill="auto"/>
            <w:vAlign w:val="center"/>
          </w:tcPr>
          <w:p w14:paraId="5319DFB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24次（1个月/2次）</w:t>
            </w:r>
          </w:p>
        </w:tc>
      </w:tr>
      <w:tr w14:paraId="47EE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continue"/>
            <w:shd w:val="clear" w:color="auto" w:fill="auto"/>
            <w:vAlign w:val="center"/>
          </w:tcPr>
          <w:p w14:paraId="321F9D9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3F13F03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135328F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沉砂池</w:t>
            </w:r>
          </w:p>
        </w:tc>
        <w:tc>
          <w:tcPr>
            <w:tcW w:w="696" w:type="pct"/>
            <w:shd w:val="clear" w:color="auto" w:fill="auto"/>
            <w:noWrap/>
            <w:vAlign w:val="center"/>
          </w:tcPr>
          <w:p w14:paraId="64B78AF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430078E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1200" w:type="pct"/>
            <w:shd w:val="clear" w:color="auto" w:fill="auto"/>
            <w:vAlign w:val="center"/>
          </w:tcPr>
          <w:p w14:paraId="74C51B6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4次（3个月/次）</w:t>
            </w:r>
          </w:p>
        </w:tc>
      </w:tr>
      <w:tr w14:paraId="424B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continue"/>
            <w:shd w:val="clear" w:color="auto" w:fill="auto"/>
            <w:vAlign w:val="center"/>
          </w:tcPr>
          <w:p w14:paraId="1D3FD7E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701D099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4A1CE00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倒虹井</w:t>
            </w:r>
          </w:p>
        </w:tc>
        <w:tc>
          <w:tcPr>
            <w:tcW w:w="696" w:type="pct"/>
            <w:shd w:val="clear" w:color="auto" w:fill="auto"/>
            <w:noWrap/>
            <w:vAlign w:val="center"/>
          </w:tcPr>
          <w:p w14:paraId="2D02353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1B52D47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1200" w:type="pct"/>
            <w:shd w:val="clear" w:color="auto" w:fill="auto"/>
            <w:vAlign w:val="center"/>
          </w:tcPr>
          <w:p w14:paraId="5628B36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4次（3个月/次）</w:t>
            </w:r>
          </w:p>
        </w:tc>
      </w:tr>
      <w:tr w14:paraId="5C8C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3" w:type="pct"/>
            <w:vMerge w:val="continue"/>
            <w:shd w:val="clear" w:color="auto" w:fill="auto"/>
            <w:vAlign w:val="center"/>
          </w:tcPr>
          <w:p w14:paraId="7717560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111D887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3773423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格栅井</w:t>
            </w:r>
          </w:p>
        </w:tc>
        <w:tc>
          <w:tcPr>
            <w:tcW w:w="696" w:type="pct"/>
            <w:shd w:val="clear" w:color="auto" w:fill="auto"/>
            <w:noWrap/>
            <w:vAlign w:val="center"/>
          </w:tcPr>
          <w:p w14:paraId="685431F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30119EBD">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1200" w:type="pct"/>
            <w:shd w:val="clear" w:color="auto" w:fill="auto"/>
            <w:vAlign w:val="center"/>
          </w:tcPr>
          <w:p w14:paraId="28001D2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4次（3个月/次）</w:t>
            </w:r>
          </w:p>
        </w:tc>
      </w:tr>
    </w:tbl>
    <w:p w14:paraId="5BD49190">
      <w:pPr>
        <w:spacing w:line="600" w:lineRule="exact"/>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拟投入人员、设施配备最低要求配备表</w:t>
      </w:r>
    </w:p>
    <w:p w14:paraId="29013E68">
      <w:pPr>
        <w:pStyle w:val="34"/>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1、本项目人员配置</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经理</w:t>
      </w:r>
      <w:r>
        <w:rPr>
          <w:rFonts w:hint="eastAsia" w:ascii="宋体" w:hAnsi="宋体" w:eastAsia="宋体" w:cs="宋体"/>
          <w:color w:val="auto"/>
          <w:sz w:val="24"/>
          <w:szCs w:val="24"/>
          <w:highlight w:val="none"/>
        </w:rPr>
        <w:t>1人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安保经理1人，工程</w:t>
      </w:r>
      <w:r>
        <w:rPr>
          <w:rFonts w:hint="eastAsia" w:hAnsi="宋体" w:cs="宋体"/>
          <w:color w:val="auto"/>
          <w:sz w:val="24"/>
          <w:szCs w:val="24"/>
          <w:highlight w:val="none"/>
          <w:lang w:val="en-US" w:eastAsia="zh-CN"/>
        </w:rPr>
        <w:t>经理</w:t>
      </w:r>
      <w:r>
        <w:rPr>
          <w:rFonts w:hint="eastAsia" w:ascii="宋体" w:hAnsi="宋体" w:eastAsia="宋体" w:cs="宋体"/>
          <w:color w:val="auto"/>
          <w:sz w:val="24"/>
          <w:szCs w:val="24"/>
          <w:highlight w:val="none"/>
          <w:lang w:val="en-US" w:eastAsia="zh-CN"/>
        </w:rPr>
        <w:t>1人，安保主管1人，序化安全员</w:t>
      </w:r>
      <w:r>
        <w:rPr>
          <w:rFonts w:hint="eastAsia"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人，保洁员29人，绿化工6人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市政专员（含工程维修）8人，</w:t>
      </w:r>
      <w:r>
        <w:rPr>
          <w:rFonts w:hint="eastAsia" w:ascii="宋体" w:hAnsi="宋体" w:eastAsia="宋体" w:cs="宋体"/>
          <w:color w:val="auto"/>
          <w:sz w:val="24"/>
          <w:szCs w:val="24"/>
          <w:highlight w:val="none"/>
        </w:rPr>
        <w:t>所有作业人员必须挂牌上岗，统一着装，作业时必须统一穿着工作制服。</w:t>
      </w:r>
    </w:p>
    <w:p w14:paraId="0C2A2FE0">
      <w:pPr>
        <w:pStyle w:val="34"/>
        <w:snapToGrid w:val="0"/>
        <w:spacing w:line="6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人员要求配置表：</w:t>
      </w:r>
    </w:p>
    <w:tbl>
      <w:tblPr>
        <w:tblStyle w:val="62"/>
        <w:tblW w:w="489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51"/>
        <w:gridCol w:w="1569"/>
        <w:gridCol w:w="961"/>
        <w:gridCol w:w="1537"/>
        <w:gridCol w:w="1601"/>
        <w:gridCol w:w="1701"/>
        <w:gridCol w:w="1634"/>
      </w:tblGrid>
      <w:tr w14:paraId="1D1E4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69036539">
            <w:pPr>
              <w:spacing w:line="24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804" w:type="pct"/>
            <w:vAlign w:val="center"/>
          </w:tcPr>
          <w:p w14:paraId="366934BC">
            <w:pPr>
              <w:spacing w:line="24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拟任分工</w:t>
            </w:r>
          </w:p>
        </w:tc>
        <w:tc>
          <w:tcPr>
            <w:tcW w:w="492" w:type="pct"/>
            <w:vAlign w:val="center"/>
          </w:tcPr>
          <w:p w14:paraId="73777BCC">
            <w:pPr>
              <w:spacing w:line="24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数量</w:t>
            </w:r>
          </w:p>
        </w:tc>
        <w:tc>
          <w:tcPr>
            <w:tcW w:w="787" w:type="pct"/>
            <w:vAlign w:val="center"/>
          </w:tcPr>
          <w:p w14:paraId="36EE58FC">
            <w:pPr>
              <w:spacing w:line="240" w:lineRule="auto"/>
              <w:jc w:val="center"/>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val="en-US" w:eastAsia="zh-CN"/>
              </w:rPr>
              <w:t>学历</w:t>
            </w:r>
          </w:p>
        </w:tc>
        <w:tc>
          <w:tcPr>
            <w:tcW w:w="820" w:type="pct"/>
            <w:vAlign w:val="center"/>
          </w:tcPr>
          <w:p w14:paraId="160B3BE5">
            <w:pPr>
              <w:spacing w:line="240" w:lineRule="auto"/>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相关工作经验</w:t>
            </w:r>
          </w:p>
        </w:tc>
        <w:tc>
          <w:tcPr>
            <w:tcW w:w="871" w:type="pct"/>
            <w:vAlign w:val="center"/>
          </w:tcPr>
          <w:p w14:paraId="7878E2C5">
            <w:pPr>
              <w:spacing w:line="240" w:lineRule="auto"/>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所需证件</w:t>
            </w:r>
          </w:p>
        </w:tc>
        <w:tc>
          <w:tcPr>
            <w:tcW w:w="837" w:type="pct"/>
            <w:vAlign w:val="center"/>
          </w:tcPr>
          <w:p w14:paraId="4EC68723">
            <w:pPr>
              <w:spacing w:line="240" w:lineRule="auto"/>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要求</w:t>
            </w:r>
          </w:p>
        </w:tc>
      </w:tr>
      <w:tr w14:paraId="08103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719E3213">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804" w:type="pct"/>
            <w:vAlign w:val="center"/>
          </w:tcPr>
          <w:p w14:paraId="13703E8D">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en-US" w:eastAsia="zh-CN"/>
              </w:rPr>
              <w:t>经理</w:t>
            </w:r>
          </w:p>
        </w:tc>
        <w:tc>
          <w:tcPr>
            <w:tcW w:w="492" w:type="pct"/>
            <w:vAlign w:val="center"/>
          </w:tcPr>
          <w:p w14:paraId="628CE5C1">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w:t>
            </w:r>
          </w:p>
        </w:tc>
        <w:tc>
          <w:tcPr>
            <w:tcW w:w="787" w:type="pct"/>
            <w:vAlign w:val="center"/>
          </w:tcPr>
          <w:p w14:paraId="2821BAFA">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大专</w:t>
            </w:r>
            <w:r>
              <w:rPr>
                <w:rFonts w:hint="eastAsia" w:asciiTheme="minorEastAsia" w:hAnsiTheme="minorEastAsia" w:eastAsiaTheme="minorEastAsia" w:cstheme="minorEastAsia"/>
                <w:color w:val="auto"/>
                <w:szCs w:val="21"/>
                <w:highlight w:val="none"/>
              </w:rPr>
              <w:t>及以上</w:t>
            </w:r>
          </w:p>
        </w:tc>
        <w:tc>
          <w:tcPr>
            <w:tcW w:w="820" w:type="pct"/>
            <w:vAlign w:val="center"/>
          </w:tcPr>
          <w:p w14:paraId="5BA99295">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3年</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w:t>
            </w:r>
          </w:p>
        </w:tc>
        <w:tc>
          <w:tcPr>
            <w:tcW w:w="871" w:type="pct"/>
            <w:vAlign w:val="center"/>
          </w:tcPr>
          <w:p w14:paraId="2BFBEB85">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物业管理师证</w:t>
            </w:r>
          </w:p>
        </w:tc>
        <w:tc>
          <w:tcPr>
            <w:tcW w:w="837" w:type="pct"/>
            <w:vAlign w:val="center"/>
          </w:tcPr>
          <w:p w14:paraId="37F7B1D3">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49EFE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0130B402">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804" w:type="pct"/>
            <w:vAlign w:val="center"/>
          </w:tcPr>
          <w:p w14:paraId="7A19CA98">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安保</w:t>
            </w:r>
            <w:r>
              <w:rPr>
                <w:rFonts w:hint="eastAsia" w:asciiTheme="minorEastAsia" w:hAnsiTheme="minorEastAsia" w:eastAsiaTheme="minorEastAsia" w:cstheme="minorEastAsia"/>
                <w:color w:val="auto"/>
                <w:szCs w:val="21"/>
                <w:highlight w:val="none"/>
              </w:rPr>
              <w:t>经理</w:t>
            </w:r>
          </w:p>
        </w:tc>
        <w:tc>
          <w:tcPr>
            <w:tcW w:w="492" w:type="pct"/>
            <w:vAlign w:val="center"/>
          </w:tcPr>
          <w:p w14:paraId="67157B1D">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人</w:t>
            </w:r>
          </w:p>
        </w:tc>
        <w:tc>
          <w:tcPr>
            <w:tcW w:w="787" w:type="pct"/>
            <w:vAlign w:val="center"/>
          </w:tcPr>
          <w:p w14:paraId="17BE7B77">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大专</w:t>
            </w:r>
            <w:r>
              <w:rPr>
                <w:rFonts w:hint="eastAsia" w:asciiTheme="minorEastAsia" w:hAnsiTheme="minorEastAsia" w:eastAsiaTheme="minorEastAsia" w:cstheme="minorEastAsia"/>
                <w:color w:val="auto"/>
                <w:szCs w:val="21"/>
                <w:highlight w:val="none"/>
              </w:rPr>
              <w:t>及以上</w:t>
            </w:r>
          </w:p>
        </w:tc>
        <w:tc>
          <w:tcPr>
            <w:tcW w:w="820" w:type="pct"/>
            <w:vAlign w:val="center"/>
          </w:tcPr>
          <w:p w14:paraId="46F9CC23">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1年</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w:t>
            </w:r>
          </w:p>
        </w:tc>
        <w:tc>
          <w:tcPr>
            <w:tcW w:w="871" w:type="pct"/>
            <w:vAlign w:val="center"/>
          </w:tcPr>
          <w:p w14:paraId="41FAA795">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保安员证</w:t>
            </w:r>
          </w:p>
        </w:tc>
        <w:tc>
          <w:tcPr>
            <w:tcW w:w="837" w:type="pct"/>
            <w:vAlign w:val="center"/>
          </w:tcPr>
          <w:p w14:paraId="54CDB5EF">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2A38C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65" w:hRule="atLeast"/>
          <w:jc w:val="center"/>
        </w:trPr>
        <w:tc>
          <w:tcPr>
            <w:tcW w:w="385" w:type="pct"/>
            <w:vAlign w:val="center"/>
          </w:tcPr>
          <w:p w14:paraId="558721F0">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804" w:type="pct"/>
            <w:vAlign w:val="center"/>
          </w:tcPr>
          <w:p w14:paraId="4D3C5648">
            <w:pPr>
              <w:spacing w:line="240" w:lineRule="auto"/>
              <w:jc w:val="center"/>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eastAsia="zh-CN"/>
              </w:rPr>
              <w:t>工程经理</w:t>
            </w:r>
          </w:p>
        </w:tc>
        <w:tc>
          <w:tcPr>
            <w:tcW w:w="492" w:type="pct"/>
            <w:vAlign w:val="center"/>
          </w:tcPr>
          <w:p w14:paraId="394FEBC6">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w:t>
            </w:r>
          </w:p>
        </w:tc>
        <w:tc>
          <w:tcPr>
            <w:tcW w:w="787" w:type="pct"/>
            <w:vAlign w:val="center"/>
          </w:tcPr>
          <w:p w14:paraId="1D796C23">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大专</w:t>
            </w:r>
            <w:r>
              <w:rPr>
                <w:rFonts w:hint="eastAsia" w:asciiTheme="minorEastAsia" w:hAnsiTheme="minorEastAsia" w:eastAsiaTheme="minorEastAsia" w:cstheme="minorEastAsia"/>
                <w:color w:val="auto"/>
                <w:szCs w:val="21"/>
                <w:highlight w:val="none"/>
              </w:rPr>
              <w:t>及以上</w:t>
            </w:r>
          </w:p>
        </w:tc>
        <w:tc>
          <w:tcPr>
            <w:tcW w:w="820" w:type="pct"/>
            <w:vAlign w:val="center"/>
          </w:tcPr>
          <w:p w14:paraId="52082408">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1年</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w:t>
            </w:r>
          </w:p>
        </w:tc>
        <w:tc>
          <w:tcPr>
            <w:tcW w:w="871" w:type="pct"/>
            <w:vAlign w:val="center"/>
          </w:tcPr>
          <w:p w14:paraId="0547EAD8">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一级建造师注册证书</w:t>
            </w:r>
          </w:p>
        </w:tc>
        <w:tc>
          <w:tcPr>
            <w:tcW w:w="837" w:type="pct"/>
            <w:vAlign w:val="center"/>
          </w:tcPr>
          <w:p w14:paraId="04201C03">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7264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6CDB2C49">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804" w:type="pct"/>
            <w:vAlign w:val="center"/>
          </w:tcPr>
          <w:p w14:paraId="071B548B">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安保主管</w:t>
            </w:r>
          </w:p>
        </w:tc>
        <w:tc>
          <w:tcPr>
            <w:tcW w:w="492" w:type="pct"/>
            <w:vAlign w:val="center"/>
          </w:tcPr>
          <w:p w14:paraId="5EF34DDF">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1人</w:t>
            </w:r>
          </w:p>
        </w:tc>
        <w:tc>
          <w:tcPr>
            <w:tcW w:w="787" w:type="pct"/>
            <w:vAlign w:val="center"/>
          </w:tcPr>
          <w:p w14:paraId="51E5BCD0">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高中及以上</w:t>
            </w:r>
          </w:p>
        </w:tc>
        <w:tc>
          <w:tcPr>
            <w:tcW w:w="820" w:type="pct"/>
            <w:vAlign w:val="center"/>
          </w:tcPr>
          <w:p w14:paraId="47A23DED">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1年</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w:t>
            </w:r>
          </w:p>
        </w:tc>
        <w:tc>
          <w:tcPr>
            <w:tcW w:w="871" w:type="pct"/>
            <w:vAlign w:val="center"/>
          </w:tcPr>
          <w:p w14:paraId="27AA950B">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w:t>
            </w:r>
          </w:p>
        </w:tc>
        <w:tc>
          <w:tcPr>
            <w:tcW w:w="837" w:type="pct"/>
            <w:vAlign w:val="center"/>
          </w:tcPr>
          <w:p w14:paraId="6B8222E2">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5B718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09EEAB26">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804" w:type="pct"/>
            <w:vAlign w:val="center"/>
          </w:tcPr>
          <w:p w14:paraId="21092552">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序化安全员</w:t>
            </w:r>
          </w:p>
        </w:tc>
        <w:tc>
          <w:tcPr>
            <w:tcW w:w="492" w:type="pct"/>
            <w:vAlign w:val="center"/>
          </w:tcPr>
          <w:p w14:paraId="1FFE4441">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22</w:t>
            </w:r>
            <w:r>
              <w:rPr>
                <w:rFonts w:hint="eastAsia" w:asciiTheme="minorEastAsia" w:hAnsiTheme="minorEastAsia" w:eastAsiaTheme="minorEastAsia" w:cstheme="minorEastAsia"/>
                <w:color w:val="auto"/>
                <w:szCs w:val="21"/>
                <w:highlight w:val="none"/>
              </w:rPr>
              <w:t>人</w:t>
            </w:r>
          </w:p>
        </w:tc>
        <w:tc>
          <w:tcPr>
            <w:tcW w:w="787" w:type="pct"/>
            <w:vAlign w:val="center"/>
          </w:tcPr>
          <w:p w14:paraId="1E1E4D70">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820" w:type="pct"/>
            <w:vAlign w:val="center"/>
          </w:tcPr>
          <w:p w14:paraId="420685EA">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871" w:type="pct"/>
            <w:vAlign w:val="center"/>
          </w:tcPr>
          <w:p w14:paraId="57E84EBF">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837" w:type="pct"/>
            <w:vAlign w:val="center"/>
          </w:tcPr>
          <w:p w14:paraId="2BA2B8CF">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6A44A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2F3ABFDA">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804" w:type="pct"/>
            <w:vAlign w:val="center"/>
          </w:tcPr>
          <w:p w14:paraId="6EA6CF3B">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保洁员</w:t>
            </w:r>
          </w:p>
        </w:tc>
        <w:tc>
          <w:tcPr>
            <w:tcW w:w="492" w:type="pct"/>
            <w:vAlign w:val="center"/>
          </w:tcPr>
          <w:p w14:paraId="6D403DD7">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29</w:t>
            </w:r>
            <w:r>
              <w:rPr>
                <w:rFonts w:hint="eastAsia" w:asciiTheme="minorEastAsia" w:hAnsiTheme="minorEastAsia" w:eastAsiaTheme="minorEastAsia" w:cstheme="minorEastAsia"/>
                <w:color w:val="auto"/>
                <w:szCs w:val="21"/>
                <w:highlight w:val="none"/>
              </w:rPr>
              <w:t>人</w:t>
            </w:r>
          </w:p>
        </w:tc>
        <w:tc>
          <w:tcPr>
            <w:tcW w:w="787" w:type="pct"/>
            <w:vAlign w:val="center"/>
          </w:tcPr>
          <w:p w14:paraId="731561BE">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20" w:type="pct"/>
            <w:vAlign w:val="center"/>
          </w:tcPr>
          <w:p w14:paraId="20D7C7E2">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71" w:type="pct"/>
            <w:vAlign w:val="center"/>
          </w:tcPr>
          <w:p w14:paraId="511385FA">
            <w:pPr>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37" w:type="pct"/>
            <w:vAlign w:val="center"/>
          </w:tcPr>
          <w:p w14:paraId="50F845C2">
            <w:pPr>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55周岁</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kern w:val="2"/>
                <w:sz w:val="21"/>
                <w:szCs w:val="21"/>
                <w:highlight w:val="none"/>
                <w:lang w:val="en-US" w:eastAsia="zh-CN" w:bidi="ar-SA"/>
              </w:rPr>
              <w:t>以下</w:t>
            </w:r>
          </w:p>
        </w:tc>
      </w:tr>
      <w:tr w14:paraId="58EC8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5A24F5E3">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804" w:type="pct"/>
            <w:vAlign w:val="center"/>
          </w:tcPr>
          <w:p w14:paraId="4267BA04">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绿化工</w:t>
            </w:r>
          </w:p>
        </w:tc>
        <w:tc>
          <w:tcPr>
            <w:tcW w:w="492" w:type="pct"/>
            <w:vAlign w:val="center"/>
          </w:tcPr>
          <w:p w14:paraId="53C1FCC4">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6人</w:t>
            </w:r>
          </w:p>
        </w:tc>
        <w:tc>
          <w:tcPr>
            <w:tcW w:w="787" w:type="pct"/>
            <w:vAlign w:val="center"/>
          </w:tcPr>
          <w:p w14:paraId="51D2B6F4">
            <w:pPr>
              <w:spacing w:line="240" w:lineRule="auto"/>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Cs w:val="21"/>
                <w:highlight w:val="none"/>
              </w:rPr>
              <w:t>/</w:t>
            </w:r>
          </w:p>
        </w:tc>
        <w:tc>
          <w:tcPr>
            <w:tcW w:w="820" w:type="pct"/>
            <w:vAlign w:val="center"/>
          </w:tcPr>
          <w:p w14:paraId="72E420F2">
            <w:pPr>
              <w:spacing w:line="240" w:lineRule="auto"/>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Cs w:val="21"/>
                <w:highlight w:val="none"/>
              </w:rPr>
              <w:t>/</w:t>
            </w:r>
          </w:p>
        </w:tc>
        <w:tc>
          <w:tcPr>
            <w:tcW w:w="871" w:type="pct"/>
            <w:vAlign w:val="center"/>
          </w:tcPr>
          <w:p w14:paraId="43876C6E">
            <w:pPr>
              <w:spacing w:line="240" w:lineRule="auto"/>
              <w:jc w:val="center"/>
              <w:rPr>
                <w:rFonts w:hint="default"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37" w:type="pct"/>
            <w:vAlign w:val="center"/>
          </w:tcPr>
          <w:p w14:paraId="4DBF73DB">
            <w:pPr>
              <w:spacing w:line="240" w:lineRule="auto"/>
              <w:jc w:val="center"/>
              <w:rPr>
                <w:rFonts w:hint="eastAsia" w:asciiTheme="minorEastAsia" w:hAnsiTheme="minorEastAsia" w:eastAsiaTheme="minorEastAsia" w:cstheme="minorEastAsia"/>
                <w:color w:val="auto"/>
                <w:kern w:val="2"/>
                <w:sz w:val="21"/>
                <w:szCs w:val="18"/>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55周岁</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kern w:val="2"/>
                <w:sz w:val="21"/>
                <w:szCs w:val="21"/>
                <w:highlight w:val="none"/>
                <w:lang w:val="en-US" w:eastAsia="zh-CN" w:bidi="ar-SA"/>
              </w:rPr>
              <w:t>以下</w:t>
            </w:r>
          </w:p>
        </w:tc>
      </w:tr>
      <w:tr w14:paraId="6DF7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0B25E55C">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w:t>
            </w:r>
          </w:p>
        </w:tc>
        <w:tc>
          <w:tcPr>
            <w:tcW w:w="804" w:type="pct"/>
            <w:vAlign w:val="center"/>
          </w:tcPr>
          <w:p w14:paraId="5EF47D7E">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市政专员</w:t>
            </w:r>
          </w:p>
          <w:p w14:paraId="6A2643EE">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（含工程维修）</w:t>
            </w:r>
          </w:p>
        </w:tc>
        <w:tc>
          <w:tcPr>
            <w:tcW w:w="492" w:type="pct"/>
            <w:vAlign w:val="center"/>
          </w:tcPr>
          <w:p w14:paraId="06D15B79">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8人</w:t>
            </w:r>
          </w:p>
        </w:tc>
        <w:tc>
          <w:tcPr>
            <w:tcW w:w="787" w:type="pct"/>
            <w:vAlign w:val="center"/>
          </w:tcPr>
          <w:p w14:paraId="3337F76E">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20" w:type="pct"/>
            <w:vAlign w:val="center"/>
          </w:tcPr>
          <w:p w14:paraId="51678E52">
            <w:pPr>
              <w:spacing w:line="240" w:lineRule="auto"/>
              <w:jc w:val="center"/>
              <w:rPr>
                <w:rFonts w:hint="eastAsia" w:asciiTheme="minorEastAsia" w:hAnsiTheme="minorEastAsia" w:eastAsiaTheme="minorEastAsia" w:cstheme="minorEastAsia"/>
                <w:color w:val="auto"/>
                <w:kern w:val="2"/>
                <w:sz w:val="21"/>
                <w:szCs w:val="18"/>
                <w:highlight w:val="none"/>
                <w:lang w:val="en-US" w:eastAsia="zh-CN" w:bidi="ar-SA"/>
              </w:rPr>
            </w:pPr>
            <w:r>
              <w:rPr>
                <w:rFonts w:hint="eastAsia" w:asciiTheme="minorEastAsia" w:hAnsiTheme="minorEastAsia" w:eastAsiaTheme="minorEastAsia" w:cstheme="minorEastAsia"/>
                <w:color w:val="auto"/>
                <w:kern w:val="2"/>
                <w:sz w:val="21"/>
                <w:szCs w:val="18"/>
                <w:highlight w:val="none"/>
                <w:lang w:val="en-US" w:eastAsia="zh-CN" w:bidi="ar-SA"/>
              </w:rPr>
              <w:t>/</w:t>
            </w:r>
          </w:p>
        </w:tc>
        <w:tc>
          <w:tcPr>
            <w:tcW w:w="871" w:type="pct"/>
            <w:vAlign w:val="center"/>
          </w:tcPr>
          <w:p w14:paraId="31161CDD">
            <w:pPr>
              <w:spacing w:line="240" w:lineRule="auto"/>
              <w:jc w:val="center"/>
              <w:rPr>
                <w:rFonts w:hint="default" w:asciiTheme="minorEastAsia" w:hAnsiTheme="minorEastAsia" w:eastAsiaTheme="minorEastAsia" w:cstheme="minorEastAsia"/>
                <w:color w:val="auto"/>
                <w:kern w:val="2"/>
                <w:sz w:val="21"/>
                <w:szCs w:val="18"/>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37" w:type="pct"/>
            <w:vAlign w:val="center"/>
          </w:tcPr>
          <w:p w14:paraId="3140F275">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50周岁及以下</w:t>
            </w:r>
          </w:p>
        </w:tc>
      </w:tr>
      <w:tr w14:paraId="60C97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3A03AF6D">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合计</w:t>
            </w:r>
          </w:p>
        </w:tc>
        <w:tc>
          <w:tcPr>
            <w:tcW w:w="804" w:type="pct"/>
            <w:vAlign w:val="center"/>
          </w:tcPr>
          <w:p w14:paraId="7787C1D4">
            <w:pPr>
              <w:spacing w:line="240" w:lineRule="auto"/>
              <w:jc w:val="center"/>
              <w:rPr>
                <w:rFonts w:hint="default" w:asciiTheme="minorEastAsia" w:hAnsiTheme="minorEastAsia" w:eastAsiaTheme="minorEastAsia" w:cstheme="minorEastAsia"/>
                <w:color w:val="auto"/>
                <w:szCs w:val="21"/>
                <w:highlight w:val="none"/>
                <w:lang w:val="en-US" w:eastAsia="zh-CN"/>
              </w:rPr>
            </w:pPr>
          </w:p>
        </w:tc>
        <w:tc>
          <w:tcPr>
            <w:tcW w:w="492" w:type="pct"/>
            <w:vAlign w:val="center"/>
          </w:tcPr>
          <w:p w14:paraId="4F3E6734">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69人</w:t>
            </w:r>
          </w:p>
        </w:tc>
        <w:tc>
          <w:tcPr>
            <w:tcW w:w="787" w:type="pct"/>
            <w:vAlign w:val="center"/>
          </w:tcPr>
          <w:p w14:paraId="7496CC8A">
            <w:pPr>
              <w:spacing w:line="240" w:lineRule="auto"/>
              <w:jc w:val="center"/>
              <w:rPr>
                <w:rFonts w:hint="eastAsia" w:asciiTheme="minorEastAsia" w:hAnsiTheme="minorEastAsia" w:eastAsiaTheme="minorEastAsia" w:cstheme="minorEastAsia"/>
                <w:color w:val="auto"/>
                <w:szCs w:val="21"/>
                <w:highlight w:val="none"/>
              </w:rPr>
            </w:pPr>
          </w:p>
        </w:tc>
        <w:tc>
          <w:tcPr>
            <w:tcW w:w="820" w:type="pct"/>
            <w:vAlign w:val="center"/>
          </w:tcPr>
          <w:p w14:paraId="187D1EBB">
            <w:pPr>
              <w:spacing w:line="240" w:lineRule="auto"/>
              <w:jc w:val="center"/>
              <w:rPr>
                <w:rFonts w:hint="eastAsia" w:asciiTheme="minorEastAsia" w:hAnsiTheme="minorEastAsia" w:eastAsiaTheme="minorEastAsia" w:cstheme="minorEastAsia"/>
                <w:color w:val="auto"/>
                <w:szCs w:val="21"/>
                <w:highlight w:val="none"/>
              </w:rPr>
            </w:pPr>
          </w:p>
        </w:tc>
        <w:tc>
          <w:tcPr>
            <w:tcW w:w="871" w:type="pct"/>
            <w:vAlign w:val="center"/>
          </w:tcPr>
          <w:p w14:paraId="718A510D">
            <w:pPr>
              <w:spacing w:line="240" w:lineRule="auto"/>
              <w:jc w:val="center"/>
              <w:rPr>
                <w:rFonts w:hint="eastAsia" w:asciiTheme="minorEastAsia" w:hAnsiTheme="minorEastAsia" w:eastAsiaTheme="minorEastAsia" w:cstheme="minorEastAsia"/>
                <w:color w:val="auto"/>
                <w:szCs w:val="21"/>
                <w:highlight w:val="none"/>
              </w:rPr>
            </w:pPr>
          </w:p>
        </w:tc>
        <w:tc>
          <w:tcPr>
            <w:tcW w:w="837" w:type="pct"/>
            <w:vAlign w:val="center"/>
          </w:tcPr>
          <w:p w14:paraId="70BCD550">
            <w:pPr>
              <w:spacing w:line="240" w:lineRule="auto"/>
              <w:jc w:val="center"/>
              <w:rPr>
                <w:rFonts w:hint="eastAsia" w:asciiTheme="minorEastAsia" w:hAnsiTheme="minorEastAsia" w:eastAsiaTheme="minorEastAsia" w:cstheme="minorEastAsia"/>
                <w:color w:val="auto"/>
                <w:szCs w:val="21"/>
                <w:highlight w:val="none"/>
              </w:rPr>
            </w:pPr>
          </w:p>
        </w:tc>
      </w:tr>
    </w:tbl>
    <w:p w14:paraId="52845DC4">
      <w:pPr>
        <w:widowControl/>
        <w:spacing w:line="600" w:lineRule="exact"/>
        <w:ind w:left="-53" w:leftChars="-25" w:firstLine="482" w:firstLineChars="200"/>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2、本项目设备配置要求</w:t>
      </w:r>
    </w:p>
    <w:tbl>
      <w:tblPr>
        <w:tblStyle w:val="6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231"/>
        <w:gridCol w:w="3430"/>
        <w:gridCol w:w="1459"/>
        <w:gridCol w:w="1874"/>
      </w:tblGrid>
      <w:tr w14:paraId="71B3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0FF31C6D">
            <w:pPr>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1121" w:type="pct"/>
            <w:vAlign w:val="center"/>
          </w:tcPr>
          <w:p w14:paraId="4CFF00F0">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设备名称</w:t>
            </w:r>
          </w:p>
        </w:tc>
        <w:tc>
          <w:tcPr>
            <w:tcW w:w="1724" w:type="pct"/>
            <w:vAlign w:val="center"/>
          </w:tcPr>
          <w:p w14:paraId="756EFF83">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规格要求</w:t>
            </w:r>
          </w:p>
          <w:p w14:paraId="53FEB4E0">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（总质量）</w:t>
            </w:r>
          </w:p>
        </w:tc>
        <w:tc>
          <w:tcPr>
            <w:tcW w:w="733" w:type="pct"/>
            <w:vAlign w:val="center"/>
          </w:tcPr>
          <w:p w14:paraId="620DFD77">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942" w:type="pct"/>
            <w:vAlign w:val="center"/>
          </w:tcPr>
          <w:p w14:paraId="4532F331">
            <w:pPr>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服务内容</w:t>
            </w:r>
          </w:p>
        </w:tc>
      </w:tr>
      <w:tr w14:paraId="1EA7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29BF942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21" w:type="pct"/>
            <w:vAlign w:val="center"/>
          </w:tcPr>
          <w:p w14:paraId="705C2295">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清洗车(洒水车)</w:t>
            </w:r>
          </w:p>
        </w:tc>
        <w:tc>
          <w:tcPr>
            <w:tcW w:w="1724" w:type="pct"/>
            <w:vAlign w:val="center"/>
          </w:tcPr>
          <w:p w14:paraId="43DA2FD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吨</w:t>
            </w:r>
          </w:p>
        </w:tc>
        <w:tc>
          <w:tcPr>
            <w:tcW w:w="733" w:type="pct"/>
            <w:vAlign w:val="center"/>
          </w:tcPr>
          <w:p w14:paraId="124D35C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restart"/>
            <w:vAlign w:val="center"/>
          </w:tcPr>
          <w:p w14:paraId="3E4F886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保洁设备</w:t>
            </w:r>
          </w:p>
        </w:tc>
      </w:tr>
      <w:tr w14:paraId="6288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224E365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21" w:type="pct"/>
            <w:vAlign w:val="center"/>
          </w:tcPr>
          <w:p w14:paraId="71232DA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三合一洗扫车</w:t>
            </w:r>
          </w:p>
        </w:tc>
        <w:tc>
          <w:tcPr>
            <w:tcW w:w="1724" w:type="pct"/>
            <w:vAlign w:val="center"/>
          </w:tcPr>
          <w:p w14:paraId="508091E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吨</w:t>
            </w:r>
          </w:p>
        </w:tc>
        <w:tc>
          <w:tcPr>
            <w:tcW w:w="733" w:type="pct"/>
            <w:vAlign w:val="center"/>
          </w:tcPr>
          <w:p w14:paraId="26FD54C9">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continue"/>
            <w:vAlign w:val="center"/>
          </w:tcPr>
          <w:p w14:paraId="13BCFBA5">
            <w:pPr>
              <w:bidi w:val="0"/>
              <w:jc w:val="center"/>
              <w:rPr>
                <w:rFonts w:hint="eastAsia" w:ascii="宋体" w:hAnsi="宋体" w:eastAsia="宋体" w:cs="宋体"/>
                <w:color w:val="auto"/>
                <w:sz w:val="24"/>
                <w:szCs w:val="24"/>
                <w:lang w:val="en-US" w:eastAsia="zh-CN"/>
              </w:rPr>
            </w:pPr>
          </w:p>
        </w:tc>
      </w:tr>
      <w:tr w14:paraId="51B7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1803BDB4">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21" w:type="pct"/>
            <w:vAlign w:val="center"/>
          </w:tcPr>
          <w:p w14:paraId="1C01CD7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洗扫车</w:t>
            </w:r>
          </w:p>
        </w:tc>
        <w:tc>
          <w:tcPr>
            <w:tcW w:w="1724" w:type="pct"/>
            <w:vAlign w:val="center"/>
          </w:tcPr>
          <w:p w14:paraId="1FCC896E">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吨</w:t>
            </w:r>
          </w:p>
        </w:tc>
        <w:tc>
          <w:tcPr>
            <w:tcW w:w="733" w:type="pct"/>
            <w:vAlign w:val="center"/>
          </w:tcPr>
          <w:p w14:paraId="7828E7B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≥1辆</w:t>
            </w:r>
          </w:p>
        </w:tc>
        <w:tc>
          <w:tcPr>
            <w:tcW w:w="942" w:type="pct"/>
            <w:vMerge w:val="continue"/>
            <w:vAlign w:val="center"/>
          </w:tcPr>
          <w:p w14:paraId="097D93E3">
            <w:pPr>
              <w:bidi w:val="0"/>
              <w:jc w:val="center"/>
              <w:rPr>
                <w:rFonts w:hint="eastAsia" w:ascii="宋体" w:hAnsi="宋体" w:eastAsia="宋体" w:cs="宋体"/>
                <w:color w:val="auto"/>
                <w:sz w:val="24"/>
                <w:szCs w:val="24"/>
                <w:lang w:val="en-US" w:eastAsia="zh-CN"/>
              </w:rPr>
            </w:pPr>
          </w:p>
        </w:tc>
      </w:tr>
      <w:tr w14:paraId="05E5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3CF05CD5">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21" w:type="pct"/>
            <w:vAlign w:val="center"/>
          </w:tcPr>
          <w:p w14:paraId="576BBC69">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多功能抑尘车</w:t>
            </w:r>
          </w:p>
        </w:tc>
        <w:tc>
          <w:tcPr>
            <w:tcW w:w="1724" w:type="pct"/>
            <w:vAlign w:val="center"/>
          </w:tcPr>
          <w:p w14:paraId="02A4B941">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吨</w:t>
            </w:r>
          </w:p>
        </w:tc>
        <w:tc>
          <w:tcPr>
            <w:tcW w:w="733" w:type="pct"/>
            <w:vAlign w:val="center"/>
          </w:tcPr>
          <w:p w14:paraId="7F3DBEB8">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≥1辆</w:t>
            </w:r>
          </w:p>
        </w:tc>
        <w:tc>
          <w:tcPr>
            <w:tcW w:w="942" w:type="pct"/>
            <w:vMerge w:val="continue"/>
            <w:vAlign w:val="center"/>
          </w:tcPr>
          <w:p w14:paraId="0BDC5C01">
            <w:pPr>
              <w:bidi w:val="0"/>
              <w:jc w:val="center"/>
              <w:rPr>
                <w:rFonts w:hint="eastAsia" w:ascii="宋体" w:hAnsi="宋体" w:eastAsia="宋体" w:cs="宋体"/>
                <w:color w:val="auto"/>
                <w:sz w:val="24"/>
                <w:szCs w:val="24"/>
                <w:lang w:val="en-US" w:eastAsia="zh-CN"/>
              </w:rPr>
            </w:pPr>
          </w:p>
        </w:tc>
      </w:tr>
      <w:tr w14:paraId="5FA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7C1880B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121" w:type="pct"/>
            <w:vAlign w:val="center"/>
          </w:tcPr>
          <w:p w14:paraId="5AA0F8AF">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高压冲洗车</w:t>
            </w:r>
          </w:p>
        </w:tc>
        <w:tc>
          <w:tcPr>
            <w:tcW w:w="1724" w:type="pct"/>
            <w:vAlign w:val="center"/>
          </w:tcPr>
          <w:p w14:paraId="29DF328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吨</w:t>
            </w:r>
          </w:p>
        </w:tc>
        <w:tc>
          <w:tcPr>
            <w:tcW w:w="733" w:type="pct"/>
            <w:vAlign w:val="center"/>
          </w:tcPr>
          <w:p w14:paraId="6FFFE67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continue"/>
            <w:vAlign w:val="center"/>
          </w:tcPr>
          <w:p w14:paraId="35EC2B5F">
            <w:pPr>
              <w:bidi w:val="0"/>
              <w:jc w:val="center"/>
              <w:rPr>
                <w:rFonts w:hint="eastAsia" w:ascii="宋体" w:hAnsi="宋体" w:eastAsia="宋体" w:cs="宋体"/>
                <w:color w:val="auto"/>
                <w:sz w:val="24"/>
                <w:szCs w:val="24"/>
                <w:lang w:val="en-US" w:eastAsia="zh-CN"/>
              </w:rPr>
            </w:pPr>
          </w:p>
        </w:tc>
      </w:tr>
      <w:tr w14:paraId="1E4D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130CFA6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121" w:type="pct"/>
            <w:vAlign w:val="center"/>
          </w:tcPr>
          <w:p w14:paraId="1A03C11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护栏清洗车</w:t>
            </w:r>
          </w:p>
        </w:tc>
        <w:tc>
          <w:tcPr>
            <w:tcW w:w="1724" w:type="pct"/>
            <w:vAlign w:val="center"/>
          </w:tcPr>
          <w:p w14:paraId="5100F66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吨</w:t>
            </w:r>
          </w:p>
        </w:tc>
        <w:tc>
          <w:tcPr>
            <w:tcW w:w="733" w:type="pct"/>
            <w:vAlign w:val="center"/>
          </w:tcPr>
          <w:p w14:paraId="43A1409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continue"/>
            <w:vAlign w:val="center"/>
          </w:tcPr>
          <w:p w14:paraId="1A9E5065">
            <w:pPr>
              <w:bidi w:val="0"/>
              <w:jc w:val="center"/>
              <w:rPr>
                <w:rFonts w:hint="eastAsia" w:ascii="宋体" w:hAnsi="宋体" w:eastAsia="宋体" w:cs="宋体"/>
                <w:color w:val="auto"/>
                <w:sz w:val="24"/>
                <w:szCs w:val="24"/>
                <w:lang w:val="en-US" w:eastAsia="zh-CN"/>
              </w:rPr>
            </w:pPr>
          </w:p>
        </w:tc>
      </w:tr>
      <w:tr w14:paraId="417D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5CDD7D1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121" w:type="pct"/>
            <w:vAlign w:val="center"/>
          </w:tcPr>
          <w:p w14:paraId="7917BB7A">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小型清扫车（用于慢车道作业）</w:t>
            </w:r>
          </w:p>
        </w:tc>
        <w:tc>
          <w:tcPr>
            <w:tcW w:w="1724" w:type="pct"/>
            <w:shd w:val="clear" w:color="auto" w:fill="auto"/>
            <w:vAlign w:val="center"/>
          </w:tcPr>
          <w:p w14:paraId="77720619">
            <w:pPr>
              <w:bidi w:val="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5吨</w:t>
            </w:r>
            <w:r>
              <w:rPr>
                <w:rFonts w:hint="eastAsia" w:ascii="宋体" w:hAnsi="宋体" w:cs="宋体"/>
                <w:color w:val="auto"/>
                <w:sz w:val="24"/>
                <w:szCs w:val="24"/>
                <w:lang w:val="en-US" w:eastAsia="zh-CN"/>
              </w:rPr>
              <w:t>或新能源</w:t>
            </w:r>
          </w:p>
        </w:tc>
        <w:tc>
          <w:tcPr>
            <w:tcW w:w="733" w:type="pct"/>
            <w:vAlign w:val="center"/>
          </w:tcPr>
          <w:p w14:paraId="1EA32478">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continue"/>
            <w:vAlign w:val="center"/>
          </w:tcPr>
          <w:p w14:paraId="7C546A67">
            <w:pPr>
              <w:bidi w:val="0"/>
              <w:jc w:val="center"/>
              <w:rPr>
                <w:rFonts w:hint="eastAsia" w:ascii="宋体" w:hAnsi="宋体" w:eastAsia="宋体" w:cs="宋体"/>
                <w:color w:val="auto"/>
                <w:sz w:val="24"/>
                <w:szCs w:val="24"/>
                <w:lang w:val="en-US" w:eastAsia="zh-CN"/>
              </w:rPr>
            </w:pPr>
          </w:p>
        </w:tc>
      </w:tr>
      <w:tr w14:paraId="6960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598A495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121" w:type="pct"/>
            <w:vAlign w:val="center"/>
          </w:tcPr>
          <w:p w14:paraId="6AE41BC0">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机械化除雪设备</w:t>
            </w:r>
          </w:p>
        </w:tc>
        <w:tc>
          <w:tcPr>
            <w:tcW w:w="1724" w:type="pct"/>
            <w:vAlign w:val="center"/>
          </w:tcPr>
          <w:p w14:paraId="01ECC54A">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（除雪车、大型铲车、加装式铲雪板、滚雪装置、加装式除雪板或山猫、凯斯等大型除雪设备）</w:t>
            </w:r>
          </w:p>
        </w:tc>
        <w:tc>
          <w:tcPr>
            <w:tcW w:w="733" w:type="pct"/>
            <w:vAlign w:val="center"/>
          </w:tcPr>
          <w:p w14:paraId="41F939EF">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1台</w:t>
            </w:r>
          </w:p>
        </w:tc>
        <w:tc>
          <w:tcPr>
            <w:tcW w:w="942" w:type="pct"/>
            <w:vMerge w:val="continue"/>
            <w:vAlign w:val="center"/>
          </w:tcPr>
          <w:p w14:paraId="4B212F9F">
            <w:pPr>
              <w:bidi w:val="0"/>
              <w:jc w:val="center"/>
              <w:rPr>
                <w:rFonts w:hint="eastAsia" w:ascii="宋体" w:hAnsi="宋体" w:eastAsia="宋体" w:cs="宋体"/>
                <w:color w:val="auto"/>
                <w:sz w:val="24"/>
                <w:szCs w:val="24"/>
                <w:lang w:val="en-US" w:eastAsia="zh-CN"/>
              </w:rPr>
            </w:pPr>
          </w:p>
        </w:tc>
      </w:tr>
      <w:tr w14:paraId="349D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7F139EFD">
            <w:pPr>
              <w:bidi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121" w:type="pct"/>
            <w:vAlign w:val="center"/>
          </w:tcPr>
          <w:p w14:paraId="5D1168B9">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巡查保障车</w:t>
            </w:r>
          </w:p>
        </w:tc>
        <w:tc>
          <w:tcPr>
            <w:tcW w:w="1724" w:type="pct"/>
            <w:vAlign w:val="center"/>
          </w:tcPr>
          <w:p w14:paraId="02275972">
            <w:pPr>
              <w:bidi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70F59695">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≥1辆</w:t>
            </w:r>
          </w:p>
        </w:tc>
        <w:tc>
          <w:tcPr>
            <w:tcW w:w="942" w:type="pct"/>
            <w:vMerge w:val="continue"/>
            <w:vAlign w:val="center"/>
          </w:tcPr>
          <w:p w14:paraId="5CB669B4">
            <w:pPr>
              <w:bidi w:val="0"/>
              <w:jc w:val="center"/>
              <w:rPr>
                <w:rFonts w:hint="eastAsia" w:ascii="宋体" w:hAnsi="宋体" w:eastAsia="宋体" w:cs="宋体"/>
                <w:color w:val="auto"/>
                <w:sz w:val="24"/>
                <w:szCs w:val="24"/>
                <w:lang w:val="en-US" w:eastAsia="zh-CN"/>
              </w:rPr>
            </w:pPr>
          </w:p>
        </w:tc>
      </w:tr>
      <w:tr w14:paraId="785D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21AF1D49">
            <w:pPr>
              <w:bidi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1121" w:type="pct"/>
            <w:vAlign w:val="center"/>
          </w:tcPr>
          <w:p w14:paraId="23EDDCF4">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快速保洁车三轮车</w:t>
            </w:r>
          </w:p>
        </w:tc>
        <w:tc>
          <w:tcPr>
            <w:tcW w:w="1724" w:type="pct"/>
            <w:vAlign w:val="center"/>
          </w:tcPr>
          <w:p w14:paraId="41E5741B">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7504F45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台</w:t>
            </w:r>
          </w:p>
        </w:tc>
        <w:tc>
          <w:tcPr>
            <w:tcW w:w="942" w:type="pct"/>
            <w:vMerge w:val="continue"/>
            <w:vAlign w:val="center"/>
          </w:tcPr>
          <w:p w14:paraId="28018985">
            <w:pPr>
              <w:bidi w:val="0"/>
              <w:jc w:val="center"/>
              <w:rPr>
                <w:rFonts w:hint="eastAsia" w:ascii="宋体" w:hAnsi="宋体" w:eastAsia="宋体" w:cs="宋体"/>
                <w:color w:val="auto"/>
                <w:sz w:val="24"/>
                <w:szCs w:val="24"/>
                <w:lang w:val="en-US" w:eastAsia="zh-CN"/>
              </w:rPr>
            </w:pPr>
          </w:p>
        </w:tc>
      </w:tr>
      <w:tr w14:paraId="6DC0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0DCA00D9">
            <w:pPr>
              <w:bidi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w:t>
            </w:r>
          </w:p>
        </w:tc>
        <w:tc>
          <w:tcPr>
            <w:tcW w:w="1121" w:type="pct"/>
            <w:vAlign w:val="center"/>
          </w:tcPr>
          <w:p w14:paraId="0D5CA8C5">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割灌机</w:t>
            </w:r>
          </w:p>
        </w:tc>
        <w:tc>
          <w:tcPr>
            <w:tcW w:w="1724" w:type="pct"/>
            <w:vAlign w:val="center"/>
          </w:tcPr>
          <w:p w14:paraId="3E72E751">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1AF95C90">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2台</w:t>
            </w:r>
          </w:p>
        </w:tc>
        <w:tc>
          <w:tcPr>
            <w:tcW w:w="942" w:type="pct"/>
            <w:vMerge w:val="restart"/>
            <w:vAlign w:val="center"/>
          </w:tcPr>
          <w:p w14:paraId="1DB42EBC">
            <w:pPr>
              <w:bidi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绿化设备</w:t>
            </w:r>
          </w:p>
        </w:tc>
      </w:tr>
      <w:tr w14:paraId="0FBB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024306A5">
            <w:pPr>
              <w:bidi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1121" w:type="pct"/>
            <w:vAlign w:val="center"/>
          </w:tcPr>
          <w:p w14:paraId="6E586630">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绿篱机（修剪机）</w:t>
            </w:r>
          </w:p>
        </w:tc>
        <w:tc>
          <w:tcPr>
            <w:tcW w:w="1724" w:type="pct"/>
            <w:vAlign w:val="center"/>
          </w:tcPr>
          <w:p w14:paraId="611A7116">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222AA811">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2台</w:t>
            </w:r>
          </w:p>
        </w:tc>
        <w:tc>
          <w:tcPr>
            <w:tcW w:w="942" w:type="pct"/>
            <w:vMerge w:val="continue"/>
            <w:vAlign w:val="center"/>
          </w:tcPr>
          <w:p w14:paraId="1B18D6C4">
            <w:pPr>
              <w:bidi w:val="0"/>
              <w:jc w:val="center"/>
              <w:rPr>
                <w:rFonts w:hint="eastAsia" w:ascii="宋体" w:hAnsi="宋体" w:eastAsia="宋体" w:cs="宋体"/>
                <w:color w:val="auto"/>
                <w:sz w:val="24"/>
                <w:szCs w:val="24"/>
                <w:lang w:val="en-US" w:eastAsia="zh-CN"/>
              </w:rPr>
            </w:pPr>
          </w:p>
        </w:tc>
      </w:tr>
      <w:tr w14:paraId="5D48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74C4F427">
            <w:pPr>
              <w:bidi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w:t>
            </w:r>
          </w:p>
        </w:tc>
        <w:tc>
          <w:tcPr>
            <w:tcW w:w="1121" w:type="pct"/>
            <w:vAlign w:val="center"/>
          </w:tcPr>
          <w:p w14:paraId="19C37E7B">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高空作业登高车</w:t>
            </w:r>
          </w:p>
        </w:tc>
        <w:tc>
          <w:tcPr>
            <w:tcW w:w="1724" w:type="pct"/>
            <w:vAlign w:val="center"/>
          </w:tcPr>
          <w:p w14:paraId="1BD24AFC">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5572E80A">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1台</w:t>
            </w:r>
          </w:p>
        </w:tc>
        <w:tc>
          <w:tcPr>
            <w:tcW w:w="942" w:type="pct"/>
            <w:vMerge w:val="continue"/>
            <w:vAlign w:val="center"/>
          </w:tcPr>
          <w:p w14:paraId="712B8200">
            <w:pPr>
              <w:bidi w:val="0"/>
              <w:jc w:val="center"/>
              <w:rPr>
                <w:rFonts w:hint="eastAsia" w:ascii="宋体" w:hAnsi="宋体" w:eastAsia="宋体" w:cs="宋体"/>
                <w:color w:val="auto"/>
                <w:sz w:val="24"/>
                <w:szCs w:val="24"/>
                <w:lang w:val="en-US" w:eastAsia="zh-CN"/>
              </w:rPr>
            </w:pPr>
          </w:p>
        </w:tc>
      </w:tr>
    </w:tbl>
    <w:p w14:paraId="27DBAE91">
      <w:pPr>
        <w:widowControl/>
        <w:numPr>
          <w:ilvl w:val="0"/>
          <w:numId w:val="0"/>
        </w:numPr>
        <w:spacing w:line="6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注：以上设备要求中标供应商须在收到中标通知书之日起10天内自行配备到位，并在投标文件中承诺，</w:t>
      </w:r>
      <w:r>
        <w:rPr>
          <w:rFonts w:hint="eastAsia" w:ascii="宋体" w:hAnsi="宋体" w:eastAsia="宋体" w:cs="宋体"/>
          <w:color w:val="auto"/>
          <w:sz w:val="24"/>
          <w:szCs w:val="24"/>
          <w:highlight w:val="none"/>
        </w:rPr>
        <w:t>否则视为不满足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以上设备不得在本街道中标区块以外与其他乡镇（街道）承包的服务区域共用。</w:t>
      </w:r>
    </w:p>
    <w:p w14:paraId="5B6AB78D">
      <w:pPr>
        <w:widowControl/>
        <w:numPr>
          <w:ilvl w:val="0"/>
          <w:numId w:val="0"/>
        </w:numPr>
        <w:spacing w:line="600" w:lineRule="exact"/>
        <w:rPr>
          <w:rFonts w:hint="eastAsia" w:ascii="宋体" w:hAnsi="宋体" w:eastAsia="宋体" w:cs="宋体"/>
          <w:b/>
          <w:color w:val="auto"/>
          <w:spacing w:val="0"/>
          <w:position w:val="0"/>
          <w:sz w:val="24"/>
          <w:szCs w:val="24"/>
          <w:shd w:val="clear" w:fill="auto"/>
          <w:lang w:val="en-US" w:eastAsia="zh-CN"/>
        </w:rPr>
      </w:pPr>
      <w:r>
        <w:rPr>
          <w:rFonts w:hint="eastAsia" w:ascii="宋体" w:hAnsi="宋体" w:eastAsia="宋体" w:cs="宋体"/>
          <w:b/>
          <w:color w:val="auto"/>
          <w:spacing w:val="0"/>
          <w:position w:val="0"/>
          <w:sz w:val="24"/>
          <w:szCs w:val="24"/>
          <w:shd w:val="clear" w:fill="auto"/>
          <w:lang w:val="en-US" w:eastAsia="zh-CN"/>
        </w:rPr>
        <w:t>六、服务标准</w:t>
      </w:r>
    </w:p>
    <w:p w14:paraId="0602F1D7">
      <w:pPr>
        <w:pStyle w:val="5"/>
        <w:numPr>
          <w:ilvl w:val="0"/>
          <w:numId w:val="0"/>
        </w:numPr>
        <w:ind w:firstLine="482"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val="en-US"/>
        </w:rPr>
        <w:t>道路保洁</w:t>
      </w:r>
    </w:p>
    <w:p w14:paraId="6B3294C2">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主要依据余城长效办〔2021〕1号关于印发《余杭区“美丽杭州”创建暨“‘迎亚运’城市环境大整治、城市面貌大提升”长效管理区属部门考核办法（试行）》的通知、余城管（2020）50号“关于提升余杭区市政、景观灯、环卫保洁管养定额标准及养护标准的的通知、</w:t>
      </w:r>
      <w:r>
        <w:rPr>
          <w:rFonts w:hint="eastAsia" w:ascii="宋体" w:hAnsi="宋体" w:eastAsia="宋体" w:cs="宋体"/>
          <w:color w:val="auto"/>
          <w:sz w:val="24"/>
          <w:szCs w:val="24"/>
          <w:lang w:val="en-US" w:eastAsia="zh-CN"/>
        </w:rPr>
        <w:t>仓前</w:t>
      </w:r>
      <w:r>
        <w:rPr>
          <w:rFonts w:hint="eastAsia" w:ascii="宋体" w:hAnsi="宋体" w:eastAsia="宋体" w:cs="宋体"/>
          <w:color w:val="auto"/>
          <w:sz w:val="24"/>
          <w:szCs w:val="24"/>
        </w:rPr>
        <w:t>街道其他相关规定执行，如上级主管有新文件的，按新文件执行，（详见附件，以上文件要求不一致时，以标准高的为准）部分综合养护标准具体如下：</w:t>
      </w:r>
    </w:p>
    <w:p w14:paraId="7CED0F8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一类道路保洁标准：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24小时保洁，人均保洁面积5000㎡，每日洒水5次(夏季6次)、机械化清扫3次（夏季4次），每周清洗道路2次。</w:t>
      </w:r>
    </w:p>
    <w:p w14:paraId="60CC079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二类道路保洁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16小时保洁，人均保洁面积5500㎡，每日洒水4次(夏季6次)、机械化清扫3次（夏季4次），每周清洗道路2次。</w:t>
      </w:r>
    </w:p>
    <w:p w14:paraId="79645B8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三类道路保洁标准：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6:30前，其它季节上午7点前）完成第一遍普扫，然后进行全天巡回保洁以及下午的一次普扫。每日14小时保洁，人均保洁面积6000㎡，每日洒水4次(夏季6次)、机械化清扫3次（夏季4次），每周清洗道路2次。</w:t>
      </w:r>
    </w:p>
    <w:p w14:paraId="17BF4DD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其他类道路保洁标准：①路面无垃圾、无杂物、无积泥（沙石），晴天无积水。②雨水井沟眼畅通干净。③绿化内清洁无垃圾、杂物。④环卫设施无破损，箱（桶、房）表面及周边整洁。⑤有色垃圾滞留时间不得超过30分钟。⑥在规定时间内（夏季6:30前，其它季节上午7点前）完成第一遍普扫，然后进行全天巡回保洁以及下午的一次普扫。每日14小时保洁，人均保洁面积5000㎡，每日洒水1次(夏季2次)、机械化清扫1次（夏季2次），适时组织冲洗道路。</w:t>
      </w:r>
    </w:p>
    <w:p w14:paraId="3BF27E34">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5、管理要求：</w:t>
      </w:r>
    </w:p>
    <w:p w14:paraId="7C6EA88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在保洁作业中投入的机械设备、人员配置等必须与投标文件中所承诺的数量规格相符合。加强日常作业质量管理，做好作业质量自查日记，每月25日前报送工作报表。</w:t>
      </w:r>
    </w:p>
    <w:p w14:paraId="04337BD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5.2规范管理、文明作业、自觉接受招标单位及其上级各部门领导的检查和社会监督，对出现的问题要及时整改。</w:t>
      </w:r>
    </w:p>
    <w:p w14:paraId="1D6708D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自行负责，并依照法律法规妥善处理（事故情况应及时告知招标单位）。</w:t>
      </w:r>
    </w:p>
    <w:p w14:paraId="531A561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不得以任何名义擅自向沿街单位和个人收取环卫保洁费用。</w:t>
      </w:r>
    </w:p>
    <w:p w14:paraId="457E89E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5.5果壳箱应定期保养保持整洁完好无缺失，承包期间因作业操作不善或其它原因造成破损、缺失、被盗的，由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承担费用并负责修复或更新（果壳箱更换款式应保持原样，或经采购人同意后调整款式）。</w:t>
      </w:r>
    </w:p>
    <w:p w14:paraId="0E5FCFE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5.6机动、人力车辆应按时冲洗保养保持外观整洁，无抛洒滴漏、无满溢、无吊挂，车辆符合环卫标准化管理要求。</w:t>
      </w:r>
    </w:p>
    <w:p w14:paraId="4D9E1B2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5.7垃圾应倾倒在指定的垃圾中转站，不得焚烧垃圾、树叶，确需垃圾二次转运的应在指定地点进行，不得直接在保洁道路上进行。</w:t>
      </w:r>
    </w:p>
    <w:p w14:paraId="342A5EF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5.8如遇渣土抛洒污染路面等情况，</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应及时举报执法部门，同时配合相关部门进行道路清理冲洗。</w:t>
      </w:r>
    </w:p>
    <w:p w14:paraId="0A1ADBF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5.9专用作业车辆要有反光标志、有编号、有监督电话、有责任单位、车辆停放场所</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自行负责解决。</w:t>
      </w:r>
    </w:p>
    <w:p w14:paraId="059F7F1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5.10本着以人为本、关爱职工的理念，严格遵守有关劳动法规，落实《杭州市人民政府办公厅关于进一步解决环卫工人实际困难，保障其合法权益的意见》精神。如因违法、违规并造成不良后果的，其责任由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自负。</w:t>
      </w:r>
    </w:p>
    <w:p w14:paraId="7BDF1B0E">
      <w:pPr>
        <w:pStyle w:val="3"/>
        <w:ind w:left="0" w:lef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序化管理</w:t>
      </w:r>
    </w:p>
    <w:p w14:paraId="3F23A614">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1、服务范围及工作要求：</w:t>
      </w:r>
    </w:p>
    <w:p w14:paraId="15C18BB1">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(1)负责辖区内停车场及路面公共泊位管理，做好车辆引导工作。</w:t>
      </w:r>
    </w:p>
    <w:p w14:paraId="3DFE0693">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(2)协助仓前街道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加强对重点区域、重点部位的序化维护值守；</w:t>
      </w:r>
    </w:p>
    <w:p w14:paraId="310313BE">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(3)协助仓前街</w:t>
      </w:r>
      <w:r>
        <w:rPr>
          <w:rFonts w:hint="eastAsia" w:ascii="宋体" w:hAnsi="宋体" w:cs="宋体"/>
          <w:color w:val="auto"/>
          <w:sz w:val="24"/>
          <w:szCs w:val="24"/>
          <w:lang w:val="en-US" w:eastAsia="zh-CN"/>
        </w:rPr>
        <w:t>道办事处</w:t>
      </w:r>
      <w:r>
        <w:rPr>
          <w:rFonts w:hint="eastAsia" w:ascii="宋体" w:hAnsi="宋体" w:eastAsia="宋体" w:cs="宋体"/>
          <w:color w:val="auto"/>
          <w:sz w:val="24"/>
          <w:szCs w:val="24"/>
          <w:lang w:val="en-US" w:eastAsia="zh-CN"/>
        </w:rPr>
        <w:t>开展安全防范的宣传教育。</w:t>
      </w:r>
    </w:p>
    <w:p w14:paraId="75128DD7">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(4)协助仓前街道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开展辖区内重点路段进行巡查，积极督促相关单位、人员开展整改，并将相关信息报送仓前街道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w:t>
      </w:r>
    </w:p>
    <w:p w14:paraId="6C42825A">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(5)协助仓前街道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开展重大活动、重大节日的安保工作，增强人民群众的安全感和满意度；</w:t>
      </w:r>
    </w:p>
    <w:p w14:paraId="60575C1C">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(6)协助仓前街道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加强辖区的城市综合管理；</w:t>
      </w:r>
    </w:p>
    <w:p w14:paraId="10FF8324">
      <w:pPr>
        <w:pStyle w:val="2"/>
        <w:ind w:left="0" w:leftChars="0" w:firstLine="480"/>
        <w:rPr>
          <w:rFonts w:hint="default"/>
          <w:lang w:val="en-US" w:eastAsia="zh-CN"/>
        </w:rPr>
      </w:pPr>
      <w:r>
        <w:rPr>
          <w:rFonts w:hint="eastAsia" w:cs="宋体"/>
          <w:color w:val="auto"/>
          <w:sz w:val="24"/>
          <w:szCs w:val="24"/>
          <w:lang w:val="en-US" w:eastAsia="zh-CN"/>
        </w:rPr>
        <w:t>（7）协助仓兴中心小学早晚高峰序化引导。</w:t>
      </w:r>
    </w:p>
    <w:p w14:paraId="0BD2E411">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)主动发现各类违法犯罪线索并及时报告仓前街道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w:t>
      </w:r>
    </w:p>
    <w:p w14:paraId="44248F9F">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)完成仓前街道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交办的其他各类工作任务。</w:t>
      </w:r>
    </w:p>
    <w:p w14:paraId="0863211C">
      <w:pPr>
        <w:pStyle w:val="5"/>
        <w:numPr>
          <w:ilvl w:val="0"/>
          <w:numId w:val="0"/>
        </w:numPr>
        <w:ind w:left="0" w:leftChars="0" w:firstLine="482"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（三）零星维修</w:t>
      </w:r>
    </w:p>
    <w:p w14:paraId="11558A1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1、总体标准：①</w:t>
      </w:r>
      <w:r>
        <w:rPr>
          <w:rFonts w:hint="eastAsia" w:ascii="宋体" w:hAnsi="宋体" w:eastAsia="宋体" w:cs="宋体"/>
          <w:color w:val="auto"/>
          <w:sz w:val="24"/>
          <w:szCs w:val="24"/>
          <w:highlight w:val="none"/>
          <w:lang w:val="en-US" w:eastAsia="zh-CN"/>
        </w:rPr>
        <w:t>负责单项单次材料费用在500元以内的零星维修工作，</w:t>
      </w:r>
      <w:r>
        <w:rPr>
          <w:rFonts w:hint="eastAsia" w:ascii="宋体" w:hAnsi="宋体" w:eastAsia="宋体" w:cs="宋体"/>
          <w:color w:val="auto"/>
          <w:sz w:val="24"/>
          <w:szCs w:val="24"/>
          <w:lang w:val="en-US" w:eastAsia="zh-CN"/>
        </w:rPr>
        <w:t>负责市政管网清污工作</w:t>
      </w:r>
      <w:r>
        <w:rPr>
          <w:rFonts w:hint="eastAsia" w:ascii="宋体" w:hAnsi="宋体" w:eastAsia="宋体" w:cs="宋体"/>
          <w:color w:val="auto"/>
          <w:sz w:val="24"/>
          <w:szCs w:val="24"/>
        </w:rPr>
        <w:t>。②管理制度落实，养护管理人员到位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维修、清污及时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③养护人员作业规范。④有防汛、抗台、抗雪等应急预案及措施。⑤档案资料齐全。</w:t>
      </w:r>
    </w:p>
    <w:p w14:paraId="0118CFF7">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2、市政亮化具体养护标准</w:t>
      </w:r>
    </w:p>
    <w:p w14:paraId="2A8EA0E3">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零星维修</w:t>
      </w:r>
      <w:r>
        <w:rPr>
          <w:rFonts w:hint="eastAsia" w:ascii="宋体" w:hAnsi="宋体" w:eastAsia="宋体" w:cs="宋体"/>
          <w:color w:val="auto"/>
          <w:sz w:val="24"/>
          <w:szCs w:val="24"/>
        </w:rPr>
        <w:t>标准：①</w:t>
      </w:r>
      <w:r>
        <w:rPr>
          <w:rFonts w:hint="eastAsia" w:ascii="宋体" w:hAnsi="宋体" w:eastAsia="宋体" w:cs="宋体"/>
          <w:color w:val="auto"/>
          <w:sz w:val="24"/>
          <w:szCs w:val="24"/>
          <w:lang w:val="en-US" w:eastAsia="zh-CN"/>
        </w:rPr>
        <w:t>市政</w:t>
      </w:r>
      <w:r>
        <w:rPr>
          <w:rFonts w:hint="eastAsia" w:ascii="宋体" w:hAnsi="宋体" w:cs="宋体"/>
          <w:color w:val="auto"/>
          <w:sz w:val="24"/>
          <w:szCs w:val="24"/>
          <w:lang w:val="en-US" w:eastAsia="zh-CN"/>
        </w:rPr>
        <w:t>管</w:t>
      </w:r>
      <w:r>
        <w:rPr>
          <w:rFonts w:hint="eastAsia" w:ascii="宋体" w:hAnsi="宋体" w:eastAsia="宋体" w:cs="宋体"/>
          <w:color w:val="auto"/>
          <w:sz w:val="24"/>
          <w:szCs w:val="24"/>
          <w:lang w:val="en-US" w:eastAsia="zh-CN"/>
        </w:rPr>
        <w:t>网</w:t>
      </w:r>
      <w:r>
        <w:rPr>
          <w:rFonts w:hint="eastAsia" w:ascii="宋体" w:hAnsi="宋体" w:eastAsia="宋体" w:cs="宋体"/>
          <w:color w:val="auto"/>
          <w:sz w:val="24"/>
          <w:szCs w:val="24"/>
        </w:rPr>
        <w:t>无阻水物，泄水孔、管道通畅，积泥深度不超过1/5管径；检查井安全防护网设置到位。②</w:t>
      </w:r>
      <w:r>
        <w:rPr>
          <w:rFonts w:hint="eastAsia" w:ascii="宋体" w:hAnsi="宋体" w:eastAsia="宋体" w:cs="宋体"/>
          <w:color w:val="auto"/>
          <w:sz w:val="24"/>
          <w:szCs w:val="24"/>
          <w:lang w:val="en-US" w:eastAsia="zh-CN"/>
        </w:rPr>
        <w:t>零星维修工作做到15分钟内响应，30分钟内到达现场，及时做好零星维修工作。</w:t>
      </w:r>
    </w:p>
    <w:p w14:paraId="5E8393E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3、服务要求：</w:t>
      </w:r>
    </w:p>
    <w:p w14:paraId="59DF8FDC">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本次招标范围内</w:t>
      </w:r>
      <w:r>
        <w:rPr>
          <w:rFonts w:hint="eastAsia" w:ascii="宋体" w:hAnsi="宋体" w:cs="宋体"/>
          <w:color w:val="auto"/>
          <w:sz w:val="24"/>
          <w:szCs w:val="24"/>
          <w:lang w:eastAsia="zh-CN"/>
        </w:rPr>
        <w:t>仓兴街钱神花园、太炎花苑小区以及沿线零星住宅区域全年市政管网清污</w:t>
      </w:r>
      <w:r>
        <w:rPr>
          <w:rFonts w:hint="eastAsia" w:ascii="宋体" w:hAnsi="宋体" w:eastAsia="宋体" w:cs="宋体"/>
          <w:color w:val="auto"/>
          <w:sz w:val="24"/>
          <w:szCs w:val="24"/>
        </w:rPr>
        <w:t>。</w:t>
      </w:r>
    </w:p>
    <w:p w14:paraId="4218A9F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投标人中标后，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签订安全生产责任书，责任书中明确提出，在养护期间所发生的任何安全事故一律由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不承担任何责任。</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会定期对安全生产进行检查，万一出现安全事故，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有义务帮助</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协调解决。</w:t>
      </w:r>
    </w:p>
    <w:p w14:paraId="63A502D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养护施工期间，对于原市政管道设施存在的问题，</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负有担负调查，分析原因。</w:t>
      </w:r>
    </w:p>
    <w:p w14:paraId="743BF3E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养护期内除不可抗力外，其他原因如偷盗，人为破坏，造成设施设备等损毁，由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负责维修，更换，由此产生的费用，由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承担。</w:t>
      </w:r>
    </w:p>
    <w:p w14:paraId="002E6CD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养护期内因不可抗力因素而导致的市政管道设施设备破坏，均由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负责维修，其费用由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承担。</w:t>
      </w:r>
    </w:p>
    <w:p w14:paraId="7608841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必须做好相关工作人员安全，文明的教育交底工作，交通安全、用电安全。尤其是如何避免养护中有毒气体的侵害，并为相关人员缴纳社保（养老，个人伤亡事故险等），日常养护工人禁止下井作业，如发生安全意外事故，一切责任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w:t>
      </w:r>
    </w:p>
    <w:p w14:paraId="6EEE46F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养护人员需统一服装，并有相应上岗证。</w:t>
      </w:r>
    </w:p>
    <w:p w14:paraId="5E5AC5B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响应时间：要求零星维修需在24小时内完成；大型维修需在21小时响应并提交维修施工方案。</w:t>
      </w:r>
    </w:p>
    <w:p w14:paraId="5BB25FAA">
      <w:pPr>
        <w:pStyle w:val="5"/>
        <w:numPr>
          <w:ilvl w:val="0"/>
          <w:numId w:val="0"/>
        </w:numPr>
        <w:ind w:left="0" w:leftChars="0" w:firstLine="482"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val="en-US"/>
        </w:rPr>
        <w:t>绿化养护</w:t>
      </w:r>
    </w:p>
    <w:p w14:paraId="576E201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作业内容：具体内容以《杭州市城区绿地养护质量标准》（杭园文[2003]42号）、《余杭区城市化管理范围内绿化、市政、保洁分级分类办法及相关养护标准的实施意见（试行）的通知》（余政办[2010]250号）中规定的作业标准和招标方要求执行。 </w:t>
      </w:r>
    </w:p>
    <w:p w14:paraId="74CAC17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2、公园绿地养护标准</w:t>
      </w:r>
    </w:p>
    <w:p w14:paraId="14C3392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总体标准：指公园绿地养护的整体质量，内容有植物养护、树木存活率、设施维护、土肥标准、病虫害防治标准、卫生标准及管理标准。</w:t>
      </w:r>
    </w:p>
    <w:p w14:paraId="7B17F7F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2.1植物养护标准：</w:t>
      </w:r>
    </w:p>
    <w:p w14:paraId="02D744A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2.1.1根据设计意图，养护要重视和体现植物造景，对植物群落进行合理养护，使植物季相分明，色彩丰富，生长茂盛，营造优美植物景观。</w:t>
      </w:r>
    </w:p>
    <w:p w14:paraId="7F02912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2.1.2随着植物生长的各个阶段，应不断进行调整与充实，使植物群落完整，层次丰富，四季有花，黄土不裸露，保持叶面清洁，有整体观赏效果。</w:t>
      </w:r>
    </w:p>
    <w:p w14:paraId="5D6F9A5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2.1.3花卉面积（含宿根花卉）不低于规定标准。</w:t>
      </w:r>
    </w:p>
    <w:p w14:paraId="35F5512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2.1.4树木及时修剪，无徒长枝、病虫枝、过密枝、枯枝、伤损枝；宿根植物及时翻种、断根、间删；植物无死株。</w:t>
      </w:r>
    </w:p>
    <w:p w14:paraId="0F5A5C1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2.1.5草坪生长茂盛，无空秃，无明显杂草，草坪边缘线清晰（及时切边），草高不超过8厘米，草坪土壤低于园路或侧石。</w:t>
      </w:r>
    </w:p>
    <w:p w14:paraId="6DEC6CD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2.1.6棚架、假山及垂直绿化管护合理，达到正常生长量。</w:t>
      </w:r>
    </w:p>
    <w:p w14:paraId="4A61551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2.1.7树木成活率标准：树木成活率98%以上；树木保存率100%。</w:t>
      </w:r>
    </w:p>
    <w:p w14:paraId="1414FFE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2.2设施维护标准：</w:t>
      </w:r>
    </w:p>
    <w:p w14:paraId="38AC5584">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2.2.1绿地附属设施完好、分布合理、放置整齐、保持清洁。</w:t>
      </w:r>
    </w:p>
    <w:p w14:paraId="361C890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2.2.2园路、铺装地坪平整，无大面积破损、无积水、无淤泥。</w:t>
      </w:r>
    </w:p>
    <w:p w14:paraId="65BD484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2.2.3 亭、廊及其它园林建筑保持安全，及时修缮，维护良好，无瓦草。</w:t>
      </w:r>
    </w:p>
    <w:p w14:paraId="2F7FCF5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2.2.4金属构件设施无明显锈斑、油漆剥落现象。</w:t>
      </w:r>
    </w:p>
    <w:p w14:paraId="153C5DF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2.2.5供水、供电、排水、喷灌等管网设施维护良好。</w:t>
      </w:r>
    </w:p>
    <w:p w14:paraId="5BF2D3C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2.2.6指示牌、禁令牌、宣传牌放置合理，醒目、完善、规范。</w:t>
      </w:r>
    </w:p>
    <w:p w14:paraId="4F9836E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2.3土肥标准：</w:t>
      </w:r>
    </w:p>
    <w:p w14:paraId="6263395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土壤疏松，无积水，根据植物生长特性及时施肥，充分利用有机肥，也可施复合肥，增强土壤肥力（要求一年施肥二次，每次用腐熟豆饼0.5kg／m2），改善土壤理化性状。</w:t>
      </w:r>
    </w:p>
    <w:p w14:paraId="16CA2B0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2.4病虫害防治标准：</w:t>
      </w:r>
    </w:p>
    <w:p w14:paraId="6B9CEF9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提倡综合防治，以防为主。病虫害危害应控制在以不影响观赏效果的范围之内。其中食叶性害虫危害的叶片，每株不超过5%；刺吸性害虫危害的叶片，每株不超过10%；无蛀干性害虫的活虫、活卵。</w:t>
      </w:r>
    </w:p>
    <w:p w14:paraId="39ACF62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2.5卫生标准：</w:t>
      </w:r>
    </w:p>
    <w:p w14:paraId="041A5DE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2.5.1绿地整洁，地面卫生，无垃圾杂物，墙面无涂刻、无招贴，建筑物上无蛛网。</w:t>
      </w:r>
    </w:p>
    <w:p w14:paraId="455D408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2.5.2绿地内水体透明度大于50公分、无漂浮杂物、无杂生水生植物。</w:t>
      </w:r>
    </w:p>
    <w:p w14:paraId="0F04AB3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2.5.3垃圾日产日清，无卫生死角，厕所冲洗设施完整，无积垢，无明显异味。   </w:t>
      </w:r>
    </w:p>
    <w:p w14:paraId="7AC2CD4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2.6管理标准：</w:t>
      </w:r>
    </w:p>
    <w:p w14:paraId="7286DAF4">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2.6.1绿地管理制度全面落实，档案资料完整、详尽，工作人员统一着装，挂牌上岗。</w:t>
      </w:r>
    </w:p>
    <w:p w14:paraId="68CDB27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2.6.2无违章占绿、无违法建设。</w:t>
      </w:r>
    </w:p>
    <w:p w14:paraId="4A09055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2.6.3秩序良好，无乱堆乱放、晾晒衣物现象。</w:t>
      </w:r>
    </w:p>
    <w:p w14:paraId="386CE25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2.7时花花坛的养护标准：</w:t>
      </w:r>
    </w:p>
    <w:p w14:paraId="27767F4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2.7.1布置效果：按设计精心养护，有全年用花计划，做到四季有花，花期整齐，图案美观，布置效果良好。</w:t>
      </w:r>
    </w:p>
    <w:p w14:paraId="08F079C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2.7.2花卉生长：花卉植株生长健壮，花色艳丽，始花期方可上花坛种植，株行距适宜，不露底土。无缺株倒伏，无枯枝残花，无杂草垃圾。</w:t>
      </w:r>
    </w:p>
    <w:p w14:paraId="692CCFE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2.8常绿草草坪的养护标准：</w:t>
      </w:r>
    </w:p>
    <w:p w14:paraId="203B0CE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2.8.1整体效果：草种基本纯正，生长茂盛，有一定厚度，草根不裸露；草坪无明显枯黄现象，草高不超过6cm；草坪边缘线清晰。</w:t>
      </w:r>
    </w:p>
    <w:p w14:paraId="4E4A904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2.8.2养护要求：草坪基本无杂草、无空秃，护栏等防护设施完好美观；草坪保持整洁，不得有石块、果壳纸屑及其它垃圾。</w:t>
      </w:r>
    </w:p>
    <w:p w14:paraId="2F67F6B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2.9具体养护标准</w:t>
      </w:r>
    </w:p>
    <w:tbl>
      <w:tblPr>
        <w:tblStyle w:val="62"/>
        <w:tblW w:w="5007" w:type="pct"/>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76"/>
        <w:gridCol w:w="4019"/>
        <w:gridCol w:w="4176"/>
      </w:tblGrid>
      <w:tr w14:paraId="7052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38877D1A">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分级标准类别</w:t>
            </w:r>
          </w:p>
        </w:tc>
        <w:tc>
          <w:tcPr>
            <w:tcW w:w="2056" w:type="pct"/>
            <w:vAlign w:val="center"/>
          </w:tcPr>
          <w:p w14:paraId="5C5CA42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一级标准</w:t>
            </w:r>
          </w:p>
        </w:tc>
        <w:tc>
          <w:tcPr>
            <w:tcW w:w="2136" w:type="pct"/>
            <w:vAlign w:val="center"/>
          </w:tcPr>
          <w:p w14:paraId="0E90F5E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二级标准</w:t>
            </w:r>
          </w:p>
        </w:tc>
      </w:tr>
      <w:tr w14:paraId="6571F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Merge w:val="restart"/>
            <w:vAlign w:val="center"/>
          </w:tcPr>
          <w:p w14:paraId="543C1C13">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植物</w:t>
            </w:r>
          </w:p>
        </w:tc>
        <w:tc>
          <w:tcPr>
            <w:tcW w:w="2056" w:type="pct"/>
            <w:vAlign w:val="center"/>
          </w:tcPr>
          <w:p w14:paraId="4F284CBF">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生长势旺盛</w:t>
            </w:r>
          </w:p>
        </w:tc>
        <w:tc>
          <w:tcPr>
            <w:tcW w:w="2136" w:type="pct"/>
            <w:vAlign w:val="center"/>
          </w:tcPr>
          <w:p w14:paraId="25F3CB5E">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生长势好</w:t>
            </w:r>
          </w:p>
        </w:tc>
      </w:tr>
      <w:tr w14:paraId="60152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Merge w:val="continue"/>
            <w:vAlign w:val="center"/>
          </w:tcPr>
          <w:p w14:paraId="4DFD358D">
            <w:pPr>
              <w:widowControl/>
              <w:spacing w:line="240" w:lineRule="auto"/>
              <w:ind w:left="0" w:leftChars="0" w:firstLine="0" w:firstLineChars="0"/>
              <w:jc w:val="center"/>
              <w:rPr>
                <w:rFonts w:hint="eastAsia" w:ascii="宋体" w:hAnsi="宋体" w:eastAsia="宋体" w:cs="宋体"/>
                <w:color w:val="auto"/>
                <w:sz w:val="24"/>
                <w:szCs w:val="24"/>
              </w:rPr>
            </w:pPr>
          </w:p>
        </w:tc>
        <w:tc>
          <w:tcPr>
            <w:tcW w:w="2056" w:type="pct"/>
            <w:vAlign w:val="center"/>
          </w:tcPr>
          <w:p w14:paraId="6F057C7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树形完美</w:t>
            </w:r>
          </w:p>
        </w:tc>
        <w:tc>
          <w:tcPr>
            <w:tcW w:w="2136" w:type="pct"/>
            <w:vAlign w:val="center"/>
          </w:tcPr>
          <w:p w14:paraId="74454245">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树形良好</w:t>
            </w:r>
          </w:p>
        </w:tc>
      </w:tr>
      <w:tr w14:paraId="41C5D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0C19527A">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杂草控制</w:t>
            </w:r>
          </w:p>
        </w:tc>
        <w:tc>
          <w:tcPr>
            <w:tcW w:w="2056" w:type="pct"/>
            <w:vAlign w:val="center"/>
          </w:tcPr>
          <w:p w14:paraId="26335450">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基本无杂草</w:t>
            </w:r>
          </w:p>
        </w:tc>
        <w:tc>
          <w:tcPr>
            <w:tcW w:w="2136" w:type="pct"/>
            <w:vAlign w:val="center"/>
          </w:tcPr>
          <w:p w14:paraId="7EAC85D1">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无大型和缠绕性、攀缘性杂草。另星区域的杂草控制在5cm以下</w:t>
            </w:r>
          </w:p>
        </w:tc>
      </w:tr>
      <w:tr w14:paraId="584F0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blCellSpacing w:w="0" w:type="dxa"/>
          <w:jc w:val="center"/>
        </w:trPr>
        <w:tc>
          <w:tcPr>
            <w:tcW w:w="806" w:type="pct"/>
            <w:vMerge w:val="restart"/>
            <w:vAlign w:val="center"/>
          </w:tcPr>
          <w:p w14:paraId="4F31C43E">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病虫害控制</w:t>
            </w:r>
          </w:p>
        </w:tc>
        <w:tc>
          <w:tcPr>
            <w:tcW w:w="2056" w:type="pct"/>
            <w:vAlign w:val="center"/>
          </w:tcPr>
          <w:p w14:paraId="604E7F3E">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食叶性害虫危害的叶片每株小于5%</w:t>
            </w:r>
          </w:p>
        </w:tc>
        <w:tc>
          <w:tcPr>
            <w:tcW w:w="2136" w:type="pct"/>
            <w:vAlign w:val="center"/>
          </w:tcPr>
          <w:p w14:paraId="5CADAF72">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食叶性害虫危害的叶片每株小于10%</w:t>
            </w:r>
          </w:p>
        </w:tc>
      </w:tr>
      <w:tr w14:paraId="1B643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Merge w:val="continue"/>
            <w:vAlign w:val="center"/>
          </w:tcPr>
          <w:p w14:paraId="611C757B">
            <w:pPr>
              <w:widowControl/>
              <w:spacing w:line="240" w:lineRule="auto"/>
              <w:ind w:left="0" w:leftChars="0" w:firstLine="0" w:firstLineChars="0"/>
              <w:jc w:val="center"/>
              <w:rPr>
                <w:rFonts w:hint="eastAsia" w:ascii="宋体" w:hAnsi="宋体" w:eastAsia="宋体" w:cs="宋体"/>
                <w:color w:val="auto"/>
                <w:sz w:val="24"/>
                <w:szCs w:val="24"/>
              </w:rPr>
            </w:pPr>
          </w:p>
        </w:tc>
        <w:tc>
          <w:tcPr>
            <w:tcW w:w="2056" w:type="pct"/>
            <w:vAlign w:val="center"/>
          </w:tcPr>
          <w:p w14:paraId="53ECFB7C">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刺吸性害虫危害的叶片每株小于10%</w:t>
            </w:r>
          </w:p>
        </w:tc>
        <w:tc>
          <w:tcPr>
            <w:tcW w:w="2136" w:type="pct"/>
            <w:vAlign w:val="center"/>
          </w:tcPr>
          <w:p w14:paraId="768528E8">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刺吸性害虫危害的叶片每株小于20%</w:t>
            </w:r>
          </w:p>
        </w:tc>
      </w:tr>
      <w:tr w14:paraId="7B807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Merge w:val="continue"/>
            <w:vAlign w:val="center"/>
          </w:tcPr>
          <w:p w14:paraId="3AFE64C6">
            <w:pPr>
              <w:widowControl/>
              <w:spacing w:line="240" w:lineRule="auto"/>
              <w:ind w:left="0" w:leftChars="0" w:firstLine="0" w:firstLineChars="0"/>
              <w:jc w:val="center"/>
              <w:rPr>
                <w:rFonts w:hint="eastAsia" w:ascii="宋体" w:hAnsi="宋体" w:eastAsia="宋体" w:cs="宋体"/>
                <w:color w:val="auto"/>
                <w:sz w:val="24"/>
                <w:szCs w:val="24"/>
              </w:rPr>
            </w:pPr>
          </w:p>
        </w:tc>
        <w:tc>
          <w:tcPr>
            <w:tcW w:w="2056" w:type="pct"/>
            <w:vAlign w:val="center"/>
          </w:tcPr>
          <w:p w14:paraId="442D6AAB">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无蛀干性害虫危害</w:t>
            </w:r>
          </w:p>
        </w:tc>
        <w:tc>
          <w:tcPr>
            <w:tcW w:w="2136" w:type="pct"/>
            <w:vAlign w:val="center"/>
          </w:tcPr>
          <w:p w14:paraId="34067ACC">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蛀干性害虫危害率小于5%</w:t>
            </w:r>
          </w:p>
        </w:tc>
      </w:tr>
      <w:tr w14:paraId="5C3BB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7EA1C755">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时花花坛</w:t>
            </w:r>
          </w:p>
        </w:tc>
        <w:tc>
          <w:tcPr>
            <w:tcW w:w="2056" w:type="pct"/>
            <w:vAlign w:val="center"/>
          </w:tcPr>
          <w:p w14:paraId="57864FE1">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月月有花，花期整齐，图案美观</w:t>
            </w:r>
          </w:p>
        </w:tc>
        <w:tc>
          <w:tcPr>
            <w:tcW w:w="2136" w:type="pct"/>
            <w:vAlign w:val="center"/>
          </w:tcPr>
          <w:p w14:paraId="3D72EBBD">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四季有花，花期整齐，整体效果好</w:t>
            </w:r>
          </w:p>
        </w:tc>
      </w:tr>
      <w:tr w14:paraId="17AFA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3C445E2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草坪</w:t>
            </w:r>
          </w:p>
        </w:tc>
        <w:tc>
          <w:tcPr>
            <w:tcW w:w="2056" w:type="pct"/>
            <w:vAlign w:val="center"/>
          </w:tcPr>
          <w:p w14:paraId="1893E0D9">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草种纯，无空秃.草高不得超过8cm，常绿草高不得超过6cm，生长季节不枯黄</w:t>
            </w:r>
          </w:p>
        </w:tc>
        <w:tc>
          <w:tcPr>
            <w:tcW w:w="2136" w:type="pct"/>
            <w:vAlign w:val="center"/>
          </w:tcPr>
          <w:p w14:paraId="1353E381">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草种基本纯，草坪覆盖率应大于95%，中心区不得有空秃现象。草高不得超过8cm，常绿草高不得超过6cm</w:t>
            </w:r>
          </w:p>
        </w:tc>
      </w:tr>
      <w:tr w14:paraId="5578C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6E996B4C">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设施、卫生</w:t>
            </w:r>
          </w:p>
        </w:tc>
        <w:tc>
          <w:tcPr>
            <w:tcW w:w="2056" w:type="pct"/>
            <w:vAlign w:val="center"/>
          </w:tcPr>
          <w:p w14:paraId="61C7F42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完好，无损，整洁</w:t>
            </w:r>
          </w:p>
        </w:tc>
        <w:tc>
          <w:tcPr>
            <w:tcW w:w="2136" w:type="pct"/>
            <w:vAlign w:val="center"/>
          </w:tcPr>
          <w:p w14:paraId="301702A2">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基本完好，整洁</w:t>
            </w:r>
          </w:p>
        </w:tc>
      </w:tr>
    </w:tbl>
    <w:p w14:paraId="70CCFFB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3行道树养护标准</w:t>
      </w:r>
    </w:p>
    <w:p w14:paraId="5C24455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总体标准：指行道树养护的整体质量，内容有养护质量、树木存活率、设施维护、土肥标准、病虫害防治标准及管理标准。</w:t>
      </w:r>
    </w:p>
    <w:p w14:paraId="7894A0E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3.1养护质量：</w:t>
      </w:r>
    </w:p>
    <w:p w14:paraId="3981B62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3.1.1植株树冠丰满、完整、茂盛，骨架均匀、树干挺直，具有一定的遮荫及观赏效果。叶片正常，在正常条件下不黄叶，不焦叶，不卷叶，不落叶。</w:t>
      </w:r>
    </w:p>
    <w:p w14:paraId="795347C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3.1.2植株无徒长枝、病虫枝、过密枝、并生枝、交叉枝、下垂枝、枯枝、伤损枝、碰线枝；及时抹芽（春季至少二次），主干及一级枝不定芽不超过15cm；对倾斜老树要及时扶正。</w:t>
      </w:r>
    </w:p>
    <w:p w14:paraId="7A08AB1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3.1.3行道树要有群体特色效果，选用的品种、规格相对统一，补植树品种、规格（树高一致，胸径误差≤20%）也应保持一致，树冠必须保留骨架（3--4根一级主枝）。</w:t>
      </w:r>
    </w:p>
    <w:p w14:paraId="0D453E6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3.1.4有防台措施，对危树及时采取修枝、加固或申报更换等措施，遇灾害性天气及时</w:t>
      </w:r>
      <w:r>
        <w:rPr>
          <w:rFonts w:hint="eastAsia" w:ascii="宋体" w:hAnsi="宋体" w:eastAsia="宋体" w:cs="宋体"/>
          <w:color w:val="auto"/>
          <w:sz w:val="24"/>
          <w:szCs w:val="24"/>
          <w:highlight w:val="none"/>
        </w:rPr>
        <w:t>组织进行抢扶。</w:t>
      </w:r>
    </w:p>
    <w:p w14:paraId="5D82FE1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3.1.5树木存活率：新栽行道树存活率95%以上，行道树保存率100%。无死株、无缺株。</w:t>
      </w:r>
    </w:p>
    <w:p w14:paraId="046B249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3.2设施维护：</w:t>
      </w:r>
    </w:p>
    <w:p w14:paraId="21AEBB6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3.2.1树穴边长净空大于1米，树穴有侧石，有平整盖板或种植地被植物，黄土不裸露。</w:t>
      </w:r>
    </w:p>
    <w:p w14:paraId="289B8A7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3.2.2树木支撑规范、统一，无断桩、坏桩，桩位扎缚规范化。</w:t>
      </w:r>
    </w:p>
    <w:p w14:paraId="4B7D89A7">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3.3土肥标准：栽培基质应具有一定的透水、透气、保肥能力；每年冬季施有机肥一次，每次用腐熟豆饼１公斤／株；石砾含量中，其粒径≤5cm,含量≤10%；ph值为6.0—7.8之间；有效土层(长、</w:t>
      </w:r>
      <w:r>
        <w:rPr>
          <w:rFonts w:hint="eastAsia" w:ascii="宋体" w:hAnsi="宋体" w:eastAsia="宋体" w:cs="宋体"/>
          <w:color w:val="auto"/>
          <w:sz w:val="24"/>
          <w:szCs w:val="24"/>
        </w:rPr>
        <w:t>宽、深)≥100cm；有机质含量≥25g/kg。</w:t>
      </w:r>
    </w:p>
    <w:p w14:paraId="3AF6F4E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3.4病虫害防治标准:基本无病虫害危害迹象。</w:t>
      </w:r>
    </w:p>
    <w:p w14:paraId="2DB659E4">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3.5冬季需采取保暖措施，能及时做好刷白、疏枝工作。</w:t>
      </w:r>
    </w:p>
    <w:p w14:paraId="66CC6D9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3.6管理标准：</w:t>
      </w:r>
    </w:p>
    <w:p w14:paraId="32BA70D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3.6.1树穴无杂草、垃圾和其它杂物，树干无钉子、铁丝等破坏树木生长的东西。</w:t>
      </w:r>
    </w:p>
    <w:p w14:paraId="4E32E502">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3.6.2管理制度全面落实，档案资料完整、详尽，对行道树的基础资料、变更情况及时记录入档；工作人员统一着装，挂牌上岗。</w:t>
      </w:r>
    </w:p>
    <w:p w14:paraId="05DB51D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3.7具体养护标准</w:t>
      </w:r>
    </w:p>
    <w:tbl>
      <w:tblPr>
        <w:tblStyle w:val="62"/>
        <w:tblW w:w="9538"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4"/>
        <w:gridCol w:w="3381"/>
        <w:gridCol w:w="4043"/>
      </w:tblGrid>
      <w:tr w14:paraId="14D5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16525418">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分级标准类别</w:t>
            </w:r>
          </w:p>
        </w:tc>
        <w:tc>
          <w:tcPr>
            <w:tcW w:w="3381" w:type="dxa"/>
            <w:vAlign w:val="center"/>
          </w:tcPr>
          <w:p w14:paraId="358B8A66">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一级标准</w:t>
            </w:r>
          </w:p>
        </w:tc>
        <w:tc>
          <w:tcPr>
            <w:tcW w:w="4043" w:type="dxa"/>
            <w:vAlign w:val="center"/>
          </w:tcPr>
          <w:p w14:paraId="4F47BEF3">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二级标准</w:t>
            </w:r>
          </w:p>
        </w:tc>
      </w:tr>
      <w:tr w14:paraId="01B08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0520BE34">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生长势</w:t>
            </w:r>
          </w:p>
        </w:tc>
        <w:tc>
          <w:tcPr>
            <w:tcW w:w="3381" w:type="dxa"/>
            <w:vAlign w:val="center"/>
          </w:tcPr>
          <w:p w14:paraId="39CF440B">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好</w:t>
            </w:r>
          </w:p>
        </w:tc>
        <w:tc>
          <w:tcPr>
            <w:tcW w:w="4043" w:type="dxa"/>
            <w:vAlign w:val="center"/>
          </w:tcPr>
          <w:p w14:paraId="34363332">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正常</w:t>
            </w:r>
          </w:p>
        </w:tc>
      </w:tr>
      <w:tr w14:paraId="56C3A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6EE24158">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叶片</w:t>
            </w:r>
          </w:p>
        </w:tc>
        <w:tc>
          <w:tcPr>
            <w:tcW w:w="3381" w:type="dxa"/>
            <w:vAlign w:val="center"/>
          </w:tcPr>
          <w:p w14:paraId="44F2FD8F">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健壮，在正常条件下不黄叶，不焦叶，不卷叶，不落叶。</w:t>
            </w:r>
          </w:p>
        </w:tc>
        <w:tc>
          <w:tcPr>
            <w:tcW w:w="4043" w:type="dxa"/>
            <w:vAlign w:val="center"/>
          </w:tcPr>
          <w:p w14:paraId="59FACF59">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正常，较严重黄叶，焦叶，卷叶的株数在2%以下。</w:t>
            </w:r>
          </w:p>
        </w:tc>
      </w:tr>
      <w:tr w14:paraId="43EBB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56D5D2F7">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枝干</w:t>
            </w:r>
          </w:p>
        </w:tc>
        <w:tc>
          <w:tcPr>
            <w:tcW w:w="3381" w:type="dxa"/>
            <w:vAlign w:val="center"/>
          </w:tcPr>
          <w:p w14:paraId="1DB86235">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健壮，无明显枯枝死杈。</w:t>
            </w:r>
          </w:p>
        </w:tc>
        <w:tc>
          <w:tcPr>
            <w:tcW w:w="4043" w:type="dxa"/>
            <w:vAlign w:val="center"/>
          </w:tcPr>
          <w:p w14:paraId="2771B6FA">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正常，无明显枯枝死杈。</w:t>
            </w:r>
          </w:p>
        </w:tc>
      </w:tr>
      <w:tr w14:paraId="2293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CellSpacing w:w="0" w:type="dxa"/>
          <w:jc w:val="center"/>
        </w:trPr>
        <w:tc>
          <w:tcPr>
            <w:tcW w:w="2114" w:type="dxa"/>
            <w:vAlign w:val="center"/>
          </w:tcPr>
          <w:p w14:paraId="5364DDF7">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树冠</w:t>
            </w:r>
          </w:p>
        </w:tc>
        <w:tc>
          <w:tcPr>
            <w:tcW w:w="3381" w:type="dxa"/>
            <w:vAlign w:val="center"/>
          </w:tcPr>
          <w:p w14:paraId="0967C9E9">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完整美观，分枝点合适。内膛不乱，通风透光。</w:t>
            </w:r>
          </w:p>
        </w:tc>
        <w:tc>
          <w:tcPr>
            <w:tcW w:w="4043" w:type="dxa"/>
            <w:vAlign w:val="center"/>
          </w:tcPr>
          <w:p w14:paraId="6D0D72A3">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基本完整，主侧枝分布均匀，通风透光。</w:t>
            </w:r>
          </w:p>
        </w:tc>
      </w:tr>
      <w:tr w14:paraId="5BEAD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5A72AF66">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病虫害控制</w:t>
            </w:r>
          </w:p>
        </w:tc>
        <w:tc>
          <w:tcPr>
            <w:tcW w:w="3381" w:type="dxa"/>
            <w:vAlign w:val="center"/>
          </w:tcPr>
          <w:p w14:paraId="75F07437">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基本无病虫害危害。食叶害虫危害的叶片每株不超过5%，刺吸性害虫危害的叶片每株不超过10%，无蛀干性害虫的活虫，活卵。</w:t>
            </w:r>
          </w:p>
        </w:tc>
        <w:tc>
          <w:tcPr>
            <w:tcW w:w="4043" w:type="dxa"/>
            <w:vAlign w:val="center"/>
          </w:tcPr>
          <w:p w14:paraId="54F9AD14">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病虫害危害未达到明显程度。食叶害虫危害的叶片每株不超过10%，刺吸性害虫危害的叶片每株不超过15%，蛀干性害虫危害的株数在2%以下。</w:t>
            </w:r>
          </w:p>
        </w:tc>
      </w:tr>
      <w:tr w14:paraId="7BAD6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456F850D">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树穴</w:t>
            </w:r>
          </w:p>
        </w:tc>
        <w:tc>
          <w:tcPr>
            <w:tcW w:w="3381" w:type="dxa"/>
            <w:vAlign w:val="center"/>
          </w:tcPr>
          <w:p w14:paraId="2961F7B8">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有侧石，有平整盖板或种植地被植物，黄土不裸露。</w:t>
            </w:r>
          </w:p>
        </w:tc>
        <w:tc>
          <w:tcPr>
            <w:tcW w:w="4043" w:type="dxa"/>
            <w:vAlign w:val="center"/>
          </w:tcPr>
          <w:p w14:paraId="08F4F913">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有平整盖板或种植地被植物，黄土不裸露。</w:t>
            </w:r>
          </w:p>
        </w:tc>
      </w:tr>
      <w:tr w14:paraId="5A365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10CE687A">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3381" w:type="dxa"/>
            <w:vAlign w:val="center"/>
          </w:tcPr>
          <w:p w14:paraId="04CC0A11">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无断桩，坏桩，桩位扎缚规范。有防台措施。</w:t>
            </w:r>
          </w:p>
        </w:tc>
        <w:tc>
          <w:tcPr>
            <w:tcW w:w="4043" w:type="dxa"/>
            <w:vAlign w:val="center"/>
          </w:tcPr>
          <w:p w14:paraId="6B1F16AD">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基本无断桩，坏桩，桩位扎缚有效。有一定的防台措施。</w:t>
            </w:r>
          </w:p>
        </w:tc>
      </w:tr>
    </w:tbl>
    <w:p w14:paraId="128EDDF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3.8胸径10cm以上的行道树要求达到一级养护标准，胸径10cm以下的行道树要求达到二级以上养护标准。</w:t>
      </w:r>
    </w:p>
    <w:p w14:paraId="1D664F2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4道路绿化带（包括高架挂箱）养护标准</w:t>
      </w:r>
    </w:p>
    <w:p w14:paraId="36147E0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总体标准：指道路绿化带养护的整体质量，内容有养护质量、树木存活率、设施维护、土</w:t>
      </w:r>
      <w:r>
        <w:rPr>
          <w:rFonts w:hint="eastAsia" w:ascii="宋体" w:hAnsi="宋体" w:eastAsia="宋体" w:cs="宋体"/>
          <w:color w:val="auto"/>
          <w:sz w:val="24"/>
          <w:szCs w:val="24"/>
          <w:highlight w:val="none"/>
        </w:rPr>
        <w:t>肥标准、病虫害防治标准及管理标准。</w:t>
      </w:r>
    </w:p>
    <w:p w14:paraId="257F6AC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4.1植物养护标准：按道路绿化带的立地条件，对植物进行特殊养护、精心养护，使植物健康生长，具有良好的道路景观。</w:t>
      </w:r>
    </w:p>
    <w:p w14:paraId="3470A94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4.2树木种植成活率标准：当年新栽植物成活率达95%以上，保存率98%以上，无缺株、死株。</w:t>
      </w:r>
    </w:p>
    <w:p w14:paraId="1751788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4.3土肥标准：土壤疏松，无积水，种植土低</w:t>
      </w:r>
      <w:r>
        <w:rPr>
          <w:rFonts w:hint="eastAsia" w:ascii="宋体" w:hAnsi="宋体" w:eastAsia="宋体" w:cs="宋体"/>
          <w:color w:val="auto"/>
          <w:sz w:val="24"/>
          <w:szCs w:val="24"/>
        </w:rPr>
        <w:t>于容器（或侧石）上沿5cm；充分利用有机肥，也可用复合肥，增强土壤肥力（要求一年施肥二次，每次用腐熟豆饼0.5kg／m2），其理化性状应符合下列规定：ph值为6.7—7.5之间；石砾粒径≤5cm（高架挂箱石砾粒径≤2cm），含量≤8%（w/w）；有机质含量≥25g/kg。</w:t>
      </w:r>
    </w:p>
    <w:p w14:paraId="51E94A4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4.4病虫害防治标准：提倡综合防治，病虫害应控制在以不影响观赏效果的危害程度之内。</w:t>
      </w:r>
    </w:p>
    <w:p w14:paraId="474CF03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4.5道路绿化带的具体养管标准。</w:t>
      </w:r>
    </w:p>
    <w:p w14:paraId="60B6F8A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4.5.1道路绿化带景观要求。</w:t>
      </w:r>
    </w:p>
    <w:p w14:paraId="49F060C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4.5.2采用修剪等特殊手法，控制植物高度，植物高度不得影响交通视线。</w:t>
      </w:r>
    </w:p>
    <w:p w14:paraId="7BAA53D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4.5.3特殊地段的景观应按设计精心养护，形成有特色的植物景观。整形植物必须及时修剪保持形态，悬垂植物生长健壮，及时通过修剪去除枯死枝和调整高度及生长密度，4.5.4花卉花期整齐，株行距适宜，无空秃、色彩效果好。</w:t>
      </w:r>
    </w:p>
    <w:p w14:paraId="7823EB8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4.5.5绿带必须无裸地，可种植地被植物或草坪。</w:t>
      </w:r>
    </w:p>
    <w:p w14:paraId="53F2D59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4.5.6绿带内无枯枝残叶、无杂草，整洁无垃圾；每天冲洗一次以上，植物叶面无积尘。</w:t>
      </w:r>
    </w:p>
    <w:p w14:paraId="7B0192B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4.5.7辅助设施（包括支撑物和悬挂容器）必须安全、完好、整洁、美观。</w:t>
      </w:r>
    </w:p>
    <w:p w14:paraId="4AEF101C">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4.5.8道路绿化带及悬垂挂箱冬季浇水应注意不要让水溢出，避免造成路面结冰。</w:t>
      </w:r>
    </w:p>
    <w:p w14:paraId="0291E3F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4.6道路绿化带养护作业必须穿着有反光条的工作服，做到文明作业，尽量减少对</w:t>
      </w:r>
      <w:r>
        <w:rPr>
          <w:rFonts w:hint="eastAsia" w:ascii="宋体" w:hAnsi="宋体" w:eastAsia="宋体" w:cs="宋体"/>
          <w:color w:val="auto"/>
          <w:sz w:val="24"/>
          <w:szCs w:val="24"/>
          <w:highlight w:val="none"/>
        </w:rPr>
        <w:t>行车的干扰。</w:t>
      </w:r>
    </w:p>
    <w:p w14:paraId="086A463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4.7参照《杭州市城区花坛、花境养护管理规定（试行）》，加强对花卉的养护管理。</w:t>
      </w:r>
    </w:p>
    <w:p w14:paraId="7CD47B5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4.8时花更换全年至少为</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 xml:space="preserve">次，在每一次更换时必须要将时花品种、数量（时花种植每平方不得少于49株、中盆）方案事先向招标方报备，由招标方确定种植方案，否则将作无更换时花处理，种后由招标方现场验收签字确定。 </w:t>
      </w:r>
    </w:p>
    <w:p w14:paraId="322BA03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布置效果：按设计精心养护，有全年用花计划，做到四季有花，花期整齐，图案美观，布置效果良好。</w:t>
      </w:r>
    </w:p>
    <w:p w14:paraId="768F647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花卉生长：花卉植株生长健壮，花色艳丽，始花期方可上花坛种植，株行距适宜，不露底土。无缺株倒伏，无枯枝残花，无杂草垃圾。</w:t>
      </w:r>
    </w:p>
    <w:p w14:paraId="1BA55F2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5、绿化养护要求</w:t>
      </w:r>
    </w:p>
    <w:p w14:paraId="2C67E9B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5.1投标方在养护作业中投入的机械设备、人员配置等必须与投标文件中所承诺的数量规格相符合。加强日常作业质量管理，做好作业质量自查日</w:t>
      </w:r>
      <w:r>
        <w:rPr>
          <w:rFonts w:hint="eastAsia" w:ascii="宋体" w:hAnsi="宋体" w:eastAsia="宋体" w:cs="宋体"/>
          <w:color w:val="auto"/>
          <w:sz w:val="24"/>
          <w:szCs w:val="24"/>
        </w:rPr>
        <w:t>记，按时报送工作报表，一般每月25日前将下月工作计划上报招标单位。</w:t>
      </w:r>
    </w:p>
    <w:p w14:paraId="58B6E20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5.2规范管理、文明作业、自觉接受招标单位及其上级各部门领导的检查和社会监督，对出现的问题要及时整改。</w:t>
      </w:r>
    </w:p>
    <w:p w14:paraId="186ABC1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5.3作业时应严格遵守交通规则、遵守安全操作规程，作业人员上路作业时须统一穿戴安全反光背心。加强日常安全生产管理，确保职工人身安全。如遇各种意外事故发生由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自行负责，并依照法律法规妥善处理。</w:t>
      </w:r>
    </w:p>
    <w:p w14:paraId="5ADCA81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①对枯死的树木应连同根部在24小时内挖除，并在2天内补种完毕，补种苗木的规格、品种和原苗木基本相同，特殊情况无法补种原规格苗木，需经招标单位同意。②植保员应每天检查绿地病虫害发生情况，发现病虫害应在2天内治理完毕，并做好病虫害防治工作台帐。要求园林植物常年无明显病虫害。③建筑废弃物在接到通知后24小时内清理完毕并及时外运。④遇到因人为或其它因素造成的苗木损坏，必须无条件在2天内补种完毕，包括因重大活动造成的损坏，无条件按招标单位方要求完成补种，否则扣除相应花木价值2－3倍的养护经费。⑤未经招标单位同意，</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不得擅自挖掘毁坏苗木，一经发现，通报批评，情节严重的，扣除当季2%养护款进行赔偿。</w:t>
      </w:r>
    </w:p>
    <w:p w14:paraId="0C09CB22">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5.5制定全年及每月绿地养护工作计划，主要包括绿地的各类养护措施（如施肥、修剪、病虫害防治、植物浇水等）、养护质量及安全保证、养护应急管理预案（抗旱、防汛、抗台、抗寒、抗雪等）、重点技术措施等，并于中标后及时上报招标方。安排养护管理力量，制定劳动力计划表，做好突击性工作的应急安排等，落实专职养护人员名单，养护管理责任人名单。制定时花调换全年计划，包括图案设计方案、花卉品种、调换时间、养护管理等。</w:t>
      </w:r>
    </w:p>
    <w:p w14:paraId="1031FD5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5.6花钵绿化和道路绿化中标后，①必须为花钵办理相应的保险，包括因人为或意外引发花钵坠落而造成的人和物的损失，并提供相关的保险证明；②必须与招标方签订《绿化养护施工规范责任书》。③保险单复印件到招标方备案。</w:t>
      </w:r>
    </w:p>
    <w:p w14:paraId="1EE9FF8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5.7加强应急管理，具体要求参照《杭州市城区绿化防台树木支撑工作方案》。</w:t>
      </w:r>
    </w:p>
    <w:p w14:paraId="32AFA9E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5.7.1制定灾害性天气应急预案，建立应急救灾队伍，将应急预案和人员名单上报</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备案。</w:t>
      </w:r>
    </w:p>
    <w:p w14:paraId="57CE995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5.7.2建立应急备货制，备货的内容有：抗旱、防汛、抗台、抗寒、抗雪等物资（钢管、毛竹、水泵等）；容器苗木，主要是夏季易干枯的灌木品种。栏杆等易损设施。</w:t>
      </w:r>
    </w:p>
    <w:p w14:paraId="7D17DD7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5.7.3遇灾害性天气，听从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统一指挥，及时组织人员夏季抗旱、抗台，冬季遇积雪必须及时组织人员进行抗雪。遇到树木斜倒时，根据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 xml:space="preserve">要求，做好清障扶正工作。 </w:t>
      </w:r>
    </w:p>
    <w:p w14:paraId="3671DEA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5.7.4做好防台树木支撑工作，在市气象台发出台风预警信号以后，立即做好树木支撑工作。</w:t>
      </w:r>
    </w:p>
    <w:p w14:paraId="70115B1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5.8</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根据招标方通知要求，做好各类“迎检”和“创建”准备工作。</w:t>
      </w:r>
    </w:p>
    <w:p w14:paraId="7427AAC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5.9经过</w:t>
      </w:r>
      <w:r>
        <w:rPr>
          <w:rFonts w:hint="eastAsia" w:ascii="宋体" w:hAnsi="宋体" w:eastAsia="宋体" w:cs="宋体"/>
          <w:color w:val="auto"/>
          <w:sz w:val="24"/>
          <w:szCs w:val="24"/>
          <w:lang w:val="en-US" w:eastAsia="zh-CN"/>
        </w:rPr>
        <w:t>仓前</w:t>
      </w:r>
      <w:r>
        <w:rPr>
          <w:rFonts w:hint="eastAsia" w:ascii="宋体" w:hAnsi="宋体" w:eastAsia="宋体" w:cs="宋体"/>
          <w:color w:val="auto"/>
          <w:sz w:val="24"/>
          <w:szCs w:val="24"/>
        </w:rPr>
        <w:t>街道城管服务中心批准的绿地内挖掘及占用绿地时，</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应予以积极配合，复种后的绿地应由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负责正常养护。</w:t>
      </w:r>
    </w:p>
    <w:p w14:paraId="22D3D39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5.10绿化养护期内产生的各种的垃圾必须进入垃圾中转站，其处理产生费用由</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负责，列入措施项目费用表。</w:t>
      </w:r>
    </w:p>
    <w:p w14:paraId="10B8F94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5.11每年冬季对行道树进行造型修整一次。</w:t>
      </w:r>
    </w:p>
    <w:p w14:paraId="65A0540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在养护管理期间，由于养管不力，采购人有权终止合同，并由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承担一切责任。</w:t>
      </w:r>
    </w:p>
    <w:p w14:paraId="0E17BC8F">
      <w:pPr>
        <w:pStyle w:val="5"/>
        <w:numPr>
          <w:ilvl w:val="0"/>
          <w:numId w:val="0"/>
        </w:numPr>
        <w:ind w:left="0" w:leftChars="0" w:firstLine="482"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val="en-US"/>
        </w:rPr>
        <w:t>公厕养护</w:t>
      </w:r>
    </w:p>
    <w:p w14:paraId="71922BB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1、投标人应根据本招标文件、《余杭区“厕所革命”行动方案》中的规定，投标人在技术标中的相关内容及</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提供的所有相关资料，按标准公厕16小时保洁(上午6:00至下午22:00)，公开放时间为24小时。</w:t>
      </w:r>
    </w:p>
    <w:p w14:paraId="6122DB2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2、保洁人员统一着装、持证上岗。</w:t>
      </w:r>
    </w:p>
    <w:p w14:paraId="753F041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3、公管养定人定时定岗，每天6点、11点、17点进行三次彻底清洁，其他时间随脏随扫，做到一出一进，即如厕人出厕后进则打扫，保持干净整洁，无明显异味。</w:t>
      </w:r>
    </w:p>
    <w:p w14:paraId="1E2D903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4、16小时保洁，公厕实行免费开放，不得计费，且公厕内不得出现任何经营性行为；</w:t>
      </w:r>
    </w:p>
    <w:p w14:paraId="56BC76D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5、地面保洁无污物，清洗冲刷地面时应设置国家规定的防滑标志。</w:t>
      </w:r>
    </w:p>
    <w:p w14:paraId="782F312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6、墙壁、门窗、隔断板等整洁无乱涂乱画等污迹物。</w:t>
      </w:r>
    </w:p>
    <w:p w14:paraId="0336519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7、便器及时冲刷，无粪迹、尿迹和其他污物。</w:t>
      </w:r>
    </w:p>
    <w:p w14:paraId="2A0FBA8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须无偿提供厕纸，并保证每个卫生间内厕纸不断。</w:t>
      </w:r>
    </w:p>
    <w:p w14:paraId="4D0EDB8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9、定时喷洒灭蚊蝇药物，做到随有随灭。纸篓无污迹、无隔夜垃圾。空气流通无臭味。</w:t>
      </w:r>
    </w:p>
    <w:p w14:paraId="11AA595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10、厕所设施和工具摆放有序，干净整洁。按照规定时间、地点和方式倾倒废物。外墙屋顶及卫生负责区内环境整洁无杂物。</w:t>
      </w:r>
    </w:p>
    <w:p w14:paraId="02553A32">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公厕设施维护要求：</w:t>
      </w:r>
    </w:p>
    <w:p w14:paraId="535FAFC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公厕内设施出现破坏的，养护单位要组织维修人员在2日内完成修复或更换。供水、供电、排水、通风等设备完好，有效保证使用，简单问题的必须12小时以内修复。墙壁、地面、隔断板、洗手台、门窗、便器、开关、手柄、门锁、挂衣钩等设施损坏的必须要在两天内修复或更换。公厕内设置的标志保持清洁、完整、规范，如出现破损的，必须在12小时内修复或更换。</w:t>
      </w:r>
    </w:p>
    <w:p w14:paraId="3F6AD2BD">
      <w:pPr>
        <w:pStyle w:val="5"/>
        <w:numPr>
          <w:ilvl w:val="0"/>
          <w:numId w:val="0"/>
        </w:numPr>
        <w:ind w:left="0" w:leftChars="0" w:firstLine="482"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（六）管网清污</w:t>
      </w:r>
    </w:p>
    <w:p w14:paraId="6A69D01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根据频次要求，按时完成清掏及疏通工作，发现有临时堵塞的，必须在24小时内进行清理。</w:t>
      </w:r>
    </w:p>
    <w:p w14:paraId="510D28F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每月应检查相关井盖以及各种盖板的完整性、安全性，定期清理化粪池盖板上的垃圾、污物、杂物；</w:t>
      </w:r>
    </w:p>
    <w:p w14:paraId="31FBBDB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每月应检查隔油池内是否有堵塞情况，夏季适当增加巡查次数。</w:t>
      </w:r>
    </w:p>
    <w:p w14:paraId="232565C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做好安全标识，禁止小孩在周边玩耍，禁止燃放鞭炮。</w:t>
      </w:r>
    </w:p>
    <w:p w14:paraId="318AEB7A">
      <w:pPr>
        <w:numPr>
          <w:ilvl w:val="0"/>
          <w:numId w:val="0"/>
        </w:numPr>
        <w:ind w:left="0" w:leftChars="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考核办法、奖惩措施</w:t>
      </w:r>
    </w:p>
    <w:p w14:paraId="14C2D090">
      <w:pPr>
        <w:snapToGrid w:val="0"/>
        <w:spacing w:line="600" w:lineRule="exact"/>
        <w:ind w:left="0" w:leftChars="0"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仓前</w:t>
      </w:r>
      <w:r>
        <w:rPr>
          <w:rFonts w:hint="eastAsia" w:ascii="宋体" w:hAnsi="宋体" w:eastAsia="宋体" w:cs="宋体"/>
          <w:b/>
          <w:bCs/>
          <w:color w:val="auto"/>
          <w:kern w:val="0"/>
          <w:sz w:val="24"/>
          <w:szCs w:val="24"/>
        </w:rPr>
        <w:t>街道</w:t>
      </w:r>
      <w:r>
        <w:rPr>
          <w:rFonts w:hint="eastAsia" w:ascii="宋体" w:hAnsi="宋体" w:eastAsia="宋体" w:cs="宋体"/>
          <w:b/>
          <w:bCs/>
          <w:color w:val="auto"/>
          <w:kern w:val="0"/>
          <w:sz w:val="24"/>
          <w:szCs w:val="24"/>
          <w:lang w:val="en-US" w:eastAsia="zh-CN"/>
        </w:rPr>
        <w:t>太炎社</w:t>
      </w:r>
      <w:r>
        <w:rPr>
          <w:rFonts w:hint="eastAsia" w:ascii="宋体" w:hAnsi="宋体" w:eastAsia="宋体" w:cs="宋体"/>
          <w:b/>
          <w:bCs/>
          <w:color w:val="auto"/>
          <w:kern w:val="0"/>
          <w:sz w:val="24"/>
          <w:szCs w:val="24"/>
        </w:rPr>
        <w:t>区</w:t>
      </w:r>
      <w:r>
        <w:rPr>
          <w:rFonts w:hint="eastAsia" w:ascii="宋体" w:hAnsi="宋体" w:cs="宋体"/>
          <w:b/>
          <w:bCs/>
          <w:color w:val="auto"/>
          <w:kern w:val="0"/>
          <w:sz w:val="24"/>
          <w:szCs w:val="24"/>
          <w:lang w:val="en-US" w:eastAsia="zh-CN"/>
        </w:rPr>
        <w:t>片区化大物业管理区域</w:t>
      </w:r>
      <w:r>
        <w:rPr>
          <w:rFonts w:hint="eastAsia" w:ascii="宋体" w:hAnsi="宋体" w:eastAsia="宋体" w:cs="宋体"/>
          <w:b/>
          <w:bCs/>
          <w:color w:val="auto"/>
          <w:kern w:val="0"/>
          <w:sz w:val="24"/>
          <w:szCs w:val="24"/>
        </w:rPr>
        <w:t>保洁及绿化养护检查考核实施细则（试行）</w:t>
      </w:r>
    </w:p>
    <w:p w14:paraId="51BF3E2F">
      <w:pPr>
        <w:widowControl/>
        <w:snapToGrid w:val="0"/>
        <w:spacing w:line="6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为了全面提高仓前街道</w:t>
      </w:r>
      <w:r>
        <w:rPr>
          <w:rFonts w:hint="eastAsia" w:ascii="宋体" w:hAnsi="宋体" w:cs="宋体"/>
          <w:color w:val="auto"/>
          <w:kern w:val="0"/>
          <w:sz w:val="24"/>
          <w:szCs w:val="24"/>
          <w:lang w:val="en-US" w:eastAsia="zh-CN"/>
        </w:rPr>
        <w:t>太炎社区片区化大物业管路区域</w:t>
      </w:r>
      <w:r>
        <w:rPr>
          <w:rFonts w:hint="eastAsia" w:ascii="宋体" w:hAnsi="宋体" w:eastAsia="宋体" w:cs="宋体"/>
          <w:color w:val="auto"/>
          <w:kern w:val="0"/>
          <w:sz w:val="24"/>
          <w:szCs w:val="24"/>
        </w:rPr>
        <w:t>城市化管理水平，切实抓好环境卫生管理工作，提高</w:t>
      </w:r>
      <w:r>
        <w:rPr>
          <w:rFonts w:hint="eastAsia" w:ascii="宋体" w:hAnsi="宋体" w:cs="宋体"/>
          <w:color w:val="auto"/>
          <w:kern w:val="0"/>
          <w:sz w:val="24"/>
          <w:szCs w:val="24"/>
          <w:lang w:val="en-US" w:eastAsia="zh-CN"/>
        </w:rPr>
        <w:t>区域</w:t>
      </w:r>
      <w:r>
        <w:rPr>
          <w:rFonts w:hint="eastAsia" w:ascii="宋体" w:hAnsi="宋体" w:eastAsia="宋体" w:cs="宋体"/>
          <w:color w:val="auto"/>
          <w:kern w:val="0"/>
          <w:sz w:val="24"/>
          <w:szCs w:val="24"/>
        </w:rPr>
        <w:t>环境卫生管理的质量和水平，严密、规范地组织检查考核工作，确保检查考核工作公平、公正，特制定本实施细则。</w:t>
      </w:r>
    </w:p>
    <w:p w14:paraId="4225FDAF">
      <w:pPr>
        <w:snapToGrid w:val="0"/>
        <w:spacing w:line="600" w:lineRule="exact"/>
        <w:ind w:left="2264" w:leftChars="282" w:hanging="1672" w:hangingChars="694"/>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rPr>
        <w:t>1.1考核内容</w:t>
      </w:r>
    </w:p>
    <w:p w14:paraId="1B1C30AB">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为加强</w:t>
      </w:r>
      <w:r>
        <w:rPr>
          <w:rFonts w:hint="eastAsia" w:ascii="宋体" w:hAnsi="宋体" w:cs="宋体"/>
          <w:color w:val="auto"/>
          <w:kern w:val="0"/>
          <w:sz w:val="24"/>
          <w:szCs w:val="24"/>
          <w:highlight w:val="none"/>
          <w:lang w:val="en-US" w:eastAsia="zh-CN"/>
        </w:rPr>
        <w:t>区域</w:t>
      </w:r>
      <w:r>
        <w:rPr>
          <w:rFonts w:hint="eastAsia" w:ascii="宋体" w:hAnsi="宋体" w:eastAsia="宋体" w:cs="宋体"/>
          <w:color w:val="auto"/>
          <w:kern w:val="0"/>
          <w:sz w:val="24"/>
          <w:szCs w:val="24"/>
          <w:highlight w:val="none"/>
        </w:rPr>
        <w:t>保洁及绿化养护管理检查考核工作领导，由</w:t>
      </w:r>
      <w:r>
        <w:rPr>
          <w:rFonts w:hint="eastAsia" w:ascii="宋体" w:hAnsi="宋体" w:eastAsia="宋体" w:cs="宋体"/>
          <w:color w:val="auto"/>
          <w:kern w:val="0"/>
          <w:sz w:val="24"/>
          <w:szCs w:val="24"/>
          <w:highlight w:val="none"/>
          <w:lang w:val="en-US" w:eastAsia="zh-CN"/>
        </w:rPr>
        <w:t>仓前街道</w:t>
      </w:r>
      <w:r>
        <w:rPr>
          <w:rFonts w:hint="eastAsia" w:ascii="宋体" w:hAnsi="宋体" w:cs="宋体"/>
          <w:color w:val="auto"/>
          <w:kern w:val="0"/>
          <w:sz w:val="24"/>
          <w:szCs w:val="24"/>
          <w:highlight w:val="none"/>
          <w:lang w:val="en-US" w:eastAsia="zh-CN"/>
        </w:rPr>
        <w:t>社区与农村治理服务中心牵头召集相关职能科室</w:t>
      </w:r>
      <w:r>
        <w:rPr>
          <w:rFonts w:hint="eastAsia" w:ascii="宋体" w:hAnsi="宋体" w:eastAsia="宋体" w:cs="宋体"/>
          <w:color w:val="auto"/>
          <w:kern w:val="0"/>
          <w:sz w:val="24"/>
          <w:szCs w:val="24"/>
          <w:highlight w:val="none"/>
        </w:rPr>
        <w:t>成立考核检查领导小组</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下简称“考核检查小组”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，管理责任主体为：</w:t>
      </w:r>
      <w:r>
        <w:rPr>
          <w:rFonts w:hint="eastAsia" w:ascii="宋体" w:hAnsi="宋体" w:eastAsia="宋体" w:cs="宋体"/>
          <w:color w:val="auto"/>
          <w:kern w:val="0"/>
          <w:sz w:val="24"/>
          <w:szCs w:val="24"/>
          <w:highlight w:val="none"/>
          <w:lang w:val="en-US" w:eastAsia="zh-CN"/>
        </w:rPr>
        <w:t>仓前街道</w:t>
      </w:r>
      <w:r>
        <w:rPr>
          <w:rFonts w:hint="eastAsia" w:ascii="宋体" w:hAnsi="宋体" w:cs="宋体"/>
          <w:color w:val="auto"/>
          <w:kern w:val="0"/>
          <w:sz w:val="24"/>
          <w:szCs w:val="24"/>
          <w:highlight w:val="none"/>
          <w:lang w:val="en-US" w:eastAsia="zh-CN"/>
        </w:rPr>
        <w:t>社区与农村治理服务中心，</w:t>
      </w:r>
      <w:r>
        <w:rPr>
          <w:rFonts w:hint="eastAsia" w:ascii="宋体" w:hAnsi="宋体" w:eastAsia="宋体" w:cs="宋体"/>
          <w:color w:val="auto"/>
          <w:kern w:val="0"/>
          <w:sz w:val="24"/>
          <w:szCs w:val="24"/>
          <w:highlight w:val="none"/>
        </w:rPr>
        <w:t>负责监管</w:t>
      </w:r>
      <w:r>
        <w:rPr>
          <w:rFonts w:hint="eastAsia" w:ascii="宋体" w:hAnsi="宋体" w:eastAsia="宋体" w:cs="宋体"/>
          <w:color w:val="auto"/>
          <w:kern w:val="0"/>
          <w:sz w:val="24"/>
          <w:szCs w:val="24"/>
          <w:highlight w:val="none"/>
          <w:lang w:val="en-US" w:eastAsia="zh-CN"/>
        </w:rPr>
        <w:t>本项目范围内</w:t>
      </w:r>
      <w:r>
        <w:rPr>
          <w:rFonts w:hint="eastAsia" w:ascii="宋体" w:hAnsi="宋体" w:eastAsia="宋体" w:cs="宋体"/>
          <w:color w:val="auto"/>
          <w:kern w:val="0"/>
          <w:sz w:val="24"/>
          <w:szCs w:val="24"/>
          <w:highlight w:val="none"/>
        </w:rPr>
        <w:t>道路保洁及绿化养护区域范围内的主次道路保洁管理。</w:t>
      </w:r>
    </w:p>
    <w:p w14:paraId="448BABD2">
      <w:pPr>
        <w:snapToGrid w:val="0"/>
        <w:spacing w:line="6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.2检查考核方式</w:t>
      </w:r>
    </w:p>
    <w:p w14:paraId="0B687A56">
      <w:pPr>
        <w:widowControl/>
        <w:snapToGrid w:val="0"/>
        <w:spacing w:line="6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（1）道路（街巷）保洁及绿化养护管理的检查考核</w:t>
      </w:r>
    </w:p>
    <w:p w14:paraId="32919778">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1）随机抽取检查道路（街巷）。</w:t>
      </w:r>
      <w:r>
        <w:rPr>
          <w:rFonts w:hint="eastAsia" w:ascii="宋体" w:hAnsi="宋体" w:eastAsia="宋体" w:cs="宋体"/>
          <w:color w:val="auto"/>
          <w:kern w:val="0"/>
          <w:sz w:val="24"/>
          <w:szCs w:val="24"/>
          <w:highlight w:val="none"/>
        </w:rPr>
        <w:t>按照随机抽查原则，由考核检查小组当天从被检标段道路（街巷）总名册中随机抽取产生。本次检查过的道路（街巷）仍然列入下次被检道路（街巷）总名册中。每次抽查的数量为各标段各类养护总面积数的40%-50%，各标段检查以不定期形式，每月检查不少于二次。</w:t>
      </w:r>
    </w:p>
    <w:p w14:paraId="2EB69CF7">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2）组织现场检查。</w:t>
      </w:r>
      <w:r>
        <w:rPr>
          <w:rFonts w:hint="eastAsia" w:ascii="宋体" w:hAnsi="宋体" w:eastAsia="宋体" w:cs="宋体"/>
          <w:color w:val="auto"/>
          <w:kern w:val="0"/>
          <w:sz w:val="24"/>
          <w:szCs w:val="24"/>
          <w:highlight w:val="none"/>
        </w:rPr>
        <w:t>根据抽取结果，考核检查小组进行现场检查。检查时对被检道路（街巷）全路段检查，“窗口”地区全区块检查。对正在建设的道路（街巷），检查时对通行的路幅按标准进行检查，对全封闭（有围栏）的路幅不列入检查。检查人员至少两人，检查采取车行和步行相结合的方式，对发现的问题现场书面记录，同时进行摄像记录。</w:t>
      </w:r>
    </w:p>
    <w:p w14:paraId="306358D7">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3）检查考核计分。</w:t>
      </w:r>
      <w:r>
        <w:rPr>
          <w:rFonts w:hint="eastAsia" w:ascii="宋体" w:hAnsi="宋体" w:eastAsia="宋体" w:cs="宋体"/>
          <w:color w:val="auto"/>
          <w:kern w:val="0"/>
          <w:sz w:val="24"/>
          <w:szCs w:val="24"/>
          <w:highlight w:val="none"/>
        </w:rPr>
        <w:t>每条道路（街巷）检查结束后，考核检查小组人员现场进行评分、现场签字确认。</w:t>
      </w:r>
    </w:p>
    <w:p w14:paraId="697CB75C">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4）汇总检查资料。</w:t>
      </w:r>
      <w:r>
        <w:rPr>
          <w:rFonts w:hint="eastAsia" w:ascii="宋体" w:hAnsi="宋体" w:eastAsia="宋体" w:cs="宋体"/>
          <w:color w:val="auto"/>
          <w:kern w:val="0"/>
          <w:sz w:val="24"/>
          <w:szCs w:val="24"/>
          <w:highlight w:val="none"/>
        </w:rPr>
        <w:t>每次检查结束后，考核检查小组将当日评分情况、检查记录进行整理、录入电脑，形成电子文档和文字资料，经</w:t>
      </w:r>
      <w:r>
        <w:rPr>
          <w:rFonts w:hint="eastAsia" w:ascii="宋体" w:hAnsi="宋体" w:cs="宋体"/>
          <w:color w:val="auto"/>
          <w:kern w:val="0"/>
          <w:sz w:val="24"/>
          <w:szCs w:val="24"/>
          <w:highlight w:val="none"/>
          <w:lang w:val="en-US" w:eastAsia="zh-CN"/>
        </w:rPr>
        <w:t>社区与农村治理服务中心</w:t>
      </w:r>
      <w:r>
        <w:rPr>
          <w:rFonts w:hint="eastAsia" w:ascii="宋体" w:hAnsi="宋体" w:eastAsia="宋体" w:cs="宋体"/>
          <w:color w:val="auto"/>
          <w:kern w:val="0"/>
          <w:sz w:val="24"/>
          <w:szCs w:val="24"/>
          <w:highlight w:val="none"/>
        </w:rPr>
        <w:t>审核后妥善保管。</w:t>
      </w:r>
    </w:p>
    <w:p w14:paraId="0206F2F4">
      <w:pPr>
        <w:widowControl/>
        <w:snapToGrid w:val="0"/>
        <w:spacing w:line="60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highlight w:val="none"/>
        </w:rPr>
        <w:t>5）反馈检查情况。</w:t>
      </w:r>
      <w:r>
        <w:rPr>
          <w:rFonts w:hint="eastAsia" w:ascii="宋体" w:hAnsi="宋体" w:cs="宋体"/>
          <w:color w:val="auto"/>
          <w:kern w:val="0"/>
          <w:sz w:val="24"/>
          <w:szCs w:val="24"/>
          <w:highlight w:val="none"/>
          <w:lang w:val="en-US" w:eastAsia="zh-CN"/>
        </w:rPr>
        <w:t>考核检查小组</w:t>
      </w:r>
      <w:r>
        <w:rPr>
          <w:rFonts w:hint="eastAsia" w:ascii="宋体" w:hAnsi="宋体" w:eastAsia="宋体" w:cs="宋体"/>
          <w:color w:val="auto"/>
          <w:kern w:val="0"/>
          <w:sz w:val="24"/>
          <w:szCs w:val="24"/>
          <w:highlight w:val="none"/>
        </w:rPr>
        <w:t>应于次日将前一日检查考核中发现的问题以书面形式或电子文档形式告知相关单位落实整改；并接</w:t>
      </w:r>
      <w:r>
        <w:rPr>
          <w:rFonts w:hint="eastAsia" w:ascii="宋体" w:hAnsi="宋体" w:eastAsia="宋体" w:cs="宋体"/>
          <w:color w:val="auto"/>
          <w:kern w:val="0"/>
          <w:sz w:val="24"/>
          <w:szCs w:val="24"/>
        </w:rPr>
        <w:t>受相关单位对当次检查记录的查询；对检查考核情况每周进行统计、每月进行分析。</w:t>
      </w:r>
    </w:p>
    <w:p w14:paraId="6DE3DAB1">
      <w:pPr>
        <w:widowControl/>
        <w:snapToGrid w:val="0"/>
        <w:spacing w:line="60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（2）机械化作业的检查考核</w:t>
      </w:r>
    </w:p>
    <w:p w14:paraId="3029D490">
      <w:pPr>
        <w:widowControl/>
        <w:snapToGrid w:val="0"/>
        <w:spacing w:line="600" w:lineRule="exact"/>
        <w:ind w:firstLine="472" w:firstLineChars="196"/>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1）检查方式</w:t>
      </w:r>
    </w:p>
    <w:p w14:paraId="1C0B776C">
      <w:pPr>
        <w:widowControl/>
        <w:snapToGrid w:val="0"/>
        <w:spacing w:line="600" w:lineRule="exact"/>
        <w:ind w:firstLine="472" w:firstLineChars="196"/>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fldChar w:fldCharType="begin"/>
      </w:r>
      <w:r>
        <w:rPr>
          <w:rFonts w:hint="eastAsia" w:ascii="宋体" w:hAnsi="宋体" w:eastAsia="宋体" w:cs="宋体"/>
          <w:b/>
          <w:bCs/>
          <w:color w:val="auto"/>
          <w:kern w:val="0"/>
          <w:sz w:val="24"/>
          <w:szCs w:val="24"/>
        </w:rPr>
        <w:instrText xml:space="preserve"> = 1 \* GB3 \* MERGEFORMAT </w:instrText>
      </w:r>
      <w:r>
        <w:rPr>
          <w:rFonts w:hint="eastAsia" w:ascii="宋体" w:hAnsi="宋体" w:eastAsia="宋体" w:cs="宋体"/>
          <w:b/>
          <w:bCs/>
          <w:color w:val="auto"/>
          <w:kern w:val="0"/>
          <w:sz w:val="24"/>
          <w:szCs w:val="24"/>
        </w:rPr>
        <w:fldChar w:fldCharType="separate"/>
      </w:r>
      <w:r>
        <w:rPr>
          <w:rFonts w:hint="eastAsia" w:ascii="宋体" w:hAnsi="宋体" w:eastAsia="宋体" w:cs="宋体"/>
          <w:b/>
          <w:bCs/>
          <w:color w:val="auto"/>
          <w:kern w:val="0"/>
          <w:sz w:val="24"/>
          <w:szCs w:val="24"/>
        </w:rPr>
        <w:t>①</w:t>
      </w:r>
      <w:r>
        <w:rPr>
          <w:rFonts w:hint="eastAsia" w:ascii="宋体" w:hAnsi="宋体" w:eastAsia="宋体" w:cs="宋体"/>
          <w:b/>
          <w:bCs/>
          <w:color w:val="auto"/>
          <w:kern w:val="0"/>
          <w:sz w:val="24"/>
          <w:szCs w:val="24"/>
        </w:rPr>
        <w:fldChar w:fldCharType="end"/>
      </w:r>
      <w:r>
        <w:rPr>
          <w:rFonts w:hint="eastAsia" w:ascii="宋体" w:hAnsi="宋体" w:eastAsia="宋体" w:cs="宋体"/>
          <w:b/>
          <w:bCs/>
          <w:color w:val="auto"/>
          <w:kern w:val="0"/>
          <w:sz w:val="24"/>
          <w:szCs w:val="24"/>
        </w:rPr>
        <w:t>机械化作业频次检查。</w:t>
      </w:r>
      <w:r>
        <w:rPr>
          <w:rFonts w:hint="eastAsia" w:ascii="宋体" w:hAnsi="宋体" w:eastAsia="宋体" w:cs="宋体"/>
          <w:color w:val="auto"/>
          <w:kern w:val="0"/>
          <w:sz w:val="24"/>
          <w:szCs w:val="24"/>
        </w:rPr>
        <w:t>根据保洁单位上报的机械化作业计划进行现场抽查，检查保洁单位标段内道路洒水、机扫、清洗台账资料，并可利用数字城管监控系统核查台帐资料的真实性和准确性，核查机械化作业频次落实情况。</w:t>
      </w:r>
    </w:p>
    <w:p w14:paraId="55A3C748">
      <w:pPr>
        <w:widowControl/>
        <w:snapToGrid w:val="0"/>
        <w:spacing w:line="600" w:lineRule="exact"/>
        <w:ind w:firstLine="472" w:firstLineChars="196"/>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fldChar w:fldCharType="begin"/>
      </w:r>
      <w:r>
        <w:rPr>
          <w:rFonts w:hint="eastAsia" w:ascii="宋体" w:hAnsi="宋体" w:eastAsia="宋体" w:cs="宋体"/>
          <w:b/>
          <w:bCs/>
          <w:color w:val="auto"/>
          <w:kern w:val="0"/>
          <w:sz w:val="24"/>
          <w:szCs w:val="24"/>
        </w:rPr>
        <w:instrText xml:space="preserve"> = 2 \* GB3 \* MERGEFORMAT </w:instrText>
      </w:r>
      <w:r>
        <w:rPr>
          <w:rFonts w:hint="eastAsia" w:ascii="宋体" w:hAnsi="宋体" w:eastAsia="宋体" w:cs="宋体"/>
          <w:b/>
          <w:bCs/>
          <w:color w:val="auto"/>
          <w:kern w:val="0"/>
          <w:sz w:val="24"/>
          <w:szCs w:val="24"/>
        </w:rPr>
        <w:fldChar w:fldCharType="separate"/>
      </w:r>
      <w:r>
        <w:rPr>
          <w:rFonts w:hint="eastAsia" w:ascii="宋体" w:hAnsi="宋体" w:eastAsia="宋体" w:cs="宋体"/>
          <w:b/>
          <w:bCs/>
          <w:color w:val="auto"/>
          <w:kern w:val="0"/>
          <w:sz w:val="24"/>
          <w:szCs w:val="24"/>
        </w:rPr>
        <w:t>②</w:t>
      </w:r>
      <w:r>
        <w:rPr>
          <w:rFonts w:hint="eastAsia" w:ascii="宋体" w:hAnsi="宋体" w:eastAsia="宋体" w:cs="宋体"/>
          <w:b/>
          <w:bCs/>
          <w:color w:val="auto"/>
          <w:kern w:val="0"/>
          <w:sz w:val="24"/>
          <w:szCs w:val="24"/>
        </w:rPr>
        <w:fldChar w:fldCharType="end"/>
      </w:r>
      <w:r>
        <w:rPr>
          <w:rFonts w:hint="eastAsia" w:ascii="宋体" w:hAnsi="宋体" w:eastAsia="宋体" w:cs="宋体"/>
          <w:b/>
          <w:bCs/>
          <w:color w:val="auto"/>
          <w:kern w:val="0"/>
          <w:sz w:val="24"/>
          <w:szCs w:val="24"/>
        </w:rPr>
        <w:t>机械化作业规范检查。</w:t>
      </w:r>
      <w:r>
        <w:rPr>
          <w:rFonts w:hint="eastAsia" w:ascii="宋体" w:hAnsi="宋体" w:eastAsia="宋体" w:cs="宋体"/>
          <w:color w:val="auto"/>
          <w:kern w:val="0"/>
          <w:sz w:val="24"/>
          <w:szCs w:val="24"/>
        </w:rPr>
        <w:t>考核检查小组在每日巡查市区道路保洁质量时，对途经道路机械化作业规范进行同步检查。同时，在日常巡查基础上不定期组织集中检查。</w:t>
      </w:r>
    </w:p>
    <w:p w14:paraId="44538983">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2）评分方式</w:t>
      </w:r>
    </w:p>
    <w:p w14:paraId="0F55A472">
      <w:pPr>
        <w:widowControl/>
        <w:snapToGrid w:val="0"/>
        <w:spacing w:line="6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评分标准根据《余杭区仓前街道</w:t>
      </w:r>
      <w:r>
        <w:rPr>
          <w:rFonts w:hint="eastAsia" w:ascii="宋体" w:hAnsi="宋体" w:eastAsia="宋体" w:cs="宋体"/>
          <w:color w:val="auto"/>
          <w:kern w:val="0"/>
          <w:sz w:val="24"/>
          <w:szCs w:val="24"/>
          <w:lang w:val="en-US" w:eastAsia="zh-CN"/>
        </w:rPr>
        <w:t>太炎社区</w:t>
      </w:r>
      <w:r>
        <w:rPr>
          <w:rFonts w:hint="eastAsia" w:ascii="宋体" w:hAnsi="宋体" w:cs="宋体"/>
          <w:color w:val="auto"/>
          <w:kern w:val="0"/>
          <w:sz w:val="24"/>
          <w:szCs w:val="24"/>
          <w:lang w:val="en-US" w:eastAsia="zh-CN"/>
        </w:rPr>
        <w:t>片区化大物业管理区域</w:t>
      </w:r>
      <w:r>
        <w:rPr>
          <w:rFonts w:hint="eastAsia" w:ascii="宋体" w:hAnsi="宋体" w:eastAsia="宋体" w:cs="宋体"/>
          <w:color w:val="auto"/>
          <w:kern w:val="0"/>
          <w:sz w:val="24"/>
          <w:szCs w:val="24"/>
          <w:lang w:val="en-US" w:eastAsia="zh-CN"/>
        </w:rPr>
        <w:t>城市</w:t>
      </w:r>
      <w:r>
        <w:rPr>
          <w:rFonts w:hint="eastAsia" w:ascii="宋体" w:hAnsi="宋体" w:eastAsia="宋体" w:cs="宋体"/>
          <w:color w:val="auto"/>
          <w:kern w:val="0"/>
          <w:sz w:val="24"/>
          <w:szCs w:val="24"/>
        </w:rPr>
        <w:t>道路保洁分类管理考核评分标准》和《仓前街道</w:t>
      </w:r>
      <w:r>
        <w:rPr>
          <w:rFonts w:hint="eastAsia" w:ascii="宋体" w:hAnsi="宋体" w:eastAsia="宋体" w:cs="宋体"/>
          <w:color w:val="auto"/>
          <w:kern w:val="0"/>
          <w:sz w:val="24"/>
          <w:szCs w:val="24"/>
          <w:lang w:val="en-US" w:eastAsia="zh-CN"/>
        </w:rPr>
        <w:t>太炎社区</w:t>
      </w:r>
      <w:r>
        <w:rPr>
          <w:rFonts w:hint="eastAsia" w:ascii="宋体" w:hAnsi="宋体" w:cs="宋体"/>
          <w:color w:val="auto"/>
          <w:kern w:val="0"/>
          <w:sz w:val="24"/>
          <w:szCs w:val="24"/>
          <w:lang w:val="en-US" w:eastAsia="zh-CN"/>
        </w:rPr>
        <w:t>片区化大物业管理区域</w:t>
      </w:r>
      <w:r>
        <w:rPr>
          <w:rFonts w:hint="eastAsia" w:ascii="宋体" w:hAnsi="宋体" w:eastAsia="宋体" w:cs="宋体"/>
          <w:color w:val="auto"/>
          <w:kern w:val="0"/>
          <w:sz w:val="24"/>
          <w:szCs w:val="24"/>
        </w:rPr>
        <w:t>园林绿化养护管理考核评分细则》执行，考核结果纳入当月检查考核成绩。</w:t>
      </w:r>
    </w:p>
    <w:p w14:paraId="5BC2BE25">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（3）清运作业的检查考核</w:t>
      </w:r>
    </w:p>
    <w:p w14:paraId="43A100C6">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1）日常检查。</w:t>
      </w:r>
      <w:r>
        <w:rPr>
          <w:rFonts w:hint="eastAsia" w:ascii="宋体" w:hAnsi="宋体" w:eastAsia="宋体" w:cs="宋体"/>
          <w:color w:val="auto"/>
          <w:kern w:val="0"/>
          <w:sz w:val="24"/>
          <w:szCs w:val="24"/>
        </w:rPr>
        <w:t>检查组在日常巡查中发现垃圾运输车抛洒滴漏、吊挂垃圾、外观不洁等问题进行现场记录，作为道路保洁分类管理检查考核依据。</w:t>
      </w:r>
    </w:p>
    <w:p w14:paraId="1D5B84A9">
      <w:pPr>
        <w:widowControl/>
        <w:tabs>
          <w:tab w:val="left" w:pos="3960"/>
        </w:tabs>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2）评分方式</w:t>
      </w:r>
    </w:p>
    <w:p w14:paraId="52AF68E8">
      <w:pPr>
        <w:widowControl/>
        <w:snapToGrid w:val="0"/>
        <w:spacing w:line="6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每发现一个问题，</w:t>
      </w:r>
      <w:r>
        <w:rPr>
          <w:rFonts w:hint="eastAsia" w:ascii="宋体" w:hAnsi="宋体" w:eastAsia="宋体" w:cs="宋体"/>
          <w:color w:val="auto"/>
          <w:kern w:val="0"/>
          <w:sz w:val="24"/>
          <w:szCs w:val="24"/>
          <w:lang w:val="en-US" w:eastAsia="zh-CN"/>
        </w:rPr>
        <w:t>按照考核表</w:t>
      </w:r>
      <w:r>
        <w:rPr>
          <w:rFonts w:hint="eastAsia" w:ascii="宋体" w:hAnsi="宋体" w:eastAsia="宋体" w:cs="宋体"/>
          <w:color w:val="auto"/>
          <w:kern w:val="0"/>
          <w:sz w:val="24"/>
          <w:szCs w:val="24"/>
        </w:rPr>
        <w:t>当日扣</w:t>
      </w:r>
      <w:r>
        <w:rPr>
          <w:rFonts w:hint="eastAsia" w:ascii="宋体" w:hAnsi="宋体" w:eastAsia="宋体" w:cs="宋体"/>
          <w:color w:val="auto"/>
          <w:kern w:val="0"/>
          <w:sz w:val="24"/>
          <w:szCs w:val="24"/>
          <w:lang w:val="en-US" w:eastAsia="zh-CN"/>
        </w:rPr>
        <w:t>除相应分数</w:t>
      </w:r>
      <w:r>
        <w:rPr>
          <w:rFonts w:hint="eastAsia" w:ascii="宋体" w:hAnsi="宋体" w:eastAsia="宋体" w:cs="宋体"/>
          <w:color w:val="auto"/>
          <w:kern w:val="0"/>
          <w:sz w:val="24"/>
          <w:szCs w:val="24"/>
        </w:rPr>
        <w:t>，累计相加，纳入月考核。</w:t>
      </w:r>
    </w:p>
    <w:p w14:paraId="4FADDBBF">
      <w:pPr>
        <w:widowControl/>
        <w:tabs>
          <w:tab w:val="left" w:pos="3960"/>
        </w:tabs>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4</w:t>
      </w:r>
      <w:r>
        <w:rPr>
          <w:rFonts w:hint="eastAsia" w:ascii="宋体" w:hAnsi="宋体" w:eastAsia="宋体" w:cs="宋体"/>
          <w:b/>
          <w:bCs/>
          <w:color w:val="auto"/>
          <w:kern w:val="0"/>
          <w:sz w:val="24"/>
          <w:szCs w:val="24"/>
        </w:rPr>
        <w:t>）道路保洁作业的检查考核</w:t>
      </w:r>
    </w:p>
    <w:p w14:paraId="436CEC4F">
      <w:pPr>
        <w:widowControl/>
        <w:snapToGrid w:val="0"/>
        <w:spacing w:line="60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1）日常检查。</w:t>
      </w:r>
      <w:r>
        <w:rPr>
          <w:rFonts w:hint="eastAsia" w:ascii="宋体" w:hAnsi="宋体" w:eastAsia="宋体" w:cs="宋体"/>
          <w:color w:val="auto"/>
          <w:kern w:val="0"/>
          <w:sz w:val="24"/>
          <w:szCs w:val="24"/>
        </w:rPr>
        <w:t>检查组在日常巡查中发现道路保洁不清洁点位进行现场记录，作为道路保洁分类管理检查考核依据。</w:t>
      </w:r>
    </w:p>
    <w:p w14:paraId="083708CA">
      <w:pPr>
        <w:widowControl/>
        <w:tabs>
          <w:tab w:val="left" w:pos="3960"/>
        </w:tabs>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2）评分方式</w:t>
      </w:r>
    </w:p>
    <w:p w14:paraId="30CE74B5">
      <w:pPr>
        <w:widowControl/>
        <w:snapToGrid w:val="0"/>
        <w:spacing w:line="6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每发现一个问题，</w:t>
      </w:r>
      <w:r>
        <w:rPr>
          <w:rFonts w:hint="eastAsia" w:ascii="宋体" w:hAnsi="宋体" w:eastAsia="宋体" w:cs="宋体"/>
          <w:color w:val="auto"/>
          <w:kern w:val="0"/>
          <w:sz w:val="24"/>
          <w:szCs w:val="24"/>
          <w:lang w:val="en-US" w:eastAsia="zh-CN"/>
        </w:rPr>
        <w:t>按照考核表</w:t>
      </w:r>
      <w:r>
        <w:rPr>
          <w:rFonts w:hint="eastAsia" w:ascii="宋体" w:hAnsi="宋体" w:eastAsia="宋体" w:cs="宋体"/>
          <w:color w:val="auto"/>
          <w:kern w:val="0"/>
          <w:sz w:val="24"/>
          <w:szCs w:val="24"/>
        </w:rPr>
        <w:t>当日扣</w:t>
      </w:r>
      <w:r>
        <w:rPr>
          <w:rFonts w:hint="eastAsia" w:ascii="宋体" w:hAnsi="宋体" w:eastAsia="宋体" w:cs="宋体"/>
          <w:color w:val="auto"/>
          <w:kern w:val="0"/>
          <w:sz w:val="24"/>
          <w:szCs w:val="24"/>
          <w:lang w:val="en-US" w:eastAsia="zh-CN"/>
        </w:rPr>
        <w:t>除相应分数</w:t>
      </w:r>
      <w:r>
        <w:rPr>
          <w:rFonts w:hint="eastAsia" w:ascii="宋体" w:hAnsi="宋体" w:eastAsia="宋体" w:cs="宋体"/>
          <w:color w:val="auto"/>
          <w:kern w:val="0"/>
          <w:sz w:val="24"/>
          <w:szCs w:val="24"/>
        </w:rPr>
        <w:t>，累计相加，纳入月考核。</w:t>
      </w:r>
    </w:p>
    <w:p w14:paraId="1E103888">
      <w:pPr>
        <w:widowControl/>
        <w:snapToGrid w:val="0"/>
        <w:spacing w:line="6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序化</w:t>
      </w:r>
      <w:r>
        <w:rPr>
          <w:rFonts w:hint="eastAsia" w:ascii="宋体" w:hAnsi="宋体" w:cs="宋体"/>
          <w:b/>
          <w:bCs/>
          <w:color w:val="auto"/>
          <w:kern w:val="0"/>
          <w:sz w:val="24"/>
          <w:szCs w:val="24"/>
          <w:lang w:val="en-US" w:eastAsia="zh-CN"/>
        </w:rPr>
        <w:t>管理</w:t>
      </w:r>
      <w:r>
        <w:rPr>
          <w:rFonts w:hint="eastAsia" w:ascii="宋体" w:hAnsi="宋体" w:eastAsia="宋体" w:cs="宋体"/>
          <w:b/>
          <w:bCs/>
          <w:color w:val="auto"/>
          <w:kern w:val="0"/>
          <w:sz w:val="24"/>
          <w:szCs w:val="24"/>
          <w:lang w:val="en-US" w:eastAsia="zh-CN"/>
        </w:rPr>
        <w:t>的考核</w:t>
      </w:r>
    </w:p>
    <w:p w14:paraId="0EE498E6">
      <w:pPr>
        <w:widowControl/>
        <w:snapToGrid w:val="0"/>
        <w:spacing w:line="600" w:lineRule="exact"/>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1）日常检查。</w:t>
      </w:r>
      <w:r>
        <w:rPr>
          <w:rFonts w:hint="eastAsia" w:ascii="宋体" w:hAnsi="宋体" w:eastAsia="宋体" w:cs="宋体"/>
          <w:color w:val="auto"/>
          <w:kern w:val="0"/>
          <w:sz w:val="24"/>
          <w:szCs w:val="24"/>
          <w:highlight w:val="none"/>
          <w:lang w:val="en-US" w:eastAsia="zh-CN"/>
        </w:rPr>
        <w:t>检差组在日常巡查中发现序化安全员形象、工作规范等问题进行现场记录，作为序化安全作业检查考核依据。</w:t>
      </w:r>
    </w:p>
    <w:p w14:paraId="68977E4D">
      <w:pPr>
        <w:pStyle w:val="3"/>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2）评分方式。</w:t>
      </w:r>
    </w:p>
    <w:p w14:paraId="1C5DA95E">
      <w:pPr>
        <w:widowControl/>
        <w:snapToGrid w:val="0"/>
        <w:spacing w:line="6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每发现一个问题，</w:t>
      </w:r>
      <w:r>
        <w:rPr>
          <w:rFonts w:hint="eastAsia" w:ascii="宋体" w:hAnsi="宋体" w:eastAsia="宋体" w:cs="宋体"/>
          <w:color w:val="auto"/>
          <w:kern w:val="0"/>
          <w:sz w:val="24"/>
          <w:szCs w:val="24"/>
          <w:lang w:val="en-US" w:eastAsia="zh-CN"/>
        </w:rPr>
        <w:t>按照考核表</w:t>
      </w:r>
      <w:r>
        <w:rPr>
          <w:rFonts w:hint="eastAsia" w:ascii="宋体" w:hAnsi="宋体" w:eastAsia="宋体" w:cs="宋体"/>
          <w:color w:val="auto"/>
          <w:kern w:val="0"/>
          <w:sz w:val="24"/>
          <w:szCs w:val="24"/>
        </w:rPr>
        <w:t>当日扣</w:t>
      </w:r>
      <w:r>
        <w:rPr>
          <w:rFonts w:hint="eastAsia" w:ascii="宋体" w:hAnsi="宋体" w:eastAsia="宋体" w:cs="宋体"/>
          <w:color w:val="auto"/>
          <w:kern w:val="0"/>
          <w:sz w:val="24"/>
          <w:szCs w:val="24"/>
          <w:lang w:val="en-US" w:eastAsia="zh-CN"/>
        </w:rPr>
        <w:t>除相应分数</w:t>
      </w:r>
      <w:r>
        <w:rPr>
          <w:rFonts w:hint="eastAsia" w:ascii="宋体" w:hAnsi="宋体" w:eastAsia="宋体" w:cs="宋体"/>
          <w:color w:val="auto"/>
          <w:kern w:val="0"/>
          <w:sz w:val="24"/>
          <w:szCs w:val="24"/>
        </w:rPr>
        <w:t>，累计相加，纳入月考核。</w:t>
      </w:r>
    </w:p>
    <w:p w14:paraId="2B3CB3BA">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6</w:t>
      </w:r>
      <w:r>
        <w:rPr>
          <w:rFonts w:hint="eastAsia" w:ascii="宋体" w:hAnsi="宋体" w:eastAsia="宋体" w:cs="宋体"/>
          <w:b/>
          <w:bCs/>
          <w:color w:val="auto"/>
          <w:kern w:val="0"/>
          <w:sz w:val="24"/>
          <w:szCs w:val="24"/>
        </w:rPr>
        <w:t>）绿化养护的检查考核</w:t>
      </w:r>
    </w:p>
    <w:p w14:paraId="5F2764B5">
      <w:pPr>
        <w:widowControl/>
        <w:numPr>
          <w:ilvl w:val="-1"/>
          <w:numId w:val="0"/>
        </w:numPr>
        <w:snapToGrid w:val="0"/>
        <w:spacing w:line="600" w:lineRule="exact"/>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日常不定期对</w:t>
      </w:r>
      <w:r>
        <w:rPr>
          <w:rFonts w:hint="eastAsia" w:ascii="宋体" w:hAnsi="宋体" w:eastAsia="宋体" w:cs="宋体"/>
          <w:color w:val="auto"/>
          <w:kern w:val="0"/>
          <w:sz w:val="24"/>
          <w:szCs w:val="24"/>
          <w:lang w:val="en-US" w:eastAsia="zh-CN"/>
        </w:rPr>
        <w:t>区域内</w:t>
      </w:r>
      <w:r>
        <w:rPr>
          <w:rFonts w:hint="eastAsia" w:ascii="宋体" w:hAnsi="宋体" w:eastAsia="宋体" w:cs="宋体"/>
          <w:color w:val="auto"/>
          <w:kern w:val="0"/>
          <w:sz w:val="24"/>
          <w:szCs w:val="24"/>
        </w:rPr>
        <w:t>绿地养护质量情况进行的监督和抽查。随机抽取检查绿化养护每周不得少于2次，每次检查覆盖率达到60%以上。随机抽取检查中不符合养护质量要求的绿地，以文字和图象记录，并发出整改通知书；随机检查中问题按照每个问题扣（-0.05分），逾期未整改问题按照每个问题扣（-0.1分）分值计入当月考核成绩。</w:t>
      </w:r>
    </w:p>
    <w:p w14:paraId="59C8222E">
      <w:pPr>
        <w:widowControl/>
        <w:numPr>
          <w:ilvl w:val="0"/>
          <w:numId w:val="1"/>
        </w:numPr>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专项督查考核</w:t>
      </w:r>
    </w:p>
    <w:p w14:paraId="120A33A7">
      <w:pPr>
        <w:widowControl/>
        <w:numPr>
          <w:ilvl w:val="0"/>
          <w:numId w:val="0"/>
        </w:numPr>
        <w:snapToGrid w:val="0"/>
        <w:spacing w:line="600" w:lineRule="exact"/>
        <w:ind w:firstLine="0" w:firstLineChars="0"/>
        <w:jc w:val="left"/>
        <w:rPr>
          <w:rFonts w:hint="eastAsia" w:ascii="宋体" w:hAnsi="宋体" w:eastAsia="宋体" w:cs="宋体"/>
          <w:color w:val="auto"/>
          <w:kern w:val="0"/>
          <w:sz w:val="24"/>
          <w:szCs w:val="24"/>
        </w:rPr>
      </w:pPr>
      <w:r>
        <w:rPr>
          <w:rFonts w:hint="eastAsia" w:ascii="宋体" w:hAnsi="宋体" w:cs="宋体"/>
          <w:b/>
          <w:bCs/>
          <w:color w:val="auto"/>
          <w:kern w:val="0"/>
          <w:sz w:val="24"/>
          <w:szCs w:val="24"/>
          <w:lang w:val="en-US" w:eastAsia="zh-CN"/>
        </w:rPr>
        <w:t xml:space="preserve">    </w:t>
      </w:r>
      <w:r>
        <w:rPr>
          <w:rFonts w:hint="eastAsia" w:ascii="宋体" w:hAnsi="宋体" w:eastAsia="宋体" w:cs="宋体"/>
          <w:color w:val="auto"/>
          <w:kern w:val="0"/>
          <w:sz w:val="24"/>
          <w:szCs w:val="24"/>
        </w:rPr>
        <w:t>区长公开电话受理、领导督办、政务平台市民投诉的问题在规定期限内整改解决的按评分标准从当月考核中直接扣1分，未在规定期限内整改解决的按评分标准从当月考核中直接扣2分；新闻媒体曝光、区级以上检查失分、重大活动保障不力的保洁问题经确认有责的按评分标准从当月扣2分，并视情节予以通报处罚。瞒报交通事故的经查实按考核评分标准在当月中直接扣2分。</w:t>
      </w:r>
    </w:p>
    <w:p w14:paraId="43C736A9">
      <w:pPr>
        <w:widowControl/>
        <w:tabs>
          <w:tab w:val="left" w:pos="3960"/>
        </w:tabs>
        <w:snapToGrid w:val="0"/>
        <w:spacing w:line="6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检查时发现途经的道路（街巷）保洁问题多，保洁质量差，及时摄录现状情况，并第一时间告知相关责任单位立即整改，同时扣0.05分。若复查发现整改不力的，每发生一次所在标段当月扣0.2分，计入当月考核成绩。</w:t>
      </w:r>
    </w:p>
    <w:p w14:paraId="4C1A6648">
      <w:pPr>
        <w:widowControl/>
        <w:tabs>
          <w:tab w:val="left" w:pos="3960"/>
        </w:tabs>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8</w:t>
      </w:r>
      <w:r>
        <w:rPr>
          <w:rFonts w:hint="eastAsia" w:ascii="宋体" w:hAnsi="宋体" w:eastAsia="宋体" w:cs="宋体"/>
          <w:b/>
          <w:bCs/>
          <w:color w:val="auto"/>
          <w:kern w:val="0"/>
          <w:sz w:val="24"/>
          <w:szCs w:val="24"/>
        </w:rPr>
        <w:t>）对影响检查考核行为的处理</w:t>
      </w:r>
    </w:p>
    <w:p w14:paraId="6EFBFFED">
      <w:pPr>
        <w:widowControl/>
        <w:tabs>
          <w:tab w:val="left" w:pos="3960"/>
        </w:tabs>
        <w:snapToGrid w:val="0"/>
        <w:spacing w:line="6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各标段要严格按照招标文件规定积极做好道路日常保洁工作，要对台帐资料的真实性、准确性负责，不得采用不正常方式应对检查。对影响妨碍检查考核工作正常进行的行为，按下列规定处理：</w:t>
      </w:r>
    </w:p>
    <w:p w14:paraId="79BA1044">
      <w:pPr>
        <w:widowControl/>
        <w:snapToGrid w:val="0"/>
        <w:spacing w:line="600" w:lineRule="exact"/>
        <w:ind w:firstLine="472" w:firstLineChars="196"/>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color w:val="auto"/>
          <w:kern w:val="0"/>
          <w:sz w:val="24"/>
          <w:szCs w:val="24"/>
        </w:rPr>
        <w:t>采用不正常方式有意妨碍、干扰正常检查考核秩序的，每次扣0.05分，扣分值计入所在标段当月考核成绩。</w:t>
      </w:r>
    </w:p>
    <w:p w14:paraId="5882BCA9">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w:t>
      </w:r>
      <w:r>
        <w:rPr>
          <w:rFonts w:hint="eastAsia" w:ascii="宋体" w:hAnsi="宋体" w:eastAsia="宋体" w:cs="宋体"/>
          <w:color w:val="auto"/>
          <w:kern w:val="0"/>
          <w:sz w:val="24"/>
          <w:szCs w:val="24"/>
        </w:rPr>
        <w:t>检查时，阻挠、延误检查人员开展检查的，每次扣0.1分；保洁管理人员或保洁员在检查组周边进行突击保洁影响正常检查的，每次扣0.05分；扣分值计入所在区当月考核成绩。</w:t>
      </w:r>
    </w:p>
    <w:p w14:paraId="4A3A7C48">
      <w:pPr>
        <w:widowControl/>
        <w:tabs>
          <w:tab w:val="left" w:pos="180"/>
        </w:tabs>
        <w:snapToGrid w:val="0"/>
        <w:spacing w:line="6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检查组初步认定为跟踪、突击保洁行为的，可立即停止对该道路（街巷）的检查，另行安排时间重新检查考核，确保检查考核结果的真实性和公平性。</w:t>
      </w:r>
    </w:p>
    <w:p w14:paraId="5F5237E2">
      <w:pPr>
        <w:snapToGrid w:val="0"/>
        <w:spacing w:line="600" w:lineRule="exact"/>
        <w:ind w:left="0" w:leftChars="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.3考核计分方法</w:t>
      </w:r>
    </w:p>
    <w:p w14:paraId="6E64C5D4">
      <w:pPr>
        <w:widowControl/>
        <w:snapToGrid w:val="0"/>
        <w:spacing w:line="600" w:lineRule="exact"/>
        <w:ind w:firstLine="470" w:firstLineChars="195"/>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（1）月度检查考核成绩计算</w:t>
      </w:r>
    </w:p>
    <w:p w14:paraId="300E61C8">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保洁月度考核成绩：每条道路（街巷）的检</w:t>
      </w:r>
      <w:r>
        <w:rPr>
          <w:rFonts w:hint="eastAsia" w:ascii="宋体" w:hAnsi="宋体" w:eastAsia="宋体" w:cs="宋体"/>
          <w:color w:val="auto"/>
          <w:kern w:val="0"/>
          <w:sz w:val="24"/>
          <w:szCs w:val="24"/>
          <w:highlight w:val="none"/>
        </w:rPr>
        <w:t>查考核均按百分制计算，根据现场检查得分计算出每条道路（街巷）实际分值。某条道路（街巷）当月检查次数2次（含）以上，当作2条（含）以上道路（街巷）计算。月度考核得分按</w:t>
      </w:r>
      <w:r>
        <w:rPr>
          <w:rFonts w:hint="eastAsia" w:ascii="宋体" w:hAnsi="宋体" w:cs="宋体"/>
          <w:color w:val="auto"/>
          <w:kern w:val="0"/>
          <w:sz w:val="24"/>
          <w:szCs w:val="24"/>
          <w:highlight w:val="none"/>
          <w:lang w:val="en-US" w:eastAsia="zh-CN"/>
        </w:rPr>
        <w:t>社区</w:t>
      </w:r>
      <w:r>
        <w:rPr>
          <w:rFonts w:hint="eastAsia" w:ascii="宋体" w:hAnsi="宋体" w:eastAsia="宋体" w:cs="宋体"/>
          <w:color w:val="auto"/>
          <w:kern w:val="0"/>
          <w:sz w:val="24"/>
          <w:szCs w:val="24"/>
          <w:highlight w:val="none"/>
        </w:rPr>
        <w:t>与</w:t>
      </w:r>
      <w:r>
        <w:rPr>
          <w:rFonts w:hint="eastAsia" w:ascii="宋体" w:hAnsi="宋体" w:cs="宋体"/>
          <w:color w:val="auto"/>
          <w:kern w:val="0"/>
          <w:sz w:val="24"/>
          <w:szCs w:val="24"/>
          <w:highlight w:val="none"/>
          <w:lang w:val="en-US" w:eastAsia="zh-CN"/>
        </w:rPr>
        <w:t>农村</w:t>
      </w:r>
      <w:r>
        <w:rPr>
          <w:rFonts w:hint="eastAsia" w:ascii="宋体" w:hAnsi="宋体" w:eastAsia="宋体" w:cs="宋体"/>
          <w:color w:val="auto"/>
          <w:kern w:val="0"/>
          <w:sz w:val="24"/>
          <w:szCs w:val="24"/>
          <w:highlight w:val="none"/>
        </w:rPr>
        <w:t>治理</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中心月考核扣除的分数相加计算结果精确至小数点后两位。</w:t>
      </w:r>
    </w:p>
    <w:p w14:paraId="273CF3DD">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绿化养护月度检查考核成绩计算：根据随机抽取检查、定期检查、上级检查、</w:t>
      </w:r>
      <w:r>
        <w:rPr>
          <w:rFonts w:hint="eastAsia" w:ascii="宋体" w:hAnsi="宋体" w:eastAsia="宋体" w:cs="宋体"/>
          <w:color w:val="auto"/>
          <w:kern w:val="0"/>
          <w:sz w:val="24"/>
          <w:szCs w:val="24"/>
          <w:highlight w:val="none"/>
          <w:lang w:val="en-US" w:eastAsia="zh-CN"/>
        </w:rPr>
        <w:t>仓前</w:t>
      </w:r>
      <w:r>
        <w:rPr>
          <w:rFonts w:hint="eastAsia" w:ascii="宋体" w:hAnsi="宋体" w:eastAsia="宋体" w:cs="宋体"/>
          <w:color w:val="auto"/>
          <w:kern w:val="0"/>
          <w:sz w:val="24"/>
          <w:szCs w:val="24"/>
          <w:highlight w:val="none"/>
        </w:rPr>
        <w:t>街道数字城管采集问题等实际发生量来计算，月度考核得分计算结果精确至小数点后两位。</w:t>
      </w:r>
    </w:p>
    <w:p w14:paraId="0867DFD5">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月度考核成绩=保洁月度考核的80%+绿化养护月度考核的20%</w:t>
      </w:r>
    </w:p>
    <w:p w14:paraId="01EE5995">
      <w:pPr>
        <w:widowControl/>
        <w:snapToGrid w:val="0"/>
        <w:spacing w:line="600" w:lineRule="exact"/>
        <w:ind w:firstLine="48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序化管理月度考核按考核成绩计算：</w:t>
      </w:r>
      <w:r>
        <w:rPr>
          <w:rFonts w:hint="eastAsia" w:ascii="宋体" w:hAnsi="宋体" w:cs="宋体"/>
          <w:color w:val="auto"/>
          <w:kern w:val="0"/>
          <w:sz w:val="24"/>
          <w:highlight w:val="none"/>
        </w:rPr>
        <w:t>根据随机抽取检查、定期检查、上级检查、考核检查小组等实际发生量来计算，月度考核得分计算结果精确至小数点后两位。</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市政管网清污</w:t>
      </w:r>
      <w:r>
        <w:rPr>
          <w:rFonts w:hint="eastAsia" w:ascii="宋体" w:hAnsi="宋体" w:cs="宋体"/>
          <w:color w:val="auto"/>
          <w:kern w:val="0"/>
          <w:sz w:val="24"/>
          <w:highlight w:val="none"/>
          <w:lang w:val="en-US" w:eastAsia="zh-CN"/>
        </w:rPr>
        <w:t>月度考核按考核成绩计算：</w:t>
      </w:r>
      <w:r>
        <w:rPr>
          <w:rFonts w:hint="eastAsia" w:ascii="宋体" w:hAnsi="宋体" w:cs="宋体"/>
          <w:color w:val="auto"/>
          <w:kern w:val="0"/>
          <w:sz w:val="24"/>
          <w:highlight w:val="none"/>
        </w:rPr>
        <w:t>根据随机抽取检查、定期检查、考核检查小组等实际发生量来计算，月度考核得分计算结果精确至小数点后两位。</w:t>
      </w:r>
    </w:p>
    <w:p w14:paraId="119A03DF">
      <w:pPr>
        <w:widowControl/>
        <w:snapToGrid w:val="0"/>
        <w:spacing w:line="6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（2）季度、年度检查考核成绩计算</w:t>
      </w:r>
    </w:p>
    <w:p w14:paraId="6A71BCB5">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1）季度考核成绩＝每月度检查考核成绩得分之和÷3。</w:t>
      </w:r>
    </w:p>
    <w:p w14:paraId="03868872">
      <w:pPr>
        <w:widowControl/>
        <w:snapToGrid w:val="0"/>
        <w:spacing w:line="600" w:lineRule="exact"/>
        <w:ind w:firstLine="480"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pacing w:val="-6"/>
          <w:kern w:val="0"/>
          <w:sz w:val="24"/>
          <w:szCs w:val="24"/>
          <w:highlight w:val="none"/>
        </w:rPr>
        <w:t>年度考核成绩＝每季度检查考核成绩得分之和÷4。</w:t>
      </w:r>
    </w:p>
    <w:p w14:paraId="126986DB">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3）季度、年度考核成绩计算结果精确至小数点后两位。</w:t>
      </w:r>
    </w:p>
    <w:p w14:paraId="661D692C">
      <w:pPr>
        <w:snapToGrid w:val="0"/>
        <w:spacing w:line="600" w:lineRule="exact"/>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1.4保障与奖惩措施</w:t>
      </w:r>
    </w:p>
    <w:p w14:paraId="18444516">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（1）人员保障，</w:t>
      </w:r>
      <w:r>
        <w:rPr>
          <w:rFonts w:hint="eastAsia" w:ascii="宋体" w:hAnsi="宋体" w:eastAsia="宋体" w:cs="宋体"/>
          <w:color w:val="auto"/>
          <w:kern w:val="0"/>
          <w:sz w:val="24"/>
          <w:szCs w:val="24"/>
          <w:highlight w:val="none"/>
        </w:rPr>
        <w:t>检查考核人员原则上由</w:t>
      </w:r>
      <w:r>
        <w:rPr>
          <w:rFonts w:hint="eastAsia" w:ascii="宋体" w:hAnsi="宋体" w:eastAsia="宋体" w:cs="宋体"/>
          <w:color w:val="auto"/>
          <w:kern w:val="0"/>
          <w:sz w:val="24"/>
          <w:szCs w:val="24"/>
          <w:highlight w:val="none"/>
          <w:lang w:val="en-US" w:eastAsia="zh-CN"/>
        </w:rPr>
        <w:t>仓前街道</w:t>
      </w:r>
      <w:r>
        <w:rPr>
          <w:rFonts w:hint="eastAsia" w:ascii="宋体" w:hAnsi="宋体" w:cs="宋体"/>
          <w:color w:val="auto"/>
          <w:kern w:val="0"/>
          <w:sz w:val="24"/>
          <w:szCs w:val="24"/>
          <w:highlight w:val="none"/>
          <w:lang w:val="en-US" w:eastAsia="zh-CN"/>
        </w:rPr>
        <w:t>社区与农村治理服务中心牵头召集相关职能科室代表</w:t>
      </w:r>
      <w:r>
        <w:rPr>
          <w:rFonts w:hint="eastAsia" w:ascii="宋体" w:hAnsi="宋体" w:eastAsia="宋体" w:cs="宋体"/>
          <w:color w:val="auto"/>
          <w:kern w:val="0"/>
          <w:sz w:val="24"/>
          <w:szCs w:val="24"/>
          <w:highlight w:val="none"/>
        </w:rPr>
        <w:t>组成。</w:t>
      </w:r>
    </w:p>
    <w:p w14:paraId="5AF70E5F">
      <w:pPr>
        <w:widowControl/>
        <w:snapToGrid w:val="0"/>
        <w:spacing w:line="600" w:lineRule="exact"/>
        <w:ind w:firstLine="470" w:firstLineChars="19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（2）纪律监督</w:t>
      </w:r>
      <w:r>
        <w:rPr>
          <w:rFonts w:hint="eastAsia" w:ascii="宋体" w:hAnsi="宋体" w:eastAsia="宋体" w:cs="宋体"/>
          <w:color w:val="auto"/>
          <w:kern w:val="0"/>
          <w:sz w:val="24"/>
          <w:szCs w:val="24"/>
          <w:highlight w:val="none"/>
        </w:rPr>
        <w:t>。检查考核人员要做到廉洁自律，秉公办事，文明工作，严格检查考核纪律，严格执行检查考核操作规程。检查组成员在检查考核期间一律不得使用私人通讯工具，严禁泄漏检查考核中抽签内容、检查路线、考核成绩等信息。要自觉接受监督，做到检查考核工作客观、透明、公正。</w:t>
      </w:r>
    </w:p>
    <w:p w14:paraId="566ABFF1">
      <w:pPr>
        <w:widowControl/>
        <w:snapToGrid w:val="0"/>
        <w:spacing w:line="600" w:lineRule="exact"/>
        <w:ind w:firstLine="470" w:firstLineChars="19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（3）信息查询。</w:t>
      </w:r>
      <w:r>
        <w:rPr>
          <w:rFonts w:hint="eastAsia" w:ascii="宋体" w:hAnsi="宋体" w:eastAsia="宋体" w:cs="宋体"/>
          <w:color w:val="auto"/>
          <w:kern w:val="0"/>
          <w:sz w:val="24"/>
          <w:szCs w:val="24"/>
          <w:highlight w:val="none"/>
        </w:rPr>
        <w:t>检查考核的全过程对外公开，检查考核的信息和结果公开透明,接受监督和查询。</w:t>
      </w:r>
    </w:p>
    <w:p w14:paraId="389DA717">
      <w:pPr>
        <w:tabs>
          <w:tab w:val="left" w:pos="8400"/>
        </w:tabs>
        <w:spacing w:line="60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（4）奖惩措施。</w:t>
      </w:r>
      <w:r>
        <w:rPr>
          <w:rFonts w:hint="eastAsia" w:ascii="宋体" w:hAnsi="宋体" w:eastAsia="宋体" w:cs="宋体"/>
          <w:color w:val="auto"/>
          <w:sz w:val="24"/>
          <w:szCs w:val="24"/>
          <w:highlight w:val="none"/>
        </w:rPr>
        <w:t>月度考核成绩得分在9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分（含）以上的，全额支付当月</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费；月度考核得分在</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0分（含）的，9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分以下每扣0.1分扣除当月</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费总额的0.1%，以此类推；月度考核得分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0分以下的，除按上述标准扣除外，再加扣</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0分以下每失0.1分扣除当月保洁及绿化养护经费总额的0.2%，以此类推。市级抄告A类问题每个问题扣200元，B类问题每个问题扣400元，C类问题每个问题扣600元。区级抄告每个问题扣200元。</w:t>
      </w:r>
    </w:p>
    <w:p w14:paraId="1C8B7F36">
      <w:pPr>
        <w:tabs>
          <w:tab w:val="left" w:pos="8400"/>
        </w:tabs>
        <w:spacing w:line="600" w:lineRule="exact"/>
        <w:ind w:firstLine="0" w:firstLineChars="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具体考核标准如下：</w:t>
      </w:r>
    </w:p>
    <w:p w14:paraId="4CF44BB6">
      <w:pPr>
        <w:ind w:firstLine="241" w:firstLineChars="1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、余杭区仓前街道</w:t>
      </w:r>
      <w:r>
        <w:rPr>
          <w:rFonts w:hint="eastAsia" w:ascii="宋体" w:hAnsi="宋体" w:eastAsia="宋体" w:cs="宋体"/>
          <w:b/>
          <w:bCs/>
          <w:color w:val="auto"/>
          <w:kern w:val="0"/>
          <w:sz w:val="24"/>
          <w:szCs w:val="24"/>
          <w:lang w:val="en-US" w:eastAsia="zh-CN"/>
        </w:rPr>
        <w:t>太炎社区片区化大物业管理区域</w:t>
      </w:r>
      <w:r>
        <w:rPr>
          <w:rFonts w:hint="eastAsia" w:ascii="宋体" w:hAnsi="宋体" w:eastAsia="宋体" w:cs="宋体"/>
          <w:b/>
          <w:bCs/>
          <w:color w:val="auto"/>
          <w:kern w:val="0"/>
          <w:sz w:val="24"/>
          <w:szCs w:val="24"/>
        </w:rPr>
        <w:t>城市道路保洁分类管理考核评分标准</w:t>
      </w:r>
    </w:p>
    <w:tbl>
      <w:tblPr>
        <w:tblStyle w:val="62"/>
        <w:tblW w:w="95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723"/>
        <w:gridCol w:w="655"/>
        <w:gridCol w:w="2898"/>
        <w:gridCol w:w="4112"/>
        <w:gridCol w:w="634"/>
      </w:tblGrid>
      <w:tr w14:paraId="5C09A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569" w:type="dxa"/>
            <w:vAlign w:val="center"/>
          </w:tcPr>
          <w:p w14:paraId="4469A123">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723" w:type="dxa"/>
            <w:vAlign w:val="center"/>
          </w:tcPr>
          <w:p w14:paraId="5F1CE89E">
            <w:pPr>
              <w:widowControl/>
              <w:snapToGrid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检查</w:t>
            </w:r>
          </w:p>
          <w:p w14:paraId="01D71414">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项目</w:t>
            </w:r>
          </w:p>
        </w:tc>
        <w:tc>
          <w:tcPr>
            <w:tcW w:w="655" w:type="dxa"/>
            <w:vAlign w:val="center"/>
          </w:tcPr>
          <w:p w14:paraId="16283934">
            <w:pPr>
              <w:widowControl/>
              <w:snapToGrid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检查</w:t>
            </w:r>
          </w:p>
          <w:p w14:paraId="6605F5D1">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方式</w:t>
            </w:r>
          </w:p>
        </w:tc>
        <w:tc>
          <w:tcPr>
            <w:tcW w:w="2898" w:type="dxa"/>
            <w:vAlign w:val="center"/>
          </w:tcPr>
          <w:p w14:paraId="499BF3A3">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管理作业标准</w:t>
            </w:r>
          </w:p>
        </w:tc>
        <w:tc>
          <w:tcPr>
            <w:tcW w:w="4112" w:type="dxa"/>
            <w:vAlign w:val="center"/>
          </w:tcPr>
          <w:p w14:paraId="47989EC8">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评分标准</w:t>
            </w:r>
          </w:p>
        </w:tc>
        <w:tc>
          <w:tcPr>
            <w:tcW w:w="634" w:type="dxa"/>
            <w:vAlign w:val="center"/>
          </w:tcPr>
          <w:p w14:paraId="7A7E0043">
            <w:pPr>
              <w:jc w:val="center"/>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考评得分</w:t>
            </w:r>
          </w:p>
        </w:tc>
      </w:tr>
      <w:tr w14:paraId="46CF9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58190AB6">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w:t>
            </w:r>
          </w:p>
        </w:tc>
        <w:tc>
          <w:tcPr>
            <w:tcW w:w="723" w:type="dxa"/>
            <w:vMerge w:val="restart"/>
            <w:vAlign w:val="center"/>
          </w:tcPr>
          <w:p w14:paraId="798BE125">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管理指标落实情况</w:t>
            </w:r>
          </w:p>
        </w:tc>
        <w:tc>
          <w:tcPr>
            <w:tcW w:w="655" w:type="dxa"/>
            <w:vMerge w:val="restart"/>
            <w:vAlign w:val="center"/>
          </w:tcPr>
          <w:p w14:paraId="2EC2688E">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台账检查现场检查</w:t>
            </w:r>
          </w:p>
        </w:tc>
        <w:tc>
          <w:tcPr>
            <w:tcW w:w="2898" w:type="dxa"/>
            <w:vAlign w:val="center"/>
          </w:tcPr>
          <w:p w14:paraId="6DAAEDC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1、按照区保洁分级分类管理定额要求落实道路保洁各项指标。</w:t>
            </w:r>
          </w:p>
        </w:tc>
        <w:tc>
          <w:tcPr>
            <w:tcW w:w="4112" w:type="dxa"/>
            <w:vAlign w:val="center"/>
          </w:tcPr>
          <w:p w14:paraId="77E2F533">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1、道路保洁时间未达到规定时间要求的，每条道路每次扣8分，保洁人员配置未达到规定要求的每条道路少一人扣2分，机械设备配置未达到要求的每少一项扣4分。</w:t>
            </w:r>
          </w:p>
        </w:tc>
        <w:tc>
          <w:tcPr>
            <w:tcW w:w="634" w:type="dxa"/>
            <w:vAlign w:val="center"/>
          </w:tcPr>
          <w:p w14:paraId="4371A598">
            <w:pPr>
              <w:widowControl/>
              <w:snapToGrid w:val="0"/>
              <w:spacing w:line="240" w:lineRule="auto"/>
              <w:ind w:firstLine="480" w:firstLineChars="200"/>
              <w:jc w:val="center"/>
              <w:rPr>
                <w:rFonts w:hint="eastAsia" w:ascii="宋体" w:hAnsi="宋体" w:eastAsia="宋体" w:cs="宋体"/>
                <w:color w:val="auto"/>
                <w:kern w:val="0"/>
                <w:sz w:val="24"/>
                <w:szCs w:val="24"/>
              </w:rPr>
            </w:pPr>
          </w:p>
        </w:tc>
      </w:tr>
      <w:tr w14:paraId="6BF35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484B45E6">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5F1BA8F4">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21A41A87">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7FC1B40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2、洒水、机扫、清洗频次达到规定</w:t>
            </w:r>
          </w:p>
          <w:p w14:paraId="1AB815E0">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的要求。道路每日首次普扫采取机械化和人工相结合的清扫方式。洒水车、扫路车按计划出车，出车台账资料齐全；</w:t>
            </w:r>
          </w:p>
          <w:p w14:paraId="4E1213D8">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需调整洒水、机扫、清洗作业计划的，应提前上报调整后的作业计划。</w:t>
            </w:r>
          </w:p>
        </w:tc>
        <w:tc>
          <w:tcPr>
            <w:tcW w:w="4112" w:type="dxa"/>
            <w:vAlign w:val="center"/>
          </w:tcPr>
          <w:p w14:paraId="07E31DF5">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道路洒水、机扫、清洗频次未达到规定要求的，每少1次，所在标段当月清洁度扣0.1分，作业未完成整个频次或未覆盖全路段的，每发生1次，所在标段当月清洁度扣0.05分；道路洒水、机扫空驶的，每发生1次，所在标段当月清洁度扣0.1分。首次普扫未落实扫路车清扫的，每发生1次，所在标段当月清洁度扣0.2分。</w:t>
            </w:r>
          </w:p>
          <w:p w14:paraId="63E8189E">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未提前上报调整后作业计划的，按原计划检查考核。</w:t>
            </w:r>
          </w:p>
        </w:tc>
        <w:tc>
          <w:tcPr>
            <w:tcW w:w="634" w:type="dxa"/>
            <w:vAlign w:val="center"/>
          </w:tcPr>
          <w:p w14:paraId="0DEC2124">
            <w:pPr>
              <w:widowControl/>
              <w:snapToGrid w:val="0"/>
              <w:spacing w:line="240" w:lineRule="auto"/>
              <w:ind w:firstLine="480" w:firstLineChars="200"/>
              <w:jc w:val="center"/>
              <w:rPr>
                <w:rFonts w:hint="eastAsia" w:ascii="宋体" w:hAnsi="宋体" w:eastAsia="宋体" w:cs="宋体"/>
                <w:color w:val="auto"/>
                <w:kern w:val="0"/>
                <w:sz w:val="24"/>
                <w:szCs w:val="24"/>
              </w:rPr>
            </w:pPr>
          </w:p>
        </w:tc>
      </w:tr>
      <w:tr w14:paraId="39984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2EA916B7">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w:t>
            </w:r>
          </w:p>
        </w:tc>
        <w:tc>
          <w:tcPr>
            <w:tcW w:w="723" w:type="dxa"/>
            <w:vMerge w:val="restart"/>
            <w:vAlign w:val="center"/>
          </w:tcPr>
          <w:p w14:paraId="3DFBC420">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道路保洁质量情况</w:t>
            </w:r>
          </w:p>
        </w:tc>
        <w:tc>
          <w:tcPr>
            <w:tcW w:w="655" w:type="dxa"/>
            <w:vMerge w:val="restart"/>
            <w:vAlign w:val="center"/>
          </w:tcPr>
          <w:p w14:paraId="20A22330">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2454BC8D">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3、路面无垃圾、无杂物、无积泥（沙石），晴天无积水。雨水井沟眼畅通干净，人行道板及各类井盖等处缝隙无垃圾、杂物。</w:t>
            </w:r>
          </w:p>
        </w:tc>
        <w:tc>
          <w:tcPr>
            <w:tcW w:w="4112" w:type="dxa"/>
            <w:vAlign w:val="center"/>
          </w:tcPr>
          <w:p w14:paraId="067B07D6">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3、路面垃圾（杂物）＜0.5m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的每处扣0.4分，＜2m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的每处扣0.8分,≥2m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的每处扣1.6分，有暴露垃圾堆的每处扣2分。</w:t>
            </w:r>
          </w:p>
          <w:p w14:paraId="1E2A2C06">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雨水井沟眼有积泥（嵌石）的每处扣0.8分，树圈有垃圾（杂物）的每处扣0.8分。</w:t>
            </w:r>
          </w:p>
          <w:p w14:paraId="36575BFB">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道路积泥（沙石）长度＜5米的每处扣0.8分，＜10米的每处扣1.6分，＜15米的每处扣2.4分，≥15米的每处扣4分。建筑垃圾(装潢垃圾)＜1m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的每处扣0.8分，≥1m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的每处扣1.6分，废弃物（如废弃的家具、电器等）每处扣0.8分。</w:t>
            </w:r>
          </w:p>
          <w:p w14:paraId="2295DAEB">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道路晴天积水＜3m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的每处扣0.8分，≥3m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的每处扣1.6分，冬季路面积水导致路面结冰的每处扣4分，导致有责交通事故的每次扣8分。</w:t>
            </w:r>
          </w:p>
          <w:p w14:paraId="62C5CA69">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人行道板间、人行道各类井盖间等缝隙有垃圾的每处扣0.4分。</w:t>
            </w:r>
          </w:p>
        </w:tc>
        <w:tc>
          <w:tcPr>
            <w:tcW w:w="634" w:type="dxa"/>
            <w:vAlign w:val="center"/>
          </w:tcPr>
          <w:p w14:paraId="329CCFE4">
            <w:pPr>
              <w:widowControl/>
              <w:snapToGrid w:val="0"/>
              <w:spacing w:line="240" w:lineRule="auto"/>
              <w:ind w:firstLine="200"/>
              <w:jc w:val="center"/>
              <w:rPr>
                <w:rFonts w:hint="eastAsia" w:ascii="宋体" w:hAnsi="宋体" w:eastAsia="宋体" w:cs="宋体"/>
                <w:color w:val="auto"/>
                <w:kern w:val="0"/>
                <w:sz w:val="24"/>
                <w:szCs w:val="24"/>
              </w:rPr>
            </w:pPr>
          </w:p>
        </w:tc>
      </w:tr>
      <w:tr w14:paraId="2061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19C094FC">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213C2E30">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2EB17218">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16CA238E">
            <w:pPr>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4、道路绿地（含车道绿化隔离带、</w:t>
            </w:r>
          </w:p>
          <w:p w14:paraId="2D52DCB2">
            <w:pPr>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人行道绿地）、花坛保洁应与道路保洁同步，做到绿化带内无杂物、无垃圾。</w:t>
            </w:r>
          </w:p>
        </w:tc>
        <w:tc>
          <w:tcPr>
            <w:tcW w:w="4112" w:type="dxa"/>
            <w:vAlign w:val="center"/>
          </w:tcPr>
          <w:p w14:paraId="40658EEF">
            <w:pPr>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4、道路绿地、花坛内垃圾(杂物)＜0.5m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的每处扣0.4分，＜2m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的每处扣0.8分,≥2m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的每处扣1.6分，有暴露垃圾堆的每处扣2分。</w:t>
            </w:r>
          </w:p>
        </w:tc>
        <w:tc>
          <w:tcPr>
            <w:tcW w:w="634" w:type="dxa"/>
            <w:vAlign w:val="center"/>
          </w:tcPr>
          <w:p w14:paraId="33524291">
            <w:pPr>
              <w:snapToGrid w:val="0"/>
              <w:spacing w:line="240" w:lineRule="auto"/>
              <w:jc w:val="center"/>
              <w:rPr>
                <w:rFonts w:hint="eastAsia" w:ascii="宋体" w:hAnsi="宋体" w:eastAsia="宋体" w:cs="宋体"/>
                <w:color w:val="auto"/>
                <w:kern w:val="0"/>
                <w:sz w:val="24"/>
                <w:szCs w:val="24"/>
              </w:rPr>
            </w:pPr>
          </w:p>
        </w:tc>
      </w:tr>
      <w:tr w14:paraId="696D0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70B3374F">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E1E4378">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78C96F70">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414E6AAD">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5、道路清洗要做到机动车道、非机动车道、人行道（含店前道路）路面见本色，无污迹，其他保洁责任内的设施无污垢、无积尘。</w:t>
            </w:r>
          </w:p>
        </w:tc>
        <w:tc>
          <w:tcPr>
            <w:tcW w:w="4112" w:type="dxa"/>
            <w:vAlign w:val="center"/>
          </w:tcPr>
          <w:p w14:paraId="5134EFDA">
            <w:pPr>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spacing w:val="-6"/>
                <w:kern w:val="0"/>
                <w:sz w:val="24"/>
                <w:szCs w:val="24"/>
              </w:rPr>
              <w:t>5、机动车道、非机动车道、人行道（含店前道路）路面污迹＜1m</w:t>
            </w:r>
            <w:r>
              <w:rPr>
                <w:rFonts w:hint="eastAsia" w:ascii="宋体" w:hAnsi="宋体" w:eastAsia="宋体" w:cs="宋体"/>
                <w:color w:val="auto"/>
                <w:spacing w:val="-6"/>
                <w:kern w:val="0"/>
                <w:sz w:val="24"/>
                <w:szCs w:val="24"/>
                <w:vertAlign w:val="superscript"/>
              </w:rPr>
              <w:t>2</w:t>
            </w:r>
            <w:r>
              <w:rPr>
                <w:rFonts w:hint="eastAsia" w:ascii="宋体" w:hAnsi="宋体" w:eastAsia="宋体" w:cs="宋体"/>
                <w:color w:val="auto"/>
                <w:spacing w:val="-6"/>
                <w:kern w:val="0"/>
                <w:sz w:val="24"/>
                <w:szCs w:val="24"/>
              </w:rPr>
              <w:t>的每处扣0.4分，≥1m</w:t>
            </w:r>
            <w:r>
              <w:rPr>
                <w:rFonts w:hint="eastAsia" w:ascii="宋体" w:hAnsi="宋体" w:eastAsia="宋体" w:cs="宋体"/>
                <w:color w:val="auto"/>
                <w:spacing w:val="-6"/>
                <w:kern w:val="0"/>
                <w:sz w:val="24"/>
                <w:szCs w:val="24"/>
                <w:vertAlign w:val="superscript"/>
              </w:rPr>
              <w:t>2</w:t>
            </w:r>
            <w:r>
              <w:rPr>
                <w:rFonts w:hint="eastAsia" w:ascii="宋体" w:hAnsi="宋体" w:eastAsia="宋体" w:cs="宋体"/>
                <w:color w:val="auto"/>
                <w:spacing w:val="-6"/>
                <w:kern w:val="0"/>
                <w:sz w:val="24"/>
                <w:szCs w:val="24"/>
              </w:rPr>
              <w:t>的每处扣1分，路面清洗质量不到位未见本色的，每处扣1分。休闲椅、花坛清洗质量未达标，有污迹、积尘的每处扣0.4分。交通隔离栏（墩）下有污迹、积尘＜10米的每处扣0.8分，≥10米的每处扣1.6分。</w:t>
            </w:r>
          </w:p>
        </w:tc>
        <w:tc>
          <w:tcPr>
            <w:tcW w:w="634" w:type="dxa"/>
            <w:vAlign w:val="center"/>
          </w:tcPr>
          <w:p w14:paraId="3B711D8E">
            <w:pPr>
              <w:snapToGrid w:val="0"/>
              <w:spacing w:line="240" w:lineRule="auto"/>
              <w:ind w:firstLine="456" w:firstLineChars="200"/>
              <w:jc w:val="center"/>
              <w:rPr>
                <w:rFonts w:hint="eastAsia" w:ascii="宋体" w:hAnsi="宋体" w:eastAsia="宋体" w:cs="宋体"/>
                <w:color w:val="auto"/>
                <w:spacing w:val="-6"/>
                <w:kern w:val="0"/>
                <w:sz w:val="24"/>
                <w:szCs w:val="24"/>
              </w:rPr>
            </w:pPr>
          </w:p>
        </w:tc>
      </w:tr>
      <w:tr w14:paraId="341B7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51B11555">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1E6B25E5">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4F80D68A">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339237F3">
            <w:pPr>
              <w:widowControl/>
              <w:snapToGrid w:val="0"/>
              <w:spacing w:line="240" w:lineRule="auto"/>
              <w:ind w:left="0" w:leftChars="0" w:firstLine="0" w:firstLine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、环卫设施、路面乱涂写招贴清除及时，无生活污水、污渍。</w:t>
            </w:r>
          </w:p>
        </w:tc>
        <w:tc>
          <w:tcPr>
            <w:tcW w:w="4112" w:type="dxa"/>
            <w:vAlign w:val="center"/>
          </w:tcPr>
          <w:p w14:paraId="1F592CA3">
            <w:pPr>
              <w:widowControl/>
              <w:snapToGrid w:val="0"/>
              <w:spacing w:line="240" w:lineRule="auto"/>
              <w:ind w:left="0" w:leftChars="0" w:firstLine="0" w:firstLineChars="0"/>
              <w:jc w:val="left"/>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机动车道、非机动车道、人行道、侧石、环卫设施有乱涂写招贴的每处扣0.2分；生活污水、污渍污染路面＜1m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的每处扣0.4分，≥1m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的每处扣1分。</w:t>
            </w:r>
          </w:p>
        </w:tc>
        <w:tc>
          <w:tcPr>
            <w:tcW w:w="634" w:type="dxa"/>
            <w:vAlign w:val="center"/>
          </w:tcPr>
          <w:p w14:paraId="34D47A85">
            <w:pPr>
              <w:widowControl/>
              <w:snapToGrid w:val="0"/>
              <w:spacing w:line="240" w:lineRule="auto"/>
              <w:jc w:val="center"/>
              <w:rPr>
                <w:rFonts w:hint="eastAsia" w:ascii="宋体" w:hAnsi="宋体" w:eastAsia="宋体" w:cs="宋体"/>
                <w:color w:val="auto"/>
                <w:kern w:val="0"/>
                <w:sz w:val="24"/>
                <w:szCs w:val="24"/>
              </w:rPr>
            </w:pPr>
          </w:p>
        </w:tc>
      </w:tr>
      <w:tr w14:paraId="1E15E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2201F27C">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246975B">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0B40F6B3">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7B35BD0E">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、道路两侧可视范围内无废土、垃圾。</w:t>
            </w:r>
          </w:p>
        </w:tc>
        <w:tc>
          <w:tcPr>
            <w:tcW w:w="4112" w:type="dxa"/>
            <w:vAlign w:val="center"/>
          </w:tcPr>
          <w:p w14:paraId="05F76663">
            <w:pPr>
              <w:widowControl/>
              <w:snapToGrid w:val="0"/>
              <w:spacing w:line="240" w:lineRule="auto"/>
              <w:ind w:left="0" w:leftChars="0" w:firstLine="0" w:firstLineChars="0"/>
              <w:jc w:val="left"/>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lang w:val="en-US" w:eastAsia="zh-CN"/>
              </w:rPr>
              <w:t>7</w:t>
            </w:r>
            <w:r>
              <w:rPr>
                <w:rFonts w:hint="eastAsia" w:ascii="宋体" w:hAnsi="宋体" w:eastAsia="宋体" w:cs="宋体"/>
                <w:color w:val="auto"/>
                <w:spacing w:val="-4"/>
                <w:kern w:val="0"/>
                <w:sz w:val="24"/>
                <w:szCs w:val="24"/>
              </w:rPr>
              <w:t>、 道路两侧废土、垃圾＜1m</w:t>
            </w:r>
            <w:r>
              <w:rPr>
                <w:rFonts w:hint="eastAsia" w:ascii="宋体" w:hAnsi="宋体" w:eastAsia="宋体" w:cs="宋体"/>
                <w:color w:val="auto"/>
                <w:spacing w:val="-4"/>
                <w:kern w:val="0"/>
                <w:sz w:val="24"/>
                <w:szCs w:val="24"/>
                <w:vertAlign w:val="superscript"/>
              </w:rPr>
              <w:t>2</w:t>
            </w:r>
            <w:r>
              <w:rPr>
                <w:rFonts w:hint="eastAsia" w:ascii="宋体" w:hAnsi="宋体" w:eastAsia="宋体" w:cs="宋体"/>
                <w:color w:val="auto"/>
                <w:spacing w:val="-4"/>
                <w:kern w:val="0"/>
                <w:sz w:val="24"/>
                <w:szCs w:val="24"/>
              </w:rPr>
              <w:t>的每处扣0.2分，≥ 1m</w:t>
            </w:r>
            <w:r>
              <w:rPr>
                <w:rFonts w:hint="eastAsia" w:ascii="宋体" w:hAnsi="宋体" w:eastAsia="宋体" w:cs="宋体"/>
                <w:color w:val="auto"/>
                <w:spacing w:val="-4"/>
                <w:kern w:val="0"/>
                <w:sz w:val="24"/>
                <w:szCs w:val="24"/>
                <w:vertAlign w:val="superscript"/>
              </w:rPr>
              <w:t>2</w:t>
            </w:r>
            <w:r>
              <w:rPr>
                <w:rFonts w:hint="eastAsia" w:ascii="宋体" w:hAnsi="宋体" w:eastAsia="宋体" w:cs="宋体"/>
                <w:color w:val="auto"/>
                <w:spacing w:val="-4"/>
                <w:kern w:val="0"/>
                <w:sz w:val="24"/>
                <w:szCs w:val="24"/>
              </w:rPr>
              <w:t>的每处扣0.4分，≥5 m</w:t>
            </w:r>
            <w:r>
              <w:rPr>
                <w:rFonts w:hint="eastAsia" w:ascii="宋体" w:hAnsi="宋体" w:eastAsia="宋体" w:cs="宋体"/>
                <w:color w:val="auto"/>
                <w:spacing w:val="-4"/>
                <w:kern w:val="0"/>
                <w:sz w:val="24"/>
                <w:szCs w:val="24"/>
                <w:vertAlign w:val="superscript"/>
              </w:rPr>
              <w:t>2</w:t>
            </w:r>
            <w:r>
              <w:rPr>
                <w:rFonts w:hint="eastAsia" w:ascii="宋体" w:hAnsi="宋体" w:eastAsia="宋体" w:cs="宋体"/>
                <w:color w:val="auto"/>
                <w:spacing w:val="-4"/>
                <w:kern w:val="0"/>
                <w:sz w:val="24"/>
                <w:szCs w:val="24"/>
              </w:rPr>
              <w:t>的每处扣1分。</w:t>
            </w:r>
          </w:p>
        </w:tc>
        <w:tc>
          <w:tcPr>
            <w:tcW w:w="634" w:type="dxa"/>
            <w:vAlign w:val="center"/>
          </w:tcPr>
          <w:p w14:paraId="1E512BF7">
            <w:pPr>
              <w:widowControl/>
              <w:snapToGrid w:val="0"/>
              <w:spacing w:line="240" w:lineRule="auto"/>
              <w:jc w:val="center"/>
              <w:rPr>
                <w:rFonts w:hint="eastAsia" w:ascii="宋体" w:hAnsi="宋体" w:eastAsia="宋体" w:cs="宋体"/>
                <w:color w:val="auto"/>
                <w:kern w:val="0"/>
                <w:sz w:val="24"/>
                <w:szCs w:val="24"/>
              </w:rPr>
            </w:pPr>
          </w:p>
        </w:tc>
      </w:tr>
      <w:tr w14:paraId="58C80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3AFAC56E">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BD30127">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6E99E7B8">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2F3D9E1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、居民楼道清扫要扫到墙角，扶梯和墙面、墙顶做到无蛛网或积尘、积灰，档面平台干净无积水，地面无果皮壳、纸屑及杂物</w:t>
            </w:r>
          </w:p>
        </w:tc>
        <w:tc>
          <w:tcPr>
            <w:tcW w:w="4112" w:type="dxa"/>
            <w:vAlign w:val="center"/>
          </w:tcPr>
          <w:p w14:paraId="0F817540">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、居民楼道路里有垃圾、地面有果皮壳、纸屑及杂物，有一处扣0.05分, 扶梯和墙面、墙顶有蛛网或积尘、积灰,有一处扣0.05分, 档面平台有积水扣0.05分。</w:t>
            </w:r>
          </w:p>
        </w:tc>
        <w:tc>
          <w:tcPr>
            <w:tcW w:w="634" w:type="dxa"/>
            <w:vAlign w:val="center"/>
          </w:tcPr>
          <w:p w14:paraId="33B7A3AF">
            <w:pPr>
              <w:widowControl/>
              <w:snapToGrid w:val="0"/>
              <w:spacing w:line="240" w:lineRule="auto"/>
              <w:jc w:val="center"/>
              <w:rPr>
                <w:rFonts w:hint="eastAsia" w:ascii="宋体" w:hAnsi="宋体" w:eastAsia="宋体" w:cs="宋体"/>
                <w:color w:val="auto"/>
                <w:kern w:val="0"/>
                <w:sz w:val="24"/>
                <w:szCs w:val="24"/>
              </w:rPr>
            </w:pPr>
          </w:p>
        </w:tc>
      </w:tr>
      <w:tr w14:paraId="2F04E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4BBDFD9C">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w:t>
            </w:r>
          </w:p>
        </w:tc>
        <w:tc>
          <w:tcPr>
            <w:tcW w:w="723" w:type="dxa"/>
            <w:vMerge w:val="restart"/>
            <w:vAlign w:val="center"/>
          </w:tcPr>
          <w:p w14:paraId="74049991">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道路环卫设施管理情况</w:t>
            </w:r>
          </w:p>
        </w:tc>
        <w:tc>
          <w:tcPr>
            <w:tcW w:w="655" w:type="dxa"/>
            <w:vMerge w:val="restart"/>
            <w:vAlign w:val="center"/>
          </w:tcPr>
          <w:p w14:paraId="75349485">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6B83E512">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、道路（街巷）、开放式小区设置的垃圾桶整齐规范，盖好盖，箱门要关闭；</w:t>
            </w:r>
          </w:p>
          <w:p w14:paraId="62FA033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街巷设置的垃圾房门关闭不敞开、不破损、不锈蚀、无积存污垢，周围地面无污水。</w:t>
            </w:r>
          </w:p>
        </w:tc>
        <w:tc>
          <w:tcPr>
            <w:tcW w:w="4112" w:type="dxa"/>
            <w:vAlign w:val="center"/>
          </w:tcPr>
          <w:p w14:paraId="389D6821">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、道路（街巷）两侧的果壳箱箱门未关闭的每处扣0.2分；</w:t>
            </w:r>
          </w:p>
          <w:p w14:paraId="31DCF32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垃圾桶未摆放整齐规范的每处扣0.2分，有盖未盖好的每处扣0.2分。</w:t>
            </w:r>
          </w:p>
          <w:p w14:paraId="39A24083">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垃圾房清除垃圾后门不关的每处扣0.4分,破损、锈蚀、外墙面和地面有积存污垢，周围地面有积存污水的每处扣2分。</w:t>
            </w:r>
          </w:p>
        </w:tc>
        <w:tc>
          <w:tcPr>
            <w:tcW w:w="634" w:type="dxa"/>
            <w:vAlign w:val="center"/>
          </w:tcPr>
          <w:p w14:paraId="0E268E74">
            <w:pPr>
              <w:widowControl/>
              <w:snapToGrid w:val="0"/>
              <w:spacing w:line="240" w:lineRule="auto"/>
              <w:ind w:firstLine="480"/>
              <w:jc w:val="center"/>
              <w:rPr>
                <w:rFonts w:hint="eastAsia" w:ascii="宋体" w:hAnsi="宋体" w:eastAsia="宋体" w:cs="宋体"/>
                <w:color w:val="auto"/>
                <w:kern w:val="0"/>
                <w:sz w:val="24"/>
                <w:szCs w:val="24"/>
              </w:rPr>
            </w:pPr>
          </w:p>
        </w:tc>
      </w:tr>
      <w:tr w14:paraId="3ECB6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5F8764F1">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1CC9E29C">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680CD4D4">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42A5C5D4">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垃圾收集容器完好。道路（街巷）两侧的果壳箱无破损、歪斜、油漆剥落（或严重褪色）现象，果壳箱、垃圾桶无积存垃圾，日产日清。果壳箱、垃圾桶、垃圾房清洁无污垢、无垃圾满溢现象，箱（桶、房）外无暴露垃圾。</w:t>
            </w:r>
          </w:p>
        </w:tc>
        <w:tc>
          <w:tcPr>
            <w:tcW w:w="4112" w:type="dxa"/>
            <w:vAlign w:val="center"/>
          </w:tcPr>
          <w:p w14:paraId="7A111887">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道路（街巷）两侧的果壳箱破损、油漆剥落（或严重褪色）、歪斜的每处扣0.4分，垃圾未日产日清的每处扣2分，垃圾清运不及时，果壳箱、垃圾桶垃圾满溢的每处扣2分。垃圾收集容器边有暴露垃圾堆的每处扣2分，周边地面有垃圾污水、苍蝇超标的每处扣2分；果壳箱(垃圾箱、桶）等垃圾收集容器清洗不到位，外观不洁有污垢的每处扣2分；垃圾收集后垃圾桶未按规定放回的每处扣0.4分。</w:t>
            </w:r>
          </w:p>
        </w:tc>
        <w:tc>
          <w:tcPr>
            <w:tcW w:w="634" w:type="dxa"/>
            <w:vAlign w:val="center"/>
          </w:tcPr>
          <w:p w14:paraId="50319564">
            <w:pPr>
              <w:widowControl/>
              <w:snapToGrid w:val="0"/>
              <w:spacing w:line="240" w:lineRule="auto"/>
              <w:jc w:val="center"/>
              <w:rPr>
                <w:rFonts w:hint="eastAsia" w:ascii="宋体" w:hAnsi="宋体" w:eastAsia="宋体" w:cs="宋体"/>
                <w:color w:val="auto"/>
                <w:kern w:val="0"/>
                <w:sz w:val="24"/>
                <w:szCs w:val="24"/>
              </w:rPr>
            </w:pPr>
          </w:p>
        </w:tc>
      </w:tr>
      <w:tr w14:paraId="24941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4A17E796">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58372E24">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3881DC64">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5658AA29">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、环卫专业车辆（含机动车、非机动车）外观整洁、无破损。垃圾清运车实行密闭运输，无垃圾抛洒、无污水滴漏、车厢外无吊挂。吸粪车无沿途滴漏污水问题。</w:t>
            </w:r>
          </w:p>
        </w:tc>
        <w:tc>
          <w:tcPr>
            <w:tcW w:w="4112" w:type="dxa"/>
            <w:vAlign w:val="center"/>
          </w:tcPr>
          <w:p w14:paraId="122EAAF7">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、环卫专用车辆外观不洁、积尘、破损、车身油漆剥落（剥落面积大于15cm×15cm），垃圾清运车未实行密闭运输发生抛洒滴漏污染路面、车厢外有吊挂垃圾等问题，每发生1次，所在标段当月清洁度扣0.1分。</w:t>
            </w:r>
          </w:p>
        </w:tc>
        <w:tc>
          <w:tcPr>
            <w:tcW w:w="634" w:type="dxa"/>
            <w:vAlign w:val="center"/>
          </w:tcPr>
          <w:p w14:paraId="5752A850">
            <w:pPr>
              <w:widowControl/>
              <w:snapToGrid w:val="0"/>
              <w:spacing w:line="240" w:lineRule="auto"/>
              <w:jc w:val="center"/>
              <w:rPr>
                <w:rFonts w:hint="eastAsia" w:ascii="宋体" w:hAnsi="宋体" w:eastAsia="宋体" w:cs="宋体"/>
                <w:color w:val="auto"/>
                <w:kern w:val="0"/>
                <w:sz w:val="24"/>
                <w:szCs w:val="24"/>
              </w:rPr>
            </w:pPr>
          </w:p>
        </w:tc>
      </w:tr>
      <w:tr w14:paraId="58F2B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6FD2B8B9">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w:t>
            </w:r>
          </w:p>
        </w:tc>
        <w:tc>
          <w:tcPr>
            <w:tcW w:w="723" w:type="dxa"/>
            <w:vMerge w:val="restart"/>
            <w:vAlign w:val="center"/>
          </w:tcPr>
          <w:p w14:paraId="685727F9">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作业规范执行情况</w:t>
            </w:r>
          </w:p>
        </w:tc>
        <w:tc>
          <w:tcPr>
            <w:tcW w:w="655" w:type="dxa"/>
            <w:vMerge w:val="restart"/>
            <w:vAlign w:val="center"/>
          </w:tcPr>
          <w:p w14:paraId="567B639D">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713041B7">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、按规定时间内完成第一遍普扫。1月、2月、11月、12月每日上午7：30前完成普扫，其他月份每日上上午7：00</w:t>
            </w:r>
            <w:r>
              <w:rPr>
                <w:rFonts w:hint="eastAsia" w:ascii="宋体" w:hAnsi="宋体" w:eastAsia="宋体" w:cs="宋体"/>
                <w:color w:val="auto"/>
                <w:spacing w:val="-6"/>
                <w:kern w:val="0"/>
                <w:sz w:val="24"/>
                <w:szCs w:val="24"/>
              </w:rPr>
              <w:t>前完成普扫。普扫结束后做好巡回保洁工作</w:t>
            </w:r>
            <w:r>
              <w:rPr>
                <w:rFonts w:hint="eastAsia" w:ascii="宋体" w:hAnsi="宋体" w:eastAsia="宋体" w:cs="宋体"/>
                <w:color w:val="auto"/>
                <w:kern w:val="0"/>
                <w:sz w:val="24"/>
                <w:szCs w:val="24"/>
              </w:rPr>
              <w:t>。</w:t>
            </w:r>
          </w:p>
        </w:tc>
        <w:tc>
          <w:tcPr>
            <w:tcW w:w="4112" w:type="dxa"/>
            <w:vAlign w:val="center"/>
          </w:tcPr>
          <w:p w14:paraId="06399255">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、未在规定时间内完成第一遍普扫的每条道路扣4分。</w:t>
            </w:r>
          </w:p>
        </w:tc>
        <w:tc>
          <w:tcPr>
            <w:tcW w:w="634" w:type="dxa"/>
            <w:vAlign w:val="center"/>
          </w:tcPr>
          <w:p w14:paraId="31E336CB">
            <w:pPr>
              <w:widowControl/>
              <w:snapToGrid w:val="0"/>
              <w:spacing w:line="240" w:lineRule="auto"/>
              <w:jc w:val="center"/>
              <w:rPr>
                <w:rFonts w:hint="eastAsia" w:ascii="宋体" w:hAnsi="宋体" w:eastAsia="宋体" w:cs="宋体"/>
                <w:color w:val="auto"/>
                <w:kern w:val="0"/>
                <w:sz w:val="24"/>
                <w:szCs w:val="24"/>
              </w:rPr>
            </w:pPr>
          </w:p>
        </w:tc>
      </w:tr>
      <w:tr w14:paraId="3A37B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68952EFD">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407FDDB7">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4533C722">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491CB5A1">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、道路清扫（含机扫）时不扬尘。在普扫前应做好道路洒水，保持车行道路面湿润，有效控制清扫时可能产生的扬尘；机扫质量达标。</w:t>
            </w:r>
          </w:p>
          <w:p w14:paraId="70442AE6">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人工清扫保洁作业时，道路、人行道（含店前道路）不得漏扫、反扫，垃圾应归拢、归堆并清除彻底，清扫保洁时不得将垃圾扫入窨井中或向道路两侧反扫；</w:t>
            </w:r>
          </w:p>
          <w:p w14:paraId="16A49E49">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垃圾清运小车作业时不得将垃圾直接落地转运。</w:t>
            </w:r>
          </w:p>
        </w:tc>
        <w:tc>
          <w:tcPr>
            <w:tcW w:w="4112" w:type="dxa"/>
            <w:vAlign w:val="center"/>
          </w:tcPr>
          <w:p w14:paraId="4EA1A06E">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、清扫保洁作业不规范导致路面扬尘的，每次扣2分；机扫路面应干净,清扫后垃圾未吸净而有成条或小堆的，每处扣2分。</w:t>
            </w:r>
          </w:p>
          <w:p w14:paraId="7671ACA1">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人行道（含店前道路）漏扫的每处扣0.8分，垃圾归拢、归堆未清除的每处扣2分，清除不彻底的每处扣0.8分，清扫保洁时将垃圾扫入窨井中或向道路两侧反扫的每次扣2分；垃圾清运小车将垃圾直接接触路面（或地面）进行转运的每次扣2分。</w:t>
            </w:r>
          </w:p>
        </w:tc>
        <w:tc>
          <w:tcPr>
            <w:tcW w:w="634" w:type="dxa"/>
            <w:vAlign w:val="center"/>
          </w:tcPr>
          <w:p w14:paraId="4A9843AA">
            <w:pPr>
              <w:widowControl/>
              <w:snapToGrid w:val="0"/>
              <w:spacing w:line="240" w:lineRule="auto"/>
              <w:ind w:firstLine="482"/>
              <w:jc w:val="center"/>
              <w:rPr>
                <w:rFonts w:hint="eastAsia" w:ascii="宋体" w:hAnsi="宋体" w:eastAsia="宋体" w:cs="宋体"/>
                <w:color w:val="auto"/>
                <w:kern w:val="0"/>
                <w:sz w:val="24"/>
                <w:szCs w:val="24"/>
              </w:rPr>
            </w:pPr>
          </w:p>
        </w:tc>
      </w:tr>
      <w:tr w14:paraId="453FC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76762950">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3AA7CA5B">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287FE9AC">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7100AADD">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、每日凌晨道路普扫前要落实洒水作业，交通早晚高峰期间（上午7:15－8:45，晚上17:30－18:45）,禁止洒水（有特殊情况除外）；</w:t>
            </w:r>
          </w:p>
          <w:p w14:paraId="1FAE1AED">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2度时暂停洒水，冰冻天气禁止洒水。</w:t>
            </w:r>
          </w:p>
        </w:tc>
        <w:tc>
          <w:tcPr>
            <w:tcW w:w="4112" w:type="dxa"/>
            <w:vAlign w:val="center"/>
          </w:tcPr>
          <w:p w14:paraId="6046E0E8">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、凌晨普扫前未安排洒水作业的，每发生1次，所在标段当月清洁度扣0.1分，交通高峰时期安排洒水作业的，每发生1次，所在标段当月清洁度扣0.1分；</w:t>
            </w:r>
          </w:p>
          <w:p w14:paraId="798C7FDB">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洒水车未安装提示音乐音量调节装置或警示灯缺失、破损的，每车次所在标段当月清洁度扣0.1分。在22:00-7:00期间洒水作业时仍播放提示音乐或未启用警示灯光的，每发生1次所在标段当月清洁度扣0.1分。洒水车作业超过规定车速的，每发生1次所在标段当月清洁度扣0.05分，洒水时未避让行人发生有责投诉的，每发生1次所在标段当月清洁度扣0.1分。冬季洒水使路面结冰发生有责投诉的，每发生1次，所在标段当月清洁度扣0.1分，导致有责交通事故的，所在标段当月清洁度扣0.2分。</w:t>
            </w:r>
          </w:p>
        </w:tc>
        <w:tc>
          <w:tcPr>
            <w:tcW w:w="634" w:type="dxa"/>
            <w:vAlign w:val="center"/>
          </w:tcPr>
          <w:p w14:paraId="003DE095">
            <w:pPr>
              <w:widowControl/>
              <w:snapToGrid w:val="0"/>
              <w:spacing w:line="240" w:lineRule="auto"/>
              <w:ind w:firstLine="482"/>
              <w:jc w:val="center"/>
              <w:rPr>
                <w:rFonts w:hint="eastAsia" w:ascii="宋体" w:hAnsi="宋体" w:eastAsia="宋体" w:cs="宋体"/>
                <w:color w:val="auto"/>
                <w:kern w:val="0"/>
                <w:sz w:val="24"/>
                <w:szCs w:val="24"/>
              </w:rPr>
            </w:pPr>
          </w:p>
        </w:tc>
      </w:tr>
      <w:tr w14:paraId="10686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5E94B8E1">
            <w:pPr>
              <w:widowControl/>
              <w:snapToGrid w:val="0"/>
              <w:spacing w:line="24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五</w:t>
            </w:r>
          </w:p>
        </w:tc>
        <w:tc>
          <w:tcPr>
            <w:tcW w:w="723" w:type="dxa"/>
            <w:vMerge w:val="restart"/>
            <w:vAlign w:val="center"/>
          </w:tcPr>
          <w:p w14:paraId="04B137BF">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作业规范执行情况</w:t>
            </w:r>
          </w:p>
        </w:tc>
        <w:tc>
          <w:tcPr>
            <w:tcW w:w="655" w:type="dxa"/>
            <w:vMerge w:val="restart"/>
            <w:vAlign w:val="center"/>
          </w:tcPr>
          <w:p w14:paraId="10CD5668">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439B06AF">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、扫路车作业时车速≤10km/h，清扫时必须启用警示灯，清扫时须喷水压尘。</w:t>
            </w:r>
          </w:p>
        </w:tc>
        <w:tc>
          <w:tcPr>
            <w:tcW w:w="4112" w:type="dxa"/>
            <w:vAlign w:val="center"/>
          </w:tcPr>
          <w:p w14:paraId="66734589">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、扫路车清扫时超过规定车速的，每发生1次，所在标段当月清洁度扣0.05分。未开启警示灯的，每发生1次，所在标段当月清洁度扣0.05分。未喷水压尘的，每发生1次，所在标段当月清洁度扣0.05分。</w:t>
            </w:r>
          </w:p>
        </w:tc>
        <w:tc>
          <w:tcPr>
            <w:tcW w:w="634" w:type="dxa"/>
            <w:vAlign w:val="center"/>
          </w:tcPr>
          <w:p w14:paraId="0DC00EDB">
            <w:pPr>
              <w:widowControl/>
              <w:snapToGrid w:val="0"/>
              <w:spacing w:line="240" w:lineRule="auto"/>
              <w:jc w:val="center"/>
              <w:rPr>
                <w:rFonts w:hint="eastAsia" w:ascii="宋体" w:hAnsi="宋体" w:eastAsia="宋体" w:cs="宋体"/>
                <w:color w:val="auto"/>
                <w:kern w:val="0"/>
                <w:sz w:val="24"/>
                <w:szCs w:val="24"/>
              </w:rPr>
            </w:pPr>
          </w:p>
        </w:tc>
      </w:tr>
      <w:tr w14:paraId="24E31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247BAF39">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1E55913B">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3050DA72">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39C8ADE5">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、清洗道路时高压冲洗车速度保持在5km/h-10km/h。</w:t>
            </w:r>
          </w:p>
        </w:tc>
        <w:tc>
          <w:tcPr>
            <w:tcW w:w="4112" w:type="dxa"/>
            <w:vAlign w:val="center"/>
          </w:tcPr>
          <w:p w14:paraId="6E075E29">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、高压冲洗车作业时速度超过10km/h的，每发生1次，所在标段当月清洁度扣0.05分，</w:t>
            </w:r>
          </w:p>
        </w:tc>
        <w:tc>
          <w:tcPr>
            <w:tcW w:w="634" w:type="dxa"/>
            <w:vAlign w:val="center"/>
          </w:tcPr>
          <w:p w14:paraId="167C2AD6">
            <w:pPr>
              <w:widowControl/>
              <w:snapToGrid w:val="0"/>
              <w:spacing w:line="240" w:lineRule="auto"/>
              <w:jc w:val="center"/>
              <w:rPr>
                <w:rFonts w:hint="eastAsia" w:ascii="宋体" w:hAnsi="宋体" w:eastAsia="宋体" w:cs="宋体"/>
                <w:color w:val="auto"/>
                <w:kern w:val="0"/>
                <w:sz w:val="24"/>
                <w:szCs w:val="24"/>
              </w:rPr>
            </w:pPr>
          </w:p>
        </w:tc>
      </w:tr>
      <w:tr w14:paraId="7D583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1AFE4571">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4CAD7C7F">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4EDE739D">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0B7F7126">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、环卫工人应统一着装，巡回保洁员统一配置捡拾垃圾的手动钳、畚斗等作业工具，着装要整齐、整洁，胸前佩戴上岗证，文明作业，遵守作业规范和交通规则。</w:t>
            </w:r>
          </w:p>
        </w:tc>
        <w:tc>
          <w:tcPr>
            <w:tcW w:w="4112" w:type="dxa"/>
            <w:vAlign w:val="center"/>
          </w:tcPr>
          <w:p w14:paraId="0847794E">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环卫工人着装不规范，如衣冠不整（如钮扣不扣、工作帽歪戴等）、服装不洁、未穿着统一的工作服、未使用统一的保洁工具的每人次扣0.8分，未佩证上岗的每人次扣0.8分。保洁员作业时不按规定保洁车辆乱停乱放每人次扣0.8分，不遵守交通规则乱穿乱闯交通信号灯的每人次扣1分，做与保洁不相关事项每人次扣0.5分。</w:t>
            </w:r>
          </w:p>
        </w:tc>
        <w:tc>
          <w:tcPr>
            <w:tcW w:w="634" w:type="dxa"/>
            <w:vAlign w:val="center"/>
          </w:tcPr>
          <w:p w14:paraId="11B05806">
            <w:pPr>
              <w:widowControl/>
              <w:snapToGrid w:val="0"/>
              <w:spacing w:line="240" w:lineRule="auto"/>
              <w:jc w:val="center"/>
              <w:rPr>
                <w:rFonts w:hint="eastAsia" w:ascii="宋体" w:hAnsi="宋体" w:eastAsia="宋体" w:cs="宋体"/>
                <w:color w:val="auto"/>
                <w:kern w:val="0"/>
                <w:sz w:val="24"/>
                <w:szCs w:val="24"/>
              </w:rPr>
            </w:pPr>
          </w:p>
        </w:tc>
      </w:tr>
      <w:tr w14:paraId="09680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7DD3D4E6">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36B42105">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47E88295">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226DF029">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、垃圾应倾倒在规定地点，不得焚烧垃圾、树叶。落叶旺季做到及时清扫和转运处理。</w:t>
            </w:r>
          </w:p>
        </w:tc>
        <w:tc>
          <w:tcPr>
            <w:tcW w:w="4112" w:type="dxa"/>
            <w:vAlign w:val="center"/>
          </w:tcPr>
          <w:p w14:paraId="2FABF3B5">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、垃圾未倾倒在规定地点或焚烧垃圾、树叶的每次扣4分。落叶旺季未及时清扫落叶的每条道路扣1分，未及时转运处理树叶的每次扣1分。</w:t>
            </w:r>
          </w:p>
        </w:tc>
        <w:tc>
          <w:tcPr>
            <w:tcW w:w="634" w:type="dxa"/>
            <w:vAlign w:val="center"/>
          </w:tcPr>
          <w:p w14:paraId="619FB065">
            <w:pPr>
              <w:widowControl/>
              <w:snapToGrid w:val="0"/>
              <w:spacing w:line="240" w:lineRule="auto"/>
              <w:jc w:val="center"/>
              <w:rPr>
                <w:rFonts w:hint="eastAsia" w:ascii="宋体" w:hAnsi="宋体" w:eastAsia="宋体" w:cs="宋体"/>
                <w:color w:val="auto"/>
                <w:kern w:val="0"/>
                <w:sz w:val="24"/>
                <w:szCs w:val="24"/>
              </w:rPr>
            </w:pPr>
          </w:p>
        </w:tc>
      </w:tr>
      <w:tr w14:paraId="590AF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Align w:val="center"/>
          </w:tcPr>
          <w:p w14:paraId="67A2B0E4">
            <w:pPr>
              <w:widowControl/>
              <w:snapToGrid w:val="0"/>
              <w:spacing w:line="24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六</w:t>
            </w:r>
          </w:p>
        </w:tc>
        <w:tc>
          <w:tcPr>
            <w:tcW w:w="723" w:type="dxa"/>
            <w:vAlign w:val="center"/>
          </w:tcPr>
          <w:p w14:paraId="3317603E">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安全管理落实情况</w:t>
            </w:r>
          </w:p>
        </w:tc>
        <w:tc>
          <w:tcPr>
            <w:tcW w:w="655" w:type="dxa"/>
            <w:vAlign w:val="center"/>
          </w:tcPr>
          <w:p w14:paraId="4E5C2B71">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台账检查现场检查</w:t>
            </w:r>
          </w:p>
        </w:tc>
        <w:tc>
          <w:tcPr>
            <w:tcW w:w="2898" w:type="dxa"/>
            <w:vAlign w:val="center"/>
          </w:tcPr>
          <w:p w14:paraId="379FFBE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19</w:t>
            </w:r>
            <w:r>
              <w:rPr>
                <w:rFonts w:hint="eastAsia" w:ascii="宋体" w:hAnsi="宋体" w:eastAsia="宋体" w:cs="宋体"/>
                <w:color w:val="auto"/>
                <w:kern w:val="0"/>
                <w:sz w:val="24"/>
                <w:szCs w:val="24"/>
              </w:rPr>
              <w:t>、环卫作业单位安全生产工作落实，避免发生交通事故。要按《杭州市城市道路清扫保洁交通安全教育手册》的相关规定，对辖区一线道路保洁员进行安全生产全面轮训，新录用环卫工人应实施安全生产培训后方可上岗，自觉养成“一停二看三作业”的良好习惯，提高自我防范意识。如遇意外伤亡交通事故发生应及时上报。保洁人员须穿反光背心，人力保洁小车、垃圾清运车要在车辆前部、后部、两侧设置反光标识。</w:t>
            </w:r>
          </w:p>
          <w:p w14:paraId="1CCBE485">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清除大片污染时，应做到有组织、有交通安全防护措施，采取小组作业方式进行，并设置反光锥形筒或与扫路车、洒水车协同进行。</w:t>
            </w:r>
          </w:p>
        </w:tc>
        <w:tc>
          <w:tcPr>
            <w:tcW w:w="4112" w:type="dxa"/>
            <w:vAlign w:val="center"/>
          </w:tcPr>
          <w:p w14:paraId="5137B70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19</w:t>
            </w:r>
            <w:r>
              <w:rPr>
                <w:rFonts w:hint="eastAsia" w:ascii="宋体" w:hAnsi="宋体" w:eastAsia="宋体" w:cs="宋体"/>
                <w:color w:val="auto"/>
                <w:kern w:val="0"/>
                <w:sz w:val="24"/>
                <w:szCs w:val="24"/>
              </w:rPr>
              <w:t>、各标段每年要有一次对一线道路保洁人员安全生产全面轮训，对新录用环卫工人进行上岗前安全生产培训，有年度轮训计划和上岗前培训记录，未达到上述要求的每缺一项当月清洁度扣0.5分；</w:t>
            </w:r>
          </w:p>
          <w:p w14:paraId="2EC3F009">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保洁作业期间，每发生1起有责交通致伤事故当月清洁度扣2分、1起有责死亡事故当月清洁度扣5分。并取消年终评优资格。</w:t>
            </w:r>
          </w:p>
          <w:p w14:paraId="136905AF">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伤亡交通事故发生后未在24小时内上报环卫主管部门的，每发生1次扣当月清洁度0.5分；</w:t>
            </w:r>
          </w:p>
          <w:p w14:paraId="39BA4F43">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保洁员工作时间未穿反光工作服的，每人次扣4分；保洁小车、垃圾清运小车未在车辆前部、后部、两侧设置反光标识的，每车次扣4分。</w:t>
            </w:r>
          </w:p>
          <w:p w14:paraId="28C2A478">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清除大片污染时，组织不周密或交通安全防护措施不落实的，每发现1次扣4分。</w:t>
            </w:r>
          </w:p>
        </w:tc>
        <w:tc>
          <w:tcPr>
            <w:tcW w:w="634" w:type="dxa"/>
            <w:vAlign w:val="center"/>
          </w:tcPr>
          <w:p w14:paraId="359E4CB7">
            <w:pPr>
              <w:widowControl/>
              <w:snapToGrid w:val="0"/>
              <w:spacing w:line="240" w:lineRule="auto"/>
              <w:ind w:firstLine="480"/>
              <w:jc w:val="center"/>
              <w:rPr>
                <w:rFonts w:hint="eastAsia" w:ascii="宋体" w:hAnsi="宋体" w:eastAsia="宋体" w:cs="宋体"/>
                <w:color w:val="auto"/>
                <w:kern w:val="0"/>
                <w:sz w:val="24"/>
                <w:szCs w:val="24"/>
              </w:rPr>
            </w:pPr>
          </w:p>
        </w:tc>
      </w:tr>
      <w:tr w14:paraId="1BD85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246863B9">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w:t>
            </w:r>
          </w:p>
        </w:tc>
        <w:tc>
          <w:tcPr>
            <w:tcW w:w="723" w:type="dxa"/>
            <w:vMerge w:val="restart"/>
            <w:vAlign w:val="center"/>
          </w:tcPr>
          <w:p w14:paraId="0E8F4E5E">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监督管理落实情况</w:t>
            </w:r>
          </w:p>
        </w:tc>
        <w:tc>
          <w:tcPr>
            <w:tcW w:w="655" w:type="dxa"/>
            <w:vAlign w:val="center"/>
          </w:tcPr>
          <w:p w14:paraId="2AE747FE">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台账检查现场检查</w:t>
            </w:r>
          </w:p>
        </w:tc>
        <w:tc>
          <w:tcPr>
            <w:tcW w:w="2898" w:type="dxa"/>
            <w:vAlign w:val="center"/>
          </w:tcPr>
          <w:p w14:paraId="7F6598FF">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、道路保洁投诉处理在规定的限期内完成，无有责投诉事件发生，重大活动保障到位，区级以上检查不失责任分。</w:t>
            </w:r>
          </w:p>
          <w:p w14:paraId="3954982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检查时发现途经的道路（街巷）保洁问题多，保洁质量差，相关责任单位应在规定时间内落实整改。</w:t>
            </w:r>
          </w:p>
        </w:tc>
        <w:tc>
          <w:tcPr>
            <w:tcW w:w="4112" w:type="dxa"/>
            <w:vAlign w:val="center"/>
          </w:tcPr>
          <w:p w14:paraId="020F7EBB">
            <w:pPr>
              <w:widowControl/>
              <w:tabs>
                <w:tab w:val="left" w:pos="3960"/>
              </w:tabs>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区长公开电话受理、领导督办、政务平台市民投诉的保洁问题未在规定期限内整改解决的按评分标准从当月考核中直接扣0.5分；新闻媒体曝光、区级以上检查失分、重大活动保障不力的保洁问题经确认有责的按评分标准从当月扣1分，并视情节予以通报处罚。瞒报交通事故的经查实按考核评分标准在当月中直接扣1分。</w:t>
            </w:r>
          </w:p>
          <w:p w14:paraId="2FBB149C">
            <w:pPr>
              <w:widowControl/>
              <w:tabs>
                <w:tab w:val="left" w:pos="3960"/>
              </w:tabs>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检查时发现途经的道路（街巷）保洁问题多，保洁质量差，及时摄录现状情况，并第一时间告知相关责任单位立即整改。若复查发现整改不力的，每发生一次所在标段当月扣0.2分，计入当月考核成绩。</w:t>
            </w:r>
          </w:p>
          <w:p w14:paraId="184A969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对非当月被检道路（或街巷）上发现的突出保洁问题，每发生1次当月清洁度扣0.05分；在规定期限内未落实整改的，每发生1次当月清洁度扣0.2分。</w:t>
            </w:r>
          </w:p>
        </w:tc>
        <w:tc>
          <w:tcPr>
            <w:tcW w:w="634" w:type="dxa"/>
            <w:vAlign w:val="center"/>
          </w:tcPr>
          <w:p w14:paraId="2C8419B6">
            <w:pPr>
              <w:widowControl/>
              <w:snapToGrid w:val="0"/>
              <w:spacing w:line="240" w:lineRule="auto"/>
              <w:ind w:firstLine="482"/>
              <w:jc w:val="center"/>
              <w:rPr>
                <w:rFonts w:hint="eastAsia" w:ascii="宋体" w:hAnsi="宋体" w:eastAsia="宋体" w:cs="宋体"/>
                <w:color w:val="auto"/>
                <w:kern w:val="0"/>
                <w:sz w:val="24"/>
                <w:szCs w:val="24"/>
              </w:rPr>
            </w:pPr>
          </w:p>
        </w:tc>
      </w:tr>
      <w:tr w14:paraId="4F36E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169B1032">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090A7FF">
            <w:pPr>
              <w:widowControl/>
              <w:spacing w:line="240" w:lineRule="auto"/>
              <w:jc w:val="center"/>
              <w:rPr>
                <w:rFonts w:hint="eastAsia" w:ascii="宋体" w:hAnsi="宋体" w:eastAsia="宋体" w:cs="宋体"/>
                <w:color w:val="auto"/>
                <w:kern w:val="0"/>
                <w:sz w:val="24"/>
                <w:szCs w:val="24"/>
              </w:rPr>
            </w:pPr>
          </w:p>
        </w:tc>
        <w:tc>
          <w:tcPr>
            <w:tcW w:w="655" w:type="dxa"/>
            <w:vAlign w:val="center"/>
          </w:tcPr>
          <w:p w14:paraId="1B1858B1">
            <w:pPr>
              <w:widowControl/>
              <w:snapToGrid w:val="0"/>
              <w:spacing w:line="240" w:lineRule="auto"/>
              <w:jc w:val="center"/>
              <w:rPr>
                <w:rFonts w:hint="eastAsia" w:ascii="宋体" w:hAnsi="宋体" w:eastAsia="宋体" w:cs="宋体"/>
                <w:color w:val="auto"/>
                <w:kern w:val="0"/>
                <w:sz w:val="24"/>
                <w:szCs w:val="24"/>
              </w:rPr>
            </w:pPr>
          </w:p>
        </w:tc>
        <w:tc>
          <w:tcPr>
            <w:tcW w:w="2898" w:type="dxa"/>
            <w:vAlign w:val="center"/>
          </w:tcPr>
          <w:p w14:paraId="4ED1928A">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、建立局（办）以上领导重点交办问题督查复查机制，将当月领导督办的保洁质量差的道路（街巷）纳入次月复查名单，将当月领导关注的典型保洁问题纳入次月重点检查项目。</w:t>
            </w:r>
          </w:p>
        </w:tc>
        <w:tc>
          <w:tcPr>
            <w:tcW w:w="4112" w:type="dxa"/>
            <w:vAlign w:val="center"/>
          </w:tcPr>
          <w:p w14:paraId="04EEEBD0">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、在次月列入复查的道路（街巷）未在规定时间内落实整改、长效保洁不落实、典型保洁问题不解决的，每发生1次当月清洁度扣0.5分。</w:t>
            </w:r>
          </w:p>
        </w:tc>
        <w:tc>
          <w:tcPr>
            <w:tcW w:w="634" w:type="dxa"/>
            <w:vAlign w:val="center"/>
          </w:tcPr>
          <w:p w14:paraId="05981C86">
            <w:pPr>
              <w:widowControl/>
              <w:snapToGrid w:val="0"/>
              <w:spacing w:line="240" w:lineRule="auto"/>
              <w:jc w:val="center"/>
              <w:rPr>
                <w:rFonts w:hint="eastAsia" w:ascii="宋体" w:hAnsi="宋体" w:eastAsia="宋体" w:cs="宋体"/>
                <w:color w:val="auto"/>
                <w:kern w:val="0"/>
                <w:sz w:val="24"/>
                <w:szCs w:val="24"/>
              </w:rPr>
            </w:pPr>
          </w:p>
        </w:tc>
      </w:tr>
      <w:tr w14:paraId="21139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1DF3DCC0">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F791C42">
            <w:pPr>
              <w:widowControl/>
              <w:spacing w:line="240" w:lineRule="auto"/>
              <w:jc w:val="center"/>
              <w:rPr>
                <w:rFonts w:hint="eastAsia" w:ascii="宋体" w:hAnsi="宋体" w:eastAsia="宋体" w:cs="宋体"/>
                <w:color w:val="auto"/>
                <w:kern w:val="0"/>
                <w:sz w:val="24"/>
                <w:szCs w:val="24"/>
              </w:rPr>
            </w:pPr>
          </w:p>
        </w:tc>
        <w:tc>
          <w:tcPr>
            <w:tcW w:w="655" w:type="dxa"/>
            <w:vAlign w:val="center"/>
          </w:tcPr>
          <w:p w14:paraId="72FDFB32">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52D54AEB">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、长效保洁管理措施落实，不得采用跟踪检查组、临时突击保洁等不正常方式应对检查。</w:t>
            </w:r>
          </w:p>
        </w:tc>
        <w:tc>
          <w:tcPr>
            <w:tcW w:w="4112" w:type="dxa"/>
            <w:vAlign w:val="center"/>
          </w:tcPr>
          <w:p w14:paraId="4023773E">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、妨碍、干扰正常检查秩序的，每次扣0.05分，扣分值计入当月清洁度。</w:t>
            </w:r>
          </w:p>
          <w:p w14:paraId="0C9A0A36">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阻挠、延误检查人员开展检查的每次扣0.1分，道路保洁管理人员或保洁工在检查组周边进行突击保洁影响正常检查的每次扣0.05分，扣分值计入当月清洁度。</w:t>
            </w:r>
          </w:p>
        </w:tc>
        <w:tc>
          <w:tcPr>
            <w:tcW w:w="634" w:type="dxa"/>
            <w:vAlign w:val="center"/>
          </w:tcPr>
          <w:p w14:paraId="69D84C9F">
            <w:pPr>
              <w:widowControl/>
              <w:snapToGrid w:val="0"/>
              <w:spacing w:line="240" w:lineRule="auto"/>
              <w:jc w:val="center"/>
              <w:rPr>
                <w:rFonts w:hint="eastAsia" w:ascii="宋体" w:hAnsi="宋体" w:eastAsia="宋体" w:cs="宋体"/>
                <w:color w:val="auto"/>
                <w:kern w:val="0"/>
                <w:sz w:val="24"/>
                <w:szCs w:val="24"/>
              </w:rPr>
            </w:pPr>
          </w:p>
        </w:tc>
      </w:tr>
      <w:tr w14:paraId="0E872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0470D6D7">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w:t>
            </w:r>
          </w:p>
        </w:tc>
        <w:tc>
          <w:tcPr>
            <w:tcW w:w="723" w:type="dxa"/>
            <w:vMerge w:val="restart"/>
            <w:vAlign w:val="center"/>
          </w:tcPr>
          <w:p w14:paraId="4A9476CF">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牛皮癣规范作业</w:t>
            </w:r>
          </w:p>
        </w:tc>
        <w:tc>
          <w:tcPr>
            <w:tcW w:w="655" w:type="dxa"/>
            <w:vMerge w:val="restart"/>
            <w:vAlign w:val="center"/>
          </w:tcPr>
          <w:p w14:paraId="68145BC6">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37A6788B">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、实行“四定”管理，确保保洁范围内所有道路、围墙、设施、建（构）建物外墙、楼道内部等无“牛皮癣”</w:t>
            </w:r>
          </w:p>
        </w:tc>
        <w:tc>
          <w:tcPr>
            <w:tcW w:w="4112" w:type="dxa"/>
            <w:vAlign w:val="center"/>
          </w:tcPr>
          <w:p w14:paraId="0576EDC7">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、未按“四定”原则安排牛皮癣清理工作的，每次0.5分；</w:t>
            </w:r>
          </w:p>
          <w:p w14:paraId="051A3C15">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发现牛皮癣的，发现5处以内的（以0.2m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为一处，下同），每处计扣0.2分，5处以上的，每处扣0.5分</w:t>
            </w:r>
          </w:p>
        </w:tc>
        <w:tc>
          <w:tcPr>
            <w:tcW w:w="634" w:type="dxa"/>
            <w:vAlign w:val="center"/>
          </w:tcPr>
          <w:p w14:paraId="1CACD363">
            <w:pPr>
              <w:widowControl/>
              <w:snapToGrid w:val="0"/>
              <w:spacing w:line="240" w:lineRule="auto"/>
              <w:ind w:firstLine="482"/>
              <w:jc w:val="center"/>
              <w:rPr>
                <w:rFonts w:hint="eastAsia" w:ascii="宋体" w:hAnsi="宋体" w:eastAsia="宋体" w:cs="宋体"/>
                <w:color w:val="auto"/>
                <w:kern w:val="0"/>
                <w:sz w:val="24"/>
                <w:szCs w:val="24"/>
              </w:rPr>
            </w:pPr>
          </w:p>
        </w:tc>
      </w:tr>
      <w:tr w14:paraId="61BD1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5E42C2B0">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471E2454">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2138D962">
            <w:pPr>
              <w:widowControl/>
              <w:snapToGrid w:val="0"/>
              <w:spacing w:line="240" w:lineRule="auto"/>
              <w:jc w:val="center"/>
              <w:rPr>
                <w:rFonts w:hint="eastAsia" w:ascii="宋体" w:hAnsi="宋体" w:eastAsia="宋体" w:cs="宋体"/>
                <w:color w:val="auto"/>
                <w:kern w:val="0"/>
                <w:sz w:val="24"/>
                <w:szCs w:val="24"/>
              </w:rPr>
            </w:pPr>
          </w:p>
        </w:tc>
        <w:tc>
          <w:tcPr>
            <w:tcW w:w="2898" w:type="dxa"/>
            <w:vAlign w:val="center"/>
          </w:tcPr>
          <w:p w14:paraId="6F0A7368">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、严格按作业技术标准作业，做到按时清、随时清、杜绝“以癣治癣”</w:t>
            </w:r>
          </w:p>
        </w:tc>
        <w:tc>
          <w:tcPr>
            <w:tcW w:w="4112" w:type="dxa"/>
            <w:vAlign w:val="center"/>
          </w:tcPr>
          <w:p w14:paraId="3586EBC6">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、未按作业技术要求进行作业的，每发现一次，计扣0.5分/人。</w:t>
            </w:r>
          </w:p>
        </w:tc>
        <w:tc>
          <w:tcPr>
            <w:tcW w:w="634" w:type="dxa"/>
            <w:vAlign w:val="center"/>
          </w:tcPr>
          <w:p w14:paraId="4EF58DD6">
            <w:pPr>
              <w:widowControl/>
              <w:snapToGrid w:val="0"/>
              <w:spacing w:line="240" w:lineRule="auto"/>
              <w:ind w:firstLine="482"/>
              <w:jc w:val="center"/>
              <w:rPr>
                <w:rFonts w:hint="eastAsia" w:ascii="宋体" w:hAnsi="宋体" w:eastAsia="宋体" w:cs="宋体"/>
                <w:color w:val="auto"/>
                <w:kern w:val="0"/>
                <w:sz w:val="24"/>
                <w:szCs w:val="24"/>
              </w:rPr>
            </w:pPr>
          </w:p>
        </w:tc>
      </w:tr>
      <w:tr w14:paraId="54F5F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Align w:val="center"/>
          </w:tcPr>
          <w:p w14:paraId="2282C28F">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备注</w:t>
            </w:r>
          </w:p>
        </w:tc>
        <w:tc>
          <w:tcPr>
            <w:tcW w:w="8388" w:type="dxa"/>
            <w:gridSpan w:val="4"/>
            <w:vAlign w:val="center"/>
          </w:tcPr>
          <w:p w14:paraId="3EAC4B3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未注明从当月清洁度中扣分的项目，均从被检道路中扣分。</w:t>
            </w:r>
          </w:p>
        </w:tc>
        <w:tc>
          <w:tcPr>
            <w:tcW w:w="634" w:type="dxa"/>
            <w:vAlign w:val="center"/>
          </w:tcPr>
          <w:p w14:paraId="3B7C235A">
            <w:pPr>
              <w:widowControl/>
              <w:snapToGrid w:val="0"/>
              <w:spacing w:line="240" w:lineRule="auto"/>
              <w:ind w:firstLine="482"/>
              <w:jc w:val="center"/>
              <w:rPr>
                <w:rFonts w:hint="eastAsia" w:ascii="宋体" w:hAnsi="宋体" w:eastAsia="宋体" w:cs="宋体"/>
                <w:color w:val="auto"/>
                <w:kern w:val="0"/>
                <w:sz w:val="24"/>
                <w:szCs w:val="24"/>
              </w:rPr>
            </w:pPr>
          </w:p>
        </w:tc>
      </w:tr>
    </w:tbl>
    <w:p w14:paraId="1FDD4788">
      <w:pPr>
        <w:rPr>
          <w:rFonts w:hint="eastAsia" w:ascii="宋体" w:hAnsi="宋体" w:eastAsia="宋体" w:cs="宋体"/>
          <w:b/>
          <w:bCs/>
          <w:color w:val="auto"/>
          <w:kern w:val="0"/>
          <w:sz w:val="24"/>
          <w:szCs w:val="24"/>
          <w:lang w:val="en-US" w:eastAsia="zh-CN"/>
        </w:rPr>
      </w:pPr>
    </w:p>
    <w:p w14:paraId="301714B9">
      <w:pPr>
        <w:rPr>
          <w:rFonts w:hint="eastAsia" w:ascii="宋体" w:hAnsi="宋体" w:eastAsia="宋体" w:cs="宋体"/>
          <w:b/>
          <w:bCs/>
          <w:color w:val="auto"/>
          <w:kern w:val="0"/>
          <w:sz w:val="24"/>
          <w:szCs w:val="24"/>
          <w:lang w:val="en-US" w:eastAsia="zh-CN"/>
        </w:rPr>
      </w:pPr>
    </w:p>
    <w:p w14:paraId="6F1FF0AA">
      <w:pP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br w:type="page"/>
      </w:r>
    </w:p>
    <w:p w14:paraId="6ABE5E2B">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余杭区仓前街道</w:t>
      </w:r>
      <w:r>
        <w:rPr>
          <w:rFonts w:hint="eastAsia" w:ascii="宋体" w:hAnsi="宋体" w:eastAsia="宋体" w:cs="宋体"/>
          <w:b/>
          <w:bCs/>
          <w:color w:val="auto"/>
          <w:kern w:val="0"/>
          <w:sz w:val="24"/>
          <w:szCs w:val="24"/>
          <w:lang w:val="en-US" w:eastAsia="zh-CN"/>
        </w:rPr>
        <w:t>太炎社区片区化大物业管理区域序化管理人员日常管理督查</w:t>
      </w:r>
      <w:r>
        <w:rPr>
          <w:rFonts w:hint="eastAsia" w:ascii="宋体" w:hAnsi="宋体" w:eastAsia="宋体" w:cs="宋体"/>
          <w:b/>
          <w:bCs/>
          <w:color w:val="auto"/>
          <w:kern w:val="0"/>
          <w:sz w:val="24"/>
          <w:szCs w:val="24"/>
        </w:rPr>
        <w:t>考核评分标准</w:t>
      </w:r>
    </w:p>
    <w:tbl>
      <w:tblPr>
        <w:tblStyle w:val="6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3800"/>
        <w:gridCol w:w="3693"/>
        <w:gridCol w:w="1543"/>
      </w:tblGrid>
      <w:tr w14:paraId="154E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205AD7E6">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78BB7C70">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扣分内容</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845683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扣分分值</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C0715B1">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rPr>
              <w:t>考评得分</w:t>
            </w:r>
          </w:p>
        </w:tc>
      </w:tr>
      <w:tr w14:paraId="3608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0E0508B1">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41EA9E0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上班迟到、早退、擅自离岗</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084F29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每人每次扣2分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4037940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5945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4AE3CB4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19371AB0">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无故</w:t>
            </w:r>
            <w:r>
              <w:rPr>
                <w:rFonts w:hint="eastAsia" w:ascii="宋体" w:hAnsi="宋体" w:eastAsia="宋体" w:cs="宋体"/>
                <w:color w:val="auto"/>
                <w:sz w:val="24"/>
                <w:szCs w:val="24"/>
                <w:highlight w:val="none"/>
              </w:rPr>
              <w:t>旷工</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AACE80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旷工半天扣2分、1天扣3分（两次出现旷工由服务外包单位予以更换人员）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421ABF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2768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58F31C1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3A3546BC">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无故不参加会议、集中学习</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63DFB9F">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6F7534CC">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558F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09EF152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68EEEB3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上班期间着装不规范、不整洁</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16D8C63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5F8A6C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4489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2CC8F4AC">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0BDA274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在管理区域、路段聚众聊天、看手机、或进入店家做与工作无关的事</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52E817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2644BE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2D66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0AF8D49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31A77BC5">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违反请销假制度</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CDB839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4FD1558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55FA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6D23B3C6">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6739EB98">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将警用装备借于他人使用</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03A353B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32FE2FA">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7135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35E390B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3F72E3F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不服从正常的工作调动</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CF3D84C">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7AB15C21">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780E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335F5AB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2B460FA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队员对自己巡逻、管理区域、路段不熟悉，不了解消火栓地点并不能熟练使用消防器材</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9E931AA">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2047D37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6D90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5DD8FA56">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14A0B8F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遇险情未及时上报，未采取措施制止灾害扩大</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54B72F2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3D09A23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0799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173EC3B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448AA4B3">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在巡逻过程中，遇有正在实施的不法侵害行为时，未迅速制止和报警</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06C5EFD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05064F1">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327D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5B777CE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5D3C1B4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受到国家法律及治安条例处罚</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0D5A91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811400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14E4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261A7563">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05CD01B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对中队督查人员指出的问题不立即进行整改或还顶撞</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FF642A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131CC9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7C38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3EF839D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0AE088A5">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对中队领导及街道领导发现、指出的问题，不立即进行整改或还顶撞</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610C71F">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每人每次扣10分（并由服务外包单位予以更换人员）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04B8158">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202F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683DD68F">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2A3388D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对不服从中队督查人员督查管理。</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BAF61B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每人每次扣10分（并由服务外包单位予以更换人员）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32D67493">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7890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14CB739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3798" w:type="pct"/>
            <w:gridSpan w:val="2"/>
            <w:tcBorders>
              <w:top w:val="single" w:color="auto" w:sz="4" w:space="0"/>
              <w:left w:val="single" w:color="auto" w:sz="4" w:space="0"/>
              <w:bottom w:val="single" w:color="auto" w:sz="4" w:space="0"/>
              <w:right w:val="single" w:color="auto" w:sz="4" w:space="0"/>
            </w:tcBorders>
            <w:noWrap w:val="0"/>
            <w:vAlign w:val="center"/>
          </w:tcPr>
          <w:p w14:paraId="4D1033AF">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此督查考核仅限于招标单位对</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提供的服务外包人员根据服务外包管理内容履职进行考核，根据考核扣分情况进行每月汇总。</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6080D11">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bl>
    <w:p w14:paraId="7880F350">
      <w:pPr>
        <w:numPr>
          <w:ilvl w:val="0"/>
          <w:numId w:val="0"/>
        </w:numPr>
        <w:ind w:leftChars="0"/>
        <w:rPr>
          <w:rFonts w:hint="eastAsia" w:ascii="宋体" w:hAnsi="宋体" w:eastAsia="宋体" w:cs="宋体"/>
          <w:color w:val="auto"/>
          <w:kern w:val="0"/>
          <w:sz w:val="24"/>
          <w:szCs w:val="24"/>
        </w:rPr>
      </w:pPr>
    </w:p>
    <w:p w14:paraId="0B74C2A6">
      <w:pP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br w:type="page"/>
      </w:r>
    </w:p>
    <w:p w14:paraId="7A7783A5">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rPr>
        <w:t>3、</w:t>
      </w:r>
      <w:r>
        <w:rPr>
          <w:rFonts w:hint="eastAsia" w:ascii="宋体" w:hAnsi="宋体" w:eastAsia="宋体" w:cs="宋体"/>
          <w:b/>
          <w:bCs/>
          <w:color w:val="auto"/>
          <w:kern w:val="0"/>
          <w:sz w:val="24"/>
          <w:szCs w:val="24"/>
        </w:rPr>
        <w:t>余杭区仓前街道</w:t>
      </w:r>
      <w:r>
        <w:rPr>
          <w:rFonts w:hint="eastAsia" w:ascii="宋体" w:hAnsi="宋体" w:eastAsia="宋体" w:cs="宋体"/>
          <w:b/>
          <w:bCs/>
          <w:color w:val="auto"/>
          <w:kern w:val="0"/>
          <w:sz w:val="24"/>
          <w:szCs w:val="24"/>
          <w:lang w:val="en-US" w:eastAsia="zh-CN"/>
        </w:rPr>
        <w:t>太炎社区片区化大物业管理区域</w:t>
      </w:r>
      <w:r>
        <w:rPr>
          <w:rFonts w:hint="eastAsia" w:ascii="宋体" w:hAnsi="宋体" w:eastAsia="宋体" w:cs="宋体"/>
          <w:b/>
          <w:bCs/>
          <w:color w:val="auto"/>
          <w:kern w:val="0"/>
          <w:sz w:val="24"/>
          <w:szCs w:val="24"/>
          <w:lang w:val="en-US"/>
        </w:rPr>
        <w:t>园林绿化养护管理</w:t>
      </w:r>
      <w:r>
        <w:rPr>
          <w:rFonts w:hint="eastAsia" w:ascii="宋体" w:hAnsi="宋体" w:eastAsia="宋体" w:cs="宋体"/>
          <w:b/>
          <w:bCs/>
          <w:color w:val="auto"/>
          <w:kern w:val="0"/>
          <w:sz w:val="24"/>
          <w:szCs w:val="24"/>
        </w:rPr>
        <w:t>考核评分标准</w:t>
      </w:r>
    </w:p>
    <w:tbl>
      <w:tblPr>
        <w:tblStyle w:val="62"/>
        <w:tblW w:w="488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28"/>
        <w:gridCol w:w="4054"/>
        <w:gridCol w:w="4058"/>
        <w:gridCol w:w="888"/>
      </w:tblGrid>
      <w:tr w14:paraId="4601A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4" w:hRule="atLeast"/>
          <w:jc w:val="center"/>
        </w:trPr>
        <w:tc>
          <w:tcPr>
            <w:tcW w:w="374" w:type="pct"/>
            <w:vAlign w:val="center"/>
          </w:tcPr>
          <w:p w14:paraId="3D099D9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养护项目</w:t>
            </w:r>
          </w:p>
        </w:tc>
        <w:tc>
          <w:tcPr>
            <w:tcW w:w="2083" w:type="pct"/>
            <w:vAlign w:val="center"/>
          </w:tcPr>
          <w:p w14:paraId="360368B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养护要求和考核内容</w:t>
            </w:r>
          </w:p>
        </w:tc>
        <w:tc>
          <w:tcPr>
            <w:tcW w:w="2085" w:type="pct"/>
            <w:vAlign w:val="center"/>
          </w:tcPr>
          <w:p w14:paraId="50585F6F">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扣分细则</w:t>
            </w:r>
          </w:p>
        </w:tc>
        <w:tc>
          <w:tcPr>
            <w:tcW w:w="456" w:type="pct"/>
            <w:vAlign w:val="center"/>
          </w:tcPr>
          <w:p w14:paraId="5431A7F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考评</w:t>
            </w:r>
          </w:p>
          <w:p w14:paraId="12A1CAB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得分</w:t>
            </w:r>
          </w:p>
        </w:tc>
      </w:tr>
      <w:tr w14:paraId="20943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10" w:hRule="atLeast"/>
          <w:jc w:val="center"/>
        </w:trPr>
        <w:tc>
          <w:tcPr>
            <w:tcW w:w="374" w:type="pct"/>
            <w:vMerge w:val="restart"/>
            <w:vAlign w:val="center"/>
          </w:tcPr>
          <w:p w14:paraId="677FC93B">
            <w:pPr>
              <w:spacing w:line="280" w:lineRule="exact"/>
              <w:jc w:val="center"/>
              <w:rPr>
                <w:rFonts w:hint="eastAsia" w:ascii="宋体" w:hAnsi="宋体" w:eastAsia="宋体" w:cs="宋体"/>
                <w:b/>
                <w:bCs/>
                <w:color w:val="auto"/>
                <w:sz w:val="24"/>
                <w:szCs w:val="24"/>
              </w:rPr>
            </w:pPr>
          </w:p>
          <w:p w14:paraId="4658335F">
            <w:pPr>
              <w:spacing w:line="280" w:lineRule="exact"/>
              <w:jc w:val="center"/>
              <w:rPr>
                <w:rFonts w:hint="eastAsia" w:ascii="宋体" w:hAnsi="宋体" w:eastAsia="宋体" w:cs="宋体"/>
                <w:b/>
                <w:bCs/>
                <w:color w:val="auto"/>
                <w:sz w:val="24"/>
                <w:szCs w:val="24"/>
              </w:rPr>
            </w:pPr>
          </w:p>
          <w:p w14:paraId="0556BD1F">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植</w:t>
            </w:r>
          </w:p>
          <w:p w14:paraId="340578DE">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物</w:t>
            </w:r>
          </w:p>
          <w:p w14:paraId="21557FF6">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养</w:t>
            </w:r>
          </w:p>
          <w:p w14:paraId="42DFDA67">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护</w:t>
            </w:r>
          </w:p>
          <w:p w14:paraId="389D5195">
            <w:pPr>
              <w:widowControl/>
              <w:spacing w:line="280" w:lineRule="exact"/>
              <w:jc w:val="center"/>
              <w:rPr>
                <w:rFonts w:hint="eastAsia" w:ascii="宋体" w:hAnsi="宋体" w:eastAsia="宋体" w:cs="宋体"/>
                <w:b/>
                <w:bCs/>
                <w:color w:val="auto"/>
                <w:sz w:val="24"/>
                <w:szCs w:val="24"/>
              </w:rPr>
            </w:pPr>
          </w:p>
        </w:tc>
        <w:tc>
          <w:tcPr>
            <w:tcW w:w="2083" w:type="pct"/>
            <w:vAlign w:val="center"/>
          </w:tcPr>
          <w:p w14:paraId="3B66C794">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1、植物保存率达100%，无死株、缺株，花灌木色块完整、整齐、无空洞现象。（6分）</w:t>
            </w:r>
          </w:p>
        </w:tc>
        <w:tc>
          <w:tcPr>
            <w:tcW w:w="2085" w:type="pct"/>
            <w:vAlign w:val="center"/>
          </w:tcPr>
          <w:p w14:paraId="24A6B87F">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1、乔木死株未及时清除每株扣0.5分，乔木缺株每株扣1分。其他每项扣0.5分。</w:t>
            </w:r>
          </w:p>
        </w:tc>
        <w:tc>
          <w:tcPr>
            <w:tcW w:w="456" w:type="pct"/>
            <w:vAlign w:val="center"/>
          </w:tcPr>
          <w:p w14:paraId="4D2E672B">
            <w:pPr>
              <w:spacing w:line="280" w:lineRule="exact"/>
              <w:jc w:val="center"/>
              <w:rPr>
                <w:rFonts w:hint="eastAsia" w:ascii="宋体" w:hAnsi="宋体" w:eastAsia="宋体" w:cs="宋体"/>
                <w:color w:val="auto"/>
                <w:sz w:val="24"/>
                <w:szCs w:val="24"/>
              </w:rPr>
            </w:pPr>
          </w:p>
        </w:tc>
      </w:tr>
      <w:tr w14:paraId="1C0BB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2B02A0CC">
            <w:pPr>
              <w:widowControl/>
              <w:spacing w:line="280" w:lineRule="exact"/>
              <w:jc w:val="left"/>
              <w:rPr>
                <w:rFonts w:hint="eastAsia" w:ascii="宋体" w:hAnsi="宋体" w:eastAsia="宋体" w:cs="宋体"/>
                <w:b/>
                <w:bCs/>
                <w:color w:val="auto"/>
                <w:sz w:val="24"/>
                <w:szCs w:val="24"/>
              </w:rPr>
            </w:pPr>
          </w:p>
        </w:tc>
        <w:tc>
          <w:tcPr>
            <w:tcW w:w="2083" w:type="pct"/>
            <w:vAlign w:val="center"/>
          </w:tcPr>
          <w:p w14:paraId="00E1891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2、树木支撑规范、统一、稳固，无断桩、坏桩，桩位扎缚规范化（4分）</w:t>
            </w:r>
          </w:p>
        </w:tc>
        <w:tc>
          <w:tcPr>
            <w:tcW w:w="2085" w:type="pct"/>
            <w:vAlign w:val="center"/>
          </w:tcPr>
          <w:p w14:paraId="0D5BF5CE">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2、每发现1处支撑散乱不整齐的扣0.2分；乔木支撑架倒塌或支撑不规范不牢固，及树木倾斜严重每发现一处扣0.5分.</w:t>
            </w:r>
          </w:p>
        </w:tc>
        <w:tc>
          <w:tcPr>
            <w:tcW w:w="456" w:type="pct"/>
            <w:vAlign w:val="center"/>
          </w:tcPr>
          <w:p w14:paraId="0E45E348">
            <w:pPr>
              <w:spacing w:line="280" w:lineRule="exact"/>
              <w:jc w:val="center"/>
              <w:rPr>
                <w:rFonts w:hint="eastAsia" w:ascii="宋体" w:hAnsi="宋体" w:eastAsia="宋体" w:cs="宋体"/>
                <w:color w:val="auto"/>
                <w:sz w:val="24"/>
                <w:szCs w:val="24"/>
              </w:rPr>
            </w:pPr>
          </w:p>
        </w:tc>
      </w:tr>
      <w:tr w14:paraId="33BA0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50" w:hRule="atLeast"/>
          <w:jc w:val="center"/>
        </w:trPr>
        <w:tc>
          <w:tcPr>
            <w:tcW w:w="374" w:type="pct"/>
            <w:vMerge w:val="continue"/>
            <w:vAlign w:val="center"/>
          </w:tcPr>
          <w:p w14:paraId="16F9C2EE">
            <w:pPr>
              <w:widowControl/>
              <w:spacing w:line="280" w:lineRule="exact"/>
              <w:jc w:val="left"/>
              <w:rPr>
                <w:rFonts w:hint="eastAsia" w:ascii="宋体" w:hAnsi="宋体" w:eastAsia="宋体" w:cs="宋体"/>
                <w:b/>
                <w:bCs/>
                <w:color w:val="auto"/>
                <w:sz w:val="24"/>
                <w:szCs w:val="24"/>
              </w:rPr>
            </w:pPr>
          </w:p>
        </w:tc>
        <w:tc>
          <w:tcPr>
            <w:tcW w:w="2083" w:type="pct"/>
            <w:vAlign w:val="center"/>
          </w:tcPr>
          <w:p w14:paraId="3C31092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3、每年修剪二次，即进入休眠期普（大）修一次，树木不定芽、枯枝、断枝及时修剪，修剪规范安全，春季换叶发芽再修一次，要求及时抹掉枝杆附芽（6分）</w:t>
            </w:r>
          </w:p>
        </w:tc>
        <w:tc>
          <w:tcPr>
            <w:tcW w:w="2085" w:type="pct"/>
            <w:vAlign w:val="center"/>
          </w:tcPr>
          <w:p w14:paraId="3896EA31">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3、树木不定芽、枯枝、断枝每发现一处扣0.2分；野蛮修剪或未按</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要求修剪造成严重伤口，每发现一处扣0.5分</w:t>
            </w:r>
          </w:p>
        </w:tc>
        <w:tc>
          <w:tcPr>
            <w:tcW w:w="456" w:type="pct"/>
            <w:vAlign w:val="center"/>
          </w:tcPr>
          <w:p w14:paraId="5983FAB5">
            <w:pPr>
              <w:spacing w:line="280" w:lineRule="exact"/>
              <w:jc w:val="center"/>
              <w:rPr>
                <w:rFonts w:hint="eastAsia" w:ascii="宋体" w:hAnsi="宋体" w:eastAsia="宋体" w:cs="宋体"/>
                <w:color w:val="auto"/>
                <w:sz w:val="24"/>
                <w:szCs w:val="24"/>
              </w:rPr>
            </w:pPr>
          </w:p>
        </w:tc>
      </w:tr>
      <w:tr w14:paraId="2389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30" w:hRule="atLeast"/>
          <w:jc w:val="center"/>
        </w:trPr>
        <w:tc>
          <w:tcPr>
            <w:tcW w:w="374" w:type="pct"/>
            <w:vMerge w:val="continue"/>
            <w:vAlign w:val="center"/>
          </w:tcPr>
          <w:p w14:paraId="28A7ED6F">
            <w:pPr>
              <w:widowControl/>
              <w:spacing w:line="280" w:lineRule="exact"/>
              <w:jc w:val="left"/>
              <w:rPr>
                <w:rFonts w:hint="eastAsia" w:ascii="宋体" w:hAnsi="宋体" w:eastAsia="宋体" w:cs="宋体"/>
                <w:b/>
                <w:bCs/>
                <w:color w:val="auto"/>
                <w:sz w:val="24"/>
                <w:szCs w:val="24"/>
              </w:rPr>
            </w:pPr>
          </w:p>
        </w:tc>
        <w:tc>
          <w:tcPr>
            <w:tcW w:w="2083" w:type="pct"/>
            <w:vAlign w:val="center"/>
          </w:tcPr>
          <w:p w14:paraId="0552C207">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4、树木生长茂盛、树型美观，正常条件下不黄叶、不焦叶、不卷叶、不落叶。在冬季能及时做好刷白、疏枝工作（3分）</w:t>
            </w:r>
          </w:p>
        </w:tc>
        <w:tc>
          <w:tcPr>
            <w:tcW w:w="2085" w:type="pct"/>
            <w:vAlign w:val="center"/>
          </w:tcPr>
          <w:p w14:paraId="178B4E47">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4、树木长势不佳、偏冠严重每发现一处扣0.5分，有其他每处扣0.2分</w:t>
            </w:r>
          </w:p>
        </w:tc>
        <w:tc>
          <w:tcPr>
            <w:tcW w:w="456" w:type="pct"/>
            <w:vAlign w:val="center"/>
          </w:tcPr>
          <w:p w14:paraId="6E14C168">
            <w:pPr>
              <w:spacing w:line="280" w:lineRule="exact"/>
              <w:jc w:val="center"/>
              <w:rPr>
                <w:rFonts w:hint="eastAsia" w:ascii="宋体" w:hAnsi="宋体" w:eastAsia="宋体" w:cs="宋体"/>
                <w:color w:val="auto"/>
                <w:sz w:val="24"/>
                <w:szCs w:val="24"/>
              </w:rPr>
            </w:pPr>
          </w:p>
        </w:tc>
      </w:tr>
      <w:tr w14:paraId="1C228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50" w:hRule="atLeast"/>
          <w:jc w:val="center"/>
        </w:trPr>
        <w:tc>
          <w:tcPr>
            <w:tcW w:w="374" w:type="pct"/>
            <w:vMerge w:val="continue"/>
            <w:vAlign w:val="center"/>
          </w:tcPr>
          <w:p w14:paraId="4FD59C56">
            <w:pPr>
              <w:widowControl/>
              <w:spacing w:line="280" w:lineRule="exact"/>
              <w:jc w:val="left"/>
              <w:rPr>
                <w:rFonts w:hint="eastAsia" w:ascii="宋体" w:hAnsi="宋体" w:eastAsia="宋体" w:cs="宋体"/>
                <w:b/>
                <w:bCs/>
                <w:color w:val="auto"/>
                <w:sz w:val="24"/>
                <w:szCs w:val="24"/>
              </w:rPr>
            </w:pPr>
          </w:p>
        </w:tc>
        <w:tc>
          <w:tcPr>
            <w:tcW w:w="2083" w:type="pct"/>
            <w:vAlign w:val="center"/>
          </w:tcPr>
          <w:p w14:paraId="4BA46251">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5、植枝无徒长枝、病虫枝、过密枝、并生枝、交叉枝、下重枝、枯枝、伤损枝、碰线枝、，及时抹芽、倾斜老枝要控制斜度(5分)。</w:t>
            </w:r>
          </w:p>
        </w:tc>
        <w:tc>
          <w:tcPr>
            <w:tcW w:w="2085" w:type="pct"/>
            <w:vAlign w:val="center"/>
          </w:tcPr>
          <w:p w14:paraId="21D2EE8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5、植枝无徒长枝、病虫枝、过密枝、并生枝、交叉枝、下重枝、枯枝、伤损枝、碰线枝发现一处扣0.5分</w:t>
            </w:r>
          </w:p>
        </w:tc>
        <w:tc>
          <w:tcPr>
            <w:tcW w:w="456" w:type="pct"/>
            <w:vAlign w:val="center"/>
          </w:tcPr>
          <w:p w14:paraId="7CEA0084">
            <w:pPr>
              <w:spacing w:line="280" w:lineRule="exact"/>
              <w:jc w:val="center"/>
              <w:rPr>
                <w:rFonts w:hint="eastAsia" w:ascii="宋体" w:hAnsi="宋体" w:eastAsia="宋体" w:cs="宋体"/>
                <w:color w:val="auto"/>
                <w:sz w:val="24"/>
                <w:szCs w:val="24"/>
              </w:rPr>
            </w:pPr>
          </w:p>
        </w:tc>
      </w:tr>
      <w:tr w14:paraId="29563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50" w:hRule="atLeast"/>
          <w:jc w:val="center"/>
        </w:trPr>
        <w:tc>
          <w:tcPr>
            <w:tcW w:w="374" w:type="pct"/>
            <w:vMerge w:val="continue"/>
            <w:vAlign w:val="center"/>
          </w:tcPr>
          <w:p w14:paraId="55F4EDA9">
            <w:pPr>
              <w:widowControl/>
              <w:spacing w:line="280" w:lineRule="exact"/>
              <w:jc w:val="left"/>
              <w:rPr>
                <w:rFonts w:hint="eastAsia" w:ascii="宋体" w:hAnsi="宋体" w:eastAsia="宋体" w:cs="宋体"/>
                <w:b/>
                <w:bCs/>
                <w:color w:val="auto"/>
                <w:sz w:val="24"/>
                <w:szCs w:val="24"/>
              </w:rPr>
            </w:pPr>
          </w:p>
        </w:tc>
        <w:tc>
          <w:tcPr>
            <w:tcW w:w="2083" w:type="pct"/>
            <w:vAlign w:val="center"/>
          </w:tcPr>
          <w:p w14:paraId="24276B1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6、树穴填充（种植绿色植被或铺设鹅卵石、环保材料）整齐规范、无绿地裸露、无杂草（4分）</w:t>
            </w:r>
          </w:p>
        </w:tc>
        <w:tc>
          <w:tcPr>
            <w:tcW w:w="2085" w:type="pct"/>
            <w:vAlign w:val="center"/>
          </w:tcPr>
          <w:p w14:paraId="23A464C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6树穴裸露、填充物缺失及有明显杂草每发现1处扣0.2分</w:t>
            </w:r>
          </w:p>
        </w:tc>
        <w:tc>
          <w:tcPr>
            <w:tcW w:w="456" w:type="pct"/>
            <w:vAlign w:val="center"/>
          </w:tcPr>
          <w:p w14:paraId="6AF5F794">
            <w:pPr>
              <w:spacing w:line="280" w:lineRule="exact"/>
              <w:jc w:val="center"/>
              <w:rPr>
                <w:rFonts w:hint="eastAsia" w:ascii="宋体" w:hAnsi="宋体" w:eastAsia="宋体" w:cs="宋体"/>
                <w:color w:val="auto"/>
                <w:sz w:val="24"/>
                <w:szCs w:val="24"/>
              </w:rPr>
            </w:pPr>
          </w:p>
        </w:tc>
      </w:tr>
      <w:tr w14:paraId="2EBAC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0" w:hRule="atLeast"/>
          <w:jc w:val="center"/>
        </w:trPr>
        <w:tc>
          <w:tcPr>
            <w:tcW w:w="374" w:type="pct"/>
            <w:vMerge w:val="continue"/>
            <w:vAlign w:val="center"/>
          </w:tcPr>
          <w:p w14:paraId="6FF21563">
            <w:pPr>
              <w:widowControl/>
              <w:spacing w:line="280" w:lineRule="exact"/>
              <w:jc w:val="left"/>
              <w:rPr>
                <w:rFonts w:hint="eastAsia" w:ascii="宋体" w:hAnsi="宋体" w:eastAsia="宋体" w:cs="宋体"/>
                <w:b/>
                <w:bCs/>
                <w:color w:val="auto"/>
                <w:sz w:val="24"/>
                <w:szCs w:val="24"/>
              </w:rPr>
            </w:pPr>
          </w:p>
        </w:tc>
        <w:tc>
          <w:tcPr>
            <w:tcW w:w="2083" w:type="pct"/>
            <w:vAlign w:val="center"/>
          </w:tcPr>
          <w:p w14:paraId="6A7E6F9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7、色块小灌木无缺株、无小道及黄土裸露情况（8分）</w:t>
            </w:r>
          </w:p>
        </w:tc>
        <w:tc>
          <w:tcPr>
            <w:tcW w:w="2085" w:type="pct"/>
            <w:vAlign w:val="center"/>
          </w:tcPr>
          <w:p w14:paraId="1439F79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7、死株、人为踩踏小道、绿地裸露情况每发现1处扣0.2分</w:t>
            </w:r>
          </w:p>
        </w:tc>
        <w:tc>
          <w:tcPr>
            <w:tcW w:w="456" w:type="pct"/>
            <w:vAlign w:val="center"/>
          </w:tcPr>
          <w:p w14:paraId="3E51E7FB">
            <w:pPr>
              <w:spacing w:line="280" w:lineRule="exact"/>
              <w:jc w:val="center"/>
              <w:rPr>
                <w:rFonts w:hint="eastAsia" w:ascii="宋体" w:hAnsi="宋体" w:eastAsia="宋体" w:cs="宋体"/>
                <w:color w:val="auto"/>
                <w:sz w:val="24"/>
                <w:szCs w:val="24"/>
              </w:rPr>
            </w:pPr>
          </w:p>
        </w:tc>
      </w:tr>
      <w:tr w14:paraId="43D72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0" w:hRule="atLeast"/>
          <w:jc w:val="center"/>
        </w:trPr>
        <w:tc>
          <w:tcPr>
            <w:tcW w:w="374" w:type="pct"/>
            <w:vMerge w:val="continue"/>
            <w:vAlign w:val="center"/>
          </w:tcPr>
          <w:p w14:paraId="0099DFF1">
            <w:pPr>
              <w:widowControl/>
              <w:spacing w:line="280" w:lineRule="exact"/>
              <w:jc w:val="left"/>
              <w:rPr>
                <w:rFonts w:hint="eastAsia" w:ascii="宋体" w:hAnsi="宋体" w:eastAsia="宋体" w:cs="宋体"/>
                <w:b/>
                <w:bCs/>
                <w:color w:val="auto"/>
                <w:sz w:val="24"/>
                <w:szCs w:val="24"/>
              </w:rPr>
            </w:pPr>
          </w:p>
        </w:tc>
        <w:tc>
          <w:tcPr>
            <w:tcW w:w="2083" w:type="pct"/>
            <w:vAlign w:val="center"/>
          </w:tcPr>
          <w:p w14:paraId="0FFD4AF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8、色块灌木经常修剪达到面清淅、平整、边垂直、无窜条、高度统一（5分）</w:t>
            </w:r>
          </w:p>
        </w:tc>
        <w:tc>
          <w:tcPr>
            <w:tcW w:w="2085" w:type="pct"/>
            <w:vAlign w:val="center"/>
          </w:tcPr>
          <w:p w14:paraId="7C0795F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8、色块修剪不平整及发现明显窜条（超过15cm）每发现1处扣0.2分</w:t>
            </w:r>
          </w:p>
        </w:tc>
        <w:tc>
          <w:tcPr>
            <w:tcW w:w="456" w:type="pct"/>
            <w:vAlign w:val="center"/>
          </w:tcPr>
          <w:p w14:paraId="6CFF2853">
            <w:pPr>
              <w:spacing w:line="280" w:lineRule="exact"/>
              <w:jc w:val="center"/>
              <w:rPr>
                <w:rFonts w:hint="eastAsia" w:ascii="宋体" w:hAnsi="宋体" w:eastAsia="宋体" w:cs="宋体"/>
                <w:color w:val="auto"/>
                <w:sz w:val="24"/>
                <w:szCs w:val="24"/>
              </w:rPr>
            </w:pPr>
          </w:p>
        </w:tc>
      </w:tr>
      <w:tr w14:paraId="56BFB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70" w:hRule="atLeast"/>
          <w:jc w:val="center"/>
        </w:trPr>
        <w:tc>
          <w:tcPr>
            <w:tcW w:w="374" w:type="pct"/>
            <w:vMerge w:val="continue"/>
            <w:vAlign w:val="center"/>
          </w:tcPr>
          <w:p w14:paraId="514CFE27">
            <w:pPr>
              <w:widowControl/>
              <w:spacing w:line="280" w:lineRule="exact"/>
              <w:jc w:val="left"/>
              <w:rPr>
                <w:rFonts w:hint="eastAsia" w:ascii="宋体" w:hAnsi="宋体" w:eastAsia="宋体" w:cs="宋体"/>
                <w:b/>
                <w:bCs/>
                <w:color w:val="auto"/>
                <w:sz w:val="24"/>
                <w:szCs w:val="24"/>
              </w:rPr>
            </w:pPr>
          </w:p>
        </w:tc>
        <w:tc>
          <w:tcPr>
            <w:tcW w:w="2083" w:type="pct"/>
            <w:vAlign w:val="center"/>
          </w:tcPr>
          <w:p w14:paraId="113B48CC">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9、草坪及地被覆盖率达95%以上，经常修剪保持标准高度（暖季型：8cm、长绿型：6cm）、无裸露空秃、色块均匀（4分）</w:t>
            </w:r>
          </w:p>
        </w:tc>
        <w:tc>
          <w:tcPr>
            <w:tcW w:w="2085" w:type="pct"/>
            <w:vAlign w:val="center"/>
          </w:tcPr>
          <w:p w14:paraId="53A16D7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9、草坪每高出标准2cm的、草坪中心区有空秃现象、色块颜色不同的每发现1处扣0.2分</w:t>
            </w:r>
          </w:p>
        </w:tc>
        <w:tc>
          <w:tcPr>
            <w:tcW w:w="456" w:type="pct"/>
            <w:vAlign w:val="center"/>
          </w:tcPr>
          <w:p w14:paraId="1913B584">
            <w:pPr>
              <w:spacing w:line="280" w:lineRule="exact"/>
              <w:jc w:val="center"/>
              <w:rPr>
                <w:rFonts w:hint="eastAsia" w:ascii="宋体" w:hAnsi="宋体" w:eastAsia="宋体" w:cs="宋体"/>
                <w:color w:val="auto"/>
                <w:sz w:val="24"/>
                <w:szCs w:val="24"/>
              </w:rPr>
            </w:pPr>
          </w:p>
        </w:tc>
      </w:tr>
      <w:tr w14:paraId="4C07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70" w:hRule="atLeast"/>
          <w:jc w:val="center"/>
        </w:trPr>
        <w:tc>
          <w:tcPr>
            <w:tcW w:w="374" w:type="pct"/>
            <w:vMerge w:val="continue"/>
            <w:vAlign w:val="center"/>
          </w:tcPr>
          <w:p w14:paraId="25C0D6B0">
            <w:pPr>
              <w:widowControl/>
              <w:spacing w:line="280" w:lineRule="exact"/>
              <w:jc w:val="left"/>
              <w:rPr>
                <w:rFonts w:hint="eastAsia" w:ascii="宋体" w:hAnsi="宋体" w:eastAsia="宋体" w:cs="宋体"/>
                <w:b/>
                <w:bCs/>
                <w:color w:val="auto"/>
                <w:sz w:val="24"/>
                <w:szCs w:val="24"/>
              </w:rPr>
            </w:pPr>
          </w:p>
        </w:tc>
        <w:tc>
          <w:tcPr>
            <w:tcW w:w="2083" w:type="pct"/>
            <w:vAlign w:val="center"/>
          </w:tcPr>
          <w:p w14:paraId="0E50F63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10、绿地（树穴、灌木带、草坪）做到基本无明显杂草、积水（3分）</w:t>
            </w:r>
          </w:p>
        </w:tc>
        <w:tc>
          <w:tcPr>
            <w:tcW w:w="2085" w:type="pct"/>
            <w:vAlign w:val="center"/>
          </w:tcPr>
          <w:p w14:paraId="5D9197B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10、绿地内有明显杂草且每平米达15株以上的每发现1处扣0.2分</w:t>
            </w:r>
          </w:p>
        </w:tc>
        <w:tc>
          <w:tcPr>
            <w:tcW w:w="456" w:type="pct"/>
            <w:vAlign w:val="center"/>
          </w:tcPr>
          <w:p w14:paraId="0B4422C2">
            <w:pPr>
              <w:spacing w:line="280" w:lineRule="exact"/>
              <w:jc w:val="center"/>
              <w:rPr>
                <w:rFonts w:hint="eastAsia" w:ascii="宋体" w:hAnsi="宋体" w:eastAsia="宋体" w:cs="宋体"/>
                <w:color w:val="auto"/>
                <w:sz w:val="24"/>
                <w:szCs w:val="24"/>
              </w:rPr>
            </w:pPr>
          </w:p>
        </w:tc>
      </w:tr>
      <w:tr w14:paraId="5F8EA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0" w:hRule="atLeast"/>
          <w:jc w:val="center"/>
        </w:trPr>
        <w:tc>
          <w:tcPr>
            <w:tcW w:w="374" w:type="pct"/>
            <w:vMerge w:val="continue"/>
            <w:vAlign w:val="center"/>
          </w:tcPr>
          <w:p w14:paraId="18B22D2E">
            <w:pPr>
              <w:widowControl/>
              <w:spacing w:line="280" w:lineRule="exact"/>
              <w:jc w:val="left"/>
              <w:rPr>
                <w:rFonts w:hint="eastAsia" w:ascii="宋体" w:hAnsi="宋体" w:eastAsia="宋体" w:cs="宋体"/>
                <w:b/>
                <w:bCs/>
                <w:color w:val="auto"/>
                <w:sz w:val="24"/>
                <w:szCs w:val="24"/>
              </w:rPr>
            </w:pPr>
          </w:p>
        </w:tc>
        <w:tc>
          <w:tcPr>
            <w:tcW w:w="2083" w:type="pct"/>
            <w:vAlign w:val="center"/>
          </w:tcPr>
          <w:p w14:paraId="10DD1BDC">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11、草坪、地皮遭人破坏或发生病虫害在48小时内切除调换（2分）</w:t>
            </w:r>
          </w:p>
        </w:tc>
        <w:tc>
          <w:tcPr>
            <w:tcW w:w="2085" w:type="pct"/>
            <w:vAlign w:val="center"/>
          </w:tcPr>
          <w:p w14:paraId="2CDD3DFE">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11、逾期每次扣0.5分</w:t>
            </w:r>
          </w:p>
        </w:tc>
        <w:tc>
          <w:tcPr>
            <w:tcW w:w="456" w:type="pct"/>
            <w:vAlign w:val="center"/>
          </w:tcPr>
          <w:p w14:paraId="478D0A35">
            <w:pPr>
              <w:spacing w:line="280" w:lineRule="exact"/>
              <w:jc w:val="center"/>
              <w:rPr>
                <w:rFonts w:hint="eastAsia" w:ascii="宋体" w:hAnsi="宋体" w:eastAsia="宋体" w:cs="宋体"/>
                <w:color w:val="auto"/>
                <w:sz w:val="24"/>
                <w:szCs w:val="24"/>
              </w:rPr>
            </w:pPr>
          </w:p>
        </w:tc>
      </w:tr>
      <w:tr w14:paraId="14381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restart"/>
            <w:vAlign w:val="center"/>
          </w:tcPr>
          <w:p w14:paraId="6BA3DFE8">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病虫害防治</w:t>
            </w:r>
          </w:p>
          <w:p w14:paraId="0811A738">
            <w:pPr>
              <w:spacing w:line="280" w:lineRule="exact"/>
              <w:jc w:val="center"/>
              <w:rPr>
                <w:rFonts w:hint="eastAsia" w:ascii="宋体" w:hAnsi="宋体" w:eastAsia="宋体" w:cs="宋体"/>
                <w:b/>
                <w:bCs/>
                <w:color w:val="auto"/>
                <w:sz w:val="24"/>
                <w:szCs w:val="24"/>
              </w:rPr>
            </w:pPr>
          </w:p>
        </w:tc>
        <w:tc>
          <w:tcPr>
            <w:tcW w:w="2083" w:type="pct"/>
            <w:vAlign w:val="center"/>
          </w:tcPr>
          <w:p w14:paraId="6BC5499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1、及时掌握病虫害情况并与中心及时联系（3分）</w:t>
            </w:r>
          </w:p>
        </w:tc>
        <w:tc>
          <w:tcPr>
            <w:tcW w:w="2085" w:type="pct"/>
            <w:vAlign w:val="center"/>
          </w:tcPr>
          <w:p w14:paraId="74214AA2">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1、未能及时掌握病虫害而导致病虫害发生的每处扣0.5分，情况严重的扣1分；没有与中心及时联系扣0.5分</w:t>
            </w:r>
          </w:p>
        </w:tc>
        <w:tc>
          <w:tcPr>
            <w:tcW w:w="456" w:type="pct"/>
            <w:vAlign w:val="center"/>
          </w:tcPr>
          <w:p w14:paraId="231DE03B">
            <w:pPr>
              <w:spacing w:line="280" w:lineRule="exact"/>
              <w:jc w:val="center"/>
              <w:rPr>
                <w:rFonts w:hint="eastAsia" w:ascii="宋体" w:hAnsi="宋体" w:eastAsia="宋体" w:cs="宋体"/>
                <w:color w:val="auto"/>
                <w:sz w:val="24"/>
                <w:szCs w:val="24"/>
              </w:rPr>
            </w:pPr>
          </w:p>
        </w:tc>
      </w:tr>
      <w:tr w14:paraId="02977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14845673">
            <w:pPr>
              <w:widowControl/>
              <w:spacing w:line="280" w:lineRule="exact"/>
              <w:jc w:val="left"/>
              <w:rPr>
                <w:rFonts w:hint="eastAsia" w:ascii="宋体" w:hAnsi="宋体" w:eastAsia="宋体" w:cs="宋体"/>
                <w:b/>
                <w:bCs/>
                <w:color w:val="auto"/>
                <w:sz w:val="24"/>
                <w:szCs w:val="24"/>
              </w:rPr>
            </w:pPr>
          </w:p>
        </w:tc>
        <w:tc>
          <w:tcPr>
            <w:tcW w:w="2083" w:type="pct"/>
            <w:vAlign w:val="center"/>
          </w:tcPr>
          <w:p w14:paraId="3229D90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2、发现病虫害后及时做好防治措施（3分）</w:t>
            </w:r>
          </w:p>
        </w:tc>
        <w:tc>
          <w:tcPr>
            <w:tcW w:w="2085" w:type="pct"/>
            <w:vAlign w:val="center"/>
          </w:tcPr>
          <w:p w14:paraId="5B32505A">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2、发现病虫害后不能及时进行防治措施的每处扣0.5分，后果严重的可扣1分</w:t>
            </w:r>
          </w:p>
        </w:tc>
        <w:tc>
          <w:tcPr>
            <w:tcW w:w="456" w:type="pct"/>
            <w:vAlign w:val="center"/>
          </w:tcPr>
          <w:p w14:paraId="03923CD9">
            <w:pPr>
              <w:spacing w:line="280" w:lineRule="exact"/>
              <w:jc w:val="center"/>
              <w:rPr>
                <w:rFonts w:hint="eastAsia" w:ascii="宋体" w:hAnsi="宋体" w:eastAsia="宋体" w:cs="宋体"/>
                <w:color w:val="auto"/>
                <w:sz w:val="24"/>
                <w:szCs w:val="24"/>
              </w:rPr>
            </w:pPr>
          </w:p>
        </w:tc>
      </w:tr>
      <w:tr w14:paraId="13725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16C570D0">
            <w:pPr>
              <w:widowControl/>
              <w:spacing w:line="280" w:lineRule="exact"/>
              <w:jc w:val="left"/>
              <w:rPr>
                <w:rFonts w:hint="eastAsia" w:ascii="宋体" w:hAnsi="宋体" w:eastAsia="宋体" w:cs="宋体"/>
                <w:b/>
                <w:bCs/>
                <w:color w:val="auto"/>
                <w:sz w:val="24"/>
                <w:szCs w:val="24"/>
              </w:rPr>
            </w:pPr>
          </w:p>
        </w:tc>
        <w:tc>
          <w:tcPr>
            <w:tcW w:w="2083" w:type="pct"/>
            <w:vAlign w:val="center"/>
          </w:tcPr>
          <w:p w14:paraId="6E55728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3、食叶性害虫危害树木每株少于5%叶片（2分）</w:t>
            </w:r>
          </w:p>
        </w:tc>
        <w:tc>
          <w:tcPr>
            <w:tcW w:w="2085" w:type="pct"/>
            <w:vAlign w:val="center"/>
          </w:tcPr>
          <w:p w14:paraId="6B8D45E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3、食叶性害虫危害树木每株多于5%叶片的发现1株扣0.5分</w:t>
            </w:r>
          </w:p>
        </w:tc>
        <w:tc>
          <w:tcPr>
            <w:tcW w:w="456" w:type="pct"/>
            <w:vAlign w:val="center"/>
          </w:tcPr>
          <w:p w14:paraId="38CE0A18">
            <w:pPr>
              <w:spacing w:line="280" w:lineRule="exact"/>
              <w:jc w:val="center"/>
              <w:rPr>
                <w:rFonts w:hint="eastAsia" w:ascii="宋体" w:hAnsi="宋体" w:eastAsia="宋体" w:cs="宋体"/>
                <w:color w:val="auto"/>
                <w:sz w:val="24"/>
                <w:szCs w:val="24"/>
              </w:rPr>
            </w:pPr>
          </w:p>
        </w:tc>
      </w:tr>
      <w:tr w14:paraId="011D9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7096A163">
            <w:pPr>
              <w:widowControl/>
              <w:spacing w:line="280" w:lineRule="exact"/>
              <w:jc w:val="left"/>
              <w:rPr>
                <w:rFonts w:hint="eastAsia" w:ascii="宋体" w:hAnsi="宋体" w:eastAsia="宋体" w:cs="宋体"/>
                <w:b/>
                <w:bCs/>
                <w:color w:val="auto"/>
                <w:sz w:val="24"/>
                <w:szCs w:val="24"/>
              </w:rPr>
            </w:pPr>
          </w:p>
        </w:tc>
        <w:tc>
          <w:tcPr>
            <w:tcW w:w="2083" w:type="pct"/>
            <w:vAlign w:val="center"/>
          </w:tcPr>
          <w:p w14:paraId="7F8826A1">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4、刺吸性害虫危害树叶每株树少于10%（2分）</w:t>
            </w:r>
          </w:p>
        </w:tc>
        <w:tc>
          <w:tcPr>
            <w:tcW w:w="2085" w:type="pct"/>
            <w:vAlign w:val="center"/>
          </w:tcPr>
          <w:p w14:paraId="551C1D9F">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4、危害叶片多于10%及以上，发现1株扣0.5分</w:t>
            </w:r>
          </w:p>
        </w:tc>
        <w:tc>
          <w:tcPr>
            <w:tcW w:w="456" w:type="pct"/>
            <w:vAlign w:val="center"/>
          </w:tcPr>
          <w:p w14:paraId="674285D6">
            <w:pPr>
              <w:spacing w:line="280" w:lineRule="exact"/>
              <w:jc w:val="center"/>
              <w:rPr>
                <w:rFonts w:hint="eastAsia" w:ascii="宋体" w:hAnsi="宋体" w:eastAsia="宋体" w:cs="宋体"/>
                <w:color w:val="auto"/>
                <w:sz w:val="24"/>
                <w:szCs w:val="24"/>
              </w:rPr>
            </w:pPr>
          </w:p>
        </w:tc>
      </w:tr>
      <w:tr w14:paraId="1A406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2055E8CE">
            <w:pPr>
              <w:widowControl/>
              <w:spacing w:line="280" w:lineRule="exact"/>
              <w:jc w:val="left"/>
              <w:rPr>
                <w:rFonts w:hint="eastAsia" w:ascii="宋体" w:hAnsi="宋体" w:eastAsia="宋体" w:cs="宋体"/>
                <w:b/>
                <w:bCs/>
                <w:color w:val="auto"/>
                <w:sz w:val="24"/>
                <w:szCs w:val="24"/>
              </w:rPr>
            </w:pPr>
          </w:p>
        </w:tc>
        <w:tc>
          <w:tcPr>
            <w:tcW w:w="2083" w:type="pct"/>
            <w:vAlign w:val="center"/>
          </w:tcPr>
          <w:p w14:paraId="4F5C873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5、无蛀干性活虫、活卵（3分）</w:t>
            </w:r>
          </w:p>
        </w:tc>
        <w:tc>
          <w:tcPr>
            <w:tcW w:w="2085" w:type="pct"/>
            <w:vAlign w:val="center"/>
          </w:tcPr>
          <w:p w14:paraId="4BFCEEF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5、发现活蛀虫和活卵，发现1株扣0.5分</w:t>
            </w:r>
          </w:p>
        </w:tc>
        <w:tc>
          <w:tcPr>
            <w:tcW w:w="456" w:type="pct"/>
            <w:vAlign w:val="center"/>
          </w:tcPr>
          <w:p w14:paraId="61EF1286">
            <w:pPr>
              <w:spacing w:line="280" w:lineRule="exact"/>
              <w:jc w:val="center"/>
              <w:rPr>
                <w:rFonts w:hint="eastAsia" w:ascii="宋体" w:hAnsi="宋体" w:eastAsia="宋体" w:cs="宋体"/>
                <w:color w:val="auto"/>
                <w:sz w:val="24"/>
                <w:szCs w:val="24"/>
              </w:rPr>
            </w:pPr>
          </w:p>
        </w:tc>
      </w:tr>
      <w:tr w14:paraId="3FA8B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70674844">
            <w:pPr>
              <w:widowControl/>
              <w:spacing w:line="280" w:lineRule="exact"/>
              <w:jc w:val="left"/>
              <w:rPr>
                <w:rFonts w:hint="eastAsia" w:ascii="宋体" w:hAnsi="宋体" w:eastAsia="宋体" w:cs="宋体"/>
                <w:b/>
                <w:bCs/>
                <w:color w:val="auto"/>
                <w:sz w:val="24"/>
                <w:szCs w:val="24"/>
              </w:rPr>
            </w:pPr>
          </w:p>
        </w:tc>
        <w:tc>
          <w:tcPr>
            <w:tcW w:w="2083" w:type="pct"/>
            <w:vAlign w:val="center"/>
          </w:tcPr>
          <w:p w14:paraId="50E5D7FC">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6、树皮开裂或有孔洞及时填补（2分）</w:t>
            </w:r>
          </w:p>
        </w:tc>
        <w:tc>
          <w:tcPr>
            <w:tcW w:w="2085" w:type="pct"/>
            <w:vAlign w:val="center"/>
          </w:tcPr>
          <w:p w14:paraId="491253C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6、树洞树裂每发现1株扣0.2分</w:t>
            </w:r>
          </w:p>
        </w:tc>
        <w:tc>
          <w:tcPr>
            <w:tcW w:w="456" w:type="pct"/>
            <w:vAlign w:val="center"/>
          </w:tcPr>
          <w:p w14:paraId="462D6517">
            <w:pPr>
              <w:spacing w:line="280" w:lineRule="exact"/>
              <w:jc w:val="center"/>
              <w:rPr>
                <w:rFonts w:hint="eastAsia" w:ascii="宋体" w:hAnsi="宋体" w:eastAsia="宋体" w:cs="宋体"/>
                <w:color w:val="auto"/>
                <w:sz w:val="24"/>
                <w:szCs w:val="24"/>
              </w:rPr>
            </w:pPr>
          </w:p>
        </w:tc>
      </w:tr>
      <w:tr w14:paraId="7921A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0" w:hRule="atLeast"/>
          <w:jc w:val="center"/>
        </w:trPr>
        <w:tc>
          <w:tcPr>
            <w:tcW w:w="374" w:type="pct"/>
            <w:vMerge w:val="restart"/>
            <w:vAlign w:val="center"/>
          </w:tcPr>
          <w:p w14:paraId="454F2316">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园林小品设施</w:t>
            </w:r>
          </w:p>
          <w:p w14:paraId="167547DD">
            <w:pPr>
              <w:spacing w:line="280" w:lineRule="exact"/>
              <w:jc w:val="center"/>
              <w:rPr>
                <w:rFonts w:hint="eastAsia" w:ascii="宋体" w:hAnsi="宋体" w:eastAsia="宋体" w:cs="宋体"/>
                <w:b/>
                <w:bCs/>
                <w:color w:val="auto"/>
                <w:sz w:val="24"/>
                <w:szCs w:val="24"/>
              </w:rPr>
            </w:pPr>
          </w:p>
        </w:tc>
        <w:tc>
          <w:tcPr>
            <w:tcW w:w="2083" w:type="pct"/>
            <w:vAlign w:val="center"/>
          </w:tcPr>
          <w:p w14:paraId="1A86D20A">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1、绿化平侧石完整统一（2分）</w:t>
            </w:r>
          </w:p>
        </w:tc>
        <w:tc>
          <w:tcPr>
            <w:tcW w:w="2085" w:type="pct"/>
            <w:vAlign w:val="center"/>
          </w:tcPr>
          <w:p w14:paraId="48D7963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1、侧石破损每发现一处扣0.2分，侧石缺失每发现一处扣0.5分</w:t>
            </w:r>
          </w:p>
        </w:tc>
        <w:tc>
          <w:tcPr>
            <w:tcW w:w="456" w:type="pct"/>
            <w:vAlign w:val="center"/>
          </w:tcPr>
          <w:p w14:paraId="31C602F4">
            <w:pPr>
              <w:spacing w:line="280" w:lineRule="exact"/>
              <w:jc w:val="center"/>
              <w:rPr>
                <w:rFonts w:hint="eastAsia" w:ascii="宋体" w:hAnsi="宋体" w:eastAsia="宋体" w:cs="宋体"/>
                <w:color w:val="auto"/>
                <w:sz w:val="24"/>
                <w:szCs w:val="24"/>
              </w:rPr>
            </w:pPr>
          </w:p>
        </w:tc>
      </w:tr>
      <w:tr w14:paraId="09606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1ED3A711">
            <w:pPr>
              <w:widowControl/>
              <w:spacing w:line="280" w:lineRule="exact"/>
              <w:jc w:val="left"/>
              <w:rPr>
                <w:rFonts w:hint="eastAsia" w:ascii="宋体" w:hAnsi="宋体" w:eastAsia="宋体" w:cs="宋体"/>
                <w:b/>
                <w:bCs/>
                <w:color w:val="auto"/>
                <w:sz w:val="24"/>
                <w:szCs w:val="24"/>
              </w:rPr>
            </w:pPr>
          </w:p>
        </w:tc>
        <w:tc>
          <w:tcPr>
            <w:tcW w:w="2083" w:type="pct"/>
            <w:vAlign w:val="center"/>
          </w:tcPr>
          <w:p w14:paraId="1689063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2、辅助设施（包括遮光网、栏杆、浇灌设施、栽植容器、园灯等）必须安全、完好、美观。（2分）</w:t>
            </w:r>
          </w:p>
        </w:tc>
        <w:tc>
          <w:tcPr>
            <w:tcW w:w="2085" w:type="pct"/>
            <w:vAlign w:val="center"/>
          </w:tcPr>
          <w:p w14:paraId="0F3B58D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3、设施有污迹、破损，金属构件设施有明显锈斑，油漆剥落等现象的发现1处扣0.2分，公园设施有明显安全隐患每发现一处扣0.5分。</w:t>
            </w:r>
          </w:p>
        </w:tc>
        <w:tc>
          <w:tcPr>
            <w:tcW w:w="456" w:type="pct"/>
            <w:vAlign w:val="center"/>
          </w:tcPr>
          <w:p w14:paraId="31345DAF">
            <w:pPr>
              <w:spacing w:line="280" w:lineRule="exact"/>
              <w:jc w:val="center"/>
              <w:rPr>
                <w:rFonts w:hint="eastAsia" w:ascii="宋体" w:hAnsi="宋体" w:eastAsia="宋体" w:cs="宋体"/>
                <w:color w:val="auto"/>
                <w:sz w:val="24"/>
                <w:szCs w:val="24"/>
              </w:rPr>
            </w:pPr>
          </w:p>
        </w:tc>
      </w:tr>
      <w:tr w14:paraId="78678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restart"/>
            <w:vAlign w:val="center"/>
          </w:tcPr>
          <w:p w14:paraId="26F21EC4">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卫生管理</w:t>
            </w:r>
          </w:p>
        </w:tc>
        <w:tc>
          <w:tcPr>
            <w:tcW w:w="2083" w:type="pct"/>
            <w:vAlign w:val="center"/>
          </w:tcPr>
          <w:p w14:paraId="742C82F4">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1、树上无杂物（如：垃圾袋、铁丝、零乱草绳、无钉子，无扎缚铁丝、电线等）和挂晾晒衣物等情况（3分）</w:t>
            </w:r>
          </w:p>
        </w:tc>
        <w:tc>
          <w:tcPr>
            <w:tcW w:w="2085" w:type="pct"/>
            <w:vAlign w:val="center"/>
          </w:tcPr>
          <w:p w14:paraId="0214BA9A">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1、每发现一处扣0.2分，晾晒衣物和挂杂物每发现一处扣0.5分</w:t>
            </w:r>
          </w:p>
        </w:tc>
        <w:tc>
          <w:tcPr>
            <w:tcW w:w="456" w:type="pct"/>
            <w:vAlign w:val="center"/>
          </w:tcPr>
          <w:p w14:paraId="5CF66D97">
            <w:pPr>
              <w:spacing w:line="280" w:lineRule="exact"/>
              <w:jc w:val="center"/>
              <w:rPr>
                <w:rFonts w:hint="eastAsia" w:ascii="宋体" w:hAnsi="宋体" w:eastAsia="宋体" w:cs="宋体"/>
                <w:color w:val="auto"/>
                <w:sz w:val="24"/>
                <w:szCs w:val="24"/>
              </w:rPr>
            </w:pPr>
          </w:p>
        </w:tc>
      </w:tr>
      <w:tr w14:paraId="328DF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0C630B8E">
            <w:pPr>
              <w:widowControl/>
              <w:spacing w:line="280" w:lineRule="exact"/>
              <w:jc w:val="left"/>
              <w:rPr>
                <w:rFonts w:hint="eastAsia" w:ascii="宋体" w:hAnsi="宋体" w:eastAsia="宋体" w:cs="宋体"/>
                <w:b/>
                <w:bCs/>
                <w:color w:val="auto"/>
                <w:sz w:val="24"/>
                <w:szCs w:val="24"/>
              </w:rPr>
            </w:pPr>
          </w:p>
        </w:tc>
        <w:tc>
          <w:tcPr>
            <w:tcW w:w="2083" w:type="pct"/>
            <w:vAlign w:val="center"/>
          </w:tcPr>
          <w:p w14:paraId="45E8D6E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2、植物叶面及色块叶面应及时喷水保持整洁亮丽（2分）</w:t>
            </w:r>
          </w:p>
        </w:tc>
        <w:tc>
          <w:tcPr>
            <w:tcW w:w="2085" w:type="pct"/>
            <w:vAlign w:val="center"/>
          </w:tcPr>
          <w:p w14:paraId="4F48DCE6">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2、乔木积尘明显每处扣0.2分，叶面积灰严重的每50㎡扣0.5分</w:t>
            </w:r>
          </w:p>
        </w:tc>
        <w:tc>
          <w:tcPr>
            <w:tcW w:w="456" w:type="pct"/>
            <w:vAlign w:val="center"/>
          </w:tcPr>
          <w:p w14:paraId="283A45EF">
            <w:pPr>
              <w:spacing w:line="280" w:lineRule="exact"/>
              <w:jc w:val="center"/>
              <w:rPr>
                <w:rFonts w:hint="eastAsia" w:ascii="宋体" w:hAnsi="宋体" w:eastAsia="宋体" w:cs="宋体"/>
                <w:color w:val="auto"/>
                <w:sz w:val="24"/>
                <w:szCs w:val="24"/>
              </w:rPr>
            </w:pPr>
          </w:p>
        </w:tc>
      </w:tr>
      <w:tr w14:paraId="52AD1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21D8B803">
            <w:pPr>
              <w:widowControl/>
              <w:spacing w:line="280" w:lineRule="exact"/>
              <w:jc w:val="left"/>
              <w:rPr>
                <w:rFonts w:hint="eastAsia" w:ascii="宋体" w:hAnsi="宋体" w:eastAsia="宋体" w:cs="宋体"/>
                <w:b/>
                <w:bCs/>
                <w:color w:val="auto"/>
                <w:sz w:val="24"/>
                <w:szCs w:val="24"/>
              </w:rPr>
            </w:pPr>
          </w:p>
        </w:tc>
        <w:tc>
          <w:tcPr>
            <w:tcW w:w="2083" w:type="pct"/>
            <w:vAlign w:val="center"/>
          </w:tcPr>
          <w:p w14:paraId="5B780A97">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3、绿地内经修剪后树叶、垃圾应及时清理，不隔夜（2分）</w:t>
            </w:r>
          </w:p>
        </w:tc>
        <w:tc>
          <w:tcPr>
            <w:tcW w:w="2085" w:type="pct"/>
            <w:vAlign w:val="center"/>
          </w:tcPr>
          <w:p w14:paraId="451114A4">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3、不清理，每发现一处扣0.5分</w:t>
            </w:r>
          </w:p>
        </w:tc>
        <w:tc>
          <w:tcPr>
            <w:tcW w:w="456" w:type="pct"/>
            <w:vAlign w:val="center"/>
          </w:tcPr>
          <w:p w14:paraId="2C57816A">
            <w:pPr>
              <w:spacing w:line="280" w:lineRule="exact"/>
              <w:jc w:val="center"/>
              <w:rPr>
                <w:rFonts w:hint="eastAsia" w:ascii="宋体" w:hAnsi="宋体" w:eastAsia="宋体" w:cs="宋体"/>
                <w:color w:val="auto"/>
                <w:sz w:val="24"/>
                <w:szCs w:val="24"/>
              </w:rPr>
            </w:pPr>
          </w:p>
        </w:tc>
      </w:tr>
      <w:tr w14:paraId="7759F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restart"/>
            <w:vAlign w:val="center"/>
          </w:tcPr>
          <w:p w14:paraId="422C0277">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管理工作</w:t>
            </w:r>
          </w:p>
        </w:tc>
        <w:tc>
          <w:tcPr>
            <w:tcW w:w="2083" w:type="pct"/>
            <w:vAlign w:val="center"/>
          </w:tcPr>
          <w:p w14:paraId="115ECB5B">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1、管理制度落实，养护管理人员到位，绿化养护人员按招标要求配足养护人员。</w:t>
            </w:r>
          </w:p>
        </w:tc>
        <w:tc>
          <w:tcPr>
            <w:tcW w:w="2085" w:type="pct"/>
            <w:vAlign w:val="center"/>
          </w:tcPr>
          <w:p w14:paraId="09A05FC7">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1、养护人员未配足，每发现少一人扣0.5分。</w:t>
            </w:r>
          </w:p>
        </w:tc>
        <w:tc>
          <w:tcPr>
            <w:tcW w:w="456" w:type="pct"/>
            <w:vAlign w:val="center"/>
          </w:tcPr>
          <w:p w14:paraId="0BC5C348">
            <w:pPr>
              <w:spacing w:line="280" w:lineRule="exact"/>
              <w:jc w:val="center"/>
              <w:rPr>
                <w:rFonts w:hint="eastAsia" w:ascii="宋体" w:hAnsi="宋体" w:eastAsia="宋体" w:cs="宋体"/>
                <w:color w:val="auto"/>
                <w:sz w:val="24"/>
                <w:szCs w:val="24"/>
              </w:rPr>
            </w:pPr>
          </w:p>
        </w:tc>
      </w:tr>
      <w:tr w14:paraId="265C2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69" w:hRule="atLeast"/>
          <w:jc w:val="center"/>
        </w:trPr>
        <w:tc>
          <w:tcPr>
            <w:tcW w:w="374" w:type="pct"/>
            <w:vMerge w:val="continue"/>
            <w:vAlign w:val="center"/>
          </w:tcPr>
          <w:p w14:paraId="105B42FF">
            <w:pPr>
              <w:widowControl/>
              <w:spacing w:line="280" w:lineRule="exact"/>
              <w:jc w:val="left"/>
              <w:rPr>
                <w:rFonts w:hint="eastAsia" w:ascii="宋体" w:hAnsi="宋体" w:eastAsia="宋体" w:cs="宋体"/>
                <w:b/>
                <w:bCs/>
                <w:color w:val="auto"/>
                <w:sz w:val="24"/>
                <w:szCs w:val="24"/>
              </w:rPr>
            </w:pPr>
          </w:p>
        </w:tc>
        <w:tc>
          <w:tcPr>
            <w:tcW w:w="2083" w:type="pct"/>
            <w:vAlign w:val="center"/>
          </w:tcPr>
          <w:p w14:paraId="7E25150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2、养护作业人员必须穿着整齐统一，有反光条的工作服，做到文明作业，作业时要设置安全警示标志。</w:t>
            </w:r>
          </w:p>
        </w:tc>
        <w:tc>
          <w:tcPr>
            <w:tcW w:w="2085" w:type="pct"/>
            <w:vAlign w:val="center"/>
          </w:tcPr>
          <w:p w14:paraId="03A7C9CB">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2、养护人员上路作业不整齐统一，不穿有反光条的工作服，不文明作业，作业时不设置安全警示标志，每发现1次扣0.5分。</w:t>
            </w:r>
          </w:p>
        </w:tc>
        <w:tc>
          <w:tcPr>
            <w:tcW w:w="456" w:type="pct"/>
            <w:vAlign w:val="center"/>
          </w:tcPr>
          <w:p w14:paraId="3212EB2E">
            <w:pPr>
              <w:spacing w:line="280" w:lineRule="exact"/>
              <w:jc w:val="center"/>
              <w:rPr>
                <w:rFonts w:hint="eastAsia" w:ascii="宋体" w:hAnsi="宋体" w:eastAsia="宋体" w:cs="宋体"/>
                <w:color w:val="auto"/>
                <w:sz w:val="24"/>
                <w:szCs w:val="24"/>
              </w:rPr>
            </w:pPr>
          </w:p>
        </w:tc>
      </w:tr>
      <w:tr w14:paraId="36EC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458D53E4">
            <w:pPr>
              <w:widowControl/>
              <w:spacing w:line="280" w:lineRule="exact"/>
              <w:jc w:val="left"/>
              <w:rPr>
                <w:rFonts w:hint="eastAsia" w:ascii="宋体" w:hAnsi="宋体" w:eastAsia="宋体" w:cs="宋体"/>
                <w:b/>
                <w:bCs/>
                <w:color w:val="auto"/>
                <w:sz w:val="24"/>
                <w:szCs w:val="24"/>
              </w:rPr>
            </w:pPr>
          </w:p>
        </w:tc>
        <w:tc>
          <w:tcPr>
            <w:tcW w:w="2083" w:type="pct"/>
            <w:vAlign w:val="center"/>
          </w:tcPr>
          <w:p w14:paraId="5E1A61F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3、无违章占绿、无违法建设。</w:t>
            </w:r>
          </w:p>
        </w:tc>
        <w:tc>
          <w:tcPr>
            <w:tcW w:w="2085" w:type="pct"/>
            <w:vAlign w:val="center"/>
          </w:tcPr>
          <w:p w14:paraId="01D039D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3、发现违章占绿或违法建设情况，且没有及时巡查到位，要未通知中心的每发现1次扣0.5分。</w:t>
            </w:r>
          </w:p>
        </w:tc>
        <w:tc>
          <w:tcPr>
            <w:tcW w:w="456" w:type="pct"/>
            <w:vAlign w:val="center"/>
          </w:tcPr>
          <w:p w14:paraId="15D9466D">
            <w:pPr>
              <w:spacing w:line="280" w:lineRule="exact"/>
              <w:jc w:val="center"/>
              <w:rPr>
                <w:rFonts w:hint="eastAsia" w:ascii="宋体" w:hAnsi="宋体" w:eastAsia="宋体" w:cs="宋体"/>
                <w:color w:val="auto"/>
                <w:sz w:val="24"/>
                <w:szCs w:val="24"/>
              </w:rPr>
            </w:pPr>
          </w:p>
        </w:tc>
      </w:tr>
      <w:tr w14:paraId="33B62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2FA8A93E">
            <w:pPr>
              <w:spacing w:line="280" w:lineRule="exact"/>
              <w:jc w:val="center"/>
              <w:rPr>
                <w:rFonts w:hint="eastAsia" w:ascii="宋体" w:hAnsi="宋体" w:eastAsia="宋体" w:cs="宋体"/>
                <w:b/>
                <w:bCs/>
                <w:color w:val="auto"/>
                <w:sz w:val="24"/>
                <w:szCs w:val="24"/>
              </w:rPr>
            </w:pPr>
          </w:p>
        </w:tc>
        <w:tc>
          <w:tcPr>
            <w:tcW w:w="2083" w:type="pct"/>
            <w:vAlign w:val="center"/>
          </w:tcPr>
          <w:p w14:paraId="2E6D8F2E">
            <w:pPr>
              <w:numPr>
                <w:ilvl w:val="0"/>
                <w:numId w:val="2"/>
              </w:num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落实巡查制度，每星期不少于1次，巡查有纪录;当月养护有计划。</w:t>
            </w:r>
          </w:p>
          <w:p w14:paraId="26E22385">
            <w:pPr>
              <w:numPr>
                <w:ilvl w:val="0"/>
                <w:numId w:val="2"/>
              </w:num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病虫害防治及施肥记录完整（须有购物发票复印件）</w:t>
            </w:r>
          </w:p>
          <w:p w14:paraId="17DC60A4">
            <w:pPr>
              <w:numPr>
                <w:ilvl w:val="0"/>
                <w:numId w:val="2"/>
              </w:num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其他养护作业扣分</w:t>
            </w:r>
          </w:p>
        </w:tc>
        <w:tc>
          <w:tcPr>
            <w:tcW w:w="2085" w:type="pct"/>
            <w:vAlign w:val="center"/>
          </w:tcPr>
          <w:p w14:paraId="20D50EF2">
            <w:pPr>
              <w:numPr>
                <w:ilvl w:val="0"/>
                <w:numId w:val="3"/>
              </w:num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巡查制度未落实的，每次扣0.2分;当月没有养护计划的，扣0.2分。5、没有纪录病虫害防治及施肥图片资料或不全的每项扣0.5分</w:t>
            </w:r>
          </w:p>
          <w:p w14:paraId="5A773B22">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6、养护检查考核中发现问题与上述问题不相关的，按每个问题扣0.2分，严重的每处扣0.5分</w:t>
            </w:r>
          </w:p>
        </w:tc>
        <w:tc>
          <w:tcPr>
            <w:tcW w:w="456" w:type="pct"/>
            <w:vAlign w:val="center"/>
          </w:tcPr>
          <w:p w14:paraId="29AAB775">
            <w:pPr>
              <w:spacing w:line="280" w:lineRule="exact"/>
              <w:jc w:val="center"/>
              <w:rPr>
                <w:rFonts w:hint="eastAsia" w:ascii="宋体" w:hAnsi="宋体" w:eastAsia="宋体" w:cs="宋体"/>
                <w:color w:val="auto"/>
                <w:sz w:val="24"/>
                <w:szCs w:val="24"/>
              </w:rPr>
            </w:pPr>
          </w:p>
        </w:tc>
      </w:tr>
      <w:tr w14:paraId="75D2C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Align w:val="center"/>
          </w:tcPr>
          <w:p w14:paraId="662E7441">
            <w:pPr>
              <w:widowControl/>
              <w:spacing w:line="28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自然灾害（突击事件）处置及 人员保障</w:t>
            </w:r>
          </w:p>
        </w:tc>
        <w:tc>
          <w:tcPr>
            <w:tcW w:w="2083" w:type="pct"/>
            <w:vAlign w:val="center"/>
          </w:tcPr>
          <w:p w14:paraId="02FC41E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按招标要求在抗旱、防汛（暴雨）、抗台、抗寒、抗雪等（突击）自然灾害有紧急预案、物资储备和人员保障，要求参照《杭州市城区绿化防台树木支撑工作方案》</w:t>
            </w:r>
          </w:p>
        </w:tc>
        <w:tc>
          <w:tcPr>
            <w:tcW w:w="2085" w:type="pct"/>
            <w:vAlign w:val="center"/>
          </w:tcPr>
          <w:p w14:paraId="2AE2A0F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没有抗旱、防汛（暴雨）、抗台、抗寒、抗雪等（突击）自然灾害紧急预案扣2分;2、储备物资（含钢管、毛竹、水泵、洒水车）等不到位扣3分;3、未按招标要求配备人员保障的及人员响应在10-30分钟之内未到达现场的，扣5分;4、因应急不力，造成重大损失的，按照合同条款处理，并扣1-8分。</w:t>
            </w:r>
          </w:p>
        </w:tc>
        <w:tc>
          <w:tcPr>
            <w:tcW w:w="456" w:type="pct"/>
            <w:vAlign w:val="center"/>
          </w:tcPr>
          <w:p w14:paraId="00A59B14">
            <w:pPr>
              <w:spacing w:line="280" w:lineRule="exact"/>
              <w:jc w:val="center"/>
              <w:rPr>
                <w:rFonts w:hint="eastAsia" w:ascii="宋体" w:hAnsi="宋体" w:eastAsia="宋体" w:cs="宋体"/>
                <w:color w:val="auto"/>
                <w:sz w:val="24"/>
                <w:szCs w:val="24"/>
              </w:rPr>
            </w:pPr>
          </w:p>
        </w:tc>
      </w:tr>
      <w:tr w14:paraId="561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2" w:hRule="atLeast"/>
          <w:jc w:val="center"/>
        </w:trPr>
        <w:tc>
          <w:tcPr>
            <w:tcW w:w="374" w:type="pct"/>
            <w:vAlign w:val="center"/>
          </w:tcPr>
          <w:p w14:paraId="5D0E4AA9">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时花管理</w:t>
            </w:r>
          </w:p>
        </w:tc>
        <w:tc>
          <w:tcPr>
            <w:tcW w:w="2083" w:type="pct"/>
            <w:vAlign w:val="center"/>
          </w:tcPr>
          <w:p w14:paraId="484A397E">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参照杭州市城区花坛、花镜养护管理规定（试行）加强对花卉的养护管理，要求月月有花，花期整齐，图案美观</w:t>
            </w:r>
          </w:p>
        </w:tc>
        <w:tc>
          <w:tcPr>
            <w:tcW w:w="2085" w:type="pct"/>
            <w:vAlign w:val="center"/>
          </w:tcPr>
          <w:p w14:paraId="03ACD63B">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时花更换全年不少于6次，不按规定更换的扣5分，2、时花种植品种、数量应大于每平方49株（中盆）达不到要求的，每处每平方扣3分，3、要求月月有花，没有花的每处每平方扣0.2分。4、草花枯死每处每平方扣0.2分。</w:t>
            </w:r>
          </w:p>
        </w:tc>
        <w:tc>
          <w:tcPr>
            <w:tcW w:w="456" w:type="pct"/>
            <w:vAlign w:val="center"/>
          </w:tcPr>
          <w:p w14:paraId="529661E6">
            <w:pPr>
              <w:spacing w:line="280" w:lineRule="exact"/>
              <w:jc w:val="center"/>
              <w:rPr>
                <w:rFonts w:hint="eastAsia" w:ascii="宋体" w:hAnsi="宋体" w:eastAsia="宋体" w:cs="宋体"/>
                <w:color w:val="auto"/>
                <w:sz w:val="24"/>
                <w:szCs w:val="24"/>
              </w:rPr>
            </w:pPr>
          </w:p>
        </w:tc>
      </w:tr>
      <w:tr w14:paraId="7CE61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2" w:hRule="atLeast"/>
          <w:jc w:val="center"/>
        </w:trPr>
        <w:tc>
          <w:tcPr>
            <w:tcW w:w="374" w:type="pct"/>
            <w:vAlign w:val="center"/>
          </w:tcPr>
          <w:p w14:paraId="764FE3EC">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市区级抄告单</w:t>
            </w:r>
          </w:p>
        </w:tc>
        <w:tc>
          <w:tcPr>
            <w:tcW w:w="4168" w:type="pct"/>
            <w:gridSpan w:val="2"/>
            <w:vAlign w:val="center"/>
          </w:tcPr>
          <w:p w14:paraId="00B08AC1">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市、区内抄告单（含数字城管案件）每发生一处扣0.5分，如不按要求整改或整改不彻底的每处扣1分。</w:t>
            </w:r>
          </w:p>
        </w:tc>
        <w:tc>
          <w:tcPr>
            <w:tcW w:w="456" w:type="pct"/>
            <w:vAlign w:val="center"/>
          </w:tcPr>
          <w:p w14:paraId="0AB7E7E7">
            <w:pPr>
              <w:spacing w:line="280" w:lineRule="exact"/>
              <w:jc w:val="center"/>
              <w:rPr>
                <w:rFonts w:hint="eastAsia" w:ascii="宋体" w:hAnsi="宋体" w:eastAsia="宋体" w:cs="宋体"/>
                <w:color w:val="auto"/>
                <w:sz w:val="24"/>
                <w:szCs w:val="24"/>
              </w:rPr>
            </w:pPr>
          </w:p>
        </w:tc>
      </w:tr>
    </w:tbl>
    <w:p w14:paraId="23891702">
      <w:pPr>
        <w:bidi w:val="0"/>
        <w:rPr>
          <w:rFonts w:hint="eastAsia" w:ascii="宋体" w:hAnsi="宋体" w:eastAsia="宋体" w:cs="宋体"/>
          <w:color w:val="auto"/>
          <w:sz w:val="24"/>
          <w:szCs w:val="24"/>
          <w:lang w:val="en-US"/>
        </w:rPr>
      </w:pPr>
    </w:p>
    <w:p w14:paraId="1A4B0AB0">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14:paraId="2DE245F3">
      <w:pPr>
        <w:pStyle w:val="5"/>
        <w:tabs>
          <w:tab w:val="left" w:pos="706"/>
          <w:tab w:val="clear" w:pos="432"/>
        </w:tabs>
        <w:spacing w:line="6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rPr>
        <w:t>4、公厕保洁考核</w:t>
      </w:r>
      <w:r>
        <w:rPr>
          <w:rFonts w:hint="eastAsia" w:ascii="宋体" w:hAnsi="宋体" w:eastAsia="宋体" w:cs="宋体"/>
          <w:color w:val="auto"/>
          <w:kern w:val="0"/>
          <w:sz w:val="24"/>
          <w:szCs w:val="24"/>
          <w:lang w:val="en-US" w:eastAsia="zh-CN"/>
        </w:rPr>
        <w:t>标准</w:t>
      </w:r>
      <w:r>
        <w:rPr>
          <w:rFonts w:hint="eastAsia" w:ascii="宋体" w:hAnsi="宋体" w:eastAsia="宋体" w:cs="宋体"/>
          <w:color w:val="auto"/>
          <w:sz w:val="24"/>
          <w:szCs w:val="24"/>
        </w:rPr>
        <w:t xml:space="preserve">                                 </w:t>
      </w:r>
    </w:p>
    <w:tbl>
      <w:tblPr>
        <w:tblStyle w:val="62"/>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
        <w:gridCol w:w="1124"/>
        <w:gridCol w:w="16"/>
        <w:gridCol w:w="6464"/>
        <w:gridCol w:w="8"/>
        <w:gridCol w:w="1312"/>
        <w:gridCol w:w="25"/>
      </w:tblGrid>
      <w:tr w14:paraId="3112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56" w:type="dxa"/>
            <w:gridSpan w:val="2"/>
            <w:vAlign w:val="center"/>
          </w:tcPr>
          <w:p w14:paraId="481781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40" w:type="dxa"/>
            <w:gridSpan w:val="2"/>
            <w:vAlign w:val="center"/>
          </w:tcPr>
          <w:p w14:paraId="29F35AC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考核项目</w:t>
            </w:r>
          </w:p>
        </w:tc>
        <w:tc>
          <w:tcPr>
            <w:tcW w:w="6472" w:type="dxa"/>
            <w:gridSpan w:val="2"/>
            <w:vAlign w:val="center"/>
          </w:tcPr>
          <w:p w14:paraId="1D1EFE7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考核标准</w:t>
            </w:r>
          </w:p>
        </w:tc>
        <w:tc>
          <w:tcPr>
            <w:tcW w:w="1337" w:type="dxa"/>
            <w:gridSpan w:val="2"/>
            <w:vAlign w:val="center"/>
          </w:tcPr>
          <w:p w14:paraId="4362BAA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扣分</w:t>
            </w:r>
          </w:p>
        </w:tc>
      </w:tr>
      <w:tr w14:paraId="526C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6" w:type="dxa"/>
            <w:gridSpan w:val="2"/>
            <w:vMerge w:val="restart"/>
            <w:vAlign w:val="center"/>
          </w:tcPr>
          <w:p w14:paraId="7A228FF2">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140" w:type="dxa"/>
            <w:gridSpan w:val="2"/>
            <w:vMerge w:val="restart"/>
            <w:vAlign w:val="center"/>
          </w:tcPr>
          <w:p w14:paraId="24A9887A">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标识标牌(5分）</w:t>
            </w:r>
          </w:p>
        </w:tc>
        <w:tc>
          <w:tcPr>
            <w:tcW w:w="6472" w:type="dxa"/>
            <w:gridSpan w:val="2"/>
            <w:vAlign w:val="center"/>
          </w:tcPr>
          <w:p w14:paraId="0B94387D">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未设置厕所管理制度牌、公共厕所标识标牌每处1分</w:t>
            </w:r>
          </w:p>
        </w:tc>
        <w:tc>
          <w:tcPr>
            <w:tcW w:w="1337" w:type="dxa"/>
            <w:gridSpan w:val="2"/>
            <w:vAlign w:val="center"/>
          </w:tcPr>
          <w:p w14:paraId="57C59C56">
            <w:pPr>
              <w:adjustRightInd/>
              <w:spacing w:line="300" w:lineRule="exact"/>
              <w:rPr>
                <w:rFonts w:hint="eastAsia" w:ascii="宋体" w:hAnsi="宋体" w:eastAsia="宋体" w:cs="宋体"/>
                <w:color w:val="auto"/>
                <w:kern w:val="0"/>
                <w:sz w:val="24"/>
                <w:szCs w:val="24"/>
              </w:rPr>
            </w:pPr>
          </w:p>
        </w:tc>
      </w:tr>
      <w:tr w14:paraId="0505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56" w:type="dxa"/>
            <w:gridSpan w:val="2"/>
            <w:vMerge w:val="continue"/>
            <w:vAlign w:val="center"/>
          </w:tcPr>
          <w:p w14:paraId="1B8050FB">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026CC72C">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19CBAA9C">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设置男女厕、坐便器、蹲便器、无障碍卫生间等标识，制度牌无破损、字体清晰、公示的信息无缺项及不准确等每发现一处扣1分</w:t>
            </w:r>
          </w:p>
        </w:tc>
        <w:tc>
          <w:tcPr>
            <w:tcW w:w="1337" w:type="dxa"/>
            <w:gridSpan w:val="2"/>
            <w:vAlign w:val="center"/>
          </w:tcPr>
          <w:p w14:paraId="7F470DDF">
            <w:pPr>
              <w:adjustRightInd/>
              <w:spacing w:line="300" w:lineRule="exact"/>
              <w:rPr>
                <w:rFonts w:hint="eastAsia" w:ascii="宋体" w:hAnsi="宋体" w:eastAsia="宋体" w:cs="宋体"/>
                <w:color w:val="auto"/>
                <w:kern w:val="0"/>
                <w:sz w:val="24"/>
                <w:szCs w:val="24"/>
              </w:rPr>
            </w:pPr>
          </w:p>
        </w:tc>
      </w:tr>
      <w:tr w14:paraId="4A33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56" w:type="dxa"/>
            <w:gridSpan w:val="2"/>
            <w:vMerge w:val="continue"/>
            <w:vAlign w:val="center"/>
          </w:tcPr>
          <w:p w14:paraId="28F755F8">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4D5B6F6A">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EBB7765">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厕所各类标牌规范设置，无破损、遮挡、残缺、歪斜，每发现一处扣1分</w:t>
            </w:r>
          </w:p>
        </w:tc>
        <w:tc>
          <w:tcPr>
            <w:tcW w:w="1337" w:type="dxa"/>
            <w:gridSpan w:val="2"/>
            <w:vAlign w:val="center"/>
          </w:tcPr>
          <w:p w14:paraId="31C9C178">
            <w:pPr>
              <w:adjustRightInd/>
              <w:spacing w:line="300" w:lineRule="exact"/>
              <w:rPr>
                <w:rFonts w:hint="eastAsia" w:ascii="宋体" w:hAnsi="宋体" w:eastAsia="宋体" w:cs="宋体"/>
                <w:color w:val="auto"/>
                <w:kern w:val="0"/>
                <w:sz w:val="24"/>
                <w:szCs w:val="24"/>
              </w:rPr>
            </w:pPr>
          </w:p>
        </w:tc>
      </w:tr>
      <w:tr w14:paraId="3454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6" w:type="dxa"/>
            <w:gridSpan w:val="2"/>
            <w:vMerge w:val="restart"/>
            <w:vAlign w:val="center"/>
          </w:tcPr>
          <w:p w14:paraId="22DADD75">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140" w:type="dxa"/>
            <w:gridSpan w:val="2"/>
            <w:vMerge w:val="restart"/>
            <w:vAlign w:val="center"/>
          </w:tcPr>
          <w:p w14:paraId="16A94E61">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设备设（15分））</w:t>
            </w:r>
          </w:p>
        </w:tc>
        <w:tc>
          <w:tcPr>
            <w:tcW w:w="6472" w:type="dxa"/>
            <w:gridSpan w:val="2"/>
            <w:vAlign w:val="center"/>
          </w:tcPr>
          <w:p w14:paraId="736AF987">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垃圾桶或纸篓无破损、不洁、满溢每处扣2分</w:t>
            </w:r>
          </w:p>
        </w:tc>
        <w:tc>
          <w:tcPr>
            <w:tcW w:w="1337" w:type="dxa"/>
            <w:gridSpan w:val="2"/>
            <w:vAlign w:val="center"/>
          </w:tcPr>
          <w:p w14:paraId="57201B63">
            <w:pPr>
              <w:adjustRightInd/>
              <w:spacing w:line="300" w:lineRule="exact"/>
              <w:rPr>
                <w:rFonts w:hint="eastAsia" w:ascii="宋体" w:hAnsi="宋体" w:eastAsia="宋体" w:cs="宋体"/>
                <w:color w:val="auto"/>
                <w:kern w:val="0"/>
                <w:sz w:val="24"/>
                <w:szCs w:val="24"/>
              </w:rPr>
            </w:pPr>
          </w:p>
        </w:tc>
      </w:tr>
      <w:tr w14:paraId="3632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6" w:type="dxa"/>
            <w:gridSpan w:val="2"/>
            <w:vMerge w:val="continue"/>
            <w:vAlign w:val="center"/>
          </w:tcPr>
          <w:p w14:paraId="20259AC9">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7F0DC37A">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59C4DFF8">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大便器、大便槽、小便器（槽）无破损发现一处扣2分</w:t>
            </w:r>
          </w:p>
        </w:tc>
        <w:tc>
          <w:tcPr>
            <w:tcW w:w="1337" w:type="dxa"/>
            <w:gridSpan w:val="2"/>
            <w:vAlign w:val="center"/>
          </w:tcPr>
          <w:p w14:paraId="63E6F32D">
            <w:pPr>
              <w:adjustRightInd/>
              <w:spacing w:line="300" w:lineRule="exact"/>
              <w:rPr>
                <w:rFonts w:hint="eastAsia" w:ascii="宋体" w:hAnsi="宋体" w:eastAsia="宋体" w:cs="宋体"/>
                <w:color w:val="auto"/>
                <w:kern w:val="0"/>
                <w:sz w:val="24"/>
                <w:szCs w:val="24"/>
              </w:rPr>
            </w:pPr>
          </w:p>
        </w:tc>
      </w:tr>
      <w:tr w14:paraId="5439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56" w:type="dxa"/>
            <w:gridSpan w:val="2"/>
            <w:vMerge w:val="continue"/>
            <w:vAlign w:val="center"/>
          </w:tcPr>
          <w:p w14:paraId="182ED563">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67E2D930">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33A7003B">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无障碍通道能正常使用，扶手（含靠墙厕位扶手）无缺失破损、松动不牢固（农贸市场厕所可不设置无障碍通道）每处扣1分</w:t>
            </w:r>
          </w:p>
        </w:tc>
        <w:tc>
          <w:tcPr>
            <w:tcW w:w="1337" w:type="dxa"/>
            <w:gridSpan w:val="2"/>
            <w:vAlign w:val="center"/>
          </w:tcPr>
          <w:p w14:paraId="379EBCF4">
            <w:pPr>
              <w:adjustRightInd/>
              <w:spacing w:line="300" w:lineRule="exact"/>
              <w:rPr>
                <w:rFonts w:hint="eastAsia" w:ascii="宋体" w:hAnsi="宋体" w:eastAsia="宋体" w:cs="宋体"/>
                <w:color w:val="auto"/>
                <w:kern w:val="0"/>
                <w:sz w:val="24"/>
                <w:szCs w:val="24"/>
              </w:rPr>
            </w:pPr>
          </w:p>
        </w:tc>
      </w:tr>
      <w:tr w14:paraId="2919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56" w:type="dxa"/>
            <w:gridSpan w:val="2"/>
            <w:vMerge w:val="continue"/>
            <w:vAlign w:val="center"/>
          </w:tcPr>
          <w:p w14:paraId="7170FEF3">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732C2CF4">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D1B0CF5">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厕所天花板、内外墙面、门窗、洗手池及台面、拖把池、大小便厕位隔断、搁物台、上下水管、镜子、无障碍间卫生洁具及辅助设施等无不洁、缺失、破损、生锈或不能正常使用每处扣2分</w:t>
            </w:r>
          </w:p>
        </w:tc>
        <w:tc>
          <w:tcPr>
            <w:tcW w:w="1337" w:type="dxa"/>
            <w:gridSpan w:val="2"/>
            <w:vAlign w:val="center"/>
          </w:tcPr>
          <w:p w14:paraId="64D69338">
            <w:pPr>
              <w:adjustRightInd/>
              <w:spacing w:line="300" w:lineRule="exact"/>
              <w:rPr>
                <w:rFonts w:hint="eastAsia" w:ascii="宋体" w:hAnsi="宋体" w:eastAsia="宋体" w:cs="宋体"/>
                <w:color w:val="auto"/>
                <w:kern w:val="0"/>
                <w:sz w:val="24"/>
                <w:szCs w:val="24"/>
              </w:rPr>
            </w:pPr>
          </w:p>
        </w:tc>
      </w:tr>
      <w:tr w14:paraId="2C33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6" w:type="dxa"/>
            <w:gridSpan w:val="2"/>
            <w:vMerge w:val="continue"/>
            <w:vAlign w:val="center"/>
          </w:tcPr>
          <w:p w14:paraId="2AA01AF1">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37D17972">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2CBA06BB">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化粪池、贮粪池、厕所粪池盖密闭、无缺失、破损、松动每处扣1分</w:t>
            </w:r>
          </w:p>
        </w:tc>
        <w:tc>
          <w:tcPr>
            <w:tcW w:w="1337" w:type="dxa"/>
            <w:gridSpan w:val="2"/>
            <w:vAlign w:val="center"/>
          </w:tcPr>
          <w:p w14:paraId="38A87D98">
            <w:pPr>
              <w:adjustRightInd/>
              <w:spacing w:line="300" w:lineRule="exact"/>
              <w:rPr>
                <w:rFonts w:hint="eastAsia" w:ascii="宋体" w:hAnsi="宋体" w:eastAsia="宋体" w:cs="宋体"/>
                <w:color w:val="auto"/>
                <w:kern w:val="0"/>
                <w:sz w:val="24"/>
                <w:szCs w:val="24"/>
              </w:rPr>
            </w:pPr>
          </w:p>
        </w:tc>
      </w:tr>
      <w:tr w14:paraId="721A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6" w:type="dxa"/>
            <w:gridSpan w:val="2"/>
            <w:vMerge w:val="restart"/>
            <w:vAlign w:val="center"/>
          </w:tcPr>
          <w:p w14:paraId="50B6D782">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140" w:type="dxa"/>
            <w:gridSpan w:val="2"/>
            <w:vMerge w:val="restart"/>
            <w:vAlign w:val="center"/>
          </w:tcPr>
          <w:p w14:paraId="2E789327">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日常管理（60分）</w:t>
            </w:r>
          </w:p>
        </w:tc>
        <w:tc>
          <w:tcPr>
            <w:tcW w:w="6472" w:type="dxa"/>
            <w:gridSpan w:val="2"/>
            <w:vAlign w:val="center"/>
          </w:tcPr>
          <w:p w14:paraId="0DBA9DD1">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管理房内无外私拉电线、乱接插头插座、裸露接线现象；厕所内外无乱接水管等每处扣2分</w:t>
            </w:r>
          </w:p>
        </w:tc>
        <w:tc>
          <w:tcPr>
            <w:tcW w:w="1337" w:type="dxa"/>
            <w:gridSpan w:val="2"/>
            <w:vAlign w:val="center"/>
          </w:tcPr>
          <w:p w14:paraId="630CA674">
            <w:pPr>
              <w:adjustRightInd/>
              <w:spacing w:line="300" w:lineRule="exact"/>
              <w:rPr>
                <w:rFonts w:hint="eastAsia" w:ascii="宋体" w:hAnsi="宋体" w:eastAsia="宋体" w:cs="宋体"/>
                <w:color w:val="auto"/>
                <w:kern w:val="0"/>
                <w:sz w:val="24"/>
                <w:szCs w:val="24"/>
              </w:rPr>
            </w:pPr>
          </w:p>
        </w:tc>
      </w:tr>
      <w:tr w14:paraId="7217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6" w:type="dxa"/>
            <w:gridSpan w:val="2"/>
            <w:vMerge w:val="continue"/>
            <w:vAlign w:val="center"/>
          </w:tcPr>
          <w:p w14:paraId="200238CB">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6CEA7CB3">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BDEB86D">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厕所内外墙面无渗漏、无破损、无乳胶漆脱落，地面无不平整、无破损等每处扣1分</w:t>
            </w:r>
          </w:p>
        </w:tc>
        <w:tc>
          <w:tcPr>
            <w:tcW w:w="1337" w:type="dxa"/>
            <w:gridSpan w:val="2"/>
            <w:vAlign w:val="center"/>
          </w:tcPr>
          <w:p w14:paraId="524D0D9E">
            <w:pPr>
              <w:adjustRightInd/>
              <w:spacing w:line="300" w:lineRule="exact"/>
              <w:rPr>
                <w:rFonts w:hint="eastAsia" w:ascii="宋体" w:hAnsi="宋体" w:eastAsia="宋体" w:cs="宋体"/>
                <w:color w:val="auto"/>
                <w:kern w:val="0"/>
                <w:sz w:val="24"/>
                <w:szCs w:val="24"/>
              </w:rPr>
            </w:pPr>
          </w:p>
        </w:tc>
      </w:tr>
      <w:tr w14:paraId="1B74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6" w:type="dxa"/>
            <w:gridSpan w:val="2"/>
            <w:vMerge w:val="continue"/>
            <w:vAlign w:val="center"/>
          </w:tcPr>
          <w:p w14:paraId="46807764">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4EF4419F">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DE7A43C">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厕所（除附设厕所外）内无消防器材配备每处扣1分</w:t>
            </w:r>
          </w:p>
        </w:tc>
        <w:tc>
          <w:tcPr>
            <w:tcW w:w="1337" w:type="dxa"/>
            <w:gridSpan w:val="2"/>
            <w:vAlign w:val="center"/>
          </w:tcPr>
          <w:p w14:paraId="068E199E">
            <w:pPr>
              <w:adjustRightInd/>
              <w:spacing w:line="300" w:lineRule="exact"/>
              <w:rPr>
                <w:rFonts w:hint="eastAsia" w:ascii="宋体" w:hAnsi="宋体" w:eastAsia="宋体" w:cs="宋体"/>
                <w:color w:val="auto"/>
                <w:kern w:val="0"/>
                <w:sz w:val="24"/>
                <w:szCs w:val="24"/>
              </w:rPr>
            </w:pPr>
          </w:p>
        </w:tc>
      </w:tr>
      <w:tr w14:paraId="377A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6" w:type="dxa"/>
            <w:gridSpan w:val="2"/>
            <w:vMerge w:val="continue"/>
            <w:vAlign w:val="center"/>
          </w:tcPr>
          <w:p w14:paraId="1244CE02">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1EAF139F">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4DC1DE70">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大便器、大便槽、小便器（槽）无不洁、积粪（尿）、堵塞每处扣5分</w:t>
            </w:r>
          </w:p>
        </w:tc>
        <w:tc>
          <w:tcPr>
            <w:tcW w:w="1337" w:type="dxa"/>
            <w:gridSpan w:val="2"/>
            <w:vAlign w:val="center"/>
          </w:tcPr>
          <w:p w14:paraId="5052473B">
            <w:pPr>
              <w:adjustRightInd/>
              <w:spacing w:line="300" w:lineRule="exact"/>
              <w:rPr>
                <w:rFonts w:hint="eastAsia" w:ascii="宋体" w:hAnsi="宋体" w:eastAsia="宋体" w:cs="宋体"/>
                <w:color w:val="auto"/>
                <w:kern w:val="0"/>
                <w:sz w:val="24"/>
                <w:szCs w:val="24"/>
              </w:rPr>
            </w:pPr>
          </w:p>
        </w:tc>
      </w:tr>
      <w:tr w14:paraId="63D9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6" w:type="dxa"/>
            <w:gridSpan w:val="2"/>
            <w:vMerge w:val="continue"/>
            <w:vAlign w:val="center"/>
          </w:tcPr>
          <w:p w14:paraId="71D3C4D7">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7E3467A8">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0C5DA506">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厕所内无堆放杂物、厕位内无乱堆放作业工具每处扣2分</w:t>
            </w:r>
          </w:p>
        </w:tc>
        <w:tc>
          <w:tcPr>
            <w:tcW w:w="1337" w:type="dxa"/>
            <w:gridSpan w:val="2"/>
            <w:vAlign w:val="center"/>
          </w:tcPr>
          <w:p w14:paraId="1096AEB2">
            <w:pPr>
              <w:adjustRightInd/>
              <w:spacing w:line="300" w:lineRule="exact"/>
              <w:rPr>
                <w:rFonts w:hint="eastAsia" w:ascii="宋体" w:hAnsi="宋体" w:eastAsia="宋体" w:cs="宋体"/>
                <w:color w:val="auto"/>
                <w:kern w:val="0"/>
                <w:sz w:val="24"/>
                <w:szCs w:val="24"/>
              </w:rPr>
            </w:pPr>
          </w:p>
        </w:tc>
      </w:tr>
      <w:tr w14:paraId="4154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56" w:type="dxa"/>
            <w:gridSpan w:val="2"/>
            <w:vMerge w:val="continue"/>
            <w:vAlign w:val="center"/>
          </w:tcPr>
          <w:p w14:paraId="29C4F8BE">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4A1398E6">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70AE6DCB">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厕所及厕位无地面不洁、湿滑积水；工具间环境整洁每处扣2分</w:t>
            </w:r>
          </w:p>
        </w:tc>
        <w:tc>
          <w:tcPr>
            <w:tcW w:w="1337" w:type="dxa"/>
            <w:gridSpan w:val="2"/>
            <w:vAlign w:val="center"/>
          </w:tcPr>
          <w:p w14:paraId="6D280C8C">
            <w:pPr>
              <w:adjustRightInd/>
              <w:spacing w:line="300" w:lineRule="exact"/>
              <w:rPr>
                <w:rFonts w:hint="eastAsia" w:ascii="宋体" w:hAnsi="宋体" w:eastAsia="宋体" w:cs="宋体"/>
                <w:color w:val="auto"/>
                <w:kern w:val="0"/>
                <w:sz w:val="24"/>
                <w:szCs w:val="24"/>
              </w:rPr>
            </w:pPr>
          </w:p>
        </w:tc>
      </w:tr>
      <w:tr w14:paraId="11C7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56" w:type="dxa"/>
            <w:gridSpan w:val="2"/>
            <w:vMerge w:val="continue"/>
            <w:vAlign w:val="center"/>
          </w:tcPr>
          <w:p w14:paraId="7941CCA1">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1D5D7E15">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33298BB8">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厕所外环境整洁，无作业工具乱放；有积泥、积尘、垃圾、粪便、杂物堆放、吊挂、晾晒衣物现象每处扣2分</w:t>
            </w:r>
          </w:p>
        </w:tc>
        <w:tc>
          <w:tcPr>
            <w:tcW w:w="1337" w:type="dxa"/>
            <w:gridSpan w:val="2"/>
            <w:vAlign w:val="center"/>
          </w:tcPr>
          <w:p w14:paraId="30EA5126">
            <w:pPr>
              <w:adjustRightInd/>
              <w:spacing w:line="300" w:lineRule="exact"/>
              <w:rPr>
                <w:rFonts w:hint="eastAsia" w:ascii="宋体" w:hAnsi="宋体" w:eastAsia="宋体" w:cs="宋体"/>
                <w:color w:val="auto"/>
                <w:kern w:val="0"/>
                <w:sz w:val="24"/>
                <w:szCs w:val="24"/>
              </w:rPr>
            </w:pPr>
          </w:p>
        </w:tc>
      </w:tr>
      <w:tr w14:paraId="4B78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56" w:type="dxa"/>
            <w:gridSpan w:val="2"/>
            <w:vMerge w:val="continue"/>
            <w:vAlign w:val="center"/>
          </w:tcPr>
          <w:p w14:paraId="400074E6">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3BB3B67C">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41BCC83">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化粪池、贮粪池无臭气外溢，周围地面无粪迹、垃圾、污水、恶臭、蝇蛆，满溢；无粪污水、粪便污染周边水体等环境每处扣5分</w:t>
            </w:r>
          </w:p>
        </w:tc>
        <w:tc>
          <w:tcPr>
            <w:tcW w:w="1337" w:type="dxa"/>
            <w:gridSpan w:val="2"/>
            <w:vAlign w:val="center"/>
          </w:tcPr>
          <w:p w14:paraId="34EE1FDF">
            <w:pPr>
              <w:adjustRightInd/>
              <w:spacing w:line="300" w:lineRule="exact"/>
              <w:rPr>
                <w:rFonts w:hint="eastAsia" w:ascii="宋体" w:hAnsi="宋体" w:eastAsia="宋体" w:cs="宋体"/>
                <w:color w:val="auto"/>
                <w:kern w:val="0"/>
                <w:sz w:val="24"/>
                <w:szCs w:val="24"/>
              </w:rPr>
            </w:pPr>
          </w:p>
        </w:tc>
      </w:tr>
      <w:tr w14:paraId="212E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6" w:type="dxa"/>
            <w:gridSpan w:val="2"/>
            <w:vMerge w:val="continue"/>
            <w:vAlign w:val="center"/>
          </w:tcPr>
          <w:p w14:paraId="26ABD0A5">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3718769A">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7CD85605">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保洁人员在规定时间内脱岗发现一次扣5分</w:t>
            </w:r>
          </w:p>
        </w:tc>
        <w:tc>
          <w:tcPr>
            <w:tcW w:w="1337" w:type="dxa"/>
            <w:gridSpan w:val="2"/>
            <w:vAlign w:val="center"/>
          </w:tcPr>
          <w:p w14:paraId="70638A1E">
            <w:pPr>
              <w:adjustRightInd/>
              <w:spacing w:line="300" w:lineRule="exact"/>
              <w:rPr>
                <w:rFonts w:hint="eastAsia" w:ascii="宋体" w:hAnsi="宋体" w:eastAsia="宋体" w:cs="宋体"/>
                <w:color w:val="auto"/>
                <w:kern w:val="0"/>
                <w:sz w:val="24"/>
                <w:szCs w:val="24"/>
              </w:rPr>
            </w:pPr>
          </w:p>
        </w:tc>
      </w:tr>
      <w:tr w14:paraId="5FA5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6" w:type="dxa"/>
            <w:gridSpan w:val="2"/>
            <w:vMerge w:val="continue"/>
            <w:vAlign w:val="center"/>
          </w:tcPr>
          <w:p w14:paraId="31963B18">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5EDF6261">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27ACC854">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作业人员与无关人员闲聊发现一次扣5分</w:t>
            </w:r>
          </w:p>
        </w:tc>
        <w:tc>
          <w:tcPr>
            <w:tcW w:w="1337" w:type="dxa"/>
            <w:gridSpan w:val="2"/>
            <w:vAlign w:val="center"/>
          </w:tcPr>
          <w:p w14:paraId="26795AC1">
            <w:pPr>
              <w:adjustRightInd/>
              <w:spacing w:line="300" w:lineRule="exact"/>
              <w:rPr>
                <w:rFonts w:hint="eastAsia" w:ascii="宋体" w:hAnsi="宋体" w:eastAsia="宋体" w:cs="宋体"/>
                <w:color w:val="auto"/>
                <w:kern w:val="0"/>
                <w:sz w:val="24"/>
                <w:szCs w:val="24"/>
              </w:rPr>
            </w:pPr>
          </w:p>
        </w:tc>
      </w:tr>
      <w:tr w14:paraId="367F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6" w:type="dxa"/>
            <w:gridSpan w:val="2"/>
            <w:vMerge w:val="continue"/>
            <w:vAlign w:val="center"/>
          </w:tcPr>
          <w:p w14:paraId="7F7528C0">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32915454">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3EB8A127">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厕所内无饲养宠物发现一处扣2分</w:t>
            </w:r>
          </w:p>
        </w:tc>
        <w:tc>
          <w:tcPr>
            <w:tcW w:w="1337" w:type="dxa"/>
            <w:gridSpan w:val="2"/>
            <w:vAlign w:val="center"/>
          </w:tcPr>
          <w:p w14:paraId="2F757BC0">
            <w:pPr>
              <w:adjustRightInd/>
              <w:spacing w:line="300" w:lineRule="exact"/>
              <w:rPr>
                <w:rFonts w:hint="eastAsia" w:ascii="宋体" w:hAnsi="宋体" w:eastAsia="宋体" w:cs="宋体"/>
                <w:color w:val="auto"/>
                <w:kern w:val="0"/>
                <w:sz w:val="24"/>
                <w:szCs w:val="24"/>
              </w:rPr>
            </w:pPr>
          </w:p>
        </w:tc>
      </w:tr>
      <w:tr w14:paraId="0E6D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56" w:type="dxa"/>
            <w:gridSpan w:val="2"/>
            <w:vAlign w:val="center"/>
          </w:tcPr>
          <w:p w14:paraId="36E0F7E7">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140" w:type="dxa"/>
            <w:gridSpan w:val="2"/>
            <w:vAlign w:val="center"/>
          </w:tcPr>
          <w:p w14:paraId="4F20FDA8">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整体环境（5分）</w:t>
            </w:r>
          </w:p>
        </w:tc>
        <w:tc>
          <w:tcPr>
            <w:tcW w:w="6472" w:type="dxa"/>
            <w:gridSpan w:val="2"/>
            <w:vAlign w:val="center"/>
          </w:tcPr>
          <w:p w14:paraId="52EBB2AA">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厕所无明显臭味发现一处扣5分</w:t>
            </w:r>
          </w:p>
        </w:tc>
        <w:tc>
          <w:tcPr>
            <w:tcW w:w="1337" w:type="dxa"/>
            <w:gridSpan w:val="2"/>
            <w:vAlign w:val="center"/>
          </w:tcPr>
          <w:p w14:paraId="3B746542">
            <w:pPr>
              <w:adjustRightInd/>
              <w:spacing w:line="300" w:lineRule="exact"/>
              <w:rPr>
                <w:rFonts w:hint="eastAsia" w:ascii="宋体" w:hAnsi="宋体" w:eastAsia="宋体" w:cs="宋体"/>
                <w:color w:val="auto"/>
                <w:kern w:val="0"/>
                <w:sz w:val="24"/>
                <w:szCs w:val="24"/>
              </w:rPr>
            </w:pPr>
          </w:p>
        </w:tc>
      </w:tr>
      <w:tr w14:paraId="7DCA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525" w:hRule="atLeast"/>
          <w:jc w:val="center"/>
        </w:trPr>
        <w:tc>
          <w:tcPr>
            <w:tcW w:w="540" w:type="dxa"/>
            <w:vMerge w:val="restart"/>
            <w:vAlign w:val="center"/>
          </w:tcPr>
          <w:p w14:paraId="0C81BF9E">
            <w:pPr>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w:t>
            </w:r>
          </w:p>
        </w:tc>
        <w:tc>
          <w:tcPr>
            <w:tcW w:w="1140" w:type="dxa"/>
            <w:gridSpan w:val="2"/>
            <w:vAlign w:val="center"/>
          </w:tcPr>
          <w:p w14:paraId="3A7625B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公众监督（5分）</w:t>
            </w:r>
          </w:p>
        </w:tc>
        <w:tc>
          <w:tcPr>
            <w:tcW w:w="6480" w:type="dxa"/>
            <w:gridSpan w:val="2"/>
            <w:shd w:val="clear" w:color="auto" w:fill="FFFFFF"/>
            <w:vAlign w:val="center"/>
          </w:tcPr>
          <w:p w14:paraId="359A6A9B">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区级媒体曝光、通报批评、信访处置不力等扣3分。</w:t>
            </w:r>
          </w:p>
        </w:tc>
        <w:tc>
          <w:tcPr>
            <w:tcW w:w="1320" w:type="dxa"/>
            <w:gridSpan w:val="2"/>
            <w:vAlign w:val="center"/>
          </w:tcPr>
          <w:p w14:paraId="0F990F80">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EC4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274" w:hRule="atLeast"/>
          <w:jc w:val="center"/>
        </w:trPr>
        <w:tc>
          <w:tcPr>
            <w:tcW w:w="540" w:type="dxa"/>
            <w:vMerge w:val="continue"/>
            <w:vAlign w:val="center"/>
          </w:tcPr>
          <w:p w14:paraId="3563CE21">
            <w:pPr>
              <w:spacing w:line="300" w:lineRule="exact"/>
              <w:rPr>
                <w:rFonts w:hint="eastAsia" w:ascii="宋体" w:hAnsi="宋体" w:eastAsia="宋体" w:cs="宋体"/>
                <w:color w:val="auto"/>
                <w:sz w:val="24"/>
                <w:szCs w:val="24"/>
              </w:rPr>
            </w:pPr>
          </w:p>
        </w:tc>
        <w:tc>
          <w:tcPr>
            <w:tcW w:w="1140" w:type="dxa"/>
            <w:gridSpan w:val="2"/>
            <w:vAlign w:val="center"/>
          </w:tcPr>
          <w:p w14:paraId="564344C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检查监督（10分）</w:t>
            </w:r>
          </w:p>
        </w:tc>
        <w:tc>
          <w:tcPr>
            <w:tcW w:w="6480" w:type="dxa"/>
            <w:gridSpan w:val="2"/>
            <w:vAlign w:val="center"/>
          </w:tcPr>
          <w:p w14:paraId="13250CD6">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市查、区查、数字城管</w:t>
            </w:r>
            <w:r>
              <w:rPr>
                <w:rFonts w:hint="eastAsia" w:ascii="宋体" w:hAnsi="宋体" w:eastAsia="宋体" w:cs="宋体"/>
                <w:color w:val="auto"/>
                <w:kern w:val="0"/>
                <w:sz w:val="24"/>
                <w:szCs w:val="24"/>
              </w:rPr>
              <w:t>的</w:t>
            </w:r>
            <w:r>
              <w:rPr>
                <w:rFonts w:hint="eastAsia" w:ascii="宋体" w:hAnsi="宋体" w:eastAsia="宋体" w:cs="宋体"/>
                <w:color w:val="auto"/>
                <w:spacing w:val="-8"/>
                <w:sz w:val="24"/>
                <w:szCs w:val="24"/>
              </w:rPr>
              <w:t>涉及属地管辖内所有市容的</w:t>
            </w:r>
            <w:r>
              <w:rPr>
                <w:rFonts w:hint="eastAsia" w:ascii="宋体" w:hAnsi="宋体" w:eastAsia="宋体" w:cs="宋体"/>
                <w:color w:val="auto"/>
                <w:kern w:val="0"/>
                <w:sz w:val="24"/>
                <w:szCs w:val="24"/>
              </w:rPr>
              <w:t>有责抄告、交办及信访问题，</w:t>
            </w:r>
            <w:r>
              <w:rPr>
                <w:rFonts w:hint="eastAsia" w:ascii="宋体" w:hAnsi="宋体" w:eastAsia="宋体" w:cs="宋体"/>
                <w:color w:val="auto"/>
                <w:sz w:val="24"/>
                <w:szCs w:val="24"/>
              </w:rPr>
              <w:t>每发生1件扣1分，逾时或整改不到位扣2分，二次抄告扣3分，整改不到位扣5分，三次抄告扣5分。“城市环境大整治、城市面貌大提升”工作中，出现</w:t>
            </w:r>
            <w:r>
              <w:rPr>
                <w:rFonts w:hint="eastAsia" w:ascii="宋体" w:hAnsi="宋体" w:eastAsia="宋体" w:cs="宋体"/>
                <w:color w:val="auto"/>
                <w:kern w:val="0"/>
                <w:sz w:val="24"/>
                <w:szCs w:val="24"/>
              </w:rPr>
              <w:t>A类问题每次扣1分，B类问题每次扣2分，C类问题每次扣3分。</w:t>
            </w:r>
          </w:p>
        </w:tc>
        <w:tc>
          <w:tcPr>
            <w:tcW w:w="1320" w:type="dxa"/>
            <w:gridSpan w:val="2"/>
            <w:vAlign w:val="center"/>
          </w:tcPr>
          <w:p w14:paraId="1A0CCEC6">
            <w:pPr>
              <w:spacing w:line="300" w:lineRule="exact"/>
              <w:rPr>
                <w:rFonts w:hint="eastAsia" w:ascii="宋体" w:hAnsi="宋体" w:eastAsia="宋体" w:cs="宋体"/>
                <w:color w:val="auto"/>
                <w:sz w:val="24"/>
                <w:szCs w:val="24"/>
              </w:rPr>
            </w:pPr>
          </w:p>
        </w:tc>
      </w:tr>
      <w:tr w14:paraId="4F48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648" w:hRule="atLeast"/>
          <w:jc w:val="center"/>
        </w:trPr>
        <w:tc>
          <w:tcPr>
            <w:tcW w:w="540" w:type="dxa"/>
            <w:vAlign w:val="center"/>
          </w:tcPr>
          <w:p w14:paraId="2D2B5061">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6</w:t>
            </w:r>
          </w:p>
        </w:tc>
        <w:tc>
          <w:tcPr>
            <w:tcW w:w="1140" w:type="dxa"/>
            <w:gridSpan w:val="2"/>
            <w:vAlign w:val="center"/>
          </w:tcPr>
          <w:p w14:paraId="292269E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交办督办</w:t>
            </w:r>
          </w:p>
        </w:tc>
        <w:tc>
          <w:tcPr>
            <w:tcW w:w="6480" w:type="dxa"/>
            <w:gridSpan w:val="2"/>
            <w:vAlign w:val="center"/>
          </w:tcPr>
          <w:p w14:paraId="3F7CB42B">
            <w:pPr>
              <w:adjustRightInd/>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有责领导交办件：每发生一件区级主要领导交办件扣7分，其他区级领导扣3分;每发生一件市级主要领导交办件扣20分。</w:t>
            </w:r>
          </w:p>
        </w:tc>
        <w:tc>
          <w:tcPr>
            <w:tcW w:w="1320" w:type="dxa"/>
            <w:gridSpan w:val="2"/>
            <w:vAlign w:val="center"/>
          </w:tcPr>
          <w:p w14:paraId="6591447D">
            <w:pPr>
              <w:spacing w:line="300" w:lineRule="exact"/>
              <w:rPr>
                <w:rFonts w:hint="eastAsia" w:ascii="宋体" w:hAnsi="宋体" w:eastAsia="宋体" w:cs="宋体"/>
                <w:color w:val="auto"/>
                <w:sz w:val="24"/>
                <w:szCs w:val="24"/>
              </w:rPr>
            </w:pPr>
          </w:p>
        </w:tc>
      </w:tr>
      <w:tr w14:paraId="6562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727" w:hRule="atLeast"/>
          <w:jc w:val="center"/>
        </w:trPr>
        <w:tc>
          <w:tcPr>
            <w:tcW w:w="1680" w:type="dxa"/>
            <w:gridSpan w:val="3"/>
            <w:vAlign w:val="center"/>
          </w:tcPr>
          <w:p w14:paraId="155ECAA2">
            <w:pPr>
              <w:widowControl/>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480" w:type="dxa"/>
            <w:gridSpan w:val="2"/>
            <w:vAlign w:val="center"/>
          </w:tcPr>
          <w:p w14:paraId="474D248F">
            <w:pPr>
              <w:widowControl/>
              <w:spacing w:line="300" w:lineRule="exact"/>
              <w:rPr>
                <w:rFonts w:hint="eastAsia" w:ascii="宋体" w:hAnsi="宋体" w:eastAsia="宋体" w:cs="宋体"/>
                <w:color w:val="auto"/>
                <w:sz w:val="24"/>
                <w:szCs w:val="24"/>
              </w:rPr>
            </w:pPr>
          </w:p>
        </w:tc>
        <w:tc>
          <w:tcPr>
            <w:tcW w:w="1320" w:type="dxa"/>
            <w:gridSpan w:val="2"/>
            <w:vAlign w:val="center"/>
          </w:tcPr>
          <w:p w14:paraId="1CDF9C13">
            <w:pPr>
              <w:spacing w:line="300" w:lineRule="exact"/>
              <w:rPr>
                <w:rFonts w:hint="eastAsia" w:ascii="宋体" w:hAnsi="宋体" w:eastAsia="宋体" w:cs="宋体"/>
                <w:color w:val="auto"/>
                <w:sz w:val="24"/>
                <w:szCs w:val="24"/>
              </w:rPr>
            </w:pPr>
          </w:p>
        </w:tc>
      </w:tr>
    </w:tbl>
    <w:p w14:paraId="4043DF46">
      <w:pPr>
        <w:pStyle w:val="5"/>
        <w:numPr>
          <w:ilvl w:val="0"/>
          <w:numId w:val="0"/>
        </w:numPr>
        <w:tabs>
          <w:tab w:val="left" w:pos="706"/>
          <w:tab w:val="clear" w:pos="432"/>
        </w:tabs>
        <w:spacing w:line="600" w:lineRule="exact"/>
        <w:ind w:left="0" w:firstLine="0"/>
        <w:jc w:val="distribute"/>
        <w:rPr>
          <w:rFonts w:hint="eastAsia" w:ascii="宋体" w:hAnsi="宋体" w:eastAsia="宋体" w:cs="宋体"/>
          <w:color w:val="auto"/>
          <w:kern w:val="0"/>
          <w:sz w:val="24"/>
          <w:szCs w:val="24"/>
          <w:lang w:val="en-US"/>
        </w:rPr>
      </w:pPr>
      <w:r>
        <w:rPr>
          <w:rStyle w:val="182"/>
          <w:rFonts w:hint="default"/>
        </w:rPr>
        <w:t>5</w:t>
      </w:r>
      <w:r>
        <w:rPr>
          <w:rFonts w:hint="eastAsia" w:ascii="宋体" w:hAnsi="宋体" w:eastAsia="宋体" w:cs="宋体"/>
          <w:color w:val="auto"/>
          <w:kern w:val="0"/>
          <w:sz w:val="24"/>
          <w:szCs w:val="24"/>
          <w:lang w:val="en-US" w:eastAsia="zh-CN"/>
        </w:rPr>
        <w:t>、仓兴街钱神花园、太炎花苑小区以及沿线零星住宅区域全年市政管网清污</w:t>
      </w:r>
      <w:r>
        <w:rPr>
          <w:rFonts w:hint="eastAsia" w:ascii="宋体" w:hAnsi="宋体" w:eastAsia="宋体" w:cs="宋体"/>
          <w:color w:val="auto"/>
          <w:kern w:val="0"/>
          <w:sz w:val="24"/>
          <w:szCs w:val="24"/>
          <w:lang w:val="en-US"/>
        </w:rPr>
        <w:t>考核</w:t>
      </w:r>
      <w:r>
        <w:rPr>
          <w:rFonts w:hint="eastAsia" w:ascii="宋体" w:hAnsi="宋体" w:eastAsia="宋体" w:cs="宋体"/>
          <w:color w:val="auto"/>
          <w:kern w:val="0"/>
          <w:sz w:val="24"/>
          <w:szCs w:val="24"/>
          <w:lang w:val="en-US" w:eastAsia="zh-CN"/>
        </w:rPr>
        <w:t>标准</w:t>
      </w:r>
      <w:r>
        <w:rPr>
          <w:rFonts w:hint="eastAsia" w:ascii="宋体" w:hAnsi="宋体" w:eastAsia="宋体" w:cs="宋体"/>
          <w:color w:val="auto"/>
          <w:kern w:val="0"/>
          <w:sz w:val="24"/>
          <w:szCs w:val="24"/>
          <w:lang w:val="en-US"/>
        </w:rPr>
        <w:t xml:space="preserve"> </w:t>
      </w:r>
    </w:p>
    <w:tbl>
      <w:tblPr>
        <w:tblStyle w:val="62"/>
        <w:tblpPr w:leftFromText="180" w:rightFromText="180" w:vertAnchor="text" w:horzAnchor="page" w:tblpX="1287" w:tblpY="325"/>
        <w:tblOverlap w:val="never"/>
        <w:tblW w:w="47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2969"/>
        <w:gridCol w:w="4102"/>
        <w:gridCol w:w="1515"/>
      </w:tblGrid>
      <w:tr w14:paraId="5261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2" w:hRule="atLeast"/>
        </w:trPr>
        <w:tc>
          <w:tcPr>
            <w:tcW w:w="3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9B88B0">
            <w:pPr>
              <w:pStyle w:val="5"/>
              <w:tabs>
                <w:tab w:val="left" w:pos="706"/>
                <w:tab w:val="clear" w:pos="432"/>
              </w:tabs>
              <w:spacing w:line="600" w:lineRule="exact"/>
              <w:rPr>
                <w:rFonts w:hint="eastAsia" w:ascii="宋体" w:hAnsi="宋体" w:eastAsia="宋体" w:cs="宋体"/>
                <w:i w:val="0"/>
                <w:iCs w:val="0"/>
                <w:color w:val="auto"/>
                <w:kern w:val="0"/>
                <w:sz w:val="24"/>
                <w:szCs w:val="24"/>
                <w:u w:val="none"/>
                <w:lang w:val="en-US"/>
              </w:rPr>
            </w:pPr>
            <w:r>
              <w:rPr>
                <w:rFonts w:hint="eastAsia" w:ascii="宋体" w:hAnsi="宋体" w:eastAsia="宋体" w:cs="宋体"/>
                <w:i w:val="0"/>
                <w:iCs w:val="0"/>
                <w:color w:val="auto"/>
                <w:kern w:val="0"/>
                <w:sz w:val="24"/>
                <w:szCs w:val="24"/>
                <w:u w:val="none"/>
                <w:lang w:val="en-US" w:eastAsia="zh-CN" w:bidi="ar"/>
              </w:rPr>
              <w:t>序号</w:t>
            </w:r>
          </w:p>
        </w:tc>
        <w:tc>
          <w:tcPr>
            <w:tcW w:w="15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7557A7">
            <w:pPr>
              <w:pStyle w:val="5"/>
              <w:tabs>
                <w:tab w:val="left" w:pos="706"/>
                <w:tab w:val="clear" w:pos="432"/>
              </w:tabs>
              <w:spacing w:line="600" w:lineRule="exact"/>
              <w:rPr>
                <w:rFonts w:hint="eastAsia" w:ascii="宋体" w:hAnsi="宋体" w:eastAsia="宋体" w:cs="宋体"/>
                <w:i w:val="0"/>
                <w:iCs w:val="0"/>
                <w:color w:val="auto"/>
                <w:kern w:val="0"/>
                <w:sz w:val="24"/>
                <w:szCs w:val="24"/>
                <w:u w:val="none"/>
                <w:lang w:val="en-US"/>
              </w:rPr>
            </w:pPr>
            <w:r>
              <w:rPr>
                <w:rFonts w:hint="eastAsia" w:ascii="宋体" w:hAnsi="宋体" w:eastAsia="宋体" w:cs="宋体"/>
                <w:i w:val="0"/>
                <w:iCs w:val="0"/>
                <w:color w:val="auto"/>
                <w:kern w:val="0"/>
                <w:sz w:val="24"/>
                <w:szCs w:val="24"/>
                <w:u w:val="none"/>
                <w:lang w:val="en-US" w:eastAsia="zh-CN" w:bidi="ar"/>
              </w:rPr>
              <w:t>考核项目</w:t>
            </w:r>
          </w:p>
        </w:tc>
        <w:tc>
          <w:tcPr>
            <w:tcW w:w="21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A3EA92">
            <w:pPr>
              <w:pStyle w:val="5"/>
              <w:tabs>
                <w:tab w:val="left" w:pos="706"/>
                <w:tab w:val="clear" w:pos="432"/>
              </w:tabs>
              <w:spacing w:line="600" w:lineRule="exact"/>
              <w:rPr>
                <w:rFonts w:hint="eastAsia" w:ascii="宋体" w:hAnsi="宋体" w:eastAsia="宋体" w:cs="宋体"/>
                <w:i w:val="0"/>
                <w:iCs w:val="0"/>
                <w:color w:val="auto"/>
                <w:kern w:val="0"/>
                <w:sz w:val="24"/>
                <w:szCs w:val="24"/>
                <w:u w:val="none"/>
                <w:lang w:val="en-US"/>
              </w:rPr>
            </w:pPr>
            <w:r>
              <w:rPr>
                <w:rFonts w:hint="eastAsia" w:ascii="宋体" w:hAnsi="宋体" w:eastAsia="宋体" w:cs="宋体"/>
                <w:i w:val="0"/>
                <w:iCs w:val="0"/>
                <w:color w:val="auto"/>
                <w:kern w:val="0"/>
                <w:sz w:val="24"/>
                <w:szCs w:val="24"/>
                <w:u w:val="none"/>
                <w:lang w:val="en-US" w:eastAsia="zh-CN" w:bidi="ar"/>
              </w:rPr>
              <w:t>考核标准</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EE5ADD">
            <w:pPr>
              <w:pStyle w:val="5"/>
              <w:tabs>
                <w:tab w:val="left" w:pos="706"/>
                <w:tab w:val="clear" w:pos="432"/>
              </w:tabs>
              <w:spacing w:line="600" w:lineRule="exact"/>
              <w:rPr>
                <w:rFonts w:hint="eastAsia" w:ascii="宋体" w:hAnsi="宋体" w:eastAsia="宋体" w:cs="宋体"/>
                <w:i w:val="0"/>
                <w:iCs w:val="0"/>
                <w:color w:val="auto"/>
                <w:kern w:val="0"/>
                <w:sz w:val="24"/>
                <w:szCs w:val="24"/>
                <w:u w:val="none"/>
                <w:lang w:val="en-US"/>
              </w:rPr>
            </w:pPr>
            <w:r>
              <w:rPr>
                <w:rFonts w:hint="eastAsia" w:ascii="宋体" w:hAnsi="宋体" w:eastAsia="宋体" w:cs="宋体"/>
                <w:i w:val="0"/>
                <w:iCs w:val="0"/>
                <w:color w:val="auto"/>
                <w:kern w:val="0"/>
                <w:sz w:val="24"/>
                <w:szCs w:val="24"/>
                <w:u w:val="none"/>
                <w:lang w:val="en-US" w:eastAsia="zh-CN" w:bidi="ar"/>
              </w:rPr>
              <w:t>扣分</w:t>
            </w:r>
          </w:p>
        </w:tc>
      </w:tr>
      <w:tr w14:paraId="574F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4BCD2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C69AE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清淤效果</w:t>
            </w:r>
            <w:r>
              <w:rPr>
                <w:rFonts w:hint="eastAsia" w:ascii="宋体" w:hAnsi="宋体" w:cs="宋体"/>
                <w:i w:val="0"/>
                <w:iCs w:val="0"/>
                <w:color w:val="000000"/>
                <w:kern w:val="0"/>
                <w:sz w:val="24"/>
                <w:szCs w:val="24"/>
                <w:highlight w:val="none"/>
                <w:u w:val="none"/>
                <w:lang w:val="en-US" w:eastAsia="zh-CN" w:bidi="ar"/>
              </w:rPr>
              <w:t>（30分）</w:t>
            </w:r>
          </w:p>
        </w:tc>
        <w:tc>
          <w:tcPr>
            <w:tcW w:w="21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BD7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根据检测结果按比例扣分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0F959834">
            <w:pPr>
              <w:jc w:val="center"/>
              <w:rPr>
                <w:rFonts w:hint="eastAsia" w:ascii="宋体" w:hAnsi="宋体" w:eastAsia="宋体" w:cs="宋体"/>
                <w:i w:val="0"/>
                <w:iCs w:val="0"/>
                <w:color w:val="000000"/>
                <w:sz w:val="24"/>
                <w:szCs w:val="24"/>
                <w:highlight w:val="none"/>
                <w:u w:val="none"/>
              </w:rPr>
            </w:pPr>
          </w:p>
        </w:tc>
      </w:tr>
      <w:tr w14:paraId="430C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788EC1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97" w:type="pct"/>
            <w:tcBorders>
              <w:top w:val="nil"/>
              <w:left w:val="single" w:color="000000" w:sz="8" w:space="0"/>
              <w:bottom w:val="single" w:color="000000" w:sz="8" w:space="0"/>
              <w:right w:val="single" w:color="000000" w:sz="8" w:space="0"/>
            </w:tcBorders>
            <w:shd w:val="clear" w:color="auto" w:fill="auto"/>
            <w:vAlign w:val="center"/>
          </w:tcPr>
          <w:p w14:paraId="7562EF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作业规范及安全（</w:t>
            </w:r>
            <w:r>
              <w:rPr>
                <w:rFonts w:hint="eastAsia" w:ascii="宋体" w:hAnsi="宋体" w:cs="宋体"/>
                <w:i w:val="0"/>
                <w:iCs w:val="0"/>
                <w:color w:val="000000"/>
                <w:kern w:val="0"/>
                <w:sz w:val="24"/>
                <w:szCs w:val="24"/>
                <w:highlight w:val="none"/>
                <w:u w:val="none"/>
                <w:lang w:val="en-US" w:eastAsia="zh-CN" w:bidi="ar"/>
              </w:rPr>
              <w:t>25分</w:t>
            </w:r>
            <w:r>
              <w:rPr>
                <w:rFonts w:hint="eastAsia" w:ascii="宋体" w:hAnsi="宋体" w:eastAsia="宋体" w:cs="宋体"/>
                <w:i w:val="0"/>
                <w:iCs w:val="0"/>
                <w:color w:val="000000"/>
                <w:kern w:val="0"/>
                <w:sz w:val="24"/>
                <w:szCs w:val="24"/>
                <w:highlight w:val="none"/>
                <w:u w:val="none"/>
                <w:lang w:val="en-US" w:eastAsia="zh-CN" w:bidi="ar"/>
              </w:rPr>
              <w:t>）</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5FD69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违规一次扣5分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062F01D3">
            <w:pPr>
              <w:jc w:val="center"/>
              <w:rPr>
                <w:rFonts w:hint="eastAsia" w:ascii="宋体" w:hAnsi="宋体" w:eastAsia="宋体" w:cs="宋体"/>
                <w:i w:val="0"/>
                <w:iCs w:val="0"/>
                <w:color w:val="000000"/>
                <w:sz w:val="24"/>
                <w:szCs w:val="24"/>
                <w:highlight w:val="none"/>
                <w:u w:val="none"/>
              </w:rPr>
            </w:pPr>
          </w:p>
        </w:tc>
      </w:tr>
      <w:tr w14:paraId="0C34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1B555D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97" w:type="pct"/>
            <w:tcBorders>
              <w:top w:val="nil"/>
              <w:left w:val="single" w:color="000000" w:sz="8" w:space="0"/>
              <w:bottom w:val="single" w:color="000000" w:sz="8" w:space="0"/>
              <w:right w:val="single" w:color="000000" w:sz="8" w:space="0"/>
            </w:tcBorders>
            <w:shd w:val="clear" w:color="auto" w:fill="auto"/>
            <w:vAlign w:val="center"/>
          </w:tcPr>
          <w:p w14:paraId="257592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时效性（20</w:t>
            </w:r>
            <w:r>
              <w:rPr>
                <w:rFonts w:hint="eastAsia" w:ascii="宋体" w:hAnsi="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t>）</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2B417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违规一次扣3分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04D4C460">
            <w:pPr>
              <w:jc w:val="center"/>
              <w:rPr>
                <w:rFonts w:hint="eastAsia" w:ascii="宋体" w:hAnsi="宋体" w:eastAsia="宋体" w:cs="宋体"/>
                <w:i w:val="0"/>
                <w:iCs w:val="0"/>
                <w:color w:val="000000"/>
                <w:sz w:val="24"/>
                <w:szCs w:val="24"/>
                <w:highlight w:val="none"/>
                <w:u w:val="none"/>
              </w:rPr>
            </w:pPr>
          </w:p>
        </w:tc>
      </w:tr>
      <w:tr w14:paraId="40CF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536C93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97" w:type="pct"/>
            <w:tcBorders>
              <w:top w:val="nil"/>
              <w:left w:val="single" w:color="000000" w:sz="8" w:space="0"/>
              <w:bottom w:val="single" w:color="000000" w:sz="8" w:space="0"/>
              <w:right w:val="single" w:color="000000" w:sz="8" w:space="0"/>
            </w:tcBorders>
            <w:shd w:val="clear" w:color="auto" w:fill="auto"/>
            <w:vAlign w:val="center"/>
          </w:tcPr>
          <w:p w14:paraId="3F694E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环保与文档（15</w:t>
            </w:r>
            <w:r>
              <w:rPr>
                <w:rFonts w:hint="eastAsia" w:ascii="宋体" w:hAnsi="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t>）</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2880CE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不符合要求每项扣2分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6793DFA3">
            <w:pPr>
              <w:jc w:val="center"/>
              <w:rPr>
                <w:rFonts w:hint="eastAsia" w:ascii="宋体" w:hAnsi="宋体" w:eastAsia="宋体" w:cs="宋体"/>
                <w:i w:val="0"/>
                <w:iCs w:val="0"/>
                <w:color w:val="000000"/>
                <w:sz w:val="24"/>
                <w:szCs w:val="24"/>
                <w:highlight w:val="none"/>
                <w:u w:val="none"/>
              </w:rPr>
            </w:pPr>
          </w:p>
        </w:tc>
      </w:tr>
      <w:tr w14:paraId="390D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06F9A4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97" w:type="pct"/>
            <w:tcBorders>
              <w:top w:val="nil"/>
              <w:left w:val="single" w:color="000000" w:sz="8" w:space="0"/>
              <w:bottom w:val="single" w:color="000000" w:sz="8" w:space="0"/>
              <w:right w:val="single" w:color="000000" w:sz="8" w:space="0"/>
            </w:tcBorders>
            <w:shd w:val="clear" w:color="auto" w:fill="auto"/>
            <w:vAlign w:val="center"/>
          </w:tcPr>
          <w:p w14:paraId="3968C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成本控制（10</w:t>
            </w:r>
            <w:r>
              <w:rPr>
                <w:rFonts w:hint="eastAsia" w:ascii="宋体" w:hAnsi="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t>）</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23F4F5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超预算按比例扣分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360F1E46">
            <w:pPr>
              <w:jc w:val="center"/>
              <w:rPr>
                <w:rFonts w:hint="eastAsia" w:ascii="宋体" w:hAnsi="宋体" w:eastAsia="宋体" w:cs="宋体"/>
                <w:i w:val="0"/>
                <w:iCs w:val="0"/>
                <w:color w:val="000000"/>
                <w:sz w:val="24"/>
                <w:szCs w:val="24"/>
                <w:highlight w:val="none"/>
                <w:u w:val="none"/>
              </w:rPr>
            </w:pPr>
          </w:p>
        </w:tc>
      </w:tr>
      <w:tr w14:paraId="307B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972" w:type="pct"/>
            <w:gridSpan w:val="2"/>
            <w:tcBorders>
              <w:top w:val="nil"/>
              <w:left w:val="single" w:color="000000" w:sz="8" w:space="0"/>
              <w:bottom w:val="single" w:color="000000" w:sz="8" w:space="0"/>
              <w:right w:val="single" w:color="000000" w:sz="8" w:space="0"/>
            </w:tcBorders>
            <w:shd w:val="clear" w:color="auto" w:fill="auto"/>
            <w:vAlign w:val="center"/>
          </w:tcPr>
          <w:p w14:paraId="660D7B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2ED5A54C">
            <w:pPr>
              <w:jc w:val="center"/>
              <w:rPr>
                <w:rFonts w:hint="eastAsia" w:ascii="宋体" w:hAnsi="宋体" w:eastAsia="宋体" w:cs="宋体"/>
                <w:i w:val="0"/>
                <w:iCs w:val="0"/>
                <w:color w:val="000000"/>
                <w:sz w:val="24"/>
                <w:szCs w:val="24"/>
                <w:highlight w:val="none"/>
                <w:u w:val="none"/>
              </w:rPr>
            </w:pPr>
          </w:p>
        </w:tc>
        <w:tc>
          <w:tcPr>
            <w:tcW w:w="831" w:type="pct"/>
            <w:tcBorders>
              <w:top w:val="nil"/>
              <w:left w:val="single" w:color="000000" w:sz="8" w:space="0"/>
              <w:bottom w:val="single" w:color="000000" w:sz="8" w:space="0"/>
              <w:right w:val="single" w:color="000000" w:sz="8" w:space="0"/>
            </w:tcBorders>
            <w:shd w:val="clear" w:color="auto" w:fill="auto"/>
            <w:noWrap/>
            <w:vAlign w:val="center"/>
          </w:tcPr>
          <w:p w14:paraId="30C08B11">
            <w:pPr>
              <w:jc w:val="center"/>
              <w:rPr>
                <w:rFonts w:hint="eastAsia" w:ascii="宋体" w:hAnsi="宋体" w:eastAsia="宋体" w:cs="宋体"/>
                <w:i w:val="0"/>
                <w:iCs w:val="0"/>
                <w:color w:val="000000"/>
                <w:sz w:val="24"/>
                <w:szCs w:val="24"/>
                <w:highlight w:val="none"/>
                <w:u w:val="none"/>
              </w:rPr>
            </w:pPr>
          </w:p>
        </w:tc>
      </w:tr>
    </w:tbl>
    <w:p w14:paraId="27851534">
      <w:pPr>
        <w:pStyle w:val="2"/>
        <w:ind w:left="0" w:leftChars="0" w:firstLine="0" w:firstLineChars="0"/>
        <w:rPr>
          <w:rFonts w:hint="eastAsia" w:cs="宋体"/>
          <w:sz w:val="24"/>
          <w:highlight w:val="none"/>
          <w:lang w:val="en-US" w:eastAsia="zh-CN"/>
        </w:rPr>
      </w:pPr>
    </w:p>
    <w:p w14:paraId="504DE064">
      <w:pPr>
        <w:widowControl/>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、其他要求及说明</w:t>
      </w:r>
    </w:p>
    <w:p w14:paraId="2E770DE1">
      <w:pPr>
        <w:pStyle w:val="2"/>
        <w:spacing w:line="360" w:lineRule="auto"/>
        <w:ind w:left="0" w:leftChars="0" w:firstLine="482"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1、投标报价</w:t>
      </w:r>
      <w:r>
        <w:rPr>
          <w:rFonts w:hint="eastAsia" w:asciiTheme="minorEastAsia" w:hAnsiTheme="minorEastAsia" w:eastAsiaTheme="minorEastAsia" w:cstheme="minorEastAsia"/>
          <w:b/>
          <w:bCs/>
          <w:color w:val="auto"/>
          <w:sz w:val="24"/>
          <w:szCs w:val="24"/>
          <w:highlight w:val="none"/>
          <w:lang w:eastAsia="zh-CN"/>
        </w:rPr>
        <w:t>说明：</w:t>
      </w:r>
      <w:r>
        <w:rPr>
          <w:rFonts w:hint="eastAsia" w:asciiTheme="minorEastAsia" w:hAnsiTheme="minorEastAsia" w:eastAsiaTheme="minorEastAsia" w:cstheme="minorEastAsia"/>
          <w:b/>
          <w:color w:val="auto"/>
          <w:sz w:val="24"/>
          <w:szCs w:val="24"/>
          <w:highlight w:val="none"/>
          <w:lang w:val="en-US" w:eastAsia="zh-CN"/>
        </w:rPr>
        <w:t>1年的最高限价：1075万元。道路及停车场保洁、绿化养护、时花种植及养护、公厕保洁、</w:t>
      </w:r>
      <w:r>
        <w:rPr>
          <w:rFonts w:hint="eastAsia" w:ascii="宋体" w:hAnsi="宋体" w:cs="宋体"/>
          <w:b/>
          <w:bCs/>
          <w:color w:val="auto"/>
          <w:sz w:val="24"/>
          <w:szCs w:val="24"/>
          <w:lang w:val="en-US" w:eastAsia="zh-CN"/>
        </w:rPr>
        <w:t>仓</w:t>
      </w:r>
      <w:r>
        <w:rPr>
          <w:rFonts w:hint="eastAsia" w:cs="宋体"/>
          <w:b/>
          <w:bCs/>
          <w:color w:val="auto"/>
          <w:sz w:val="24"/>
          <w:szCs w:val="24"/>
          <w:lang w:val="en-US" w:eastAsia="zh-CN"/>
        </w:rPr>
        <w:t>兴</w:t>
      </w:r>
      <w:r>
        <w:rPr>
          <w:rFonts w:hint="eastAsia" w:ascii="宋体" w:hAnsi="宋体" w:cs="宋体"/>
          <w:b/>
          <w:bCs/>
          <w:color w:val="auto"/>
          <w:sz w:val="24"/>
          <w:szCs w:val="24"/>
          <w:lang w:val="en-US" w:eastAsia="zh-CN"/>
        </w:rPr>
        <w:t>街沿线零星住宅区域保洁</w:t>
      </w:r>
      <w:r>
        <w:rPr>
          <w:rFonts w:hint="eastAsia" w:asciiTheme="minorEastAsia" w:hAnsiTheme="minorEastAsia" w:eastAsiaTheme="minorEastAsia" w:cstheme="minorEastAsia"/>
          <w:b/>
          <w:color w:val="auto"/>
          <w:sz w:val="24"/>
          <w:szCs w:val="24"/>
          <w:highlight w:val="none"/>
          <w:lang w:val="en-US" w:eastAsia="zh-CN"/>
        </w:rPr>
        <w:t>、道路市政养护1年的最高限价为668万元（其中道路市政养护费1年的最高限价为157.4121万元）；序化治理服务费1年的最高限价为328万元；</w:t>
      </w:r>
      <w:r>
        <w:rPr>
          <w:rFonts w:hint="eastAsia" w:ascii="宋体" w:hAnsi="宋体" w:eastAsia="宋体" w:cs="宋体"/>
          <w:b/>
          <w:bCs/>
          <w:color w:val="auto"/>
          <w:sz w:val="24"/>
          <w:szCs w:val="24"/>
          <w:lang w:val="en-US" w:eastAsia="zh-CN"/>
        </w:rPr>
        <w:t>仓兴街钱神花园、太炎花苑小区以及沿线零星住宅区域全年市政管网清污</w:t>
      </w:r>
      <w:r>
        <w:rPr>
          <w:rFonts w:hint="eastAsia" w:asciiTheme="minorEastAsia" w:hAnsiTheme="minorEastAsia" w:eastAsiaTheme="minorEastAsia" w:cstheme="minorEastAsia"/>
          <w:b/>
          <w:color w:val="auto"/>
          <w:sz w:val="24"/>
          <w:szCs w:val="24"/>
          <w:highlight w:val="none"/>
          <w:lang w:val="en-US" w:eastAsia="zh-CN"/>
        </w:rPr>
        <w:t>服务费1年的最高限价为79万元。</w:t>
      </w:r>
    </w:p>
    <w:p w14:paraId="34B9DA1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1.1、绿化养护报价要求</w:t>
      </w:r>
    </w:p>
    <w:p w14:paraId="197D50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根据招标要求，招标绿</w:t>
      </w:r>
      <w:r>
        <w:rPr>
          <w:rFonts w:hint="eastAsia" w:ascii="宋体" w:hAnsi="宋体" w:eastAsia="宋体" w:cs="宋体"/>
          <w:color w:val="auto"/>
          <w:sz w:val="24"/>
          <w:szCs w:val="24"/>
          <w:highlight w:val="none"/>
          <w:lang w:val="en-US" w:eastAsia="zh-CN"/>
        </w:rPr>
        <w:t>化</w:t>
      </w:r>
      <w:r>
        <w:rPr>
          <w:rFonts w:hint="eastAsia" w:ascii="宋体" w:hAnsi="宋体" w:eastAsia="宋体" w:cs="宋体"/>
          <w:color w:val="auto"/>
          <w:sz w:val="24"/>
          <w:szCs w:val="24"/>
          <w:highlight w:val="none"/>
        </w:rPr>
        <w:t>养护款的70%属于日常养护费、30%作为招标绿地的苗木调整、土壤改良等绿地提升改造费用。</w:t>
      </w:r>
    </w:p>
    <w:p w14:paraId="152427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日常绿化养护费包括：绿化养护人工</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、绿化施肥费、绿化浇水费、绿化防病防虫用药费、绿化零星补植费、防台抗雪等应急物资储备费、其他费用；</w:t>
      </w:r>
    </w:p>
    <w:p w14:paraId="20186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w:t>
      </w:r>
      <w:r>
        <w:rPr>
          <w:rFonts w:hint="eastAsia" w:ascii="宋体" w:hAnsi="宋体" w:eastAsia="宋体" w:cs="宋体"/>
          <w:color w:val="auto"/>
          <w:sz w:val="24"/>
          <w:szCs w:val="24"/>
          <w:highlight w:val="none"/>
        </w:rPr>
        <w:t>绿化养护人员主要做好绿地养护中各类养护工作，其中包括服从采购人派遣任务、绿化施肥、浇水、植物修剪、绿地保洁、除草、设施维修、补种、喷洒农药、应急响应等养护工作；</w:t>
      </w:r>
    </w:p>
    <w:p w14:paraId="177DC1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1.1.4</w:t>
      </w:r>
      <w:r>
        <w:rPr>
          <w:rFonts w:hint="eastAsia" w:ascii="宋体" w:hAnsi="宋体" w:eastAsia="宋体" w:cs="宋体"/>
          <w:color w:val="auto"/>
          <w:sz w:val="24"/>
          <w:szCs w:val="24"/>
          <w:highlight w:val="none"/>
        </w:rPr>
        <w:t>绿化施肥费：每年施肥不少于2次，平日应及时追肥，确保绿化生长所必需的养分，用有机肥或复合肥0.5kg／㎡，该项费用最少不低于日常绿化养护费的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14:paraId="15B762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1.1.5</w:t>
      </w:r>
      <w:r>
        <w:rPr>
          <w:rFonts w:hint="eastAsia" w:ascii="宋体" w:hAnsi="宋体" w:eastAsia="宋体" w:cs="宋体"/>
          <w:color w:val="auto"/>
          <w:sz w:val="24"/>
          <w:szCs w:val="24"/>
          <w:highlight w:val="none"/>
        </w:rPr>
        <w:t>绿化浇水费：养护企业需及时发现、及时补充绿化所需水份。天气炎热时，养护企业应抗旱保绿工作，及时给喜阴植物搭建遮阴网，确保绿化不因缺水死亡，并及时交纳绿化水费，该项费用最少不低于日常绿化养护费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14:paraId="6AD146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绿化防病防虫用药费：要求综合防治，以防为主。病虫害危害应控制在以不影响观赏效果的范围之内，其中食叶性害虫危害的叶片，每株不超过</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%；刺吸性害虫危害的叶片，每株不超过10%；无蛀干性害虫的活虫、活卵，该项费用最少不低于日常绿化养护费的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14:paraId="26AC0B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1.1.7</w:t>
      </w:r>
      <w:r>
        <w:rPr>
          <w:rFonts w:hint="eastAsia" w:ascii="宋体" w:hAnsi="宋体" w:eastAsia="宋体" w:cs="宋体"/>
          <w:color w:val="auto"/>
          <w:sz w:val="24"/>
          <w:szCs w:val="24"/>
          <w:highlight w:val="none"/>
        </w:rPr>
        <w:t>绿化零星补植费：因企业养护不力引起乔木死枯株，或灌木（草坪）枯死株面积在10㎡/处以下，养护企业应无条件进行补植相同品种的苗木，该项费用最少不低于日常绿化养护费的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14:paraId="11CA31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1.1.8</w:t>
      </w:r>
      <w:r>
        <w:rPr>
          <w:rFonts w:hint="eastAsia" w:ascii="宋体" w:hAnsi="宋体" w:eastAsia="宋体" w:cs="宋体"/>
          <w:color w:val="auto"/>
          <w:sz w:val="24"/>
          <w:szCs w:val="24"/>
          <w:highlight w:val="none"/>
        </w:rP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14:paraId="6BA947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1.1.9</w:t>
      </w:r>
      <w:r>
        <w:rPr>
          <w:rFonts w:hint="eastAsia" w:ascii="宋体" w:hAnsi="宋体" w:eastAsia="宋体" w:cs="宋体"/>
          <w:color w:val="auto"/>
          <w:sz w:val="24"/>
          <w:szCs w:val="24"/>
          <w:highlight w:val="none"/>
        </w:rPr>
        <w:t>其他费用：主要是项目实施过程中须由</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支付的其他所有费用，如养护期限内采购人直接委托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养护管理的本项目3%以下工程量的公共绿地（含新接收公共绿地）费用、管理费用及税金、合同实施过程中不可预见的费用等。</w:t>
      </w:r>
    </w:p>
    <w:p w14:paraId="0106F24F">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1.2、绿化更新改造费：</w:t>
      </w:r>
    </w:p>
    <w:p w14:paraId="63FCE6A8">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①每一期改造竣工验收后，由</w:t>
      </w:r>
      <w:r>
        <w:rPr>
          <w:rFonts w:hint="eastAsia" w:ascii="宋体" w:hAnsi="宋体" w:eastAsia="宋体" w:cs="宋体"/>
          <w:color w:val="auto"/>
          <w:spacing w:val="4"/>
          <w:kern w:val="0"/>
          <w:sz w:val="24"/>
          <w:szCs w:val="24"/>
          <w:highlight w:val="none"/>
          <w:lang w:val="en-US" w:eastAsia="zh-CN"/>
        </w:rPr>
        <w:t>采购人</w:t>
      </w:r>
      <w:r>
        <w:rPr>
          <w:rFonts w:hint="eastAsia" w:ascii="宋体" w:hAnsi="宋体" w:eastAsia="宋体" w:cs="宋体"/>
          <w:color w:val="auto"/>
          <w:spacing w:val="4"/>
          <w:kern w:val="0"/>
          <w:sz w:val="24"/>
          <w:szCs w:val="24"/>
          <w:highlight w:val="none"/>
        </w:rPr>
        <w:t>送审计部门进行审计，并按最终审计价支付。若更新改造费尾款低于</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万以内，</w:t>
      </w:r>
      <w:r>
        <w:rPr>
          <w:rFonts w:hint="eastAsia" w:ascii="宋体" w:hAnsi="宋体" w:eastAsia="宋体" w:cs="宋体"/>
          <w:color w:val="auto"/>
          <w:spacing w:val="4"/>
          <w:kern w:val="0"/>
          <w:sz w:val="24"/>
          <w:szCs w:val="24"/>
          <w:highlight w:val="none"/>
          <w:lang w:val="en-US" w:eastAsia="zh-CN"/>
        </w:rPr>
        <w:t>采购人</w:t>
      </w:r>
      <w:r>
        <w:rPr>
          <w:rFonts w:hint="eastAsia" w:ascii="宋体" w:hAnsi="宋体" w:eastAsia="宋体" w:cs="宋体"/>
          <w:color w:val="auto"/>
          <w:spacing w:val="4"/>
          <w:kern w:val="0"/>
          <w:sz w:val="24"/>
          <w:szCs w:val="24"/>
          <w:highlight w:val="none"/>
        </w:rPr>
        <w:t>可以通过双方签订零星改造协议、并经</w:t>
      </w:r>
      <w:r>
        <w:rPr>
          <w:rFonts w:hint="eastAsia" w:ascii="宋体" w:hAnsi="宋体" w:eastAsia="宋体" w:cs="宋体"/>
          <w:color w:val="auto"/>
          <w:spacing w:val="4"/>
          <w:kern w:val="0"/>
          <w:sz w:val="24"/>
          <w:szCs w:val="24"/>
          <w:highlight w:val="none"/>
          <w:lang w:val="en-US" w:eastAsia="zh-CN"/>
        </w:rPr>
        <w:t>采购人</w:t>
      </w:r>
      <w:r>
        <w:rPr>
          <w:rFonts w:hint="eastAsia" w:ascii="宋体" w:hAnsi="宋体" w:eastAsia="宋体" w:cs="宋体"/>
          <w:color w:val="auto"/>
          <w:spacing w:val="4"/>
          <w:kern w:val="0"/>
          <w:sz w:val="24"/>
          <w:szCs w:val="24"/>
          <w:highlight w:val="none"/>
        </w:rPr>
        <w:t>验收合格后，按照决算价下浮</w:t>
      </w:r>
      <w:r>
        <w:rPr>
          <w:rFonts w:hint="eastAsia" w:ascii="宋体" w:hAnsi="宋体" w:eastAsia="宋体" w:cs="宋体"/>
          <w:color w:val="auto"/>
          <w:spacing w:val="4"/>
          <w:kern w:val="0"/>
          <w:sz w:val="24"/>
          <w:szCs w:val="24"/>
          <w:highlight w:val="none"/>
          <w:lang w:val="en-US" w:eastAsia="zh-CN"/>
        </w:rPr>
        <w:t>16</w:t>
      </w:r>
      <w:r>
        <w:rPr>
          <w:rFonts w:hint="eastAsia" w:ascii="宋体" w:hAnsi="宋体" w:eastAsia="宋体" w:cs="宋体"/>
          <w:color w:val="auto"/>
          <w:spacing w:val="4"/>
          <w:kern w:val="0"/>
          <w:sz w:val="24"/>
          <w:szCs w:val="24"/>
          <w:highlight w:val="none"/>
        </w:rPr>
        <w:t>%后进行支付。</w:t>
      </w:r>
    </w:p>
    <w:p w14:paraId="099D0FA0">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②若改造工程中涉及到基本审计费，经</w:t>
      </w:r>
      <w:r>
        <w:rPr>
          <w:rFonts w:hint="eastAsia" w:ascii="宋体" w:hAnsi="宋体" w:eastAsia="宋体" w:cs="宋体"/>
          <w:color w:val="auto"/>
          <w:spacing w:val="4"/>
          <w:kern w:val="0"/>
          <w:sz w:val="24"/>
          <w:szCs w:val="24"/>
          <w:highlight w:val="none"/>
          <w:lang w:val="en-US" w:eastAsia="zh-CN"/>
        </w:rPr>
        <w:t>采购人</w:t>
      </w:r>
      <w:r>
        <w:rPr>
          <w:rFonts w:hint="eastAsia" w:ascii="宋体" w:hAnsi="宋体" w:eastAsia="宋体" w:cs="宋体"/>
          <w:color w:val="auto"/>
          <w:spacing w:val="4"/>
          <w:kern w:val="0"/>
          <w:sz w:val="24"/>
          <w:szCs w:val="24"/>
          <w:highlight w:val="none"/>
        </w:rPr>
        <w:t>审核同意后支付。</w:t>
      </w:r>
    </w:p>
    <w:p w14:paraId="1B86EF63">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③超出综合养护中的更新改造费以及超出部分审计产生的审计费，由</w:t>
      </w:r>
      <w:r>
        <w:rPr>
          <w:rFonts w:hint="eastAsia" w:ascii="宋体" w:hAnsi="宋体" w:eastAsia="宋体" w:cs="宋体"/>
          <w:color w:val="auto"/>
          <w:spacing w:val="4"/>
          <w:kern w:val="0"/>
          <w:sz w:val="24"/>
          <w:szCs w:val="24"/>
          <w:highlight w:val="none"/>
          <w:lang w:val="en-US" w:eastAsia="zh-CN"/>
        </w:rPr>
        <w:t>中标供应商</w:t>
      </w:r>
      <w:r>
        <w:rPr>
          <w:rFonts w:hint="eastAsia" w:ascii="宋体" w:hAnsi="宋体" w:eastAsia="宋体" w:cs="宋体"/>
          <w:color w:val="auto"/>
          <w:spacing w:val="4"/>
          <w:kern w:val="0"/>
          <w:sz w:val="24"/>
          <w:szCs w:val="24"/>
          <w:highlight w:val="none"/>
        </w:rPr>
        <w:t>承担。</w:t>
      </w:r>
    </w:p>
    <w:p w14:paraId="6EFCD184">
      <w:pPr>
        <w:snapToGrid w:val="0"/>
        <w:spacing w:before="0" w:beforeAutospacing="0" w:after="0" w:afterAutospacing="0" w:line="360" w:lineRule="auto"/>
        <w:ind w:firstLine="486" w:firstLineChars="196"/>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4"/>
          <w:kern w:val="0"/>
          <w:sz w:val="24"/>
          <w:szCs w:val="24"/>
          <w:highlight w:val="none"/>
        </w:rPr>
        <w:t>④根据招标范围，养护期内如有绿地改造，苗木迁移、补种等零星绿化项目，</w:t>
      </w:r>
      <w:r>
        <w:rPr>
          <w:rFonts w:hint="eastAsia" w:ascii="宋体" w:hAnsi="宋体" w:eastAsia="宋体" w:cs="宋体"/>
          <w:color w:val="auto"/>
          <w:spacing w:val="4"/>
          <w:kern w:val="0"/>
          <w:sz w:val="24"/>
          <w:szCs w:val="24"/>
          <w:highlight w:val="none"/>
          <w:lang w:eastAsia="zh-CN"/>
        </w:rPr>
        <w:t>采购人</w:t>
      </w:r>
      <w:r>
        <w:rPr>
          <w:rFonts w:hint="eastAsia" w:ascii="宋体" w:hAnsi="宋体" w:eastAsia="宋体" w:cs="宋体"/>
          <w:color w:val="auto"/>
          <w:spacing w:val="4"/>
          <w:kern w:val="0"/>
          <w:sz w:val="24"/>
          <w:szCs w:val="24"/>
          <w:highlight w:val="none"/>
        </w:rPr>
        <w:t>委托</w:t>
      </w:r>
      <w:r>
        <w:rPr>
          <w:rFonts w:hint="eastAsia" w:ascii="宋体" w:hAnsi="宋体" w:eastAsia="宋体" w:cs="宋体"/>
          <w:color w:val="auto"/>
          <w:spacing w:val="4"/>
          <w:kern w:val="0"/>
          <w:sz w:val="24"/>
          <w:szCs w:val="24"/>
          <w:highlight w:val="none"/>
          <w:lang w:eastAsia="zh-CN"/>
        </w:rPr>
        <w:t>中标供应商</w:t>
      </w:r>
      <w:r>
        <w:rPr>
          <w:rFonts w:hint="eastAsia" w:ascii="宋体" w:hAnsi="宋体" w:eastAsia="宋体" w:cs="宋体"/>
          <w:color w:val="auto"/>
          <w:spacing w:val="4"/>
          <w:kern w:val="0"/>
          <w:sz w:val="24"/>
          <w:szCs w:val="24"/>
          <w:highlight w:val="none"/>
        </w:rPr>
        <w:t>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w:t>
      </w:r>
      <w:r>
        <w:rPr>
          <w:rFonts w:hint="eastAsia" w:ascii="宋体" w:hAnsi="宋体" w:eastAsia="宋体" w:cs="宋体"/>
          <w:color w:val="auto"/>
          <w:spacing w:val="4"/>
          <w:kern w:val="0"/>
          <w:sz w:val="24"/>
          <w:szCs w:val="24"/>
          <w:highlight w:val="none"/>
          <w:lang w:val="en-US" w:eastAsia="zh-CN"/>
        </w:rPr>
        <w:t>16</w:t>
      </w:r>
      <w:r>
        <w:rPr>
          <w:rFonts w:hint="eastAsia" w:ascii="宋体" w:hAnsi="宋体" w:eastAsia="宋体" w:cs="宋体"/>
          <w:color w:val="auto"/>
          <w:spacing w:val="4"/>
          <w:kern w:val="0"/>
          <w:sz w:val="24"/>
          <w:szCs w:val="24"/>
          <w:highlight w:val="none"/>
        </w:rPr>
        <w:t>％。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14:paraId="6B887A4B">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时花更换费：</w:t>
      </w:r>
      <w:r>
        <w:rPr>
          <w:rFonts w:hint="eastAsia" w:ascii="宋体" w:hAnsi="宋体" w:eastAsia="宋体" w:cs="宋体"/>
          <w:color w:val="auto"/>
          <w:sz w:val="24"/>
          <w:szCs w:val="24"/>
          <w:highlight w:val="none"/>
          <w:lang w:val="en-US" w:eastAsia="zh-CN"/>
        </w:rPr>
        <w:t>时花更换</w:t>
      </w:r>
      <w:r>
        <w:rPr>
          <w:rFonts w:hint="eastAsia" w:ascii="宋体" w:hAnsi="宋体" w:eastAsia="宋体" w:cs="宋体"/>
          <w:color w:val="auto"/>
          <w:sz w:val="24"/>
          <w:szCs w:val="24"/>
          <w:highlight w:val="none"/>
        </w:rPr>
        <w:t>主要用于一年不少于</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次的时花更换，根据招标方要求，在养护期限内，由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提出时花更换方案，经招标方论证同意后方可实施，时花更换按时花投标报价（除时花种植面积增加或减少外，投标单</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不变，工程量按实计取）。</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在合同期限内有意不实施且阻挠工程改造的，情节严重的，招标方有权中止合同。</w:t>
      </w:r>
    </w:p>
    <w:p w14:paraId="1717986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1.4、市政养护费：</w:t>
      </w:r>
    </w:p>
    <w:p w14:paraId="5072F0AD">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1.4.1</w:t>
      </w:r>
      <w:r>
        <w:rPr>
          <w:rFonts w:hint="eastAsia" w:ascii="宋体" w:hAnsi="宋体" w:eastAsia="宋体" w:cs="宋体"/>
          <w:snapToGrid w:val="0"/>
          <w:color w:val="auto"/>
          <w:kern w:val="0"/>
          <w:sz w:val="24"/>
          <w:szCs w:val="24"/>
          <w:highlight w:val="none"/>
        </w:rPr>
        <w:t>结算方式：工程量按实计算，本工程基价套用《浙江省市政设施养护维修定额》（2018版）相应定额子目、如《浙江省市政设施养护维修定额》（2018版）无相应定额子目的可套用《浙江省市政工程预算定额（2018版）》相应定额子目，相应取费按《浙江省建设工程计价规则》2018版，</w:t>
      </w:r>
      <w:r>
        <w:rPr>
          <w:rFonts w:hint="eastAsia" w:ascii="宋体" w:hAnsi="宋体" w:eastAsia="宋体" w:cs="宋体"/>
          <w:snapToGrid w:val="0"/>
          <w:color w:val="auto"/>
          <w:kern w:val="0"/>
          <w:sz w:val="24"/>
          <w:szCs w:val="24"/>
          <w:highlight w:val="none"/>
          <w:lang w:val="en-US" w:eastAsia="zh-CN"/>
        </w:rPr>
        <w:t>套用</w:t>
      </w:r>
      <w:r>
        <w:rPr>
          <w:rFonts w:hint="eastAsia" w:ascii="宋体" w:hAnsi="宋体" w:eastAsia="宋体" w:cs="宋体"/>
          <w:snapToGrid w:val="0"/>
          <w:color w:val="auto"/>
          <w:kern w:val="0"/>
          <w:sz w:val="24"/>
          <w:szCs w:val="24"/>
          <w:highlight w:val="none"/>
        </w:rPr>
        <w:t>定额</w:t>
      </w:r>
      <w:r>
        <w:rPr>
          <w:rFonts w:hint="eastAsia" w:ascii="宋体" w:hAnsi="宋体" w:eastAsia="宋体" w:cs="宋体"/>
          <w:snapToGrid w:val="0"/>
          <w:color w:val="auto"/>
          <w:kern w:val="0"/>
          <w:sz w:val="24"/>
          <w:szCs w:val="24"/>
          <w:highlight w:val="none"/>
          <w:lang w:val="en-US" w:eastAsia="zh-CN"/>
        </w:rPr>
        <w:t>子目的</w:t>
      </w:r>
      <w:r>
        <w:rPr>
          <w:rFonts w:hint="eastAsia" w:ascii="宋体" w:hAnsi="宋体" w:eastAsia="宋体" w:cs="宋体"/>
          <w:snapToGrid w:val="0"/>
          <w:color w:val="auto"/>
          <w:kern w:val="0"/>
          <w:sz w:val="24"/>
          <w:szCs w:val="24"/>
          <w:highlight w:val="none"/>
        </w:rPr>
        <w:t>结算价=基价*投标报价（%）*实际工程量。2、无定额价的：结算按浙江省造价信息当年当月信息价下浮1</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%结算。3、没有造价信息的，按市场价下浮20%结算。</w:t>
      </w:r>
    </w:p>
    <w:p w14:paraId="532B30CD">
      <w:pPr>
        <w:snapToGrid w:val="0"/>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1.5、公厕保洁</w:t>
      </w:r>
      <w:r>
        <w:rPr>
          <w:rFonts w:hint="eastAsia" w:ascii="宋体" w:hAnsi="宋体" w:eastAsia="宋体" w:cs="宋体"/>
          <w:b w:val="0"/>
          <w:bCs/>
          <w:color w:val="auto"/>
          <w:sz w:val="24"/>
          <w:szCs w:val="24"/>
          <w:highlight w:val="none"/>
          <w:lang w:val="en-US" w:eastAsia="zh-CN"/>
        </w:rPr>
        <w:t>费</w:t>
      </w:r>
      <w:r>
        <w:rPr>
          <w:rFonts w:hint="eastAsia" w:ascii="宋体" w:hAnsi="宋体" w:eastAsia="宋体" w:cs="宋体"/>
          <w:b w:val="0"/>
          <w:bCs w:val="0"/>
          <w:snapToGrid w:val="0"/>
          <w:color w:val="auto"/>
          <w:kern w:val="0"/>
          <w:sz w:val="24"/>
          <w:szCs w:val="24"/>
          <w:highlight w:val="none"/>
          <w:lang w:val="en-US" w:eastAsia="zh-CN"/>
        </w:rPr>
        <w:t>、</w:t>
      </w:r>
      <w:r>
        <w:rPr>
          <w:rFonts w:hint="eastAsia" w:ascii="宋体" w:hAnsi="宋体" w:cs="宋体"/>
          <w:b w:val="0"/>
          <w:bCs w:val="0"/>
          <w:color w:val="auto"/>
          <w:sz w:val="24"/>
          <w:szCs w:val="24"/>
          <w:lang w:val="en-US" w:eastAsia="zh-CN"/>
        </w:rPr>
        <w:t>仓兴街沿线零星住宅区域保洁</w:t>
      </w:r>
      <w:r>
        <w:rPr>
          <w:rFonts w:hint="eastAsia" w:ascii="宋体" w:hAnsi="宋体" w:eastAsia="宋体" w:cs="宋体"/>
          <w:b w:val="0"/>
          <w:bCs w:val="0"/>
          <w:color w:val="auto"/>
          <w:sz w:val="24"/>
          <w:szCs w:val="24"/>
          <w:highlight w:val="none"/>
          <w:lang w:val="en-US" w:eastAsia="zh-CN"/>
        </w:rPr>
        <w:t>费</w:t>
      </w:r>
      <w:r>
        <w:rPr>
          <w:rFonts w:hint="eastAsia" w:ascii="宋体" w:hAnsi="宋体" w:eastAsia="宋体" w:cs="宋体"/>
          <w:b w:val="0"/>
          <w:bCs w:val="0"/>
          <w:snapToGrid w:val="0"/>
          <w:color w:val="auto"/>
          <w:kern w:val="0"/>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序化治理服务费：</w:t>
      </w:r>
    </w:p>
    <w:p w14:paraId="2A6241A5">
      <w:pPr>
        <w:snapToGrid w:val="0"/>
        <w:spacing w:line="360" w:lineRule="auto"/>
        <w:ind w:firstLine="480" w:firstLineChars="20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1.5.1结算方式：根据招标文件要求配置人员及相应设施设备等，根据投标报价按季度结算。</w:t>
      </w:r>
    </w:p>
    <w:p w14:paraId="13B98D52">
      <w:pPr>
        <w:snapToGrid w:val="0"/>
        <w:spacing w:line="360" w:lineRule="auto"/>
        <w:ind w:firstLine="480" w:firstLineChars="20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1.6、</w:t>
      </w:r>
      <w:r>
        <w:rPr>
          <w:rFonts w:hint="eastAsia" w:ascii="宋体" w:hAnsi="宋体" w:cs="宋体"/>
          <w:b w:val="0"/>
          <w:bCs w:val="0"/>
          <w:snapToGrid w:val="0"/>
          <w:color w:val="auto"/>
          <w:kern w:val="0"/>
          <w:sz w:val="24"/>
          <w:szCs w:val="24"/>
          <w:highlight w:val="none"/>
          <w:lang w:val="en-US" w:eastAsia="zh-CN"/>
        </w:rPr>
        <w:t>仓兴街钱神花园、太炎花苑小区以及沿线零星住宅区域全年市政管网清污</w:t>
      </w:r>
      <w:r>
        <w:rPr>
          <w:rFonts w:hint="eastAsia" w:ascii="宋体" w:hAnsi="宋体" w:eastAsia="宋体" w:cs="宋体"/>
          <w:b w:val="0"/>
          <w:bCs w:val="0"/>
          <w:snapToGrid w:val="0"/>
          <w:color w:val="auto"/>
          <w:kern w:val="0"/>
          <w:sz w:val="24"/>
          <w:szCs w:val="24"/>
          <w:highlight w:val="none"/>
          <w:lang w:val="en-US" w:eastAsia="zh-CN"/>
        </w:rPr>
        <w:t>服务费</w:t>
      </w:r>
      <w:r>
        <w:rPr>
          <w:rFonts w:hint="eastAsia" w:ascii="宋体" w:hAnsi="宋体" w:cs="宋体"/>
          <w:b w:val="0"/>
          <w:bCs w:val="0"/>
          <w:snapToGrid w:val="0"/>
          <w:color w:val="auto"/>
          <w:kern w:val="0"/>
          <w:sz w:val="24"/>
          <w:szCs w:val="24"/>
          <w:highlight w:val="none"/>
          <w:lang w:val="en-US" w:eastAsia="zh-CN"/>
        </w:rPr>
        <w:t>。</w:t>
      </w:r>
    </w:p>
    <w:p w14:paraId="577FB0A2">
      <w:pPr>
        <w:snapToGrid w:val="0"/>
        <w:spacing w:line="360" w:lineRule="auto"/>
        <w:ind w:firstLine="480" w:firstLineChars="20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1.6.1结算方式：根据招标文件采购需求中仓兴街钱神花园、太炎花苑小区以及沿线零星住宅区域全年市政管网清污清单要求的养护内容、养护频次、数量按季度结算。</w:t>
      </w:r>
    </w:p>
    <w:p w14:paraId="0F8FEB44">
      <w:pPr>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.7付款方式：</w:t>
      </w:r>
    </w:p>
    <w:p w14:paraId="5E053A66">
      <w:pPr>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（1）绿化养护、道路保洁、时花种植及养护、公厕保洁付款方式：采用先作业后拨付的方式，根据街道对中标供应商每季度的考核结果按照处罚措施的约定于每季度</w:t>
      </w:r>
      <w:r>
        <w:rPr>
          <w:rFonts w:hint="eastAsia" w:ascii="宋体" w:hAnsi="宋体" w:cs="宋体"/>
          <w:snapToGrid w:val="0"/>
          <w:color w:val="auto"/>
          <w:kern w:val="0"/>
          <w:sz w:val="24"/>
          <w:szCs w:val="24"/>
          <w:highlight w:val="none"/>
          <w:lang w:val="en-US" w:eastAsia="zh-CN"/>
        </w:rPr>
        <w:t>考核结束后的次月末</w:t>
      </w:r>
      <w:r>
        <w:rPr>
          <w:rFonts w:hint="eastAsia" w:ascii="宋体" w:hAnsi="宋体" w:eastAsia="宋体" w:cs="宋体"/>
          <w:snapToGrid w:val="0"/>
          <w:color w:val="auto"/>
          <w:kern w:val="0"/>
          <w:sz w:val="24"/>
          <w:szCs w:val="24"/>
          <w:highlight w:val="none"/>
          <w:lang w:val="en-US" w:eastAsia="zh-CN"/>
        </w:rPr>
        <w:t>支付该季度道路保洁、绿化养护、时花种植及养护、公厕保洁款项；其中绿化养护款的70%属于日常养护费、30%作为招标绿地的苗木调整、土壤改良等绿地提升改造费用；采购人付款前，中标供应商应提供正式发票交采购人审核。因采购人支付上述款项须报财政审批，中标供应商同意在采购人通过财政审批且取得相应款项后支付，具体审批付款流程按仓前街道办事处规定执行。</w:t>
      </w:r>
    </w:p>
    <w:p w14:paraId="73E5C6EF">
      <w:pPr>
        <w:bidi w:val="0"/>
        <w:spacing w:line="360" w:lineRule="auto"/>
        <w:ind w:left="0" w:leftChars="0" w:firstLine="420" w:firstLineChars="175"/>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市政养护付款方式：根据每季度实际完成维护管养量，经验收合格后，中标供应商凭采购人签字认可的工作联系单原件和维护管养联系单、竣工验收证书等相关结算凭证准确按时上报采购人。经审计审定后，按照招投标文件中标报价下浮后并结合中标供应商每季度考核结果按照处罚措施的约定支付市政养护款项。</w:t>
      </w:r>
    </w:p>
    <w:p w14:paraId="5FEE09B5">
      <w:pPr>
        <w:bidi w:val="0"/>
        <w:spacing w:line="360" w:lineRule="auto"/>
        <w:ind w:left="0" w:leftChars="0" w:firstLine="420" w:firstLineChars="175"/>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b w:val="0"/>
          <w:bCs w:val="0"/>
          <w:snapToGrid w:val="0"/>
          <w:color w:val="auto"/>
          <w:kern w:val="0"/>
          <w:sz w:val="24"/>
          <w:szCs w:val="24"/>
          <w:highlight w:val="none"/>
          <w:lang w:val="en-US" w:eastAsia="zh-CN"/>
        </w:rPr>
        <w:t>公厕保洁、仓兴街沿线零星住宅区域保洁、</w:t>
      </w:r>
      <w:r>
        <w:rPr>
          <w:rFonts w:hint="eastAsia" w:ascii="宋体" w:hAnsi="宋体" w:eastAsia="宋体" w:cs="宋体"/>
          <w:b w:val="0"/>
          <w:bCs/>
          <w:color w:val="auto"/>
          <w:sz w:val="24"/>
          <w:szCs w:val="24"/>
          <w:highlight w:val="none"/>
          <w:lang w:val="en-US" w:eastAsia="zh-CN"/>
        </w:rPr>
        <w:t>序化治理服务、</w:t>
      </w:r>
      <w:r>
        <w:rPr>
          <w:rFonts w:hint="eastAsia" w:ascii="宋体" w:hAnsi="宋体" w:cs="宋体"/>
          <w:b w:val="0"/>
          <w:bCs w:val="0"/>
          <w:snapToGrid w:val="0"/>
          <w:color w:val="auto"/>
          <w:kern w:val="0"/>
          <w:sz w:val="24"/>
          <w:szCs w:val="24"/>
          <w:highlight w:val="none"/>
          <w:lang w:val="en-US" w:eastAsia="zh-CN"/>
        </w:rPr>
        <w:t>仓兴街钱神花园、太炎花苑小区以及沿线零星住宅区域全年市政管网清污</w:t>
      </w:r>
      <w:r>
        <w:rPr>
          <w:rFonts w:hint="eastAsia" w:ascii="宋体" w:hAnsi="宋体" w:eastAsia="宋体" w:cs="宋体"/>
          <w:b w:val="0"/>
          <w:bCs w:val="0"/>
          <w:snapToGrid w:val="0"/>
          <w:color w:val="auto"/>
          <w:kern w:val="0"/>
          <w:sz w:val="24"/>
          <w:szCs w:val="24"/>
          <w:highlight w:val="none"/>
          <w:lang w:val="en-US" w:eastAsia="zh-CN"/>
        </w:rPr>
        <w:t>服务付款方式：采用先作业后拨付的方式，根据街道对中标供应商每季度的考核结果按照处罚措施的约定于每季度</w:t>
      </w:r>
      <w:r>
        <w:rPr>
          <w:rFonts w:hint="eastAsia" w:ascii="宋体" w:hAnsi="宋体" w:cs="宋体"/>
          <w:snapToGrid w:val="0"/>
          <w:color w:val="auto"/>
          <w:kern w:val="0"/>
          <w:sz w:val="24"/>
          <w:szCs w:val="24"/>
          <w:highlight w:val="none"/>
          <w:lang w:val="en-US" w:eastAsia="zh-CN"/>
        </w:rPr>
        <w:t>考核结束后的次月末</w:t>
      </w:r>
      <w:r>
        <w:rPr>
          <w:rFonts w:hint="eastAsia" w:ascii="宋体" w:hAnsi="宋体" w:eastAsia="宋体" w:cs="宋体"/>
          <w:b w:val="0"/>
          <w:bCs w:val="0"/>
          <w:snapToGrid w:val="0"/>
          <w:color w:val="auto"/>
          <w:kern w:val="0"/>
          <w:sz w:val="24"/>
          <w:szCs w:val="24"/>
          <w:highlight w:val="none"/>
          <w:lang w:val="en-US" w:eastAsia="zh-CN"/>
        </w:rPr>
        <w:t>支付该季度公厕保洁、</w:t>
      </w:r>
      <w:r>
        <w:rPr>
          <w:rFonts w:hint="eastAsia" w:ascii="宋体" w:hAnsi="宋体" w:cs="宋体"/>
          <w:b w:val="0"/>
          <w:bCs w:val="0"/>
          <w:snapToGrid w:val="0"/>
          <w:color w:val="auto"/>
          <w:kern w:val="0"/>
          <w:sz w:val="24"/>
          <w:szCs w:val="24"/>
          <w:highlight w:val="none"/>
          <w:lang w:val="en-US" w:eastAsia="zh-CN"/>
        </w:rPr>
        <w:t>仓兴街沿线零星住宅区域保洁</w:t>
      </w:r>
      <w:r>
        <w:rPr>
          <w:rFonts w:hint="eastAsia" w:ascii="宋体" w:hAnsi="宋体" w:eastAsia="宋体" w:cs="宋体"/>
          <w:b w:val="0"/>
          <w:bCs w:val="0"/>
          <w:snapToGrid w:val="0"/>
          <w:color w:val="auto"/>
          <w:kern w:val="0"/>
          <w:sz w:val="24"/>
          <w:szCs w:val="24"/>
          <w:highlight w:val="none"/>
          <w:lang w:val="en-US" w:eastAsia="zh-CN"/>
        </w:rPr>
        <w:t>、序化治理服务、</w:t>
      </w:r>
      <w:r>
        <w:rPr>
          <w:rFonts w:hint="eastAsia" w:ascii="宋体" w:hAnsi="宋体" w:cs="宋体"/>
          <w:b w:val="0"/>
          <w:bCs w:val="0"/>
          <w:snapToGrid w:val="0"/>
          <w:color w:val="auto"/>
          <w:kern w:val="0"/>
          <w:sz w:val="24"/>
          <w:szCs w:val="24"/>
          <w:highlight w:val="none"/>
          <w:lang w:val="en-US" w:eastAsia="zh-CN"/>
        </w:rPr>
        <w:t>仓兴街钱神花园、太炎花苑小区以及沿线零星住宅区域全年市政管网清污</w:t>
      </w:r>
      <w:r>
        <w:rPr>
          <w:rFonts w:hint="eastAsia" w:ascii="宋体" w:hAnsi="宋体" w:eastAsia="宋体" w:cs="宋体"/>
          <w:b w:val="0"/>
          <w:bCs w:val="0"/>
          <w:snapToGrid w:val="0"/>
          <w:color w:val="auto"/>
          <w:kern w:val="0"/>
          <w:sz w:val="24"/>
          <w:szCs w:val="24"/>
          <w:highlight w:val="none"/>
          <w:lang w:val="en-US" w:eastAsia="zh-CN"/>
        </w:rPr>
        <w:t>服务款项。</w:t>
      </w:r>
    </w:p>
    <w:p w14:paraId="30574886">
      <w:pPr>
        <w:spacing w:line="480" w:lineRule="auto"/>
        <w:jc w:val="both"/>
        <w:outlineLvl w:val="0"/>
        <w:rPr>
          <w:rFonts w:hint="eastAsia" w:ascii="宋体" w:hAnsi="宋体" w:cs="宋体"/>
          <w:b/>
          <w:color w:val="auto"/>
          <w:sz w:val="24"/>
          <w:szCs w:val="24"/>
          <w:highlight w:val="none"/>
          <w:lang w:val="en-US" w:eastAsia="zh-CN"/>
        </w:rPr>
      </w:pPr>
    </w:p>
    <w:p w14:paraId="452FD712">
      <w:pPr>
        <w:spacing w:line="480" w:lineRule="auto"/>
        <w:jc w:val="both"/>
        <w:outlineLvl w:val="0"/>
        <w:rPr>
          <w:rFonts w:hint="eastAsia" w:ascii="宋体" w:hAnsi="宋体" w:cs="宋体"/>
          <w:b/>
          <w:color w:val="auto"/>
          <w:sz w:val="24"/>
          <w:szCs w:val="24"/>
          <w:highlight w:val="none"/>
          <w:lang w:val="en-US" w:eastAsia="zh-CN"/>
        </w:rPr>
      </w:pPr>
    </w:p>
    <w:p w14:paraId="28FBE714">
      <w:pPr>
        <w:spacing w:line="480" w:lineRule="auto"/>
        <w:jc w:val="both"/>
        <w:outlineLvl w:val="0"/>
        <w:rPr>
          <w:rFonts w:hint="eastAsia" w:ascii="宋体" w:hAnsi="宋体" w:cs="宋体"/>
          <w:b/>
          <w:color w:val="auto"/>
          <w:sz w:val="24"/>
          <w:szCs w:val="24"/>
          <w:highlight w:val="none"/>
          <w:lang w:val="en-US" w:eastAsia="zh-CN"/>
        </w:rPr>
      </w:pPr>
    </w:p>
    <w:p w14:paraId="19A9A350">
      <w:pPr>
        <w:spacing w:line="480" w:lineRule="auto"/>
        <w:jc w:val="both"/>
        <w:outlineLvl w:val="0"/>
        <w:rPr>
          <w:rFonts w:hint="eastAsia" w:ascii="宋体" w:hAnsi="宋体" w:cs="宋体"/>
          <w:b/>
          <w:color w:val="auto"/>
          <w:sz w:val="24"/>
          <w:szCs w:val="24"/>
          <w:highlight w:val="none"/>
          <w:lang w:val="en-US" w:eastAsia="zh-CN"/>
        </w:rPr>
      </w:pPr>
    </w:p>
    <w:p w14:paraId="765ED560">
      <w:pPr>
        <w:spacing w:line="480" w:lineRule="auto"/>
        <w:jc w:val="both"/>
        <w:outlineLvl w:val="0"/>
        <w:rPr>
          <w:rFonts w:hint="eastAsia" w:ascii="宋体" w:hAnsi="宋体" w:cs="宋体"/>
          <w:b/>
          <w:color w:val="auto"/>
          <w:sz w:val="24"/>
          <w:szCs w:val="24"/>
          <w:highlight w:val="none"/>
          <w:lang w:val="en-US" w:eastAsia="zh-CN"/>
        </w:rPr>
      </w:pPr>
    </w:p>
    <w:p w14:paraId="65C4CEC7">
      <w:pPr>
        <w:spacing w:line="480" w:lineRule="auto"/>
        <w:jc w:val="both"/>
        <w:outlineLvl w:val="0"/>
        <w:rPr>
          <w:rFonts w:hint="eastAsia" w:ascii="宋体" w:hAnsi="宋体" w:cs="宋体"/>
          <w:b/>
          <w:color w:val="auto"/>
          <w:sz w:val="24"/>
          <w:szCs w:val="24"/>
          <w:highlight w:val="none"/>
          <w:lang w:val="en-US" w:eastAsia="zh-CN"/>
        </w:rPr>
      </w:pPr>
    </w:p>
    <w:p w14:paraId="696BCD88">
      <w:pPr>
        <w:pStyle w:val="2"/>
        <w:rPr>
          <w:rFonts w:hint="eastAsia" w:ascii="宋体" w:hAnsi="宋体" w:cs="宋体"/>
          <w:b/>
          <w:color w:val="auto"/>
          <w:sz w:val="24"/>
          <w:szCs w:val="24"/>
          <w:highlight w:val="none"/>
          <w:lang w:val="en-US" w:eastAsia="zh-CN"/>
        </w:rPr>
      </w:pPr>
    </w:p>
    <w:p w14:paraId="682AD174">
      <w:pPr>
        <w:pStyle w:val="2"/>
        <w:rPr>
          <w:rFonts w:hint="eastAsia" w:ascii="宋体" w:hAnsi="宋体" w:cs="宋体"/>
          <w:b/>
          <w:color w:val="auto"/>
          <w:sz w:val="24"/>
          <w:szCs w:val="24"/>
          <w:highlight w:val="none"/>
          <w:lang w:val="en-US" w:eastAsia="zh-CN"/>
        </w:rPr>
      </w:pPr>
    </w:p>
    <w:p w14:paraId="4ADCDE33">
      <w:pPr>
        <w:pStyle w:val="2"/>
        <w:rPr>
          <w:rFonts w:hint="eastAsia" w:ascii="宋体" w:hAnsi="宋体" w:cs="宋体"/>
          <w:b/>
          <w:color w:val="auto"/>
          <w:sz w:val="24"/>
          <w:szCs w:val="24"/>
          <w:highlight w:val="none"/>
          <w:lang w:val="en-US" w:eastAsia="zh-CN"/>
        </w:rPr>
      </w:pPr>
    </w:p>
    <w:p w14:paraId="763615EF">
      <w:pPr>
        <w:pStyle w:val="2"/>
        <w:rPr>
          <w:rFonts w:hint="eastAsia" w:ascii="宋体" w:hAnsi="宋体" w:cs="宋体"/>
          <w:b/>
          <w:color w:val="auto"/>
          <w:sz w:val="24"/>
          <w:szCs w:val="24"/>
          <w:highlight w:val="none"/>
          <w:lang w:val="en-US" w:eastAsia="zh-CN"/>
        </w:rPr>
      </w:pPr>
    </w:p>
    <w:p w14:paraId="5A889453">
      <w:pPr>
        <w:pStyle w:val="2"/>
        <w:rPr>
          <w:rFonts w:hint="eastAsia" w:ascii="宋体" w:hAnsi="宋体" w:cs="宋体"/>
          <w:b/>
          <w:color w:val="auto"/>
          <w:sz w:val="24"/>
          <w:szCs w:val="24"/>
          <w:highlight w:val="none"/>
          <w:lang w:val="en-US" w:eastAsia="zh-CN"/>
        </w:rPr>
      </w:pPr>
    </w:p>
    <w:p w14:paraId="0882BD3B">
      <w:pPr>
        <w:pStyle w:val="2"/>
        <w:rPr>
          <w:rFonts w:hint="eastAsia" w:ascii="宋体" w:hAnsi="宋体" w:cs="宋体"/>
          <w:b/>
          <w:color w:val="auto"/>
          <w:sz w:val="24"/>
          <w:szCs w:val="24"/>
          <w:highlight w:val="none"/>
          <w:lang w:val="en-US" w:eastAsia="zh-CN"/>
        </w:rPr>
      </w:pPr>
    </w:p>
    <w:p w14:paraId="673BE1C6">
      <w:pPr>
        <w:pStyle w:val="2"/>
        <w:rPr>
          <w:rFonts w:hint="eastAsia" w:ascii="宋体" w:hAnsi="宋体" w:cs="宋体"/>
          <w:b/>
          <w:color w:val="auto"/>
          <w:sz w:val="24"/>
          <w:szCs w:val="24"/>
          <w:highlight w:val="none"/>
          <w:lang w:val="en-US" w:eastAsia="zh-CN"/>
        </w:rPr>
      </w:pPr>
    </w:p>
    <w:p w14:paraId="66EB80FF">
      <w:pPr>
        <w:pStyle w:val="2"/>
        <w:rPr>
          <w:rFonts w:hint="eastAsia" w:ascii="宋体" w:hAnsi="宋体" w:cs="宋体"/>
          <w:b/>
          <w:color w:val="auto"/>
          <w:sz w:val="24"/>
          <w:szCs w:val="24"/>
          <w:highlight w:val="none"/>
          <w:lang w:val="en-US" w:eastAsia="zh-CN"/>
        </w:rPr>
      </w:pPr>
    </w:p>
    <w:p w14:paraId="34496AD9">
      <w:pPr>
        <w:pStyle w:val="2"/>
        <w:rPr>
          <w:rFonts w:hint="eastAsia" w:ascii="宋体" w:hAnsi="宋体" w:cs="宋体"/>
          <w:b/>
          <w:color w:val="auto"/>
          <w:sz w:val="24"/>
          <w:szCs w:val="24"/>
          <w:highlight w:val="none"/>
          <w:lang w:val="en-US" w:eastAsia="zh-CN"/>
        </w:rPr>
      </w:pPr>
    </w:p>
    <w:p w14:paraId="4077D7D9">
      <w:pPr>
        <w:spacing w:line="480" w:lineRule="auto"/>
        <w:jc w:val="both"/>
        <w:outlineLvl w:val="0"/>
        <w:rPr>
          <w:rFonts w:ascii="宋体" w:hAnsi="宋体" w:cs="宋体"/>
          <w:b/>
          <w:color w:val="auto"/>
          <w:sz w:val="36"/>
          <w:szCs w:val="36"/>
          <w:highlight w:val="none"/>
        </w:rPr>
      </w:pP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9" w:name="_Toc184314471"/>
      <w:bookmarkEnd w:id="29"/>
      <w:bookmarkStart w:id="30" w:name="_Toc184308068"/>
      <w:bookmarkEnd w:id="30"/>
      <w:bookmarkStart w:id="31" w:name="_Toc184308040"/>
      <w:bookmarkEnd w:id="31"/>
      <w:bookmarkStart w:id="32" w:name="_Toc184310305"/>
      <w:bookmarkEnd w:id="32"/>
      <w:bookmarkStart w:id="33" w:name="_Toc184310339"/>
      <w:bookmarkEnd w:id="33"/>
      <w:bookmarkStart w:id="34" w:name="_Toc184312114"/>
      <w:bookmarkEnd w:id="34"/>
      <w:bookmarkStart w:id="35" w:name="_Toc184310330"/>
      <w:bookmarkEnd w:id="35"/>
      <w:bookmarkStart w:id="36" w:name="_Toc184312105"/>
      <w:bookmarkEnd w:id="36"/>
      <w:bookmarkStart w:id="37" w:name="_Toc184313245"/>
      <w:bookmarkEnd w:id="37"/>
      <w:bookmarkStart w:id="38" w:name="_Toc184313298"/>
      <w:bookmarkEnd w:id="38"/>
      <w:bookmarkStart w:id="39" w:name="_Toc184312133"/>
      <w:bookmarkEnd w:id="39"/>
      <w:bookmarkStart w:id="40" w:name="_Toc184314454"/>
      <w:bookmarkEnd w:id="40"/>
      <w:bookmarkStart w:id="41" w:name="_Toc184312084"/>
      <w:bookmarkEnd w:id="41"/>
      <w:bookmarkStart w:id="42" w:name="_Toc184308057"/>
      <w:bookmarkEnd w:id="42"/>
      <w:bookmarkStart w:id="43" w:name="_Toc184314438"/>
      <w:bookmarkEnd w:id="43"/>
      <w:bookmarkStart w:id="44" w:name="_Toc184312072"/>
      <w:bookmarkEnd w:id="44"/>
      <w:bookmarkStart w:id="45" w:name="_Toc184310295"/>
      <w:bookmarkEnd w:id="45"/>
      <w:bookmarkStart w:id="46" w:name="_Toc184310311"/>
      <w:bookmarkEnd w:id="46"/>
      <w:bookmarkStart w:id="47" w:name="_Toc184314417"/>
      <w:bookmarkEnd w:id="47"/>
      <w:bookmarkStart w:id="48" w:name="_Toc184312131"/>
      <w:bookmarkEnd w:id="48"/>
      <w:bookmarkStart w:id="49" w:name="_Toc184308061"/>
      <w:bookmarkEnd w:id="49"/>
      <w:bookmarkStart w:id="50" w:name="_Toc184308078"/>
      <w:bookmarkEnd w:id="50"/>
      <w:bookmarkStart w:id="51" w:name="_Toc184314423"/>
      <w:bookmarkEnd w:id="51"/>
      <w:bookmarkStart w:id="52" w:name="_Toc184312095"/>
      <w:bookmarkEnd w:id="52"/>
      <w:bookmarkStart w:id="53" w:name="_Toc184313285"/>
      <w:bookmarkEnd w:id="53"/>
      <w:bookmarkStart w:id="54" w:name="_Toc184308076"/>
      <w:bookmarkEnd w:id="54"/>
      <w:bookmarkStart w:id="55" w:name="_Toc184310301"/>
      <w:bookmarkEnd w:id="55"/>
      <w:bookmarkStart w:id="56" w:name="_Toc184313305"/>
      <w:bookmarkEnd w:id="56"/>
      <w:bookmarkStart w:id="57" w:name="_Toc184314478"/>
      <w:bookmarkEnd w:id="57"/>
      <w:bookmarkStart w:id="58" w:name="_Toc184313291"/>
      <w:bookmarkEnd w:id="58"/>
      <w:bookmarkStart w:id="59" w:name="_Toc184312086"/>
      <w:bookmarkEnd w:id="59"/>
      <w:bookmarkStart w:id="60" w:name="_Toc184310281"/>
      <w:bookmarkEnd w:id="60"/>
      <w:bookmarkStart w:id="61" w:name="_Toc184314482"/>
      <w:bookmarkEnd w:id="61"/>
      <w:bookmarkStart w:id="62" w:name="_Toc184310296"/>
      <w:bookmarkEnd w:id="62"/>
      <w:bookmarkStart w:id="63" w:name="_Toc184308094"/>
      <w:bookmarkEnd w:id="63"/>
      <w:bookmarkStart w:id="64" w:name="_Toc184313267"/>
      <w:bookmarkEnd w:id="64"/>
      <w:bookmarkStart w:id="65" w:name="_Toc184313257"/>
      <w:bookmarkEnd w:id="65"/>
      <w:bookmarkStart w:id="66" w:name="_Toc184308096"/>
      <w:bookmarkEnd w:id="66"/>
      <w:bookmarkStart w:id="67" w:name="_Toc184312119"/>
      <w:bookmarkEnd w:id="67"/>
      <w:bookmarkStart w:id="68" w:name="_Toc184314462"/>
      <w:bookmarkEnd w:id="68"/>
      <w:bookmarkStart w:id="69" w:name="_Toc184312108"/>
      <w:bookmarkEnd w:id="69"/>
      <w:bookmarkStart w:id="70" w:name="_Toc184313290"/>
      <w:bookmarkEnd w:id="70"/>
      <w:bookmarkStart w:id="71" w:name="_Toc184310341"/>
      <w:bookmarkEnd w:id="71"/>
      <w:bookmarkStart w:id="72" w:name="_Toc184313256"/>
      <w:bookmarkEnd w:id="72"/>
      <w:bookmarkStart w:id="73" w:name="_Toc184314463"/>
      <w:bookmarkEnd w:id="73"/>
      <w:bookmarkStart w:id="74" w:name="_Toc184314474"/>
      <w:bookmarkEnd w:id="74"/>
      <w:bookmarkStart w:id="75" w:name="_Toc184313307"/>
      <w:bookmarkEnd w:id="75"/>
      <w:bookmarkStart w:id="76" w:name="_Toc184310284"/>
      <w:bookmarkEnd w:id="76"/>
      <w:bookmarkStart w:id="77" w:name="_Toc184313269"/>
      <w:bookmarkEnd w:id="77"/>
      <w:bookmarkStart w:id="78" w:name="_Toc184314456"/>
      <w:bookmarkEnd w:id="78"/>
      <w:bookmarkStart w:id="79" w:name="_Toc184308099"/>
      <w:bookmarkEnd w:id="79"/>
      <w:bookmarkStart w:id="80" w:name="_Toc184310336"/>
      <w:bookmarkEnd w:id="80"/>
      <w:bookmarkStart w:id="81" w:name="_Toc184312073"/>
      <w:bookmarkEnd w:id="81"/>
      <w:bookmarkStart w:id="82" w:name="_Toc184314466"/>
      <w:bookmarkEnd w:id="82"/>
      <w:bookmarkStart w:id="83" w:name="_Toc184312134"/>
      <w:bookmarkEnd w:id="83"/>
      <w:bookmarkStart w:id="84" w:name="_Toc184314475"/>
      <w:bookmarkEnd w:id="84"/>
      <w:bookmarkStart w:id="85" w:name="_Toc184314469"/>
      <w:bookmarkEnd w:id="85"/>
      <w:bookmarkStart w:id="86" w:name="_Toc184312101"/>
      <w:bookmarkEnd w:id="86"/>
      <w:bookmarkStart w:id="87" w:name="_Toc184308073"/>
      <w:bookmarkEnd w:id="87"/>
      <w:bookmarkStart w:id="88" w:name="_Toc184310342"/>
      <w:bookmarkEnd w:id="88"/>
      <w:bookmarkStart w:id="89" w:name="_Toc184312122"/>
      <w:bookmarkEnd w:id="89"/>
      <w:bookmarkStart w:id="90" w:name="_Toc184314416"/>
      <w:bookmarkEnd w:id="90"/>
      <w:bookmarkStart w:id="91" w:name="_Toc184314448"/>
      <w:bookmarkEnd w:id="91"/>
      <w:bookmarkStart w:id="92" w:name="_Toc184314436"/>
      <w:bookmarkEnd w:id="92"/>
      <w:bookmarkStart w:id="93" w:name="_Toc184314410"/>
      <w:bookmarkEnd w:id="93"/>
      <w:bookmarkStart w:id="94" w:name="_Toc184312127"/>
      <w:bookmarkEnd w:id="94"/>
      <w:bookmarkStart w:id="95" w:name="_Toc184310304"/>
      <w:bookmarkEnd w:id="95"/>
      <w:bookmarkStart w:id="96" w:name="_Toc184312106"/>
      <w:bookmarkEnd w:id="96"/>
      <w:bookmarkStart w:id="97" w:name="_Toc184310337"/>
      <w:bookmarkEnd w:id="97"/>
      <w:bookmarkStart w:id="98" w:name="_Toc184314460"/>
      <w:bookmarkEnd w:id="98"/>
      <w:bookmarkStart w:id="99" w:name="_Toc184310325"/>
      <w:bookmarkEnd w:id="99"/>
      <w:bookmarkStart w:id="100" w:name="_Toc184310323"/>
      <w:bookmarkEnd w:id="100"/>
      <w:bookmarkStart w:id="101" w:name="_Toc184314457"/>
      <w:bookmarkEnd w:id="101"/>
      <w:bookmarkStart w:id="102" w:name="_Toc184312132"/>
      <w:bookmarkEnd w:id="102"/>
      <w:bookmarkStart w:id="103" w:name="_Toc184310328"/>
      <w:bookmarkEnd w:id="103"/>
      <w:bookmarkStart w:id="104" w:name="_Toc184313282"/>
      <w:bookmarkEnd w:id="104"/>
      <w:bookmarkStart w:id="105" w:name="_Toc184314470"/>
      <w:bookmarkEnd w:id="105"/>
      <w:bookmarkStart w:id="106" w:name="_Toc184310317"/>
      <w:bookmarkEnd w:id="106"/>
      <w:bookmarkStart w:id="107" w:name="_Toc184313252"/>
      <w:bookmarkEnd w:id="107"/>
      <w:bookmarkStart w:id="108" w:name="_Toc184310329"/>
      <w:bookmarkEnd w:id="108"/>
      <w:bookmarkStart w:id="109" w:name="_Toc184308100"/>
      <w:bookmarkEnd w:id="109"/>
      <w:bookmarkStart w:id="110" w:name="_Toc184310318"/>
      <w:bookmarkEnd w:id="110"/>
      <w:bookmarkStart w:id="111" w:name="_Toc184308088"/>
      <w:bookmarkEnd w:id="111"/>
      <w:bookmarkStart w:id="112" w:name="_Toc184314413"/>
      <w:bookmarkEnd w:id="112"/>
      <w:bookmarkStart w:id="113" w:name="_Toc184314439"/>
      <w:bookmarkEnd w:id="113"/>
      <w:bookmarkStart w:id="114" w:name="_Toc184308058"/>
      <w:bookmarkEnd w:id="114"/>
      <w:bookmarkStart w:id="115" w:name="_Toc184310303"/>
      <w:bookmarkEnd w:id="115"/>
      <w:bookmarkStart w:id="116" w:name="_Toc184308089"/>
      <w:bookmarkEnd w:id="116"/>
      <w:bookmarkStart w:id="117" w:name="_Toc184310282"/>
      <w:bookmarkEnd w:id="117"/>
      <w:bookmarkStart w:id="118" w:name="_Toc184312085"/>
      <w:bookmarkEnd w:id="118"/>
      <w:bookmarkStart w:id="119" w:name="_Toc184310291"/>
      <w:bookmarkEnd w:id="119"/>
      <w:bookmarkStart w:id="120" w:name="_Toc184313271"/>
      <w:bookmarkEnd w:id="120"/>
      <w:bookmarkStart w:id="121" w:name="_Toc184314467"/>
      <w:bookmarkEnd w:id="121"/>
      <w:bookmarkStart w:id="122" w:name="_Toc184312130"/>
      <w:bookmarkEnd w:id="122"/>
      <w:bookmarkStart w:id="123" w:name="_Toc184314446"/>
      <w:bookmarkEnd w:id="123"/>
      <w:bookmarkStart w:id="124" w:name="_Toc184308055"/>
      <w:bookmarkEnd w:id="124"/>
      <w:bookmarkStart w:id="125" w:name="_Toc184308066"/>
      <w:bookmarkEnd w:id="125"/>
      <w:bookmarkStart w:id="126" w:name="_Toc184310289"/>
      <w:bookmarkEnd w:id="126"/>
      <w:bookmarkStart w:id="127" w:name="_Toc184310278"/>
      <w:bookmarkEnd w:id="127"/>
      <w:bookmarkStart w:id="128" w:name="_Toc184313299"/>
      <w:bookmarkEnd w:id="128"/>
      <w:bookmarkStart w:id="129" w:name="_Toc184314412"/>
      <w:bookmarkEnd w:id="129"/>
      <w:bookmarkStart w:id="130" w:name="_Toc184308054"/>
      <w:bookmarkEnd w:id="130"/>
      <w:bookmarkStart w:id="131" w:name="_Toc184314479"/>
      <w:bookmarkEnd w:id="131"/>
      <w:bookmarkStart w:id="132" w:name="_Toc184313274"/>
      <w:bookmarkEnd w:id="132"/>
      <w:bookmarkStart w:id="133" w:name="_Toc184308105"/>
      <w:bookmarkEnd w:id="133"/>
      <w:bookmarkStart w:id="134" w:name="_Toc184314444"/>
      <w:bookmarkEnd w:id="134"/>
      <w:bookmarkStart w:id="135" w:name="_Toc184313244"/>
      <w:bookmarkEnd w:id="135"/>
      <w:bookmarkStart w:id="136" w:name="_Toc184310344"/>
      <w:bookmarkEnd w:id="136"/>
      <w:bookmarkStart w:id="137" w:name="_Toc184313287"/>
      <w:bookmarkEnd w:id="137"/>
      <w:bookmarkStart w:id="138" w:name="_Toc184314461"/>
      <w:bookmarkEnd w:id="138"/>
      <w:bookmarkStart w:id="139" w:name="_Toc184314431"/>
      <w:bookmarkEnd w:id="139"/>
      <w:bookmarkStart w:id="140" w:name="_Toc184308039"/>
      <w:bookmarkEnd w:id="140"/>
      <w:bookmarkStart w:id="141" w:name="_Toc184313301"/>
      <w:bookmarkEnd w:id="141"/>
      <w:bookmarkStart w:id="142" w:name="_Toc184314414"/>
      <w:bookmarkEnd w:id="142"/>
      <w:bookmarkStart w:id="143" w:name="_Toc184308101"/>
      <w:bookmarkEnd w:id="143"/>
      <w:bookmarkStart w:id="144" w:name="_Toc184312138"/>
      <w:bookmarkEnd w:id="144"/>
      <w:bookmarkStart w:id="145" w:name="_Toc184308049"/>
      <w:bookmarkEnd w:id="145"/>
      <w:bookmarkStart w:id="146" w:name="_Toc184313293"/>
      <w:bookmarkEnd w:id="146"/>
      <w:bookmarkStart w:id="147" w:name="_Toc184310283"/>
      <w:bookmarkEnd w:id="147"/>
      <w:bookmarkStart w:id="148" w:name="_Toc184314426"/>
      <w:bookmarkEnd w:id="148"/>
      <w:bookmarkStart w:id="149" w:name="_Toc184310310"/>
      <w:bookmarkEnd w:id="149"/>
      <w:bookmarkStart w:id="150" w:name="_Toc184308042"/>
      <w:bookmarkEnd w:id="150"/>
      <w:bookmarkStart w:id="151" w:name="_Toc184314473"/>
      <w:bookmarkEnd w:id="151"/>
      <w:bookmarkStart w:id="152" w:name="_Toc184308074"/>
      <w:bookmarkEnd w:id="152"/>
      <w:bookmarkStart w:id="153" w:name="_Toc184314449"/>
      <w:bookmarkEnd w:id="153"/>
      <w:bookmarkStart w:id="154" w:name="_Toc184312081"/>
      <w:bookmarkEnd w:id="154"/>
      <w:bookmarkStart w:id="155" w:name="_Toc184312118"/>
      <w:bookmarkEnd w:id="155"/>
      <w:bookmarkStart w:id="156" w:name="_Toc184314427"/>
      <w:bookmarkEnd w:id="156"/>
      <w:bookmarkStart w:id="157" w:name="_Toc184308104"/>
      <w:bookmarkEnd w:id="157"/>
      <w:bookmarkStart w:id="158" w:name="_Toc184313276"/>
      <w:bookmarkEnd w:id="158"/>
      <w:bookmarkStart w:id="159" w:name="_Toc184308090"/>
      <w:bookmarkEnd w:id="159"/>
      <w:bookmarkStart w:id="160" w:name="_Toc184314428"/>
      <w:bookmarkEnd w:id="160"/>
      <w:bookmarkStart w:id="161" w:name="_Toc184312088"/>
      <w:bookmarkEnd w:id="161"/>
      <w:bookmarkStart w:id="162" w:name="_Toc184310290"/>
      <w:bookmarkEnd w:id="162"/>
      <w:bookmarkStart w:id="163" w:name="_Toc184308086"/>
      <w:bookmarkEnd w:id="163"/>
      <w:bookmarkStart w:id="164" w:name="_Toc184308092"/>
      <w:bookmarkEnd w:id="164"/>
      <w:bookmarkStart w:id="165" w:name="_Toc184312069"/>
      <w:bookmarkEnd w:id="165"/>
      <w:bookmarkStart w:id="166" w:name="_Toc184313277"/>
      <w:bookmarkEnd w:id="166"/>
      <w:bookmarkStart w:id="167" w:name="_Toc184308045"/>
      <w:bookmarkEnd w:id="167"/>
      <w:bookmarkStart w:id="168" w:name="_Toc184313310"/>
      <w:bookmarkEnd w:id="168"/>
      <w:bookmarkStart w:id="169" w:name="_Toc184310287"/>
      <w:bookmarkEnd w:id="169"/>
      <w:bookmarkStart w:id="170" w:name="_Toc184308108"/>
      <w:bookmarkEnd w:id="170"/>
      <w:bookmarkStart w:id="171" w:name="_Toc184312107"/>
      <w:bookmarkEnd w:id="171"/>
      <w:bookmarkStart w:id="172" w:name="_Toc184314441"/>
      <w:bookmarkEnd w:id="172"/>
      <w:bookmarkStart w:id="173" w:name="_Toc184312087"/>
      <w:bookmarkEnd w:id="173"/>
      <w:bookmarkStart w:id="174" w:name="_Toc184313249"/>
      <w:bookmarkEnd w:id="174"/>
      <w:bookmarkStart w:id="175" w:name="_Toc184312115"/>
      <w:bookmarkEnd w:id="175"/>
      <w:bookmarkStart w:id="176" w:name="_Toc184313281"/>
      <w:bookmarkEnd w:id="176"/>
      <w:bookmarkStart w:id="177" w:name="_Toc184310316"/>
      <w:bookmarkEnd w:id="177"/>
      <w:bookmarkStart w:id="178" w:name="_Toc184314452"/>
      <w:bookmarkEnd w:id="178"/>
      <w:bookmarkStart w:id="179" w:name="_Toc184313303"/>
      <w:bookmarkEnd w:id="179"/>
      <w:bookmarkStart w:id="180" w:name="_Toc184312078"/>
      <w:bookmarkEnd w:id="180"/>
      <w:bookmarkStart w:id="181" w:name="_Toc184310286"/>
      <w:bookmarkEnd w:id="181"/>
      <w:bookmarkStart w:id="182" w:name="_Toc184310327"/>
      <w:bookmarkEnd w:id="182"/>
      <w:bookmarkStart w:id="183" w:name="_Toc184313279"/>
      <w:bookmarkEnd w:id="183"/>
      <w:bookmarkStart w:id="184" w:name="_Toc184312125"/>
      <w:bookmarkEnd w:id="184"/>
      <w:bookmarkStart w:id="185" w:name="_Toc184313272"/>
      <w:bookmarkEnd w:id="185"/>
      <w:bookmarkStart w:id="186" w:name="_Toc184308069"/>
      <w:bookmarkEnd w:id="186"/>
      <w:bookmarkStart w:id="187" w:name="_Toc184312079"/>
      <w:bookmarkEnd w:id="187"/>
      <w:bookmarkStart w:id="188" w:name="_Toc184312094"/>
      <w:bookmarkEnd w:id="188"/>
      <w:bookmarkStart w:id="189" w:name="_Toc184314447"/>
      <w:bookmarkEnd w:id="189"/>
      <w:bookmarkStart w:id="190" w:name="_Toc184308085"/>
      <w:bookmarkEnd w:id="190"/>
      <w:bookmarkStart w:id="191" w:name="_Toc184314429"/>
      <w:bookmarkEnd w:id="191"/>
      <w:bookmarkStart w:id="192" w:name="_Toc184312093"/>
      <w:bookmarkEnd w:id="192"/>
      <w:bookmarkStart w:id="193" w:name="_Toc184312112"/>
      <w:bookmarkEnd w:id="193"/>
      <w:bookmarkStart w:id="194" w:name="_Toc184314422"/>
      <w:bookmarkEnd w:id="194"/>
      <w:bookmarkStart w:id="195" w:name="_Toc184312109"/>
      <w:bookmarkEnd w:id="195"/>
      <w:bookmarkStart w:id="196" w:name="_Toc184312075"/>
      <w:bookmarkEnd w:id="196"/>
      <w:bookmarkStart w:id="197" w:name="_Toc184314440"/>
      <w:bookmarkEnd w:id="197"/>
      <w:bookmarkStart w:id="198" w:name="_Toc184314420"/>
      <w:bookmarkEnd w:id="198"/>
      <w:bookmarkStart w:id="199" w:name="_Toc184314421"/>
      <w:bookmarkEnd w:id="199"/>
      <w:bookmarkStart w:id="200" w:name="_Toc184314419"/>
      <w:bookmarkEnd w:id="200"/>
      <w:bookmarkStart w:id="201" w:name="_Toc184313260"/>
      <w:bookmarkEnd w:id="201"/>
      <w:bookmarkStart w:id="202" w:name="_Toc184310335"/>
      <w:bookmarkEnd w:id="202"/>
      <w:bookmarkStart w:id="203" w:name="_Toc184312129"/>
      <w:bookmarkEnd w:id="203"/>
      <w:bookmarkStart w:id="204" w:name="_Toc184312091"/>
      <w:bookmarkEnd w:id="204"/>
      <w:bookmarkStart w:id="205" w:name="_Toc184312090"/>
      <w:bookmarkEnd w:id="205"/>
      <w:bookmarkStart w:id="206" w:name="_Toc184308097"/>
      <w:bookmarkEnd w:id="206"/>
      <w:bookmarkStart w:id="207" w:name="_Toc184312103"/>
      <w:bookmarkEnd w:id="207"/>
      <w:bookmarkStart w:id="208" w:name="_Toc184313266"/>
      <w:bookmarkEnd w:id="208"/>
      <w:bookmarkStart w:id="209" w:name="_Toc184308067"/>
      <w:bookmarkEnd w:id="209"/>
      <w:bookmarkStart w:id="210" w:name="_Toc184310334"/>
      <w:bookmarkEnd w:id="210"/>
      <w:bookmarkStart w:id="211" w:name="_Toc184312121"/>
      <w:bookmarkEnd w:id="211"/>
      <w:bookmarkStart w:id="212" w:name="_Toc184313280"/>
      <w:bookmarkEnd w:id="212"/>
      <w:bookmarkStart w:id="213" w:name="_Toc184310308"/>
      <w:bookmarkEnd w:id="213"/>
      <w:bookmarkStart w:id="214" w:name="_Toc184310326"/>
      <w:bookmarkEnd w:id="214"/>
      <w:bookmarkStart w:id="215" w:name="_Toc184314437"/>
      <w:bookmarkEnd w:id="215"/>
      <w:bookmarkStart w:id="216" w:name="_Toc184314433"/>
      <w:bookmarkEnd w:id="216"/>
      <w:bookmarkStart w:id="217" w:name="_Toc184313273"/>
      <w:bookmarkEnd w:id="217"/>
      <w:bookmarkStart w:id="218" w:name="_Toc184310321"/>
      <w:bookmarkEnd w:id="218"/>
      <w:bookmarkStart w:id="219" w:name="_Toc184313309"/>
      <w:bookmarkEnd w:id="219"/>
      <w:bookmarkStart w:id="220" w:name="_Toc184313296"/>
      <w:bookmarkEnd w:id="220"/>
      <w:bookmarkStart w:id="221" w:name="_Toc184310276"/>
      <w:bookmarkEnd w:id="221"/>
      <w:bookmarkStart w:id="222" w:name="_Toc184310306"/>
      <w:bookmarkEnd w:id="222"/>
      <w:bookmarkStart w:id="223" w:name="_Toc184312113"/>
      <w:bookmarkEnd w:id="223"/>
      <w:bookmarkStart w:id="224" w:name="_Toc184312067"/>
      <w:bookmarkEnd w:id="224"/>
      <w:bookmarkStart w:id="225" w:name="_Toc184308046"/>
      <w:bookmarkEnd w:id="225"/>
      <w:bookmarkStart w:id="226" w:name="_Toc184312082"/>
      <w:bookmarkEnd w:id="226"/>
      <w:bookmarkStart w:id="227" w:name="_Toc184308081"/>
      <w:bookmarkEnd w:id="227"/>
      <w:bookmarkStart w:id="228" w:name="_Toc184313297"/>
      <w:bookmarkEnd w:id="228"/>
      <w:bookmarkStart w:id="229" w:name="_Toc184310294"/>
      <w:bookmarkEnd w:id="229"/>
      <w:bookmarkStart w:id="230" w:name="_Toc184313295"/>
      <w:bookmarkEnd w:id="230"/>
      <w:bookmarkStart w:id="231" w:name="_Toc184313248"/>
      <w:bookmarkEnd w:id="231"/>
      <w:bookmarkStart w:id="232" w:name="_Toc184310307"/>
      <w:bookmarkEnd w:id="232"/>
      <w:bookmarkStart w:id="233" w:name="_Toc184310274"/>
      <w:bookmarkEnd w:id="233"/>
      <w:bookmarkStart w:id="234" w:name="_Toc184313251"/>
      <w:bookmarkEnd w:id="234"/>
      <w:bookmarkStart w:id="235" w:name="_Toc184308041"/>
      <w:bookmarkEnd w:id="235"/>
      <w:bookmarkStart w:id="236" w:name="_Toc184310272"/>
      <w:bookmarkEnd w:id="236"/>
      <w:bookmarkStart w:id="237" w:name="_Toc184312083"/>
      <w:bookmarkEnd w:id="237"/>
      <w:bookmarkStart w:id="238" w:name="_Toc184313238"/>
      <w:bookmarkEnd w:id="238"/>
      <w:bookmarkStart w:id="239" w:name="_Toc184314481"/>
      <w:bookmarkEnd w:id="239"/>
      <w:bookmarkStart w:id="240" w:name="_Toc184313284"/>
      <w:bookmarkEnd w:id="240"/>
      <w:bookmarkStart w:id="241" w:name="_Toc184308077"/>
      <w:bookmarkEnd w:id="241"/>
      <w:bookmarkStart w:id="242" w:name="_Toc184313264"/>
      <w:bookmarkEnd w:id="242"/>
      <w:bookmarkStart w:id="243" w:name="_Toc184312076"/>
      <w:bookmarkEnd w:id="243"/>
      <w:bookmarkStart w:id="244" w:name="_Toc184310277"/>
      <w:bookmarkEnd w:id="244"/>
      <w:bookmarkStart w:id="245" w:name="_Toc184314434"/>
      <w:bookmarkEnd w:id="245"/>
      <w:bookmarkStart w:id="246" w:name="_Toc184313308"/>
      <w:bookmarkEnd w:id="246"/>
      <w:bookmarkStart w:id="247" w:name="_Toc184314453"/>
      <w:bookmarkEnd w:id="247"/>
      <w:bookmarkStart w:id="248" w:name="_Toc184310331"/>
      <w:bookmarkEnd w:id="248"/>
      <w:bookmarkStart w:id="249" w:name="_Toc184313278"/>
      <w:bookmarkEnd w:id="249"/>
      <w:bookmarkStart w:id="250" w:name="_Toc184313250"/>
      <w:bookmarkEnd w:id="250"/>
      <w:bookmarkStart w:id="251" w:name="_Toc184313270"/>
      <w:bookmarkEnd w:id="251"/>
      <w:bookmarkStart w:id="252" w:name="_Toc184308071"/>
      <w:bookmarkEnd w:id="252"/>
      <w:bookmarkStart w:id="253" w:name="_Toc184308072"/>
      <w:bookmarkEnd w:id="253"/>
      <w:bookmarkStart w:id="254" w:name="_Toc184314445"/>
      <w:bookmarkEnd w:id="254"/>
      <w:bookmarkStart w:id="255" w:name="_Toc184310288"/>
      <w:bookmarkEnd w:id="255"/>
      <w:bookmarkStart w:id="256" w:name="_Toc184308065"/>
      <w:bookmarkEnd w:id="256"/>
      <w:bookmarkStart w:id="257" w:name="_Toc184312074"/>
      <w:bookmarkEnd w:id="257"/>
      <w:bookmarkStart w:id="258" w:name="_Toc184310324"/>
      <w:bookmarkEnd w:id="258"/>
      <w:bookmarkStart w:id="259" w:name="_Toc184312136"/>
      <w:bookmarkEnd w:id="259"/>
      <w:bookmarkStart w:id="260" w:name="_Toc184313294"/>
      <w:bookmarkEnd w:id="260"/>
      <w:bookmarkStart w:id="261" w:name="_Toc184314450"/>
      <w:bookmarkEnd w:id="261"/>
      <w:bookmarkStart w:id="262" w:name="_Toc184313262"/>
      <w:bookmarkEnd w:id="262"/>
      <w:bookmarkStart w:id="263" w:name="_Toc184310275"/>
      <w:bookmarkEnd w:id="263"/>
      <w:bookmarkStart w:id="264" w:name="_Toc184313259"/>
      <w:bookmarkEnd w:id="264"/>
      <w:bookmarkStart w:id="265" w:name="_Toc184310292"/>
      <w:bookmarkEnd w:id="265"/>
      <w:bookmarkStart w:id="266" w:name="_Toc184308106"/>
      <w:bookmarkEnd w:id="266"/>
      <w:bookmarkStart w:id="267" w:name="_Toc184308064"/>
      <w:bookmarkEnd w:id="267"/>
      <w:bookmarkStart w:id="268" w:name="_Toc184313261"/>
      <w:bookmarkEnd w:id="268"/>
      <w:bookmarkStart w:id="269" w:name="_Toc184314480"/>
      <w:bookmarkEnd w:id="269"/>
      <w:bookmarkStart w:id="270" w:name="_Toc184310315"/>
      <w:bookmarkEnd w:id="270"/>
      <w:bookmarkStart w:id="271" w:name="_Toc184312098"/>
      <w:bookmarkEnd w:id="271"/>
      <w:bookmarkStart w:id="272" w:name="_Toc184308043"/>
      <w:bookmarkEnd w:id="272"/>
      <w:bookmarkStart w:id="273" w:name="_Toc184314425"/>
      <w:bookmarkEnd w:id="273"/>
      <w:bookmarkStart w:id="274" w:name="_Toc184310300"/>
      <w:bookmarkEnd w:id="274"/>
      <w:bookmarkStart w:id="275" w:name="_Toc184314455"/>
      <w:bookmarkEnd w:id="275"/>
      <w:bookmarkStart w:id="276" w:name="_Toc184310297"/>
      <w:bookmarkEnd w:id="276"/>
      <w:bookmarkStart w:id="277" w:name="_Toc184308098"/>
      <w:bookmarkEnd w:id="277"/>
      <w:bookmarkStart w:id="278" w:name="_Toc184313265"/>
      <w:bookmarkEnd w:id="278"/>
      <w:bookmarkStart w:id="279" w:name="_Toc184312077"/>
      <w:bookmarkEnd w:id="279"/>
      <w:bookmarkStart w:id="280" w:name="_Toc184312089"/>
      <w:bookmarkEnd w:id="280"/>
      <w:bookmarkStart w:id="281" w:name="_Toc184313275"/>
      <w:bookmarkEnd w:id="281"/>
      <w:bookmarkStart w:id="282" w:name="_Toc184310332"/>
      <w:bookmarkEnd w:id="282"/>
      <w:bookmarkStart w:id="283" w:name="_Toc184312116"/>
      <w:bookmarkEnd w:id="283"/>
      <w:bookmarkStart w:id="284" w:name="_Toc184313300"/>
      <w:bookmarkEnd w:id="284"/>
      <w:bookmarkStart w:id="285" w:name="_Toc184314443"/>
      <w:bookmarkEnd w:id="285"/>
      <w:bookmarkStart w:id="286" w:name="_Toc184308079"/>
      <w:bookmarkEnd w:id="286"/>
      <w:bookmarkStart w:id="287" w:name="_Toc184308051"/>
      <w:bookmarkEnd w:id="287"/>
      <w:bookmarkStart w:id="288" w:name="_Toc184308087"/>
      <w:bookmarkEnd w:id="288"/>
      <w:bookmarkStart w:id="289" w:name="_Toc184308093"/>
      <w:bookmarkEnd w:id="289"/>
      <w:bookmarkStart w:id="290" w:name="_Toc184314435"/>
      <w:bookmarkEnd w:id="290"/>
      <w:bookmarkStart w:id="291" w:name="_Toc184314442"/>
      <w:bookmarkEnd w:id="291"/>
      <w:bookmarkStart w:id="292" w:name="_Toc184308036"/>
      <w:bookmarkEnd w:id="292"/>
      <w:bookmarkStart w:id="293" w:name="_Toc184312137"/>
      <w:bookmarkEnd w:id="293"/>
      <w:bookmarkStart w:id="294" w:name="_Toc184310279"/>
      <w:bookmarkEnd w:id="294"/>
      <w:bookmarkStart w:id="295" w:name="_Toc184310312"/>
      <w:bookmarkEnd w:id="295"/>
      <w:bookmarkStart w:id="296" w:name="_Toc184314430"/>
      <w:bookmarkEnd w:id="296"/>
      <w:bookmarkStart w:id="297" w:name="_Toc184310285"/>
      <w:bookmarkEnd w:id="297"/>
      <w:bookmarkStart w:id="298" w:name="_Toc184308103"/>
      <w:bookmarkEnd w:id="298"/>
      <w:bookmarkStart w:id="299" w:name="_Toc184313241"/>
      <w:bookmarkEnd w:id="299"/>
      <w:bookmarkStart w:id="300" w:name="_Toc184314418"/>
      <w:bookmarkEnd w:id="300"/>
      <w:bookmarkStart w:id="301" w:name="_Toc184308047"/>
      <w:bookmarkEnd w:id="301"/>
      <w:bookmarkStart w:id="302" w:name="_Toc184312099"/>
      <w:bookmarkEnd w:id="302"/>
      <w:bookmarkStart w:id="303" w:name="_Toc184308091"/>
      <w:bookmarkEnd w:id="303"/>
      <w:bookmarkStart w:id="304" w:name="_Toc184313254"/>
      <w:bookmarkEnd w:id="304"/>
      <w:bookmarkStart w:id="305" w:name="_Toc184308050"/>
      <w:bookmarkEnd w:id="305"/>
      <w:bookmarkStart w:id="306" w:name="_Toc184314411"/>
      <w:bookmarkEnd w:id="306"/>
      <w:bookmarkStart w:id="307" w:name="_Toc184314468"/>
      <w:bookmarkEnd w:id="307"/>
      <w:bookmarkStart w:id="308" w:name="_Toc184314476"/>
      <w:bookmarkEnd w:id="308"/>
      <w:bookmarkStart w:id="309" w:name="_Toc184312092"/>
      <w:bookmarkEnd w:id="309"/>
      <w:bookmarkStart w:id="310" w:name="_Toc184310273"/>
      <w:bookmarkEnd w:id="310"/>
      <w:bookmarkStart w:id="311" w:name="_Toc184308107"/>
      <w:bookmarkEnd w:id="311"/>
      <w:bookmarkStart w:id="312" w:name="_Toc184310280"/>
      <w:bookmarkEnd w:id="312"/>
      <w:bookmarkStart w:id="313" w:name="_Toc184313302"/>
      <w:bookmarkEnd w:id="313"/>
      <w:bookmarkStart w:id="314" w:name="_Toc184314472"/>
      <w:bookmarkEnd w:id="314"/>
      <w:bookmarkStart w:id="315" w:name="_Toc184313288"/>
      <w:bookmarkEnd w:id="315"/>
      <w:bookmarkStart w:id="316" w:name="_Toc184310313"/>
      <w:bookmarkEnd w:id="316"/>
      <w:bookmarkStart w:id="317" w:name="_Toc184310340"/>
      <w:bookmarkEnd w:id="317"/>
      <w:bookmarkStart w:id="318" w:name="_Toc184313304"/>
      <w:bookmarkEnd w:id="318"/>
      <w:bookmarkStart w:id="319" w:name="_Toc184308084"/>
      <w:bookmarkEnd w:id="319"/>
      <w:bookmarkStart w:id="320" w:name="_Toc184308059"/>
      <w:bookmarkEnd w:id="320"/>
      <w:bookmarkStart w:id="321" w:name="_Toc184313268"/>
      <w:bookmarkEnd w:id="321"/>
      <w:bookmarkStart w:id="322" w:name="_Toc184312068"/>
      <w:bookmarkEnd w:id="322"/>
      <w:bookmarkStart w:id="323" w:name="_Toc184312123"/>
      <w:bookmarkEnd w:id="323"/>
      <w:bookmarkStart w:id="324" w:name="_Toc184312104"/>
      <w:bookmarkEnd w:id="324"/>
      <w:bookmarkStart w:id="325" w:name="_Toc184308044"/>
      <w:bookmarkEnd w:id="325"/>
      <w:bookmarkStart w:id="326" w:name="_Toc184310302"/>
      <w:bookmarkEnd w:id="326"/>
      <w:bookmarkStart w:id="327" w:name="_Toc184312102"/>
      <w:bookmarkEnd w:id="327"/>
      <w:bookmarkStart w:id="328" w:name="_Toc184313239"/>
      <w:bookmarkEnd w:id="328"/>
      <w:bookmarkStart w:id="329" w:name="_Toc184308062"/>
      <w:bookmarkEnd w:id="329"/>
      <w:bookmarkStart w:id="330" w:name="_Toc184313243"/>
      <w:bookmarkEnd w:id="330"/>
      <w:bookmarkStart w:id="331" w:name="_Toc184308060"/>
      <w:bookmarkEnd w:id="331"/>
      <w:bookmarkStart w:id="332" w:name="_Toc184314451"/>
      <w:bookmarkEnd w:id="332"/>
      <w:bookmarkStart w:id="333" w:name="_Toc184312080"/>
      <w:bookmarkEnd w:id="333"/>
      <w:bookmarkStart w:id="334" w:name="_Toc184314458"/>
      <w:bookmarkEnd w:id="334"/>
      <w:bookmarkStart w:id="335" w:name="_Toc184314465"/>
      <w:bookmarkEnd w:id="335"/>
      <w:bookmarkStart w:id="336" w:name="_Toc184312071"/>
      <w:bookmarkEnd w:id="336"/>
      <w:bookmarkStart w:id="337" w:name="_Toc184310309"/>
      <w:bookmarkEnd w:id="337"/>
      <w:bookmarkStart w:id="338" w:name="_Toc184310338"/>
      <w:bookmarkEnd w:id="338"/>
      <w:bookmarkStart w:id="339" w:name="_Toc184312128"/>
      <w:bookmarkEnd w:id="339"/>
      <w:bookmarkStart w:id="340" w:name="_Toc184312120"/>
      <w:bookmarkEnd w:id="340"/>
      <w:bookmarkStart w:id="341" w:name="_Toc184308102"/>
      <w:bookmarkEnd w:id="341"/>
      <w:bookmarkStart w:id="342" w:name="_Toc184310293"/>
      <w:bookmarkEnd w:id="342"/>
      <w:bookmarkStart w:id="343" w:name="_Toc184314424"/>
      <w:bookmarkEnd w:id="343"/>
      <w:bookmarkStart w:id="344" w:name="_Toc184313263"/>
      <w:bookmarkEnd w:id="344"/>
      <w:bookmarkStart w:id="345" w:name="_Toc184308052"/>
      <w:bookmarkEnd w:id="345"/>
      <w:bookmarkStart w:id="346" w:name="_Toc184313253"/>
      <w:bookmarkEnd w:id="346"/>
      <w:bookmarkStart w:id="347" w:name="_Toc184308038"/>
      <w:bookmarkEnd w:id="347"/>
      <w:bookmarkStart w:id="348" w:name="_Toc184313242"/>
      <w:bookmarkEnd w:id="348"/>
      <w:bookmarkStart w:id="349" w:name="_Toc184312070"/>
      <w:bookmarkEnd w:id="349"/>
      <w:bookmarkStart w:id="350" w:name="_Toc184313286"/>
      <w:bookmarkEnd w:id="350"/>
      <w:bookmarkStart w:id="351" w:name="_Toc184308083"/>
      <w:bookmarkEnd w:id="351"/>
      <w:bookmarkStart w:id="352" w:name="_Toc184312124"/>
      <w:bookmarkEnd w:id="352"/>
      <w:bookmarkStart w:id="353" w:name="_Toc184310322"/>
      <w:bookmarkEnd w:id="353"/>
      <w:bookmarkStart w:id="354" w:name="_Toc184312100"/>
      <w:bookmarkEnd w:id="354"/>
      <w:bookmarkStart w:id="355" w:name="_Toc184312117"/>
      <w:bookmarkEnd w:id="355"/>
      <w:bookmarkStart w:id="356" w:name="_Toc184310298"/>
      <w:bookmarkEnd w:id="356"/>
      <w:bookmarkStart w:id="357" w:name="_Toc184310314"/>
      <w:bookmarkEnd w:id="357"/>
      <w:bookmarkStart w:id="358" w:name="_Toc184312096"/>
      <w:bookmarkEnd w:id="358"/>
      <w:bookmarkStart w:id="359" w:name="_Toc184308082"/>
      <w:bookmarkEnd w:id="359"/>
      <w:bookmarkStart w:id="360" w:name="_Toc184314459"/>
      <w:bookmarkEnd w:id="360"/>
      <w:bookmarkStart w:id="361" w:name="_Toc184312111"/>
      <w:bookmarkEnd w:id="361"/>
      <w:bookmarkStart w:id="362" w:name="_Toc184308037"/>
      <w:bookmarkEnd w:id="362"/>
      <w:bookmarkStart w:id="363" w:name="_Toc184314464"/>
      <w:bookmarkEnd w:id="363"/>
      <w:bookmarkStart w:id="364" w:name="_Toc184310299"/>
      <w:bookmarkEnd w:id="364"/>
      <w:bookmarkStart w:id="365" w:name="_Toc184308048"/>
      <w:bookmarkEnd w:id="365"/>
      <w:bookmarkStart w:id="366" w:name="_Toc184312097"/>
      <w:bookmarkEnd w:id="366"/>
      <w:bookmarkStart w:id="367" w:name="_Toc184313255"/>
      <w:bookmarkEnd w:id="367"/>
      <w:bookmarkStart w:id="368" w:name="_Toc184310320"/>
      <w:bookmarkEnd w:id="368"/>
      <w:bookmarkStart w:id="369" w:name="_Toc184313306"/>
      <w:bookmarkEnd w:id="369"/>
      <w:bookmarkStart w:id="370" w:name="_Toc184308063"/>
      <w:bookmarkEnd w:id="370"/>
      <w:bookmarkStart w:id="371" w:name="_Toc184314432"/>
      <w:bookmarkEnd w:id="371"/>
      <w:bookmarkStart w:id="372" w:name="_Toc184313258"/>
      <w:bookmarkEnd w:id="372"/>
      <w:bookmarkStart w:id="373" w:name="_Toc184312139"/>
      <w:bookmarkEnd w:id="373"/>
      <w:bookmarkStart w:id="374" w:name="_Toc184314415"/>
      <w:bookmarkEnd w:id="374"/>
      <w:bookmarkStart w:id="375" w:name="_Toc184310333"/>
      <w:bookmarkEnd w:id="375"/>
      <w:bookmarkStart w:id="376" w:name="_Toc184308080"/>
      <w:bookmarkEnd w:id="376"/>
      <w:bookmarkStart w:id="377" w:name="_Toc184310319"/>
      <w:bookmarkEnd w:id="377"/>
      <w:bookmarkStart w:id="378" w:name="_Toc184308095"/>
      <w:bookmarkEnd w:id="378"/>
      <w:bookmarkStart w:id="379" w:name="_Toc184313246"/>
      <w:bookmarkEnd w:id="379"/>
      <w:bookmarkStart w:id="380" w:name="_Toc184312135"/>
      <w:bookmarkEnd w:id="380"/>
      <w:bookmarkStart w:id="381" w:name="_Toc184313240"/>
      <w:bookmarkEnd w:id="381"/>
      <w:bookmarkStart w:id="382" w:name="_Toc184308075"/>
      <w:bookmarkEnd w:id="382"/>
      <w:bookmarkStart w:id="383" w:name="_Toc184313289"/>
      <w:bookmarkEnd w:id="383"/>
      <w:bookmarkStart w:id="384" w:name="_Toc184308070"/>
      <w:bookmarkEnd w:id="384"/>
      <w:bookmarkStart w:id="385" w:name="_Toc184313247"/>
      <w:bookmarkEnd w:id="385"/>
      <w:bookmarkStart w:id="386" w:name="_Toc184312126"/>
      <w:bookmarkEnd w:id="386"/>
      <w:bookmarkStart w:id="387" w:name="_Toc184313283"/>
      <w:bookmarkEnd w:id="387"/>
      <w:bookmarkStart w:id="388" w:name="_Toc184314477"/>
      <w:bookmarkEnd w:id="388"/>
      <w:bookmarkStart w:id="389" w:name="_Toc184313292"/>
      <w:bookmarkEnd w:id="389"/>
      <w:bookmarkStart w:id="390" w:name="_Toc184308056"/>
      <w:bookmarkEnd w:id="390"/>
      <w:bookmarkStart w:id="391" w:name="_Toc184312110"/>
      <w:bookmarkEnd w:id="391"/>
      <w:bookmarkStart w:id="392" w:name="_Toc184310343"/>
      <w:bookmarkEnd w:id="392"/>
      <w:bookmarkStart w:id="393" w:name="_Toc184308053"/>
      <w:bookmarkEnd w:id="393"/>
      <w:r>
        <w:rPr>
          <w:rFonts w:hint="eastAsia" w:ascii="宋体" w:hAnsi="宋体" w:cs="宋体"/>
          <w:b/>
          <w:color w:val="auto"/>
          <w:sz w:val="36"/>
          <w:szCs w:val="36"/>
          <w:highlight w:val="none"/>
        </w:rPr>
        <w:t>评标办法</w:t>
      </w:r>
    </w:p>
    <w:p w14:paraId="5E56AD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0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697"/>
        <w:gridCol w:w="711"/>
        <w:gridCol w:w="5151"/>
        <w:gridCol w:w="513"/>
        <w:gridCol w:w="987"/>
        <w:gridCol w:w="1985"/>
      </w:tblGrid>
      <w:tr w14:paraId="695BA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74D8BC3C">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序号</w:t>
            </w:r>
          </w:p>
        </w:tc>
        <w:tc>
          <w:tcPr>
            <w:tcW w:w="5862" w:type="dxa"/>
            <w:gridSpan w:val="2"/>
            <w:shd w:val="clear" w:color="000000" w:fill="FFFFFF"/>
            <w:tcMar>
              <w:left w:w="108" w:type="dxa"/>
              <w:right w:w="108" w:type="dxa"/>
            </w:tcMar>
            <w:vAlign w:val="center"/>
          </w:tcPr>
          <w:p w14:paraId="7B2CF2E5">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评标标准</w:t>
            </w:r>
          </w:p>
        </w:tc>
        <w:tc>
          <w:tcPr>
            <w:tcW w:w="513" w:type="dxa"/>
            <w:shd w:val="clear" w:color="000000" w:fill="FFFFFF"/>
            <w:tcMar>
              <w:left w:w="108" w:type="dxa"/>
              <w:right w:w="108" w:type="dxa"/>
            </w:tcMar>
            <w:vAlign w:val="center"/>
          </w:tcPr>
          <w:p w14:paraId="4C2A55B8">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cs="仿宋_GB2312" w:asciiTheme="minorEastAsia" w:hAnsiTheme="minorEastAsia" w:eastAsiaTheme="minorEastAsia"/>
                <w:color w:val="auto"/>
                <w:sz w:val="24"/>
                <w:highlight w:val="none"/>
              </w:rPr>
              <w:t>权重</w:t>
            </w:r>
          </w:p>
        </w:tc>
        <w:tc>
          <w:tcPr>
            <w:tcW w:w="987" w:type="dxa"/>
            <w:shd w:val="clear" w:color="000000" w:fill="FFFFFF"/>
            <w:tcMar>
              <w:left w:w="108" w:type="dxa"/>
              <w:right w:w="108" w:type="dxa"/>
            </w:tcMar>
            <w:vAlign w:val="center"/>
          </w:tcPr>
          <w:p w14:paraId="047870EF">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cs="仿宋_GB2312" w:asciiTheme="minorEastAsia" w:hAnsiTheme="minorEastAsia" w:eastAsiaTheme="minorEastAsia"/>
                <w:bCs/>
                <w:color w:val="auto"/>
                <w:sz w:val="24"/>
                <w:highlight w:val="none"/>
              </w:rPr>
              <w:t>主观分/客观分属性</w:t>
            </w:r>
          </w:p>
        </w:tc>
        <w:tc>
          <w:tcPr>
            <w:tcW w:w="1985" w:type="dxa"/>
            <w:shd w:val="clear" w:color="000000" w:fill="FFFFFF"/>
            <w:tcMar>
              <w:left w:w="108" w:type="dxa"/>
              <w:right w:w="108" w:type="dxa"/>
            </w:tcMar>
            <w:vAlign w:val="center"/>
          </w:tcPr>
          <w:p w14:paraId="4A41E685">
            <w:pPr>
              <w:spacing w:before="0" w:after="0" w:line="360" w:lineRule="auto"/>
              <w:ind w:left="0" w:right="0" w:firstLine="0"/>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5E395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671B5CCA">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1</w:t>
            </w:r>
          </w:p>
        </w:tc>
        <w:tc>
          <w:tcPr>
            <w:tcW w:w="5862" w:type="dxa"/>
            <w:gridSpan w:val="2"/>
            <w:shd w:val="clear" w:color="000000" w:fill="FFFFFF"/>
            <w:tcMar>
              <w:left w:w="108" w:type="dxa"/>
              <w:right w:w="108" w:type="dxa"/>
            </w:tcMar>
            <w:vAlign w:val="center"/>
          </w:tcPr>
          <w:p w14:paraId="1D3B3D6D">
            <w:pPr>
              <w:bidi w:val="0"/>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业绩：供应商自2022年4月1日（以合同签订日期为准）以来完成过类似项目的，每提供一个得0.5分，最高得1分。</w:t>
            </w:r>
          </w:p>
          <w:p w14:paraId="02B21263">
            <w:pPr>
              <w:pStyle w:val="2"/>
              <w:ind w:left="0" w:leftChars="0" w:firstLine="0" w:firstLineChars="0"/>
              <w:rPr>
                <w:rFonts w:hint="default"/>
                <w:lang w:val="en-US" w:eastAsia="zh-CN"/>
              </w:rPr>
            </w:pPr>
            <w:r>
              <w:rPr>
                <w:rFonts w:hint="eastAsia" w:cs="宋体"/>
                <w:b/>
                <w:bCs/>
                <w:color w:val="auto"/>
                <w:sz w:val="24"/>
                <w:szCs w:val="24"/>
                <w:highlight w:val="none"/>
                <w:lang w:val="en-US" w:eastAsia="zh-CN"/>
              </w:rPr>
              <w:t>注：投标文件中提供合同复印件或扫描件加盖公章，不提供不得分。</w:t>
            </w:r>
          </w:p>
        </w:tc>
        <w:tc>
          <w:tcPr>
            <w:tcW w:w="513" w:type="dxa"/>
            <w:shd w:val="clear" w:color="000000" w:fill="FFFFFF"/>
            <w:tcMar>
              <w:left w:w="108" w:type="dxa"/>
              <w:right w:w="108" w:type="dxa"/>
            </w:tcMar>
            <w:vAlign w:val="center"/>
          </w:tcPr>
          <w:p w14:paraId="002D0CD3">
            <w:pPr>
              <w:spacing w:before="0" w:after="0" w:line="360" w:lineRule="auto"/>
              <w:ind w:left="0" w:right="0" w:firstLine="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1</w:t>
            </w:r>
          </w:p>
        </w:tc>
        <w:tc>
          <w:tcPr>
            <w:tcW w:w="987" w:type="dxa"/>
            <w:shd w:val="clear" w:color="000000" w:fill="FFFFFF"/>
            <w:tcMar>
              <w:left w:w="108" w:type="dxa"/>
              <w:right w:w="108" w:type="dxa"/>
            </w:tcMar>
            <w:vAlign w:val="center"/>
          </w:tcPr>
          <w:p w14:paraId="28C015E6">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客观分</w:t>
            </w:r>
          </w:p>
        </w:tc>
        <w:tc>
          <w:tcPr>
            <w:tcW w:w="1985" w:type="dxa"/>
            <w:shd w:val="clear" w:color="000000" w:fill="FFFFFF"/>
            <w:tcMar>
              <w:left w:w="108" w:type="dxa"/>
              <w:right w:w="108" w:type="dxa"/>
            </w:tcMar>
            <w:vAlign w:val="center"/>
          </w:tcPr>
          <w:p w14:paraId="0D4A4096">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p>
        </w:tc>
      </w:tr>
      <w:tr w14:paraId="67E40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1C58D1A7">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2</w:t>
            </w:r>
          </w:p>
        </w:tc>
        <w:tc>
          <w:tcPr>
            <w:tcW w:w="5862" w:type="dxa"/>
            <w:gridSpan w:val="2"/>
            <w:shd w:val="clear" w:color="000000" w:fill="FFFFFF"/>
            <w:tcMar>
              <w:left w:w="108" w:type="dxa"/>
              <w:right w:w="108" w:type="dxa"/>
            </w:tcMar>
            <w:vAlign w:val="center"/>
          </w:tcPr>
          <w:p w14:paraId="7EBA5481">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作业器具保障：</w:t>
            </w:r>
          </w:p>
          <w:p w14:paraId="61A71BC4">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（1）供应商投入本项目1辆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总质量1</w:t>
            </w:r>
            <w:r>
              <w:rPr>
                <w:rFonts w:hint="eastAsia" w:ascii="宋体" w:hAnsi="宋体" w:cs="宋体"/>
                <w:b w:val="0"/>
                <w:bCs w:val="0"/>
                <w:color w:val="auto"/>
                <w:spacing w:val="0"/>
                <w:position w:val="0"/>
                <w:sz w:val="24"/>
                <w:szCs w:val="24"/>
                <w:highlight w:val="none"/>
                <w:shd w:val="clear" w:fill="auto"/>
                <w:lang w:val="en-US" w:eastAsia="zh-CN"/>
              </w:rPr>
              <w:t>6吨及以上</w:t>
            </w:r>
            <w:r>
              <w:rPr>
                <w:rFonts w:hint="eastAsia" w:ascii="宋体" w:hAnsi="宋体" w:cs="宋体"/>
                <w:color w:val="auto"/>
                <w:sz w:val="24"/>
                <w:szCs w:val="24"/>
                <w:highlight w:val="none"/>
                <w:lang w:val="en-US" w:eastAsia="zh-CN"/>
              </w:rPr>
              <w:t>清洗车（洒水车）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62F8577A">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（2）供应商投入本项目1辆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总质量1</w:t>
            </w:r>
            <w:r>
              <w:rPr>
                <w:rFonts w:hint="eastAsia" w:ascii="宋体" w:hAnsi="宋体" w:cs="宋体"/>
                <w:b w:val="0"/>
                <w:bCs w:val="0"/>
                <w:color w:val="auto"/>
                <w:spacing w:val="0"/>
                <w:position w:val="0"/>
                <w:sz w:val="24"/>
                <w:szCs w:val="24"/>
                <w:highlight w:val="none"/>
                <w:shd w:val="clear" w:fill="auto"/>
                <w:lang w:val="en-US" w:eastAsia="zh-CN"/>
              </w:rPr>
              <w:t>2吨及以上</w:t>
            </w:r>
            <w:r>
              <w:rPr>
                <w:rFonts w:hint="eastAsia" w:ascii="宋体" w:hAnsi="宋体" w:cs="宋体"/>
                <w:color w:val="auto"/>
                <w:sz w:val="24"/>
                <w:szCs w:val="24"/>
                <w:highlight w:val="none"/>
                <w:lang w:val="en-US" w:eastAsia="zh-CN"/>
              </w:rPr>
              <w:t>三合一洗扫车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783815AC">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（3）供应商投入本项目1辆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w:t>
            </w:r>
            <w:r>
              <w:rPr>
                <w:rFonts w:hint="eastAsia" w:ascii="宋体" w:hAnsi="宋体" w:cs="宋体"/>
                <w:b w:val="0"/>
                <w:bCs w:val="0"/>
                <w:color w:val="auto"/>
                <w:spacing w:val="0"/>
                <w:position w:val="0"/>
                <w:sz w:val="24"/>
                <w:szCs w:val="24"/>
                <w:highlight w:val="none"/>
                <w:shd w:val="clear" w:fill="auto"/>
                <w:lang w:val="en-US" w:eastAsia="zh-CN"/>
              </w:rPr>
              <w:t>3吨及以上</w:t>
            </w:r>
            <w:r>
              <w:rPr>
                <w:rFonts w:hint="eastAsia" w:ascii="宋体" w:hAnsi="宋体" w:cs="宋体"/>
                <w:color w:val="auto"/>
                <w:sz w:val="24"/>
                <w:szCs w:val="24"/>
                <w:highlight w:val="none"/>
                <w:lang w:val="en-US" w:eastAsia="zh-CN"/>
              </w:rPr>
              <w:t>洗扫车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360A8086">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4</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w:t>
            </w:r>
            <w:r>
              <w:rPr>
                <w:rFonts w:hint="eastAsia" w:ascii="宋体" w:hAnsi="宋体" w:cs="宋体"/>
                <w:b w:val="0"/>
                <w:bCs w:val="0"/>
                <w:color w:val="auto"/>
                <w:spacing w:val="0"/>
                <w:position w:val="0"/>
                <w:sz w:val="24"/>
                <w:szCs w:val="24"/>
                <w:highlight w:val="none"/>
                <w:shd w:val="clear" w:fill="auto"/>
                <w:lang w:val="en-US" w:eastAsia="zh-CN"/>
              </w:rPr>
              <w:t>7吨及以上</w:t>
            </w:r>
            <w:r>
              <w:rPr>
                <w:rFonts w:hint="eastAsia" w:ascii="宋体" w:hAnsi="宋体" w:cs="宋体"/>
                <w:color w:val="auto"/>
                <w:sz w:val="24"/>
                <w:szCs w:val="24"/>
                <w:highlight w:val="none"/>
                <w:lang w:val="en-US" w:eastAsia="zh-CN"/>
              </w:rPr>
              <w:t>多功能抑尘车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1519BB35">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5</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w:t>
            </w:r>
            <w:r>
              <w:rPr>
                <w:rFonts w:hint="eastAsia" w:ascii="宋体" w:hAnsi="宋体" w:cs="宋体"/>
                <w:b w:val="0"/>
                <w:bCs w:val="0"/>
                <w:color w:val="auto"/>
                <w:spacing w:val="0"/>
                <w:position w:val="0"/>
                <w:sz w:val="24"/>
                <w:szCs w:val="24"/>
                <w:highlight w:val="none"/>
                <w:shd w:val="clear" w:fill="auto"/>
                <w:lang w:val="en-US" w:eastAsia="zh-CN"/>
              </w:rPr>
              <w:t>2吨及以上</w:t>
            </w:r>
            <w:r>
              <w:rPr>
                <w:rFonts w:hint="eastAsia" w:ascii="宋体" w:hAnsi="宋体" w:cs="宋体"/>
                <w:color w:val="auto"/>
                <w:sz w:val="24"/>
                <w:szCs w:val="24"/>
                <w:highlight w:val="none"/>
                <w:lang w:val="en-US" w:eastAsia="zh-CN"/>
              </w:rPr>
              <w:t>高压冲洗车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705B3475">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6</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w:t>
            </w:r>
            <w:r>
              <w:rPr>
                <w:rFonts w:hint="eastAsia" w:ascii="宋体" w:hAnsi="宋体" w:cs="宋体"/>
                <w:b w:val="0"/>
                <w:bCs w:val="0"/>
                <w:color w:val="auto"/>
                <w:spacing w:val="0"/>
                <w:position w:val="0"/>
                <w:sz w:val="24"/>
                <w:szCs w:val="24"/>
                <w:highlight w:val="none"/>
                <w:shd w:val="clear" w:fill="auto"/>
                <w:lang w:val="en-US" w:eastAsia="zh-CN"/>
              </w:rPr>
              <w:t>1吨及以上</w:t>
            </w:r>
            <w:r>
              <w:rPr>
                <w:rFonts w:hint="eastAsia" w:ascii="宋体" w:hAnsi="宋体" w:cs="宋体"/>
                <w:color w:val="auto"/>
                <w:sz w:val="24"/>
                <w:szCs w:val="24"/>
                <w:highlight w:val="none"/>
                <w:lang w:val="en-US" w:eastAsia="zh-CN"/>
              </w:rPr>
              <w:t>护栏清洗车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2046F3B0">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7</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color w:val="auto"/>
                <w:sz w:val="24"/>
                <w:szCs w:val="24"/>
                <w:highlight w:val="none"/>
                <w:lang w:val="en-US" w:eastAsia="zh-CN"/>
              </w:rPr>
              <w:t>总质量5吨及以下或新能源</w:t>
            </w:r>
            <w:r>
              <w:rPr>
                <w:rFonts w:hint="eastAsia" w:ascii="宋体" w:hAnsi="宋体" w:cs="宋体"/>
                <w:color w:val="auto"/>
                <w:sz w:val="24"/>
                <w:szCs w:val="24"/>
                <w:highlight w:val="none"/>
                <w:lang w:val="en-US" w:eastAsia="zh-CN"/>
              </w:rPr>
              <w:t>小型清扫车(用于慢车道作业)</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27032EDD">
            <w:pPr>
              <w:spacing w:before="0" w:after="0" w:line="360" w:lineRule="auto"/>
              <w:ind w:left="0" w:right="0" w:firstLine="0"/>
              <w:jc w:val="both"/>
              <w:rPr>
                <w:rFonts w:hint="eastAsia" w:ascii="宋体" w:hAnsi="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8</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w:t>
            </w:r>
            <w:r>
              <w:rPr>
                <w:rFonts w:hint="eastAsia" w:ascii="宋体" w:hAnsi="宋体" w:cs="宋体"/>
                <w:b w:val="0"/>
                <w:bCs w:val="0"/>
                <w:color w:val="auto"/>
                <w:spacing w:val="0"/>
                <w:position w:val="0"/>
                <w:sz w:val="24"/>
                <w:szCs w:val="24"/>
                <w:highlight w:val="none"/>
                <w:shd w:val="clear" w:fill="auto"/>
                <w:lang w:val="en-US" w:eastAsia="zh-CN"/>
              </w:rPr>
              <w:t>台及以上</w:t>
            </w:r>
            <w:r>
              <w:rPr>
                <w:rFonts w:hint="eastAsia" w:ascii="宋体" w:hAnsi="宋体" w:eastAsia="宋体" w:cs="宋体"/>
                <w:color w:val="auto"/>
                <w:sz w:val="24"/>
                <w:szCs w:val="24"/>
                <w:highlight w:val="none"/>
                <w:lang w:val="en-US" w:eastAsia="zh-CN"/>
              </w:rPr>
              <w:t>机械化除雪设备</w:t>
            </w:r>
            <w:r>
              <w:rPr>
                <w:rFonts w:hint="eastAsia" w:ascii="宋体" w:hAnsi="宋体" w:cs="宋体"/>
                <w:color w:val="auto"/>
                <w:sz w:val="24"/>
                <w:szCs w:val="24"/>
                <w:highlight w:val="none"/>
                <w:lang w:val="en-US" w:eastAsia="zh-CN"/>
              </w:rPr>
              <w:t>（除雪车、大型铲车、加装式铲雪板、滚雪装置、加装式除雪板或山猫、凯斯等大型除雪设备）</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5328B499">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9</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cs="宋体"/>
                <w:color w:val="auto"/>
                <w:sz w:val="24"/>
                <w:szCs w:val="24"/>
                <w:highlight w:val="none"/>
                <w:lang w:val="en-US" w:eastAsia="zh-CN"/>
              </w:rPr>
              <w:t>巡查保障车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46EAA78F">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10</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w:t>
            </w:r>
            <w:r>
              <w:rPr>
                <w:rFonts w:hint="eastAsia" w:ascii="宋体" w:hAnsi="宋体" w:cs="宋体"/>
                <w:b w:val="0"/>
                <w:bCs w:val="0"/>
                <w:color w:val="auto"/>
                <w:spacing w:val="0"/>
                <w:position w:val="0"/>
                <w:sz w:val="24"/>
                <w:szCs w:val="24"/>
                <w:highlight w:val="none"/>
                <w:shd w:val="clear" w:fill="auto"/>
                <w:lang w:val="en-US" w:eastAsia="zh-CN"/>
              </w:rPr>
              <w:t>10台及以上</w:t>
            </w:r>
            <w:r>
              <w:rPr>
                <w:rFonts w:hint="eastAsia" w:ascii="宋体" w:hAnsi="宋体" w:cs="宋体"/>
                <w:color w:val="auto"/>
                <w:sz w:val="24"/>
                <w:szCs w:val="24"/>
                <w:highlight w:val="none"/>
                <w:lang w:val="en-US" w:eastAsia="zh-CN"/>
              </w:rPr>
              <w:t>快速保洁车三轮车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0AA3AA34">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11</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w:t>
            </w:r>
            <w:r>
              <w:rPr>
                <w:rFonts w:hint="eastAsia" w:ascii="宋体" w:hAnsi="宋体" w:cs="宋体"/>
                <w:b w:val="0"/>
                <w:bCs w:val="0"/>
                <w:color w:val="auto"/>
                <w:spacing w:val="0"/>
                <w:position w:val="0"/>
                <w:sz w:val="24"/>
                <w:szCs w:val="24"/>
                <w:highlight w:val="none"/>
                <w:shd w:val="clear" w:fill="auto"/>
                <w:lang w:val="en-US" w:eastAsia="zh-CN"/>
              </w:rPr>
              <w:t>2台及以上</w:t>
            </w:r>
            <w:r>
              <w:rPr>
                <w:rFonts w:hint="eastAsia" w:ascii="宋体" w:hAnsi="宋体" w:cs="宋体"/>
                <w:color w:val="auto"/>
                <w:sz w:val="24"/>
                <w:szCs w:val="24"/>
                <w:highlight w:val="none"/>
                <w:lang w:val="en-US" w:eastAsia="zh-CN"/>
              </w:rPr>
              <w:t>割灌机</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450F25E6">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12</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w:t>
            </w:r>
            <w:r>
              <w:rPr>
                <w:rFonts w:hint="eastAsia" w:ascii="宋体" w:hAnsi="宋体" w:cs="宋体"/>
                <w:b w:val="0"/>
                <w:bCs w:val="0"/>
                <w:color w:val="auto"/>
                <w:spacing w:val="0"/>
                <w:position w:val="0"/>
                <w:sz w:val="24"/>
                <w:szCs w:val="24"/>
                <w:highlight w:val="none"/>
                <w:shd w:val="clear" w:fill="auto"/>
                <w:lang w:val="en-US" w:eastAsia="zh-CN"/>
              </w:rPr>
              <w:t>2台及以上</w:t>
            </w:r>
            <w:r>
              <w:rPr>
                <w:rFonts w:hint="eastAsia" w:ascii="宋体" w:hAnsi="宋体" w:cs="宋体"/>
                <w:color w:val="auto"/>
                <w:sz w:val="24"/>
                <w:szCs w:val="24"/>
                <w:highlight w:val="none"/>
                <w:lang w:val="en-US" w:eastAsia="zh-CN"/>
              </w:rPr>
              <w:t>绿篱机(修剪机)</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662D405C">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13</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w:t>
            </w:r>
            <w:r>
              <w:rPr>
                <w:rFonts w:hint="eastAsia" w:ascii="宋体" w:hAnsi="宋体" w:cs="宋体"/>
                <w:b w:val="0"/>
                <w:bCs w:val="0"/>
                <w:color w:val="auto"/>
                <w:spacing w:val="0"/>
                <w:position w:val="0"/>
                <w:sz w:val="24"/>
                <w:szCs w:val="24"/>
                <w:highlight w:val="none"/>
                <w:shd w:val="clear" w:fill="auto"/>
                <w:lang w:val="en-US" w:eastAsia="zh-CN"/>
              </w:rPr>
              <w:t>1台及以上</w:t>
            </w:r>
            <w:r>
              <w:rPr>
                <w:rFonts w:hint="eastAsia" w:ascii="宋体" w:hAnsi="宋体" w:cs="宋体"/>
                <w:color w:val="auto"/>
                <w:sz w:val="24"/>
                <w:szCs w:val="24"/>
                <w:highlight w:val="none"/>
                <w:lang w:val="en-US" w:eastAsia="zh-CN"/>
              </w:rPr>
              <w:t>高空作业登高车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764CD0B7">
            <w:pPr>
              <w:spacing w:before="0" w:after="0" w:line="360" w:lineRule="auto"/>
              <w:ind w:left="0" w:right="0" w:firstLine="0"/>
              <w:jc w:val="both"/>
              <w:rPr>
                <w:rFonts w:hint="eastAsia" w:ascii="宋体" w:hAnsi="宋体" w:eastAsia="宋体" w:cs="宋体"/>
                <w:b/>
                <w:bCs/>
                <w:color w:val="auto"/>
                <w:spacing w:val="0"/>
                <w:position w:val="0"/>
                <w:sz w:val="24"/>
                <w:szCs w:val="24"/>
                <w:highlight w:val="none"/>
                <w:shd w:val="clear" w:fill="auto"/>
              </w:rPr>
            </w:pPr>
            <w:r>
              <w:rPr>
                <w:rFonts w:hint="eastAsia" w:ascii="宋体" w:hAnsi="宋体" w:eastAsia="宋体" w:cs="宋体"/>
                <w:b/>
                <w:bCs/>
                <w:color w:val="auto"/>
                <w:spacing w:val="0"/>
                <w:position w:val="0"/>
                <w:sz w:val="24"/>
                <w:szCs w:val="24"/>
                <w:highlight w:val="none"/>
                <w:shd w:val="clear" w:fill="auto"/>
              </w:rPr>
              <w:t>注：1、自有机具提供证明材料：①按国家规定必须上牌的车辆，在投标文件中同时提供车辆行驶证复制件、购车发票复制件、车辆登记证复制件、清晰带有车牌号的车辆照片、仅用于本保洁项目的书面承诺书（格式自拟），否则不得分；②按国家规定无需上牌的机具，在投标文件中同时提供购买发票复制件、机具实物照片、仅用于本保洁项目的书面承诺书（格式自拟），否则不得分。</w:t>
            </w:r>
          </w:p>
          <w:p w14:paraId="7443C3BE">
            <w:pPr>
              <w:bidi w:val="0"/>
              <w:spacing w:line="360" w:lineRule="auto"/>
              <w:rPr>
                <w:rFonts w:hint="eastAsia" w:ascii="宋体" w:hAnsi="宋体" w:eastAsia="宋体" w:cs="宋体"/>
                <w:b w:val="0"/>
                <w:bCs w:val="0"/>
                <w:color w:val="auto"/>
                <w:spacing w:val="0"/>
                <w:position w:val="0"/>
                <w:sz w:val="24"/>
                <w:szCs w:val="24"/>
                <w:highlight w:val="none"/>
                <w:shd w:val="clear" w:fill="auto"/>
                <w:lang w:eastAsia="zh-CN"/>
              </w:rPr>
            </w:pPr>
            <w:r>
              <w:rPr>
                <w:rFonts w:hint="eastAsia" w:ascii="宋体" w:hAnsi="宋体" w:eastAsia="宋体" w:cs="宋体"/>
                <w:b/>
                <w:bCs/>
                <w:color w:val="auto"/>
                <w:sz w:val="24"/>
                <w:szCs w:val="24"/>
                <w:highlight w:val="none"/>
                <w:lang w:val="en-US" w:eastAsia="zh-CN"/>
              </w:rPr>
              <w:t>2、租赁机具提供证明材料： ①按国家规定必须上牌的车辆，在投标文件中同时提供车辆行驶证复制件、购车发票复制件、车辆登记证复制件、清晰带有车牌号的车辆照片、仅用于本保洁项目的书面承诺书（格式自拟）、租赁合同复制件，否则不得分；②按国家规定无需上牌的机具，投标文件中同时提供购买发票复制件、机具实物照片、仅用于本保洁项目的书面承诺书（格式自拟）、租赁合同复制件，否则不得分。</w:t>
            </w:r>
          </w:p>
        </w:tc>
        <w:tc>
          <w:tcPr>
            <w:tcW w:w="513" w:type="dxa"/>
            <w:shd w:val="clear" w:color="000000" w:fill="FFFFFF"/>
            <w:tcMar>
              <w:left w:w="108" w:type="dxa"/>
              <w:right w:w="108" w:type="dxa"/>
            </w:tcMar>
            <w:vAlign w:val="center"/>
          </w:tcPr>
          <w:p w14:paraId="007E57E3">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20</w:t>
            </w:r>
          </w:p>
        </w:tc>
        <w:tc>
          <w:tcPr>
            <w:tcW w:w="987" w:type="dxa"/>
            <w:shd w:val="clear" w:color="000000" w:fill="FFFFFF"/>
            <w:tcMar>
              <w:left w:w="108" w:type="dxa"/>
              <w:right w:w="108" w:type="dxa"/>
            </w:tcMar>
            <w:vAlign w:val="center"/>
          </w:tcPr>
          <w:p w14:paraId="6035E151">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客观分</w:t>
            </w:r>
          </w:p>
        </w:tc>
        <w:tc>
          <w:tcPr>
            <w:tcW w:w="1985" w:type="dxa"/>
            <w:shd w:val="clear" w:color="000000" w:fill="FFFFFF"/>
            <w:tcMar>
              <w:left w:w="108" w:type="dxa"/>
              <w:right w:w="108" w:type="dxa"/>
            </w:tcMar>
            <w:vAlign w:val="center"/>
          </w:tcPr>
          <w:p w14:paraId="1CA23AD0">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p>
        </w:tc>
      </w:tr>
      <w:tr w14:paraId="180E9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5283" w:hRule="atLeast"/>
          <w:jc w:val="center"/>
        </w:trPr>
        <w:tc>
          <w:tcPr>
            <w:tcW w:w="697" w:type="dxa"/>
            <w:shd w:val="clear" w:color="000000" w:fill="FFFFFF"/>
            <w:tcMar>
              <w:left w:w="108" w:type="dxa"/>
              <w:right w:w="108" w:type="dxa"/>
            </w:tcMar>
            <w:vAlign w:val="center"/>
          </w:tcPr>
          <w:p w14:paraId="1CD76264">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3</w:t>
            </w:r>
          </w:p>
        </w:tc>
        <w:tc>
          <w:tcPr>
            <w:tcW w:w="5862" w:type="dxa"/>
            <w:gridSpan w:val="2"/>
            <w:shd w:val="clear" w:color="000000" w:fill="FFFFFF"/>
            <w:tcMar>
              <w:left w:w="108" w:type="dxa"/>
              <w:right w:w="108" w:type="dxa"/>
            </w:tcMar>
            <w:vAlign w:val="center"/>
          </w:tcPr>
          <w:p w14:paraId="75D4DAFC">
            <w:pPr>
              <w:spacing w:before="0" w:after="0" w:line="360" w:lineRule="auto"/>
              <w:ind w:left="0" w:right="0" w:firstLine="0"/>
              <w:jc w:val="left"/>
              <w:rPr>
                <w:rFonts w:hint="eastAsia" w:ascii="宋体" w:hAnsi="宋体" w:eastAsia="宋体" w:cs="宋体"/>
                <w:b w:val="0"/>
                <w:bCs w:val="0"/>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项目管理人员素质：</w:t>
            </w:r>
          </w:p>
          <w:p w14:paraId="78F546FF">
            <w:pPr>
              <w:spacing w:before="0" w:after="0" w:line="360" w:lineRule="auto"/>
              <w:ind w:left="0" w:right="0" w:firstLine="0"/>
              <w:jc w:val="left"/>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（1）</w:t>
            </w:r>
            <w:r>
              <w:rPr>
                <w:rFonts w:hint="eastAsia" w:ascii="宋体" w:hAnsi="宋体" w:eastAsia="宋体" w:cs="宋体"/>
                <w:color w:val="auto"/>
                <w:spacing w:val="0"/>
                <w:position w:val="0"/>
                <w:sz w:val="24"/>
                <w:szCs w:val="24"/>
                <w:highlight w:val="none"/>
                <w:shd w:val="clear" w:fill="auto"/>
                <w:lang w:val="en-US" w:eastAsia="zh-CN"/>
              </w:rPr>
              <w:t>项目经理：</w:t>
            </w:r>
            <w:r>
              <w:rPr>
                <w:rFonts w:hint="eastAsia" w:ascii="宋体" w:hAnsi="宋体" w:eastAsia="宋体" w:cs="宋体"/>
                <w:color w:val="auto"/>
                <w:spacing w:val="0"/>
                <w:position w:val="0"/>
                <w:sz w:val="24"/>
                <w:szCs w:val="24"/>
                <w:highlight w:val="none"/>
                <w:shd w:val="clear" w:fill="auto"/>
              </w:rPr>
              <w:t>截止投标时间年龄</w:t>
            </w:r>
            <w:r>
              <w:rPr>
                <w:rFonts w:hint="eastAsia" w:ascii="宋体" w:hAnsi="宋体" w:eastAsia="宋体" w:cs="宋体"/>
                <w:color w:val="auto"/>
                <w:spacing w:val="0"/>
                <w:position w:val="0"/>
                <w:sz w:val="24"/>
                <w:szCs w:val="24"/>
                <w:highlight w:val="none"/>
                <w:shd w:val="clear" w:fill="auto"/>
                <w:lang w:val="en-US" w:eastAsia="zh-CN"/>
              </w:rPr>
              <w:t>50</w:t>
            </w:r>
            <w:r>
              <w:rPr>
                <w:rFonts w:hint="eastAsia" w:ascii="宋体" w:hAnsi="宋体" w:eastAsia="宋体" w:cs="宋体"/>
                <w:color w:val="auto"/>
                <w:spacing w:val="0"/>
                <w:position w:val="0"/>
                <w:sz w:val="24"/>
                <w:szCs w:val="24"/>
                <w:highlight w:val="none"/>
                <w:shd w:val="clear" w:fill="auto"/>
              </w:rPr>
              <w:t>周岁</w:t>
            </w:r>
            <w:r>
              <w:rPr>
                <w:rFonts w:hint="eastAsia" w:ascii="宋体" w:hAnsi="宋体" w:cs="宋体"/>
                <w:color w:val="auto"/>
                <w:spacing w:val="0"/>
                <w:position w:val="0"/>
                <w:sz w:val="24"/>
                <w:szCs w:val="24"/>
                <w:highlight w:val="none"/>
                <w:shd w:val="clear" w:fill="auto"/>
                <w:lang w:val="en-US" w:eastAsia="zh-CN"/>
              </w:rPr>
              <w:t>及</w:t>
            </w:r>
            <w:r>
              <w:rPr>
                <w:rFonts w:hint="eastAsia" w:ascii="宋体" w:hAnsi="宋体" w:eastAsia="宋体" w:cs="宋体"/>
                <w:color w:val="auto"/>
                <w:spacing w:val="0"/>
                <w:position w:val="0"/>
                <w:sz w:val="24"/>
                <w:szCs w:val="24"/>
                <w:highlight w:val="none"/>
                <w:shd w:val="clear" w:fill="auto"/>
              </w:rPr>
              <w:t>以下，具有</w:t>
            </w:r>
            <w:r>
              <w:rPr>
                <w:rFonts w:hint="eastAsia" w:ascii="宋体" w:hAnsi="宋体" w:eastAsia="宋体" w:cs="宋体"/>
                <w:color w:val="auto"/>
                <w:spacing w:val="0"/>
                <w:position w:val="0"/>
                <w:sz w:val="24"/>
                <w:szCs w:val="24"/>
                <w:highlight w:val="none"/>
                <w:shd w:val="clear" w:fill="auto"/>
                <w:lang w:val="en-US" w:eastAsia="zh-CN"/>
              </w:rPr>
              <w:t>大专</w:t>
            </w:r>
            <w:r>
              <w:rPr>
                <w:rFonts w:hint="eastAsia" w:ascii="宋体" w:hAnsi="宋体" w:eastAsia="宋体" w:cs="宋体"/>
                <w:color w:val="auto"/>
                <w:spacing w:val="0"/>
                <w:position w:val="0"/>
                <w:sz w:val="24"/>
                <w:szCs w:val="24"/>
                <w:highlight w:val="none"/>
                <w:shd w:val="clear" w:fill="auto"/>
              </w:rPr>
              <w:t>及以上学历</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具有物业管理师</w:t>
            </w:r>
            <w:r>
              <w:rPr>
                <w:rFonts w:hint="eastAsia" w:ascii="宋体" w:hAnsi="宋体" w:eastAsia="宋体" w:cs="宋体"/>
                <w:color w:val="auto"/>
                <w:spacing w:val="0"/>
                <w:position w:val="0"/>
                <w:sz w:val="24"/>
                <w:szCs w:val="24"/>
                <w:highlight w:val="none"/>
                <w:shd w:val="clear" w:fill="auto"/>
                <w:lang w:eastAsia="zh-CN"/>
              </w:rPr>
              <w:t>证，</w:t>
            </w:r>
            <w:r>
              <w:rPr>
                <w:rFonts w:hint="eastAsia" w:ascii="宋体" w:hAnsi="宋体" w:eastAsia="宋体" w:cs="宋体"/>
                <w:color w:val="auto"/>
                <w:spacing w:val="0"/>
                <w:position w:val="0"/>
                <w:sz w:val="24"/>
                <w:szCs w:val="24"/>
                <w:highlight w:val="none"/>
                <w:shd w:val="clear" w:fill="auto"/>
                <w:lang w:val="en-US" w:eastAsia="zh-CN"/>
              </w:rPr>
              <w:t>以上同时具有的得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lang w:val="en-US" w:eastAsia="zh-CN"/>
              </w:rPr>
              <w:t>分</w:t>
            </w:r>
            <w:r>
              <w:rPr>
                <w:rFonts w:hint="eastAsia" w:ascii="宋体" w:hAnsi="宋体" w:eastAsia="宋体" w:cs="宋体"/>
                <w:color w:val="auto"/>
                <w:spacing w:val="0"/>
                <w:position w:val="0"/>
                <w:sz w:val="24"/>
                <w:szCs w:val="24"/>
                <w:highlight w:val="none"/>
                <w:shd w:val="clear" w:fill="auto"/>
              </w:rPr>
              <w:t>，本项最高得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rPr>
              <w:t>分；</w:t>
            </w:r>
          </w:p>
          <w:p w14:paraId="49422AFC">
            <w:pPr>
              <w:spacing w:before="0" w:after="0" w:line="360" w:lineRule="auto"/>
              <w:ind w:left="0" w:right="0" w:firstLine="0"/>
              <w:jc w:val="left"/>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（2）</w:t>
            </w:r>
            <w:r>
              <w:rPr>
                <w:rFonts w:hint="eastAsia" w:ascii="宋体" w:hAnsi="宋体" w:eastAsia="宋体" w:cs="宋体"/>
                <w:color w:val="auto"/>
                <w:spacing w:val="0"/>
                <w:position w:val="0"/>
                <w:sz w:val="24"/>
                <w:szCs w:val="24"/>
                <w:highlight w:val="none"/>
                <w:shd w:val="clear" w:fill="auto"/>
                <w:lang w:val="en-US" w:eastAsia="zh-CN"/>
              </w:rPr>
              <w:t>安全经理</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rPr>
              <w:t>截止投标时间年龄</w:t>
            </w:r>
            <w:r>
              <w:rPr>
                <w:rFonts w:hint="eastAsia" w:ascii="宋体" w:hAnsi="宋体" w:eastAsia="宋体" w:cs="宋体"/>
                <w:color w:val="auto"/>
                <w:spacing w:val="0"/>
                <w:position w:val="0"/>
                <w:sz w:val="24"/>
                <w:szCs w:val="24"/>
                <w:highlight w:val="none"/>
                <w:shd w:val="clear" w:fill="auto"/>
                <w:lang w:val="en-US" w:eastAsia="zh-CN"/>
              </w:rPr>
              <w:t>50</w:t>
            </w:r>
            <w:r>
              <w:rPr>
                <w:rFonts w:hint="eastAsia" w:ascii="宋体" w:hAnsi="宋体" w:eastAsia="宋体" w:cs="宋体"/>
                <w:color w:val="auto"/>
                <w:spacing w:val="0"/>
                <w:position w:val="0"/>
                <w:sz w:val="24"/>
                <w:szCs w:val="24"/>
                <w:highlight w:val="none"/>
                <w:shd w:val="clear" w:fill="auto"/>
              </w:rPr>
              <w:t>周岁</w:t>
            </w:r>
            <w:r>
              <w:rPr>
                <w:rFonts w:hint="eastAsia" w:ascii="宋体" w:hAnsi="宋体" w:cs="宋体"/>
                <w:color w:val="auto"/>
                <w:spacing w:val="0"/>
                <w:position w:val="0"/>
                <w:sz w:val="24"/>
                <w:szCs w:val="24"/>
                <w:highlight w:val="none"/>
                <w:shd w:val="clear" w:fill="auto"/>
                <w:lang w:val="en-US" w:eastAsia="zh-CN"/>
              </w:rPr>
              <w:t>及</w:t>
            </w:r>
            <w:r>
              <w:rPr>
                <w:rFonts w:hint="eastAsia" w:ascii="宋体" w:hAnsi="宋体" w:eastAsia="宋体" w:cs="宋体"/>
                <w:color w:val="auto"/>
                <w:spacing w:val="0"/>
                <w:position w:val="0"/>
                <w:sz w:val="24"/>
                <w:szCs w:val="24"/>
                <w:highlight w:val="none"/>
                <w:shd w:val="clear" w:fill="auto"/>
              </w:rPr>
              <w:t>以下，具有大专及以上学历</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具有保安员证，以上同时具有的得4分，</w:t>
            </w:r>
            <w:r>
              <w:rPr>
                <w:rFonts w:hint="eastAsia" w:ascii="宋体" w:hAnsi="宋体" w:eastAsia="宋体" w:cs="宋体"/>
                <w:color w:val="auto"/>
                <w:spacing w:val="0"/>
                <w:position w:val="0"/>
                <w:sz w:val="24"/>
                <w:szCs w:val="24"/>
                <w:highlight w:val="none"/>
                <w:shd w:val="clear" w:fill="auto"/>
              </w:rPr>
              <w:t>没有不得分，本项最高得</w:t>
            </w:r>
            <w:r>
              <w:rPr>
                <w:rFonts w:hint="eastAsia" w:ascii="宋体" w:hAnsi="宋体" w:eastAsia="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rPr>
              <w:t>分。</w:t>
            </w:r>
          </w:p>
          <w:p w14:paraId="21FCB1C2">
            <w:pPr>
              <w:spacing w:before="0" w:after="0" w:line="360" w:lineRule="auto"/>
              <w:ind w:left="0" w:right="0" w:firstLine="0"/>
              <w:jc w:val="left"/>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3</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工程经理：</w:t>
            </w:r>
            <w:r>
              <w:rPr>
                <w:rFonts w:hint="eastAsia" w:ascii="宋体" w:hAnsi="宋体" w:eastAsia="宋体" w:cs="宋体"/>
                <w:color w:val="auto"/>
                <w:spacing w:val="0"/>
                <w:position w:val="0"/>
                <w:sz w:val="24"/>
                <w:szCs w:val="24"/>
                <w:highlight w:val="none"/>
                <w:shd w:val="clear" w:fill="auto"/>
              </w:rPr>
              <w:t>截止投标时间年龄</w:t>
            </w:r>
            <w:r>
              <w:rPr>
                <w:rFonts w:hint="eastAsia" w:ascii="宋体" w:hAnsi="宋体" w:eastAsia="宋体" w:cs="宋体"/>
                <w:color w:val="auto"/>
                <w:spacing w:val="0"/>
                <w:position w:val="0"/>
                <w:sz w:val="24"/>
                <w:szCs w:val="24"/>
                <w:highlight w:val="none"/>
                <w:shd w:val="clear" w:fill="auto"/>
                <w:lang w:val="en-US" w:eastAsia="zh-CN"/>
              </w:rPr>
              <w:t>50</w:t>
            </w:r>
            <w:r>
              <w:rPr>
                <w:rFonts w:hint="eastAsia" w:ascii="宋体" w:hAnsi="宋体" w:eastAsia="宋体" w:cs="宋体"/>
                <w:color w:val="auto"/>
                <w:spacing w:val="0"/>
                <w:position w:val="0"/>
                <w:sz w:val="24"/>
                <w:szCs w:val="24"/>
                <w:highlight w:val="none"/>
                <w:shd w:val="clear" w:fill="auto"/>
              </w:rPr>
              <w:t>周岁</w:t>
            </w:r>
            <w:r>
              <w:rPr>
                <w:rFonts w:hint="eastAsia" w:ascii="宋体" w:hAnsi="宋体" w:cs="宋体"/>
                <w:color w:val="auto"/>
                <w:spacing w:val="0"/>
                <w:position w:val="0"/>
                <w:sz w:val="24"/>
                <w:szCs w:val="24"/>
                <w:highlight w:val="none"/>
                <w:shd w:val="clear" w:fill="auto"/>
                <w:lang w:val="en-US" w:eastAsia="zh-CN"/>
              </w:rPr>
              <w:t>及</w:t>
            </w:r>
            <w:r>
              <w:rPr>
                <w:rFonts w:hint="eastAsia" w:ascii="宋体" w:hAnsi="宋体" w:eastAsia="宋体" w:cs="宋体"/>
                <w:color w:val="auto"/>
                <w:spacing w:val="0"/>
                <w:position w:val="0"/>
                <w:sz w:val="24"/>
                <w:szCs w:val="24"/>
                <w:highlight w:val="none"/>
                <w:shd w:val="clear" w:fill="auto"/>
              </w:rPr>
              <w:t>以下，具有</w:t>
            </w:r>
            <w:r>
              <w:rPr>
                <w:rFonts w:hint="eastAsia" w:ascii="宋体" w:hAnsi="宋体" w:eastAsia="宋体" w:cs="宋体"/>
                <w:color w:val="auto"/>
                <w:spacing w:val="0"/>
                <w:position w:val="0"/>
                <w:sz w:val="24"/>
                <w:szCs w:val="24"/>
                <w:highlight w:val="none"/>
                <w:shd w:val="clear" w:fill="auto"/>
                <w:lang w:val="en-US" w:eastAsia="zh-CN"/>
              </w:rPr>
              <w:t>大专</w:t>
            </w:r>
            <w:r>
              <w:rPr>
                <w:rFonts w:hint="eastAsia" w:ascii="宋体" w:hAnsi="宋体" w:eastAsia="宋体" w:cs="宋体"/>
                <w:color w:val="auto"/>
                <w:spacing w:val="0"/>
                <w:position w:val="0"/>
                <w:sz w:val="24"/>
                <w:szCs w:val="24"/>
                <w:highlight w:val="none"/>
                <w:shd w:val="clear" w:fill="auto"/>
              </w:rPr>
              <w:t>及以上学历</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rPr>
              <w:t>具有</w:t>
            </w:r>
            <w:r>
              <w:rPr>
                <w:rFonts w:hint="eastAsia" w:ascii="宋体" w:hAnsi="宋体" w:eastAsia="宋体" w:cs="宋体"/>
                <w:color w:val="auto"/>
                <w:spacing w:val="0"/>
                <w:position w:val="0"/>
                <w:sz w:val="24"/>
                <w:szCs w:val="24"/>
                <w:highlight w:val="none"/>
                <w:shd w:val="clear" w:fill="auto"/>
                <w:lang w:eastAsia="zh-CN"/>
              </w:rPr>
              <w:t>一级建造师注册证书，具有安全生产考核合格证书，</w:t>
            </w:r>
            <w:r>
              <w:rPr>
                <w:rFonts w:hint="eastAsia" w:ascii="宋体" w:hAnsi="宋体" w:eastAsia="宋体" w:cs="宋体"/>
                <w:color w:val="auto"/>
                <w:spacing w:val="0"/>
                <w:position w:val="0"/>
                <w:sz w:val="24"/>
                <w:szCs w:val="24"/>
                <w:highlight w:val="none"/>
                <w:shd w:val="clear" w:fill="auto"/>
                <w:lang w:val="en-US" w:eastAsia="zh-CN"/>
              </w:rPr>
              <w:t>以上同时具有的得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lang w:val="en-US" w:eastAsia="zh-CN"/>
              </w:rPr>
              <w:t>分，本项最高得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lang w:val="en-US" w:eastAsia="zh-CN"/>
              </w:rPr>
              <w:t>分。</w:t>
            </w:r>
          </w:p>
          <w:p w14:paraId="52883D2B">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b/>
                <w:bCs/>
                <w:color w:val="auto"/>
                <w:spacing w:val="0"/>
                <w:position w:val="0"/>
                <w:sz w:val="24"/>
                <w:szCs w:val="24"/>
                <w:highlight w:val="none"/>
                <w:shd w:val="clear" w:fill="auto"/>
              </w:rPr>
              <w:t>注：投标文件中同时提供相关有效证书复制件加盖公章及在</w:t>
            </w:r>
            <w:r>
              <w:rPr>
                <w:rFonts w:hint="eastAsia" w:ascii="宋体" w:hAnsi="宋体" w:cs="宋体"/>
                <w:b/>
                <w:bCs/>
                <w:color w:val="auto"/>
                <w:spacing w:val="0"/>
                <w:position w:val="0"/>
                <w:sz w:val="24"/>
                <w:szCs w:val="24"/>
                <w:highlight w:val="none"/>
                <w:shd w:val="clear" w:fill="auto"/>
                <w:lang w:val="en-US" w:eastAsia="zh-CN"/>
              </w:rPr>
              <w:t>投标</w:t>
            </w:r>
            <w:r>
              <w:rPr>
                <w:rFonts w:hint="eastAsia" w:ascii="宋体" w:hAnsi="宋体" w:eastAsia="宋体" w:cs="宋体"/>
                <w:b/>
                <w:bCs/>
                <w:color w:val="auto"/>
                <w:spacing w:val="0"/>
                <w:position w:val="0"/>
                <w:sz w:val="24"/>
                <w:szCs w:val="24"/>
                <w:highlight w:val="none"/>
                <w:shd w:val="clear" w:fill="auto"/>
              </w:rPr>
              <w:t>供应商单位</w:t>
            </w:r>
            <w:r>
              <w:rPr>
                <w:rFonts w:hint="eastAsia" w:ascii="宋体" w:hAnsi="宋体" w:cs="宋体"/>
                <w:b/>
                <w:bCs/>
                <w:color w:val="auto"/>
                <w:spacing w:val="0"/>
                <w:position w:val="0"/>
                <w:sz w:val="24"/>
                <w:szCs w:val="24"/>
                <w:highlight w:val="none"/>
                <w:shd w:val="clear" w:fill="auto"/>
                <w:lang w:val="en-US" w:eastAsia="zh-CN"/>
              </w:rPr>
              <w:t>最近</w:t>
            </w:r>
            <w:r>
              <w:rPr>
                <w:rFonts w:hint="eastAsia" w:ascii="宋体" w:hAnsi="宋体" w:eastAsia="宋体" w:cs="宋体"/>
                <w:b/>
                <w:bCs/>
                <w:color w:val="auto"/>
                <w:spacing w:val="0"/>
                <w:position w:val="0"/>
                <w:sz w:val="24"/>
                <w:szCs w:val="24"/>
                <w:highlight w:val="none"/>
                <w:shd w:val="clear" w:fill="auto"/>
              </w:rPr>
              <w:t>的社保缴纳</w:t>
            </w:r>
            <w:r>
              <w:rPr>
                <w:rFonts w:hint="eastAsia" w:ascii="宋体" w:hAnsi="宋体" w:cs="宋体"/>
                <w:b/>
                <w:bCs/>
                <w:color w:val="auto"/>
                <w:spacing w:val="0"/>
                <w:position w:val="0"/>
                <w:sz w:val="24"/>
                <w:szCs w:val="24"/>
                <w:highlight w:val="none"/>
                <w:shd w:val="clear" w:fill="auto"/>
                <w:lang w:val="en-US" w:eastAsia="zh-CN"/>
              </w:rPr>
              <w:t>证明材料</w:t>
            </w:r>
            <w:r>
              <w:rPr>
                <w:rFonts w:hint="eastAsia" w:ascii="宋体" w:hAnsi="宋体" w:eastAsia="宋体" w:cs="宋体"/>
                <w:b/>
                <w:bCs/>
                <w:color w:val="auto"/>
                <w:spacing w:val="0"/>
                <w:position w:val="0"/>
                <w:sz w:val="24"/>
                <w:szCs w:val="24"/>
                <w:highlight w:val="none"/>
                <w:shd w:val="clear" w:fill="auto"/>
              </w:rPr>
              <w:t>复制件加盖公章，否则不得分。</w:t>
            </w:r>
          </w:p>
        </w:tc>
        <w:tc>
          <w:tcPr>
            <w:tcW w:w="513" w:type="dxa"/>
            <w:shd w:val="clear" w:color="000000" w:fill="FFFFFF"/>
            <w:tcMar>
              <w:left w:w="108" w:type="dxa"/>
              <w:right w:w="108" w:type="dxa"/>
            </w:tcMar>
            <w:vAlign w:val="center"/>
          </w:tcPr>
          <w:p w14:paraId="6D4FF125">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color w:val="auto"/>
                <w:spacing w:val="0"/>
                <w:position w:val="0"/>
                <w:sz w:val="24"/>
                <w:szCs w:val="24"/>
                <w:shd w:val="clear" w:fill="auto"/>
                <w:lang w:val="en-US" w:eastAsia="zh-CN"/>
              </w:rPr>
              <w:t>12</w:t>
            </w:r>
          </w:p>
        </w:tc>
        <w:tc>
          <w:tcPr>
            <w:tcW w:w="987" w:type="dxa"/>
            <w:shd w:val="clear" w:color="000000" w:fill="FFFFFF"/>
            <w:tcMar>
              <w:left w:w="108" w:type="dxa"/>
              <w:right w:w="108" w:type="dxa"/>
            </w:tcMar>
            <w:vAlign w:val="center"/>
          </w:tcPr>
          <w:p w14:paraId="325C17AB">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客观分</w:t>
            </w:r>
          </w:p>
        </w:tc>
        <w:tc>
          <w:tcPr>
            <w:tcW w:w="1985" w:type="dxa"/>
            <w:shd w:val="clear" w:color="000000" w:fill="FFFFFF"/>
            <w:tcMar>
              <w:left w:w="108" w:type="dxa"/>
              <w:right w:w="108" w:type="dxa"/>
            </w:tcMar>
            <w:vAlign w:val="center"/>
          </w:tcPr>
          <w:p w14:paraId="71A6FA3C">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4B21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475" w:hRule="atLeast"/>
          <w:jc w:val="center"/>
        </w:trPr>
        <w:tc>
          <w:tcPr>
            <w:tcW w:w="697" w:type="dxa"/>
            <w:shd w:val="clear" w:color="000000" w:fill="FFFFFF"/>
            <w:tcMar>
              <w:left w:w="108" w:type="dxa"/>
              <w:right w:w="108" w:type="dxa"/>
            </w:tcMar>
            <w:vAlign w:val="center"/>
          </w:tcPr>
          <w:p w14:paraId="57F7DB77">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5862" w:type="dxa"/>
            <w:gridSpan w:val="2"/>
            <w:shd w:val="clear" w:color="000000" w:fill="FFFFFF"/>
            <w:tcMar>
              <w:left w:w="108" w:type="dxa"/>
              <w:right w:w="108" w:type="dxa"/>
            </w:tcMar>
            <w:vAlign w:val="center"/>
          </w:tcPr>
          <w:p w14:paraId="7D78D1A0">
            <w:pPr>
              <w:spacing w:before="0" w:after="0" w:line="360" w:lineRule="auto"/>
              <w:ind w:left="0" w:right="0" w:firstLine="0"/>
              <w:jc w:val="both"/>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服务设想、理念、目标</w:t>
            </w: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eastAsia="宋体" w:cs="宋体"/>
                <w:color w:val="auto"/>
                <w:spacing w:val="0"/>
                <w:position w:val="0"/>
                <w:sz w:val="24"/>
                <w:szCs w:val="24"/>
                <w:shd w:val="clear" w:fill="auto"/>
                <w:lang w:val="en-US" w:eastAsia="zh-CN"/>
              </w:rPr>
              <w:t>根据本项目特点提出合理的服务设想、服务理念和服务目标。服务设想、理论和目标</w:t>
            </w:r>
            <w:r>
              <w:rPr>
                <w:rFonts w:hint="eastAsia" w:ascii="宋体" w:hAnsi="宋体" w:eastAsia="宋体" w:cs="宋体"/>
                <w:color w:val="auto"/>
                <w:spacing w:val="0"/>
                <w:position w:val="0"/>
                <w:sz w:val="24"/>
                <w:szCs w:val="24"/>
                <w:shd w:val="clear" w:fill="auto"/>
              </w:rPr>
              <w:t>针对性强的得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分；服务设想、理论和目标针对性较强的，得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分，服务设想、理论和目标欠缺针对性的，得1分。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2C9765F3">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7D4AAF2E">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lang w:val="en-US" w:eastAsia="zh-CN"/>
              </w:rPr>
              <w:t>主观</w:t>
            </w:r>
            <w:r>
              <w:rPr>
                <w:rFonts w:hint="eastAsia" w:ascii="宋体" w:hAnsi="宋体" w:eastAsia="宋体" w:cs="宋体"/>
                <w:color w:val="auto"/>
                <w:spacing w:val="0"/>
                <w:position w:val="0"/>
                <w:sz w:val="24"/>
                <w:szCs w:val="24"/>
                <w:shd w:val="clear" w:fill="auto"/>
              </w:rPr>
              <w:t>分</w:t>
            </w:r>
          </w:p>
        </w:tc>
        <w:tc>
          <w:tcPr>
            <w:tcW w:w="1985" w:type="dxa"/>
            <w:shd w:val="clear" w:color="000000" w:fill="FFFFFF"/>
            <w:tcMar>
              <w:left w:w="108" w:type="dxa"/>
              <w:right w:w="108" w:type="dxa"/>
            </w:tcMar>
            <w:vAlign w:val="center"/>
          </w:tcPr>
          <w:p w14:paraId="5A976484">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p>
        </w:tc>
      </w:tr>
      <w:tr w14:paraId="6E74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511" w:hRule="atLeast"/>
          <w:jc w:val="center"/>
        </w:trPr>
        <w:tc>
          <w:tcPr>
            <w:tcW w:w="697" w:type="dxa"/>
            <w:shd w:val="clear" w:color="000000" w:fill="FFFFFF"/>
            <w:tcMar>
              <w:left w:w="108" w:type="dxa"/>
              <w:right w:w="108" w:type="dxa"/>
            </w:tcMar>
            <w:vAlign w:val="center"/>
          </w:tcPr>
          <w:p w14:paraId="7D704C91">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5</w:t>
            </w:r>
          </w:p>
        </w:tc>
        <w:tc>
          <w:tcPr>
            <w:tcW w:w="5862" w:type="dxa"/>
            <w:gridSpan w:val="2"/>
            <w:shd w:val="clear" w:color="000000" w:fill="FFFFFF"/>
            <w:tcMar>
              <w:left w:w="108" w:type="dxa"/>
              <w:right w:w="108" w:type="dxa"/>
            </w:tcMar>
            <w:vAlign w:val="center"/>
          </w:tcPr>
          <w:p w14:paraId="22C78D20">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质量管理体系和考核制度：</w:t>
            </w:r>
            <w:r>
              <w:rPr>
                <w:rFonts w:hint="eastAsia" w:ascii="宋体" w:hAnsi="宋体" w:eastAsia="宋体" w:cs="宋体"/>
                <w:color w:val="auto"/>
                <w:sz w:val="24"/>
                <w:szCs w:val="24"/>
              </w:rPr>
              <w:t>针对本项目有完善的组织架构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管理制度，清晰简练地列出主要管理流程，包括</w:t>
            </w:r>
            <w:r>
              <w:rPr>
                <w:rFonts w:hint="eastAsia" w:ascii="宋体" w:hAnsi="宋体" w:eastAsia="宋体" w:cs="宋体"/>
                <w:b/>
                <w:bCs/>
                <w:color w:val="auto"/>
                <w:sz w:val="24"/>
                <w:szCs w:val="24"/>
              </w:rPr>
              <w:t>①</w:t>
            </w:r>
            <w:r>
              <w:rPr>
                <w:rFonts w:hint="eastAsia" w:ascii="宋体" w:hAnsi="宋体" w:eastAsia="宋体" w:cs="宋体"/>
                <w:b/>
                <w:color w:val="auto"/>
                <w:sz w:val="24"/>
                <w:szCs w:val="24"/>
              </w:rPr>
              <w:t>组织架构和</w:t>
            </w:r>
            <w:r>
              <w:rPr>
                <w:rFonts w:hint="eastAsia" w:ascii="宋体" w:hAnsi="宋体" w:eastAsia="宋体" w:cs="宋体"/>
                <w:b/>
                <w:bCs/>
                <w:color w:val="auto"/>
                <w:sz w:val="24"/>
                <w:szCs w:val="24"/>
              </w:rPr>
              <w:t>运作流程图、②激励机制、③监督机制、④自我约束机制、⑤信息反馈渠道及处理机制</w:t>
            </w:r>
            <w:r>
              <w:rPr>
                <w:rFonts w:hint="eastAsia" w:ascii="宋体" w:hAnsi="宋体" w:eastAsia="宋体" w:cs="宋体"/>
                <w:color w:val="auto"/>
                <w:sz w:val="24"/>
                <w:szCs w:val="24"/>
              </w:rPr>
              <w:t>。</w:t>
            </w:r>
            <w:r>
              <w:rPr>
                <w:rFonts w:hint="eastAsia" w:ascii="宋体" w:hAnsi="宋体" w:eastAsia="宋体" w:cs="宋体"/>
                <w:color w:val="auto"/>
                <w:spacing w:val="0"/>
                <w:position w:val="0"/>
                <w:sz w:val="24"/>
                <w:szCs w:val="24"/>
                <w:shd w:val="clear" w:fill="auto"/>
                <w:lang w:val="en-US" w:eastAsia="zh-CN"/>
              </w:rPr>
              <w:t>组织架构完善，管理制度</w:t>
            </w:r>
            <w:r>
              <w:rPr>
                <w:rFonts w:hint="eastAsia" w:ascii="宋体" w:hAnsi="宋体" w:eastAsia="宋体" w:cs="宋体"/>
                <w:color w:val="auto"/>
                <w:spacing w:val="0"/>
                <w:position w:val="0"/>
                <w:sz w:val="24"/>
                <w:szCs w:val="24"/>
                <w:shd w:val="clear" w:fill="auto"/>
              </w:rPr>
              <w:t>针对性强的得</w:t>
            </w:r>
            <w:r>
              <w:rPr>
                <w:rFonts w:hint="eastAsia" w:ascii="宋体" w:hAnsi="宋体" w:cs="宋体"/>
                <w:color w:val="auto"/>
                <w:spacing w:val="0"/>
                <w:position w:val="0"/>
                <w:sz w:val="24"/>
                <w:szCs w:val="24"/>
                <w:shd w:val="clear" w:fill="auto"/>
                <w:lang w:val="en-US" w:eastAsia="zh-CN"/>
              </w:rPr>
              <w:t>5</w:t>
            </w:r>
            <w:r>
              <w:rPr>
                <w:rFonts w:hint="eastAsia" w:ascii="宋体" w:hAnsi="宋体" w:eastAsia="宋体" w:cs="宋体"/>
                <w:color w:val="auto"/>
                <w:spacing w:val="0"/>
                <w:position w:val="0"/>
                <w:sz w:val="24"/>
                <w:szCs w:val="24"/>
                <w:shd w:val="clear" w:fill="auto"/>
              </w:rPr>
              <w:t>分；组织架构</w:t>
            </w:r>
            <w:r>
              <w:rPr>
                <w:rFonts w:hint="eastAsia" w:ascii="宋体" w:hAnsi="宋体" w:eastAsia="宋体" w:cs="宋体"/>
                <w:color w:val="auto"/>
                <w:spacing w:val="0"/>
                <w:position w:val="0"/>
                <w:sz w:val="24"/>
                <w:szCs w:val="24"/>
                <w:shd w:val="clear" w:fill="auto"/>
                <w:lang w:val="en-US" w:eastAsia="zh-CN"/>
              </w:rPr>
              <w:t>较</w:t>
            </w:r>
            <w:r>
              <w:rPr>
                <w:rFonts w:hint="eastAsia" w:ascii="宋体" w:hAnsi="宋体" w:eastAsia="宋体" w:cs="宋体"/>
                <w:color w:val="auto"/>
                <w:spacing w:val="0"/>
                <w:position w:val="0"/>
                <w:sz w:val="24"/>
                <w:szCs w:val="24"/>
                <w:shd w:val="clear" w:fill="auto"/>
              </w:rPr>
              <w:t>完善，管理制度针对性较强的，得</w:t>
            </w:r>
            <w:r>
              <w:rPr>
                <w:rFonts w:hint="eastAsia" w:ascii="宋体" w:hAnsi="宋体" w:cs="宋体"/>
                <w:color w:val="auto"/>
                <w:spacing w:val="0"/>
                <w:position w:val="0"/>
                <w:sz w:val="24"/>
                <w:szCs w:val="24"/>
                <w:shd w:val="clear" w:fill="auto"/>
                <w:lang w:val="en-US" w:eastAsia="zh-CN"/>
              </w:rPr>
              <w:t>3</w:t>
            </w:r>
            <w:r>
              <w:rPr>
                <w:rFonts w:hint="eastAsia" w:ascii="宋体" w:hAnsi="宋体" w:eastAsia="宋体" w:cs="宋体"/>
                <w:color w:val="auto"/>
                <w:spacing w:val="0"/>
                <w:position w:val="0"/>
                <w:sz w:val="24"/>
                <w:szCs w:val="24"/>
                <w:shd w:val="clear" w:fill="auto"/>
              </w:rPr>
              <w:t>分，</w:t>
            </w:r>
            <w:r>
              <w:rPr>
                <w:rFonts w:hint="eastAsia" w:ascii="宋体" w:hAnsi="宋体" w:eastAsia="宋体" w:cs="宋体"/>
                <w:color w:val="auto"/>
                <w:spacing w:val="0"/>
                <w:position w:val="0"/>
                <w:sz w:val="24"/>
                <w:szCs w:val="24"/>
                <w:shd w:val="clear" w:fill="auto"/>
                <w:lang w:val="en-US" w:eastAsia="zh-CN"/>
              </w:rPr>
              <w:t>组织架构有欠缺，管理制度</w:t>
            </w:r>
            <w:r>
              <w:rPr>
                <w:rFonts w:hint="eastAsia" w:ascii="宋体" w:hAnsi="宋体" w:eastAsia="宋体" w:cs="宋体"/>
                <w:color w:val="auto"/>
                <w:spacing w:val="0"/>
                <w:position w:val="0"/>
                <w:sz w:val="24"/>
                <w:szCs w:val="24"/>
                <w:shd w:val="clear" w:fill="auto"/>
              </w:rPr>
              <w:t>欠缺针对性的，得1分。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07EBF17">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5</w:t>
            </w:r>
          </w:p>
        </w:tc>
        <w:tc>
          <w:tcPr>
            <w:tcW w:w="987" w:type="dxa"/>
            <w:shd w:val="clear" w:color="000000" w:fill="FFFFFF"/>
            <w:tcMar>
              <w:left w:w="108" w:type="dxa"/>
              <w:right w:w="108" w:type="dxa"/>
            </w:tcMar>
            <w:vAlign w:val="center"/>
          </w:tcPr>
          <w:p w14:paraId="49F0779D">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color w:val="auto"/>
                <w:spacing w:val="0"/>
                <w:position w:val="0"/>
                <w:sz w:val="24"/>
                <w:szCs w:val="24"/>
                <w:shd w:val="clear" w:fill="auto"/>
                <w:lang w:val="en-US" w:eastAsia="zh-CN"/>
              </w:rPr>
              <w:t>主观分</w:t>
            </w:r>
          </w:p>
        </w:tc>
        <w:tc>
          <w:tcPr>
            <w:tcW w:w="1985" w:type="dxa"/>
            <w:shd w:val="clear" w:color="000000" w:fill="FFFFFF"/>
            <w:tcMar>
              <w:left w:w="108" w:type="dxa"/>
              <w:right w:w="108" w:type="dxa"/>
            </w:tcMar>
            <w:vAlign w:val="center"/>
          </w:tcPr>
          <w:p w14:paraId="539E417D">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p>
        </w:tc>
      </w:tr>
      <w:tr w14:paraId="0EB2A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restart"/>
            <w:shd w:val="clear" w:color="000000" w:fill="FFFFFF"/>
            <w:tcMar>
              <w:left w:w="108" w:type="dxa"/>
              <w:right w:w="108" w:type="dxa"/>
            </w:tcMar>
            <w:vAlign w:val="center"/>
          </w:tcPr>
          <w:p w14:paraId="5B175403">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495224B4">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2B4F97FB">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52813B5C">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007976E7">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6E83D459">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3BD16140">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6</w:t>
            </w:r>
          </w:p>
        </w:tc>
        <w:tc>
          <w:tcPr>
            <w:tcW w:w="711" w:type="dxa"/>
            <w:vMerge w:val="restart"/>
            <w:shd w:val="clear" w:color="000000" w:fill="FFFFFF"/>
            <w:tcMar>
              <w:left w:w="108" w:type="dxa"/>
              <w:right w:w="108" w:type="dxa"/>
            </w:tcMar>
            <w:vAlign w:val="center"/>
          </w:tcPr>
          <w:p w14:paraId="4F4B902A">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48F5ABDF">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2AD90813">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3118D51C">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5BD46DF0">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0452D6ED">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021CB484">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市政环境保洁管理方案</w:t>
            </w:r>
          </w:p>
        </w:tc>
        <w:tc>
          <w:tcPr>
            <w:tcW w:w="5151" w:type="dxa"/>
            <w:shd w:val="clear" w:color="000000" w:fill="FFFFFF"/>
            <w:tcMar>
              <w:left w:w="108" w:type="dxa"/>
              <w:right w:w="108" w:type="dxa"/>
            </w:tcMar>
            <w:vAlign w:val="top"/>
          </w:tcPr>
          <w:p w14:paraId="719B4828">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1.</w:t>
            </w:r>
            <w:r>
              <w:rPr>
                <w:rFonts w:hint="eastAsia" w:ascii="宋体" w:hAnsi="宋体" w:eastAsia="宋体" w:cs="宋体"/>
                <w:color w:val="auto"/>
                <w:spacing w:val="0"/>
                <w:position w:val="0"/>
                <w:sz w:val="24"/>
                <w:szCs w:val="24"/>
                <w:shd w:val="clear" w:fill="auto"/>
                <w:lang w:val="en-US" w:eastAsia="zh-CN"/>
              </w:rPr>
              <w:t>根据本项目提出“人扫、机扫、巡检”三位一体的道路保洁方案：</w:t>
            </w:r>
            <w:r>
              <w:rPr>
                <w:rFonts w:hint="eastAsia" w:ascii="宋体" w:hAnsi="宋体" w:eastAsia="宋体" w:cs="宋体"/>
                <w:color w:val="auto"/>
                <w:spacing w:val="0"/>
                <w:position w:val="0"/>
                <w:sz w:val="24"/>
                <w:szCs w:val="24"/>
                <w:shd w:val="clear" w:fill="auto"/>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分；方案针对性、操作性较强，作业方式方法一般的，得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4DDA30D8">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1E0C4E3C">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62B953E7">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p>
        </w:tc>
      </w:tr>
      <w:tr w14:paraId="73F69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continue"/>
            <w:shd w:val="clear" w:color="000000" w:fill="FFFFFF"/>
            <w:tcMar>
              <w:left w:w="108" w:type="dxa"/>
              <w:right w:w="108" w:type="dxa"/>
            </w:tcMar>
            <w:vAlign w:val="center"/>
          </w:tcPr>
          <w:p w14:paraId="53F71B77">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37323F68">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35B4AF21">
            <w:pPr>
              <w:spacing w:before="0" w:after="0" w:line="360" w:lineRule="auto"/>
              <w:ind w:left="0" w:right="0" w:firstLine="0"/>
              <w:jc w:val="left"/>
              <w:rPr>
                <w:rFonts w:hint="eastAsia" w:ascii="宋体" w:hAnsi="宋体" w:eastAsia="宋体" w:cs="宋体"/>
                <w:color w:val="auto"/>
                <w:spacing w:val="0"/>
                <w:position w:val="0"/>
                <w:sz w:val="24"/>
                <w:szCs w:val="24"/>
                <w:shd w:val="clear" w:fill="auto"/>
              </w:rPr>
            </w:pP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根据本项目提出</w:t>
            </w:r>
            <w:r>
              <w:rPr>
                <w:rFonts w:hint="eastAsia" w:ascii="宋体" w:hAnsi="宋体" w:eastAsia="宋体" w:cs="宋体"/>
                <w:color w:val="auto"/>
                <w:spacing w:val="0"/>
                <w:position w:val="0"/>
                <w:sz w:val="24"/>
                <w:szCs w:val="24"/>
                <w:shd w:val="clear" w:fill="auto"/>
                <w:lang w:val="en-US" w:eastAsia="zh-CN"/>
              </w:rPr>
              <w:t>非机动车道保洁、</w:t>
            </w:r>
            <w:r>
              <w:rPr>
                <w:rFonts w:hint="eastAsia" w:ascii="宋体" w:hAnsi="宋体" w:eastAsia="宋体" w:cs="宋体"/>
                <w:color w:val="auto"/>
                <w:spacing w:val="0"/>
                <w:position w:val="0"/>
                <w:sz w:val="24"/>
                <w:szCs w:val="24"/>
                <w:shd w:val="clear" w:fill="auto"/>
              </w:rPr>
              <w:t>设施清洗</w:t>
            </w:r>
            <w:r>
              <w:rPr>
                <w:rFonts w:hint="eastAsia" w:ascii="宋体" w:hAnsi="宋体" w:eastAsia="宋体" w:cs="宋体"/>
                <w:color w:val="auto"/>
                <w:spacing w:val="0"/>
                <w:position w:val="0"/>
                <w:sz w:val="24"/>
                <w:szCs w:val="24"/>
                <w:shd w:val="clear" w:fill="auto"/>
                <w:lang w:val="en-US" w:eastAsia="zh-CN"/>
              </w:rPr>
              <w:t>及</w:t>
            </w:r>
            <w:r>
              <w:rPr>
                <w:rFonts w:hint="eastAsia" w:ascii="宋体" w:hAnsi="宋体" w:eastAsia="宋体" w:cs="宋体"/>
                <w:color w:val="auto"/>
                <w:spacing w:val="0"/>
                <w:position w:val="0"/>
                <w:sz w:val="24"/>
                <w:szCs w:val="24"/>
                <w:shd w:val="clear" w:fill="auto"/>
              </w:rPr>
              <w:t>小广告清除作业方案：方案针对性、操作性强，作业方式方法得当的得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分；方案针对性、操作性较强，作业方式方法一般的，得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8851DF6">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5F3376DA">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2822434A">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p>
        </w:tc>
      </w:tr>
      <w:tr w14:paraId="7A0F8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continue"/>
            <w:shd w:val="clear" w:color="000000" w:fill="FFFFFF"/>
            <w:tcMar>
              <w:left w:w="108" w:type="dxa"/>
              <w:right w:w="108" w:type="dxa"/>
            </w:tcMar>
            <w:vAlign w:val="center"/>
          </w:tcPr>
          <w:p w14:paraId="3965F0E4">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38D0DEBB">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25C6A750">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3.</w:t>
            </w:r>
            <w:r>
              <w:rPr>
                <w:rFonts w:hint="eastAsia" w:ascii="宋体" w:hAnsi="宋体" w:eastAsia="宋体" w:cs="宋体"/>
                <w:color w:val="auto"/>
                <w:spacing w:val="0"/>
                <w:position w:val="0"/>
                <w:sz w:val="24"/>
                <w:szCs w:val="24"/>
                <w:shd w:val="clear" w:fill="auto"/>
              </w:rPr>
              <w:t>对本项目日常清扫如何有效实行垃圾分类制定方案(包括落叶)，切实有效做到路面清扫垃圾分类收集</w:t>
            </w:r>
            <w:r>
              <w:rPr>
                <w:rFonts w:hint="eastAsia" w:ascii="宋体" w:hAnsi="宋体" w:eastAsia="宋体" w:cs="宋体"/>
                <w:color w:val="auto"/>
                <w:spacing w:val="0"/>
                <w:position w:val="0"/>
                <w:sz w:val="24"/>
                <w:szCs w:val="24"/>
                <w:shd w:val="clear" w:fill="auto"/>
                <w:lang w:eastAsia="zh-CN"/>
              </w:rPr>
              <w:t>。</w:t>
            </w:r>
            <w:r>
              <w:rPr>
                <w:rFonts w:hint="eastAsia" w:ascii="宋体" w:hAnsi="宋体" w:eastAsia="宋体" w:cs="宋体"/>
                <w:color w:val="auto"/>
                <w:spacing w:val="0"/>
                <w:position w:val="0"/>
                <w:sz w:val="24"/>
                <w:szCs w:val="24"/>
                <w:shd w:val="clear" w:fill="auto"/>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分；方案针对性、操作性较强，作业方式方法一般的，得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441982A3">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6B01354D">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77D9653F">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p>
        </w:tc>
      </w:tr>
      <w:tr w14:paraId="574C8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435" w:hRule="atLeast"/>
          <w:jc w:val="center"/>
        </w:trPr>
        <w:tc>
          <w:tcPr>
            <w:tcW w:w="697" w:type="dxa"/>
            <w:vMerge w:val="continue"/>
            <w:shd w:val="clear" w:color="000000" w:fill="FFFFFF"/>
            <w:tcMar>
              <w:left w:w="108" w:type="dxa"/>
              <w:right w:w="108" w:type="dxa"/>
            </w:tcMar>
            <w:vAlign w:val="center"/>
          </w:tcPr>
          <w:p w14:paraId="35E032AC">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5942978F">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2EFB9C95">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对本项目公共厕所日常保洁制定方案：</w:t>
            </w:r>
            <w:r>
              <w:rPr>
                <w:rFonts w:hint="eastAsia" w:ascii="宋体" w:hAnsi="宋体" w:eastAsia="宋体" w:cs="宋体"/>
                <w:color w:val="auto"/>
                <w:spacing w:val="0"/>
                <w:position w:val="0"/>
                <w:sz w:val="24"/>
                <w:szCs w:val="24"/>
                <w:shd w:val="clear" w:fill="auto"/>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分；方案针对性、操作性较强，作业方式方法一般的，得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1CA3C88">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092E6C04">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31D2CA3B">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10D20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44" w:hRule="atLeast"/>
          <w:jc w:val="center"/>
        </w:trPr>
        <w:tc>
          <w:tcPr>
            <w:tcW w:w="697" w:type="dxa"/>
            <w:vMerge w:val="continue"/>
            <w:shd w:val="clear" w:color="000000" w:fill="FFFFFF"/>
            <w:tcMar>
              <w:left w:w="108" w:type="dxa"/>
              <w:right w:w="108" w:type="dxa"/>
            </w:tcMar>
            <w:vAlign w:val="center"/>
          </w:tcPr>
          <w:p w14:paraId="0D74F50A">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432B1251">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49EAD222">
            <w:pPr>
              <w:spacing w:before="0" w:after="0" w:line="360" w:lineRule="auto"/>
              <w:ind w:left="0" w:leftChars="0" w:right="0" w:rightChars="0" w:firstLine="0" w:firstLineChars="0"/>
              <w:jc w:val="left"/>
              <w:rPr>
                <w:rFonts w:hint="eastAsia"/>
              </w:rPr>
            </w:pPr>
            <w:r>
              <w:rPr>
                <w:rFonts w:hint="eastAsia" w:ascii="宋体" w:hAnsi="宋体" w:cs="宋体"/>
                <w:color w:val="auto"/>
                <w:spacing w:val="0"/>
                <w:position w:val="0"/>
                <w:sz w:val="24"/>
                <w:szCs w:val="24"/>
                <w:shd w:val="clear" w:fill="auto"/>
                <w:lang w:val="en-US" w:eastAsia="zh-CN"/>
              </w:rPr>
              <w:t>5.</w:t>
            </w:r>
            <w:r>
              <w:rPr>
                <w:rFonts w:hint="eastAsia" w:ascii="宋体" w:hAnsi="宋体" w:eastAsia="宋体" w:cs="宋体"/>
                <w:color w:val="auto"/>
                <w:spacing w:val="0"/>
                <w:position w:val="0"/>
                <w:sz w:val="24"/>
                <w:szCs w:val="24"/>
                <w:shd w:val="clear" w:fill="auto"/>
              </w:rPr>
              <w:t>保洁管理能突破传统运作模式，管理</w:t>
            </w:r>
            <w:r>
              <w:rPr>
                <w:rFonts w:hint="eastAsia" w:ascii="宋体" w:hAnsi="宋体" w:eastAsia="宋体" w:cs="宋体"/>
                <w:color w:val="auto"/>
                <w:spacing w:val="0"/>
                <w:position w:val="0"/>
                <w:sz w:val="24"/>
                <w:szCs w:val="24"/>
                <w:shd w:val="clear" w:fill="auto"/>
                <w:lang w:val="en-US" w:eastAsia="zh-CN"/>
              </w:rPr>
              <w:t>运作模式</w:t>
            </w:r>
            <w:r>
              <w:rPr>
                <w:rFonts w:hint="eastAsia" w:ascii="宋体" w:hAnsi="宋体" w:eastAsia="宋体" w:cs="宋体"/>
                <w:color w:val="auto"/>
                <w:spacing w:val="0"/>
                <w:position w:val="0"/>
                <w:sz w:val="24"/>
                <w:szCs w:val="24"/>
                <w:shd w:val="clear" w:fill="auto"/>
              </w:rPr>
              <w:t>和作业措施有创新，使用的设施设备有创新，能切实有效响应本项目实际需求的，得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分；保洁管理计划能突破传统运作模式，管理和作业措施有创新，使用的设施设备有创新，能基本有效响应本项目实际需求的，得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分；保洁管理计划及措施欠缺的，得1分</w:t>
            </w:r>
            <w:r>
              <w:rPr>
                <w:rFonts w:hint="eastAsia" w:ascii="宋体" w:hAnsi="宋体" w:eastAsia="宋体" w:cs="宋体"/>
                <w:color w:val="auto"/>
                <w:spacing w:val="0"/>
                <w:position w:val="0"/>
                <w:sz w:val="24"/>
                <w:szCs w:val="24"/>
                <w:shd w:val="clear" w:fill="auto"/>
                <w:lang w:eastAsia="zh-CN"/>
              </w:rPr>
              <w:t>。</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86A8D76">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25680F15">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7E845FDC">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64AFB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475" w:hRule="atLeast"/>
          <w:jc w:val="center"/>
        </w:trPr>
        <w:tc>
          <w:tcPr>
            <w:tcW w:w="697" w:type="dxa"/>
            <w:vMerge w:val="restart"/>
            <w:shd w:val="clear" w:color="000000" w:fill="FFFFFF"/>
            <w:tcMar>
              <w:left w:w="108" w:type="dxa"/>
              <w:right w:w="108" w:type="dxa"/>
            </w:tcMar>
            <w:vAlign w:val="center"/>
          </w:tcPr>
          <w:p w14:paraId="05EF6F06">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7</w:t>
            </w:r>
          </w:p>
        </w:tc>
        <w:tc>
          <w:tcPr>
            <w:tcW w:w="711" w:type="dxa"/>
            <w:vMerge w:val="restart"/>
            <w:shd w:val="clear" w:color="000000" w:fill="FFFFFF"/>
            <w:tcMar>
              <w:left w:w="108" w:type="dxa"/>
              <w:right w:w="108" w:type="dxa"/>
            </w:tcMar>
            <w:vAlign w:val="center"/>
          </w:tcPr>
          <w:p w14:paraId="3B55F869">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序化管理</w:t>
            </w:r>
          </w:p>
        </w:tc>
        <w:tc>
          <w:tcPr>
            <w:tcW w:w="5151" w:type="dxa"/>
            <w:shd w:val="clear" w:color="000000" w:fill="FFFFFF"/>
            <w:tcMar>
              <w:left w:w="108" w:type="dxa"/>
              <w:right w:w="108" w:type="dxa"/>
            </w:tcMar>
            <w:vAlign w:val="top"/>
          </w:tcPr>
          <w:p w14:paraId="26A400A8">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1.</w:t>
            </w:r>
            <w:r>
              <w:rPr>
                <w:rFonts w:hint="eastAsia" w:ascii="宋体" w:hAnsi="宋体" w:eastAsia="宋体" w:cs="宋体"/>
                <w:color w:val="auto"/>
                <w:spacing w:val="0"/>
                <w:position w:val="0"/>
                <w:sz w:val="24"/>
                <w:szCs w:val="24"/>
                <w:shd w:val="clear" w:fill="auto"/>
                <w:lang w:val="en-US" w:eastAsia="zh-CN"/>
              </w:rPr>
              <w:t>对本项目辖区内序化管理制定管理方案：方案针对性、操作性强，作业方式方法得当的得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0CF68256">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663E8CE2">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03C2DD84">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3B26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continue"/>
            <w:shd w:val="clear" w:color="000000" w:fill="FFFFFF"/>
            <w:tcMar>
              <w:left w:w="108" w:type="dxa"/>
              <w:right w:w="108" w:type="dxa"/>
            </w:tcMar>
            <w:vAlign w:val="center"/>
          </w:tcPr>
          <w:p w14:paraId="72B54455">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15CC06E5">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6ABCB85A">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对本项目</w:t>
            </w:r>
            <w:r>
              <w:rPr>
                <w:rFonts w:hint="eastAsia" w:ascii="宋体" w:hAnsi="宋体" w:eastAsia="宋体" w:cs="宋体"/>
                <w:color w:val="auto"/>
                <w:spacing w:val="0"/>
                <w:position w:val="0"/>
                <w:sz w:val="24"/>
                <w:szCs w:val="24"/>
                <w:shd w:val="clear" w:fill="auto"/>
              </w:rPr>
              <w:t>辖区内停车场及路面公共泊位</w:t>
            </w:r>
            <w:r>
              <w:rPr>
                <w:rFonts w:hint="eastAsia" w:ascii="宋体" w:hAnsi="宋体" w:eastAsia="宋体" w:cs="宋体"/>
                <w:color w:val="auto"/>
                <w:spacing w:val="0"/>
                <w:position w:val="0"/>
                <w:sz w:val="24"/>
                <w:szCs w:val="24"/>
                <w:shd w:val="clear" w:fill="auto"/>
                <w:lang w:val="en-US" w:eastAsia="zh-CN"/>
              </w:rPr>
              <w:t>制定</w:t>
            </w:r>
            <w:r>
              <w:rPr>
                <w:rFonts w:hint="eastAsia" w:ascii="宋体" w:hAnsi="宋体" w:eastAsia="宋体" w:cs="宋体"/>
                <w:color w:val="auto"/>
                <w:spacing w:val="0"/>
                <w:position w:val="0"/>
                <w:sz w:val="24"/>
                <w:szCs w:val="24"/>
                <w:shd w:val="clear" w:fill="auto"/>
              </w:rPr>
              <w:t>管理</w:t>
            </w:r>
            <w:r>
              <w:rPr>
                <w:rFonts w:hint="eastAsia" w:ascii="宋体" w:hAnsi="宋体" w:eastAsia="宋体" w:cs="宋体"/>
                <w:color w:val="auto"/>
                <w:spacing w:val="0"/>
                <w:position w:val="0"/>
                <w:sz w:val="24"/>
                <w:szCs w:val="24"/>
                <w:shd w:val="clear" w:fill="auto"/>
                <w:lang w:val="en-US" w:eastAsia="zh-CN"/>
              </w:rPr>
              <w:t>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71252359">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06229605">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2822E5C2">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p>
        </w:tc>
      </w:tr>
      <w:tr w14:paraId="14989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restart"/>
            <w:shd w:val="clear" w:color="000000" w:fill="FFFFFF"/>
            <w:tcMar>
              <w:left w:w="108" w:type="dxa"/>
              <w:right w:w="108" w:type="dxa"/>
            </w:tcMar>
            <w:vAlign w:val="center"/>
          </w:tcPr>
          <w:p w14:paraId="711AD24C">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8</w:t>
            </w:r>
          </w:p>
        </w:tc>
        <w:tc>
          <w:tcPr>
            <w:tcW w:w="711" w:type="dxa"/>
            <w:vMerge w:val="restart"/>
            <w:shd w:val="clear" w:color="000000" w:fill="FFFFFF"/>
            <w:tcMar>
              <w:left w:w="108" w:type="dxa"/>
              <w:right w:w="108" w:type="dxa"/>
            </w:tcMar>
            <w:vAlign w:val="center"/>
          </w:tcPr>
          <w:p w14:paraId="0B97A02D">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绿化管养服务</w:t>
            </w:r>
          </w:p>
        </w:tc>
        <w:tc>
          <w:tcPr>
            <w:tcW w:w="5151" w:type="dxa"/>
            <w:shd w:val="clear" w:color="000000" w:fill="FFFFFF"/>
            <w:tcMar>
              <w:left w:w="108" w:type="dxa"/>
              <w:right w:w="108" w:type="dxa"/>
            </w:tcMar>
            <w:vAlign w:val="top"/>
          </w:tcPr>
          <w:p w14:paraId="5E2C82C6">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shd w:val="clear" w:fill="auto"/>
              </w:rPr>
            </w:pPr>
            <w:r>
              <w:rPr>
                <w:rFonts w:hint="eastAsia" w:ascii="宋体" w:hAnsi="宋体" w:cs="宋体"/>
                <w:color w:val="auto"/>
                <w:spacing w:val="0"/>
                <w:position w:val="0"/>
                <w:sz w:val="24"/>
                <w:szCs w:val="24"/>
                <w:shd w:val="clear" w:fill="auto"/>
                <w:lang w:val="en-US" w:eastAsia="zh-CN"/>
              </w:rPr>
              <w:t>1.</w:t>
            </w:r>
            <w:r>
              <w:rPr>
                <w:rFonts w:hint="eastAsia" w:ascii="宋体" w:hAnsi="宋体" w:eastAsia="宋体" w:cs="宋体"/>
                <w:color w:val="auto"/>
                <w:spacing w:val="0"/>
                <w:position w:val="0"/>
                <w:sz w:val="24"/>
                <w:szCs w:val="24"/>
                <w:shd w:val="clear" w:fill="auto"/>
                <w:lang w:val="en-US" w:eastAsia="zh-CN"/>
              </w:rPr>
              <w:t>对本项目辖区内绿化制定管养方案：方案针对性、操作性强，作业方式方法得当的得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70DBB4FA">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0B2E7E69">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68301256">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319AE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continue"/>
            <w:shd w:val="clear" w:color="000000" w:fill="FFFFFF"/>
            <w:tcMar>
              <w:left w:w="108" w:type="dxa"/>
              <w:right w:w="108" w:type="dxa"/>
            </w:tcMar>
            <w:vAlign w:val="center"/>
          </w:tcPr>
          <w:p w14:paraId="0CE619C5">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258081E3">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6F120D08">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对本项目辖区内时花制定时花更换、养护方案：方案针对性、操作性强，作业方式方法得当的得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7F85B95E">
            <w:p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30A057CE">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color w:val="auto"/>
                <w:spacing w:val="0"/>
                <w:position w:val="0"/>
                <w:sz w:val="24"/>
                <w:szCs w:val="24"/>
                <w:shd w:val="clear" w:fill="auto"/>
                <w:lang w:val="en-US" w:eastAsia="zh-CN"/>
              </w:rPr>
              <w:t>主观分</w:t>
            </w:r>
          </w:p>
        </w:tc>
        <w:tc>
          <w:tcPr>
            <w:tcW w:w="1985" w:type="dxa"/>
            <w:shd w:val="clear" w:color="000000" w:fill="FFFFFF"/>
            <w:tcMar>
              <w:left w:w="108" w:type="dxa"/>
              <w:right w:w="108" w:type="dxa"/>
            </w:tcMar>
            <w:vAlign w:val="center"/>
          </w:tcPr>
          <w:p w14:paraId="01D45DF3">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r>
      <w:tr w14:paraId="5FEE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2C975BA2">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9</w:t>
            </w:r>
          </w:p>
        </w:tc>
        <w:tc>
          <w:tcPr>
            <w:tcW w:w="5862" w:type="dxa"/>
            <w:gridSpan w:val="2"/>
            <w:shd w:val="clear" w:color="000000" w:fill="FFFFFF"/>
            <w:tcMar>
              <w:left w:w="108" w:type="dxa"/>
              <w:right w:w="108" w:type="dxa"/>
            </w:tcMar>
            <w:vAlign w:val="center"/>
          </w:tcPr>
          <w:p w14:paraId="0F825467">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市政管网清污：</w:t>
            </w:r>
            <w:r>
              <w:rPr>
                <w:rFonts w:hint="eastAsia" w:ascii="宋体" w:hAnsi="宋体" w:eastAsia="宋体" w:cs="宋体"/>
                <w:color w:val="auto"/>
                <w:spacing w:val="0"/>
                <w:position w:val="0"/>
                <w:sz w:val="24"/>
                <w:szCs w:val="24"/>
                <w:shd w:val="clear" w:fill="auto"/>
              </w:rPr>
              <w:t>对本项目辖区内</w:t>
            </w:r>
            <w:r>
              <w:rPr>
                <w:rFonts w:hint="eastAsia" w:ascii="宋体" w:hAnsi="宋体" w:eastAsia="宋体" w:cs="宋体"/>
                <w:color w:val="auto"/>
                <w:spacing w:val="0"/>
                <w:position w:val="0"/>
                <w:sz w:val="24"/>
                <w:szCs w:val="24"/>
                <w:shd w:val="clear" w:fill="auto"/>
                <w:lang w:val="en-US" w:eastAsia="zh-CN"/>
              </w:rPr>
              <w:t>市政管网</w:t>
            </w:r>
            <w:r>
              <w:rPr>
                <w:rFonts w:hint="eastAsia" w:ascii="宋体" w:hAnsi="宋体" w:eastAsia="宋体" w:cs="宋体"/>
                <w:color w:val="auto"/>
                <w:spacing w:val="0"/>
                <w:position w:val="0"/>
                <w:sz w:val="24"/>
                <w:szCs w:val="24"/>
                <w:shd w:val="clear" w:fill="auto"/>
              </w:rPr>
              <w:t>制定</w:t>
            </w:r>
            <w:r>
              <w:rPr>
                <w:rFonts w:hint="eastAsia" w:ascii="宋体" w:hAnsi="宋体" w:eastAsia="宋体" w:cs="宋体"/>
                <w:color w:val="auto"/>
                <w:spacing w:val="0"/>
                <w:position w:val="0"/>
                <w:sz w:val="24"/>
                <w:szCs w:val="24"/>
                <w:shd w:val="clear" w:fill="auto"/>
                <w:lang w:val="en-US" w:eastAsia="zh-CN"/>
              </w:rPr>
              <w:t>清污</w:t>
            </w:r>
            <w:r>
              <w:rPr>
                <w:rFonts w:hint="eastAsia" w:ascii="宋体" w:hAnsi="宋体" w:eastAsia="宋体" w:cs="宋体"/>
                <w:color w:val="auto"/>
                <w:spacing w:val="0"/>
                <w:position w:val="0"/>
                <w:sz w:val="24"/>
                <w:szCs w:val="24"/>
                <w:shd w:val="clear" w:fill="auto"/>
              </w:rPr>
              <w:t>方案</w:t>
            </w:r>
            <w:r>
              <w:rPr>
                <w:rFonts w:hint="eastAsia" w:ascii="宋体" w:hAnsi="宋体" w:eastAsia="宋体" w:cs="宋体"/>
                <w:color w:val="auto"/>
                <w:spacing w:val="0"/>
                <w:position w:val="0"/>
                <w:sz w:val="24"/>
                <w:szCs w:val="24"/>
                <w:shd w:val="clear" w:fill="auto"/>
                <w:lang w:val="en-US" w:eastAsia="zh-CN"/>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8AD04F4">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13B05171">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4263831B">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3EB32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4D1615A9">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10</w:t>
            </w:r>
          </w:p>
        </w:tc>
        <w:tc>
          <w:tcPr>
            <w:tcW w:w="5862" w:type="dxa"/>
            <w:gridSpan w:val="2"/>
            <w:shd w:val="clear" w:color="000000" w:fill="FFFFFF"/>
            <w:tcMar>
              <w:left w:w="108" w:type="dxa"/>
              <w:right w:w="108" w:type="dxa"/>
            </w:tcMar>
            <w:vAlign w:val="center"/>
          </w:tcPr>
          <w:p w14:paraId="470A8D39">
            <w:pPr>
              <w:bidi w:val="0"/>
              <w:spacing w:line="360" w:lineRule="auto"/>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lang w:val="en-US" w:eastAsia="zh-CN"/>
              </w:rPr>
              <w:t>应急保障措施：</w:t>
            </w:r>
            <w:r>
              <w:rPr>
                <w:rFonts w:hint="eastAsia" w:ascii="宋体" w:hAnsi="宋体" w:eastAsia="宋体" w:cs="宋体"/>
                <w:color w:val="auto"/>
                <w:sz w:val="24"/>
                <w:szCs w:val="24"/>
                <w:lang w:val="en-US" w:eastAsia="zh-CN"/>
              </w:rPr>
              <w:t>包括突发事故应急预案</w:t>
            </w:r>
            <w:r>
              <w:rPr>
                <w:rFonts w:hint="eastAsia" w:ascii="宋体" w:hAnsi="宋体" w:eastAsia="宋体" w:cs="宋体"/>
                <w:color w:val="auto"/>
                <w:sz w:val="24"/>
                <w:szCs w:val="24"/>
              </w:rPr>
              <w:t>(污、雨水管道堵塞</w:t>
            </w:r>
            <w:r>
              <w:rPr>
                <w:rFonts w:hint="eastAsia" w:ascii="宋体" w:hAnsi="宋体" w:eastAsia="宋体" w:cs="宋体"/>
                <w:color w:val="auto"/>
                <w:sz w:val="24"/>
                <w:szCs w:val="24"/>
                <w:lang w:eastAsia="zh-CN"/>
              </w:rPr>
              <w:t>，遇道路交通事故处置，渣土污染路面，路面大量油污，机械伤害事故</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自然灾害处理应急预案（狂风、暴雨、高温雾霾天气以及防雪抗冻等）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迎检（</w:t>
            </w:r>
            <w:r>
              <w:rPr>
                <w:rFonts w:hint="eastAsia" w:ascii="宋体" w:hAnsi="宋体" w:eastAsia="宋体" w:cs="宋体"/>
                <w:color w:val="auto"/>
                <w:sz w:val="24"/>
                <w:szCs w:val="24"/>
              </w:rPr>
              <w:t>各项</w:t>
            </w:r>
            <w:r>
              <w:rPr>
                <w:rFonts w:hint="eastAsia" w:ascii="宋体" w:hAnsi="宋体" w:eastAsia="宋体" w:cs="宋体"/>
                <w:color w:val="auto"/>
                <w:sz w:val="24"/>
                <w:szCs w:val="24"/>
                <w:highlight w:val="none"/>
              </w:rPr>
              <w:t>迎检工作预案与保障措施</w:t>
            </w:r>
            <w:r>
              <w:rPr>
                <w:rFonts w:hint="eastAsia" w:ascii="宋体" w:hAnsi="宋体" w:eastAsia="宋体" w:cs="宋体"/>
                <w:color w:val="auto"/>
                <w:sz w:val="24"/>
                <w:szCs w:val="24"/>
                <w:lang w:val="en-US" w:eastAsia="zh-CN"/>
              </w:rPr>
              <w:t>）及配合重大活动应急预案</w:t>
            </w:r>
            <w:r>
              <w:rPr>
                <w:rFonts w:hint="eastAsia" w:ascii="宋体" w:hAnsi="宋体" w:eastAsia="宋体" w:cs="宋体"/>
                <w:color w:val="auto"/>
                <w:sz w:val="24"/>
                <w:szCs w:val="24"/>
                <w:lang w:eastAsia="zh-CN"/>
              </w:rPr>
              <w:t>。</w:t>
            </w:r>
            <w:r>
              <w:rPr>
                <w:rFonts w:hint="eastAsia" w:ascii="宋体" w:hAnsi="宋体" w:eastAsia="宋体" w:cs="宋体"/>
                <w:color w:val="auto"/>
                <w:spacing w:val="0"/>
                <w:position w:val="0"/>
                <w:sz w:val="24"/>
                <w:szCs w:val="24"/>
                <w:shd w:val="clear" w:fill="auto"/>
                <w:lang w:val="en-US" w:eastAsia="zh-CN"/>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分；方案针对性、操作性较强，方案较明确、作业方式方法一般的，得2分，方案欠缺针对性、操作性的，得1分。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178BF4F1">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098A7713">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285BB63A">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235CE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476A6114">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11</w:t>
            </w:r>
          </w:p>
        </w:tc>
        <w:tc>
          <w:tcPr>
            <w:tcW w:w="5862" w:type="dxa"/>
            <w:gridSpan w:val="2"/>
            <w:shd w:val="clear" w:color="000000" w:fill="FFFFFF"/>
            <w:tcMar>
              <w:left w:w="108" w:type="dxa"/>
              <w:right w:w="108" w:type="dxa"/>
            </w:tcMar>
            <w:vAlign w:val="center"/>
          </w:tcPr>
          <w:p w14:paraId="1AAC7E62">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lang w:val="en-US" w:eastAsia="zh-CN"/>
              </w:rPr>
              <w:t>移交平稳过渡实施方案：</w:t>
            </w:r>
            <w:r>
              <w:rPr>
                <w:rFonts w:hint="eastAsia" w:ascii="宋体" w:hAnsi="宋体" w:eastAsia="宋体" w:cs="宋体"/>
                <w:color w:val="auto"/>
                <w:spacing w:val="0"/>
                <w:position w:val="0"/>
                <w:sz w:val="24"/>
                <w:szCs w:val="24"/>
                <w:highlight w:val="none"/>
                <w:shd w:val="clear" w:fill="auto"/>
              </w:rPr>
              <w:t>合同开始执行和合同到期后移交平稳过渡实施方案</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方案针对性、操作性强，作业方式方法得当的得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lang w:val="en-US" w:eastAsia="zh-CN"/>
              </w:rPr>
              <w:t>分；方案针对性、操作性较强，方案较明确、作业方式方法一般的，得2分，方案欠缺针对性、操作性的，得1分。</w:t>
            </w:r>
            <w:r>
              <w:rPr>
                <w:rFonts w:hint="eastAsia" w:ascii="宋体" w:hAnsi="宋体" w:eastAsia="宋体" w:cs="宋体"/>
                <w:color w:val="auto"/>
                <w:sz w:val="24"/>
                <w:szCs w:val="24"/>
                <w:highlight w:val="none"/>
                <w:lang w:val="en-US" w:eastAsia="zh-CN"/>
              </w:rPr>
              <w:t>与本项目不匹配的或未提供的不得分。</w:t>
            </w:r>
          </w:p>
        </w:tc>
        <w:tc>
          <w:tcPr>
            <w:tcW w:w="513" w:type="dxa"/>
            <w:shd w:val="clear" w:color="000000" w:fill="FFFFFF"/>
            <w:tcMar>
              <w:left w:w="108" w:type="dxa"/>
              <w:right w:w="108" w:type="dxa"/>
            </w:tcMar>
            <w:vAlign w:val="center"/>
          </w:tcPr>
          <w:p w14:paraId="5ED56CAD">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lang w:eastAsia="zh-CN"/>
              </w:rPr>
            </w:pPr>
            <w:r>
              <w:rPr>
                <w:rFonts w:hint="eastAsia" w:ascii="宋体" w:hAnsi="宋体" w:cs="宋体"/>
                <w:color w:val="auto"/>
                <w:spacing w:val="0"/>
                <w:position w:val="0"/>
                <w:sz w:val="24"/>
                <w:szCs w:val="24"/>
                <w:highlight w:val="none"/>
                <w:shd w:val="clear" w:fill="auto"/>
                <w:lang w:val="en-US" w:eastAsia="zh-CN"/>
              </w:rPr>
              <w:t>4</w:t>
            </w:r>
          </w:p>
        </w:tc>
        <w:tc>
          <w:tcPr>
            <w:tcW w:w="987" w:type="dxa"/>
            <w:shd w:val="clear" w:color="000000" w:fill="FFFFFF"/>
            <w:tcMar>
              <w:left w:w="108" w:type="dxa"/>
              <w:right w:w="108" w:type="dxa"/>
            </w:tcMar>
            <w:vAlign w:val="center"/>
          </w:tcPr>
          <w:p w14:paraId="75DC67D5">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主观分</w:t>
            </w:r>
          </w:p>
        </w:tc>
        <w:tc>
          <w:tcPr>
            <w:tcW w:w="1985" w:type="dxa"/>
            <w:shd w:val="clear" w:color="000000" w:fill="FFFFFF"/>
            <w:tcMar>
              <w:left w:w="108" w:type="dxa"/>
              <w:right w:w="108" w:type="dxa"/>
            </w:tcMar>
            <w:vAlign w:val="center"/>
          </w:tcPr>
          <w:p w14:paraId="5F288E97">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rPr>
            </w:pPr>
          </w:p>
        </w:tc>
      </w:tr>
      <w:tr w14:paraId="10A8E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1ABA3736">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12</w:t>
            </w:r>
          </w:p>
        </w:tc>
        <w:tc>
          <w:tcPr>
            <w:tcW w:w="5862" w:type="dxa"/>
            <w:gridSpan w:val="2"/>
            <w:shd w:val="clear" w:color="000000" w:fill="FFFFFF"/>
            <w:tcMar>
              <w:left w:w="108" w:type="dxa"/>
              <w:right w:w="108" w:type="dxa"/>
            </w:tcMar>
            <w:vAlign w:val="top"/>
          </w:tcPr>
          <w:p w14:paraId="02F9A41D">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209D9CA1">
            <w:pPr>
              <w:widowControl/>
              <w:shd w:val="clear" w:color="auto" w:fill="FFFFFF"/>
              <w:adjustRightInd/>
              <w:spacing w:after="225" w:line="315" w:lineRule="atLeast"/>
              <w:ind w:firstLine="420" w:firstLineChars="0"/>
              <w:jc w:val="left"/>
              <w:rPr>
                <w:rFonts w:hint="eastAsia" w:ascii="宋体" w:hAnsi="宋体" w:eastAsia="宋体" w:cs="宋体"/>
                <w:color w:val="auto"/>
                <w:spacing w:val="0"/>
                <w:position w:val="0"/>
                <w:sz w:val="24"/>
                <w:szCs w:val="24"/>
                <w:highlight w:val="none"/>
                <w:shd w:val="clear" w:fill="auto"/>
              </w:rPr>
            </w:pPr>
            <w:r>
              <w:rPr>
                <w:rFonts w:cs="仿宋_GB2312" w:asciiTheme="minorEastAsia" w:hAnsiTheme="minorEastAsia" w:eastAsiaTheme="minorEastAsia"/>
                <w:color w:val="auto"/>
                <w:sz w:val="24"/>
                <w:highlight w:val="none"/>
              </w:rPr>
              <w:t>评标过程中，不得去掉报价中的最高报价和最低报价。</w:t>
            </w:r>
          </w:p>
        </w:tc>
        <w:tc>
          <w:tcPr>
            <w:tcW w:w="513" w:type="dxa"/>
            <w:shd w:val="clear" w:color="000000" w:fill="FFFFFF"/>
            <w:tcMar>
              <w:left w:w="108" w:type="dxa"/>
              <w:right w:w="108" w:type="dxa"/>
            </w:tcMar>
            <w:vAlign w:val="center"/>
          </w:tcPr>
          <w:p w14:paraId="07F960BC">
            <w:pPr>
              <w:spacing w:line="360" w:lineRule="auto"/>
              <w:jc w:val="center"/>
              <w:outlineLvl w:val="0"/>
              <w:rPr>
                <w:rFonts w:hint="eastAsia" w:ascii="宋体" w:hAnsi="宋体" w:eastAsia="宋体" w:cs="宋体"/>
                <w:color w:val="auto"/>
                <w:spacing w:val="0"/>
                <w:position w:val="0"/>
                <w:sz w:val="24"/>
                <w:szCs w:val="24"/>
                <w:highlight w:val="none"/>
                <w:shd w:val="clear" w:fill="auto"/>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87" w:type="dxa"/>
            <w:shd w:val="clear" w:color="000000" w:fill="FFFFFF"/>
            <w:tcMar>
              <w:left w:w="108" w:type="dxa"/>
              <w:right w:w="108" w:type="dxa"/>
            </w:tcMar>
            <w:vAlign w:val="center"/>
          </w:tcPr>
          <w:p w14:paraId="69996D4D">
            <w:pPr>
              <w:spacing w:line="360" w:lineRule="auto"/>
              <w:jc w:val="center"/>
              <w:outlineLvl w:val="0"/>
              <w:rPr>
                <w:rFonts w:hint="eastAsia" w:ascii="宋体" w:hAnsi="宋体" w:eastAsia="宋体" w:cs="宋体"/>
                <w:color w:val="auto"/>
                <w:spacing w:val="0"/>
                <w:position w:val="0"/>
                <w:sz w:val="24"/>
                <w:szCs w:val="24"/>
                <w:highlight w:val="none"/>
                <w:shd w:val="clear" w:fill="auto"/>
              </w:rPr>
            </w:pPr>
          </w:p>
        </w:tc>
        <w:tc>
          <w:tcPr>
            <w:tcW w:w="1985" w:type="dxa"/>
            <w:shd w:val="clear" w:color="000000" w:fill="FFFFFF"/>
            <w:tcMar>
              <w:left w:w="108" w:type="dxa"/>
              <w:right w:w="108" w:type="dxa"/>
            </w:tcMar>
            <w:vAlign w:val="center"/>
          </w:tcPr>
          <w:p w14:paraId="12C9D675">
            <w:pPr>
              <w:spacing w:line="360" w:lineRule="auto"/>
              <w:jc w:val="center"/>
              <w:outlineLvl w:val="0"/>
              <w:rPr>
                <w:rFonts w:hint="eastAsia" w:ascii="宋体" w:hAnsi="宋体" w:eastAsia="宋体" w:cs="宋体"/>
                <w:color w:val="auto"/>
                <w:spacing w:val="0"/>
                <w:position w:val="0"/>
                <w:sz w:val="24"/>
                <w:szCs w:val="24"/>
                <w:highlight w:val="none"/>
                <w:shd w:val="clear" w:fill="auto"/>
              </w:rPr>
            </w:pPr>
            <w:r>
              <w:rPr>
                <w:rFonts w:cs="仿宋_GB2312" w:asciiTheme="minorEastAsia" w:hAnsiTheme="minorEastAsia" w:eastAsiaTheme="minorEastAsia"/>
                <w:color w:val="auto"/>
                <w:sz w:val="24"/>
                <w:highlight w:val="none"/>
              </w:rPr>
              <w:t>/</w:t>
            </w:r>
          </w:p>
        </w:tc>
      </w:tr>
    </w:tbl>
    <w:p w14:paraId="5E3FEBAE">
      <w:pPr>
        <w:rPr>
          <w:color w:val="auto"/>
          <w:highlight w:val="none"/>
        </w:rPr>
      </w:pPr>
    </w:p>
    <w:p w14:paraId="3803AAE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77F165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E50B87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35E070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CB7A56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6198C3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C2A7FA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FFEB17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D2C07D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166BC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728D4E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256D71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5B9BDC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A63057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5A18C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85DBFF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B1AB76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E751B9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74C62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F8D62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14EC3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99909C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4309A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1B4AB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64C0B0A">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114988">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2DF00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66C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43F3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50AA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EBC04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D69B3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B8E20B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F58CB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1A5440F">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072764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6A22117">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FE750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3C901A4">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1B5DC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4A960FB">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D5D4BAD">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FEE7181">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773F70D3">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9D06752">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3C733FCB">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5E97E82">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B8FF24C">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A7DD42">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E21073E">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65DFA3C">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77E7802">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E10C798">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F394A62">
      <w:pPr>
        <w:pStyle w:val="3"/>
        <w:snapToGrid w:val="0"/>
        <w:spacing w:line="360" w:lineRule="auto"/>
        <w:ind w:firstLine="0" w:firstLineChars="0"/>
        <w:rPr>
          <w:rFonts w:cs="宋体"/>
          <w:color w:val="auto"/>
          <w:highlight w:val="none"/>
        </w:rPr>
      </w:pPr>
    </w:p>
    <w:bookmarkEnd w:id="28"/>
    <w:p w14:paraId="680BBCAB">
      <w:pPr>
        <w:spacing w:line="360" w:lineRule="auto"/>
        <w:ind w:left="720" w:leftChars="343" w:firstLine="1084" w:firstLineChars="300"/>
        <w:outlineLvl w:val="0"/>
        <w:rPr>
          <w:rFonts w:hint="eastAsia" w:ascii="宋体" w:hAnsi="宋体" w:cs="宋体"/>
          <w:b/>
          <w:color w:val="auto"/>
          <w:sz w:val="36"/>
          <w:szCs w:val="36"/>
          <w:highlight w:val="none"/>
        </w:rPr>
      </w:pPr>
      <w:bookmarkStart w:id="394" w:name="第五部分"/>
      <w:bookmarkStart w:id="395" w:name="_Toc86217003"/>
    </w:p>
    <w:p w14:paraId="3D763466">
      <w:pPr>
        <w:spacing w:line="360" w:lineRule="auto"/>
        <w:ind w:left="720" w:leftChars="343" w:firstLine="1084" w:firstLineChars="300"/>
        <w:outlineLvl w:val="0"/>
        <w:rPr>
          <w:rFonts w:hint="eastAsia" w:ascii="宋体" w:hAnsi="宋体" w:cs="宋体"/>
          <w:b/>
          <w:color w:val="auto"/>
          <w:sz w:val="36"/>
          <w:szCs w:val="36"/>
          <w:highlight w:val="none"/>
        </w:rPr>
      </w:pPr>
    </w:p>
    <w:p w14:paraId="268C7F29">
      <w:pPr>
        <w:spacing w:line="360" w:lineRule="auto"/>
        <w:ind w:left="720" w:leftChars="343" w:firstLine="1084" w:firstLineChars="300"/>
        <w:outlineLvl w:val="0"/>
        <w:rPr>
          <w:rFonts w:hint="eastAsia" w:ascii="宋体" w:hAnsi="宋体" w:cs="宋体"/>
          <w:b/>
          <w:color w:val="auto"/>
          <w:sz w:val="36"/>
          <w:szCs w:val="36"/>
          <w:highlight w:val="none"/>
        </w:rPr>
      </w:pPr>
    </w:p>
    <w:p w14:paraId="66B855AA">
      <w:pPr>
        <w:spacing w:line="360" w:lineRule="auto"/>
        <w:ind w:left="720" w:leftChars="343" w:firstLine="1084" w:firstLineChars="300"/>
        <w:outlineLvl w:val="0"/>
        <w:rPr>
          <w:rFonts w:hint="eastAsia" w:ascii="宋体" w:hAnsi="宋体" w:cs="宋体"/>
          <w:b/>
          <w:color w:val="auto"/>
          <w:sz w:val="36"/>
          <w:szCs w:val="36"/>
          <w:highlight w:val="none"/>
        </w:rPr>
      </w:pPr>
    </w:p>
    <w:p w14:paraId="6CB17D09">
      <w:pPr>
        <w:spacing w:line="360" w:lineRule="auto"/>
        <w:ind w:left="720" w:leftChars="343" w:firstLine="1084" w:firstLineChars="300"/>
        <w:outlineLvl w:val="0"/>
        <w:rPr>
          <w:rFonts w:hint="eastAsia" w:ascii="宋体" w:hAnsi="宋体" w:cs="宋体"/>
          <w:b/>
          <w:color w:val="auto"/>
          <w:sz w:val="36"/>
          <w:szCs w:val="36"/>
          <w:highlight w:val="none"/>
        </w:rPr>
      </w:pPr>
    </w:p>
    <w:p w14:paraId="0B7186C8">
      <w:pPr>
        <w:spacing w:line="360" w:lineRule="auto"/>
        <w:ind w:left="720" w:leftChars="343" w:firstLine="1084" w:firstLineChars="300"/>
        <w:outlineLvl w:val="0"/>
        <w:rPr>
          <w:rFonts w:hint="eastAsia" w:ascii="宋体" w:hAnsi="宋体" w:cs="宋体"/>
          <w:b/>
          <w:color w:val="auto"/>
          <w:sz w:val="36"/>
          <w:szCs w:val="36"/>
          <w:highlight w:val="none"/>
        </w:rPr>
      </w:pPr>
    </w:p>
    <w:p w14:paraId="533AD0EA">
      <w:pPr>
        <w:spacing w:line="360" w:lineRule="auto"/>
        <w:ind w:left="720" w:leftChars="343" w:firstLine="1084" w:firstLineChars="300"/>
        <w:outlineLvl w:val="0"/>
        <w:rPr>
          <w:rFonts w:hint="eastAsia" w:ascii="宋体" w:hAnsi="宋体" w:cs="宋体"/>
          <w:b/>
          <w:color w:val="auto"/>
          <w:sz w:val="36"/>
          <w:szCs w:val="36"/>
          <w:highlight w:val="none"/>
        </w:rPr>
      </w:pPr>
    </w:p>
    <w:p w14:paraId="084D6375">
      <w:pPr>
        <w:spacing w:line="360" w:lineRule="auto"/>
        <w:ind w:left="720" w:leftChars="343" w:firstLine="1084" w:firstLineChars="300"/>
        <w:outlineLvl w:val="0"/>
        <w:rPr>
          <w:rFonts w:hint="eastAsia" w:ascii="宋体" w:hAnsi="宋体" w:cs="宋体"/>
          <w:b/>
          <w:color w:val="auto"/>
          <w:sz w:val="36"/>
          <w:szCs w:val="36"/>
          <w:highlight w:val="none"/>
        </w:rPr>
      </w:pPr>
    </w:p>
    <w:p w14:paraId="61FF789E">
      <w:pPr>
        <w:spacing w:line="360" w:lineRule="auto"/>
        <w:ind w:left="720" w:leftChars="343" w:firstLine="1084" w:firstLineChars="300"/>
        <w:outlineLvl w:val="0"/>
        <w:rPr>
          <w:rFonts w:hint="eastAsia" w:ascii="宋体" w:hAnsi="宋体" w:cs="宋体"/>
          <w:b/>
          <w:color w:val="auto"/>
          <w:sz w:val="36"/>
          <w:szCs w:val="36"/>
          <w:highlight w:val="none"/>
        </w:rPr>
      </w:pPr>
    </w:p>
    <w:p w14:paraId="0995F81A">
      <w:pPr>
        <w:spacing w:line="360" w:lineRule="auto"/>
        <w:ind w:left="720" w:leftChars="343" w:firstLine="1084" w:firstLineChars="300"/>
        <w:outlineLvl w:val="0"/>
        <w:rPr>
          <w:rFonts w:hint="eastAsia" w:ascii="宋体" w:hAnsi="宋体" w:cs="宋体"/>
          <w:b/>
          <w:color w:val="auto"/>
          <w:sz w:val="36"/>
          <w:szCs w:val="36"/>
          <w:highlight w:val="none"/>
        </w:rPr>
      </w:pPr>
    </w:p>
    <w:p w14:paraId="084C4296">
      <w:pPr>
        <w:spacing w:line="360" w:lineRule="auto"/>
        <w:ind w:left="720" w:leftChars="343" w:firstLine="1084" w:firstLineChars="300"/>
        <w:outlineLvl w:val="0"/>
        <w:rPr>
          <w:rFonts w:hint="eastAsia" w:ascii="宋体" w:hAnsi="宋体" w:cs="宋体"/>
          <w:b/>
          <w:color w:val="auto"/>
          <w:sz w:val="36"/>
          <w:szCs w:val="36"/>
          <w:highlight w:val="none"/>
        </w:rPr>
      </w:pPr>
    </w:p>
    <w:p w14:paraId="29CD23D1">
      <w:pPr>
        <w:spacing w:line="360" w:lineRule="auto"/>
        <w:ind w:left="720" w:leftChars="343" w:firstLine="1084" w:firstLineChars="300"/>
        <w:outlineLvl w:val="0"/>
        <w:rPr>
          <w:rFonts w:hint="eastAsia" w:ascii="宋体" w:hAnsi="宋体" w:cs="宋体"/>
          <w:b/>
          <w:color w:val="auto"/>
          <w:sz w:val="36"/>
          <w:szCs w:val="36"/>
          <w:highlight w:val="none"/>
        </w:rPr>
      </w:pPr>
    </w:p>
    <w:p w14:paraId="36567189">
      <w:pPr>
        <w:spacing w:line="360" w:lineRule="auto"/>
        <w:ind w:left="720" w:leftChars="343" w:firstLine="1084" w:firstLineChars="300"/>
        <w:outlineLvl w:val="0"/>
        <w:rPr>
          <w:rFonts w:hint="eastAsia" w:ascii="宋体" w:hAnsi="宋体" w:cs="宋体"/>
          <w:b/>
          <w:color w:val="auto"/>
          <w:sz w:val="36"/>
          <w:szCs w:val="36"/>
          <w:highlight w:val="none"/>
        </w:rPr>
      </w:pPr>
    </w:p>
    <w:p w14:paraId="5F8513C9">
      <w:pPr>
        <w:spacing w:line="360" w:lineRule="auto"/>
        <w:ind w:left="720" w:leftChars="343" w:firstLine="1084" w:firstLineChars="300"/>
        <w:outlineLvl w:val="0"/>
        <w:rPr>
          <w:rFonts w:hint="eastAsia" w:ascii="宋体" w:hAnsi="宋体" w:cs="宋体"/>
          <w:b/>
          <w:color w:val="auto"/>
          <w:sz w:val="36"/>
          <w:szCs w:val="36"/>
          <w:highlight w:val="none"/>
        </w:rPr>
      </w:pPr>
    </w:p>
    <w:p w14:paraId="0237AF19">
      <w:pPr>
        <w:spacing w:line="360" w:lineRule="auto"/>
        <w:ind w:left="720" w:leftChars="343" w:firstLine="1084" w:firstLineChars="300"/>
        <w:outlineLvl w:val="0"/>
        <w:rPr>
          <w:rFonts w:ascii="宋体" w:hAnsi="宋体" w:cs="宋体"/>
          <w:b/>
          <w:color w:val="auto"/>
          <w:sz w:val="36"/>
          <w:szCs w:val="36"/>
          <w:highlight w:val="none"/>
        </w:rPr>
      </w:pPr>
      <w:bookmarkStart w:id="520" w:name="_GoBack"/>
      <w:bookmarkEnd w:id="520"/>
      <w:r>
        <w:rPr>
          <w:rFonts w:hint="eastAsia" w:ascii="宋体" w:hAnsi="宋体" w:cs="宋体"/>
          <w:b/>
          <w:color w:val="auto"/>
          <w:sz w:val="36"/>
          <w:szCs w:val="36"/>
          <w:highlight w:val="none"/>
        </w:rPr>
        <w:t>第五部分 拟签订的合同文本</w:t>
      </w:r>
    </w:p>
    <w:p w14:paraId="4557563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E0C4391">
      <w:pPr>
        <w:spacing w:line="480" w:lineRule="auto"/>
        <w:jc w:val="center"/>
        <w:rPr>
          <w:rFonts w:ascii="宋体" w:hAnsi="宋体" w:cs="宋体"/>
          <w:b/>
          <w:color w:val="auto"/>
          <w:sz w:val="28"/>
          <w:szCs w:val="28"/>
          <w:highlight w:val="none"/>
        </w:rPr>
      </w:pPr>
    </w:p>
    <w:p w14:paraId="382012F8">
      <w:pPr>
        <w:spacing w:line="480" w:lineRule="auto"/>
        <w:jc w:val="center"/>
        <w:rPr>
          <w:rFonts w:ascii="宋体" w:hAnsi="宋体" w:cs="宋体"/>
          <w:b/>
          <w:color w:val="auto"/>
          <w:sz w:val="24"/>
          <w:highlight w:val="none"/>
        </w:rPr>
      </w:pPr>
    </w:p>
    <w:p w14:paraId="0389BEB1">
      <w:pPr>
        <w:spacing w:line="480" w:lineRule="auto"/>
        <w:jc w:val="center"/>
        <w:rPr>
          <w:rFonts w:ascii="宋体" w:hAnsi="宋体" w:cs="宋体"/>
          <w:b/>
          <w:color w:val="auto"/>
          <w:sz w:val="24"/>
          <w:highlight w:val="none"/>
        </w:rPr>
      </w:pPr>
    </w:p>
    <w:p w14:paraId="03A7528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F99F60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409D76C">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AC0A569">
      <w:pPr>
        <w:spacing w:before="120" w:line="22" w:lineRule="atLeast"/>
        <w:rPr>
          <w:rFonts w:ascii="宋体" w:hAnsi="宋体" w:cs="宋体"/>
          <w:color w:val="auto"/>
          <w:sz w:val="24"/>
          <w:highlight w:val="none"/>
        </w:rPr>
      </w:pPr>
    </w:p>
    <w:p w14:paraId="15F8C906">
      <w:pPr>
        <w:pStyle w:val="5"/>
        <w:rPr>
          <w:color w:val="auto"/>
          <w:highlight w:val="none"/>
        </w:rPr>
      </w:pPr>
    </w:p>
    <w:p w14:paraId="53A031C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84BE4ED">
      <w:pPr>
        <w:pStyle w:val="599"/>
        <w:spacing w:before="120" w:line="22" w:lineRule="atLeast"/>
        <w:rPr>
          <w:rFonts w:ascii="宋体" w:hAnsi="宋体" w:eastAsia="宋体" w:cs="宋体"/>
          <w:color w:val="auto"/>
          <w:szCs w:val="24"/>
          <w:highlight w:val="none"/>
        </w:rPr>
      </w:pPr>
    </w:p>
    <w:p w14:paraId="5C85D46C">
      <w:pPr>
        <w:pStyle w:val="599"/>
        <w:spacing w:before="120" w:line="22" w:lineRule="atLeast"/>
        <w:rPr>
          <w:rFonts w:ascii="宋体" w:hAnsi="宋体" w:eastAsia="宋体" w:cs="宋体"/>
          <w:color w:val="auto"/>
          <w:szCs w:val="24"/>
          <w:highlight w:val="none"/>
        </w:rPr>
      </w:pPr>
    </w:p>
    <w:p w14:paraId="43FD72B3">
      <w:pPr>
        <w:rPr>
          <w:rFonts w:ascii="宋体" w:hAnsi="宋体" w:cs="宋体"/>
          <w:color w:val="auto"/>
          <w:sz w:val="24"/>
          <w:highlight w:val="none"/>
        </w:rPr>
      </w:pPr>
    </w:p>
    <w:p w14:paraId="6E1F21D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A72C0FE">
      <w:pPr>
        <w:spacing w:before="120" w:line="22" w:lineRule="atLeast"/>
        <w:rPr>
          <w:rFonts w:ascii="宋体" w:hAnsi="宋体" w:cs="宋体"/>
          <w:color w:val="auto"/>
          <w:sz w:val="24"/>
          <w:highlight w:val="none"/>
        </w:rPr>
      </w:pPr>
    </w:p>
    <w:p w14:paraId="066D16B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00725FE">
      <w:pPr>
        <w:spacing w:before="120" w:line="22" w:lineRule="atLeast"/>
        <w:rPr>
          <w:rFonts w:ascii="宋体" w:hAnsi="宋体" w:cs="宋体"/>
          <w:color w:val="auto"/>
          <w:sz w:val="24"/>
          <w:highlight w:val="none"/>
        </w:rPr>
      </w:pPr>
    </w:p>
    <w:p w14:paraId="5D5C85A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011AFE5">
      <w:pPr>
        <w:spacing w:before="120" w:line="22" w:lineRule="atLeast"/>
        <w:rPr>
          <w:rFonts w:ascii="宋体" w:hAnsi="宋体" w:cs="宋体"/>
          <w:color w:val="auto"/>
          <w:sz w:val="24"/>
          <w:highlight w:val="none"/>
        </w:rPr>
      </w:pPr>
    </w:p>
    <w:p w14:paraId="51F68D6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7AB4A3D">
      <w:pPr>
        <w:widowControl/>
        <w:jc w:val="left"/>
        <w:rPr>
          <w:rFonts w:ascii="宋体" w:hAnsi="宋体" w:cs="宋体"/>
          <w:color w:val="auto"/>
          <w:kern w:val="0"/>
          <w:sz w:val="24"/>
          <w:highlight w:val="none"/>
        </w:rPr>
        <w:sectPr>
          <w:pgSz w:w="11907" w:h="16840"/>
          <w:pgMar w:top="1440" w:right="1080" w:bottom="1440" w:left="1080" w:header="851" w:footer="851" w:gutter="0"/>
          <w:cols w:space="720" w:num="1"/>
        </w:sectPr>
      </w:pPr>
    </w:p>
    <w:p w14:paraId="2622DA5E">
      <w:pPr>
        <w:rPr>
          <w:rFonts w:ascii="宋体" w:hAnsi="宋体" w:cs="宋体"/>
          <w:b/>
          <w:color w:val="auto"/>
          <w:sz w:val="24"/>
          <w:highlight w:val="none"/>
        </w:rPr>
      </w:pPr>
    </w:p>
    <w:p w14:paraId="66AEA3A5">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28B96F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2F464A2">
      <w:pPr>
        <w:spacing w:line="560" w:lineRule="exact"/>
        <w:ind w:firstLine="482" w:firstLineChars="200"/>
        <w:outlineLvl w:val="0"/>
        <w:rPr>
          <w:rFonts w:ascii="宋体" w:hAnsi="宋体"/>
          <w:color w:val="auto"/>
          <w:sz w:val="24"/>
          <w:highlight w:val="none"/>
        </w:rPr>
      </w:pPr>
      <w:bookmarkStart w:id="396" w:name="_Toc20421"/>
      <w:bookmarkStart w:id="397" w:name="_Toc15367"/>
      <w:bookmarkStart w:id="398" w:name="_Toc22967"/>
      <w:bookmarkStart w:id="399" w:name="_Toc19273"/>
      <w:bookmarkStart w:id="40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287D9DE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76F882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7591FB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CC769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BC02B7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51135C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F7F8C4E">
      <w:pPr>
        <w:spacing w:line="560" w:lineRule="exact"/>
        <w:ind w:firstLine="482" w:firstLineChars="200"/>
        <w:outlineLvl w:val="0"/>
        <w:rPr>
          <w:rFonts w:ascii="宋体" w:hAnsi="宋体"/>
          <w:b/>
          <w:color w:val="auto"/>
          <w:sz w:val="24"/>
          <w:highlight w:val="none"/>
        </w:rPr>
      </w:pPr>
      <w:bookmarkStart w:id="401" w:name="_Toc18585"/>
      <w:bookmarkStart w:id="402" w:name="_Toc2918"/>
      <w:bookmarkStart w:id="403" w:name="_Toc6311"/>
      <w:bookmarkStart w:id="404" w:name="_Toc6773"/>
      <w:bookmarkStart w:id="405"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46C9AD3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34CFE6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25252B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EF6FF6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EB771CB">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3DCBCEE">
      <w:pPr>
        <w:spacing w:line="560" w:lineRule="exact"/>
        <w:ind w:firstLine="480" w:firstLineChars="200"/>
        <w:rPr>
          <w:rFonts w:ascii="宋体" w:hAnsi="宋体" w:cs="宋体"/>
          <w:color w:val="auto"/>
          <w:sz w:val="24"/>
          <w:highlight w:val="none"/>
          <w:u w:val="single"/>
        </w:rPr>
      </w:pPr>
      <w:bookmarkStart w:id="406" w:name="_Toc21124"/>
      <w:bookmarkStart w:id="407" w:name="_Toc1386"/>
      <w:bookmarkStart w:id="408" w:name="_Toc5635"/>
      <w:bookmarkStart w:id="409" w:name="_Toc13918"/>
      <w:bookmarkStart w:id="410"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A5E06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BCDF2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A4F82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5732679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EFB2CC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3EBB45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32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FBEB08">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D97968E">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9F301D7">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AC6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9E8590">
            <w:pPr>
              <w:pStyle w:val="320"/>
              <w:spacing w:line="560" w:lineRule="exact"/>
              <w:ind w:firstLine="200"/>
              <w:jc w:val="center"/>
              <w:rPr>
                <w:rFonts w:hAnsi="宋体"/>
                <w:color w:val="auto"/>
                <w:sz w:val="24"/>
                <w:szCs w:val="24"/>
                <w:highlight w:val="none"/>
              </w:rPr>
            </w:pPr>
          </w:p>
        </w:tc>
        <w:tc>
          <w:tcPr>
            <w:tcW w:w="3402" w:type="dxa"/>
            <w:vAlign w:val="center"/>
          </w:tcPr>
          <w:p w14:paraId="5CDC7658">
            <w:pPr>
              <w:pStyle w:val="320"/>
              <w:spacing w:line="560" w:lineRule="exact"/>
              <w:ind w:firstLine="200"/>
              <w:jc w:val="center"/>
              <w:rPr>
                <w:rFonts w:hAnsi="宋体"/>
                <w:color w:val="auto"/>
                <w:sz w:val="24"/>
                <w:szCs w:val="24"/>
                <w:highlight w:val="none"/>
              </w:rPr>
            </w:pPr>
          </w:p>
        </w:tc>
        <w:tc>
          <w:tcPr>
            <w:tcW w:w="2552" w:type="dxa"/>
            <w:vAlign w:val="center"/>
          </w:tcPr>
          <w:p w14:paraId="66F648EC">
            <w:pPr>
              <w:pStyle w:val="320"/>
              <w:spacing w:line="560" w:lineRule="exact"/>
              <w:ind w:firstLine="200"/>
              <w:jc w:val="center"/>
              <w:rPr>
                <w:rFonts w:hAnsi="宋体"/>
                <w:color w:val="auto"/>
                <w:sz w:val="24"/>
                <w:szCs w:val="24"/>
                <w:highlight w:val="none"/>
              </w:rPr>
            </w:pPr>
          </w:p>
        </w:tc>
      </w:tr>
      <w:tr w14:paraId="0A13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004495">
            <w:pPr>
              <w:pStyle w:val="320"/>
              <w:spacing w:line="560" w:lineRule="exact"/>
              <w:ind w:firstLine="200"/>
              <w:jc w:val="center"/>
              <w:rPr>
                <w:rFonts w:hAnsi="宋体"/>
                <w:color w:val="auto"/>
                <w:sz w:val="24"/>
                <w:szCs w:val="24"/>
                <w:highlight w:val="none"/>
              </w:rPr>
            </w:pPr>
          </w:p>
        </w:tc>
        <w:tc>
          <w:tcPr>
            <w:tcW w:w="3402" w:type="dxa"/>
            <w:vAlign w:val="center"/>
          </w:tcPr>
          <w:p w14:paraId="4D6EB56F">
            <w:pPr>
              <w:pStyle w:val="320"/>
              <w:spacing w:line="560" w:lineRule="exact"/>
              <w:ind w:firstLine="200"/>
              <w:jc w:val="center"/>
              <w:rPr>
                <w:rFonts w:hAnsi="宋体"/>
                <w:color w:val="auto"/>
                <w:sz w:val="24"/>
                <w:szCs w:val="24"/>
                <w:highlight w:val="none"/>
              </w:rPr>
            </w:pPr>
          </w:p>
        </w:tc>
        <w:tc>
          <w:tcPr>
            <w:tcW w:w="2552" w:type="dxa"/>
            <w:vAlign w:val="center"/>
          </w:tcPr>
          <w:p w14:paraId="4940C6E0">
            <w:pPr>
              <w:pStyle w:val="320"/>
              <w:spacing w:line="560" w:lineRule="exact"/>
              <w:ind w:firstLine="200"/>
              <w:jc w:val="center"/>
              <w:rPr>
                <w:rFonts w:hAnsi="宋体"/>
                <w:color w:val="auto"/>
                <w:sz w:val="24"/>
                <w:szCs w:val="24"/>
                <w:highlight w:val="none"/>
              </w:rPr>
            </w:pPr>
          </w:p>
        </w:tc>
      </w:tr>
      <w:tr w14:paraId="2903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4A61E0">
            <w:pPr>
              <w:pStyle w:val="320"/>
              <w:spacing w:line="560" w:lineRule="exact"/>
              <w:ind w:firstLine="200"/>
              <w:jc w:val="center"/>
              <w:rPr>
                <w:rFonts w:hAnsi="宋体"/>
                <w:color w:val="auto"/>
                <w:sz w:val="24"/>
                <w:szCs w:val="24"/>
                <w:highlight w:val="none"/>
              </w:rPr>
            </w:pPr>
          </w:p>
        </w:tc>
        <w:tc>
          <w:tcPr>
            <w:tcW w:w="3402" w:type="dxa"/>
            <w:vAlign w:val="center"/>
          </w:tcPr>
          <w:p w14:paraId="2ADB9C8A">
            <w:pPr>
              <w:pStyle w:val="320"/>
              <w:spacing w:line="560" w:lineRule="exact"/>
              <w:ind w:firstLine="200"/>
              <w:jc w:val="center"/>
              <w:rPr>
                <w:rFonts w:hAnsi="宋体"/>
                <w:color w:val="auto"/>
                <w:sz w:val="24"/>
                <w:szCs w:val="24"/>
                <w:highlight w:val="none"/>
              </w:rPr>
            </w:pPr>
          </w:p>
        </w:tc>
        <w:tc>
          <w:tcPr>
            <w:tcW w:w="2552" w:type="dxa"/>
            <w:vAlign w:val="center"/>
          </w:tcPr>
          <w:p w14:paraId="1B6C1DA6">
            <w:pPr>
              <w:pStyle w:val="320"/>
              <w:spacing w:line="560" w:lineRule="exact"/>
              <w:ind w:firstLine="200"/>
              <w:jc w:val="center"/>
              <w:rPr>
                <w:rFonts w:hAnsi="宋体"/>
                <w:color w:val="auto"/>
                <w:sz w:val="24"/>
                <w:szCs w:val="24"/>
                <w:highlight w:val="none"/>
              </w:rPr>
            </w:pPr>
          </w:p>
        </w:tc>
      </w:tr>
      <w:tr w14:paraId="4327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300D">
            <w:pPr>
              <w:pStyle w:val="320"/>
              <w:spacing w:line="560" w:lineRule="exact"/>
              <w:ind w:firstLine="200"/>
              <w:jc w:val="center"/>
              <w:rPr>
                <w:rFonts w:hAnsi="宋体"/>
                <w:color w:val="auto"/>
                <w:sz w:val="24"/>
                <w:szCs w:val="24"/>
                <w:highlight w:val="none"/>
              </w:rPr>
            </w:pPr>
          </w:p>
        </w:tc>
        <w:tc>
          <w:tcPr>
            <w:tcW w:w="3402" w:type="dxa"/>
            <w:vAlign w:val="center"/>
          </w:tcPr>
          <w:p w14:paraId="396128AF">
            <w:pPr>
              <w:pStyle w:val="320"/>
              <w:spacing w:line="560" w:lineRule="exact"/>
              <w:ind w:firstLine="200"/>
              <w:jc w:val="center"/>
              <w:rPr>
                <w:rFonts w:hAnsi="宋体"/>
                <w:color w:val="auto"/>
                <w:sz w:val="24"/>
                <w:szCs w:val="24"/>
                <w:highlight w:val="none"/>
              </w:rPr>
            </w:pPr>
          </w:p>
        </w:tc>
        <w:tc>
          <w:tcPr>
            <w:tcW w:w="2552" w:type="dxa"/>
            <w:vAlign w:val="center"/>
          </w:tcPr>
          <w:p w14:paraId="773C0100">
            <w:pPr>
              <w:pStyle w:val="320"/>
              <w:spacing w:line="560" w:lineRule="exact"/>
              <w:ind w:firstLine="200"/>
              <w:jc w:val="center"/>
              <w:rPr>
                <w:rFonts w:hAnsi="宋体"/>
                <w:color w:val="auto"/>
                <w:sz w:val="24"/>
                <w:szCs w:val="24"/>
                <w:highlight w:val="none"/>
              </w:rPr>
            </w:pPr>
          </w:p>
        </w:tc>
      </w:tr>
      <w:tr w14:paraId="51CB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04B24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119C6A1">
            <w:pPr>
              <w:pStyle w:val="320"/>
              <w:spacing w:line="560" w:lineRule="exact"/>
              <w:ind w:firstLine="200"/>
              <w:jc w:val="center"/>
              <w:rPr>
                <w:rFonts w:hAnsi="宋体"/>
                <w:color w:val="auto"/>
                <w:sz w:val="24"/>
                <w:szCs w:val="24"/>
                <w:highlight w:val="none"/>
              </w:rPr>
            </w:pPr>
          </w:p>
        </w:tc>
      </w:tr>
    </w:tbl>
    <w:p w14:paraId="58661BD8">
      <w:pPr>
        <w:spacing w:line="560" w:lineRule="exact"/>
        <w:ind w:firstLine="480" w:firstLineChars="200"/>
        <w:rPr>
          <w:rFonts w:ascii="宋体" w:hAnsi="宋体"/>
          <w:color w:val="auto"/>
          <w:sz w:val="24"/>
          <w:highlight w:val="none"/>
        </w:rPr>
      </w:pPr>
      <w:bookmarkStart w:id="411" w:name="_Toc3654"/>
      <w:bookmarkStart w:id="412" w:name="_Toc30158"/>
      <w:bookmarkStart w:id="413" w:name="_Toc30506"/>
      <w:bookmarkStart w:id="414" w:name="_Toc26916"/>
      <w:bookmarkStart w:id="415"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74BB8D6">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0DEC422">
      <w:pPr>
        <w:pStyle w:val="960"/>
        <w:spacing w:before="0" w:beforeAutospacing="0" w:after="0" w:afterAutospacing="0" w:line="360" w:lineRule="auto"/>
        <w:ind w:firstLine="480"/>
        <w:rPr>
          <w:b/>
          <w:color w:val="auto"/>
          <w:highlight w:val="none"/>
        </w:rPr>
      </w:pPr>
      <w:bookmarkStart w:id="416" w:name="_Toc10340"/>
      <w:bookmarkStart w:id="417" w:name="_Toc1814"/>
      <w:bookmarkStart w:id="418" w:name="_Toc22618"/>
      <w:bookmarkStart w:id="419" w:name="_Toc4760"/>
      <w:bookmarkStart w:id="420" w:name="_Toc31421"/>
      <w:bookmarkStart w:id="421" w:name="_Toc8772"/>
      <w:bookmarkStart w:id="422" w:name="_Toc11108"/>
      <w:bookmarkStart w:id="423" w:name="_Toc3625"/>
      <w:r>
        <w:rPr>
          <w:rFonts w:hint="eastAsia"/>
          <w:b/>
          <w:color w:val="auto"/>
          <w:highlight w:val="none"/>
        </w:rPr>
        <w:t>1.4履约保证金</w:t>
      </w:r>
    </w:p>
    <w:p w14:paraId="0BC4D228">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9AC63C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685C7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EB4873">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00FCA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F04E5A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760387E4">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C27C4E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F29D005">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1019723">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5B900B9">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C05A6D5">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18EC22">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E6BCB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1C71383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9E39BA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2D8D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EEB5600">
      <w:pPr>
        <w:spacing w:line="560" w:lineRule="exact"/>
        <w:ind w:firstLine="480" w:firstLineChars="200"/>
        <w:outlineLvl w:val="0"/>
        <w:rPr>
          <w:rFonts w:ascii="宋体" w:hAnsi="宋体"/>
          <w:bCs/>
          <w:color w:val="auto"/>
          <w:sz w:val="24"/>
          <w:highlight w:val="none"/>
        </w:rPr>
      </w:pPr>
      <w:bookmarkStart w:id="424" w:name="_Toc24662"/>
      <w:bookmarkStart w:id="425" w:name="_Toc2375"/>
      <w:bookmarkStart w:id="426" w:name="_Toc3079"/>
      <w:bookmarkStart w:id="427" w:name="_Toc8586"/>
      <w:bookmarkStart w:id="42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034CE8B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35C3F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7382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8B63797">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2726B8F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D834923">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CBAB3A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606B8B1">
      <w:pPr>
        <w:spacing w:line="560" w:lineRule="exact"/>
        <w:ind w:firstLine="480" w:firstLineChars="200"/>
        <w:rPr>
          <w:rFonts w:ascii="宋体" w:hAnsi="宋体" w:cs="宋体"/>
          <w:color w:val="auto"/>
          <w:sz w:val="24"/>
          <w:highlight w:val="none"/>
        </w:rPr>
      </w:pPr>
      <w:bookmarkStart w:id="429" w:name="_Toc18683"/>
      <w:bookmarkStart w:id="430" w:name="_Toc30329"/>
      <w:bookmarkStart w:id="431" w:name="_Toc26807"/>
      <w:bookmarkStart w:id="432" w:name="_Toc9497"/>
      <w:bookmarkStart w:id="43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7644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9FB6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472BC85">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C37F9BA">
      <w:pPr>
        <w:spacing w:line="560" w:lineRule="exact"/>
        <w:ind w:firstLine="482" w:firstLineChars="200"/>
        <w:outlineLvl w:val="0"/>
        <w:rPr>
          <w:rFonts w:ascii="宋体" w:hAnsi="宋体" w:cs="宋体"/>
          <w:b/>
          <w:color w:val="auto"/>
          <w:sz w:val="24"/>
          <w:highlight w:val="none"/>
        </w:rPr>
      </w:pPr>
      <w:bookmarkStart w:id="434" w:name="_Toc16021"/>
      <w:bookmarkStart w:id="435" w:name="_Toc15583"/>
      <w:bookmarkStart w:id="436" w:name="_Toc28375"/>
      <w:r>
        <w:rPr>
          <w:rFonts w:hint="eastAsia" w:ascii="宋体" w:hAnsi="宋体" w:cs="宋体"/>
          <w:b/>
          <w:color w:val="auto"/>
          <w:sz w:val="24"/>
          <w:highlight w:val="none"/>
        </w:rPr>
        <w:t>1.9合同争议的解决</w:t>
      </w:r>
      <w:bookmarkEnd w:id="434"/>
      <w:bookmarkEnd w:id="435"/>
      <w:bookmarkEnd w:id="436"/>
    </w:p>
    <w:p w14:paraId="2E94EDBF">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6586AD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04A53F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08B45C2">
      <w:pPr>
        <w:spacing w:line="560" w:lineRule="exact"/>
        <w:ind w:firstLine="482" w:firstLineChars="200"/>
        <w:outlineLvl w:val="0"/>
        <w:rPr>
          <w:rFonts w:ascii="宋体" w:hAnsi="宋体" w:cs="宋体"/>
          <w:b/>
          <w:color w:val="auto"/>
          <w:sz w:val="24"/>
          <w:highlight w:val="none"/>
        </w:rPr>
      </w:pPr>
      <w:bookmarkStart w:id="437" w:name="_Toc15322"/>
      <w:bookmarkStart w:id="438" w:name="_Toc7245"/>
      <w:bookmarkStart w:id="439" w:name="_Toc11173"/>
      <w:r>
        <w:rPr>
          <w:rFonts w:hint="eastAsia" w:ascii="宋体" w:hAnsi="宋体" w:cs="宋体"/>
          <w:b/>
          <w:color w:val="auto"/>
          <w:sz w:val="24"/>
          <w:highlight w:val="none"/>
        </w:rPr>
        <w:t>2.0 合同生效</w:t>
      </w:r>
      <w:bookmarkEnd w:id="437"/>
      <w:bookmarkEnd w:id="438"/>
      <w:bookmarkEnd w:id="439"/>
    </w:p>
    <w:p w14:paraId="2F58311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A76D8BE">
      <w:pPr>
        <w:autoSpaceDE w:val="0"/>
        <w:autoSpaceDN w:val="0"/>
        <w:spacing w:line="560" w:lineRule="exact"/>
        <w:rPr>
          <w:rFonts w:ascii="宋体" w:hAnsi="宋体"/>
          <w:color w:val="auto"/>
          <w:sz w:val="24"/>
          <w:highlight w:val="none"/>
          <w:lang w:val="zh-CN"/>
        </w:rPr>
      </w:pPr>
    </w:p>
    <w:p w14:paraId="626181F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AD084A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D94A3D2">
      <w:pPr>
        <w:autoSpaceDE w:val="0"/>
        <w:autoSpaceDN w:val="0"/>
        <w:spacing w:line="560" w:lineRule="exact"/>
        <w:rPr>
          <w:rFonts w:ascii="宋体" w:hAnsi="宋体"/>
          <w:color w:val="auto"/>
          <w:sz w:val="24"/>
          <w:highlight w:val="none"/>
          <w:lang w:val="zh-CN"/>
        </w:rPr>
      </w:pPr>
    </w:p>
    <w:p w14:paraId="127B7AB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9CA40C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0FB9C1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4D5C90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9E742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2FB5F9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26EA47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E6EA9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7D884C2">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40D51E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FA75D8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D2CB14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BF2C0F5">
      <w:pPr>
        <w:widowControl/>
        <w:spacing w:line="560" w:lineRule="exact"/>
        <w:jc w:val="left"/>
        <w:rPr>
          <w:rFonts w:ascii="宋体" w:hAnsi="宋体"/>
          <w:b/>
          <w:color w:val="auto"/>
          <w:sz w:val="24"/>
          <w:highlight w:val="none"/>
        </w:rPr>
      </w:pPr>
    </w:p>
    <w:p w14:paraId="4B4240E6">
      <w:pPr>
        <w:widowControl/>
        <w:adjustRightInd/>
        <w:jc w:val="left"/>
        <w:rPr>
          <w:rFonts w:ascii="宋体" w:hAnsi="宋体"/>
          <w:b/>
          <w:color w:val="auto"/>
          <w:sz w:val="24"/>
          <w:highlight w:val="none"/>
        </w:rPr>
      </w:pPr>
      <w:r>
        <w:rPr>
          <w:rFonts w:ascii="宋体" w:hAnsi="宋体"/>
          <w:b/>
          <w:color w:val="auto"/>
          <w:highlight w:val="none"/>
        </w:rPr>
        <w:br w:type="page"/>
      </w:r>
    </w:p>
    <w:p w14:paraId="6F3B34EC">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84F2A37">
      <w:pPr>
        <w:spacing w:line="560" w:lineRule="exact"/>
        <w:ind w:firstLine="482" w:firstLineChars="200"/>
        <w:outlineLvl w:val="0"/>
        <w:rPr>
          <w:rFonts w:ascii="宋体" w:hAnsi="宋体"/>
          <w:b/>
          <w:color w:val="auto"/>
          <w:sz w:val="24"/>
          <w:highlight w:val="none"/>
        </w:rPr>
      </w:pPr>
      <w:bookmarkStart w:id="440" w:name="_Toc31297"/>
      <w:bookmarkStart w:id="441" w:name="_Toc14021"/>
      <w:bookmarkStart w:id="442" w:name="_Toc19680"/>
      <w:bookmarkStart w:id="443" w:name="_Toc5228"/>
      <w:bookmarkStart w:id="444" w:name="_Toc25079"/>
      <w:r>
        <w:rPr>
          <w:rFonts w:ascii="宋体" w:hAnsi="宋体"/>
          <w:b/>
          <w:color w:val="auto"/>
          <w:sz w:val="24"/>
          <w:highlight w:val="none"/>
        </w:rPr>
        <w:t>2.1 定义</w:t>
      </w:r>
      <w:bookmarkEnd w:id="440"/>
      <w:bookmarkEnd w:id="441"/>
      <w:bookmarkEnd w:id="442"/>
      <w:bookmarkEnd w:id="443"/>
      <w:bookmarkEnd w:id="444"/>
    </w:p>
    <w:p w14:paraId="3F9D1BA7">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5B2244A">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6ACE3B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281B21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D87F01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2E58959">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1F8F78">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C7A7424">
      <w:pPr>
        <w:spacing w:line="560" w:lineRule="exact"/>
        <w:ind w:firstLine="482" w:firstLineChars="200"/>
        <w:outlineLvl w:val="0"/>
        <w:rPr>
          <w:rFonts w:ascii="宋体" w:hAnsi="宋体"/>
          <w:b/>
          <w:color w:val="auto"/>
          <w:sz w:val="24"/>
          <w:highlight w:val="none"/>
        </w:rPr>
      </w:pPr>
      <w:bookmarkStart w:id="445" w:name="_Toc3769"/>
      <w:bookmarkStart w:id="446" w:name="_Toc19539"/>
      <w:bookmarkStart w:id="447" w:name="_Toc23289"/>
      <w:bookmarkStart w:id="448" w:name="_Toc31402"/>
      <w:bookmarkStart w:id="449" w:name="_Toc16752"/>
      <w:r>
        <w:rPr>
          <w:rFonts w:ascii="宋体" w:hAnsi="宋体"/>
          <w:b/>
          <w:color w:val="auto"/>
          <w:sz w:val="24"/>
          <w:highlight w:val="none"/>
        </w:rPr>
        <w:t>2.2 技术规范</w:t>
      </w:r>
      <w:bookmarkEnd w:id="445"/>
      <w:bookmarkEnd w:id="446"/>
      <w:bookmarkEnd w:id="447"/>
      <w:bookmarkEnd w:id="448"/>
      <w:bookmarkEnd w:id="449"/>
    </w:p>
    <w:p w14:paraId="167855A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89AC58B">
      <w:pPr>
        <w:spacing w:line="560" w:lineRule="exact"/>
        <w:ind w:firstLine="482" w:firstLineChars="200"/>
        <w:outlineLvl w:val="0"/>
        <w:rPr>
          <w:rFonts w:ascii="宋体" w:hAnsi="宋体"/>
          <w:b/>
          <w:color w:val="auto"/>
          <w:sz w:val="24"/>
          <w:highlight w:val="none"/>
        </w:rPr>
      </w:pPr>
      <w:bookmarkStart w:id="450" w:name="_Toc4133"/>
      <w:bookmarkStart w:id="451" w:name="_Toc27945"/>
      <w:bookmarkStart w:id="452" w:name="_Toc9161"/>
      <w:bookmarkStart w:id="453" w:name="_Toc12412"/>
      <w:bookmarkStart w:id="454" w:name="_Toc13673"/>
      <w:r>
        <w:rPr>
          <w:rFonts w:ascii="宋体" w:hAnsi="宋体"/>
          <w:b/>
          <w:color w:val="auto"/>
          <w:sz w:val="24"/>
          <w:highlight w:val="none"/>
        </w:rPr>
        <w:t>2.3 知识产权</w:t>
      </w:r>
      <w:bookmarkEnd w:id="450"/>
      <w:bookmarkEnd w:id="451"/>
      <w:bookmarkEnd w:id="452"/>
      <w:bookmarkEnd w:id="453"/>
      <w:bookmarkEnd w:id="454"/>
    </w:p>
    <w:p w14:paraId="0196C1F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962D8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644F7D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F88E94E">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33C7B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DBD722B">
      <w:pPr>
        <w:spacing w:line="560" w:lineRule="exact"/>
        <w:ind w:firstLine="482" w:firstLineChars="200"/>
        <w:outlineLvl w:val="0"/>
        <w:rPr>
          <w:rFonts w:ascii="宋体" w:hAnsi="宋体"/>
          <w:b/>
          <w:color w:val="auto"/>
          <w:sz w:val="24"/>
          <w:highlight w:val="none"/>
        </w:rPr>
      </w:pPr>
      <w:bookmarkStart w:id="455" w:name="_Toc26555"/>
      <w:bookmarkStart w:id="456" w:name="_Toc31233"/>
      <w:bookmarkStart w:id="457" w:name="_Toc15447"/>
      <w:bookmarkStart w:id="458" w:name="_Toc22011"/>
      <w:bookmarkStart w:id="459" w:name="_Toc32670"/>
      <w:r>
        <w:rPr>
          <w:rFonts w:ascii="宋体" w:hAnsi="宋体"/>
          <w:b/>
          <w:color w:val="auto"/>
          <w:sz w:val="24"/>
          <w:highlight w:val="none"/>
        </w:rPr>
        <w:t>2.5 结算方式和付款条件</w:t>
      </w:r>
      <w:bookmarkEnd w:id="455"/>
      <w:bookmarkEnd w:id="456"/>
      <w:bookmarkEnd w:id="457"/>
      <w:bookmarkEnd w:id="458"/>
      <w:bookmarkEnd w:id="459"/>
    </w:p>
    <w:p w14:paraId="419C2887">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D5E07B1">
      <w:pPr>
        <w:spacing w:line="560" w:lineRule="exact"/>
        <w:ind w:firstLine="482" w:firstLineChars="200"/>
        <w:outlineLvl w:val="0"/>
        <w:rPr>
          <w:rFonts w:ascii="宋体" w:hAnsi="宋体"/>
          <w:b/>
          <w:color w:val="auto"/>
          <w:sz w:val="24"/>
          <w:highlight w:val="none"/>
        </w:rPr>
      </w:pPr>
      <w:bookmarkStart w:id="460" w:name="_Toc13154"/>
      <w:bookmarkStart w:id="461" w:name="_Toc18990"/>
      <w:bookmarkStart w:id="462" w:name="_Toc13467"/>
      <w:bookmarkStart w:id="463" w:name="_Toc16163"/>
      <w:bookmarkStart w:id="464" w:name="_Toc30507"/>
      <w:r>
        <w:rPr>
          <w:rFonts w:ascii="宋体" w:hAnsi="宋体"/>
          <w:b/>
          <w:color w:val="auto"/>
          <w:sz w:val="24"/>
          <w:highlight w:val="none"/>
        </w:rPr>
        <w:t>2.6 技术资料和保密义务</w:t>
      </w:r>
      <w:bookmarkEnd w:id="460"/>
      <w:bookmarkEnd w:id="461"/>
      <w:bookmarkEnd w:id="462"/>
      <w:bookmarkEnd w:id="463"/>
      <w:bookmarkEnd w:id="464"/>
    </w:p>
    <w:p w14:paraId="4C4B47DB">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39EE5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79410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A1951FF">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3AAC148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D4AFC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2DEFC3E">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3BD148D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C3869A5">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54CDA37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97604F6">
      <w:pPr>
        <w:spacing w:line="560" w:lineRule="exact"/>
        <w:ind w:firstLine="482" w:firstLineChars="200"/>
        <w:outlineLvl w:val="0"/>
        <w:rPr>
          <w:rFonts w:ascii="宋体" w:hAnsi="宋体"/>
          <w:b/>
          <w:color w:val="auto"/>
          <w:sz w:val="24"/>
          <w:highlight w:val="none"/>
        </w:rPr>
      </w:pPr>
      <w:bookmarkStart w:id="468" w:name="_Toc21830"/>
      <w:bookmarkStart w:id="469" w:name="_Toc42"/>
      <w:bookmarkStart w:id="470" w:name="_Toc23368"/>
      <w:bookmarkStart w:id="471" w:name="_Toc10663"/>
      <w:bookmarkStart w:id="472" w:name="_Toc26689"/>
      <w:r>
        <w:rPr>
          <w:rFonts w:ascii="宋体" w:hAnsi="宋体"/>
          <w:b/>
          <w:color w:val="auto"/>
          <w:sz w:val="24"/>
          <w:highlight w:val="none"/>
        </w:rPr>
        <w:t>2.10 合同转让和分包</w:t>
      </w:r>
      <w:bookmarkEnd w:id="468"/>
      <w:bookmarkEnd w:id="469"/>
      <w:bookmarkEnd w:id="470"/>
      <w:bookmarkEnd w:id="471"/>
      <w:bookmarkEnd w:id="472"/>
    </w:p>
    <w:p w14:paraId="479C2305">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4171E59">
      <w:pPr>
        <w:spacing w:line="560" w:lineRule="exact"/>
        <w:ind w:firstLine="482" w:firstLineChars="200"/>
        <w:outlineLvl w:val="0"/>
        <w:rPr>
          <w:rFonts w:ascii="宋体" w:hAnsi="宋体"/>
          <w:b/>
          <w:color w:val="auto"/>
          <w:sz w:val="24"/>
          <w:highlight w:val="none"/>
        </w:rPr>
      </w:pPr>
      <w:bookmarkStart w:id="473" w:name="_Toc14371"/>
      <w:bookmarkStart w:id="474" w:name="_Toc25571"/>
      <w:bookmarkStart w:id="475" w:name="_Toc26633"/>
      <w:bookmarkStart w:id="476" w:name="_Toc32494"/>
      <w:bookmarkStart w:id="477" w:name="_Toc4720"/>
      <w:r>
        <w:rPr>
          <w:rFonts w:ascii="宋体" w:hAnsi="宋体"/>
          <w:b/>
          <w:color w:val="auto"/>
          <w:sz w:val="24"/>
          <w:highlight w:val="none"/>
        </w:rPr>
        <w:t>2.11 不可抗力</w:t>
      </w:r>
      <w:bookmarkEnd w:id="473"/>
      <w:bookmarkEnd w:id="474"/>
      <w:bookmarkEnd w:id="475"/>
      <w:bookmarkEnd w:id="476"/>
      <w:bookmarkEnd w:id="477"/>
    </w:p>
    <w:p w14:paraId="38E61109">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A7AA4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3511A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9A6FC4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6254466">
      <w:pPr>
        <w:spacing w:line="560" w:lineRule="exact"/>
        <w:ind w:firstLine="482" w:firstLineChars="200"/>
        <w:outlineLvl w:val="0"/>
        <w:rPr>
          <w:rFonts w:ascii="宋体" w:hAnsi="宋体"/>
          <w:b/>
          <w:color w:val="auto"/>
          <w:sz w:val="24"/>
          <w:highlight w:val="none"/>
        </w:rPr>
      </w:pPr>
      <w:bookmarkStart w:id="478" w:name="_Toc24465"/>
      <w:bookmarkStart w:id="479" w:name="_Toc14115"/>
      <w:bookmarkStart w:id="480" w:name="_Toc25783"/>
      <w:bookmarkStart w:id="481" w:name="_Toc3638"/>
      <w:bookmarkStart w:id="482" w:name="_Toc23854"/>
      <w:r>
        <w:rPr>
          <w:rFonts w:ascii="宋体" w:hAnsi="宋体"/>
          <w:b/>
          <w:color w:val="auto"/>
          <w:sz w:val="24"/>
          <w:highlight w:val="none"/>
        </w:rPr>
        <w:t>2.12 税费</w:t>
      </w:r>
      <w:bookmarkEnd w:id="478"/>
      <w:bookmarkEnd w:id="479"/>
      <w:bookmarkEnd w:id="480"/>
      <w:bookmarkEnd w:id="481"/>
      <w:bookmarkEnd w:id="482"/>
    </w:p>
    <w:p w14:paraId="329AA38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710CA65">
      <w:pPr>
        <w:spacing w:line="560" w:lineRule="exact"/>
        <w:ind w:firstLine="482" w:firstLineChars="200"/>
        <w:outlineLvl w:val="0"/>
        <w:rPr>
          <w:rFonts w:ascii="宋体" w:hAnsi="宋体"/>
          <w:b/>
          <w:color w:val="auto"/>
          <w:sz w:val="24"/>
          <w:highlight w:val="none"/>
        </w:rPr>
      </w:pPr>
      <w:bookmarkStart w:id="483" w:name="_Toc26883"/>
      <w:bookmarkStart w:id="484" w:name="_Toc30105"/>
      <w:bookmarkStart w:id="485" w:name="_Toc14814"/>
      <w:bookmarkStart w:id="486" w:name="_Toc7315"/>
      <w:bookmarkStart w:id="487" w:name="_Toc25525"/>
      <w:r>
        <w:rPr>
          <w:rFonts w:ascii="宋体" w:hAnsi="宋体"/>
          <w:b/>
          <w:color w:val="auto"/>
          <w:sz w:val="24"/>
          <w:highlight w:val="none"/>
        </w:rPr>
        <w:t>2.13 乙方破产</w:t>
      </w:r>
      <w:bookmarkEnd w:id="483"/>
      <w:bookmarkEnd w:id="484"/>
      <w:bookmarkEnd w:id="485"/>
      <w:bookmarkEnd w:id="486"/>
      <w:bookmarkEnd w:id="487"/>
    </w:p>
    <w:p w14:paraId="511418A7">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11C4398">
      <w:pPr>
        <w:spacing w:line="560" w:lineRule="exact"/>
        <w:ind w:firstLine="482" w:firstLineChars="200"/>
        <w:outlineLvl w:val="0"/>
        <w:rPr>
          <w:rFonts w:ascii="宋体" w:hAnsi="宋体"/>
          <w:b/>
          <w:color w:val="auto"/>
          <w:sz w:val="24"/>
          <w:highlight w:val="none"/>
        </w:rPr>
      </w:pPr>
      <w:bookmarkStart w:id="488" w:name="_Toc1123"/>
      <w:bookmarkStart w:id="489" w:name="_Toc2016"/>
      <w:bookmarkStart w:id="490" w:name="_Toc23323"/>
      <w:r>
        <w:rPr>
          <w:rFonts w:ascii="宋体" w:hAnsi="宋体"/>
          <w:b/>
          <w:color w:val="auto"/>
          <w:sz w:val="24"/>
          <w:highlight w:val="none"/>
        </w:rPr>
        <w:t>2.14 合同中止、终止</w:t>
      </w:r>
      <w:bookmarkEnd w:id="488"/>
      <w:bookmarkEnd w:id="489"/>
      <w:bookmarkEnd w:id="490"/>
    </w:p>
    <w:p w14:paraId="0B1F06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8C070B6">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F8C4FD8">
      <w:pPr>
        <w:spacing w:line="560" w:lineRule="exact"/>
        <w:ind w:firstLine="482" w:firstLineChars="200"/>
        <w:outlineLvl w:val="0"/>
        <w:rPr>
          <w:rFonts w:ascii="宋体" w:hAnsi="宋体"/>
          <w:b/>
          <w:color w:val="auto"/>
          <w:sz w:val="24"/>
          <w:highlight w:val="none"/>
        </w:rPr>
      </w:pPr>
      <w:bookmarkStart w:id="491" w:name="_Toc17363"/>
      <w:bookmarkStart w:id="492" w:name="_Toc14525"/>
      <w:bookmarkStart w:id="493" w:name="_Toc1969"/>
      <w:r>
        <w:rPr>
          <w:rFonts w:ascii="宋体" w:hAnsi="宋体"/>
          <w:b/>
          <w:color w:val="auto"/>
          <w:sz w:val="24"/>
          <w:highlight w:val="none"/>
        </w:rPr>
        <w:t>2.15 检验和验收</w:t>
      </w:r>
      <w:bookmarkEnd w:id="491"/>
      <w:bookmarkEnd w:id="492"/>
      <w:bookmarkEnd w:id="493"/>
    </w:p>
    <w:p w14:paraId="764DB91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18DB86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EFE623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AEBC8FE">
      <w:pPr>
        <w:spacing w:line="560" w:lineRule="exact"/>
        <w:ind w:firstLine="482" w:firstLineChars="200"/>
        <w:outlineLvl w:val="0"/>
        <w:rPr>
          <w:rFonts w:ascii="宋体" w:hAnsi="宋体"/>
          <w:b/>
          <w:color w:val="auto"/>
          <w:sz w:val="24"/>
          <w:highlight w:val="none"/>
        </w:rPr>
      </w:pPr>
      <w:bookmarkStart w:id="494" w:name="_Toc2308"/>
      <w:bookmarkStart w:id="495" w:name="_Toc31892"/>
      <w:bookmarkStart w:id="496" w:name="_Toc12666"/>
      <w:bookmarkStart w:id="497" w:name="_Toc9808"/>
      <w:bookmarkStart w:id="498" w:name="_Toc25198"/>
      <w:r>
        <w:rPr>
          <w:rFonts w:ascii="宋体" w:hAnsi="宋体"/>
          <w:b/>
          <w:color w:val="auto"/>
          <w:sz w:val="24"/>
          <w:highlight w:val="none"/>
        </w:rPr>
        <w:t>2.16 通知和送达</w:t>
      </w:r>
      <w:bookmarkEnd w:id="494"/>
      <w:bookmarkEnd w:id="495"/>
      <w:bookmarkEnd w:id="496"/>
      <w:bookmarkEnd w:id="497"/>
      <w:bookmarkEnd w:id="498"/>
    </w:p>
    <w:p w14:paraId="6D7F72EA">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1AA153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17EC18C8">
      <w:pPr>
        <w:spacing w:line="560" w:lineRule="exact"/>
        <w:ind w:firstLine="482" w:firstLineChars="200"/>
        <w:outlineLvl w:val="0"/>
        <w:rPr>
          <w:rFonts w:ascii="宋体" w:hAnsi="宋体"/>
          <w:b/>
          <w:color w:val="auto"/>
          <w:sz w:val="24"/>
          <w:highlight w:val="none"/>
        </w:rPr>
      </w:pPr>
      <w:bookmarkStart w:id="501" w:name="_Toc12254"/>
      <w:bookmarkStart w:id="502" w:name="_Toc27644"/>
      <w:bookmarkStart w:id="503" w:name="_Toc28906"/>
      <w:bookmarkStart w:id="504" w:name="_Toc20808"/>
      <w:bookmarkStart w:id="50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1B6EF611">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BC138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FDB2AF9">
      <w:pPr>
        <w:spacing w:line="560" w:lineRule="exact"/>
        <w:ind w:firstLine="482" w:firstLineChars="200"/>
        <w:outlineLvl w:val="0"/>
        <w:rPr>
          <w:rFonts w:ascii="宋体" w:hAnsi="宋体" w:cs="宋体"/>
          <w:b/>
          <w:color w:val="auto"/>
          <w:sz w:val="24"/>
          <w:highlight w:val="none"/>
        </w:rPr>
      </w:pPr>
      <w:bookmarkStart w:id="506" w:name="_Toc4355"/>
      <w:bookmarkStart w:id="507" w:name="_Toc18540"/>
      <w:bookmarkStart w:id="508" w:name="_Toc30599"/>
      <w:r>
        <w:rPr>
          <w:rFonts w:hint="eastAsia" w:ascii="宋体" w:hAnsi="宋体" w:cs="宋体"/>
          <w:b/>
          <w:color w:val="auto"/>
          <w:sz w:val="24"/>
          <w:highlight w:val="none"/>
        </w:rPr>
        <w:t>2.18 计量单位</w:t>
      </w:r>
      <w:bookmarkEnd w:id="506"/>
      <w:bookmarkEnd w:id="507"/>
      <w:bookmarkEnd w:id="508"/>
    </w:p>
    <w:p w14:paraId="527F84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11532B7">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6775FDB">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4679B3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3601CCB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CAC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9F194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70C270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468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AC41E5">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AAC0A41">
            <w:pPr>
              <w:spacing w:line="360" w:lineRule="auto"/>
              <w:rPr>
                <w:rFonts w:ascii="宋体" w:hAnsi="宋体" w:cs="宋体"/>
                <w:color w:val="auto"/>
                <w:sz w:val="24"/>
                <w:highlight w:val="none"/>
              </w:rPr>
            </w:pPr>
          </w:p>
        </w:tc>
      </w:tr>
      <w:tr w14:paraId="2BFA2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792173">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3B358027">
            <w:pPr>
              <w:spacing w:line="360" w:lineRule="auto"/>
              <w:rPr>
                <w:rFonts w:ascii="宋体" w:hAnsi="宋体" w:cs="宋体"/>
                <w:color w:val="auto"/>
                <w:sz w:val="24"/>
                <w:highlight w:val="none"/>
              </w:rPr>
            </w:pPr>
          </w:p>
        </w:tc>
      </w:tr>
      <w:tr w14:paraId="7A23D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50D6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9F4FD29">
            <w:pPr>
              <w:spacing w:line="360" w:lineRule="auto"/>
              <w:rPr>
                <w:rFonts w:ascii="宋体" w:hAnsi="宋体" w:cs="宋体"/>
                <w:color w:val="auto"/>
                <w:sz w:val="24"/>
                <w:highlight w:val="none"/>
              </w:rPr>
            </w:pPr>
          </w:p>
        </w:tc>
      </w:tr>
      <w:tr w14:paraId="2276A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8B30F8">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5044D0B">
            <w:pPr>
              <w:spacing w:line="360" w:lineRule="auto"/>
              <w:rPr>
                <w:rFonts w:ascii="宋体" w:hAnsi="宋体" w:cs="宋体"/>
                <w:color w:val="auto"/>
                <w:sz w:val="24"/>
                <w:highlight w:val="none"/>
              </w:rPr>
            </w:pPr>
          </w:p>
        </w:tc>
      </w:tr>
      <w:tr w14:paraId="33CB9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BCF9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1DB80452">
            <w:pPr>
              <w:spacing w:line="360" w:lineRule="auto"/>
              <w:rPr>
                <w:rFonts w:ascii="宋体" w:hAnsi="宋体" w:cs="宋体"/>
                <w:color w:val="auto"/>
                <w:sz w:val="24"/>
                <w:highlight w:val="none"/>
              </w:rPr>
            </w:pPr>
          </w:p>
        </w:tc>
      </w:tr>
      <w:tr w14:paraId="53D69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BEC32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18A94A5B">
            <w:pPr>
              <w:spacing w:line="360" w:lineRule="auto"/>
              <w:rPr>
                <w:rFonts w:ascii="宋体" w:hAnsi="宋体" w:cs="宋体"/>
                <w:color w:val="auto"/>
                <w:sz w:val="24"/>
                <w:highlight w:val="none"/>
              </w:rPr>
            </w:pPr>
          </w:p>
        </w:tc>
      </w:tr>
      <w:tr w14:paraId="55D8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B9731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953D674">
            <w:pPr>
              <w:spacing w:line="360" w:lineRule="auto"/>
              <w:rPr>
                <w:rFonts w:ascii="宋体" w:hAnsi="宋体" w:cs="宋体"/>
                <w:color w:val="auto"/>
                <w:sz w:val="24"/>
                <w:highlight w:val="none"/>
              </w:rPr>
            </w:pPr>
          </w:p>
        </w:tc>
      </w:tr>
      <w:tr w14:paraId="150E6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41F6C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FE2D2EC">
            <w:pPr>
              <w:spacing w:line="360" w:lineRule="auto"/>
              <w:rPr>
                <w:rFonts w:ascii="宋体" w:hAnsi="宋体" w:cs="宋体"/>
                <w:color w:val="auto"/>
                <w:sz w:val="24"/>
                <w:highlight w:val="none"/>
              </w:rPr>
            </w:pPr>
          </w:p>
        </w:tc>
      </w:tr>
      <w:tr w14:paraId="64B7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E4313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4622414">
            <w:pPr>
              <w:spacing w:line="360" w:lineRule="auto"/>
              <w:rPr>
                <w:rFonts w:ascii="宋体" w:hAnsi="宋体" w:cs="宋体"/>
                <w:color w:val="auto"/>
                <w:sz w:val="24"/>
                <w:highlight w:val="none"/>
              </w:rPr>
            </w:pPr>
          </w:p>
        </w:tc>
      </w:tr>
      <w:tr w14:paraId="03E3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20B36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16B1EF28">
            <w:pPr>
              <w:spacing w:line="360" w:lineRule="auto"/>
              <w:rPr>
                <w:rFonts w:ascii="宋体" w:hAnsi="宋体" w:cs="宋体"/>
                <w:color w:val="auto"/>
                <w:sz w:val="24"/>
                <w:highlight w:val="none"/>
              </w:rPr>
            </w:pPr>
          </w:p>
        </w:tc>
      </w:tr>
      <w:tr w14:paraId="6AE6B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82FD6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3D2DE34A">
            <w:pPr>
              <w:spacing w:line="360" w:lineRule="auto"/>
              <w:rPr>
                <w:rFonts w:ascii="宋体" w:hAnsi="宋体" w:cs="宋体"/>
                <w:color w:val="auto"/>
                <w:sz w:val="24"/>
                <w:highlight w:val="none"/>
              </w:rPr>
            </w:pPr>
          </w:p>
        </w:tc>
      </w:tr>
      <w:tr w14:paraId="5B57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C384B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7C9D7E9B">
            <w:pPr>
              <w:spacing w:line="360" w:lineRule="auto"/>
              <w:rPr>
                <w:rFonts w:ascii="宋体" w:hAnsi="宋体" w:cs="宋体"/>
                <w:color w:val="auto"/>
                <w:sz w:val="24"/>
                <w:highlight w:val="none"/>
              </w:rPr>
            </w:pPr>
          </w:p>
        </w:tc>
      </w:tr>
      <w:tr w14:paraId="65766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062FA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CA6ECBC">
            <w:pPr>
              <w:spacing w:line="360" w:lineRule="auto"/>
              <w:rPr>
                <w:rFonts w:ascii="宋体" w:hAnsi="宋体" w:cs="宋体"/>
                <w:color w:val="auto"/>
                <w:sz w:val="24"/>
                <w:highlight w:val="none"/>
              </w:rPr>
            </w:pPr>
          </w:p>
        </w:tc>
      </w:tr>
      <w:tr w14:paraId="5F4AB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A7035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40D04D34">
            <w:pPr>
              <w:spacing w:line="360" w:lineRule="auto"/>
              <w:rPr>
                <w:rFonts w:ascii="宋体" w:hAnsi="宋体" w:cs="宋体"/>
                <w:color w:val="auto"/>
                <w:sz w:val="24"/>
                <w:highlight w:val="none"/>
              </w:rPr>
            </w:pPr>
          </w:p>
        </w:tc>
      </w:tr>
      <w:tr w14:paraId="2213E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794A41">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AF095FC">
            <w:pPr>
              <w:spacing w:line="360" w:lineRule="auto"/>
              <w:rPr>
                <w:rFonts w:ascii="宋体" w:hAnsi="宋体" w:cs="宋体"/>
                <w:color w:val="auto"/>
                <w:sz w:val="24"/>
                <w:highlight w:val="none"/>
              </w:rPr>
            </w:pPr>
          </w:p>
        </w:tc>
      </w:tr>
      <w:tr w14:paraId="60E5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96119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5AC01AC">
            <w:pPr>
              <w:spacing w:line="360" w:lineRule="auto"/>
              <w:ind w:left="-420" w:leftChars="-200" w:right="-420" w:rightChars="-200" w:firstLine="480" w:firstLineChars="200"/>
              <w:rPr>
                <w:rFonts w:ascii="宋体" w:hAnsi="宋体" w:cs="宋体"/>
                <w:color w:val="auto"/>
                <w:sz w:val="24"/>
                <w:highlight w:val="none"/>
              </w:rPr>
            </w:pPr>
          </w:p>
        </w:tc>
      </w:tr>
      <w:tr w14:paraId="2B7D0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288E2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3F07DD5A">
            <w:pPr>
              <w:spacing w:line="360" w:lineRule="auto"/>
              <w:ind w:left="-420" w:leftChars="-200" w:right="-420" w:rightChars="-200" w:firstLine="480" w:firstLineChars="200"/>
              <w:rPr>
                <w:rFonts w:ascii="宋体" w:hAnsi="宋体" w:cs="宋体"/>
                <w:color w:val="auto"/>
                <w:sz w:val="24"/>
                <w:highlight w:val="none"/>
              </w:rPr>
            </w:pPr>
          </w:p>
        </w:tc>
      </w:tr>
      <w:tr w14:paraId="10C23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3E688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FBBD1CD">
            <w:pPr>
              <w:spacing w:line="360" w:lineRule="auto"/>
              <w:rPr>
                <w:rFonts w:ascii="宋体" w:hAnsi="宋体" w:cs="宋体"/>
                <w:color w:val="auto"/>
                <w:sz w:val="24"/>
                <w:highlight w:val="none"/>
              </w:rPr>
            </w:pPr>
          </w:p>
        </w:tc>
      </w:tr>
      <w:tr w14:paraId="3EFF6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4B0ABA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6F607DD2">
            <w:pPr>
              <w:spacing w:line="360" w:lineRule="auto"/>
              <w:rPr>
                <w:rFonts w:ascii="宋体" w:hAnsi="宋体" w:cs="宋体"/>
                <w:color w:val="auto"/>
                <w:sz w:val="24"/>
                <w:highlight w:val="none"/>
              </w:rPr>
            </w:pPr>
          </w:p>
        </w:tc>
      </w:tr>
      <w:tr w14:paraId="752A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51529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D75EBC6">
            <w:pPr>
              <w:spacing w:line="360" w:lineRule="auto"/>
              <w:rPr>
                <w:rFonts w:ascii="宋体" w:hAnsi="宋体" w:cs="宋体"/>
                <w:color w:val="auto"/>
                <w:sz w:val="24"/>
                <w:highlight w:val="none"/>
              </w:rPr>
            </w:pPr>
          </w:p>
        </w:tc>
      </w:tr>
      <w:tr w14:paraId="4619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65E2E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EA4D805">
            <w:pPr>
              <w:spacing w:line="360" w:lineRule="auto"/>
              <w:rPr>
                <w:rFonts w:ascii="宋体" w:hAnsi="宋体" w:cs="宋体"/>
                <w:color w:val="auto"/>
                <w:sz w:val="24"/>
                <w:highlight w:val="none"/>
              </w:rPr>
            </w:pPr>
          </w:p>
        </w:tc>
      </w:tr>
      <w:tr w14:paraId="1620B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8FFB2BF">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06E642F">
            <w:pPr>
              <w:spacing w:line="360" w:lineRule="auto"/>
              <w:rPr>
                <w:rFonts w:ascii="宋体" w:hAnsi="宋体" w:cs="宋体"/>
                <w:color w:val="auto"/>
                <w:sz w:val="24"/>
                <w:highlight w:val="none"/>
              </w:rPr>
            </w:pPr>
          </w:p>
        </w:tc>
      </w:tr>
    </w:tbl>
    <w:p w14:paraId="5C8DF0C2">
      <w:pPr>
        <w:spacing w:line="360" w:lineRule="auto"/>
        <w:ind w:left="-420" w:leftChars="-200" w:right="-420" w:rightChars="-200" w:firstLine="480" w:firstLineChars="200"/>
        <w:rPr>
          <w:rFonts w:ascii="宋体" w:hAnsi="宋体" w:cs="宋体"/>
          <w:color w:val="auto"/>
          <w:sz w:val="24"/>
          <w:highlight w:val="none"/>
        </w:rPr>
      </w:pPr>
    </w:p>
    <w:p w14:paraId="16235084">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74D9B629">
      <w:pPr>
        <w:spacing w:line="360" w:lineRule="auto"/>
        <w:jc w:val="center"/>
        <w:outlineLvl w:val="0"/>
        <w:rPr>
          <w:rFonts w:ascii="宋体" w:hAnsi="宋体" w:cs="宋体"/>
          <w:b/>
          <w:color w:val="auto"/>
          <w:kern w:val="0"/>
          <w:sz w:val="36"/>
          <w:szCs w:val="36"/>
          <w:highlight w:val="none"/>
        </w:rPr>
      </w:pPr>
    </w:p>
    <w:p w14:paraId="0465F4A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BDCD95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1408456">
      <w:pPr>
        <w:spacing w:line="360" w:lineRule="auto"/>
        <w:jc w:val="center"/>
        <w:outlineLvl w:val="0"/>
        <w:rPr>
          <w:rFonts w:ascii="宋体" w:hAnsi="宋体" w:cs="宋体"/>
          <w:b/>
          <w:color w:val="auto"/>
          <w:kern w:val="0"/>
          <w:sz w:val="36"/>
          <w:szCs w:val="36"/>
          <w:highlight w:val="none"/>
        </w:rPr>
      </w:pPr>
    </w:p>
    <w:p w14:paraId="2B0EC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2B411B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7901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25EA1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361ACFF">
      <w:pPr>
        <w:snapToGrid w:val="0"/>
        <w:spacing w:line="360" w:lineRule="auto"/>
        <w:ind w:firstLine="480" w:firstLineChars="200"/>
        <w:rPr>
          <w:rFonts w:ascii="宋体" w:hAnsi="宋体" w:cs="宋体"/>
          <w:color w:val="auto"/>
          <w:sz w:val="24"/>
          <w:highlight w:val="none"/>
        </w:rPr>
      </w:pPr>
    </w:p>
    <w:p w14:paraId="1E873BBD">
      <w:pPr>
        <w:spacing w:line="360" w:lineRule="auto"/>
        <w:ind w:firstLine="480" w:firstLineChars="200"/>
        <w:rPr>
          <w:rFonts w:ascii="宋体" w:hAnsi="宋体" w:cs="宋体"/>
          <w:color w:val="auto"/>
          <w:sz w:val="24"/>
          <w:highlight w:val="none"/>
        </w:rPr>
      </w:pPr>
    </w:p>
    <w:p w14:paraId="11ABE0C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4F41F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0D33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011503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A9C4E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37702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39029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4A7FE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8297B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8BEC7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207BB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5E69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9FB4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82DF2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1AA8B5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5304D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5EE42E2">
      <w:pPr>
        <w:snapToGrid w:val="0"/>
        <w:spacing w:line="360" w:lineRule="auto"/>
        <w:ind w:right="480"/>
        <w:jc w:val="center"/>
        <w:rPr>
          <w:rFonts w:ascii="宋体" w:hAnsi="宋体" w:cs="宋体"/>
          <w:b/>
          <w:color w:val="auto"/>
          <w:kern w:val="0"/>
          <w:sz w:val="32"/>
          <w:szCs w:val="32"/>
          <w:highlight w:val="none"/>
        </w:rPr>
      </w:pPr>
    </w:p>
    <w:p w14:paraId="5913081F">
      <w:pPr>
        <w:snapToGrid w:val="0"/>
        <w:spacing w:line="360" w:lineRule="auto"/>
        <w:ind w:right="480"/>
        <w:jc w:val="center"/>
        <w:rPr>
          <w:rFonts w:ascii="宋体" w:hAnsi="宋体" w:cs="宋体"/>
          <w:b/>
          <w:color w:val="auto"/>
          <w:kern w:val="0"/>
          <w:sz w:val="32"/>
          <w:szCs w:val="32"/>
          <w:highlight w:val="none"/>
        </w:rPr>
      </w:pPr>
    </w:p>
    <w:p w14:paraId="40E5F93A">
      <w:pPr>
        <w:snapToGrid w:val="0"/>
        <w:spacing w:line="360" w:lineRule="auto"/>
        <w:ind w:right="480"/>
        <w:jc w:val="center"/>
        <w:rPr>
          <w:rFonts w:ascii="宋体" w:hAnsi="宋体" w:cs="宋体"/>
          <w:b/>
          <w:color w:val="auto"/>
          <w:kern w:val="0"/>
          <w:sz w:val="32"/>
          <w:szCs w:val="32"/>
          <w:highlight w:val="none"/>
        </w:rPr>
      </w:pPr>
    </w:p>
    <w:p w14:paraId="6A9D9CDA">
      <w:pPr>
        <w:rPr>
          <w:rFonts w:ascii="宋体" w:hAnsi="宋体" w:cs="宋体"/>
          <w:color w:val="auto"/>
          <w:highlight w:val="none"/>
        </w:rPr>
      </w:pPr>
    </w:p>
    <w:p w14:paraId="42D5B2AD">
      <w:pPr>
        <w:snapToGrid w:val="0"/>
        <w:spacing w:line="360" w:lineRule="auto"/>
        <w:ind w:right="480"/>
        <w:jc w:val="center"/>
        <w:rPr>
          <w:rFonts w:ascii="宋体" w:hAnsi="宋体" w:cs="宋体"/>
          <w:b/>
          <w:color w:val="auto"/>
          <w:kern w:val="0"/>
          <w:sz w:val="32"/>
          <w:szCs w:val="32"/>
          <w:highlight w:val="none"/>
        </w:rPr>
      </w:pPr>
    </w:p>
    <w:p w14:paraId="5C29D6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692C0A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766D52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578B298">
      <w:pPr>
        <w:snapToGrid w:val="0"/>
        <w:spacing w:line="360" w:lineRule="auto"/>
        <w:ind w:right="480"/>
        <w:jc w:val="center"/>
        <w:rPr>
          <w:rFonts w:ascii="宋体" w:hAnsi="宋体" w:cs="宋体"/>
          <w:b/>
          <w:color w:val="auto"/>
          <w:kern w:val="0"/>
          <w:sz w:val="32"/>
          <w:szCs w:val="32"/>
          <w:highlight w:val="none"/>
        </w:rPr>
      </w:pPr>
    </w:p>
    <w:p w14:paraId="7A5FAD9E">
      <w:pPr>
        <w:snapToGrid w:val="0"/>
        <w:spacing w:line="360" w:lineRule="auto"/>
        <w:ind w:right="480"/>
        <w:jc w:val="center"/>
        <w:rPr>
          <w:rFonts w:ascii="宋体" w:hAnsi="宋体" w:cs="宋体"/>
          <w:b/>
          <w:color w:val="auto"/>
          <w:kern w:val="0"/>
          <w:sz w:val="32"/>
          <w:szCs w:val="32"/>
          <w:highlight w:val="none"/>
        </w:rPr>
      </w:pPr>
    </w:p>
    <w:p w14:paraId="4695C32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B1FF27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6D417D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6DE3BC8">
      <w:pPr>
        <w:widowControl/>
        <w:spacing w:line="360" w:lineRule="auto"/>
        <w:ind w:firstLine="480"/>
        <w:jc w:val="left"/>
        <w:rPr>
          <w:rFonts w:ascii="宋体" w:hAnsi="宋体" w:cs="宋体"/>
          <w:color w:val="auto"/>
          <w:sz w:val="24"/>
          <w:highlight w:val="none"/>
        </w:rPr>
      </w:pPr>
    </w:p>
    <w:p w14:paraId="78F1B80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A8A4A1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C7C55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C493900">
      <w:pPr>
        <w:widowControl/>
        <w:spacing w:line="360" w:lineRule="auto"/>
        <w:ind w:left="150"/>
        <w:jc w:val="center"/>
        <w:rPr>
          <w:rFonts w:ascii="宋体" w:hAnsi="宋体" w:cs="宋体"/>
          <w:b/>
          <w:color w:val="auto"/>
          <w:kern w:val="0"/>
          <w:sz w:val="32"/>
          <w:szCs w:val="32"/>
          <w:highlight w:val="none"/>
        </w:rPr>
      </w:pPr>
    </w:p>
    <w:p w14:paraId="1B08A7B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67188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1893DF2">
      <w:pPr>
        <w:rPr>
          <w:rFonts w:ascii="宋体" w:hAnsi="宋体" w:cs="宋体"/>
          <w:color w:val="auto"/>
          <w:highlight w:val="none"/>
        </w:rPr>
      </w:pPr>
    </w:p>
    <w:p w14:paraId="36A923F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C279BC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9F068E3">
      <w:pPr>
        <w:spacing w:line="360" w:lineRule="auto"/>
        <w:jc w:val="center"/>
        <w:outlineLvl w:val="0"/>
        <w:rPr>
          <w:rFonts w:ascii="宋体" w:hAnsi="宋体" w:cs="宋体"/>
          <w:b/>
          <w:color w:val="auto"/>
          <w:kern w:val="0"/>
          <w:sz w:val="24"/>
          <w:highlight w:val="none"/>
        </w:rPr>
      </w:pPr>
    </w:p>
    <w:p w14:paraId="16F7B2B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1C7D4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499B94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14B7AE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95BC5B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C2651B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7F45873">
      <w:pPr>
        <w:snapToGrid w:val="0"/>
        <w:spacing w:line="360" w:lineRule="auto"/>
        <w:jc w:val="center"/>
        <w:rPr>
          <w:rFonts w:ascii="宋体" w:hAnsi="宋体" w:cs="宋体"/>
          <w:b/>
          <w:color w:val="auto"/>
          <w:kern w:val="0"/>
          <w:sz w:val="32"/>
          <w:szCs w:val="32"/>
          <w:highlight w:val="none"/>
          <w:lang w:val="zh-CN"/>
        </w:rPr>
      </w:pPr>
    </w:p>
    <w:p w14:paraId="5CCA3594">
      <w:pPr>
        <w:snapToGrid w:val="0"/>
        <w:spacing w:line="360" w:lineRule="auto"/>
        <w:jc w:val="center"/>
        <w:rPr>
          <w:rFonts w:ascii="宋体" w:hAnsi="宋体" w:cs="宋体"/>
          <w:b/>
          <w:color w:val="auto"/>
          <w:kern w:val="0"/>
          <w:sz w:val="32"/>
          <w:szCs w:val="32"/>
          <w:highlight w:val="none"/>
          <w:lang w:val="zh-CN"/>
        </w:rPr>
      </w:pPr>
    </w:p>
    <w:p w14:paraId="679FE0A0">
      <w:pPr>
        <w:snapToGrid w:val="0"/>
        <w:spacing w:line="360" w:lineRule="auto"/>
        <w:jc w:val="center"/>
        <w:rPr>
          <w:rFonts w:ascii="宋体" w:hAnsi="宋体" w:cs="宋体"/>
          <w:b/>
          <w:color w:val="auto"/>
          <w:kern w:val="0"/>
          <w:sz w:val="32"/>
          <w:szCs w:val="32"/>
          <w:highlight w:val="none"/>
          <w:lang w:val="zh-CN"/>
        </w:rPr>
      </w:pPr>
    </w:p>
    <w:p w14:paraId="13A8C8C4">
      <w:pPr>
        <w:snapToGrid w:val="0"/>
        <w:spacing w:line="360" w:lineRule="auto"/>
        <w:jc w:val="center"/>
        <w:rPr>
          <w:rFonts w:ascii="宋体" w:hAnsi="宋体" w:cs="宋体"/>
          <w:b/>
          <w:color w:val="auto"/>
          <w:kern w:val="0"/>
          <w:sz w:val="32"/>
          <w:szCs w:val="32"/>
          <w:highlight w:val="none"/>
          <w:lang w:val="zh-CN"/>
        </w:rPr>
      </w:pPr>
    </w:p>
    <w:p w14:paraId="6766B14D">
      <w:pPr>
        <w:snapToGrid w:val="0"/>
        <w:spacing w:line="360" w:lineRule="auto"/>
        <w:jc w:val="center"/>
        <w:rPr>
          <w:rFonts w:ascii="宋体" w:hAnsi="宋体" w:cs="宋体"/>
          <w:b/>
          <w:color w:val="auto"/>
          <w:kern w:val="0"/>
          <w:sz w:val="32"/>
          <w:szCs w:val="32"/>
          <w:highlight w:val="none"/>
          <w:lang w:val="zh-CN"/>
        </w:rPr>
      </w:pPr>
    </w:p>
    <w:p w14:paraId="2A6B0193">
      <w:pPr>
        <w:snapToGrid w:val="0"/>
        <w:spacing w:line="360" w:lineRule="auto"/>
        <w:jc w:val="center"/>
        <w:rPr>
          <w:rFonts w:ascii="宋体" w:hAnsi="宋体" w:cs="宋体"/>
          <w:b/>
          <w:color w:val="auto"/>
          <w:kern w:val="0"/>
          <w:sz w:val="32"/>
          <w:szCs w:val="32"/>
          <w:highlight w:val="none"/>
          <w:lang w:val="zh-CN"/>
        </w:rPr>
      </w:pPr>
    </w:p>
    <w:p w14:paraId="6AC16886">
      <w:pPr>
        <w:snapToGrid w:val="0"/>
        <w:spacing w:line="360" w:lineRule="auto"/>
        <w:jc w:val="center"/>
        <w:rPr>
          <w:rFonts w:ascii="宋体" w:hAnsi="宋体" w:cs="宋体"/>
          <w:b/>
          <w:color w:val="auto"/>
          <w:kern w:val="0"/>
          <w:sz w:val="32"/>
          <w:szCs w:val="32"/>
          <w:highlight w:val="none"/>
          <w:lang w:val="zh-CN"/>
        </w:rPr>
      </w:pPr>
    </w:p>
    <w:p w14:paraId="73A40D49">
      <w:pPr>
        <w:snapToGrid w:val="0"/>
        <w:spacing w:line="360" w:lineRule="auto"/>
        <w:jc w:val="center"/>
        <w:rPr>
          <w:rFonts w:ascii="宋体" w:hAnsi="宋体" w:cs="宋体"/>
          <w:b/>
          <w:color w:val="auto"/>
          <w:kern w:val="0"/>
          <w:sz w:val="32"/>
          <w:szCs w:val="32"/>
          <w:highlight w:val="none"/>
          <w:lang w:val="zh-CN"/>
        </w:rPr>
      </w:pPr>
    </w:p>
    <w:p w14:paraId="55E9E8B1">
      <w:pPr>
        <w:snapToGrid w:val="0"/>
        <w:spacing w:line="360" w:lineRule="auto"/>
        <w:jc w:val="center"/>
        <w:rPr>
          <w:rFonts w:ascii="宋体" w:hAnsi="宋体" w:cs="宋体"/>
          <w:b/>
          <w:color w:val="auto"/>
          <w:kern w:val="0"/>
          <w:sz w:val="32"/>
          <w:szCs w:val="32"/>
          <w:highlight w:val="none"/>
          <w:lang w:val="zh-CN"/>
        </w:rPr>
      </w:pPr>
    </w:p>
    <w:p w14:paraId="71807B19">
      <w:pPr>
        <w:snapToGrid w:val="0"/>
        <w:spacing w:line="360" w:lineRule="auto"/>
        <w:jc w:val="center"/>
        <w:rPr>
          <w:rFonts w:ascii="宋体" w:hAnsi="宋体" w:cs="宋体"/>
          <w:b/>
          <w:color w:val="auto"/>
          <w:kern w:val="0"/>
          <w:sz w:val="32"/>
          <w:szCs w:val="32"/>
          <w:highlight w:val="none"/>
          <w:lang w:val="zh-CN"/>
        </w:rPr>
      </w:pPr>
    </w:p>
    <w:p w14:paraId="4E69C353">
      <w:pPr>
        <w:snapToGrid w:val="0"/>
        <w:spacing w:line="360" w:lineRule="auto"/>
        <w:jc w:val="center"/>
        <w:rPr>
          <w:rFonts w:ascii="宋体" w:hAnsi="宋体" w:cs="宋体"/>
          <w:b/>
          <w:color w:val="auto"/>
          <w:kern w:val="0"/>
          <w:sz w:val="32"/>
          <w:szCs w:val="32"/>
          <w:highlight w:val="none"/>
          <w:lang w:val="zh-CN"/>
        </w:rPr>
      </w:pPr>
    </w:p>
    <w:p w14:paraId="53306F3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413ED9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51FF9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1EFA8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2ECAA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4102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6E7D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39CEE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37E4B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27CA78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6817B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C7D89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E74C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5C3FB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AEDB2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4A5E7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545E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4C4AC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DEA4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398E5B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3B662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3FF865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B3A6D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383C9FB">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3207F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6140C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1C84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42CD7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ADA9D8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41C7B4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F9F7E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033EE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45547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514DDA2">
      <w:pPr>
        <w:snapToGrid w:val="0"/>
        <w:spacing w:line="360" w:lineRule="auto"/>
        <w:ind w:left="420" w:leftChars="200" w:firstLine="4200" w:firstLineChars="1750"/>
        <w:rPr>
          <w:rFonts w:ascii="宋体" w:hAnsi="宋体" w:cs="宋体"/>
          <w:color w:val="auto"/>
          <w:kern w:val="0"/>
          <w:sz w:val="24"/>
          <w:highlight w:val="none"/>
          <w:u w:val="single"/>
        </w:rPr>
      </w:pPr>
    </w:p>
    <w:p w14:paraId="462109E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5DE411">
      <w:pPr>
        <w:snapToGrid w:val="0"/>
        <w:spacing w:line="360" w:lineRule="auto"/>
        <w:jc w:val="center"/>
        <w:rPr>
          <w:rFonts w:ascii="宋体" w:hAnsi="宋体" w:cs="宋体"/>
          <w:b/>
          <w:color w:val="auto"/>
          <w:kern w:val="0"/>
          <w:sz w:val="32"/>
          <w:szCs w:val="32"/>
          <w:highlight w:val="none"/>
        </w:rPr>
      </w:pPr>
    </w:p>
    <w:p w14:paraId="56735DF9">
      <w:pPr>
        <w:snapToGrid w:val="0"/>
        <w:spacing w:line="360" w:lineRule="auto"/>
        <w:rPr>
          <w:rFonts w:ascii="宋体" w:hAnsi="宋体" w:cs="宋体"/>
          <w:color w:val="auto"/>
          <w:sz w:val="24"/>
          <w:highlight w:val="none"/>
        </w:rPr>
      </w:pPr>
    </w:p>
    <w:p w14:paraId="56F16717">
      <w:pPr>
        <w:jc w:val="both"/>
        <w:rPr>
          <w:rFonts w:ascii="宋体" w:hAnsi="宋体" w:cs="宋体"/>
          <w:b/>
          <w:color w:val="auto"/>
          <w:kern w:val="0"/>
          <w:sz w:val="32"/>
          <w:szCs w:val="32"/>
          <w:highlight w:val="none"/>
        </w:rPr>
      </w:pPr>
    </w:p>
    <w:p w14:paraId="154085E3">
      <w:pPr>
        <w:jc w:val="center"/>
        <w:rPr>
          <w:rFonts w:ascii="宋体" w:hAnsi="宋体" w:cs="宋体"/>
          <w:b/>
          <w:color w:val="auto"/>
          <w:kern w:val="0"/>
          <w:sz w:val="32"/>
          <w:szCs w:val="32"/>
          <w:highlight w:val="none"/>
        </w:rPr>
      </w:pPr>
    </w:p>
    <w:p w14:paraId="315A0EE3">
      <w:pPr>
        <w:jc w:val="center"/>
        <w:rPr>
          <w:rFonts w:ascii="宋体" w:hAnsi="宋体" w:cs="宋体"/>
          <w:b/>
          <w:color w:val="auto"/>
          <w:kern w:val="0"/>
          <w:sz w:val="32"/>
          <w:szCs w:val="32"/>
          <w:highlight w:val="none"/>
        </w:rPr>
      </w:pPr>
    </w:p>
    <w:p w14:paraId="624D258A">
      <w:pPr>
        <w:jc w:val="center"/>
        <w:rPr>
          <w:rFonts w:ascii="宋体" w:hAnsi="宋体" w:cs="宋体"/>
          <w:b/>
          <w:color w:val="auto"/>
          <w:kern w:val="0"/>
          <w:sz w:val="32"/>
          <w:szCs w:val="32"/>
          <w:highlight w:val="none"/>
        </w:rPr>
      </w:pPr>
    </w:p>
    <w:p w14:paraId="5894654E">
      <w:pPr>
        <w:jc w:val="center"/>
        <w:rPr>
          <w:rFonts w:ascii="宋体" w:hAnsi="宋体" w:cs="宋体"/>
          <w:b/>
          <w:color w:val="auto"/>
          <w:kern w:val="0"/>
          <w:sz w:val="32"/>
          <w:szCs w:val="32"/>
          <w:highlight w:val="none"/>
        </w:rPr>
      </w:pPr>
    </w:p>
    <w:p w14:paraId="5A81B820">
      <w:pPr>
        <w:jc w:val="center"/>
        <w:rPr>
          <w:rFonts w:ascii="宋体" w:hAnsi="宋体" w:cs="宋体"/>
          <w:b/>
          <w:color w:val="auto"/>
          <w:kern w:val="0"/>
          <w:sz w:val="32"/>
          <w:szCs w:val="32"/>
          <w:highlight w:val="none"/>
        </w:rPr>
      </w:pPr>
    </w:p>
    <w:p w14:paraId="1DB8FD5A">
      <w:pPr>
        <w:jc w:val="center"/>
        <w:rPr>
          <w:rFonts w:ascii="宋体" w:hAnsi="宋体" w:cs="宋体"/>
          <w:b/>
          <w:color w:val="auto"/>
          <w:kern w:val="0"/>
          <w:sz w:val="32"/>
          <w:szCs w:val="32"/>
          <w:highlight w:val="none"/>
        </w:rPr>
      </w:pPr>
    </w:p>
    <w:p w14:paraId="7DFDD853">
      <w:pPr>
        <w:jc w:val="center"/>
        <w:rPr>
          <w:rFonts w:ascii="宋体" w:hAnsi="宋体" w:cs="宋体"/>
          <w:b/>
          <w:color w:val="auto"/>
          <w:kern w:val="0"/>
          <w:sz w:val="32"/>
          <w:szCs w:val="32"/>
          <w:highlight w:val="none"/>
        </w:rPr>
      </w:pPr>
    </w:p>
    <w:p w14:paraId="144ABE1D">
      <w:pPr>
        <w:jc w:val="center"/>
        <w:rPr>
          <w:rFonts w:ascii="宋体" w:hAnsi="宋体" w:cs="宋体"/>
          <w:b/>
          <w:color w:val="auto"/>
          <w:kern w:val="0"/>
          <w:sz w:val="32"/>
          <w:szCs w:val="32"/>
          <w:highlight w:val="none"/>
        </w:rPr>
      </w:pPr>
    </w:p>
    <w:p w14:paraId="55703EB1">
      <w:pPr>
        <w:jc w:val="center"/>
        <w:rPr>
          <w:rFonts w:ascii="宋体" w:hAnsi="宋体" w:cs="宋体"/>
          <w:b/>
          <w:color w:val="auto"/>
          <w:kern w:val="0"/>
          <w:sz w:val="32"/>
          <w:szCs w:val="32"/>
          <w:highlight w:val="none"/>
        </w:rPr>
      </w:pPr>
    </w:p>
    <w:p w14:paraId="44248D63">
      <w:pPr>
        <w:jc w:val="center"/>
        <w:rPr>
          <w:rFonts w:ascii="宋体" w:hAnsi="宋体" w:cs="宋体"/>
          <w:b/>
          <w:color w:val="auto"/>
          <w:kern w:val="0"/>
          <w:sz w:val="32"/>
          <w:szCs w:val="32"/>
          <w:highlight w:val="none"/>
        </w:rPr>
      </w:pPr>
    </w:p>
    <w:p w14:paraId="468D6370">
      <w:pPr>
        <w:pStyle w:val="26"/>
        <w:rPr>
          <w:rFonts w:ascii="宋体" w:hAnsi="宋体" w:cs="宋体"/>
          <w:b/>
          <w:color w:val="auto"/>
          <w:kern w:val="0"/>
          <w:sz w:val="32"/>
          <w:szCs w:val="32"/>
          <w:highlight w:val="none"/>
        </w:rPr>
      </w:pPr>
    </w:p>
    <w:p w14:paraId="46FD3004">
      <w:pPr>
        <w:rPr>
          <w:rFonts w:ascii="宋体" w:hAnsi="宋体" w:cs="宋体"/>
          <w:b/>
          <w:color w:val="auto"/>
          <w:kern w:val="0"/>
          <w:sz w:val="32"/>
          <w:szCs w:val="32"/>
          <w:highlight w:val="none"/>
        </w:rPr>
      </w:pPr>
    </w:p>
    <w:p w14:paraId="402F57FF">
      <w:pPr>
        <w:pStyle w:val="26"/>
        <w:rPr>
          <w:rFonts w:ascii="宋体" w:hAnsi="宋体" w:cs="宋体"/>
          <w:b/>
          <w:color w:val="auto"/>
          <w:kern w:val="0"/>
          <w:sz w:val="32"/>
          <w:szCs w:val="32"/>
          <w:highlight w:val="none"/>
        </w:rPr>
      </w:pPr>
    </w:p>
    <w:p w14:paraId="037C0958">
      <w:pPr>
        <w:rPr>
          <w:rFonts w:ascii="宋体" w:hAnsi="宋体" w:cs="宋体"/>
          <w:b/>
          <w:color w:val="auto"/>
          <w:kern w:val="0"/>
          <w:sz w:val="32"/>
          <w:szCs w:val="32"/>
          <w:highlight w:val="none"/>
        </w:rPr>
      </w:pPr>
    </w:p>
    <w:p w14:paraId="4AEF5D1F">
      <w:pPr>
        <w:pStyle w:val="26"/>
        <w:rPr>
          <w:rFonts w:ascii="宋体" w:hAnsi="宋体" w:cs="宋体"/>
          <w:b/>
          <w:color w:val="auto"/>
          <w:kern w:val="0"/>
          <w:sz w:val="32"/>
          <w:szCs w:val="32"/>
          <w:highlight w:val="none"/>
        </w:rPr>
      </w:pPr>
    </w:p>
    <w:p w14:paraId="7E1BAB04"/>
    <w:p w14:paraId="1B52A58A">
      <w:pPr>
        <w:jc w:val="center"/>
        <w:rPr>
          <w:rFonts w:ascii="宋体" w:hAnsi="宋体" w:cs="宋体"/>
          <w:b/>
          <w:color w:val="auto"/>
          <w:kern w:val="0"/>
          <w:sz w:val="32"/>
          <w:szCs w:val="32"/>
          <w:highlight w:val="none"/>
        </w:rPr>
      </w:pPr>
    </w:p>
    <w:p w14:paraId="7CFD2EE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332B7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6F7E6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0EE319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152EE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C7FD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B970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C591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1FF4C1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3886926">
      <w:pPr>
        <w:snapToGrid w:val="0"/>
        <w:spacing w:line="360" w:lineRule="auto"/>
        <w:rPr>
          <w:rFonts w:ascii="宋体" w:hAnsi="宋体" w:cs="宋体"/>
          <w:color w:val="auto"/>
          <w:sz w:val="24"/>
          <w:highlight w:val="none"/>
        </w:rPr>
      </w:pPr>
    </w:p>
    <w:p w14:paraId="59F92B7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BC9B2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E0FD2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FA6D41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CEA98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FF0E1F">
      <w:pPr>
        <w:jc w:val="center"/>
        <w:rPr>
          <w:rFonts w:ascii="宋体" w:hAnsi="宋体" w:cs="宋体"/>
          <w:b/>
          <w:color w:val="auto"/>
          <w:kern w:val="0"/>
          <w:sz w:val="32"/>
          <w:szCs w:val="32"/>
          <w:highlight w:val="none"/>
        </w:rPr>
      </w:pPr>
    </w:p>
    <w:p w14:paraId="49FD23AF">
      <w:pPr>
        <w:rPr>
          <w:rFonts w:ascii="宋体" w:hAnsi="宋体" w:cs="宋体"/>
          <w:color w:val="auto"/>
          <w:highlight w:val="none"/>
        </w:rPr>
      </w:pPr>
    </w:p>
    <w:p w14:paraId="44F0E01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2D6DA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C3B9D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BDA99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841B1E">
      <w:pPr>
        <w:autoSpaceDE w:val="0"/>
        <w:autoSpaceDN w:val="0"/>
        <w:spacing w:line="360" w:lineRule="auto"/>
        <w:jc w:val="center"/>
        <w:rPr>
          <w:rFonts w:ascii="宋体" w:hAnsi="宋体" w:cs="宋体"/>
          <w:b/>
          <w:color w:val="auto"/>
          <w:kern w:val="0"/>
          <w:sz w:val="32"/>
          <w:szCs w:val="32"/>
          <w:highlight w:val="none"/>
          <w:lang w:val="zh-CN"/>
        </w:rPr>
      </w:pPr>
    </w:p>
    <w:p w14:paraId="4D35E2C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8A3914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DA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6876B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55704DF">
            <w:pPr>
              <w:pStyle w:val="149"/>
              <w:adjustRightInd w:val="0"/>
              <w:spacing w:line="360" w:lineRule="auto"/>
              <w:rPr>
                <w:rFonts w:hAnsi="宋体" w:cs="宋体"/>
                <w:bCs/>
                <w:color w:val="auto"/>
                <w:sz w:val="24"/>
                <w:highlight w:val="none"/>
              </w:rPr>
            </w:pPr>
          </w:p>
        </w:tc>
      </w:tr>
    </w:tbl>
    <w:p w14:paraId="49843AA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2DBEA3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2FF9EA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594C48">
      <w:pPr>
        <w:jc w:val="center"/>
        <w:rPr>
          <w:rFonts w:ascii="宋体" w:hAnsi="宋体" w:cs="宋体"/>
          <w:b/>
          <w:color w:val="auto"/>
          <w:kern w:val="0"/>
          <w:sz w:val="32"/>
          <w:szCs w:val="32"/>
          <w:highlight w:val="none"/>
        </w:rPr>
      </w:pPr>
    </w:p>
    <w:p w14:paraId="2856D9C2">
      <w:pPr>
        <w:jc w:val="center"/>
        <w:rPr>
          <w:rFonts w:ascii="宋体" w:hAnsi="宋体" w:cs="宋体"/>
          <w:b/>
          <w:color w:val="auto"/>
          <w:kern w:val="0"/>
          <w:sz w:val="32"/>
          <w:szCs w:val="32"/>
          <w:highlight w:val="none"/>
        </w:rPr>
      </w:pPr>
    </w:p>
    <w:p w14:paraId="6FE6ACE8">
      <w:pPr>
        <w:jc w:val="center"/>
        <w:rPr>
          <w:rFonts w:ascii="宋体" w:hAnsi="宋体" w:cs="宋体"/>
          <w:b/>
          <w:color w:val="auto"/>
          <w:kern w:val="0"/>
          <w:sz w:val="32"/>
          <w:szCs w:val="32"/>
          <w:highlight w:val="none"/>
        </w:rPr>
      </w:pPr>
    </w:p>
    <w:p w14:paraId="0C6D8653">
      <w:pPr>
        <w:jc w:val="center"/>
        <w:rPr>
          <w:rFonts w:ascii="宋体" w:hAnsi="宋体" w:cs="宋体"/>
          <w:b/>
          <w:color w:val="auto"/>
          <w:kern w:val="0"/>
          <w:sz w:val="32"/>
          <w:szCs w:val="32"/>
          <w:highlight w:val="none"/>
        </w:rPr>
      </w:pPr>
    </w:p>
    <w:p w14:paraId="61997C78">
      <w:pPr>
        <w:jc w:val="center"/>
        <w:rPr>
          <w:rFonts w:ascii="宋体" w:hAnsi="宋体" w:cs="宋体"/>
          <w:b/>
          <w:color w:val="auto"/>
          <w:kern w:val="0"/>
          <w:sz w:val="32"/>
          <w:szCs w:val="32"/>
          <w:highlight w:val="none"/>
        </w:rPr>
      </w:pPr>
    </w:p>
    <w:p w14:paraId="7D643C6B">
      <w:pPr>
        <w:jc w:val="center"/>
        <w:rPr>
          <w:rFonts w:ascii="宋体" w:hAnsi="宋体" w:cs="宋体"/>
          <w:b/>
          <w:color w:val="auto"/>
          <w:kern w:val="0"/>
          <w:sz w:val="32"/>
          <w:szCs w:val="32"/>
          <w:highlight w:val="none"/>
        </w:rPr>
      </w:pPr>
    </w:p>
    <w:p w14:paraId="031D9CD3">
      <w:pPr>
        <w:jc w:val="center"/>
        <w:rPr>
          <w:rFonts w:ascii="宋体" w:hAnsi="宋体" w:cs="宋体"/>
          <w:b/>
          <w:color w:val="auto"/>
          <w:kern w:val="0"/>
          <w:sz w:val="32"/>
          <w:szCs w:val="32"/>
          <w:highlight w:val="none"/>
        </w:rPr>
      </w:pPr>
    </w:p>
    <w:p w14:paraId="3231CA38">
      <w:pPr>
        <w:jc w:val="center"/>
        <w:rPr>
          <w:rFonts w:ascii="宋体" w:hAnsi="宋体" w:cs="宋体"/>
          <w:b/>
          <w:color w:val="auto"/>
          <w:kern w:val="0"/>
          <w:sz w:val="32"/>
          <w:szCs w:val="32"/>
          <w:highlight w:val="none"/>
        </w:rPr>
      </w:pPr>
    </w:p>
    <w:p w14:paraId="37B7007E">
      <w:pPr>
        <w:jc w:val="center"/>
        <w:rPr>
          <w:rFonts w:ascii="宋体" w:hAnsi="宋体" w:cs="宋体"/>
          <w:b/>
          <w:color w:val="auto"/>
          <w:kern w:val="0"/>
          <w:sz w:val="32"/>
          <w:szCs w:val="32"/>
          <w:highlight w:val="none"/>
        </w:rPr>
      </w:pPr>
    </w:p>
    <w:p w14:paraId="57E0172D">
      <w:pPr>
        <w:jc w:val="center"/>
        <w:rPr>
          <w:rFonts w:ascii="宋体" w:hAnsi="宋体" w:cs="宋体"/>
          <w:b/>
          <w:color w:val="auto"/>
          <w:kern w:val="0"/>
          <w:sz w:val="32"/>
          <w:szCs w:val="32"/>
          <w:highlight w:val="none"/>
        </w:rPr>
      </w:pPr>
    </w:p>
    <w:p w14:paraId="492B34C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13BE99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E99A86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50D2455">
      <w:pPr>
        <w:snapToGrid w:val="0"/>
        <w:spacing w:line="360" w:lineRule="auto"/>
        <w:rPr>
          <w:rFonts w:ascii="宋体" w:hAnsi="宋体" w:cs="宋体"/>
          <w:color w:val="auto"/>
          <w:kern w:val="0"/>
          <w:sz w:val="24"/>
          <w:highlight w:val="none"/>
        </w:rPr>
      </w:pPr>
    </w:p>
    <w:p w14:paraId="3ED340C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FA7B1D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86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5BBC2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76276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5D43E1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75F6F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D0C0F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4F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3B50A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D50680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0EEEF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15B3A78">
            <w:pPr>
              <w:rPr>
                <w:rFonts w:ascii="宋体" w:hAnsi="宋体" w:cs="宋体"/>
                <w:color w:val="auto"/>
                <w:sz w:val="24"/>
                <w:highlight w:val="none"/>
              </w:rPr>
            </w:pPr>
          </w:p>
          <w:p w14:paraId="7BE1832B">
            <w:pPr>
              <w:rPr>
                <w:rFonts w:ascii="宋体" w:hAnsi="宋体" w:cs="宋体"/>
                <w:color w:val="auto"/>
                <w:sz w:val="24"/>
                <w:highlight w:val="none"/>
              </w:rPr>
            </w:pPr>
            <w:r>
              <w:rPr>
                <w:rFonts w:hint="eastAsia" w:ascii="宋体" w:hAnsi="宋体" w:cs="宋体"/>
                <w:color w:val="auto"/>
                <w:sz w:val="24"/>
                <w:highlight w:val="none"/>
              </w:rPr>
              <w:t>见投标文件</w:t>
            </w:r>
          </w:p>
          <w:p w14:paraId="02BD3FE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87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52873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F4153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00D248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DC4D44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9A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4DDBB3">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F83588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8D76835">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C278F16">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DB3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0913C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8FB8FD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A7BCE92">
            <w:pPr>
              <w:rPr>
                <w:rFonts w:hint="eastAsia" w:ascii="宋体" w:hAnsi="宋体" w:cs="宋体"/>
                <w:b w:val="0"/>
                <w:bCs w:val="0"/>
                <w:color w:val="auto"/>
                <w:sz w:val="24"/>
                <w:highlight w:val="none"/>
                <w:lang w:val="en-US" w:eastAsia="zh-CN"/>
              </w:rPr>
            </w:pPr>
          </w:p>
        </w:tc>
        <w:tc>
          <w:tcPr>
            <w:tcW w:w="1418" w:type="dxa"/>
            <w:vAlign w:val="top"/>
          </w:tcPr>
          <w:p w14:paraId="0A7E3B20">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29B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4D977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7D0532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9C851D4">
            <w:pPr>
              <w:rPr>
                <w:rFonts w:hint="eastAsia" w:ascii="宋体" w:hAnsi="宋体" w:cs="宋体"/>
                <w:b w:val="0"/>
                <w:bCs w:val="0"/>
                <w:color w:val="auto"/>
                <w:sz w:val="24"/>
                <w:highlight w:val="none"/>
                <w:lang w:val="en-US" w:eastAsia="zh-CN"/>
              </w:rPr>
            </w:pPr>
          </w:p>
        </w:tc>
        <w:tc>
          <w:tcPr>
            <w:tcW w:w="1418" w:type="dxa"/>
            <w:vAlign w:val="top"/>
          </w:tcPr>
          <w:p w14:paraId="0A7C463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BF642A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F21E2F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D08088C">
      <w:pPr>
        <w:jc w:val="center"/>
        <w:rPr>
          <w:rFonts w:ascii="宋体" w:hAnsi="宋体" w:cs="宋体"/>
          <w:b/>
          <w:color w:val="auto"/>
          <w:kern w:val="0"/>
          <w:sz w:val="32"/>
          <w:szCs w:val="32"/>
          <w:highlight w:val="none"/>
        </w:rPr>
      </w:pPr>
    </w:p>
    <w:p w14:paraId="685E032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1233599">
      <w:pPr>
        <w:jc w:val="center"/>
        <w:rPr>
          <w:rFonts w:ascii="宋体" w:hAnsi="宋体" w:cs="宋体"/>
          <w:b/>
          <w:color w:val="auto"/>
          <w:kern w:val="0"/>
          <w:sz w:val="32"/>
          <w:szCs w:val="32"/>
          <w:highlight w:val="none"/>
        </w:rPr>
      </w:pPr>
    </w:p>
    <w:p w14:paraId="38C4854B">
      <w:pPr>
        <w:jc w:val="center"/>
        <w:rPr>
          <w:rFonts w:ascii="宋体" w:hAnsi="宋体" w:cs="宋体"/>
          <w:b/>
          <w:color w:val="auto"/>
          <w:kern w:val="0"/>
          <w:sz w:val="32"/>
          <w:szCs w:val="32"/>
          <w:highlight w:val="none"/>
        </w:rPr>
      </w:pPr>
    </w:p>
    <w:p w14:paraId="3DD09051">
      <w:pPr>
        <w:jc w:val="center"/>
        <w:rPr>
          <w:rFonts w:ascii="宋体" w:hAnsi="宋体" w:cs="宋体"/>
          <w:b/>
          <w:color w:val="auto"/>
          <w:kern w:val="0"/>
          <w:sz w:val="32"/>
          <w:szCs w:val="32"/>
          <w:highlight w:val="none"/>
        </w:rPr>
      </w:pPr>
    </w:p>
    <w:p w14:paraId="58B77AF2">
      <w:pPr>
        <w:jc w:val="center"/>
        <w:rPr>
          <w:rFonts w:ascii="宋体" w:hAnsi="宋体" w:cs="宋体"/>
          <w:b/>
          <w:color w:val="auto"/>
          <w:kern w:val="0"/>
          <w:sz w:val="32"/>
          <w:szCs w:val="32"/>
          <w:highlight w:val="none"/>
        </w:rPr>
      </w:pPr>
    </w:p>
    <w:p w14:paraId="7F658017">
      <w:pPr>
        <w:jc w:val="center"/>
        <w:rPr>
          <w:rFonts w:ascii="宋体" w:hAnsi="宋体" w:cs="宋体"/>
          <w:b/>
          <w:color w:val="auto"/>
          <w:kern w:val="0"/>
          <w:sz w:val="32"/>
          <w:szCs w:val="32"/>
          <w:highlight w:val="none"/>
        </w:rPr>
      </w:pPr>
    </w:p>
    <w:p w14:paraId="7B5356B3">
      <w:pPr>
        <w:jc w:val="center"/>
        <w:rPr>
          <w:rFonts w:ascii="宋体" w:hAnsi="宋体" w:cs="宋体"/>
          <w:b/>
          <w:color w:val="auto"/>
          <w:kern w:val="0"/>
          <w:sz w:val="32"/>
          <w:szCs w:val="32"/>
          <w:highlight w:val="none"/>
        </w:rPr>
      </w:pPr>
    </w:p>
    <w:p w14:paraId="375FEE56">
      <w:pPr>
        <w:pStyle w:val="26"/>
      </w:pPr>
    </w:p>
    <w:p w14:paraId="3DD8AF40">
      <w:pPr>
        <w:jc w:val="center"/>
        <w:rPr>
          <w:rFonts w:ascii="宋体" w:hAnsi="宋体" w:cs="宋体"/>
          <w:b/>
          <w:color w:val="auto"/>
          <w:kern w:val="0"/>
          <w:sz w:val="32"/>
          <w:szCs w:val="32"/>
          <w:highlight w:val="none"/>
        </w:rPr>
      </w:pPr>
    </w:p>
    <w:p w14:paraId="1E4D5B6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6BB592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C81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8A8EC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CD8DBB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50EE3F1">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BA6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8EDC1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8F7F0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7D58CB6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470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6F3B9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3E8184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82E262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F0B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12976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2FA9121">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AAF6AB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E8B8921">
      <w:pPr>
        <w:pStyle w:val="79"/>
        <w:rPr>
          <w:color w:val="auto"/>
          <w:highlight w:val="none"/>
        </w:rPr>
      </w:pPr>
    </w:p>
    <w:p w14:paraId="114A06E3">
      <w:pPr>
        <w:jc w:val="center"/>
        <w:rPr>
          <w:rFonts w:ascii="宋体" w:hAnsi="宋体" w:cs="宋体"/>
          <w:b/>
          <w:color w:val="auto"/>
          <w:kern w:val="0"/>
          <w:sz w:val="32"/>
          <w:szCs w:val="32"/>
          <w:highlight w:val="none"/>
        </w:rPr>
      </w:pPr>
    </w:p>
    <w:p w14:paraId="44E94227">
      <w:pPr>
        <w:jc w:val="center"/>
        <w:rPr>
          <w:rFonts w:ascii="宋体" w:hAnsi="宋体" w:cs="宋体"/>
          <w:b/>
          <w:color w:val="auto"/>
          <w:kern w:val="0"/>
          <w:sz w:val="32"/>
          <w:szCs w:val="32"/>
          <w:highlight w:val="none"/>
        </w:rPr>
      </w:pPr>
    </w:p>
    <w:p w14:paraId="06510727">
      <w:pPr>
        <w:jc w:val="center"/>
        <w:rPr>
          <w:rFonts w:ascii="宋体" w:hAnsi="宋体" w:cs="宋体"/>
          <w:b/>
          <w:color w:val="auto"/>
          <w:kern w:val="0"/>
          <w:sz w:val="32"/>
          <w:szCs w:val="32"/>
          <w:highlight w:val="none"/>
        </w:rPr>
      </w:pPr>
    </w:p>
    <w:p w14:paraId="40345C0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892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4492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C940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BB21D58">
            <w:pPr>
              <w:spacing w:line="360" w:lineRule="auto"/>
              <w:jc w:val="center"/>
              <w:rPr>
                <w:rFonts w:ascii="宋体" w:hAnsi="宋体" w:cs="宋体"/>
                <w:b/>
                <w:color w:val="auto"/>
                <w:sz w:val="24"/>
                <w:highlight w:val="none"/>
              </w:rPr>
            </w:pPr>
          </w:p>
          <w:p w14:paraId="2BFD28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AA6F4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E59F1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CA202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D20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162D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917F96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343827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3BD61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DA563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F873EB">
            <w:pPr>
              <w:spacing w:line="360" w:lineRule="auto"/>
              <w:jc w:val="center"/>
              <w:rPr>
                <w:rFonts w:ascii="宋体" w:hAnsi="宋体" w:cs="宋体"/>
                <w:color w:val="auto"/>
                <w:sz w:val="24"/>
                <w:highlight w:val="none"/>
              </w:rPr>
            </w:pPr>
          </w:p>
        </w:tc>
      </w:tr>
      <w:tr w14:paraId="4389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C311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A1B90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8F365E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6AFC1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4E495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5F4449F">
            <w:pPr>
              <w:spacing w:line="360" w:lineRule="auto"/>
              <w:jc w:val="center"/>
              <w:rPr>
                <w:rFonts w:ascii="宋体" w:hAnsi="宋体" w:cs="宋体"/>
                <w:color w:val="auto"/>
                <w:sz w:val="24"/>
                <w:highlight w:val="none"/>
              </w:rPr>
            </w:pPr>
          </w:p>
        </w:tc>
      </w:tr>
      <w:tr w14:paraId="3D86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8F89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CBD81C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B2C23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77AA7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657B5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A88C9F">
            <w:pPr>
              <w:spacing w:line="360" w:lineRule="auto"/>
              <w:jc w:val="center"/>
              <w:rPr>
                <w:rFonts w:ascii="宋体" w:hAnsi="宋体" w:cs="宋体"/>
                <w:color w:val="auto"/>
                <w:sz w:val="24"/>
                <w:highlight w:val="none"/>
              </w:rPr>
            </w:pPr>
          </w:p>
        </w:tc>
      </w:tr>
    </w:tbl>
    <w:p w14:paraId="707A6B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2B7F12">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4F3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A804F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32FF6F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2A0C773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A8E4B7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4E8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B46D8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1BA0FA5">
            <w:pPr>
              <w:jc w:val="center"/>
              <w:rPr>
                <w:rFonts w:ascii="宋体" w:hAnsi="宋体" w:cs="宋体"/>
                <w:b/>
                <w:color w:val="auto"/>
                <w:kern w:val="0"/>
                <w:sz w:val="32"/>
                <w:szCs w:val="32"/>
                <w:highlight w:val="none"/>
              </w:rPr>
            </w:pPr>
          </w:p>
        </w:tc>
        <w:tc>
          <w:tcPr>
            <w:tcW w:w="3062" w:type="dxa"/>
          </w:tcPr>
          <w:p w14:paraId="66F6FE1D">
            <w:pPr>
              <w:jc w:val="center"/>
              <w:rPr>
                <w:rFonts w:ascii="宋体" w:hAnsi="宋体" w:cs="宋体"/>
                <w:b/>
                <w:color w:val="auto"/>
                <w:kern w:val="0"/>
                <w:sz w:val="32"/>
                <w:szCs w:val="32"/>
                <w:highlight w:val="none"/>
              </w:rPr>
            </w:pPr>
          </w:p>
        </w:tc>
        <w:tc>
          <w:tcPr>
            <w:tcW w:w="1102" w:type="dxa"/>
          </w:tcPr>
          <w:p w14:paraId="127A54C7">
            <w:pPr>
              <w:jc w:val="center"/>
              <w:rPr>
                <w:rFonts w:ascii="宋体" w:hAnsi="宋体" w:cs="宋体"/>
                <w:b/>
                <w:color w:val="auto"/>
                <w:kern w:val="0"/>
                <w:sz w:val="32"/>
                <w:szCs w:val="32"/>
                <w:highlight w:val="none"/>
              </w:rPr>
            </w:pPr>
          </w:p>
        </w:tc>
      </w:tr>
      <w:tr w14:paraId="57B3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8A701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83BEB9E">
            <w:pPr>
              <w:jc w:val="center"/>
              <w:rPr>
                <w:rFonts w:ascii="宋体" w:hAnsi="宋体" w:cs="宋体"/>
                <w:b/>
                <w:color w:val="auto"/>
                <w:kern w:val="0"/>
                <w:sz w:val="32"/>
                <w:szCs w:val="32"/>
                <w:highlight w:val="none"/>
              </w:rPr>
            </w:pPr>
          </w:p>
        </w:tc>
        <w:tc>
          <w:tcPr>
            <w:tcW w:w="3062" w:type="dxa"/>
          </w:tcPr>
          <w:p w14:paraId="5FECDBFB">
            <w:pPr>
              <w:jc w:val="center"/>
              <w:rPr>
                <w:rFonts w:ascii="宋体" w:hAnsi="宋体" w:cs="宋体"/>
                <w:b/>
                <w:color w:val="auto"/>
                <w:kern w:val="0"/>
                <w:sz w:val="32"/>
                <w:szCs w:val="32"/>
                <w:highlight w:val="none"/>
              </w:rPr>
            </w:pPr>
          </w:p>
        </w:tc>
        <w:tc>
          <w:tcPr>
            <w:tcW w:w="1102" w:type="dxa"/>
          </w:tcPr>
          <w:p w14:paraId="1EA1B7C0">
            <w:pPr>
              <w:jc w:val="center"/>
              <w:rPr>
                <w:rFonts w:ascii="宋体" w:hAnsi="宋体" w:cs="宋体"/>
                <w:b/>
                <w:color w:val="auto"/>
                <w:kern w:val="0"/>
                <w:sz w:val="32"/>
                <w:szCs w:val="32"/>
                <w:highlight w:val="none"/>
              </w:rPr>
            </w:pPr>
          </w:p>
        </w:tc>
      </w:tr>
      <w:tr w14:paraId="56A4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658F9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8B68CCA">
            <w:pPr>
              <w:jc w:val="center"/>
              <w:rPr>
                <w:rFonts w:ascii="宋体" w:hAnsi="宋体" w:cs="宋体"/>
                <w:b/>
                <w:color w:val="auto"/>
                <w:kern w:val="0"/>
                <w:sz w:val="32"/>
                <w:szCs w:val="32"/>
                <w:highlight w:val="none"/>
              </w:rPr>
            </w:pPr>
          </w:p>
        </w:tc>
        <w:tc>
          <w:tcPr>
            <w:tcW w:w="3062" w:type="dxa"/>
          </w:tcPr>
          <w:p w14:paraId="53A8AC66">
            <w:pPr>
              <w:jc w:val="center"/>
              <w:rPr>
                <w:rFonts w:ascii="宋体" w:hAnsi="宋体" w:cs="宋体"/>
                <w:b/>
                <w:color w:val="auto"/>
                <w:kern w:val="0"/>
                <w:sz w:val="32"/>
                <w:szCs w:val="32"/>
                <w:highlight w:val="none"/>
              </w:rPr>
            </w:pPr>
          </w:p>
        </w:tc>
        <w:tc>
          <w:tcPr>
            <w:tcW w:w="1102" w:type="dxa"/>
          </w:tcPr>
          <w:p w14:paraId="65C55C5B">
            <w:pPr>
              <w:jc w:val="center"/>
              <w:rPr>
                <w:rFonts w:ascii="宋体" w:hAnsi="宋体" w:cs="宋体"/>
                <w:b/>
                <w:color w:val="auto"/>
                <w:kern w:val="0"/>
                <w:sz w:val="32"/>
                <w:szCs w:val="32"/>
                <w:highlight w:val="none"/>
              </w:rPr>
            </w:pPr>
          </w:p>
        </w:tc>
      </w:tr>
    </w:tbl>
    <w:p w14:paraId="22DD813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06878A3">
      <w:pPr>
        <w:jc w:val="center"/>
        <w:rPr>
          <w:rFonts w:ascii="宋体" w:hAnsi="宋体" w:cs="宋体"/>
          <w:b/>
          <w:color w:val="auto"/>
          <w:kern w:val="0"/>
          <w:sz w:val="32"/>
          <w:szCs w:val="32"/>
          <w:highlight w:val="none"/>
        </w:rPr>
      </w:pPr>
    </w:p>
    <w:p w14:paraId="3CB55CB7">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D7772F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9389D7E">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8DA47B2">
      <w:pPr>
        <w:ind w:firstLine="1911" w:firstLineChars="595"/>
        <w:rPr>
          <w:rFonts w:ascii="宋体" w:hAnsi="宋体" w:cs="宋体"/>
          <w:b/>
          <w:bCs/>
          <w:color w:val="auto"/>
          <w:sz w:val="32"/>
          <w:szCs w:val="32"/>
          <w:highlight w:val="none"/>
        </w:rPr>
      </w:pPr>
    </w:p>
    <w:p w14:paraId="246B17A8">
      <w:pPr>
        <w:ind w:firstLine="1911" w:firstLineChars="595"/>
        <w:rPr>
          <w:rFonts w:ascii="宋体" w:hAnsi="宋体" w:cs="宋体"/>
          <w:b/>
          <w:bCs/>
          <w:color w:val="auto"/>
          <w:sz w:val="32"/>
          <w:szCs w:val="32"/>
          <w:highlight w:val="none"/>
        </w:rPr>
      </w:pPr>
    </w:p>
    <w:p w14:paraId="4DFA62C3">
      <w:pPr>
        <w:ind w:firstLine="1911" w:firstLineChars="595"/>
        <w:rPr>
          <w:rFonts w:ascii="宋体" w:hAnsi="宋体" w:cs="宋体"/>
          <w:b/>
          <w:bCs/>
          <w:color w:val="auto"/>
          <w:sz w:val="32"/>
          <w:szCs w:val="32"/>
          <w:highlight w:val="none"/>
        </w:rPr>
      </w:pPr>
    </w:p>
    <w:p w14:paraId="3B15E54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1DC71C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8AB4396">
      <w:pPr>
        <w:snapToGrid w:val="0"/>
        <w:spacing w:line="360" w:lineRule="auto"/>
        <w:rPr>
          <w:rFonts w:ascii="宋体" w:hAnsi="宋体" w:cs="宋体"/>
          <w:color w:val="auto"/>
          <w:sz w:val="24"/>
          <w:highlight w:val="none"/>
        </w:rPr>
      </w:pPr>
    </w:p>
    <w:p w14:paraId="1D9D4C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8211C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C4E56C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00A04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D41AF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044D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4A07B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1FF0E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5FC804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890A07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A963A6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0A6D992">
      <w:pPr>
        <w:autoSpaceDE w:val="0"/>
        <w:autoSpaceDN w:val="0"/>
        <w:spacing w:line="360" w:lineRule="auto"/>
        <w:ind w:left="2"/>
        <w:jc w:val="left"/>
        <w:rPr>
          <w:rFonts w:ascii="宋体" w:hAnsi="宋体" w:cs="宋体"/>
          <w:color w:val="auto"/>
          <w:kern w:val="0"/>
          <w:sz w:val="24"/>
          <w:highlight w:val="none"/>
          <w:lang w:val="zh-CN"/>
        </w:rPr>
      </w:pPr>
    </w:p>
    <w:p w14:paraId="2960DD86">
      <w:pPr>
        <w:autoSpaceDE w:val="0"/>
        <w:autoSpaceDN w:val="0"/>
        <w:spacing w:line="360" w:lineRule="auto"/>
        <w:ind w:left="2"/>
        <w:jc w:val="left"/>
        <w:rPr>
          <w:rFonts w:ascii="宋体" w:hAnsi="宋体" w:cs="宋体"/>
          <w:color w:val="auto"/>
          <w:kern w:val="0"/>
          <w:sz w:val="24"/>
          <w:highlight w:val="none"/>
          <w:lang w:val="zh-CN"/>
        </w:rPr>
      </w:pPr>
    </w:p>
    <w:p w14:paraId="41CFCEDA">
      <w:pPr>
        <w:autoSpaceDE w:val="0"/>
        <w:autoSpaceDN w:val="0"/>
        <w:spacing w:line="360" w:lineRule="auto"/>
        <w:ind w:left="2"/>
        <w:jc w:val="left"/>
        <w:rPr>
          <w:rFonts w:ascii="宋体" w:hAnsi="宋体" w:cs="宋体"/>
          <w:color w:val="auto"/>
          <w:kern w:val="0"/>
          <w:sz w:val="24"/>
          <w:highlight w:val="none"/>
          <w:lang w:val="zh-CN"/>
        </w:rPr>
      </w:pPr>
    </w:p>
    <w:p w14:paraId="7B52F63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DDFB5E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A9A7AB">
      <w:pPr>
        <w:spacing w:line="360" w:lineRule="auto"/>
        <w:jc w:val="center"/>
        <w:rPr>
          <w:rFonts w:ascii="宋体" w:hAnsi="宋体" w:cs="宋体"/>
          <w:b/>
          <w:bCs/>
          <w:color w:val="auto"/>
          <w:sz w:val="24"/>
          <w:highlight w:val="none"/>
        </w:rPr>
      </w:pPr>
    </w:p>
    <w:p w14:paraId="5275A3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4D9A3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C6B856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A439A1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6BF9DF">
      <w:pPr>
        <w:spacing w:line="360" w:lineRule="auto"/>
        <w:jc w:val="center"/>
        <w:outlineLvl w:val="0"/>
        <w:rPr>
          <w:rFonts w:ascii="宋体" w:hAnsi="宋体" w:cs="宋体"/>
          <w:b/>
          <w:color w:val="auto"/>
          <w:kern w:val="0"/>
          <w:sz w:val="36"/>
          <w:szCs w:val="36"/>
          <w:highlight w:val="none"/>
        </w:rPr>
      </w:pPr>
    </w:p>
    <w:p w14:paraId="2D2348D1">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D26BEA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7E014C7">
      <w:pPr>
        <w:pStyle w:val="80"/>
        <w:rPr>
          <w:rFonts w:hint="eastAsia"/>
          <w:color w:val="auto"/>
          <w:highlight w:val="none"/>
        </w:rPr>
      </w:pPr>
    </w:p>
    <w:p w14:paraId="091734B6">
      <w:pPr>
        <w:pStyle w:val="80"/>
        <w:rPr>
          <w:color w:val="auto"/>
          <w:highlight w:val="none"/>
        </w:rPr>
      </w:pPr>
    </w:p>
    <w:p w14:paraId="2F9D983D">
      <w:pPr>
        <w:snapToGrid w:val="0"/>
        <w:spacing w:line="360" w:lineRule="auto"/>
        <w:ind w:right="480"/>
        <w:jc w:val="center"/>
        <w:rPr>
          <w:rFonts w:ascii="宋体" w:hAnsi="宋体" w:cs="宋体"/>
          <w:b/>
          <w:color w:val="auto"/>
          <w:kern w:val="0"/>
          <w:sz w:val="32"/>
          <w:szCs w:val="32"/>
          <w:highlight w:val="none"/>
        </w:rPr>
      </w:pPr>
    </w:p>
    <w:p w14:paraId="78DDE5CF">
      <w:pPr>
        <w:snapToGrid w:val="0"/>
        <w:spacing w:line="360" w:lineRule="auto"/>
        <w:ind w:right="480"/>
        <w:jc w:val="center"/>
        <w:rPr>
          <w:rFonts w:ascii="宋体" w:hAnsi="宋体" w:cs="宋体"/>
          <w:b/>
          <w:color w:val="auto"/>
          <w:kern w:val="0"/>
          <w:sz w:val="32"/>
          <w:szCs w:val="32"/>
          <w:highlight w:val="none"/>
        </w:rPr>
      </w:pPr>
    </w:p>
    <w:p w14:paraId="14A3B16E">
      <w:pPr>
        <w:snapToGrid w:val="0"/>
        <w:spacing w:line="360" w:lineRule="auto"/>
        <w:ind w:right="480"/>
        <w:jc w:val="center"/>
        <w:rPr>
          <w:rFonts w:ascii="宋体" w:hAnsi="宋体" w:cs="宋体"/>
          <w:b/>
          <w:color w:val="auto"/>
          <w:kern w:val="0"/>
          <w:sz w:val="32"/>
          <w:szCs w:val="32"/>
          <w:highlight w:val="none"/>
        </w:rPr>
      </w:pPr>
    </w:p>
    <w:p w14:paraId="6B77011B">
      <w:pPr>
        <w:snapToGrid w:val="0"/>
        <w:spacing w:line="360" w:lineRule="auto"/>
        <w:ind w:right="480"/>
        <w:jc w:val="center"/>
        <w:rPr>
          <w:rFonts w:ascii="宋体" w:hAnsi="宋体" w:cs="宋体"/>
          <w:b/>
          <w:color w:val="auto"/>
          <w:kern w:val="0"/>
          <w:sz w:val="32"/>
          <w:szCs w:val="32"/>
          <w:highlight w:val="none"/>
        </w:rPr>
      </w:pPr>
    </w:p>
    <w:p w14:paraId="6B851AED">
      <w:pPr>
        <w:snapToGrid w:val="0"/>
        <w:spacing w:line="360" w:lineRule="auto"/>
        <w:ind w:right="480"/>
        <w:jc w:val="center"/>
        <w:rPr>
          <w:rFonts w:ascii="宋体" w:hAnsi="宋体" w:cs="宋体"/>
          <w:b/>
          <w:color w:val="auto"/>
          <w:kern w:val="0"/>
          <w:sz w:val="32"/>
          <w:szCs w:val="32"/>
          <w:highlight w:val="none"/>
        </w:rPr>
      </w:pPr>
    </w:p>
    <w:p w14:paraId="098509C4">
      <w:pPr>
        <w:snapToGrid w:val="0"/>
        <w:spacing w:line="360" w:lineRule="auto"/>
        <w:ind w:right="480"/>
        <w:jc w:val="center"/>
        <w:rPr>
          <w:rFonts w:ascii="宋体" w:hAnsi="宋体" w:cs="宋体"/>
          <w:b/>
          <w:color w:val="auto"/>
          <w:kern w:val="0"/>
          <w:sz w:val="32"/>
          <w:szCs w:val="32"/>
          <w:highlight w:val="none"/>
        </w:rPr>
      </w:pPr>
    </w:p>
    <w:p w14:paraId="6054C8B9">
      <w:pPr>
        <w:snapToGrid w:val="0"/>
        <w:spacing w:line="360" w:lineRule="auto"/>
        <w:ind w:right="480"/>
        <w:jc w:val="center"/>
        <w:rPr>
          <w:rFonts w:ascii="宋体" w:hAnsi="宋体" w:cs="宋体"/>
          <w:b/>
          <w:color w:val="auto"/>
          <w:kern w:val="0"/>
          <w:sz w:val="32"/>
          <w:szCs w:val="32"/>
          <w:highlight w:val="none"/>
        </w:rPr>
      </w:pPr>
    </w:p>
    <w:p w14:paraId="5AA790E0">
      <w:pPr>
        <w:snapToGrid w:val="0"/>
        <w:spacing w:line="360" w:lineRule="auto"/>
        <w:ind w:right="480"/>
        <w:jc w:val="center"/>
        <w:rPr>
          <w:rFonts w:ascii="宋体" w:hAnsi="宋体" w:cs="宋体"/>
          <w:b/>
          <w:color w:val="auto"/>
          <w:kern w:val="0"/>
          <w:sz w:val="32"/>
          <w:szCs w:val="32"/>
          <w:highlight w:val="none"/>
        </w:rPr>
      </w:pPr>
    </w:p>
    <w:p w14:paraId="2C500AF5">
      <w:pPr>
        <w:snapToGrid w:val="0"/>
        <w:spacing w:line="360" w:lineRule="auto"/>
        <w:ind w:right="480"/>
        <w:jc w:val="center"/>
        <w:rPr>
          <w:rFonts w:ascii="宋体" w:hAnsi="宋体" w:cs="宋体"/>
          <w:b/>
          <w:color w:val="auto"/>
          <w:kern w:val="0"/>
          <w:sz w:val="32"/>
          <w:szCs w:val="32"/>
          <w:highlight w:val="none"/>
        </w:rPr>
      </w:pPr>
    </w:p>
    <w:p w14:paraId="648F071E">
      <w:pPr>
        <w:snapToGrid w:val="0"/>
        <w:spacing w:line="360" w:lineRule="auto"/>
        <w:ind w:right="480"/>
        <w:jc w:val="center"/>
        <w:rPr>
          <w:rFonts w:ascii="宋体" w:hAnsi="宋体" w:cs="宋体"/>
          <w:b/>
          <w:color w:val="auto"/>
          <w:kern w:val="0"/>
          <w:sz w:val="32"/>
          <w:szCs w:val="32"/>
          <w:highlight w:val="none"/>
        </w:rPr>
      </w:pPr>
    </w:p>
    <w:p w14:paraId="19CC139A">
      <w:pPr>
        <w:snapToGrid w:val="0"/>
        <w:spacing w:line="360" w:lineRule="auto"/>
        <w:ind w:right="480"/>
        <w:jc w:val="center"/>
        <w:rPr>
          <w:rFonts w:ascii="宋体" w:hAnsi="宋体" w:cs="宋体"/>
          <w:b/>
          <w:color w:val="auto"/>
          <w:kern w:val="0"/>
          <w:sz w:val="32"/>
          <w:szCs w:val="32"/>
          <w:highlight w:val="none"/>
        </w:rPr>
      </w:pPr>
    </w:p>
    <w:p w14:paraId="299FBA86">
      <w:pPr>
        <w:snapToGrid w:val="0"/>
        <w:spacing w:line="360" w:lineRule="auto"/>
        <w:ind w:right="480"/>
        <w:jc w:val="center"/>
        <w:rPr>
          <w:rFonts w:ascii="宋体" w:hAnsi="宋体" w:cs="宋体"/>
          <w:b/>
          <w:color w:val="auto"/>
          <w:kern w:val="0"/>
          <w:sz w:val="32"/>
          <w:szCs w:val="32"/>
          <w:highlight w:val="none"/>
        </w:rPr>
      </w:pPr>
    </w:p>
    <w:p w14:paraId="7989F900">
      <w:pPr>
        <w:snapToGrid w:val="0"/>
        <w:spacing w:line="360" w:lineRule="auto"/>
        <w:ind w:right="480"/>
        <w:jc w:val="center"/>
        <w:rPr>
          <w:rFonts w:ascii="宋体" w:hAnsi="宋体" w:cs="宋体"/>
          <w:b/>
          <w:color w:val="auto"/>
          <w:kern w:val="0"/>
          <w:sz w:val="32"/>
          <w:szCs w:val="32"/>
          <w:highlight w:val="none"/>
        </w:rPr>
      </w:pPr>
    </w:p>
    <w:p w14:paraId="3D59A2D0">
      <w:pPr>
        <w:snapToGrid w:val="0"/>
        <w:spacing w:line="360" w:lineRule="auto"/>
        <w:ind w:right="480"/>
        <w:jc w:val="center"/>
        <w:rPr>
          <w:rFonts w:ascii="宋体" w:hAnsi="宋体" w:cs="宋体"/>
          <w:b/>
          <w:color w:val="auto"/>
          <w:kern w:val="0"/>
          <w:sz w:val="32"/>
          <w:szCs w:val="32"/>
          <w:highlight w:val="none"/>
        </w:rPr>
      </w:pPr>
    </w:p>
    <w:p w14:paraId="2A534541">
      <w:pPr>
        <w:snapToGrid w:val="0"/>
        <w:spacing w:line="360" w:lineRule="auto"/>
        <w:ind w:right="480"/>
        <w:jc w:val="center"/>
        <w:rPr>
          <w:rFonts w:ascii="宋体" w:hAnsi="宋体" w:cs="宋体"/>
          <w:b/>
          <w:color w:val="auto"/>
          <w:kern w:val="0"/>
          <w:sz w:val="32"/>
          <w:szCs w:val="32"/>
          <w:highlight w:val="none"/>
        </w:rPr>
      </w:pPr>
    </w:p>
    <w:p w14:paraId="013D066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8E9AA9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547BEA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1AF30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AD5984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3381"/>
        <w:gridCol w:w="470"/>
        <w:gridCol w:w="555"/>
        <w:gridCol w:w="1947"/>
        <w:gridCol w:w="7503"/>
      </w:tblGrid>
      <w:tr w14:paraId="5617C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AD7D46">
            <w:pPr>
              <w:snapToGrid w:val="0"/>
              <w:spacing w:line="24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序号</w:t>
            </w:r>
          </w:p>
        </w:tc>
        <w:tc>
          <w:tcPr>
            <w:tcW w:w="3381" w:type="dxa"/>
            <w:tcBorders>
              <w:top w:val="single" w:color="000000" w:sz="4" w:space="0"/>
              <w:left w:val="single" w:color="000000" w:sz="4" w:space="0"/>
              <w:bottom w:val="single" w:color="000000" w:sz="4" w:space="0"/>
              <w:right w:val="single" w:color="auto" w:sz="4" w:space="0"/>
            </w:tcBorders>
            <w:noWrap w:val="0"/>
            <w:vAlign w:val="center"/>
          </w:tcPr>
          <w:p w14:paraId="26671EAA">
            <w:pPr>
              <w:snapToGrid w:val="0"/>
              <w:spacing w:line="24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项目</w:t>
            </w:r>
          </w:p>
        </w:tc>
        <w:tc>
          <w:tcPr>
            <w:tcW w:w="470" w:type="dxa"/>
            <w:tcBorders>
              <w:top w:val="single" w:color="000000" w:sz="4" w:space="0"/>
              <w:left w:val="single" w:color="auto" w:sz="4" w:space="0"/>
              <w:bottom w:val="single" w:color="000000" w:sz="4" w:space="0"/>
              <w:right w:val="single" w:color="auto" w:sz="4" w:space="0"/>
            </w:tcBorders>
            <w:noWrap w:val="0"/>
            <w:vAlign w:val="center"/>
          </w:tcPr>
          <w:p w14:paraId="67EBE759">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单位</w:t>
            </w:r>
          </w:p>
        </w:tc>
        <w:tc>
          <w:tcPr>
            <w:tcW w:w="555" w:type="dxa"/>
            <w:tcBorders>
              <w:top w:val="single" w:color="000000" w:sz="4" w:space="0"/>
              <w:left w:val="single" w:color="auto" w:sz="4" w:space="0"/>
              <w:bottom w:val="single" w:color="000000" w:sz="4" w:space="0"/>
              <w:right w:val="single" w:color="000000" w:sz="4" w:space="0"/>
            </w:tcBorders>
            <w:noWrap w:val="0"/>
            <w:vAlign w:val="center"/>
          </w:tcPr>
          <w:p w14:paraId="3FA4957F">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数量</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280B8B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en-US" w:eastAsia="zh-CN"/>
              </w:rPr>
              <w:t>一年</w:t>
            </w:r>
            <w:r>
              <w:rPr>
                <w:rFonts w:hint="eastAsia" w:ascii="宋体" w:hAnsi="宋体" w:cs="宋体"/>
                <w:b w:val="0"/>
                <w:bCs/>
                <w:color w:val="auto"/>
                <w:kern w:val="0"/>
                <w:sz w:val="24"/>
                <w:highlight w:val="none"/>
                <w:lang w:val="zh-CN" w:eastAsia="zh-CN"/>
              </w:rPr>
              <w:t>合计（元）</w:t>
            </w:r>
          </w:p>
        </w:tc>
        <w:tc>
          <w:tcPr>
            <w:tcW w:w="7503" w:type="dxa"/>
            <w:tcBorders>
              <w:top w:val="single" w:color="000000" w:sz="4" w:space="0"/>
              <w:left w:val="single" w:color="000000" w:sz="4" w:space="0"/>
              <w:bottom w:val="single" w:color="000000" w:sz="4" w:space="0"/>
              <w:right w:val="single" w:color="000000" w:sz="4" w:space="0"/>
            </w:tcBorders>
            <w:noWrap w:val="0"/>
            <w:vAlign w:val="center"/>
          </w:tcPr>
          <w:p w14:paraId="25337D33">
            <w:pPr>
              <w:tabs>
                <w:tab w:val="left" w:pos="880"/>
              </w:tabs>
              <w:snapToGrid w:val="0"/>
              <w:spacing w:line="240" w:lineRule="auto"/>
              <w:jc w:val="center"/>
              <w:rPr>
                <w:rFonts w:hint="eastAsia"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备注</w:t>
            </w:r>
          </w:p>
        </w:tc>
      </w:tr>
      <w:tr w14:paraId="1372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7" w:hRule="atLeast"/>
        </w:trPr>
        <w:tc>
          <w:tcPr>
            <w:tcW w:w="600" w:type="dxa"/>
            <w:tcBorders>
              <w:top w:val="single" w:color="000000" w:sz="4" w:space="0"/>
              <w:left w:val="single" w:color="000000" w:sz="4" w:space="0"/>
              <w:right w:val="single" w:color="000000" w:sz="4" w:space="0"/>
            </w:tcBorders>
            <w:noWrap w:val="0"/>
            <w:vAlign w:val="center"/>
          </w:tcPr>
          <w:p w14:paraId="0D328B39">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3381" w:type="dxa"/>
            <w:tcBorders>
              <w:top w:val="single" w:color="000000" w:sz="4" w:space="0"/>
              <w:left w:val="single" w:color="000000" w:sz="4" w:space="0"/>
              <w:right w:val="single" w:color="auto" w:sz="4" w:space="0"/>
            </w:tcBorders>
            <w:noWrap w:val="0"/>
            <w:vAlign w:val="center"/>
          </w:tcPr>
          <w:p w14:paraId="0D1BA891">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zh-CN" w:eastAsia="zh-CN"/>
              </w:rPr>
              <w:t>道路及停车场保洁</w:t>
            </w:r>
            <w:r>
              <w:rPr>
                <w:rFonts w:hint="eastAsia" w:ascii="宋体" w:hAnsi="宋体" w:cs="宋体"/>
                <w:b w:val="0"/>
                <w:bCs/>
                <w:color w:val="auto"/>
                <w:kern w:val="0"/>
                <w:sz w:val="24"/>
                <w:highlight w:val="none"/>
                <w:lang w:val="en-US" w:eastAsia="zh-CN"/>
              </w:rPr>
              <w:t>费</w:t>
            </w:r>
          </w:p>
        </w:tc>
        <w:tc>
          <w:tcPr>
            <w:tcW w:w="470" w:type="dxa"/>
            <w:tcBorders>
              <w:top w:val="single" w:color="000000" w:sz="4" w:space="0"/>
              <w:left w:val="single" w:color="auto" w:sz="4" w:space="0"/>
              <w:right w:val="single" w:color="auto" w:sz="4" w:space="0"/>
            </w:tcBorders>
            <w:noWrap w:val="0"/>
            <w:vAlign w:val="center"/>
          </w:tcPr>
          <w:p w14:paraId="045E1EF3">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top w:val="single" w:color="000000" w:sz="4" w:space="0"/>
              <w:left w:val="single" w:color="auto" w:sz="4" w:space="0"/>
              <w:right w:val="single" w:color="000000" w:sz="4" w:space="0"/>
            </w:tcBorders>
            <w:noWrap w:val="0"/>
            <w:vAlign w:val="center"/>
          </w:tcPr>
          <w:p w14:paraId="0FE49C09">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right w:val="single" w:color="000000" w:sz="4" w:space="0"/>
            </w:tcBorders>
            <w:noWrap w:val="0"/>
            <w:vAlign w:val="center"/>
          </w:tcPr>
          <w:p w14:paraId="521D2525">
            <w:pPr>
              <w:snapToGrid w:val="0"/>
              <w:spacing w:line="240" w:lineRule="auto"/>
              <w:jc w:val="center"/>
              <w:rPr>
                <w:rFonts w:hint="eastAsia" w:ascii="宋体" w:hAnsi="宋体" w:cs="宋体"/>
                <w:b w:val="0"/>
                <w:bCs/>
                <w:color w:val="auto"/>
                <w:kern w:val="0"/>
                <w:sz w:val="24"/>
                <w:highlight w:val="none"/>
                <w:lang w:val="zh-CN"/>
              </w:rPr>
            </w:pPr>
          </w:p>
        </w:tc>
        <w:tc>
          <w:tcPr>
            <w:tcW w:w="7503" w:type="dxa"/>
            <w:vMerge w:val="restart"/>
            <w:tcBorders>
              <w:top w:val="single" w:color="000000" w:sz="4" w:space="0"/>
              <w:left w:val="single" w:color="000000" w:sz="4" w:space="0"/>
              <w:right w:val="single" w:color="000000" w:sz="4" w:space="0"/>
            </w:tcBorders>
            <w:noWrap w:val="0"/>
            <w:vAlign w:val="center"/>
          </w:tcPr>
          <w:p w14:paraId="3FC25FF8">
            <w:pPr>
              <w:snapToGrid w:val="0"/>
              <w:spacing w:line="240" w:lineRule="auto"/>
              <w:rPr>
                <w:rFonts w:hint="default"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限价510.5879万元</w:t>
            </w:r>
            <w:r>
              <w:rPr>
                <w:rFonts w:hint="eastAsia" w:ascii="宋体" w:hAnsi="宋体" w:cs="宋体"/>
                <w:b w:val="0"/>
                <w:bCs/>
                <w:color w:val="auto"/>
                <w:kern w:val="0"/>
                <w:sz w:val="24"/>
                <w:highlight w:val="none"/>
                <w:lang w:val="zh-CN"/>
              </w:rPr>
              <w:t>（服务采购期限为一年）</w:t>
            </w:r>
          </w:p>
        </w:tc>
      </w:tr>
      <w:tr w14:paraId="4D186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2" w:hRule="atLeast"/>
        </w:trPr>
        <w:tc>
          <w:tcPr>
            <w:tcW w:w="600" w:type="dxa"/>
            <w:tcBorders>
              <w:left w:val="single" w:color="000000" w:sz="4" w:space="0"/>
              <w:right w:val="single" w:color="000000" w:sz="4" w:space="0"/>
            </w:tcBorders>
            <w:noWrap w:val="0"/>
            <w:vAlign w:val="center"/>
          </w:tcPr>
          <w:p w14:paraId="72D60132">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2</w:t>
            </w:r>
          </w:p>
        </w:tc>
        <w:tc>
          <w:tcPr>
            <w:tcW w:w="3381" w:type="dxa"/>
            <w:tcBorders>
              <w:left w:val="single" w:color="000000" w:sz="4" w:space="0"/>
              <w:right w:val="single" w:color="auto" w:sz="4" w:space="0"/>
            </w:tcBorders>
            <w:noWrap w:val="0"/>
            <w:vAlign w:val="center"/>
          </w:tcPr>
          <w:p w14:paraId="2E5284DA">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绿化养护费</w:t>
            </w:r>
          </w:p>
        </w:tc>
        <w:tc>
          <w:tcPr>
            <w:tcW w:w="470" w:type="dxa"/>
            <w:tcBorders>
              <w:left w:val="single" w:color="auto" w:sz="4" w:space="0"/>
              <w:right w:val="single" w:color="auto" w:sz="4" w:space="0"/>
            </w:tcBorders>
            <w:noWrap w:val="0"/>
            <w:vAlign w:val="center"/>
          </w:tcPr>
          <w:p w14:paraId="5FC347A2">
            <w:pPr>
              <w:snapToGrid w:val="0"/>
              <w:spacing w:line="24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right w:val="single" w:color="000000" w:sz="4" w:space="0"/>
            </w:tcBorders>
            <w:noWrap w:val="0"/>
            <w:vAlign w:val="center"/>
          </w:tcPr>
          <w:p w14:paraId="4C6097B0">
            <w:pPr>
              <w:snapToGrid w:val="0"/>
              <w:spacing w:line="24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right w:val="single" w:color="000000" w:sz="4" w:space="0"/>
            </w:tcBorders>
            <w:noWrap w:val="0"/>
            <w:vAlign w:val="center"/>
          </w:tcPr>
          <w:p w14:paraId="4D66DC8C">
            <w:pPr>
              <w:snapToGrid w:val="0"/>
              <w:spacing w:line="240" w:lineRule="auto"/>
              <w:jc w:val="center"/>
              <w:rPr>
                <w:rFonts w:hint="eastAsia" w:ascii="宋体" w:hAnsi="宋体" w:cs="宋体"/>
                <w:b w:val="0"/>
                <w:bCs/>
                <w:color w:val="auto"/>
                <w:kern w:val="0"/>
                <w:sz w:val="24"/>
                <w:highlight w:val="none"/>
                <w:lang w:val="zh-CN" w:eastAsia="zh-CN"/>
              </w:rPr>
            </w:pPr>
          </w:p>
        </w:tc>
        <w:tc>
          <w:tcPr>
            <w:tcW w:w="7503" w:type="dxa"/>
            <w:vMerge w:val="continue"/>
            <w:tcBorders>
              <w:left w:val="single" w:color="000000" w:sz="4" w:space="0"/>
              <w:right w:val="single" w:color="000000" w:sz="4" w:space="0"/>
            </w:tcBorders>
            <w:noWrap w:val="0"/>
            <w:vAlign w:val="center"/>
          </w:tcPr>
          <w:p w14:paraId="6EB47FC6">
            <w:pPr>
              <w:snapToGrid w:val="0"/>
              <w:spacing w:line="240" w:lineRule="auto"/>
              <w:rPr>
                <w:rFonts w:hint="eastAsia" w:asciiTheme="minorEastAsia" w:hAnsiTheme="minorEastAsia" w:eastAsiaTheme="minorEastAsia" w:cstheme="minorEastAsia"/>
                <w:b w:val="0"/>
                <w:bCs/>
                <w:color w:val="auto"/>
                <w:kern w:val="0"/>
                <w:sz w:val="24"/>
                <w:highlight w:val="yellow"/>
                <w:lang w:val="zh-CN" w:eastAsia="zh-CN"/>
              </w:rPr>
            </w:pPr>
          </w:p>
        </w:tc>
      </w:tr>
      <w:tr w14:paraId="67796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2" w:hRule="atLeast"/>
        </w:trPr>
        <w:tc>
          <w:tcPr>
            <w:tcW w:w="600" w:type="dxa"/>
            <w:tcBorders>
              <w:left w:val="single" w:color="000000" w:sz="4" w:space="0"/>
              <w:bottom w:val="single" w:color="000000" w:sz="4" w:space="0"/>
              <w:right w:val="single" w:color="000000" w:sz="4" w:space="0"/>
            </w:tcBorders>
            <w:noWrap w:val="0"/>
            <w:vAlign w:val="center"/>
          </w:tcPr>
          <w:p w14:paraId="5EBF70FF">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3</w:t>
            </w:r>
          </w:p>
        </w:tc>
        <w:tc>
          <w:tcPr>
            <w:tcW w:w="3381" w:type="dxa"/>
            <w:tcBorders>
              <w:left w:val="single" w:color="000000" w:sz="4" w:space="0"/>
              <w:bottom w:val="single" w:color="000000" w:sz="4" w:space="0"/>
              <w:right w:val="single" w:color="auto" w:sz="4" w:space="0"/>
            </w:tcBorders>
            <w:noWrap w:val="0"/>
            <w:vAlign w:val="center"/>
          </w:tcPr>
          <w:p w14:paraId="31D74EA1">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时花种植及养护费</w:t>
            </w:r>
          </w:p>
        </w:tc>
        <w:tc>
          <w:tcPr>
            <w:tcW w:w="470" w:type="dxa"/>
            <w:tcBorders>
              <w:left w:val="single" w:color="auto" w:sz="4" w:space="0"/>
              <w:bottom w:val="single" w:color="000000" w:sz="4" w:space="0"/>
              <w:right w:val="single" w:color="auto" w:sz="4" w:space="0"/>
            </w:tcBorders>
            <w:noWrap w:val="0"/>
            <w:vAlign w:val="center"/>
          </w:tcPr>
          <w:p w14:paraId="1A4CF58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613C07A5">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9898C95">
            <w:pPr>
              <w:snapToGrid w:val="0"/>
              <w:spacing w:line="240" w:lineRule="auto"/>
              <w:jc w:val="center"/>
              <w:rPr>
                <w:rFonts w:hint="eastAsia" w:ascii="宋体" w:hAnsi="宋体" w:cs="宋体"/>
                <w:b w:val="0"/>
                <w:bCs/>
                <w:color w:val="auto"/>
                <w:kern w:val="0"/>
                <w:sz w:val="24"/>
                <w:highlight w:val="none"/>
                <w:lang w:val="zh-CN"/>
              </w:rPr>
            </w:pPr>
          </w:p>
        </w:tc>
        <w:tc>
          <w:tcPr>
            <w:tcW w:w="7503" w:type="dxa"/>
            <w:vMerge w:val="continue"/>
            <w:tcBorders>
              <w:left w:val="single" w:color="000000" w:sz="4" w:space="0"/>
              <w:right w:val="single" w:color="000000" w:sz="4" w:space="0"/>
            </w:tcBorders>
            <w:noWrap w:val="0"/>
            <w:vAlign w:val="center"/>
          </w:tcPr>
          <w:p w14:paraId="577D19BF">
            <w:pPr>
              <w:snapToGrid w:val="0"/>
              <w:spacing w:line="240" w:lineRule="auto"/>
              <w:rPr>
                <w:rFonts w:hint="eastAsia" w:asciiTheme="minorEastAsia" w:hAnsiTheme="minorEastAsia" w:eastAsiaTheme="minorEastAsia" w:cstheme="minorEastAsia"/>
                <w:b w:val="0"/>
                <w:bCs/>
                <w:color w:val="auto"/>
                <w:kern w:val="0"/>
                <w:sz w:val="24"/>
                <w:highlight w:val="yellow"/>
                <w:lang w:val="zh-CN"/>
              </w:rPr>
            </w:pPr>
          </w:p>
        </w:tc>
      </w:tr>
      <w:tr w14:paraId="3BDE2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6" w:hRule="atLeast"/>
        </w:trPr>
        <w:tc>
          <w:tcPr>
            <w:tcW w:w="600" w:type="dxa"/>
            <w:tcBorders>
              <w:left w:val="single" w:color="000000" w:sz="4" w:space="0"/>
              <w:bottom w:val="single" w:color="000000" w:sz="4" w:space="0"/>
              <w:right w:val="single" w:color="000000" w:sz="4" w:space="0"/>
            </w:tcBorders>
            <w:noWrap w:val="0"/>
            <w:vAlign w:val="center"/>
          </w:tcPr>
          <w:p w14:paraId="7BD6D51C">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4</w:t>
            </w:r>
          </w:p>
        </w:tc>
        <w:tc>
          <w:tcPr>
            <w:tcW w:w="3381" w:type="dxa"/>
            <w:tcBorders>
              <w:left w:val="single" w:color="000000" w:sz="4" w:space="0"/>
              <w:bottom w:val="single" w:color="000000" w:sz="4" w:space="0"/>
              <w:right w:val="single" w:color="auto" w:sz="4" w:space="0"/>
            </w:tcBorders>
            <w:noWrap w:val="0"/>
            <w:vAlign w:val="center"/>
          </w:tcPr>
          <w:p w14:paraId="31B56C7B">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公厕保洁费</w:t>
            </w:r>
          </w:p>
        </w:tc>
        <w:tc>
          <w:tcPr>
            <w:tcW w:w="470" w:type="dxa"/>
            <w:tcBorders>
              <w:left w:val="single" w:color="auto" w:sz="4" w:space="0"/>
              <w:bottom w:val="single" w:color="000000" w:sz="4" w:space="0"/>
              <w:right w:val="single" w:color="auto" w:sz="4" w:space="0"/>
            </w:tcBorders>
            <w:noWrap w:val="0"/>
            <w:vAlign w:val="center"/>
          </w:tcPr>
          <w:p w14:paraId="2E9B04AD">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4754B15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9B53F4A">
            <w:pPr>
              <w:snapToGrid w:val="0"/>
              <w:spacing w:line="240" w:lineRule="auto"/>
              <w:jc w:val="center"/>
              <w:rPr>
                <w:rFonts w:hint="eastAsia" w:ascii="宋体" w:hAnsi="宋体" w:cs="宋体"/>
                <w:b w:val="0"/>
                <w:bCs/>
                <w:color w:val="auto"/>
                <w:kern w:val="0"/>
                <w:sz w:val="24"/>
                <w:highlight w:val="none"/>
                <w:lang w:val="zh-CN"/>
              </w:rPr>
            </w:pPr>
          </w:p>
        </w:tc>
        <w:tc>
          <w:tcPr>
            <w:tcW w:w="7503" w:type="dxa"/>
            <w:vMerge w:val="continue"/>
            <w:tcBorders>
              <w:left w:val="single" w:color="000000" w:sz="4" w:space="0"/>
              <w:right w:val="single" w:color="000000" w:sz="4" w:space="0"/>
            </w:tcBorders>
            <w:noWrap w:val="0"/>
            <w:vAlign w:val="center"/>
          </w:tcPr>
          <w:p w14:paraId="5B73509C">
            <w:pPr>
              <w:snapToGrid w:val="0"/>
              <w:spacing w:line="240" w:lineRule="auto"/>
              <w:rPr>
                <w:rFonts w:hint="eastAsia" w:ascii="宋体" w:hAnsi="宋体" w:cs="宋体"/>
                <w:b w:val="0"/>
                <w:bCs/>
                <w:color w:val="auto"/>
                <w:kern w:val="0"/>
                <w:sz w:val="24"/>
                <w:highlight w:val="none"/>
                <w:lang w:val="zh-CN"/>
              </w:rPr>
            </w:pPr>
          </w:p>
        </w:tc>
      </w:tr>
      <w:tr w14:paraId="0BED4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0" w:hRule="atLeast"/>
        </w:trPr>
        <w:tc>
          <w:tcPr>
            <w:tcW w:w="600" w:type="dxa"/>
            <w:tcBorders>
              <w:left w:val="single" w:color="000000" w:sz="4" w:space="0"/>
              <w:bottom w:val="single" w:color="000000" w:sz="4" w:space="0"/>
              <w:right w:val="single" w:color="000000" w:sz="4" w:space="0"/>
            </w:tcBorders>
            <w:noWrap w:val="0"/>
            <w:vAlign w:val="center"/>
          </w:tcPr>
          <w:p w14:paraId="4107104D">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w:t>
            </w:r>
          </w:p>
        </w:tc>
        <w:tc>
          <w:tcPr>
            <w:tcW w:w="3381" w:type="dxa"/>
            <w:tcBorders>
              <w:left w:val="single" w:color="000000" w:sz="4" w:space="0"/>
              <w:bottom w:val="single" w:color="000000" w:sz="4" w:space="0"/>
              <w:right w:val="single" w:color="auto" w:sz="4" w:space="0"/>
            </w:tcBorders>
            <w:noWrap w:val="0"/>
            <w:vAlign w:val="center"/>
          </w:tcPr>
          <w:p w14:paraId="1C866CEB">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仓兴街沿线零星住宅区域保洁费</w:t>
            </w:r>
          </w:p>
        </w:tc>
        <w:tc>
          <w:tcPr>
            <w:tcW w:w="470" w:type="dxa"/>
            <w:tcBorders>
              <w:left w:val="single" w:color="auto" w:sz="4" w:space="0"/>
              <w:bottom w:val="single" w:color="000000" w:sz="4" w:space="0"/>
              <w:right w:val="single" w:color="auto" w:sz="4" w:space="0"/>
            </w:tcBorders>
            <w:noWrap w:val="0"/>
            <w:vAlign w:val="center"/>
          </w:tcPr>
          <w:p w14:paraId="0AFDA4ED">
            <w:pPr>
              <w:snapToGrid w:val="0"/>
              <w:spacing w:line="24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598D3078">
            <w:pPr>
              <w:snapToGrid w:val="0"/>
              <w:spacing w:line="24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7B7DC1D">
            <w:pPr>
              <w:snapToGrid w:val="0"/>
              <w:spacing w:line="240" w:lineRule="auto"/>
              <w:jc w:val="center"/>
              <w:rPr>
                <w:rFonts w:hint="eastAsia" w:ascii="宋体" w:hAnsi="宋体" w:cs="宋体"/>
                <w:b w:val="0"/>
                <w:bCs/>
                <w:color w:val="auto"/>
                <w:kern w:val="0"/>
                <w:sz w:val="24"/>
                <w:highlight w:val="none"/>
                <w:lang w:val="zh-CN"/>
              </w:rPr>
            </w:pPr>
          </w:p>
        </w:tc>
        <w:tc>
          <w:tcPr>
            <w:tcW w:w="7503" w:type="dxa"/>
            <w:vMerge w:val="continue"/>
            <w:tcBorders>
              <w:left w:val="single" w:color="000000" w:sz="4" w:space="0"/>
              <w:bottom w:val="single" w:color="000000" w:sz="4" w:space="0"/>
              <w:right w:val="single" w:color="000000" w:sz="4" w:space="0"/>
            </w:tcBorders>
            <w:noWrap w:val="0"/>
            <w:vAlign w:val="center"/>
          </w:tcPr>
          <w:p w14:paraId="1E629AD2">
            <w:pPr>
              <w:snapToGrid w:val="0"/>
              <w:spacing w:line="240" w:lineRule="auto"/>
              <w:rPr>
                <w:rFonts w:hint="eastAsia" w:ascii="宋体" w:hAnsi="宋体" w:cs="宋体"/>
                <w:b w:val="0"/>
                <w:bCs/>
                <w:color w:val="auto"/>
                <w:kern w:val="0"/>
                <w:sz w:val="24"/>
                <w:highlight w:val="none"/>
                <w:lang w:val="zh-CN"/>
              </w:rPr>
            </w:pPr>
          </w:p>
        </w:tc>
      </w:tr>
      <w:tr w14:paraId="5146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2" w:hRule="atLeast"/>
        </w:trPr>
        <w:tc>
          <w:tcPr>
            <w:tcW w:w="600" w:type="dxa"/>
            <w:tcBorders>
              <w:left w:val="single" w:color="000000" w:sz="4" w:space="0"/>
              <w:bottom w:val="single" w:color="000000" w:sz="4" w:space="0"/>
              <w:right w:val="single" w:color="000000" w:sz="4" w:space="0"/>
            </w:tcBorders>
            <w:noWrap w:val="0"/>
            <w:vAlign w:val="center"/>
          </w:tcPr>
          <w:p w14:paraId="0B12F8E0">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6</w:t>
            </w:r>
          </w:p>
        </w:tc>
        <w:tc>
          <w:tcPr>
            <w:tcW w:w="3381" w:type="dxa"/>
            <w:tcBorders>
              <w:left w:val="single" w:color="000000" w:sz="4" w:space="0"/>
              <w:bottom w:val="single" w:color="000000" w:sz="4" w:space="0"/>
              <w:right w:val="single" w:color="auto" w:sz="4" w:space="0"/>
            </w:tcBorders>
            <w:noWrap w:val="0"/>
            <w:vAlign w:val="center"/>
          </w:tcPr>
          <w:p w14:paraId="1D277291">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序化治理服务费</w:t>
            </w:r>
          </w:p>
        </w:tc>
        <w:tc>
          <w:tcPr>
            <w:tcW w:w="470" w:type="dxa"/>
            <w:tcBorders>
              <w:left w:val="single" w:color="auto" w:sz="4" w:space="0"/>
              <w:bottom w:val="single" w:color="000000" w:sz="4" w:space="0"/>
              <w:right w:val="single" w:color="auto" w:sz="4" w:space="0"/>
            </w:tcBorders>
            <w:noWrap w:val="0"/>
            <w:vAlign w:val="center"/>
          </w:tcPr>
          <w:p w14:paraId="4FDE9FFA">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702F997D">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80FEE19">
            <w:pPr>
              <w:snapToGrid w:val="0"/>
              <w:spacing w:line="240" w:lineRule="auto"/>
              <w:jc w:val="center"/>
              <w:rPr>
                <w:rFonts w:hint="eastAsia" w:ascii="宋体" w:hAnsi="宋体" w:cs="宋体"/>
                <w:b w:val="0"/>
                <w:bCs/>
                <w:color w:val="auto"/>
                <w:kern w:val="0"/>
                <w:sz w:val="24"/>
                <w:highlight w:val="none"/>
                <w:lang w:val="zh-CN"/>
              </w:rPr>
            </w:pPr>
          </w:p>
        </w:tc>
        <w:tc>
          <w:tcPr>
            <w:tcW w:w="7503" w:type="dxa"/>
            <w:tcBorders>
              <w:top w:val="single" w:color="000000" w:sz="4" w:space="0"/>
              <w:left w:val="single" w:color="000000" w:sz="4" w:space="0"/>
              <w:bottom w:val="single" w:color="000000" w:sz="4" w:space="0"/>
              <w:right w:val="single" w:color="000000" w:sz="4" w:space="0"/>
            </w:tcBorders>
            <w:noWrap w:val="0"/>
            <w:vAlign w:val="center"/>
          </w:tcPr>
          <w:p w14:paraId="4CD22883">
            <w:pPr>
              <w:snapToGrid w:val="0"/>
              <w:spacing w:line="24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en-US" w:eastAsia="zh-CN"/>
              </w:rPr>
              <w:t>限价328</w:t>
            </w:r>
            <w:r>
              <w:rPr>
                <w:rFonts w:hint="eastAsia" w:ascii="宋体" w:hAnsi="宋体" w:cs="宋体"/>
                <w:b w:val="0"/>
                <w:bCs/>
                <w:color w:val="auto"/>
                <w:kern w:val="0"/>
                <w:sz w:val="24"/>
                <w:highlight w:val="none"/>
                <w:lang w:val="zh-CN"/>
              </w:rPr>
              <w:t>万元（服务采购期限为一年）</w:t>
            </w:r>
          </w:p>
        </w:tc>
      </w:tr>
      <w:tr w14:paraId="5F46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600" w:type="dxa"/>
            <w:tcBorders>
              <w:left w:val="single" w:color="000000" w:sz="4" w:space="0"/>
              <w:bottom w:val="single" w:color="000000" w:sz="4" w:space="0"/>
              <w:right w:val="single" w:color="000000" w:sz="4" w:space="0"/>
            </w:tcBorders>
            <w:noWrap w:val="0"/>
            <w:vAlign w:val="center"/>
          </w:tcPr>
          <w:p w14:paraId="7F4E7DE3">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7</w:t>
            </w:r>
          </w:p>
        </w:tc>
        <w:tc>
          <w:tcPr>
            <w:tcW w:w="3381" w:type="dxa"/>
            <w:tcBorders>
              <w:left w:val="single" w:color="000000" w:sz="4" w:space="0"/>
              <w:bottom w:val="single" w:color="000000" w:sz="4" w:space="0"/>
              <w:right w:val="single" w:color="auto" w:sz="4" w:space="0"/>
            </w:tcBorders>
            <w:noWrap w:val="0"/>
            <w:vAlign w:val="center"/>
          </w:tcPr>
          <w:p w14:paraId="529A8DB4">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仓兴街钱神花园、太炎花苑小区以及沿线零星住宅区域全年市政管网清污服务费</w:t>
            </w:r>
          </w:p>
        </w:tc>
        <w:tc>
          <w:tcPr>
            <w:tcW w:w="470" w:type="dxa"/>
            <w:tcBorders>
              <w:left w:val="single" w:color="auto" w:sz="4" w:space="0"/>
              <w:bottom w:val="single" w:color="000000" w:sz="4" w:space="0"/>
              <w:right w:val="single" w:color="auto" w:sz="4" w:space="0"/>
            </w:tcBorders>
            <w:noWrap w:val="0"/>
            <w:vAlign w:val="center"/>
          </w:tcPr>
          <w:p w14:paraId="300D7D38">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4AECB05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90C5C0D">
            <w:pPr>
              <w:snapToGrid w:val="0"/>
              <w:spacing w:line="240" w:lineRule="auto"/>
              <w:jc w:val="center"/>
              <w:rPr>
                <w:rFonts w:hint="eastAsia" w:ascii="宋体" w:hAnsi="宋体" w:cs="宋体"/>
                <w:b w:val="0"/>
                <w:bCs/>
                <w:color w:val="auto"/>
                <w:kern w:val="0"/>
                <w:sz w:val="24"/>
                <w:highlight w:val="none"/>
                <w:lang w:val="zh-CN"/>
              </w:rPr>
            </w:pPr>
          </w:p>
        </w:tc>
        <w:tc>
          <w:tcPr>
            <w:tcW w:w="7503" w:type="dxa"/>
            <w:tcBorders>
              <w:top w:val="single" w:color="000000" w:sz="4" w:space="0"/>
              <w:left w:val="single" w:color="000000" w:sz="4" w:space="0"/>
              <w:bottom w:val="single" w:color="000000" w:sz="4" w:space="0"/>
              <w:right w:val="single" w:color="000000" w:sz="4" w:space="0"/>
            </w:tcBorders>
            <w:noWrap w:val="0"/>
            <w:vAlign w:val="center"/>
          </w:tcPr>
          <w:p w14:paraId="757AB6D5">
            <w:pPr>
              <w:snapToGrid w:val="0"/>
              <w:spacing w:line="24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en-US" w:eastAsia="zh-CN"/>
              </w:rPr>
              <w:t>限价79</w:t>
            </w:r>
            <w:r>
              <w:rPr>
                <w:rFonts w:hint="eastAsia" w:ascii="宋体" w:hAnsi="宋体" w:cs="宋体"/>
                <w:b w:val="0"/>
                <w:bCs/>
                <w:color w:val="auto"/>
                <w:kern w:val="0"/>
                <w:sz w:val="24"/>
                <w:highlight w:val="none"/>
                <w:lang w:val="zh-CN"/>
              </w:rPr>
              <w:t>万元（服务采购期限为一年）</w:t>
            </w:r>
          </w:p>
        </w:tc>
      </w:tr>
      <w:tr w14:paraId="75AA4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600" w:type="dxa"/>
            <w:tcBorders>
              <w:left w:val="single" w:color="000000" w:sz="4" w:space="0"/>
              <w:bottom w:val="single" w:color="000000" w:sz="4" w:space="0"/>
              <w:right w:val="single" w:color="000000" w:sz="4" w:space="0"/>
            </w:tcBorders>
            <w:noWrap w:val="0"/>
            <w:vAlign w:val="center"/>
          </w:tcPr>
          <w:p w14:paraId="4B003872">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8</w:t>
            </w:r>
          </w:p>
        </w:tc>
        <w:tc>
          <w:tcPr>
            <w:tcW w:w="3381" w:type="dxa"/>
            <w:tcBorders>
              <w:left w:val="single" w:color="000000" w:sz="4" w:space="0"/>
              <w:bottom w:val="single" w:color="000000" w:sz="4" w:space="0"/>
              <w:right w:val="single" w:color="auto" w:sz="4" w:space="0"/>
            </w:tcBorders>
            <w:noWrap w:val="0"/>
            <w:vAlign w:val="center"/>
          </w:tcPr>
          <w:p w14:paraId="5C602DEB">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en-US" w:eastAsia="zh-CN"/>
              </w:rPr>
              <w:t>道路</w:t>
            </w:r>
            <w:r>
              <w:rPr>
                <w:rFonts w:hint="eastAsia" w:ascii="宋体" w:hAnsi="宋体" w:cs="宋体"/>
                <w:b w:val="0"/>
                <w:bCs/>
                <w:color w:val="auto"/>
                <w:kern w:val="0"/>
                <w:sz w:val="24"/>
                <w:highlight w:val="none"/>
                <w:lang w:val="zh-CN" w:eastAsia="zh-CN"/>
              </w:rPr>
              <w:t>市政养护费</w:t>
            </w:r>
          </w:p>
        </w:tc>
        <w:tc>
          <w:tcPr>
            <w:tcW w:w="470" w:type="dxa"/>
            <w:tcBorders>
              <w:left w:val="single" w:color="auto" w:sz="4" w:space="0"/>
              <w:bottom w:val="single" w:color="000000" w:sz="4" w:space="0"/>
              <w:right w:val="single" w:color="auto" w:sz="4" w:space="0"/>
            </w:tcBorders>
            <w:noWrap w:val="0"/>
            <w:vAlign w:val="center"/>
          </w:tcPr>
          <w:p w14:paraId="14D273D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0CDA4805">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C175858">
            <w:pPr>
              <w:snapToGrid w:val="0"/>
              <w:spacing w:line="240" w:lineRule="auto"/>
              <w:jc w:val="both"/>
              <w:rPr>
                <w:rFonts w:hint="eastAsia" w:ascii="宋体" w:hAnsi="宋体" w:cs="宋体"/>
                <w:b w:val="0"/>
                <w:bCs/>
                <w:color w:val="auto"/>
                <w:kern w:val="0"/>
                <w:sz w:val="24"/>
                <w:highlight w:val="none"/>
                <w:u w:val="single"/>
                <w:lang w:val="zh-CN" w:eastAsia="zh-CN"/>
              </w:rPr>
            </w:pPr>
          </w:p>
        </w:tc>
        <w:tc>
          <w:tcPr>
            <w:tcW w:w="7503" w:type="dxa"/>
            <w:tcBorders>
              <w:top w:val="single" w:color="000000" w:sz="4" w:space="0"/>
              <w:left w:val="single" w:color="000000" w:sz="4" w:space="0"/>
              <w:bottom w:val="single" w:color="000000" w:sz="4" w:space="0"/>
              <w:right w:val="single" w:color="000000" w:sz="4" w:space="0"/>
            </w:tcBorders>
            <w:noWrap w:val="0"/>
            <w:vAlign w:val="center"/>
          </w:tcPr>
          <w:p w14:paraId="0DAE5461">
            <w:pPr>
              <w:snapToGrid w:val="0"/>
              <w:spacing w:line="240" w:lineRule="auto"/>
              <w:rPr>
                <w:rFonts w:hint="default" w:ascii="宋体" w:hAnsi="宋体" w:eastAsia="宋体" w:cs="宋体"/>
                <w:b w:val="0"/>
                <w:bCs/>
                <w:color w:val="auto"/>
                <w:kern w:val="0"/>
                <w:sz w:val="24"/>
                <w:highlight w:val="none"/>
                <w:lang w:val="en-US" w:eastAsia="zh-CN"/>
              </w:rPr>
            </w:pPr>
            <w:r>
              <w:rPr>
                <w:rFonts w:hint="eastAsia" w:asciiTheme="minorEastAsia" w:hAnsiTheme="minorEastAsia" w:eastAsiaTheme="minorEastAsia" w:cstheme="minorEastAsia"/>
                <w:b w:val="0"/>
                <w:bCs/>
                <w:color w:val="auto"/>
                <w:kern w:val="0"/>
                <w:sz w:val="24"/>
                <w:highlight w:val="none"/>
                <w:lang w:val="en-US" w:eastAsia="zh-CN"/>
              </w:rPr>
              <w:t>限价</w:t>
            </w:r>
            <w:r>
              <w:rPr>
                <w:rFonts w:hint="eastAsia" w:asciiTheme="minorEastAsia" w:hAnsiTheme="minorEastAsia" w:eastAsiaTheme="minorEastAsia" w:cstheme="minorEastAsia"/>
                <w:b w:val="0"/>
                <w:bCs/>
                <w:color w:val="auto"/>
                <w:sz w:val="24"/>
                <w:highlight w:val="none"/>
                <w:lang w:val="en-US" w:eastAsia="zh-CN"/>
              </w:rPr>
              <w:t>157.4121元</w:t>
            </w:r>
            <w:r>
              <w:rPr>
                <w:rFonts w:hint="eastAsia" w:ascii="宋体" w:hAnsi="宋体" w:cs="宋体"/>
                <w:b w:val="0"/>
                <w:bCs/>
                <w:color w:val="auto"/>
                <w:kern w:val="0"/>
                <w:sz w:val="24"/>
                <w:highlight w:val="none"/>
                <w:lang w:val="zh-CN"/>
              </w:rPr>
              <w:t>（服务采购期限为一年）</w:t>
            </w:r>
          </w:p>
        </w:tc>
      </w:tr>
      <w:tr w14:paraId="4E234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2" w:hRule="atLeast"/>
        </w:trPr>
        <w:tc>
          <w:tcPr>
            <w:tcW w:w="3981" w:type="dxa"/>
            <w:gridSpan w:val="2"/>
            <w:vMerge w:val="restart"/>
            <w:tcBorders>
              <w:top w:val="single" w:color="000000" w:sz="4" w:space="0"/>
              <w:left w:val="single" w:color="000000" w:sz="4" w:space="0"/>
              <w:right w:val="single" w:color="000000" w:sz="4" w:space="0"/>
            </w:tcBorders>
            <w:noWrap w:val="0"/>
            <w:vAlign w:val="center"/>
          </w:tcPr>
          <w:p w14:paraId="7FD98529">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一年合计总价（</w:t>
            </w:r>
            <w:r>
              <w:rPr>
                <w:rFonts w:hint="eastAsia" w:ascii="宋体" w:hAnsi="宋体" w:cs="宋体"/>
                <w:b w:val="0"/>
                <w:bCs/>
                <w:color w:val="auto"/>
                <w:kern w:val="0"/>
                <w:sz w:val="24"/>
                <w:highlight w:val="none"/>
                <w:lang w:val="zh-CN"/>
              </w:rPr>
              <w:t>1+2+3</w:t>
            </w:r>
            <w:r>
              <w:rPr>
                <w:rFonts w:hint="eastAsia" w:ascii="宋体" w:hAnsi="宋体" w:cs="宋体"/>
                <w:b w:val="0"/>
                <w:bCs/>
                <w:color w:val="auto"/>
                <w:kern w:val="0"/>
                <w:sz w:val="24"/>
                <w:highlight w:val="none"/>
                <w:lang w:val="zh-CN" w:eastAsia="zh-CN"/>
              </w:rPr>
              <w:t>+4</w:t>
            </w:r>
            <w:r>
              <w:rPr>
                <w:rFonts w:hint="eastAsia" w:ascii="宋体" w:hAnsi="宋体" w:cs="宋体"/>
                <w:b w:val="0"/>
                <w:bCs/>
                <w:color w:val="auto"/>
                <w:kern w:val="0"/>
                <w:sz w:val="24"/>
                <w:highlight w:val="none"/>
                <w:lang w:val="en-US" w:eastAsia="zh-CN"/>
              </w:rPr>
              <w:t>+5+6+7+8）</w:t>
            </w:r>
          </w:p>
        </w:tc>
        <w:tc>
          <w:tcPr>
            <w:tcW w:w="1025" w:type="dxa"/>
            <w:gridSpan w:val="2"/>
            <w:tcBorders>
              <w:top w:val="single" w:color="000000" w:sz="4" w:space="0"/>
              <w:left w:val="single" w:color="000000" w:sz="4" w:space="0"/>
              <w:right w:val="single" w:color="000000" w:sz="4" w:space="0"/>
            </w:tcBorders>
            <w:noWrap w:val="0"/>
            <w:vAlign w:val="center"/>
          </w:tcPr>
          <w:p w14:paraId="7F11D1BF">
            <w:pPr>
              <w:snapToGrid w:val="0"/>
              <w:spacing w:line="240" w:lineRule="auto"/>
              <w:jc w:val="center"/>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zh-CN"/>
              </w:rPr>
              <w:t>小写（</w:t>
            </w:r>
            <w:r>
              <w:rPr>
                <w:rFonts w:hint="eastAsia" w:ascii="宋体" w:hAnsi="宋体" w:cs="宋体"/>
                <w:b w:val="0"/>
                <w:bCs/>
                <w:color w:val="auto"/>
                <w:kern w:val="0"/>
                <w:sz w:val="24"/>
                <w:highlight w:val="none"/>
                <w:lang w:val="en-US" w:eastAsia="zh-CN"/>
              </w:rPr>
              <w:t>元</w:t>
            </w:r>
            <w:r>
              <w:rPr>
                <w:rFonts w:hint="eastAsia" w:ascii="宋体" w:hAnsi="宋体" w:cs="宋体"/>
                <w:b w:val="0"/>
                <w:bCs/>
                <w:color w:val="auto"/>
                <w:kern w:val="0"/>
                <w:sz w:val="24"/>
                <w:highlight w:val="none"/>
                <w:lang w:val="zh-CN"/>
              </w:rPr>
              <w:t>）</w:t>
            </w:r>
          </w:p>
        </w:tc>
        <w:tc>
          <w:tcPr>
            <w:tcW w:w="9450" w:type="dxa"/>
            <w:gridSpan w:val="2"/>
            <w:tcBorders>
              <w:top w:val="single" w:color="000000" w:sz="4" w:space="0"/>
              <w:left w:val="single" w:color="000000" w:sz="4" w:space="0"/>
              <w:bottom w:val="single" w:color="000000" w:sz="4" w:space="0"/>
              <w:right w:val="single" w:color="000000" w:sz="4" w:space="0"/>
            </w:tcBorders>
            <w:noWrap w:val="0"/>
            <w:vAlign w:val="center"/>
          </w:tcPr>
          <w:p w14:paraId="2E792DE5">
            <w:pPr>
              <w:snapToGrid w:val="0"/>
              <w:spacing w:line="240" w:lineRule="auto"/>
              <w:rPr>
                <w:rFonts w:hint="eastAsia" w:ascii="宋体" w:hAnsi="宋体" w:cs="宋体"/>
                <w:b w:val="0"/>
                <w:bCs/>
                <w:color w:val="auto"/>
                <w:kern w:val="0"/>
                <w:sz w:val="24"/>
                <w:highlight w:val="none"/>
                <w:lang w:val="zh-CN"/>
              </w:rPr>
            </w:pPr>
          </w:p>
        </w:tc>
      </w:tr>
      <w:tr w14:paraId="375D5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2" w:hRule="atLeast"/>
        </w:trPr>
        <w:tc>
          <w:tcPr>
            <w:tcW w:w="3981" w:type="dxa"/>
            <w:gridSpan w:val="2"/>
            <w:vMerge w:val="continue"/>
            <w:tcBorders>
              <w:left w:val="single" w:color="000000" w:sz="4" w:space="0"/>
              <w:bottom w:val="single" w:color="000000" w:sz="4" w:space="0"/>
              <w:right w:val="single" w:color="000000" w:sz="4" w:space="0"/>
            </w:tcBorders>
            <w:noWrap w:val="0"/>
            <w:vAlign w:val="center"/>
          </w:tcPr>
          <w:p w14:paraId="71D4E6F2">
            <w:pPr>
              <w:snapToGrid w:val="0"/>
              <w:spacing w:line="240" w:lineRule="auto"/>
            </w:pPr>
          </w:p>
        </w:tc>
        <w:tc>
          <w:tcPr>
            <w:tcW w:w="1025" w:type="dxa"/>
            <w:gridSpan w:val="2"/>
            <w:tcBorders>
              <w:left w:val="single" w:color="000000" w:sz="4" w:space="0"/>
              <w:bottom w:val="single" w:color="000000" w:sz="4" w:space="0"/>
              <w:right w:val="single" w:color="000000" w:sz="4" w:space="0"/>
            </w:tcBorders>
            <w:noWrap w:val="0"/>
            <w:vAlign w:val="center"/>
          </w:tcPr>
          <w:p w14:paraId="0E953750">
            <w:pPr>
              <w:snapToGrid w:val="0"/>
              <w:spacing w:line="240" w:lineRule="auto"/>
              <w:jc w:val="center"/>
            </w:pPr>
            <w:r>
              <w:rPr>
                <w:rFonts w:hint="eastAsia" w:ascii="宋体" w:hAnsi="宋体" w:cs="宋体"/>
                <w:b w:val="0"/>
                <w:bCs/>
                <w:color w:val="auto"/>
                <w:kern w:val="0"/>
                <w:sz w:val="24"/>
                <w:highlight w:val="none"/>
                <w:lang w:val="en-US" w:eastAsia="zh-CN"/>
              </w:rPr>
              <w:t>大</w:t>
            </w:r>
            <w:r>
              <w:rPr>
                <w:rFonts w:hint="eastAsia" w:ascii="宋体" w:hAnsi="宋体" w:cs="宋体"/>
                <w:b w:val="0"/>
                <w:bCs/>
                <w:color w:val="auto"/>
                <w:kern w:val="0"/>
                <w:sz w:val="24"/>
                <w:highlight w:val="none"/>
                <w:lang w:val="zh-CN"/>
              </w:rPr>
              <w:t>写（</w:t>
            </w:r>
            <w:r>
              <w:rPr>
                <w:rFonts w:hint="eastAsia" w:ascii="宋体" w:hAnsi="宋体" w:cs="宋体"/>
                <w:b w:val="0"/>
                <w:bCs/>
                <w:color w:val="auto"/>
                <w:kern w:val="0"/>
                <w:sz w:val="24"/>
                <w:highlight w:val="none"/>
                <w:lang w:val="en-US" w:eastAsia="zh-CN"/>
              </w:rPr>
              <w:t>元</w:t>
            </w:r>
            <w:r>
              <w:rPr>
                <w:rFonts w:hint="eastAsia" w:ascii="宋体" w:hAnsi="宋体" w:cs="宋体"/>
                <w:b w:val="0"/>
                <w:bCs/>
                <w:color w:val="auto"/>
                <w:kern w:val="0"/>
                <w:sz w:val="24"/>
                <w:highlight w:val="none"/>
                <w:lang w:val="zh-CN"/>
              </w:rPr>
              <w:t>）</w:t>
            </w:r>
          </w:p>
        </w:tc>
        <w:tc>
          <w:tcPr>
            <w:tcW w:w="9450" w:type="dxa"/>
            <w:gridSpan w:val="2"/>
            <w:tcBorders>
              <w:top w:val="single" w:color="000000" w:sz="4" w:space="0"/>
              <w:left w:val="single" w:color="000000" w:sz="4" w:space="0"/>
              <w:bottom w:val="single" w:color="000000" w:sz="4" w:space="0"/>
              <w:right w:val="single" w:color="000000" w:sz="4" w:space="0"/>
            </w:tcBorders>
            <w:noWrap w:val="0"/>
            <w:vAlign w:val="center"/>
          </w:tcPr>
          <w:p w14:paraId="2C1E6A18">
            <w:pPr>
              <w:snapToGrid w:val="0"/>
              <w:spacing w:line="240" w:lineRule="auto"/>
              <w:rPr>
                <w:rFonts w:hint="eastAsia" w:ascii="宋体" w:hAnsi="宋体" w:cs="宋体"/>
                <w:b w:val="0"/>
                <w:bCs/>
                <w:color w:val="auto"/>
                <w:kern w:val="0"/>
                <w:sz w:val="24"/>
                <w:highlight w:val="none"/>
                <w:lang w:val="zh-CN"/>
              </w:rPr>
            </w:pPr>
          </w:p>
        </w:tc>
      </w:tr>
    </w:tbl>
    <w:p w14:paraId="7104960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55829B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AE323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6B8B6D0">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69BF98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2E6FE1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DBDB6B2">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68D5387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C7DC7D7">
      <w:pPr>
        <w:pStyle w:val="80"/>
        <w:rPr>
          <w:rFonts w:hint="eastAsia" w:ascii="宋体" w:hAnsi="宋体" w:cs="宋体"/>
          <w:b/>
          <w:color w:val="auto"/>
          <w:sz w:val="24"/>
          <w:highlight w:val="none"/>
        </w:rPr>
      </w:pPr>
    </w:p>
    <w:p w14:paraId="5FDAFF7B">
      <w:pPr>
        <w:pStyle w:val="80"/>
        <w:rPr>
          <w:rFonts w:hint="eastAsia" w:ascii="宋体" w:hAnsi="宋体" w:cs="宋体"/>
          <w:b/>
          <w:color w:val="auto"/>
          <w:sz w:val="24"/>
          <w:highlight w:val="none"/>
        </w:rPr>
      </w:pPr>
    </w:p>
    <w:p w14:paraId="21C603B5">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CA42DF6">
      <w:pPr>
        <w:spacing w:line="360" w:lineRule="auto"/>
        <w:ind w:right="420" w:firstLine="3614" w:firstLineChars="1000"/>
        <w:rPr>
          <w:rFonts w:ascii="宋体" w:hAnsi="宋体" w:cs="宋体"/>
          <w:b/>
          <w:color w:val="auto"/>
          <w:kern w:val="0"/>
          <w:sz w:val="36"/>
          <w:szCs w:val="36"/>
          <w:highlight w:val="none"/>
        </w:rPr>
      </w:pPr>
    </w:p>
    <w:p w14:paraId="38CA8DAD">
      <w:pPr>
        <w:spacing w:line="360" w:lineRule="auto"/>
        <w:ind w:right="420" w:firstLine="3614" w:firstLineChars="1000"/>
        <w:rPr>
          <w:rFonts w:ascii="宋体" w:hAnsi="宋体" w:cs="宋体"/>
          <w:b/>
          <w:color w:val="auto"/>
          <w:kern w:val="0"/>
          <w:sz w:val="36"/>
          <w:szCs w:val="36"/>
          <w:highlight w:val="none"/>
        </w:rPr>
      </w:pPr>
    </w:p>
    <w:p w14:paraId="346E8346">
      <w:pPr>
        <w:spacing w:line="360" w:lineRule="auto"/>
        <w:ind w:right="420" w:firstLine="3614" w:firstLineChars="1000"/>
        <w:rPr>
          <w:rFonts w:ascii="宋体" w:hAnsi="宋体" w:cs="宋体"/>
          <w:b/>
          <w:color w:val="auto"/>
          <w:kern w:val="0"/>
          <w:sz w:val="36"/>
          <w:szCs w:val="36"/>
          <w:highlight w:val="none"/>
        </w:rPr>
      </w:pPr>
    </w:p>
    <w:p w14:paraId="13C07F68">
      <w:pPr>
        <w:spacing w:line="360" w:lineRule="auto"/>
        <w:ind w:right="420" w:firstLine="3614" w:firstLineChars="1000"/>
        <w:rPr>
          <w:rFonts w:ascii="宋体" w:hAnsi="宋体" w:cs="宋体"/>
          <w:b/>
          <w:color w:val="auto"/>
          <w:kern w:val="0"/>
          <w:sz w:val="36"/>
          <w:szCs w:val="36"/>
          <w:highlight w:val="none"/>
        </w:rPr>
      </w:pPr>
    </w:p>
    <w:p w14:paraId="5E225274">
      <w:pPr>
        <w:spacing w:line="360" w:lineRule="auto"/>
        <w:ind w:right="420" w:firstLine="3614" w:firstLineChars="1000"/>
        <w:rPr>
          <w:rFonts w:ascii="宋体" w:hAnsi="宋体" w:cs="宋体"/>
          <w:b/>
          <w:color w:val="auto"/>
          <w:kern w:val="0"/>
          <w:sz w:val="36"/>
          <w:szCs w:val="36"/>
          <w:highlight w:val="none"/>
        </w:rPr>
      </w:pPr>
    </w:p>
    <w:p w14:paraId="3D392580">
      <w:pPr>
        <w:spacing w:line="360" w:lineRule="auto"/>
        <w:ind w:right="420" w:firstLine="3614" w:firstLineChars="1000"/>
        <w:rPr>
          <w:rFonts w:ascii="宋体" w:hAnsi="宋体" w:cs="宋体"/>
          <w:b/>
          <w:color w:val="auto"/>
          <w:kern w:val="0"/>
          <w:sz w:val="36"/>
          <w:szCs w:val="36"/>
          <w:highlight w:val="none"/>
        </w:rPr>
      </w:pPr>
    </w:p>
    <w:p w14:paraId="7C916B8D">
      <w:pPr>
        <w:spacing w:line="360" w:lineRule="auto"/>
        <w:ind w:right="420" w:firstLine="3614" w:firstLineChars="1000"/>
        <w:rPr>
          <w:rFonts w:ascii="宋体" w:hAnsi="宋体" w:cs="宋体"/>
          <w:b/>
          <w:color w:val="auto"/>
          <w:kern w:val="0"/>
          <w:sz w:val="36"/>
          <w:szCs w:val="36"/>
          <w:highlight w:val="none"/>
        </w:rPr>
      </w:pPr>
    </w:p>
    <w:p w14:paraId="1248ED37">
      <w:pPr>
        <w:spacing w:line="360" w:lineRule="auto"/>
        <w:ind w:right="420" w:firstLine="3614" w:firstLineChars="1000"/>
        <w:rPr>
          <w:rFonts w:ascii="宋体" w:hAnsi="宋体" w:cs="宋体"/>
          <w:b/>
          <w:color w:val="auto"/>
          <w:kern w:val="0"/>
          <w:sz w:val="36"/>
          <w:szCs w:val="36"/>
          <w:highlight w:val="none"/>
        </w:rPr>
      </w:pPr>
    </w:p>
    <w:p w14:paraId="34105D8F">
      <w:pPr>
        <w:spacing w:line="360" w:lineRule="auto"/>
        <w:ind w:right="420" w:firstLine="3614" w:firstLineChars="1000"/>
        <w:rPr>
          <w:rFonts w:ascii="宋体" w:hAnsi="宋体" w:cs="宋体"/>
          <w:b/>
          <w:color w:val="auto"/>
          <w:kern w:val="0"/>
          <w:sz w:val="36"/>
          <w:szCs w:val="36"/>
          <w:highlight w:val="none"/>
        </w:rPr>
      </w:pPr>
    </w:p>
    <w:p w14:paraId="09C28F24">
      <w:pPr>
        <w:spacing w:line="360" w:lineRule="auto"/>
        <w:ind w:right="420" w:firstLine="3614" w:firstLineChars="1000"/>
        <w:rPr>
          <w:rFonts w:ascii="宋体" w:hAnsi="宋体" w:cs="宋体"/>
          <w:b/>
          <w:color w:val="auto"/>
          <w:kern w:val="0"/>
          <w:sz w:val="36"/>
          <w:szCs w:val="36"/>
          <w:highlight w:val="none"/>
        </w:rPr>
      </w:pPr>
    </w:p>
    <w:p w14:paraId="5859A969">
      <w:pPr>
        <w:spacing w:line="360" w:lineRule="auto"/>
        <w:ind w:right="420" w:firstLine="3614" w:firstLineChars="1000"/>
        <w:rPr>
          <w:rFonts w:ascii="宋体" w:hAnsi="宋体" w:cs="宋体"/>
          <w:b/>
          <w:color w:val="auto"/>
          <w:kern w:val="0"/>
          <w:sz w:val="36"/>
          <w:szCs w:val="36"/>
          <w:highlight w:val="none"/>
        </w:rPr>
      </w:pPr>
    </w:p>
    <w:p w14:paraId="270E594A">
      <w:pPr>
        <w:spacing w:line="360" w:lineRule="auto"/>
        <w:ind w:right="420" w:firstLine="3614" w:firstLineChars="1000"/>
        <w:rPr>
          <w:rFonts w:ascii="宋体" w:hAnsi="宋体" w:cs="宋体"/>
          <w:b/>
          <w:color w:val="auto"/>
          <w:kern w:val="0"/>
          <w:sz w:val="36"/>
          <w:szCs w:val="36"/>
          <w:highlight w:val="none"/>
        </w:rPr>
      </w:pPr>
    </w:p>
    <w:p w14:paraId="3B19B404">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E044BB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ACB3297">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14:paraId="27A1B2A6">
      <w:pPr>
        <w:spacing w:line="360" w:lineRule="auto"/>
        <w:rPr>
          <w:rFonts w:ascii="宋体" w:hAnsi="宋体" w:cs="宋体"/>
          <w:b/>
          <w:color w:val="auto"/>
          <w:spacing w:val="6"/>
          <w:sz w:val="30"/>
          <w:szCs w:val="30"/>
          <w:highlight w:val="none"/>
        </w:rPr>
      </w:pPr>
    </w:p>
    <w:p w14:paraId="0C1AEC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BE30E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FF6B3BB">
      <w:pPr>
        <w:spacing w:line="360" w:lineRule="auto"/>
        <w:ind w:firstLine="480" w:firstLineChars="200"/>
        <w:rPr>
          <w:rFonts w:ascii="宋体" w:hAnsi="宋体" w:cs="宋体"/>
          <w:color w:val="auto"/>
          <w:sz w:val="24"/>
          <w:highlight w:val="none"/>
        </w:rPr>
      </w:pPr>
    </w:p>
    <w:p w14:paraId="5E98953B">
      <w:pPr>
        <w:spacing w:line="360" w:lineRule="auto"/>
        <w:ind w:firstLine="480" w:firstLineChars="200"/>
        <w:rPr>
          <w:rFonts w:ascii="宋体" w:hAnsi="宋体" w:cs="宋体"/>
          <w:color w:val="auto"/>
          <w:sz w:val="24"/>
          <w:highlight w:val="none"/>
        </w:rPr>
      </w:pPr>
    </w:p>
    <w:p w14:paraId="7B78F29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6B5791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BD2E10E">
      <w:pPr>
        <w:spacing w:line="360" w:lineRule="auto"/>
        <w:ind w:firstLine="480" w:firstLineChars="200"/>
        <w:rPr>
          <w:rFonts w:ascii="宋体" w:hAnsi="宋体" w:cs="宋体"/>
          <w:color w:val="auto"/>
          <w:sz w:val="24"/>
          <w:highlight w:val="none"/>
        </w:rPr>
      </w:pPr>
    </w:p>
    <w:p w14:paraId="51FAC3C4">
      <w:pPr>
        <w:spacing w:line="360" w:lineRule="auto"/>
        <w:ind w:firstLine="420" w:firstLineChars="200"/>
        <w:rPr>
          <w:rFonts w:ascii="宋体" w:hAnsi="宋体" w:cs="宋体"/>
          <w:color w:val="auto"/>
          <w:highlight w:val="none"/>
        </w:rPr>
      </w:pPr>
    </w:p>
    <w:p w14:paraId="71A4A0BB">
      <w:pPr>
        <w:spacing w:line="360" w:lineRule="auto"/>
        <w:ind w:firstLine="420" w:firstLineChars="200"/>
        <w:rPr>
          <w:rFonts w:ascii="宋体" w:hAnsi="宋体" w:cs="宋体"/>
          <w:color w:val="auto"/>
          <w:highlight w:val="none"/>
        </w:rPr>
      </w:pPr>
    </w:p>
    <w:p w14:paraId="0F72A1B1">
      <w:pPr>
        <w:spacing w:line="360" w:lineRule="auto"/>
        <w:ind w:firstLine="420" w:firstLineChars="200"/>
        <w:rPr>
          <w:rFonts w:ascii="宋体" w:hAnsi="宋体" w:cs="宋体"/>
          <w:color w:val="auto"/>
          <w:highlight w:val="none"/>
        </w:rPr>
      </w:pPr>
    </w:p>
    <w:p w14:paraId="5607BCF0">
      <w:pPr>
        <w:spacing w:line="360" w:lineRule="auto"/>
        <w:ind w:firstLine="420" w:firstLineChars="200"/>
        <w:rPr>
          <w:rFonts w:ascii="宋体" w:hAnsi="宋体" w:cs="宋体"/>
          <w:color w:val="auto"/>
          <w:highlight w:val="none"/>
        </w:rPr>
      </w:pPr>
    </w:p>
    <w:p w14:paraId="2AF5D0A2">
      <w:pPr>
        <w:spacing w:line="360" w:lineRule="auto"/>
        <w:rPr>
          <w:rFonts w:ascii="宋体" w:hAnsi="宋体" w:cs="宋体"/>
          <w:b/>
          <w:color w:val="auto"/>
          <w:sz w:val="24"/>
          <w:highlight w:val="none"/>
        </w:rPr>
      </w:pPr>
    </w:p>
    <w:p w14:paraId="7405BE53">
      <w:pPr>
        <w:spacing w:line="360" w:lineRule="auto"/>
        <w:rPr>
          <w:rFonts w:ascii="宋体" w:hAnsi="宋体" w:cs="宋体"/>
          <w:b/>
          <w:color w:val="auto"/>
          <w:sz w:val="24"/>
          <w:highlight w:val="none"/>
        </w:rPr>
      </w:pPr>
    </w:p>
    <w:p w14:paraId="05D71CD1">
      <w:pPr>
        <w:spacing w:line="360" w:lineRule="auto"/>
        <w:rPr>
          <w:rFonts w:ascii="宋体" w:hAnsi="宋体" w:cs="宋体"/>
          <w:b/>
          <w:color w:val="auto"/>
          <w:sz w:val="24"/>
          <w:highlight w:val="none"/>
        </w:rPr>
      </w:pPr>
    </w:p>
    <w:p w14:paraId="5B08CCA7">
      <w:pPr>
        <w:spacing w:line="360" w:lineRule="auto"/>
        <w:rPr>
          <w:rFonts w:ascii="宋体" w:hAnsi="宋体" w:cs="宋体"/>
          <w:b/>
          <w:color w:val="auto"/>
          <w:sz w:val="24"/>
          <w:highlight w:val="none"/>
        </w:rPr>
      </w:pPr>
    </w:p>
    <w:p w14:paraId="47076E39">
      <w:pPr>
        <w:spacing w:line="360" w:lineRule="auto"/>
        <w:rPr>
          <w:rFonts w:ascii="宋体" w:hAnsi="宋体" w:cs="宋体"/>
          <w:b/>
          <w:color w:val="auto"/>
          <w:sz w:val="24"/>
          <w:highlight w:val="none"/>
        </w:rPr>
      </w:pPr>
    </w:p>
    <w:p w14:paraId="6BCB8138">
      <w:pPr>
        <w:spacing w:line="360" w:lineRule="auto"/>
        <w:rPr>
          <w:rFonts w:ascii="宋体" w:hAnsi="宋体" w:cs="宋体"/>
          <w:b/>
          <w:color w:val="auto"/>
          <w:sz w:val="24"/>
          <w:highlight w:val="none"/>
        </w:rPr>
      </w:pPr>
    </w:p>
    <w:p w14:paraId="4D592A3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3D47B8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F03D1D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83624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FDAA9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8133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E623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C8090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1CBA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8484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7CC97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78387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2A2E0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653B9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A24D1A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78923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3051F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8D1A9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B2AD5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DECAA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88B4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1925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1A0036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9890C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E925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79E8E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831D9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C0549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CD325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BD3B7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6CFF0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2CD83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CD23B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B1A3FB">
      <w:pPr>
        <w:widowControl/>
        <w:spacing w:line="360" w:lineRule="auto"/>
        <w:ind w:firstLine="600" w:firstLineChars="200"/>
        <w:jc w:val="left"/>
        <w:rPr>
          <w:rFonts w:ascii="宋体" w:hAnsi="宋体" w:cs="宋体"/>
          <w:color w:val="auto"/>
          <w:sz w:val="30"/>
          <w:szCs w:val="30"/>
          <w:highlight w:val="none"/>
        </w:rPr>
      </w:pPr>
    </w:p>
    <w:p w14:paraId="452EDA42">
      <w:pPr>
        <w:spacing w:line="360" w:lineRule="auto"/>
        <w:jc w:val="center"/>
        <w:rPr>
          <w:rFonts w:ascii="宋体" w:hAnsi="宋体" w:cs="宋体"/>
          <w:b/>
          <w:color w:val="auto"/>
          <w:spacing w:val="6"/>
          <w:sz w:val="32"/>
          <w:szCs w:val="32"/>
          <w:highlight w:val="none"/>
        </w:rPr>
      </w:pPr>
    </w:p>
    <w:p w14:paraId="68F5889E">
      <w:pPr>
        <w:spacing w:line="360" w:lineRule="auto"/>
        <w:jc w:val="center"/>
        <w:rPr>
          <w:rFonts w:ascii="宋体" w:hAnsi="宋体" w:cs="宋体"/>
          <w:b/>
          <w:color w:val="auto"/>
          <w:spacing w:val="6"/>
          <w:sz w:val="32"/>
          <w:szCs w:val="32"/>
          <w:highlight w:val="none"/>
        </w:rPr>
      </w:pPr>
    </w:p>
    <w:p w14:paraId="2F5E5258">
      <w:pPr>
        <w:spacing w:line="360" w:lineRule="auto"/>
        <w:jc w:val="center"/>
        <w:rPr>
          <w:rFonts w:ascii="宋体" w:hAnsi="宋体" w:cs="宋体"/>
          <w:b/>
          <w:color w:val="auto"/>
          <w:spacing w:val="6"/>
          <w:sz w:val="32"/>
          <w:szCs w:val="32"/>
          <w:highlight w:val="none"/>
        </w:rPr>
      </w:pPr>
    </w:p>
    <w:p w14:paraId="5D161620">
      <w:pPr>
        <w:spacing w:line="360" w:lineRule="auto"/>
        <w:jc w:val="center"/>
        <w:rPr>
          <w:rFonts w:ascii="宋体" w:hAnsi="宋体" w:cs="宋体"/>
          <w:b/>
          <w:color w:val="auto"/>
          <w:spacing w:val="6"/>
          <w:sz w:val="32"/>
          <w:szCs w:val="32"/>
          <w:highlight w:val="none"/>
        </w:rPr>
      </w:pPr>
    </w:p>
    <w:p w14:paraId="2C45799E">
      <w:pPr>
        <w:spacing w:line="360" w:lineRule="auto"/>
        <w:jc w:val="center"/>
        <w:rPr>
          <w:rFonts w:ascii="宋体" w:hAnsi="宋体" w:cs="宋体"/>
          <w:b/>
          <w:color w:val="auto"/>
          <w:spacing w:val="6"/>
          <w:sz w:val="32"/>
          <w:szCs w:val="32"/>
          <w:highlight w:val="none"/>
        </w:rPr>
      </w:pPr>
    </w:p>
    <w:p w14:paraId="7E964906">
      <w:pPr>
        <w:spacing w:line="360" w:lineRule="auto"/>
        <w:jc w:val="center"/>
        <w:rPr>
          <w:rFonts w:ascii="宋体" w:hAnsi="宋体" w:cs="宋体"/>
          <w:b/>
          <w:color w:val="auto"/>
          <w:spacing w:val="6"/>
          <w:sz w:val="32"/>
          <w:szCs w:val="32"/>
          <w:highlight w:val="none"/>
        </w:rPr>
      </w:pPr>
    </w:p>
    <w:p w14:paraId="2A440418">
      <w:pPr>
        <w:spacing w:line="360" w:lineRule="auto"/>
        <w:jc w:val="center"/>
        <w:rPr>
          <w:rFonts w:ascii="宋体" w:hAnsi="宋体" w:cs="宋体"/>
          <w:b/>
          <w:color w:val="auto"/>
          <w:spacing w:val="6"/>
          <w:sz w:val="32"/>
          <w:szCs w:val="32"/>
          <w:highlight w:val="none"/>
        </w:rPr>
      </w:pPr>
    </w:p>
    <w:p w14:paraId="0C7A6D78">
      <w:pPr>
        <w:spacing w:line="360" w:lineRule="auto"/>
        <w:jc w:val="center"/>
        <w:rPr>
          <w:rFonts w:ascii="宋体" w:hAnsi="宋体" w:cs="宋体"/>
          <w:b/>
          <w:color w:val="auto"/>
          <w:spacing w:val="6"/>
          <w:sz w:val="32"/>
          <w:szCs w:val="32"/>
          <w:highlight w:val="none"/>
        </w:rPr>
      </w:pPr>
    </w:p>
    <w:p w14:paraId="50970327">
      <w:pPr>
        <w:spacing w:line="360" w:lineRule="auto"/>
        <w:jc w:val="center"/>
        <w:rPr>
          <w:rFonts w:ascii="宋体" w:hAnsi="宋体" w:cs="宋体"/>
          <w:b/>
          <w:color w:val="auto"/>
          <w:spacing w:val="6"/>
          <w:sz w:val="32"/>
          <w:szCs w:val="32"/>
          <w:highlight w:val="none"/>
        </w:rPr>
      </w:pPr>
    </w:p>
    <w:p w14:paraId="4829AB2E">
      <w:pPr>
        <w:spacing w:line="360" w:lineRule="auto"/>
        <w:jc w:val="left"/>
        <w:rPr>
          <w:rFonts w:hint="eastAsia" w:ascii="宋体" w:hAnsi="宋体" w:cs="宋体"/>
          <w:b/>
          <w:color w:val="auto"/>
          <w:spacing w:val="6"/>
          <w:sz w:val="32"/>
          <w:szCs w:val="32"/>
          <w:highlight w:val="none"/>
        </w:rPr>
      </w:pPr>
    </w:p>
    <w:p w14:paraId="4C8557A4">
      <w:pPr>
        <w:spacing w:line="360" w:lineRule="auto"/>
        <w:jc w:val="left"/>
        <w:rPr>
          <w:rFonts w:hint="eastAsia" w:ascii="宋体" w:hAnsi="宋体" w:cs="宋体"/>
          <w:b/>
          <w:color w:val="auto"/>
          <w:spacing w:val="6"/>
          <w:sz w:val="32"/>
          <w:szCs w:val="32"/>
          <w:highlight w:val="none"/>
        </w:rPr>
      </w:pPr>
    </w:p>
    <w:p w14:paraId="5E388F64">
      <w:pPr>
        <w:spacing w:line="360" w:lineRule="auto"/>
        <w:jc w:val="left"/>
        <w:rPr>
          <w:rFonts w:hint="eastAsia" w:ascii="宋体" w:hAnsi="宋体" w:cs="宋体"/>
          <w:b/>
          <w:color w:val="auto"/>
          <w:spacing w:val="6"/>
          <w:sz w:val="32"/>
          <w:szCs w:val="32"/>
          <w:highlight w:val="none"/>
        </w:rPr>
      </w:pPr>
    </w:p>
    <w:p w14:paraId="00332C3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81D1143">
      <w:pPr>
        <w:spacing w:line="360" w:lineRule="auto"/>
        <w:jc w:val="center"/>
        <w:rPr>
          <w:rFonts w:ascii="宋体" w:hAnsi="宋体" w:cs="宋体"/>
          <w:b/>
          <w:color w:val="auto"/>
          <w:sz w:val="24"/>
          <w:highlight w:val="none"/>
        </w:rPr>
      </w:pPr>
    </w:p>
    <w:p w14:paraId="082DC87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85C9B5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993A0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A1EF8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74C60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03D58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E7DB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A7C7C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D12FF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3B0C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44BA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0BEFE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DA483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9612F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D386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16BF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C0B46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49340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AD46F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29D2A3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8B0B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6AC7FA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3A97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D3DDA2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442004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BC5C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961E9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F8D7D5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9D8EC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9406A7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A662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3BF5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74CB1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73EE3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7312D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5872E0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C301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8080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AC568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8BF6C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D1267A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185EBB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F0A46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09AB0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92A90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48E7E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D21A49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8C2A603">
      <w:pPr>
        <w:autoSpaceDE w:val="0"/>
        <w:autoSpaceDN w:val="0"/>
        <w:jc w:val="center"/>
        <w:rPr>
          <w:rFonts w:ascii="宋体" w:hAnsi="宋体" w:cs="宋体"/>
          <w:b/>
          <w:color w:val="auto"/>
          <w:spacing w:val="6"/>
          <w:sz w:val="32"/>
          <w:szCs w:val="32"/>
          <w:highlight w:val="none"/>
        </w:rPr>
      </w:pPr>
    </w:p>
    <w:p w14:paraId="68B136F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367608B">
      <w:pPr>
        <w:spacing w:line="360" w:lineRule="auto"/>
        <w:rPr>
          <w:rFonts w:ascii="宋体" w:hAnsi="宋体" w:cs="宋体"/>
          <w:color w:val="auto"/>
          <w:sz w:val="24"/>
          <w:highlight w:val="none"/>
          <w:u w:val="single"/>
        </w:rPr>
      </w:pPr>
    </w:p>
    <w:p w14:paraId="021AD9F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07C43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9FBE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9A3FB5">
      <w:pPr>
        <w:spacing w:line="360" w:lineRule="auto"/>
        <w:ind w:firstLine="494"/>
        <w:rPr>
          <w:rFonts w:ascii="宋体" w:hAnsi="宋体" w:cs="宋体"/>
          <w:color w:val="auto"/>
          <w:sz w:val="24"/>
          <w:highlight w:val="none"/>
        </w:rPr>
      </w:pPr>
    </w:p>
    <w:p w14:paraId="570265EB">
      <w:pPr>
        <w:spacing w:line="360" w:lineRule="auto"/>
        <w:ind w:firstLine="494"/>
        <w:rPr>
          <w:rFonts w:ascii="宋体" w:hAnsi="宋体" w:cs="宋体"/>
          <w:color w:val="auto"/>
          <w:sz w:val="24"/>
          <w:highlight w:val="none"/>
        </w:rPr>
      </w:pPr>
    </w:p>
    <w:p w14:paraId="20C52C3B">
      <w:pPr>
        <w:spacing w:line="360" w:lineRule="auto"/>
        <w:ind w:firstLine="494"/>
        <w:rPr>
          <w:rFonts w:ascii="宋体" w:hAnsi="宋体" w:cs="宋体"/>
          <w:color w:val="auto"/>
          <w:sz w:val="24"/>
          <w:highlight w:val="none"/>
        </w:rPr>
      </w:pPr>
    </w:p>
    <w:p w14:paraId="5E5D1F2A">
      <w:pPr>
        <w:spacing w:line="360" w:lineRule="auto"/>
        <w:ind w:firstLine="494"/>
        <w:rPr>
          <w:rFonts w:ascii="宋体" w:hAnsi="宋体" w:cs="宋体"/>
          <w:color w:val="auto"/>
          <w:sz w:val="24"/>
          <w:highlight w:val="none"/>
        </w:rPr>
      </w:pPr>
    </w:p>
    <w:p w14:paraId="2F916BD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4E9FB5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4884F0">
      <w:pPr>
        <w:rPr>
          <w:rFonts w:ascii="宋体" w:hAnsi="宋体" w:cs="宋体"/>
          <w:color w:val="auto"/>
          <w:sz w:val="24"/>
          <w:highlight w:val="none"/>
        </w:rPr>
      </w:pPr>
      <w:r>
        <w:rPr>
          <w:rFonts w:hint="eastAsia" w:ascii="宋体" w:hAnsi="宋体" w:cs="宋体"/>
          <w:b/>
          <w:bCs/>
          <w:color w:val="auto"/>
          <w:sz w:val="24"/>
          <w:highlight w:val="none"/>
        </w:rPr>
        <w:t>附：</w:t>
      </w:r>
    </w:p>
    <w:p w14:paraId="7B0DC86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6C0CF60">
      <w:pPr>
        <w:autoSpaceDE w:val="0"/>
        <w:autoSpaceDN w:val="0"/>
        <w:jc w:val="center"/>
        <w:rPr>
          <w:rFonts w:ascii="宋体" w:hAnsi="宋体" w:cs="宋体"/>
          <w:b/>
          <w:color w:val="auto"/>
          <w:spacing w:val="6"/>
          <w:sz w:val="32"/>
          <w:szCs w:val="32"/>
          <w:highlight w:val="none"/>
        </w:rPr>
      </w:pPr>
    </w:p>
    <w:p w14:paraId="2E61E725">
      <w:pPr>
        <w:autoSpaceDE w:val="0"/>
        <w:autoSpaceDN w:val="0"/>
        <w:jc w:val="center"/>
        <w:rPr>
          <w:rFonts w:ascii="宋体" w:hAnsi="宋体" w:cs="宋体"/>
          <w:b/>
          <w:color w:val="auto"/>
          <w:spacing w:val="6"/>
          <w:sz w:val="32"/>
          <w:szCs w:val="32"/>
          <w:highlight w:val="none"/>
        </w:rPr>
      </w:pPr>
    </w:p>
    <w:p w14:paraId="3E2EE25D">
      <w:pPr>
        <w:autoSpaceDE w:val="0"/>
        <w:autoSpaceDN w:val="0"/>
        <w:jc w:val="center"/>
        <w:rPr>
          <w:rFonts w:ascii="宋体" w:hAnsi="宋体" w:cs="宋体"/>
          <w:b/>
          <w:color w:val="auto"/>
          <w:spacing w:val="6"/>
          <w:sz w:val="32"/>
          <w:szCs w:val="32"/>
          <w:highlight w:val="none"/>
        </w:rPr>
      </w:pPr>
    </w:p>
    <w:p w14:paraId="3081E115">
      <w:pPr>
        <w:autoSpaceDE w:val="0"/>
        <w:autoSpaceDN w:val="0"/>
        <w:jc w:val="center"/>
        <w:rPr>
          <w:rFonts w:ascii="宋体" w:hAnsi="宋体" w:cs="宋体"/>
          <w:b/>
          <w:color w:val="auto"/>
          <w:spacing w:val="6"/>
          <w:sz w:val="32"/>
          <w:szCs w:val="32"/>
          <w:highlight w:val="none"/>
        </w:rPr>
      </w:pPr>
    </w:p>
    <w:p w14:paraId="760DC9F7">
      <w:pPr>
        <w:autoSpaceDE w:val="0"/>
        <w:autoSpaceDN w:val="0"/>
        <w:jc w:val="center"/>
        <w:rPr>
          <w:rFonts w:ascii="宋体" w:hAnsi="宋体" w:cs="宋体"/>
          <w:b/>
          <w:color w:val="auto"/>
          <w:spacing w:val="6"/>
          <w:sz w:val="32"/>
          <w:szCs w:val="32"/>
          <w:highlight w:val="none"/>
        </w:rPr>
      </w:pPr>
    </w:p>
    <w:p w14:paraId="7664A12B">
      <w:pPr>
        <w:autoSpaceDE w:val="0"/>
        <w:autoSpaceDN w:val="0"/>
        <w:jc w:val="center"/>
        <w:rPr>
          <w:rFonts w:ascii="宋体" w:hAnsi="宋体" w:cs="宋体"/>
          <w:b/>
          <w:color w:val="auto"/>
          <w:spacing w:val="6"/>
          <w:sz w:val="32"/>
          <w:szCs w:val="32"/>
          <w:highlight w:val="none"/>
        </w:rPr>
      </w:pPr>
    </w:p>
    <w:p w14:paraId="5281CFFE">
      <w:pPr>
        <w:autoSpaceDE w:val="0"/>
        <w:autoSpaceDN w:val="0"/>
        <w:jc w:val="center"/>
        <w:rPr>
          <w:rFonts w:ascii="宋体" w:hAnsi="宋体" w:cs="宋体"/>
          <w:b/>
          <w:color w:val="auto"/>
          <w:spacing w:val="6"/>
          <w:sz w:val="32"/>
          <w:szCs w:val="32"/>
          <w:highlight w:val="none"/>
        </w:rPr>
      </w:pPr>
    </w:p>
    <w:p w14:paraId="7D4A4F58">
      <w:pPr>
        <w:autoSpaceDE w:val="0"/>
        <w:autoSpaceDN w:val="0"/>
        <w:jc w:val="center"/>
        <w:rPr>
          <w:rFonts w:ascii="宋体" w:hAnsi="宋体" w:cs="宋体"/>
          <w:b/>
          <w:color w:val="auto"/>
          <w:spacing w:val="6"/>
          <w:sz w:val="32"/>
          <w:szCs w:val="32"/>
          <w:highlight w:val="none"/>
        </w:rPr>
      </w:pPr>
    </w:p>
    <w:p w14:paraId="0F9D0C27">
      <w:pPr>
        <w:autoSpaceDE w:val="0"/>
        <w:autoSpaceDN w:val="0"/>
        <w:jc w:val="center"/>
        <w:rPr>
          <w:rFonts w:ascii="宋体" w:hAnsi="宋体" w:cs="宋体"/>
          <w:b/>
          <w:color w:val="auto"/>
          <w:spacing w:val="6"/>
          <w:sz w:val="32"/>
          <w:szCs w:val="32"/>
          <w:highlight w:val="none"/>
        </w:rPr>
      </w:pPr>
    </w:p>
    <w:p w14:paraId="52694348">
      <w:pPr>
        <w:autoSpaceDE w:val="0"/>
        <w:autoSpaceDN w:val="0"/>
        <w:jc w:val="center"/>
        <w:rPr>
          <w:rFonts w:ascii="宋体" w:hAnsi="宋体" w:cs="宋体"/>
          <w:b/>
          <w:color w:val="auto"/>
          <w:spacing w:val="6"/>
          <w:sz w:val="32"/>
          <w:szCs w:val="32"/>
          <w:highlight w:val="none"/>
        </w:rPr>
      </w:pPr>
    </w:p>
    <w:p w14:paraId="2780519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F2C64D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0D014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C9137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5A908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83F48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72C35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F8EB9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F56B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C6A65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EAD22D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567AB52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62F5E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B2529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BB3E6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1FEFB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730E5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1BF34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D913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B5C40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63D2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1A1AA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33642C">
      <w:pPr>
        <w:autoSpaceDE w:val="0"/>
        <w:autoSpaceDN w:val="0"/>
        <w:jc w:val="center"/>
        <w:rPr>
          <w:rFonts w:ascii="宋体" w:hAnsi="宋体" w:cs="宋体"/>
          <w:b/>
          <w:color w:val="auto"/>
          <w:spacing w:val="6"/>
          <w:sz w:val="32"/>
          <w:szCs w:val="32"/>
          <w:highlight w:val="none"/>
        </w:rPr>
      </w:pPr>
    </w:p>
    <w:p w14:paraId="35FFBC0C">
      <w:pPr>
        <w:autoSpaceDE w:val="0"/>
        <w:autoSpaceDN w:val="0"/>
        <w:jc w:val="center"/>
        <w:rPr>
          <w:rFonts w:ascii="宋体" w:hAnsi="宋体" w:cs="宋体"/>
          <w:b/>
          <w:color w:val="auto"/>
          <w:spacing w:val="6"/>
          <w:sz w:val="32"/>
          <w:szCs w:val="32"/>
          <w:highlight w:val="none"/>
        </w:rPr>
      </w:pPr>
    </w:p>
    <w:p w14:paraId="02E9AB37">
      <w:pPr>
        <w:autoSpaceDE w:val="0"/>
        <w:autoSpaceDN w:val="0"/>
        <w:jc w:val="center"/>
        <w:rPr>
          <w:rFonts w:ascii="宋体" w:hAnsi="宋体" w:cs="宋体"/>
          <w:b/>
          <w:color w:val="auto"/>
          <w:spacing w:val="6"/>
          <w:sz w:val="32"/>
          <w:szCs w:val="32"/>
          <w:highlight w:val="none"/>
        </w:rPr>
      </w:pPr>
    </w:p>
    <w:p w14:paraId="2B1B22C3">
      <w:pPr>
        <w:autoSpaceDE w:val="0"/>
        <w:autoSpaceDN w:val="0"/>
        <w:jc w:val="center"/>
        <w:rPr>
          <w:rFonts w:ascii="宋体" w:hAnsi="宋体" w:cs="宋体"/>
          <w:b/>
          <w:color w:val="auto"/>
          <w:spacing w:val="6"/>
          <w:sz w:val="32"/>
          <w:szCs w:val="32"/>
          <w:highlight w:val="none"/>
        </w:rPr>
      </w:pPr>
    </w:p>
    <w:p w14:paraId="65F36714">
      <w:pPr>
        <w:autoSpaceDE w:val="0"/>
        <w:autoSpaceDN w:val="0"/>
        <w:jc w:val="center"/>
        <w:rPr>
          <w:rFonts w:ascii="宋体" w:hAnsi="宋体" w:cs="宋体"/>
          <w:b/>
          <w:color w:val="auto"/>
          <w:spacing w:val="6"/>
          <w:sz w:val="32"/>
          <w:szCs w:val="32"/>
          <w:highlight w:val="none"/>
        </w:rPr>
      </w:pPr>
    </w:p>
    <w:p w14:paraId="15D68645">
      <w:pPr>
        <w:autoSpaceDE w:val="0"/>
        <w:autoSpaceDN w:val="0"/>
        <w:jc w:val="center"/>
        <w:rPr>
          <w:rFonts w:ascii="宋体" w:hAnsi="宋体" w:cs="宋体"/>
          <w:b/>
          <w:color w:val="auto"/>
          <w:spacing w:val="6"/>
          <w:sz w:val="32"/>
          <w:szCs w:val="32"/>
          <w:highlight w:val="none"/>
        </w:rPr>
      </w:pPr>
    </w:p>
    <w:p w14:paraId="38E3A041">
      <w:pPr>
        <w:autoSpaceDE w:val="0"/>
        <w:autoSpaceDN w:val="0"/>
        <w:jc w:val="center"/>
        <w:rPr>
          <w:rFonts w:ascii="宋体" w:hAnsi="宋体" w:cs="宋体"/>
          <w:b/>
          <w:color w:val="auto"/>
          <w:spacing w:val="6"/>
          <w:sz w:val="32"/>
          <w:szCs w:val="32"/>
          <w:highlight w:val="none"/>
        </w:rPr>
      </w:pPr>
    </w:p>
    <w:p w14:paraId="3A401E90">
      <w:pPr>
        <w:autoSpaceDE w:val="0"/>
        <w:autoSpaceDN w:val="0"/>
        <w:jc w:val="center"/>
        <w:rPr>
          <w:rFonts w:ascii="宋体" w:hAnsi="宋体" w:cs="宋体"/>
          <w:b/>
          <w:color w:val="auto"/>
          <w:spacing w:val="6"/>
          <w:sz w:val="32"/>
          <w:szCs w:val="32"/>
          <w:highlight w:val="none"/>
        </w:rPr>
      </w:pPr>
    </w:p>
    <w:p w14:paraId="2FF62221">
      <w:pPr>
        <w:autoSpaceDE w:val="0"/>
        <w:autoSpaceDN w:val="0"/>
        <w:jc w:val="center"/>
        <w:rPr>
          <w:rFonts w:ascii="宋体" w:hAnsi="宋体" w:cs="宋体"/>
          <w:b/>
          <w:color w:val="auto"/>
          <w:spacing w:val="6"/>
          <w:sz w:val="32"/>
          <w:szCs w:val="32"/>
          <w:highlight w:val="none"/>
        </w:rPr>
      </w:pPr>
    </w:p>
    <w:p w14:paraId="1E59D3AC">
      <w:pPr>
        <w:autoSpaceDE w:val="0"/>
        <w:autoSpaceDN w:val="0"/>
        <w:jc w:val="center"/>
        <w:rPr>
          <w:rFonts w:ascii="宋体" w:hAnsi="宋体" w:cs="宋体"/>
          <w:b/>
          <w:color w:val="auto"/>
          <w:spacing w:val="6"/>
          <w:sz w:val="32"/>
          <w:szCs w:val="32"/>
          <w:highlight w:val="none"/>
        </w:rPr>
      </w:pPr>
    </w:p>
    <w:p w14:paraId="0F888125">
      <w:pPr>
        <w:autoSpaceDE w:val="0"/>
        <w:autoSpaceDN w:val="0"/>
        <w:jc w:val="center"/>
        <w:rPr>
          <w:rFonts w:ascii="宋体" w:hAnsi="宋体" w:cs="宋体"/>
          <w:b/>
          <w:color w:val="auto"/>
          <w:spacing w:val="6"/>
          <w:sz w:val="32"/>
          <w:szCs w:val="32"/>
          <w:highlight w:val="none"/>
        </w:rPr>
      </w:pPr>
    </w:p>
    <w:p w14:paraId="7CD9876A">
      <w:pPr>
        <w:autoSpaceDE w:val="0"/>
        <w:autoSpaceDN w:val="0"/>
        <w:jc w:val="center"/>
        <w:rPr>
          <w:rFonts w:ascii="宋体" w:hAnsi="宋体" w:cs="宋体"/>
          <w:b/>
          <w:color w:val="auto"/>
          <w:spacing w:val="6"/>
          <w:sz w:val="32"/>
          <w:szCs w:val="32"/>
          <w:highlight w:val="none"/>
        </w:rPr>
      </w:pPr>
    </w:p>
    <w:p w14:paraId="24DCBD4B">
      <w:pPr>
        <w:autoSpaceDE w:val="0"/>
        <w:autoSpaceDN w:val="0"/>
        <w:jc w:val="center"/>
        <w:rPr>
          <w:rFonts w:ascii="宋体" w:hAnsi="宋体" w:cs="宋体"/>
          <w:b/>
          <w:color w:val="auto"/>
          <w:spacing w:val="6"/>
          <w:sz w:val="32"/>
          <w:szCs w:val="32"/>
          <w:highlight w:val="none"/>
        </w:rPr>
      </w:pPr>
    </w:p>
    <w:p w14:paraId="0BF4341D">
      <w:pPr>
        <w:autoSpaceDE w:val="0"/>
        <w:autoSpaceDN w:val="0"/>
        <w:jc w:val="center"/>
        <w:rPr>
          <w:rFonts w:ascii="宋体" w:hAnsi="宋体" w:cs="宋体"/>
          <w:b/>
          <w:color w:val="auto"/>
          <w:spacing w:val="6"/>
          <w:sz w:val="32"/>
          <w:szCs w:val="32"/>
          <w:highlight w:val="none"/>
        </w:rPr>
      </w:pPr>
    </w:p>
    <w:p w14:paraId="5303223D">
      <w:pPr>
        <w:autoSpaceDE w:val="0"/>
        <w:autoSpaceDN w:val="0"/>
        <w:jc w:val="center"/>
        <w:rPr>
          <w:rFonts w:ascii="宋体" w:hAnsi="宋体" w:cs="宋体"/>
          <w:b/>
          <w:color w:val="auto"/>
          <w:spacing w:val="6"/>
          <w:sz w:val="32"/>
          <w:szCs w:val="32"/>
          <w:highlight w:val="none"/>
        </w:rPr>
      </w:pPr>
    </w:p>
    <w:p w14:paraId="12AFA843">
      <w:pPr>
        <w:autoSpaceDE w:val="0"/>
        <w:autoSpaceDN w:val="0"/>
        <w:jc w:val="center"/>
        <w:rPr>
          <w:rFonts w:ascii="宋体" w:hAnsi="宋体" w:cs="宋体"/>
          <w:b/>
          <w:color w:val="auto"/>
          <w:spacing w:val="6"/>
          <w:sz w:val="32"/>
          <w:szCs w:val="32"/>
          <w:highlight w:val="none"/>
        </w:rPr>
      </w:pPr>
    </w:p>
    <w:p w14:paraId="6FA58A33">
      <w:pPr>
        <w:autoSpaceDE w:val="0"/>
        <w:autoSpaceDN w:val="0"/>
        <w:jc w:val="center"/>
        <w:rPr>
          <w:rFonts w:ascii="宋体" w:hAnsi="宋体" w:cs="宋体"/>
          <w:b/>
          <w:color w:val="auto"/>
          <w:spacing w:val="6"/>
          <w:sz w:val="32"/>
          <w:szCs w:val="32"/>
          <w:highlight w:val="none"/>
        </w:rPr>
      </w:pPr>
    </w:p>
    <w:p w14:paraId="77F1384D">
      <w:pPr>
        <w:autoSpaceDE w:val="0"/>
        <w:autoSpaceDN w:val="0"/>
        <w:jc w:val="center"/>
        <w:rPr>
          <w:rFonts w:ascii="宋体" w:hAnsi="宋体" w:cs="宋体"/>
          <w:b/>
          <w:color w:val="auto"/>
          <w:spacing w:val="6"/>
          <w:sz w:val="32"/>
          <w:szCs w:val="32"/>
          <w:highlight w:val="none"/>
        </w:rPr>
      </w:pPr>
    </w:p>
    <w:p w14:paraId="13BFE4F7">
      <w:pPr>
        <w:autoSpaceDE w:val="0"/>
        <w:autoSpaceDN w:val="0"/>
        <w:jc w:val="center"/>
        <w:rPr>
          <w:rFonts w:ascii="宋体" w:hAnsi="宋体" w:cs="宋体"/>
          <w:b/>
          <w:color w:val="auto"/>
          <w:spacing w:val="6"/>
          <w:sz w:val="32"/>
          <w:szCs w:val="32"/>
          <w:highlight w:val="none"/>
        </w:rPr>
      </w:pPr>
    </w:p>
    <w:p w14:paraId="0B1A91F1">
      <w:pPr>
        <w:autoSpaceDE w:val="0"/>
        <w:autoSpaceDN w:val="0"/>
        <w:jc w:val="center"/>
        <w:rPr>
          <w:rFonts w:ascii="宋体" w:hAnsi="宋体" w:cs="宋体"/>
          <w:b/>
          <w:color w:val="auto"/>
          <w:spacing w:val="6"/>
          <w:sz w:val="32"/>
          <w:szCs w:val="32"/>
          <w:highlight w:val="none"/>
        </w:rPr>
      </w:pPr>
    </w:p>
    <w:p w14:paraId="609AD9C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F69280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0D1E0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93574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A1AFE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3415EDD">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4E45204">
      <w:pPr>
        <w:rPr>
          <w:color w:val="auto"/>
          <w:highlight w:val="none"/>
        </w:rPr>
      </w:pPr>
      <w:r>
        <w:rPr>
          <w:rFonts w:hint="eastAsia"/>
          <w:color w:val="auto"/>
          <w:highlight w:val="none"/>
          <w:lang w:val="zh-CN"/>
        </w:rPr>
        <w:t xml:space="preserve"> </w:t>
      </w:r>
    </w:p>
    <w:p w14:paraId="36B9CB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2685C4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6944E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B5873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73D9E0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61521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B26ED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3ED9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D9A461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D5351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5D81C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F5AA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A4F6C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EA80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B21B59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1FC6A5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5A2481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79AA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471E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E5B587">
      <w:pPr>
        <w:autoSpaceDE w:val="0"/>
        <w:autoSpaceDN w:val="0"/>
        <w:jc w:val="center"/>
        <w:rPr>
          <w:rFonts w:ascii="宋体" w:hAnsi="宋体" w:cs="宋体"/>
          <w:b/>
          <w:color w:val="auto"/>
          <w:spacing w:val="6"/>
          <w:sz w:val="32"/>
          <w:szCs w:val="32"/>
          <w:highlight w:val="none"/>
        </w:rPr>
      </w:pPr>
    </w:p>
    <w:p w14:paraId="71FDE7FB">
      <w:pPr>
        <w:autoSpaceDE w:val="0"/>
        <w:autoSpaceDN w:val="0"/>
        <w:jc w:val="center"/>
        <w:rPr>
          <w:rFonts w:ascii="宋体" w:hAnsi="宋体" w:cs="宋体"/>
          <w:b/>
          <w:color w:val="auto"/>
          <w:spacing w:val="6"/>
          <w:sz w:val="32"/>
          <w:szCs w:val="32"/>
          <w:highlight w:val="none"/>
        </w:rPr>
      </w:pPr>
    </w:p>
    <w:p w14:paraId="69B39416">
      <w:pPr>
        <w:autoSpaceDE w:val="0"/>
        <w:autoSpaceDN w:val="0"/>
        <w:jc w:val="center"/>
        <w:rPr>
          <w:rFonts w:ascii="宋体" w:hAnsi="宋体" w:cs="宋体"/>
          <w:b/>
          <w:color w:val="auto"/>
          <w:spacing w:val="6"/>
          <w:sz w:val="32"/>
          <w:szCs w:val="32"/>
          <w:highlight w:val="none"/>
        </w:rPr>
      </w:pPr>
    </w:p>
    <w:p w14:paraId="27ED202B">
      <w:pPr>
        <w:autoSpaceDE w:val="0"/>
        <w:autoSpaceDN w:val="0"/>
        <w:jc w:val="center"/>
        <w:rPr>
          <w:rFonts w:ascii="宋体" w:hAnsi="宋体" w:cs="宋体"/>
          <w:b/>
          <w:color w:val="auto"/>
          <w:spacing w:val="6"/>
          <w:sz w:val="32"/>
          <w:szCs w:val="32"/>
          <w:highlight w:val="none"/>
        </w:rPr>
      </w:pPr>
    </w:p>
    <w:p w14:paraId="4CBD24C1">
      <w:pPr>
        <w:autoSpaceDE w:val="0"/>
        <w:autoSpaceDN w:val="0"/>
        <w:jc w:val="center"/>
        <w:rPr>
          <w:rFonts w:ascii="宋体" w:hAnsi="宋体" w:cs="宋体"/>
          <w:b/>
          <w:color w:val="auto"/>
          <w:spacing w:val="6"/>
          <w:sz w:val="32"/>
          <w:szCs w:val="32"/>
          <w:highlight w:val="none"/>
        </w:rPr>
      </w:pPr>
    </w:p>
    <w:p w14:paraId="6283226A">
      <w:pPr>
        <w:autoSpaceDE w:val="0"/>
        <w:autoSpaceDN w:val="0"/>
        <w:jc w:val="center"/>
        <w:rPr>
          <w:rFonts w:ascii="宋体" w:hAnsi="宋体" w:cs="宋体"/>
          <w:b/>
          <w:color w:val="auto"/>
          <w:spacing w:val="6"/>
          <w:sz w:val="32"/>
          <w:szCs w:val="32"/>
          <w:highlight w:val="none"/>
        </w:rPr>
      </w:pPr>
    </w:p>
    <w:p w14:paraId="6328C8FB">
      <w:pPr>
        <w:autoSpaceDE w:val="0"/>
        <w:autoSpaceDN w:val="0"/>
        <w:jc w:val="center"/>
        <w:rPr>
          <w:rFonts w:ascii="宋体" w:hAnsi="宋体" w:cs="宋体"/>
          <w:b/>
          <w:color w:val="auto"/>
          <w:spacing w:val="6"/>
          <w:sz w:val="32"/>
          <w:szCs w:val="32"/>
          <w:highlight w:val="none"/>
        </w:rPr>
      </w:pPr>
    </w:p>
    <w:p w14:paraId="173AC123">
      <w:pPr>
        <w:autoSpaceDE w:val="0"/>
        <w:autoSpaceDN w:val="0"/>
        <w:jc w:val="center"/>
        <w:rPr>
          <w:rFonts w:ascii="宋体" w:hAnsi="宋体" w:cs="宋体"/>
          <w:b/>
          <w:color w:val="auto"/>
          <w:spacing w:val="6"/>
          <w:sz w:val="32"/>
          <w:szCs w:val="32"/>
          <w:highlight w:val="none"/>
        </w:rPr>
      </w:pPr>
    </w:p>
    <w:p w14:paraId="769645E5">
      <w:pPr>
        <w:autoSpaceDE w:val="0"/>
        <w:autoSpaceDN w:val="0"/>
        <w:jc w:val="center"/>
        <w:rPr>
          <w:rFonts w:ascii="宋体" w:hAnsi="宋体" w:cs="宋体"/>
          <w:b/>
          <w:color w:val="auto"/>
          <w:spacing w:val="6"/>
          <w:sz w:val="32"/>
          <w:szCs w:val="32"/>
          <w:highlight w:val="none"/>
        </w:rPr>
      </w:pPr>
    </w:p>
    <w:p w14:paraId="07FFC8D8">
      <w:pPr>
        <w:autoSpaceDE w:val="0"/>
        <w:autoSpaceDN w:val="0"/>
        <w:jc w:val="center"/>
        <w:rPr>
          <w:rFonts w:ascii="宋体" w:hAnsi="宋体" w:cs="宋体"/>
          <w:b/>
          <w:color w:val="auto"/>
          <w:spacing w:val="6"/>
          <w:sz w:val="32"/>
          <w:szCs w:val="32"/>
          <w:highlight w:val="none"/>
        </w:rPr>
      </w:pPr>
    </w:p>
    <w:p w14:paraId="67CC6BD1">
      <w:pPr>
        <w:autoSpaceDE w:val="0"/>
        <w:autoSpaceDN w:val="0"/>
        <w:jc w:val="center"/>
        <w:rPr>
          <w:rFonts w:ascii="宋体" w:hAnsi="宋体" w:cs="宋体"/>
          <w:b/>
          <w:color w:val="auto"/>
          <w:spacing w:val="6"/>
          <w:sz w:val="32"/>
          <w:szCs w:val="32"/>
          <w:highlight w:val="none"/>
        </w:rPr>
      </w:pPr>
    </w:p>
    <w:p w14:paraId="12D0A724">
      <w:pPr>
        <w:autoSpaceDE w:val="0"/>
        <w:autoSpaceDN w:val="0"/>
        <w:jc w:val="center"/>
        <w:rPr>
          <w:rFonts w:ascii="宋体" w:hAnsi="宋体" w:cs="宋体"/>
          <w:b/>
          <w:color w:val="auto"/>
          <w:spacing w:val="6"/>
          <w:sz w:val="32"/>
          <w:szCs w:val="32"/>
          <w:highlight w:val="none"/>
        </w:rPr>
      </w:pPr>
    </w:p>
    <w:p w14:paraId="06CEE840">
      <w:pPr>
        <w:autoSpaceDE w:val="0"/>
        <w:autoSpaceDN w:val="0"/>
        <w:jc w:val="center"/>
        <w:rPr>
          <w:rFonts w:ascii="宋体" w:hAnsi="宋体" w:cs="宋体"/>
          <w:b/>
          <w:color w:val="auto"/>
          <w:spacing w:val="6"/>
          <w:sz w:val="32"/>
          <w:szCs w:val="32"/>
          <w:highlight w:val="none"/>
        </w:rPr>
      </w:pPr>
    </w:p>
    <w:p w14:paraId="7B8D967E">
      <w:pPr>
        <w:autoSpaceDE w:val="0"/>
        <w:autoSpaceDN w:val="0"/>
        <w:jc w:val="center"/>
        <w:rPr>
          <w:rFonts w:ascii="宋体" w:hAnsi="宋体" w:cs="宋体"/>
          <w:b/>
          <w:color w:val="auto"/>
          <w:spacing w:val="6"/>
          <w:sz w:val="32"/>
          <w:szCs w:val="32"/>
          <w:highlight w:val="none"/>
        </w:rPr>
      </w:pPr>
    </w:p>
    <w:p w14:paraId="6089D16C">
      <w:pPr>
        <w:autoSpaceDE w:val="0"/>
        <w:autoSpaceDN w:val="0"/>
        <w:jc w:val="center"/>
        <w:rPr>
          <w:rFonts w:ascii="宋体" w:hAnsi="宋体" w:cs="宋体"/>
          <w:b/>
          <w:color w:val="auto"/>
          <w:spacing w:val="6"/>
          <w:sz w:val="32"/>
          <w:szCs w:val="32"/>
          <w:highlight w:val="none"/>
        </w:rPr>
      </w:pPr>
    </w:p>
    <w:p w14:paraId="1552A883">
      <w:pPr>
        <w:autoSpaceDE w:val="0"/>
        <w:autoSpaceDN w:val="0"/>
        <w:jc w:val="center"/>
        <w:rPr>
          <w:rFonts w:ascii="宋体" w:hAnsi="宋体" w:cs="宋体"/>
          <w:b/>
          <w:color w:val="auto"/>
          <w:spacing w:val="6"/>
          <w:sz w:val="32"/>
          <w:szCs w:val="32"/>
          <w:highlight w:val="none"/>
        </w:rPr>
      </w:pPr>
    </w:p>
    <w:p w14:paraId="234F932B">
      <w:pPr>
        <w:autoSpaceDE w:val="0"/>
        <w:autoSpaceDN w:val="0"/>
        <w:jc w:val="center"/>
        <w:rPr>
          <w:rFonts w:ascii="宋体" w:hAnsi="宋体" w:cs="宋体"/>
          <w:b/>
          <w:color w:val="auto"/>
          <w:spacing w:val="6"/>
          <w:sz w:val="32"/>
          <w:szCs w:val="32"/>
          <w:highlight w:val="none"/>
        </w:rPr>
      </w:pPr>
    </w:p>
    <w:p w14:paraId="4526A11C">
      <w:pPr>
        <w:autoSpaceDE w:val="0"/>
        <w:autoSpaceDN w:val="0"/>
        <w:jc w:val="center"/>
        <w:rPr>
          <w:rFonts w:ascii="宋体" w:hAnsi="宋体" w:cs="宋体"/>
          <w:b/>
          <w:color w:val="auto"/>
          <w:spacing w:val="6"/>
          <w:sz w:val="32"/>
          <w:szCs w:val="32"/>
          <w:highlight w:val="none"/>
        </w:rPr>
      </w:pPr>
    </w:p>
    <w:p w14:paraId="7EA53A40">
      <w:pPr>
        <w:autoSpaceDE w:val="0"/>
        <w:autoSpaceDN w:val="0"/>
        <w:jc w:val="center"/>
        <w:rPr>
          <w:rFonts w:ascii="宋体" w:hAnsi="宋体" w:cs="宋体"/>
          <w:b/>
          <w:color w:val="auto"/>
          <w:spacing w:val="6"/>
          <w:sz w:val="32"/>
          <w:szCs w:val="32"/>
          <w:highlight w:val="none"/>
        </w:rPr>
      </w:pPr>
    </w:p>
    <w:p w14:paraId="356A469D">
      <w:pPr>
        <w:autoSpaceDE w:val="0"/>
        <w:autoSpaceDN w:val="0"/>
        <w:jc w:val="center"/>
        <w:rPr>
          <w:rFonts w:ascii="宋体" w:hAnsi="宋体" w:cs="宋体"/>
          <w:b/>
          <w:color w:val="auto"/>
          <w:spacing w:val="6"/>
          <w:sz w:val="32"/>
          <w:szCs w:val="32"/>
          <w:highlight w:val="none"/>
        </w:rPr>
      </w:pPr>
    </w:p>
    <w:p w14:paraId="4EB3B0B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F3C7045">
      <w:pPr>
        <w:spacing w:line="360" w:lineRule="auto"/>
        <w:jc w:val="center"/>
        <w:rPr>
          <w:rFonts w:ascii="宋体" w:hAnsi="宋体" w:cs="宋体"/>
          <w:color w:val="auto"/>
          <w:sz w:val="24"/>
          <w:highlight w:val="none"/>
          <w:u w:val="single"/>
        </w:rPr>
      </w:pPr>
    </w:p>
    <w:p w14:paraId="3837E00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A3518D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FAEC3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86029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3DCF4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1CCB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8255B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75A966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5DAF5C5">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B362AC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A9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374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E935">
    <w:pPr>
      <w:pStyle w:val="41"/>
      <w:framePr w:wrap="around" w:vAnchor="text" w:hAnchor="margin" w:xAlign="right" w:y="1"/>
      <w:rPr>
        <w:rStyle w:val="72"/>
      </w:rPr>
    </w:pPr>
    <w:r>
      <w:fldChar w:fldCharType="begin"/>
    </w:r>
    <w:r>
      <w:rPr>
        <w:rStyle w:val="72"/>
      </w:rPr>
      <w:instrText xml:space="preserve">PAGE  </w:instrText>
    </w:r>
    <w:r>
      <w:fldChar w:fldCharType="end"/>
    </w:r>
  </w:p>
  <w:p w14:paraId="05F240F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82C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164085800"/>
    <w:bookmarkStart w:id="518" w:name="_Toc91899912"/>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C9DAC">
    <w:pPr>
      <w:pStyle w:val="41"/>
      <w:framePr w:wrap="around" w:vAnchor="text" w:hAnchor="margin" w:xAlign="right" w:y="1"/>
      <w:rPr>
        <w:rStyle w:val="72"/>
      </w:rPr>
    </w:pPr>
    <w:r>
      <w:fldChar w:fldCharType="begin"/>
    </w:r>
    <w:r>
      <w:rPr>
        <w:rStyle w:val="72"/>
      </w:rPr>
      <w:instrText xml:space="preserve">PAGE  </w:instrText>
    </w:r>
    <w:r>
      <w:fldChar w:fldCharType="end"/>
    </w:r>
  </w:p>
  <w:p w14:paraId="1CFC0F6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9B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3F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48DC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CD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3791F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FB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88F07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99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342E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72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038E0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F75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CFB6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B54B0">
    <w:pPr>
      <w:pStyle w:val="42"/>
      <w:pBdr>
        <w:bottom w:val="single" w:color="auto" w:sz="6" w:space="4"/>
      </w:pBdr>
      <w:jc w:val="right"/>
    </w:pPr>
    <w:r>
      <w:t></w:t>
    </w:r>
    <w:r>
      <w:rPr>
        <w:rFonts w:hint="eastAsia"/>
      </w:rPr>
      <w:t xml:space="preserve">             </w:t>
    </w:r>
    <w:r>
      <w:t>杭州市政府采购公开招标文件</w:t>
    </w:r>
  </w:p>
  <w:p w14:paraId="2FEF396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B20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0B7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6BCF">
    <w:pPr>
      <w:pStyle w:val="42"/>
      <w:rPr>
        <w:rFonts w:ascii="仿宋_GB2312" w:eastAsia="仿宋_GB2312"/>
        <w:b/>
        <w:i/>
        <w:u w:val="single"/>
      </w:rPr>
    </w:pPr>
    <w:r>
      <w:t></w:t>
    </w:r>
    <w:r>
      <w:rPr>
        <w:rFonts w:hint="eastAsia"/>
      </w:rPr>
      <w:t xml:space="preserve">                                                  </w:t>
    </w:r>
    <w:r>
      <w:t xml:space="preserve">             杭州市政府采购公开招标文件</w:t>
    </w:r>
  </w:p>
  <w:p w14:paraId="31469D6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D77E">
    <w:pPr>
      <w:pStyle w:val="42"/>
    </w:pPr>
    <w:r>
      <w:t></w:t>
    </w:r>
    <w:r>
      <w:rPr>
        <w:rFonts w:hint="eastAsia"/>
      </w:rPr>
      <w:t xml:space="preserve">         </w:t>
    </w:r>
  </w:p>
  <w:p w14:paraId="7F3225C0">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CD11">
    <w:pPr>
      <w:pStyle w:val="42"/>
      <w:rPr>
        <w:rFonts w:ascii="仿宋_GB2312" w:eastAsia="仿宋_GB2312"/>
        <w:b/>
        <w:i/>
        <w:u w:val="single"/>
      </w:rPr>
    </w:pPr>
    <w:r>
      <w:t></w:t>
    </w:r>
    <w:r>
      <w:rPr>
        <w:rFonts w:hint="eastAsia"/>
      </w:rPr>
      <w:t xml:space="preserve">                                                  </w:t>
    </w:r>
    <w:r>
      <w:t>杭州市政府采购公开招标文件</w:t>
    </w:r>
  </w:p>
  <w:p w14:paraId="7EDEEEB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6F31">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42A6">
    <w:pPr>
      <w:pStyle w:val="42"/>
      <w:jc w:val="right"/>
      <w:rPr>
        <w:rFonts w:ascii="仿宋_GB2312" w:eastAsia="仿宋_GB2312"/>
        <w:b/>
        <w:i/>
        <w:u w:val="single"/>
      </w:rPr>
    </w:pPr>
    <w:r>
      <w:rPr>
        <w:rFonts w:hint="eastAsia"/>
      </w:rPr>
      <w:t xml:space="preserve">                                  </w:t>
    </w:r>
    <w:r>
      <w:t>杭州市政府采购公开招标文件</w:t>
    </w:r>
  </w:p>
  <w:p w14:paraId="70A6590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B9C2A">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D77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332C2"/>
    <w:multiLevelType w:val="singleLevel"/>
    <w:tmpl w:val="FAB332C2"/>
    <w:lvl w:ilvl="0" w:tentative="0">
      <w:start w:val="7"/>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E674D2A"/>
    <w:multiLevelType w:val="singleLevel"/>
    <w:tmpl w:val="5E674D2A"/>
    <w:lvl w:ilvl="0" w:tentative="0">
      <w:start w:val="4"/>
      <w:numFmt w:val="decimal"/>
      <w:suff w:val="nothing"/>
      <w:lvlText w:val="%1、"/>
      <w:lvlJc w:val="left"/>
    </w:lvl>
  </w:abstractNum>
  <w:abstractNum w:abstractNumId="3">
    <w:nsid w:val="5E674EDE"/>
    <w:multiLevelType w:val="singleLevel"/>
    <w:tmpl w:val="5E674EDE"/>
    <w:lvl w:ilvl="0" w:tentative="0">
      <w:start w:val="4"/>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F2043"/>
    <w:rsid w:val="0326446A"/>
    <w:rsid w:val="032D5555"/>
    <w:rsid w:val="036634D2"/>
    <w:rsid w:val="038B1487"/>
    <w:rsid w:val="03DD35E4"/>
    <w:rsid w:val="03DE6095"/>
    <w:rsid w:val="04076900"/>
    <w:rsid w:val="041A5A3B"/>
    <w:rsid w:val="041F679F"/>
    <w:rsid w:val="042311BA"/>
    <w:rsid w:val="042B157A"/>
    <w:rsid w:val="0437730F"/>
    <w:rsid w:val="048F763B"/>
    <w:rsid w:val="049F330E"/>
    <w:rsid w:val="04AA775C"/>
    <w:rsid w:val="04AF1889"/>
    <w:rsid w:val="04F66F48"/>
    <w:rsid w:val="05251E14"/>
    <w:rsid w:val="05832D5D"/>
    <w:rsid w:val="05A16594"/>
    <w:rsid w:val="05A7762D"/>
    <w:rsid w:val="05C55124"/>
    <w:rsid w:val="060E5941"/>
    <w:rsid w:val="06110FAF"/>
    <w:rsid w:val="06493CA7"/>
    <w:rsid w:val="065A6178"/>
    <w:rsid w:val="066F1CF3"/>
    <w:rsid w:val="06930BB8"/>
    <w:rsid w:val="06FA2BAB"/>
    <w:rsid w:val="07245D42"/>
    <w:rsid w:val="07264C62"/>
    <w:rsid w:val="0779354C"/>
    <w:rsid w:val="07AF0CEF"/>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00295"/>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A0E0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8062B"/>
    <w:rsid w:val="0D827401"/>
    <w:rsid w:val="0D84094E"/>
    <w:rsid w:val="0D8A00E9"/>
    <w:rsid w:val="0D8D589E"/>
    <w:rsid w:val="0D9626F9"/>
    <w:rsid w:val="0DA01C73"/>
    <w:rsid w:val="0DD63300"/>
    <w:rsid w:val="0DF50604"/>
    <w:rsid w:val="0DF702FE"/>
    <w:rsid w:val="0E060E51"/>
    <w:rsid w:val="0E4D08F5"/>
    <w:rsid w:val="0E5604B2"/>
    <w:rsid w:val="0E6D5D79"/>
    <w:rsid w:val="0E9D0089"/>
    <w:rsid w:val="0EB803EE"/>
    <w:rsid w:val="0ECE359C"/>
    <w:rsid w:val="0EF94D4B"/>
    <w:rsid w:val="0F4958DC"/>
    <w:rsid w:val="0F515DF7"/>
    <w:rsid w:val="0F596BA8"/>
    <w:rsid w:val="0F6248D2"/>
    <w:rsid w:val="0F693536"/>
    <w:rsid w:val="0F7B0511"/>
    <w:rsid w:val="0F7B76D9"/>
    <w:rsid w:val="0F816ACD"/>
    <w:rsid w:val="0F9832DB"/>
    <w:rsid w:val="0FBF3FD2"/>
    <w:rsid w:val="0FBF7FF3"/>
    <w:rsid w:val="0FD06B9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A3098"/>
    <w:rsid w:val="127723A9"/>
    <w:rsid w:val="12862074"/>
    <w:rsid w:val="12883966"/>
    <w:rsid w:val="129E45B4"/>
    <w:rsid w:val="12D81596"/>
    <w:rsid w:val="12F23FBD"/>
    <w:rsid w:val="13072A44"/>
    <w:rsid w:val="135F4BE2"/>
    <w:rsid w:val="139B1A0A"/>
    <w:rsid w:val="139D25C7"/>
    <w:rsid w:val="13A46379"/>
    <w:rsid w:val="13BF3CE4"/>
    <w:rsid w:val="13CE750E"/>
    <w:rsid w:val="13EC5A44"/>
    <w:rsid w:val="141008D8"/>
    <w:rsid w:val="14125FE6"/>
    <w:rsid w:val="143047C1"/>
    <w:rsid w:val="146D271E"/>
    <w:rsid w:val="14982588"/>
    <w:rsid w:val="149A5AD9"/>
    <w:rsid w:val="14A7619D"/>
    <w:rsid w:val="150536C3"/>
    <w:rsid w:val="150C1963"/>
    <w:rsid w:val="151447A0"/>
    <w:rsid w:val="154A6454"/>
    <w:rsid w:val="15762120"/>
    <w:rsid w:val="15767E65"/>
    <w:rsid w:val="15D7452F"/>
    <w:rsid w:val="165D1CF1"/>
    <w:rsid w:val="16A8729C"/>
    <w:rsid w:val="16B33777"/>
    <w:rsid w:val="16BC70A7"/>
    <w:rsid w:val="16C6339E"/>
    <w:rsid w:val="172F2D79"/>
    <w:rsid w:val="17557BEF"/>
    <w:rsid w:val="17D349C1"/>
    <w:rsid w:val="1830729E"/>
    <w:rsid w:val="1870062C"/>
    <w:rsid w:val="18817102"/>
    <w:rsid w:val="18830A15"/>
    <w:rsid w:val="18852B28"/>
    <w:rsid w:val="188B5321"/>
    <w:rsid w:val="19081158"/>
    <w:rsid w:val="193957B5"/>
    <w:rsid w:val="19932372"/>
    <w:rsid w:val="19997222"/>
    <w:rsid w:val="19A20DD5"/>
    <w:rsid w:val="19AE03F1"/>
    <w:rsid w:val="1A071A03"/>
    <w:rsid w:val="1A1F16AE"/>
    <w:rsid w:val="1A3B5C77"/>
    <w:rsid w:val="1A400DC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56509"/>
    <w:rsid w:val="1D266CE1"/>
    <w:rsid w:val="1D3963AF"/>
    <w:rsid w:val="1D6A673C"/>
    <w:rsid w:val="1D9247AE"/>
    <w:rsid w:val="1DB567EC"/>
    <w:rsid w:val="1DD7559C"/>
    <w:rsid w:val="1DF51A98"/>
    <w:rsid w:val="1E3D060F"/>
    <w:rsid w:val="1E3F7D2E"/>
    <w:rsid w:val="1E4134E4"/>
    <w:rsid w:val="1E5062B3"/>
    <w:rsid w:val="1E523514"/>
    <w:rsid w:val="1E714A66"/>
    <w:rsid w:val="1E802593"/>
    <w:rsid w:val="1E8B6156"/>
    <w:rsid w:val="1EA703CC"/>
    <w:rsid w:val="1EB7330C"/>
    <w:rsid w:val="1EE11C05"/>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13145"/>
    <w:rsid w:val="24642C0A"/>
    <w:rsid w:val="24B22173"/>
    <w:rsid w:val="24B95AD9"/>
    <w:rsid w:val="24BE24DA"/>
    <w:rsid w:val="24CF5825"/>
    <w:rsid w:val="24D663E6"/>
    <w:rsid w:val="24D77F2B"/>
    <w:rsid w:val="25396AB1"/>
    <w:rsid w:val="258B00E2"/>
    <w:rsid w:val="25A917A6"/>
    <w:rsid w:val="25BE27CC"/>
    <w:rsid w:val="25DD571A"/>
    <w:rsid w:val="25F74A5C"/>
    <w:rsid w:val="26105AEF"/>
    <w:rsid w:val="2628662C"/>
    <w:rsid w:val="262D45DE"/>
    <w:rsid w:val="26871DC8"/>
    <w:rsid w:val="26A53EF9"/>
    <w:rsid w:val="26A94201"/>
    <w:rsid w:val="26AC274F"/>
    <w:rsid w:val="26FF5658"/>
    <w:rsid w:val="27044A29"/>
    <w:rsid w:val="271D34C8"/>
    <w:rsid w:val="276142BF"/>
    <w:rsid w:val="27783712"/>
    <w:rsid w:val="278C3EB8"/>
    <w:rsid w:val="27907362"/>
    <w:rsid w:val="28333E1D"/>
    <w:rsid w:val="28454BD6"/>
    <w:rsid w:val="28455253"/>
    <w:rsid w:val="28551971"/>
    <w:rsid w:val="285B1C53"/>
    <w:rsid w:val="289F7086"/>
    <w:rsid w:val="28C32028"/>
    <w:rsid w:val="28CC490F"/>
    <w:rsid w:val="28DE40AA"/>
    <w:rsid w:val="29345E77"/>
    <w:rsid w:val="29382029"/>
    <w:rsid w:val="294C65AD"/>
    <w:rsid w:val="29806583"/>
    <w:rsid w:val="298B3C4C"/>
    <w:rsid w:val="29F26D24"/>
    <w:rsid w:val="2A15033F"/>
    <w:rsid w:val="2A1662C1"/>
    <w:rsid w:val="2A1C7367"/>
    <w:rsid w:val="2A2815FA"/>
    <w:rsid w:val="2A443FBA"/>
    <w:rsid w:val="2A5341FD"/>
    <w:rsid w:val="2A6D6092"/>
    <w:rsid w:val="2A7D76B4"/>
    <w:rsid w:val="2AA91475"/>
    <w:rsid w:val="2AD215C5"/>
    <w:rsid w:val="2B437463"/>
    <w:rsid w:val="2B7807EE"/>
    <w:rsid w:val="2BA50BF7"/>
    <w:rsid w:val="2BBF00EC"/>
    <w:rsid w:val="2BC37CFD"/>
    <w:rsid w:val="2BC43604"/>
    <w:rsid w:val="2BD5237F"/>
    <w:rsid w:val="2BE536CE"/>
    <w:rsid w:val="2BE758D9"/>
    <w:rsid w:val="2C09049E"/>
    <w:rsid w:val="2C0A653C"/>
    <w:rsid w:val="2C191F85"/>
    <w:rsid w:val="2C531738"/>
    <w:rsid w:val="2CE82D6F"/>
    <w:rsid w:val="2D343236"/>
    <w:rsid w:val="2D400DD8"/>
    <w:rsid w:val="2D8748E9"/>
    <w:rsid w:val="2DD15014"/>
    <w:rsid w:val="2DF72DE4"/>
    <w:rsid w:val="2E0220AF"/>
    <w:rsid w:val="2E4B082A"/>
    <w:rsid w:val="2E5D4E86"/>
    <w:rsid w:val="2E5D790B"/>
    <w:rsid w:val="2E6B5FB9"/>
    <w:rsid w:val="2E9A3C18"/>
    <w:rsid w:val="2EBB0FEE"/>
    <w:rsid w:val="2EC63002"/>
    <w:rsid w:val="2EF44200"/>
    <w:rsid w:val="2F0A6B38"/>
    <w:rsid w:val="2F2D326E"/>
    <w:rsid w:val="2F946CCB"/>
    <w:rsid w:val="2FA774C5"/>
    <w:rsid w:val="2FAD4EC2"/>
    <w:rsid w:val="2FD25781"/>
    <w:rsid w:val="2FDC745C"/>
    <w:rsid w:val="2FFD7934"/>
    <w:rsid w:val="30733ACD"/>
    <w:rsid w:val="308C3862"/>
    <w:rsid w:val="309379D8"/>
    <w:rsid w:val="30A270F7"/>
    <w:rsid w:val="30CB2D3F"/>
    <w:rsid w:val="30DF1478"/>
    <w:rsid w:val="30EC586F"/>
    <w:rsid w:val="310402C4"/>
    <w:rsid w:val="314550B7"/>
    <w:rsid w:val="319C6071"/>
    <w:rsid w:val="31AC537E"/>
    <w:rsid w:val="31B14723"/>
    <w:rsid w:val="31E3679B"/>
    <w:rsid w:val="31E732FD"/>
    <w:rsid w:val="31EF6F01"/>
    <w:rsid w:val="324C4353"/>
    <w:rsid w:val="32517576"/>
    <w:rsid w:val="327F2033"/>
    <w:rsid w:val="32BE5C2C"/>
    <w:rsid w:val="32D92627"/>
    <w:rsid w:val="32FB6478"/>
    <w:rsid w:val="33263B3F"/>
    <w:rsid w:val="336963EB"/>
    <w:rsid w:val="33816EEB"/>
    <w:rsid w:val="33EB55CD"/>
    <w:rsid w:val="33EC4C02"/>
    <w:rsid w:val="34011C94"/>
    <w:rsid w:val="340D2360"/>
    <w:rsid w:val="3410665D"/>
    <w:rsid w:val="3411315F"/>
    <w:rsid w:val="34211214"/>
    <w:rsid w:val="342E63AB"/>
    <w:rsid w:val="34950E68"/>
    <w:rsid w:val="34986E94"/>
    <w:rsid w:val="34AF62C9"/>
    <w:rsid w:val="34CB4388"/>
    <w:rsid w:val="34FA6E12"/>
    <w:rsid w:val="354D7158"/>
    <w:rsid w:val="358D5588"/>
    <w:rsid w:val="363A3B40"/>
    <w:rsid w:val="365302AE"/>
    <w:rsid w:val="36607A0A"/>
    <w:rsid w:val="36647880"/>
    <w:rsid w:val="366E227C"/>
    <w:rsid w:val="366F2E0D"/>
    <w:rsid w:val="367B6A5C"/>
    <w:rsid w:val="36A74ADA"/>
    <w:rsid w:val="36AD60D5"/>
    <w:rsid w:val="36B224F9"/>
    <w:rsid w:val="36EC0CC9"/>
    <w:rsid w:val="373F410B"/>
    <w:rsid w:val="37EC453D"/>
    <w:rsid w:val="37EE7094"/>
    <w:rsid w:val="38296C89"/>
    <w:rsid w:val="383002EB"/>
    <w:rsid w:val="38586797"/>
    <w:rsid w:val="386D0B7F"/>
    <w:rsid w:val="38BC0149"/>
    <w:rsid w:val="38D87D1C"/>
    <w:rsid w:val="39636459"/>
    <w:rsid w:val="396B7F6C"/>
    <w:rsid w:val="39AE4C17"/>
    <w:rsid w:val="39B417A9"/>
    <w:rsid w:val="39DD7764"/>
    <w:rsid w:val="39FC5695"/>
    <w:rsid w:val="3A006D8E"/>
    <w:rsid w:val="3A3651E5"/>
    <w:rsid w:val="3A744481"/>
    <w:rsid w:val="3A8C7BEF"/>
    <w:rsid w:val="3A906246"/>
    <w:rsid w:val="3B2349B7"/>
    <w:rsid w:val="3B616CFF"/>
    <w:rsid w:val="3B6259F6"/>
    <w:rsid w:val="3B976654"/>
    <w:rsid w:val="3BC01EFC"/>
    <w:rsid w:val="3BCA786A"/>
    <w:rsid w:val="3BD31E2F"/>
    <w:rsid w:val="3BDD601C"/>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633C5"/>
    <w:rsid w:val="3E0D48F6"/>
    <w:rsid w:val="3E1868B4"/>
    <w:rsid w:val="3E377251"/>
    <w:rsid w:val="3E42664B"/>
    <w:rsid w:val="3E5A7334"/>
    <w:rsid w:val="3E7B5D6B"/>
    <w:rsid w:val="3E843E66"/>
    <w:rsid w:val="3E8F51FE"/>
    <w:rsid w:val="3E926F87"/>
    <w:rsid w:val="3E946E66"/>
    <w:rsid w:val="3E9A59DE"/>
    <w:rsid w:val="3E9C3F6D"/>
    <w:rsid w:val="3EA5765F"/>
    <w:rsid w:val="3EAF4836"/>
    <w:rsid w:val="3EC33DFA"/>
    <w:rsid w:val="3F060E16"/>
    <w:rsid w:val="3F1D1096"/>
    <w:rsid w:val="3F2F0234"/>
    <w:rsid w:val="3F6363FE"/>
    <w:rsid w:val="3F756B8F"/>
    <w:rsid w:val="3F95482B"/>
    <w:rsid w:val="3FB6105E"/>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1943AE"/>
    <w:rsid w:val="434B790E"/>
    <w:rsid w:val="4360274F"/>
    <w:rsid w:val="43977AB6"/>
    <w:rsid w:val="439B47F3"/>
    <w:rsid w:val="43A3342B"/>
    <w:rsid w:val="43C77C27"/>
    <w:rsid w:val="43DE09EE"/>
    <w:rsid w:val="44002FAD"/>
    <w:rsid w:val="446472DA"/>
    <w:rsid w:val="449101DD"/>
    <w:rsid w:val="44DE1391"/>
    <w:rsid w:val="451B225C"/>
    <w:rsid w:val="452410C9"/>
    <w:rsid w:val="45317DFB"/>
    <w:rsid w:val="4563195D"/>
    <w:rsid w:val="456D3CE4"/>
    <w:rsid w:val="4579042C"/>
    <w:rsid w:val="457F0571"/>
    <w:rsid w:val="45851176"/>
    <w:rsid w:val="45C63B94"/>
    <w:rsid w:val="45EF0E26"/>
    <w:rsid w:val="460E7DA5"/>
    <w:rsid w:val="46422483"/>
    <w:rsid w:val="4659254A"/>
    <w:rsid w:val="465B0637"/>
    <w:rsid w:val="465E3F0D"/>
    <w:rsid w:val="465F5FAB"/>
    <w:rsid w:val="466A16E6"/>
    <w:rsid w:val="46893F2B"/>
    <w:rsid w:val="46C4686E"/>
    <w:rsid w:val="46F263B0"/>
    <w:rsid w:val="47050EDA"/>
    <w:rsid w:val="477B778F"/>
    <w:rsid w:val="478203EC"/>
    <w:rsid w:val="47B025FA"/>
    <w:rsid w:val="4809698F"/>
    <w:rsid w:val="4811697D"/>
    <w:rsid w:val="48154C71"/>
    <w:rsid w:val="487A3E25"/>
    <w:rsid w:val="488B5503"/>
    <w:rsid w:val="48937E21"/>
    <w:rsid w:val="489A0361"/>
    <w:rsid w:val="48B94FF3"/>
    <w:rsid w:val="48E37AAB"/>
    <w:rsid w:val="48FD4B4C"/>
    <w:rsid w:val="490A68E0"/>
    <w:rsid w:val="491055FE"/>
    <w:rsid w:val="495F5B3E"/>
    <w:rsid w:val="496F77D7"/>
    <w:rsid w:val="497654FD"/>
    <w:rsid w:val="498701F4"/>
    <w:rsid w:val="49B64211"/>
    <w:rsid w:val="49E56AF9"/>
    <w:rsid w:val="49F6167F"/>
    <w:rsid w:val="4A064FA0"/>
    <w:rsid w:val="4A16615C"/>
    <w:rsid w:val="4A4424D7"/>
    <w:rsid w:val="4AB82D0F"/>
    <w:rsid w:val="4AEB7664"/>
    <w:rsid w:val="4AFD7C19"/>
    <w:rsid w:val="4B0567D1"/>
    <w:rsid w:val="4B236AAE"/>
    <w:rsid w:val="4B65492A"/>
    <w:rsid w:val="4B693428"/>
    <w:rsid w:val="4B6E4EE3"/>
    <w:rsid w:val="4B707271"/>
    <w:rsid w:val="4B9739F7"/>
    <w:rsid w:val="4BEE2503"/>
    <w:rsid w:val="4C245A30"/>
    <w:rsid w:val="4CB6685F"/>
    <w:rsid w:val="4CC367FE"/>
    <w:rsid w:val="4D077F3C"/>
    <w:rsid w:val="4D115B26"/>
    <w:rsid w:val="4D123355"/>
    <w:rsid w:val="4D2A3B31"/>
    <w:rsid w:val="4D312C52"/>
    <w:rsid w:val="4D8E5EE1"/>
    <w:rsid w:val="4D905305"/>
    <w:rsid w:val="4D964A72"/>
    <w:rsid w:val="4D9C1254"/>
    <w:rsid w:val="4DB766CD"/>
    <w:rsid w:val="4DE758C4"/>
    <w:rsid w:val="4E793892"/>
    <w:rsid w:val="4E800872"/>
    <w:rsid w:val="4EC569ED"/>
    <w:rsid w:val="4ECC43FA"/>
    <w:rsid w:val="4ED50EA1"/>
    <w:rsid w:val="4EEC050C"/>
    <w:rsid w:val="4EFE032C"/>
    <w:rsid w:val="4F104EC3"/>
    <w:rsid w:val="4F47354A"/>
    <w:rsid w:val="4F6D4A83"/>
    <w:rsid w:val="4F911C54"/>
    <w:rsid w:val="4FBB1E78"/>
    <w:rsid w:val="4FC27B2B"/>
    <w:rsid w:val="4FE625E0"/>
    <w:rsid w:val="4FE663A2"/>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17E84"/>
    <w:rsid w:val="52846D9A"/>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F7902"/>
    <w:rsid w:val="566B6D1E"/>
    <w:rsid w:val="57032A2C"/>
    <w:rsid w:val="570F5219"/>
    <w:rsid w:val="575D12B5"/>
    <w:rsid w:val="57610A87"/>
    <w:rsid w:val="577B1140"/>
    <w:rsid w:val="577B7F21"/>
    <w:rsid w:val="577F181B"/>
    <w:rsid w:val="57882E88"/>
    <w:rsid w:val="57921984"/>
    <w:rsid w:val="579737F0"/>
    <w:rsid w:val="57AB7B30"/>
    <w:rsid w:val="57AF5251"/>
    <w:rsid w:val="57B26373"/>
    <w:rsid w:val="57B63F04"/>
    <w:rsid w:val="57CD20C2"/>
    <w:rsid w:val="57D675AB"/>
    <w:rsid w:val="57D95FDD"/>
    <w:rsid w:val="58670CF0"/>
    <w:rsid w:val="58917D2F"/>
    <w:rsid w:val="5894085C"/>
    <w:rsid w:val="58AE4F0C"/>
    <w:rsid w:val="58B85899"/>
    <w:rsid w:val="58D36385"/>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36592"/>
    <w:rsid w:val="5B843A1C"/>
    <w:rsid w:val="5B873E3F"/>
    <w:rsid w:val="5BE13E52"/>
    <w:rsid w:val="5C02690E"/>
    <w:rsid w:val="5C196DA7"/>
    <w:rsid w:val="5C2A048C"/>
    <w:rsid w:val="5C5546AF"/>
    <w:rsid w:val="5C80073F"/>
    <w:rsid w:val="5C80234E"/>
    <w:rsid w:val="5C8A680C"/>
    <w:rsid w:val="5CF35D1E"/>
    <w:rsid w:val="5D0C4701"/>
    <w:rsid w:val="5D0F0395"/>
    <w:rsid w:val="5D221076"/>
    <w:rsid w:val="5D397964"/>
    <w:rsid w:val="5D5A391C"/>
    <w:rsid w:val="5D5F10C0"/>
    <w:rsid w:val="5D891B7B"/>
    <w:rsid w:val="5DAD38EE"/>
    <w:rsid w:val="5E006862"/>
    <w:rsid w:val="5E0207B9"/>
    <w:rsid w:val="5E1834A1"/>
    <w:rsid w:val="5E1E4546"/>
    <w:rsid w:val="5E261785"/>
    <w:rsid w:val="5E4A7017"/>
    <w:rsid w:val="5E5341F0"/>
    <w:rsid w:val="5E552BBA"/>
    <w:rsid w:val="5E611C10"/>
    <w:rsid w:val="5E70559C"/>
    <w:rsid w:val="5E7A0F3F"/>
    <w:rsid w:val="5EFC7377"/>
    <w:rsid w:val="5F06174D"/>
    <w:rsid w:val="5F2E07B9"/>
    <w:rsid w:val="5F3A3602"/>
    <w:rsid w:val="5F45733B"/>
    <w:rsid w:val="5F6277C6"/>
    <w:rsid w:val="5F6D0B1D"/>
    <w:rsid w:val="5F8D0B82"/>
    <w:rsid w:val="5F99661F"/>
    <w:rsid w:val="5FCC5339"/>
    <w:rsid w:val="5FE34A5B"/>
    <w:rsid w:val="5FFE1E36"/>
    <w:rsid w:val="60232584"/>
    <w:rsid w:val="607330CE"/>
    <w:rsid w:val="60825176"/>
    <w:rsid w:val="609F2AC4"/>
    <w:rsid w:val="60B13450"/>
    <w:rsid w:val="60CC028A"/>
    <w:rsid w:val="60FA2EE8"/>
    <w:rsid w:val="60FC0DF8"/>
    <w:rsid w:val="61054A27"/>
    <w:rsid w:val="610A52BC"/>
    <w:rsid w:val="611D2366"/>
    <w:rsid w:val="61421856"/>
    <w:rsid w:val="615227C4"/>
    <w:rsid w:val="61654E3F"/>
    <w:rsid w:val="6182292A"/>
    <w:rsid w:val="619F7F92"/>
    <w:rsid w:val="61EF2AEA"/>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9154F"/>
    <w:rsid w:val="643E143A"/>
    <w:rsid w:val="64491666"/>
    <w:rsid w:val="648B6EEF"/>
    <w:rsid w:val="649B49B4"/>
    <w:rsid w:val="64B27796"/>
    <w:rsid w:val="64C158BF"/>
    <w:rsid w:val="64CE2EAA"/>
    <w:rsid w:val="653C3090"/>
    <w:rsid w:val="65854376"/>
    <w:rsid w:val="658767BE"/>
    <w:rsid w:val="65892531"/>
    <w:rsid w:val="66195831"/>
    <w:rsid w:val="662E75B1"/>
    <w:rsid w:val="66342C2E"/>
    <w:rsid w:val="663E784C"/>
    <w:rsid w:val="668B6A45"/>
    <w:rsid w:val="67011F07"/>
    <w:rsid w:val="672F3F24"/>
    <w:rsid w:val="67397CFB"/>
    <w:rsid w:val="673E055F"/>
    <w:rsid w:val="67551CE3"/>
    <w:rsid w:val="67A22552"/>
    <w:rsid w:val="67B22DCC"/>
    <w:rsid w:val="67BE71AA"/>
    <w:rsid w:val="67D90273"/>
    <w:rsid w:val="67DE5875"/>
    <w:rsid w:val="67E1461B"/>
    <w:rsid w:val="67E55852"/>
    <w:rsid w:val="67EB1AB4"/>
    <w:rsid w:val="67FA1285"/>
    <w:rsid w:val="68551F4F"/>
    <w:rsid w:val="687C10C9"/>
    <w:rsid w:val="68840C16"/>
    <w:rsid w:val="68872541"/>
    <w:rsid w:val="68876EFB"/>
    <w:rsid w:val="68884654"/>
    <w:rsid w:val="689F444F"/>
    <w:rsid w:val="68B96DBB"/>
    <w:rsid w:val="68CA2805"/>
    <w:rsid w:val="68CB0E27"/>
    <w:rsid w:val="68E937A3"/>
    <w:rsid w:val="691664E5"/>
    <w:rsid w:val="693E15D3"/>
    <w:rsid w:val="69627681"/>
    <w:rsid w:val="6975586B"/>
    <w:rsid w:val="6977531D"/>
    <w:rsid w:val="69CC2BFF"/>
    <w:rsid w:val="69FD55B8"/>
    <w:rsid w:val="6A0B1C62"/>
    <w:rsid w:val="6A2406C8"/>
    <w:rsid w:val="6A805627"/>
    <w:rsid w:val="6AA560DB"/>
    <w:rsid w:val="6ADE0BD1"/>
    <w:rsid w:val="6AE96859"/>
    <w:rsid w:val="6B147746"/>
    <w:rsid w:val="6B24787C"/>
    <w:rsid w:val="6B281DF4"/>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E03A9"/>
    <w:rsid w:val="6ED446C5"/>
    <w:rsid w:val="6F1F099E"/>
    <w:rsid w:val="6F2A7D94"/>
    <w:rsid w:val="6F8331F1"/>
    <w:rsid w:val="6FAE1A09"/>
    <w:rsid w:val="6FD75BF8"/>
    <w:rsid w:val="6FF3138F"/>
    <w:rsid w:val="704B4683"/>
    <w:rsid w:val="707723D0"/>
    <w:rsid w:val="70D171F6"/>
    <w:rsid w:val="70F5661B"/>
    <w:rsid w:val="71360107"/>
    <w:rsid w:val="713B688E"/>
    <w:rsid w:val="71D43752"/>
    <w:rsid w:val="71E52F59"/>
    <w:rsid w:val="71F1796A"/>
    <w:rsid w:val="72154626"/>
    <w:rsid w:val="72262B5D"/>
    <w:rsid w:val="72283FF7"/>
    <w:rsid w:val="722E7212"/>
    <w:rsid w:val="723A0474"/>
    <w:rsid w:val="723E08BB"/>
    <w:rsid w:val="725923E4"/>
    <w:rsid w:val="72864BF7"/>
    <w:rsid w:val="729023FC"/>
    <w:rsid w:val="729631B2"/>
    <w:rsid w:val="72B470C4"/>
    <w:rsid w:val="73C0646E"/>
    <w:rsid w:val="73E7CF11"/>
    <w:rsid w:val="742222F5"/>
    <w:rsid w:val="74281823"/>
    <w:rsid w:val="74476126"/>
    <w:rsid w:val="744A1799"/>
    <w:rsid w:val="74706664"/>
    <w:rsid w:val="747F3682"/>
    <w:rsid w:val="749C4185"/>
    <w:rsid w:val="75067759"/>
    <w:rsid w:val="752E6DCD"/>
    <w:rsid w:val="7551380D"/>
    <w:rsid w:val="75600BE5"/>
    <w:rsid w:val="7564475C"/>
    <w:rsid w:val="7583797F"/>
    <w:rsid w:val="75B50E95"/>
    <w:rsid w:val="75D20F1D"/>
    <w:rsid w:val="75DA2C18"/>
    <w:rsid w:val="75EA5D3E"/>
    <w:rsid w:val="75F54412"/>
    <w:rsid w:val="761D08E0"/>
    <w:rsid w:val="765D347C"/>
    <w:rsid w:val="76826699"/>
    <w:rsid w:val="76C87133"/>
    <w:rsid w:val="76CD08D5"/>
    <w:rsid w:val="76DB4B92"/>
    <w:rsid w:val="76FD013A"/>
    <w:rsid w:val="77052AA4"/>
    <w:rsid w:val="77136511"/>
    <w:rsid w:val="77340A39"/>
    <w:rsid w:val="77351FD0"/>
    <w:rsid w:val="77472422"/>
    <w:rsid w:val="77476464"/>
    <w:rsid w:val="777F31F2"/>
    <w:rsid w:val="77D1700D"/>
    <w:rsid w:val="77EC04CC"/>
    <w:rsid w:val="785B5D23"/>
    <w:rsid w:val="78775729"/>
    <w:rsid w:val="78A42DB0"/>
    <w:rsid w:val="78A656AB"/>
    <w:rsid w:val="78B2245C"/>
    <w:rsid w:val="78C733B9"/>
    <w:rsid w:val="78E172CC"/>
    <w:rsid w:val="78EA1D1F"/>
    <w:rsid w:val="7904172F"/>
    <w:rsid w:val="790F7E27"/>
    <w:rsid w:val="792A231A"/>
    <w:rsid w:val="79316829"/>
    <w:rsid w:val="794B656E"/>
    <w:rsid w:val="797E66A9"/>
    <w:rsid w:val="798518A4"/>
    <w:rsid w:val="79A97383"/>
    <w:rsid w:val="79E27E8B"/>
    <w:rsid w:val="79F850CE"/>
    <w:rsid w:val="79FD2E0A"/>
    <w:rsid w:val="79FD443C"/>
    <w:rsid w:val="7A1D1975"/>
    <w:rsid w:val="7A2465E9"/>
    <w:rsid w:val="7A3E5150"/>
    <w:rsid w:val="7A446DE7"/>
    <w:rsid w:val="7A4670D6"/>
    <w:rsid w:val="7A534B63"/>
    <w:rsid w:val="7A615382"/>
    <w:rsid w:val="7A67303B"/>
    <w:rsid w:val="7AAB1D04"/>
    <w:rsid w:val="7ABA4368"/>
    <w:rsid w:val="7AD05746"/>
    <w:rsid w:val="7AFD1314"/>
    <w:rsid w:val="7B257FFD"/>
    <w:rsid w:val="7B273D20"/>
    <w:rsid w:val="7B343476"/>
    <w:rsid w:val="7B5A2978"/>
    <w:rsid w:val="7B5A7E4C"/>
    <w:rsid w:val="7B667AF9"/>
    <w:rsid w:val="7B7468F8"/>
    <w:rsid w:val="7BA9702E"/>
    <w:rsid w:val="7BEE0103"/>
    <w:rsid w:val="7BF448F8"/>
    <w:rsid w:val="7C0A0FE4"/>
    <w:rsid w:val="7C254906"/>
    <w:rsid w:val="7C590818"/>
    <w:rsid w:val="7C7C10F6"/>
    <w:rsid w:val="7C853BEA"/>
    <w:rsid w:val="7C881368"/>
    <w:rsid w:val="7CE27788"/>
    <w:rsid w:val="7D0C32F1"/>
    <w:rsid w:val="7D0F408D"/>
    <w:rsid w:val="7D491C6C"/>
    <w:rsid w:val="7D5429C0"/>
    <w:rsid w:val="7D6E6D43"/>
    <w:rsid w:val="7D733B0F"/>
    <w:rsid w:val="7D8F2383"/>
    <w:rsid w:val="7DB57A34"/>
    <w:rsid w:val="7DDD71DA"/>
    <w:rsid w:val="7DE60973"/>
    <w:rsid w:val="7DEF0916"/>
    <w:rsid w:val="7E1E5218"/>
    <w:rsid w:val="7E7C69F3"/>
    <w:rsid w:val="7E9A4E1F"/>
    <w:rsid w:val="7EA7723A"/>
    <w:rsid w:val="7EF56FBB"/>
    <w:rsid w:val="7F032C71"/>
    <w:rsid w:val="7F0768EB"/>
    <w:rsid w:val="7F143BEC"/>
    <w:rsid w:val="7F5B485B"/>
    <w:rsid w:val="7F715AF2"/>
    <w:rsid w:val="7F7AA7B4"/>
    <w:rsid w:val="7F886E69"/>
    <w:rsid w:val="BB7FA927"/>
    <w:rsid w:val="F5FFD31F"/>
    <w:rsid w:val="F6FF6924"/>
    <w:rsid w:val="FFFD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96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link w:val="96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1"/>
    <w:qFormat/>
    <w:uiPriority w:val="0"/>
    <w:pPr>
      <w:adjustRightInd/>
      <w:spacing w:after="120" w:line="240" w:lineRule="auto"/>
      <w:ind w:left="420" w:leftChars="200" w:firstLine="210"/>
    </w:pPr>
    <w:rPr>
      <w:sz w:val="21"/>
    </w:rPr>
  </w:style>
  <w:style w:type="paragraph" w:styleId="3">
    <w:name w:val="Body Text Indent"/>
    <w:basedOn w:val="1"/>
    <w:next w:val="2"/>
    <w:link w:val="265"/>
    <w:qFormat/>
    <w:uiPriority w:val="0"/>
    <w:pPr>
      <w:spacing w:line="480" w:lineRule="exact"/>
      <w:ind w:firstLine="480" w:firstLineChars="200"/>
    </w:pPr>
    <w:rPr>
      <w:rFonts w:ascii="宋体" w:hAnsi="宋体"/>
      <w:sz w:val="24"/>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Char1"/>
    <w:link w:val="5"/>
    <w:qFormat/>
    <w:uiPriority w:val="0"/>
    <w:rPr>
      <w:rFonts w:ascii="仿宋_GB2312" w:hAnsi="仿宋" w:eastAsia="仿宋_GB2312"/>
      <w:b/>
      <w:bCs/>
      <w:sz w:val="32"/>
      <w:szCs w:val="32"/>
      <w:lang w:val="zh-CN"/>
    </w:rPr>
  </w:style>
  <w:style w:type="character" w:customStyle="1" w:styleId="966">
    <w:name w:val="标题 3 Char"/>
    <w:link w:val="6"/>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108</Pages>
  <Words>16462</Words>
  <Characters>18018</Characters>
  <Lines>281</Lines>
  <Paragraphs>79</Paragraphs>
  <TotalTime>41</TotalTime>
  <ScaleCrop>false</ScaleCrop>
  <LinksUpToDate>false</LinksUpToDate>
  <CharactersWithSpaces>18605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张政</cp:lastModifiedBy>
  <cp:lastPrinted>2021-12-28T11:06:00Z</cp:lastPrinted>
  <dcterms:modified xsi:type="dcterms:W3CDTF">2025-05-13T02:27:00Z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DF61178F97F54DFF81F8CA662CB8AED9_13</vt:lpwstr>
  </property>
  <property fmtid="{D5CDD505-2E9C-101B-9397-08002B2CF9AE}" pid="5" name="KSOTemplateDocerSaveRecord">
    <vt:lpwstr>eyJoZGlkIjoiNjg3OWVhNmI3MjRjMDQxMDUyNWQ0ODU0MWIzM2MxM2IiLCJ1c2VySWQiOiIxMTc0MjYxNjQ0In0=</vt:lpwstr>
  </property>
</Properties>
</file>