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hAnsi="宋体" w:eastAsia="宋体" w:cs="宋体"/>
          <w:color w:val="auto"/>
          <w:sz w:val="24"/>
          <w:highlight w:val="none"/>
          <w:u w:val="single"/>
        </w:rPr>
      </w:pPr>
      <w:bookmarkStart w:id="0" w:name="_Toc20384570"/>
    </w:p>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杭州市政府采购项目</w:t>
      </w:r>
    </w:p>
    <w:p>
      <w:pPr>
        <w:spacing w:line="360" w:lineRule="auto"/>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采购需求</w:t>
      </w:r>
    </w:p>
    <w:p>
      <w:pPr>
        <w:spacing w:line="360" w:lineRule="auto"/>
        <w:jc w:val="center"/>
        <w:rPr>
          <w:rFonts w:ascii="宋体" w:hAnsi="宋体" w:eastAsia="宋体" w:cs="仿宋_GB2312"/>
          <w:color w:val="auto"/>
          <w:sz w:val="24"/>
          <w:highlight w:val="none"/>
        </w:rPr>
      </w:pPr>
    </w:p>
    <w:p>
      <w:pPr>
        <w:spacing w:line="360" w:lineRule="auto"/>
        <w:jc w:val="center"/>
        <w:rPr>
          <w:rFonts w:ascii="宋体" w:hAnsi="宋体" w:eastAsia="宋体"/>
          <w:color w:val="auto"/>
          <w:sz w:val="24"/>
          <w:highlight w:val="none"/>
        </w:rPr>
      </w:pPr>
    </w:p>
    <w:p>
      <w:pPr>
        <w:spacing w:line="360" w:lineRule="auto"/>
        <w:jc w:val="center"/>
        <w:rPr>
          <w:rFonts w:ascii="宋体" w:hAnsi="宋体" w:eastAsia="宋体"/>
          <w:color w:val="auto"/>
          <w:sz w:val="24"/>
          <w:highlight w:val="none"/>
        </w:rPr>
      </w:pPr>
    </w:p>
    <w:p>
      <w:pPr>
        <w:spacing w:line="360" w:lineRule="auto"/>
        <w:jc w:val="center"/>
        <w:rPr>
          <w:rFonts w:ascii="宋体" w:hAnsi="宋体" w:eastAsia="宋体"/>
          <w:color w:val="auto"/>
          <w:sz w:val="24"/>
          <w:highlight w:val="none"/>
        </w:rPr>
      </w:pPr>
    </w:p>
    <w:p>
      <w:pPr>
        <w:spacing w:line="360" w:lineRule="auto"/>
        <w:ind w:firstLine="1920" w:firstLineChars="800"/>
        <w:rPr>
          <w:rFonts w:ascii="宋体" w:hAnsi="宋体" w:eastAsia="宋体"/>
          <w:color w:val="auto"/>
          <w:sz w:val="24"/>
          <w:highlight w:val="none"/>
        </w:rPr>
      </w:pPr>
      <w:r>
        <w:rPr>
          <w:rFonts w:hint="eastAsia" w:ascii="宋体" w:hAnsi="宋体" w:eastAsia="宋体"/>
          <w:color w:val="auto"/>
          <w:sz w:val="24"/>
          <w:highlight w:val="none"/>
        </w:rPr>
        <w:t>采购单位：</w:t>
      </w:r>
      <w:r>
        <w:rPr>
          <w:rFonts w:hint="eastAsia" w:ascii="宋体" w:hAnsi="宋体" w:eastAsia="宋体"/>
          <w:color w:val="auto"/>
          <w:sz w:val="24"/>
          <w:highlight w:val="none"/>
          <w:u w:val="single"/>
          <w:lang w:eastAsia="zh-CN"/>
        </w:rPr>
        <w:t>杭州市临平区塘栖镇人民政府</w:t>
      </w:r>
      <w:r>
        <w:rPr>
          <w:rFonts w:ascii="宋体" w:hAnsi="宋体" w:eastAsia="宋体"/>
          <w:color w:val="auto"/>
          <w:sz w:val="24"/>
          <w:highlight w:val="none"/>
        </w:rPr>
        <w:t xml:space="preserve">                              </w:t>
      </w:r>
    </w:p>
    <w:p>
      <w:pPr>
        <w:adjustRightInd/>
        <w:spacing w:line="360" w:lineRule="auto"/>
        <w:jc w:val="center"/>
        <w:rPr>
          <w:rFonts w:hint="eastAsia" w:ascii="宋体" w:hAnsi="宋体" w:eastAsia="宋体"/>
          <w:color w:val="auto"/>
          <w:sz w:val="24"/>
          <w:highlight w:val="none"/>
          <w:lang w:eastAsia="zh-CN"/>
        </w:rPr>
      </w:pPr>
      <w:r>
        <w:rPr>
          <w:rFonts w:ascii="宋体" w:hAnsi="宋体" w:eastAsia="宋体"/>
          <w:color w:val="auto"/>
          <w:sz w:val="24"/>
          <w:highlight w:val="none"/>
        </w:rPr>
        <w:t>项目名称</w:t>
      </w:r>
      <w:r>
        <w:rPr>
          <w:rFonts w:hint="eastAsia" w:ascii="宋体" w:hAnsi="宋体" w:eastAsia="宋体"/>
          <w:color w:val="auto"/>
          <w:sz w:val="24"/>
          <w:highlight w:val="none"/>
        </w:rPr>
        <w:t>：</w:t>
      </w:r>
      <w:r>
        <w:rPr>
          <w:rFonts w:hint="eastAsia" w:ascii="宋体" w:hAnsi="宋体" w:eastAsia="宋体"/>
          <w:color w:val="auto"/>
          <w:sz w:val="24"/>
          <w:highlight w:val="none"/>
          <w:u w:val="single"/>
          <w:lang w:val="en-US" w:eastAsia="zh-CN"/>
        </w:rPr>
        <w:t>202</w:t>
      </w:r>
      <w:r>
        <w:rPr>
          <w:rFonts w:hint="eastAsia" w:ascii="宋体" w:hAnsi="宋体"/>
          <w:color w:val="auto"/>
          <w:sz w:val="24"/>
          <w:highlight w:val="none"/>
          <w:u w:val="single"/>
          <w:lang w:val="en-US" w:eastAsia="zh-CN"/>
        </w:rPr>
        <w:t>5</w:t>
      </w:r>
      <w:r>
        <w:rPr>
          <w:rFonts w:hint="eastAsia" w:ascii="宋体" w:hAnsi="宋体" w:eastAsia="宋体"/>
          <w:color w:val="auto"/>
          <w:sz w:val="24"/>
          <w:highlight w:val="none"/>
          <w:u w:val="single"/>
          <w:lang w:val="en-US" w:eastAsia="zh-CN"/>
        </w:rPr>
        <w:t>年塘栖镇政府物业</w:t>
      </w:r>
      <w:r>
        <w:rPr>
          <w:rFonts w:hint="eastAsia" w:ascii="宋体" w:hAnsi="宋体" w:eastAsia="宋体"/>
          <w:color w:val="auto"/>
          <w:sz w:val="24"/>
          <w:highlight w:val="none"/>
          <w:u w:val="single"/>
        </w:rPr>
        <w:t>服务</w:t>
      </w:r>
      <w:r>
        <w:rPr>
          <w:rFonts w:hint="eastAsia" w:ascii="宋体" w:hAnsi="宋体" w:eastAsia="宋体"/>
          <w:color w:val="auto"/>
          <w:sz w:val="24"/>
          <w:highlight w:val="none"/>
          <w:u w:val="single"/>
          <w:lang w:eastAsia="zh-CN"/>
        </w:rPr>
        <w:t>采购项目</w:t>
      </w:r>
    </w:p>
    <w:p>
      <w:pPr>
        <w:spacing w:line="360" w:lineRule="auto"/>
        <w:ind w:left="2045" w:leftChars="878" w:hanging="201" w:hangingChars="84"/>
        <w:rPr>
          <w:rFonts w:ascii="宋体" w:hAnsi="宋体" w:eastAsia="宋体"/>
          <w:color w:val="auto"/>
          <w:sz w:val="24"/>
          <w:highlight w:val="none"/>
        </w:rPr>
      </w:pPr>
      <w:r>
        <w:rPr>
          <w:rFonts w:hint="eastAsia" w:ascii="宋体" w:hAnsi="宋体" w:eastAsia="宋体"/>
          <w:color w:val="auto"/>
          <w:sz w:val="24"/>
          <w:highlight w:val="none"/>
        </w:rPr>
        <w:t>编制单位：</w:t>
      </w:r>
      <w:r>
        <w:rPr>
          <w:rFonts w:hint="eastAsia" w:ascii="宋体" w:hAnsi="宋体" w:eastAsia="宋体"/>
          <w:color w:val="auto"/>
          <w:sz w:val="24"/>
          <w:highlight w:val="none"/>
          <w:u w:val="single"/>
          <w:lang w:eastAsia="zh-CN"/>
        </w:rPr>
        <w:t>杭州市临平区塘栖镇人民政府</w:t>
      </w:r>
      <w:r>
        <w:rPr>
          <w:rFonts w:ascii="宋体" w:hAnsi="宋体" w:eastAsia="宋体"/>
          <w:color w:val="auto"/>
          <w:sz w:val="24"/>
          <w:highlight w:val="none"/>
        </w:rPr>
        <w:t xml:space="preserve">                                             </w:t>
      </w:r>
    </w:p>
    <w:p>
      <w:pPr>
        <w:spacing w:line="360" w:lineRule="auto"/>
        <w:ind w:firstLine="1920" w:firstLineChars="800"/>
        <w:rPr>
          <w:rFonts w:ascii="宋体" w:hAnsi="宋体" w:eastAsia="宋体"/>
          <w:color w:val="auto"/>
          <w:sz w:val="24"/>
          <w:highlight w:val="none"/>
        </w:rPr>
      </w:pPr>
      <w:r>
        <w:rPr>
          <w:rFonts w:hint="eastAsia" w:ascii="宋体" w:hAnsi="宋体" w:eastAsia="宋体"/>
          <w:color w:val="auto"/>
          <w:sz w:val="24"/>
          <w:highlight w:val="none"/>
        </w:rPr>
        <w:t>编制时间：</w:t>
      </w:r>
      <w:r>
        <w:rPr>
          <w:rFonts w:hint="eastAsia" w:ascii="宋体" w:hAnsi="宋体"/>
          <w:color w:val="auto"/>
          <w:sz w:val="24"/>
          <w:highlight w:val="none"/>
          <w:u w:val="single"/>
          <w:lang w:val="en-US" w:eastAsia="zh-CN"/>
        </w:rPr>
        <w:t xml:space="preserve">       2</w:t>
      </w:r>
      <w:r>
        <w:rPr>
          <w:rFonts w:ascii="宋体" w:hAnsi="宋体" w:eastAsia="宋体"/>
          <w:color w:val="auto"/>
          <w:sz w:val="24"/>
          <w:highlight w:val="none"/>
          <w:u w:val="single"/>
        </w:rPr>
        <w:t>02</w:t>
      </w:r>
      <w:r>
        <w:rPr>
          <w:rFonts w:hint="eastAsia" w:ascii="宋体" w:hAnsi="宋体"/>
          <w:color w:val="auto"/>
          <w:sz w:val="24"/>
          <w:highlight w:val="none"/>
          <w:u w:val="single"/>
          <w:lang w:val="en-US" w:eastAsia="zh-CN"/>
        </w:rPr>
        <w:t>5</w:t>
      </w:r>
      <w:r>
        <w:rPr>
          <w:rFonts w:hint="eastAsia" w:ascii="宋体" w:hAnsi="宋体" w:eastAsia="宋体"/>
          <w:color w:val="auto"/>
          <w:sz w:val="24"/>
          <w:highlight w:val="none"/>
          <w:u w:val="single"/>
        </w:rPr>
        <w:t>年</w:t>
      </w:r>
      <w:r>
        <w:rPr>
          <w:rFonts w:hint="eastAsia" w:ascii="宋体" w:hAnsi="宋体"/>
          <w:color w:val="auto"/>
          <w:sz w:val="24"/>
          <w:highlight w:val="none"/>
          <w:u w:val="single"/>
          <w:lang w:val="en-US" w:eastAsia="zh-CN"/>
        </w:rPr>
        <w:t>4</w:t>
      </w:r>
      <w:r>
        <w:rPr>
          <w:rFonts w:hint="eastAsia" w:ascii="宋体" w:hAnsi="宋体" w:eastAsia="宋体"/>
          <w:color w:val="auto"/>
          <w:sz w:val="24"/>
          <w:highlight w:val="none"/>
          <w:u w:val="single"/>
        </w:rPr>
        <w:t>月</w:t>
      </w:r>
      <w:r>
        <w:rPr>
          <w:rFonts w:ascii="宋体" w:hAnsi="宋体" w:eastAsia="宋体"/>
          <w:color w:val="auto"/>
          <w:sz w:val="24"/>
          <w:highlight w:val="none"/>
          <w:u w:val="single"/>
        </w:rPr>
        <w:t xml:space="preserve">        </w:t>
      </w:r>
      <w:r>
        <w:rPr>
          <w:rFonts w:ascii="宋体" w:hAnsi="宋体" w:eastAsia="宋体"/>
          <w:color w:val="auto"/>
          <w:sz w:val="24"/>
          <w:highlight w:val="none"/>
        </w:rPr>
        <w:t xml:space="preserve">                           </w:t>
      </w:r>
    </w:p>
    <w:p>
      <w:pPr>
        <w:spacing w:line="360" w:lineRule="auto"/>
        <w:jc w:val="left"/>
        <w:rPr>
          <w:rFonts w:ascii="宋体" w:hAnsi="宋体" w:eastAsia="宋体"/>
          <w:b/>
          <w:color w:val="auto"/>
          <w:sz w:val="24"/>
          <w:highlight w:val="none"/>
        </w:rPr>
      </w:pPr>
      <w:r>
        <w:rPr>
          <w:rFonts w:ascii="宋体" w:hAnsi="宋体" w:eastAsia="宋体"/>
          <w:color w:val="auto"/>
          <w:sz w:val="24"/>
          <w:highlight w:val="none"/>
        </w:rPr>
        <w:br w:type="page"/>
      </w:r>
      <w:r>
        <w:rPr>
          <w:rFonts w:hint="eastAsia" w:ascii="宋体" w:hAnsi="宋体" w:eastAsia="宋体"/>
          <w:b/>
          <w:color w:val="auto"/>
          <w:sz w:val="24"/>
          <w:highlight w:val="none"/>
        </w:rPr>
        <w:t>一、需求调查情况</w:t>
      </w:r>
    </w:p>
    <w:p>
      <w:pPr>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（一）本项目是否需要开展需求调查：</w:t>
      </w:r>
      <w:r>
        <w:rPr>
          <w:rFonts w:hint="eastAsia" w:ascii="宋体" w:hAnsi="宋体"/>
          <w:color w:val="auto"/>
          <w:sz w:val="24"/>
          <w:highlight w:val="none"/>
          <w:lang w:eastAsia="zh-CN"/>
        </w:rPr>
        <w:t>☑</w:t>
      </w:r>
      <w:r>
        <w:rPr>
          <w:rFonts w:hint="eastAsia" w:ascii="宋体" w:hAnsi="宋体" w:eastAsia="宋体" w:cs="仿宋_GB2312"/>
          <w:color w:val="auto"/>
          <w:sz w:val="24"/>
          <w:highlight w:val="none"/>
        </w:rPr>
        <w:t>是</w:t>
      </w:r>
      <w:r>
        <w:rPr>
          <w:rFonts w:ascii="宋体" w:hAnsi="宋体" w:eastAsia="宋体" w:cs="仿宋_GB2312"/>
          <w:color w:val="auto"/>
          <w:sz w:val="24"/>
          <w:highlight w:val="none"/>
        </w:rPr>
        <w:t xml:space="preserve"> </w:t>
      </w:r>
      <w:r>
        <w:rPr>
          <w:rFonts w:hint="eastAsia" w:ascii="宋体" w:hAnsi="宋体"/>
          <w:color w:val="auto"/>
          <w:sz w:val="24"/>
          <w:highlight w:val="none"/>
          <w:lang w:eastAsia="zh-CN"/>
        </w:rPr>
        <w:t>□</w:t>
      </w:r>
      <w:r>
        <w:rPr>
          <w:rFonts w:hint="eastAsia" w:ascii="宋体" w:hAnsi="宋体" w:eastAsia="宋体" w:cs="仿宋_GB2312"/>
          <w:color w:val="auto"/>
          <w:sz w:val="24"/>
          <w:highlight w:val="none"/>
        </w:rPr>
        <w:t>否</w:t>
      </w:r>
    </w:p>
    <w:p>
      <w:pPr>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（二）本项目是否属于可以不再重复开展需求调查情形：</w:t>
      </w:r>
      <w:r>
        <w:rPr>
          <w:rFonts w:hint="eastAsia" w:ascii="宋体" w:hAnsi="宋体" w:eastAsia="宋体"/>
          <w:color w:val="auto"/>
          <w:sz w:val="24"/>
          <w:highlight w:val="none"/>
        </w:rPr>
        <w:t>□</w:t>
      </w:r>
      <w:r>
        <w:rPr>
          <w:rFonts w:hint="eastAsia" w:ascii="宋体" w:hAnsi="宋体" w:eastAsia="宋体" w:cs="仿宋_GB2312"/>
          <w:color w:val="auto"/>
          <w:sz w:val="24"/>
          <w:highlight w:val="none"/>
        </w:rPr>
        <w:t>是</w:t>
      </w:r>
      <w:r>
        <w:rPr>
          <w:rFonts w:ascii="宋体" w:hAnsi="宋体" w:eastAsia="宋体" w:cs="仿宋_GB2312"/>
          <w:color w:val="auto"/>
          <w:sz w:val="24"/>
          <w:highlight w:val="none"/>
        </w:rPr>
        <w:t xml:space="preserve">  </w:t>
      </w:r>
      <w:r>
        <w:rPr>
          <w:rFonts w:hint="eastAsia" w:ascii="宋体" w:hAnsi="宋体"/>
          <w:color w:val="auto"/>
          <w:sz w:val="24"/>
          <w:highlight w:val="none"/>
          <w:lang w:eastAsia="zh-CN"/>
        </w:rPr>
        <w:t>☑</w:t>
      </w:r>
      <w:r>
        <w:rPr>
          <w:rFonts w:hint="eastAsia" w:ascii="宋体" w:hAnsi="宋体" w:eastAsia="宋体" w:cs="仿宋_GB2312"/>
          <w:color w:val="auto"/>
          <w:sz w:val="24"/>
          <w:highlight w:val="none"/>
        </w:rPr>
        <w:t>否</w:t>
      </w:r>
    </w:p>
    <w:p>
      <w:pPr>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（三）需求调查方式</w:t>
      </w:r>
    </w:p>
    <w:p>
      <w:pPr>
        <w:spacing w:line="360" w:lineRule="auto"/>
        <w:ind w:firstLine="420"/>
        <w:jc w:val="left"/>
        <w:rPr>
          <w:rFonts w:ascii="宋体" w:hAnsi="宋体" w:eastAsia="宋体" w:cs="仿宋_GB2312"/>
          <w:color w:val="auto"/>
          <w:sz w:val="24"/>
          <w:highlight w:val="none"/>
        </w:rPr>
      </w:pPr>
      <w:r>
        <w:rPr>
          <w:rFonts w:hint="eastAsia" w:ascii="宋体" w:hAnsi="宋体"/>
          <w:color w:val="auto"/>
          <w:sz w:val="24"/>
          <w:highlight w:val="none"/>
          <w:lang w:eastAsia="zh-CN"/>
        </w:rPr>
        <w:t>☑</w:t>
      </w:r>
      <w:r>
        <w:rPr>
          <w:rFonts w:hint="eastAsia" w:ascii="宋体" w:hAnsi="宋体" w:eastAsia="宋体" w:cs="仿宋_GB2312"/>
          <w:color w:val="auto"/>
          <w:sz w:val="24"/>
          <w:highlight w:val="none"/>
        </w:rPr>
        <w:t>咨询</w:t>
      </w:r>
      <w:r>
        <w:rPr>
          <w:rFonts w:ascii="宋体" w:hAnsi="宋体" w:eastAsia="宋体" w:cs="仿宋_GB2312"/>
          <w:color w:val="auto"/>
          <w:sz w:val="24"/>
          <w:highlight w:val="none"/>
        </w:rPr>
        <w:t xml:space="preserve"> </w:t>
      </w:r>
      <w:r>
        <w:rPr>
          <w:rFonts w:hint="eastAsia" w:ascii="宋体" w:hAnsi="宋体" w:eastAsia="宋体"/>
          <w:color w:val="auto"/>
          <w:sz w:val="24"/>
          <w:highlight w:val="none"/>
        </w:rPr>
        <w:t>□</w:t>
      </w:r>
      <w:r>
        <w:rPr>
          <w:rFonts w:hint="eastAsia" w:ascii="宋体" w:hAnsi="宋体" w:eastAsia="宋体" w:cs="仿宋_GB2312"/>
          <w:color w:val="auto"/>
          <w:sz w:val="24"/>
          <w:highlight w:val="none"/>
        </w:rPr>
        <w:t>论证</w:t>
      </w:r>
      <w:r>
        <w:rPr>
          <w:rFonts w:ascii="宋体" w:hAnsi="宋体" w:eastAsia="宋体" w:cs="仿宋_GB2312"/>
          <w:color w:val="auto"/>
          <w:sz w:val="24"/>
          <w:highlight w:val="none"/>
        </w:rPr>
        <w:t xml:space="preserve"> </w:t>
      </w:r>
      <w:r>
        <w:rPr>
          <w:rFonts w:hint="eastAsia" w:ascii="宋体" w:hAnsi="宋体" w:eastAsia="宋体"/>
          <w:color w:val="auto"/>
          <w:sz w:val="24"/>
          <w:highlight w:val="none"/>
        </w:rPr>
        <w:t>□</w:t>
      </w:r>
      <w:r>
        <w:rPr>
          <w:rFonts w:hint="eastAsia" w:ascii="宋体" w:hAnsi="宋体" w:eastAsia="宋体" w:cs="仿宋_GB2312"/>
          <w:color w:val="auto"/>
          <w:sz w:val="24"/>
          <w:highlight w:val="none"/>
        </w:rPr>
        <w:t>问卷调查</w:t>
      </w:r>
      <w:r>
        <w:rPr>
          <w:rFonts w:ascii="宋体" w:hAnsi="宋体" w:eastAsia="宋体" w:cs="仿宋_GB2312"/>
          <w:color w:val="auto"/>
          <w:sz w:val="24"/>
          <w:highlight w:val="none"/>
        </w:rPr>
        <w:t xml:space="preserve"> </w:t>
      </w:r>
      <w:r>
        <w:rPr>
          <w:rFonts w:hint="eastAsia" w:ascii="宋体" w:hAnsi="宋体" w:eastAsia="宋体"/>
          <w:color w:val="auto"/>
          <w:sz w:val="24"/>
          <w:highlight w:val="none"/>
        </w:rPr>
        <w:t>□</w:t>
      </w:r>
      <w:r>
        <w:rPr>
          <w:rFonts w:hint="eastAsia" w:ascii="宋体" w:hAnsi="宋体" w:eastAsia="宋体" w:cs="仿宋_GB2312"/>
          <w:color w:val="auto"/>
          <w:sz w:val="24"/>
          <w:highlight w:val="none"/>
        </w:rPr>
        <w:t>其他方式（</w:t>
      </w:r>
      <w:r>
        <w:rPr>
          <w:rFonts w:ascii="宋体" w:hAnsi="宋体" w:eastAsia="宋体" w:cs="仿宋_GB2312"/>
          <w:color w:val="auto"/>
          <w:sz w:val="24"/>
          <w:highlight w:val="none"/>
          <w:u w:val="single"/>
        </w:rPr>
        <w:t xml:space="preserve">            </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 xml:space="preserve">                        </w:t>
      </w:r>
      <w:r>
        <w:rPr>
          <w:rFonts w:hint="eastAsia" w:ascii="宋体" w:hAnsi="宋体" w:eastAsia="宋体" w:cs="仿宋_GB2312"/>
          <w:color w:val="auto"/>
          <w:sz w:val="24"/>
          <w:highlight w:val="none"/>
        </w:rPr>
        <w:t>（四）需求调查对象</w:t>
      </w:r>
    </w:p>
    <w:p>
      <w:pPr>
        <w:spacing w:line="360" w:lineRule="auto"/>
        <w:jc w:val="left"/>
        <w:rPr>
          <w:rFonts w:ascii="仿宋" w:hAnsi="仿宋" w:eastAsia="仿宋" w:cs="仿宋"/>
          <w:i w:val="0"/>
          <w:iCs w:val="0"/>
          <w:caps w:val="0"/>
          <w:color w:val="000000"/>
          <w:spacing w:val="0"/>
          <w:sz w:val="27"/>
          <w:szCs w:val="27"/>
        </w:rPr>
      </w:pPr>
      <w:r>
        <w:rPr>
          <w:rFonts w:ascii="仿宋" w:hAnsi="仿宋" w:eastAsia="仿宋" w:cs="仿宋"/>
          <w:i w:val="0"/>
          <w:iCs w:val="0"/>
          <w:caps w:val="0"/>
          <w:color w:val="000000"/>
          <w:spacing w:val="0"/>
          <w:sz w:val="27"/>
          <w:szCs w:val="27"/>
        </w:rPr>
        <w:t>杭州</w:t>
      </w:r>
      <w:r>
        <w:rPr>
          <w:rFonts w:hint="eastAsia" w:ascii="仿宋" w:hAnsi="仿宋" w:eastAsia="仿宋" w:cs="仿宋"/>
          <w:i w:val="0"/>
          <w:iCs w:val="0"/>
          <w:caps w:val="0"/>
          <w:color w:val="000000"/>
          <w:spacing w:val="0"/>
          <w:sz w:val="27"/>
          <w:szCs w:val="27"/>
          <w:lang w:eastAsia="zh-CN"/>
        </w:rPr>
        <w:t>广延建设</w:t>
      </w:r>
      <w:r>
        <w:rPr>
          <w:rFonts w:ascii="仿宋" w:hAnsi="仿宋" w:eastAsia="仿宋" w:cs="仿宋"/>
          <w:i w:val="0"/>
          <w:iCs w:val="0"/>
          <w:caps w:val="0"/>
          <w:color w:val="000000"/>
          <w:spacing w:val="0"/>
          <w:sz w:val="27"/>
          <w:szCs w:val="27"/>
        </w:rPr>
        <w:t>有限公司</w:t>
      </w:r>
      <w:r>
        <w:rPr>
          <w:rFonts w:hint="eastAsia" w:ascii="仿宋" w:hAnsi="仿宋" w:eastAsia="仿宋" w:cs="仿宋"/>
          <w:i w:val="0"/>
          <w:iCs w:val="0"/>
          <w:caps w:val="0"/>
          <w:color w:val="000000"/>
          <w:spacing w:val="0"/>
          <w:sz w:val="27"/>
          <w:szCs w:val="27"/>
          <w:lang w:val="en-US" w:eastAsia="zh-CN"/>
        </w:rPr>
        <w:t>、</w:t>
      </w:r>
      <w:r>
        <w:rPr>
          <w:rFonts w:ascii="仿宋" w:hAnsi="仿宋" w:eastAsia="仿宋" w:cs="仿宋"/>
          <w:i w:val="0"/>
          <w:iCs w:val="0"/>
          <w:caps w:val="0"/>
          <w:color w:val="000000"/>
          <w:spacing w:val="0"/>
          <w:sz w:val="27"/>
          <w:szCs w:val="27"/>
        </w:rPr>
        <w:t>杭州绿城第一物业服务有限公司</w:t>
      </w:r>
      <w:r>
        <w:rPr>
          <w:rFonts w:hint="eastAsia" w:ascii="仿宋" w:hAnsi="仿宋" w:eastAsia="仿宋" w:cs="仿宋"/>
          <w:i w:val="0"/>
          <w:iCs w:val="0"/>
          <w:caps w:val="0"/>
          <w:color w:val="000000"/>
          <w:spacing w:val="0"/>
          <w:sz w:val="27"/>
          <w:szCs w:val="27"/>
          <w:lang w:val="en-US" w:eastAsia="zh-CN"/>
        </w:rPr>
        <w:t>、</w:t>
      </w:r>
      <w:r>
        <w:rPr>
          <w:rFonts w:ascii="仿宋" w:hAnsi="仿宋" w:eastAsia="仿宋" w:cs="仿宋"/>
          <w:i w:val="0"/>
          <w:iCs w:val="0"/>
          <w:caps w:val="0"/>
          <w:color w:val="000000"/>
          <w:spacing w:val="0"/>
          <w:sz w:val="27"/>
          <w:szCs w:val="27"/>
        </w:rPr>
        <w:t>绿城物业服务集团有限公司</w:t>
      </w:r>
    </w:p>
    <w:p>
      <w:pPr>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（五）需求调查结果</w:t>
      </w:r>
    </w:p>
    <w:p>
      <w:pPr>
        <w:spacing w:line="360" w:lineRule="auto"/>
        <w:ind w:firstLine="420"/>
        <w:jc w:val="left"/>
        <w:rPr>
          <w:rFonts w:ascii="宋体" w:hAnsi="宋体" w:eastAsia="宋体"/>
          <w:color w:val="auto"/>
          <w:sz w:val="24"/>
          <w:highlight w:val="none"/>
        </w:rPr>
      </w:pPr>
      <w:r>
        <w:rPr>
          <w:rFonts w:ascii="宋体" w:hAnsi="宋体" w:eastAsia="宋体"/>
          <w:color w:val="auto"/>
          <w:sz w:val="24"/>
          <w:highlight w:val="none"/>
        </w:rPr>
        <w:t>1.相关产业发展情况</w:t>
      </w:r>
    </w:p>
    <w:p>
      <w:pPr>
        <w:spacing w:line="360" w:lineRule="auto"/>
        <w:ind w:firstLine="42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u w:val="single"/>
          <w:lang w:val="en-US" w:eastAsia="zh-CN"/>
        </w:rPr>
        <w:t xml:space="preserve">  相关产业发展情况良好。</w:t>
      </w:r>
    </w:p>
    <w:p>
      <w:pPr>
        <w:spacing w:line="360" w:lineRule="auto"/>
        <w:ind w:firstLine="420"/>
        <w:jc w:val="left"/>
        <w:rPr>
          <w:rFonts w:ascii="宋体" w:hAnsi="宋体" w:eastAsia="宋体"/>
          <w:color w:val="auto"/>
          <w:sz w:val="24"/>
          <w:highlight w:val="none"/>
        </w:rPr>
      </w:pPr>
      <w:r>
        <w:rPr>
          <w:rFonts w:ascii="宋体" w:hAnsi="宋体" w:eastAsia="宋体"/>
          <w:color w:val="auto"/>
          <w:sz w:val="24"/>
          <w:highlight w:val="none"/>
        </w:rPr>
        <w:t>2.市场供给情况</w:t>
      </w:r>
    </w:p>
    <w:p>
      <w:pPr>
        <w:spacing w:line="360" w:lineRule="auto"/>
        <w:ind w:firstLine="420"/>
        <w:jc w:val="left"/>
        <w:rPr>
          <w:rFonts w:hint="eastAsia"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u w:val="single"/>
          <w:lang w:val="en-US" w:eastAsia="zh-CN"/>
        </w:rPr>
        <w:t xml:space="preserve">  市场供给情况</w:t>
      </w:r>
      <w:r>
        <w:rPr>
          <w:rFonts w:hint="eastAsia" w:ascii="宋体" w:hAnsi="宋体" w:eastAsia="宋体"/>
          <w:color w:val="auto"/>
          <w:sz w:val="24"/>
          <w:highlight w:val="none"/>
          <w:u w:val="single"/>
          <w:lang w:val="en-US" w:eastAsia="zh-CN"/>
        </w:rPr>
        <w:t>良好</w:t>
      </w:r>
      <w:r>
        <w:rPr>
          <w:rFonts w:hint="eastAsia" w:ascii="宋体" w:hAnsi="宋体" w:eastAsia="宋体" w:cs="Times New Roman"/>
          <w:color w:val="auto"/>
          <w:sz w:val="24"/>
          <w:szCs w:val="24"/>
          <w:highlight w:val="none"/>
          <w:u w:val="single"/>
          <w:lang w:val="en-US" w:eastAsia="zh-CN"/>
        </w:rPr>
        <w:t>。</w:t>
      </w:r>
    </w:p>
    <w:p>
      <w:pPr>
        <w:spacing w:line="360" w:lineRule="auto"/>
        <w:ind w:firstLine="420"/>
        <w:jc w:val="left"/>
        <w:rPr>
          <w:rFonts w:ascii="宋体" w:hAnsi="宋体" w:eastAsia="宋体"/>
          <w:color w:val="auto"/>
          <w:sz w:val="24"/>
          <w:highlight w:val="none"/>
        </w:rPr>
      </w:pPr>
      <w:r>
        <w:rPr>
          <w:rFonts w:ascii="宋体" w:hAnsi="宋体" w:eastAsia="宋体"/>
          <w:color w:val="auto"/>
          <w:sz w:val="24"/>
          <w:highlight w:val="none"/>
        </w:rPr>
        <w:t>3.同类采购项目历史成交信息情况</w:t>
      </w:r>
    </w:p>
    <w:tbl>
      <w:tblPr>
        <w:tblStyle w:val="26"/>
        <w:tblW w:w="7999" w:type="dxa"/>
        <w:tblInd w:w="58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
      <w:tblGrid>
        <w:gridCol w:w="4173"/>
        <w:gridCol w:w="382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550" w:hRule="atLeast"/>
        </w:trPr>
        <w:tc>
          <w:tcPr>
            <w:tcW w:w="417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spacing w:line="360" w:lineRule="auto"/>
              <w:jc w:val="both"/>
              <w:rPr>
                <w:rFonts w:hint="default" w:ascii="宋体" w:hAnsi="宋体" w:eastAsia="宋体"/>
                <w:color w:val="000000"/>
                <w:sz w:val="24"/>
                <w:szCs w:val="24"/>
                <w:highlight w:val="none"/>
              </w:rPr>
            </w:pPr>
            <w:r>
              <w:rPr>
                <w:rFonts w:ascii="宋体" w:hAnsi="宋体" w:eastAsia="宋体"/>
                <w:color w:val="000000"/>
                <w:sz w:val="24"/>
                <w:szCs w:val="24"/>
                <w:highlight w:val="none"/>
              </w:rPr>
              <w:t>项目名称</w:t>
            </w:r>
          </w:p>
        </w:tc>
        <w:tc>
          <w:tcPr>
            <w:tcW w:w="382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spacing w:line="360" w:lineRule="auto"/>
              <w:jc w:val="both"/>
              <w:rPr>
                <w:rFonts w:hint="default" w:ascii="宋体" w:hAnsi="宋体" w:eastAsia="宋体"/>
                <w:color w:val="000000"/>
                <w:sz w:val="24"/>
                <w:szCs w:val="24"/>
                <w:highlight w:val="none"/>
              </w:rPr>
            </w:pPr>
            <w:r>
              <w:rPr>
                <w:rFonts w:ascii="宋体" w:hAnsi="宋体" w:eastAsia="宋体"/>
                <w:color w:val="000000"/>
                <w:sz w:val="24"/>
                <w:szCs w:val="24"/>
                <w:highlight w:val="none"/>
              </w:rPr>
              <w:t>合同金额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994" w:hRule="atLeast"/>
        </w:trPr>
        <w:tc>
          <w:tcPr>
            <w:tcW w:w="417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spacing w:line="360" w:lineRule="auto"/>
              <w:ind w:left="0" w:leftChars="0" w:firstLine="0" w:firstLineChars="0"/>
              <w:jc w:val="both"/>
              <w:rPr>
                <w:rFonts w:hint="default" w:ascii="宋体" w:hAnsi="宋体" w:eastAsia="宋体"/>
                <w:color w:val="000000"/>
                <w:sz w:val="22"/>
                <w:szCs w:val="22"/>
                <w:highlight w:val="none"/>
              </w:rPr>
            </w:pPr>
            <w:r>
              <w:rPr>
                <w:rFonts w:ascii="宋体" w:hAnsi="宋体" w:eastAsia="宋体"/>
                <w:color w:val="000000"/>
                <w:sz w:val="22"/>
                <w:szCs w:val="22"/>
                <w:highlight w:val="none"/>
              </w:rPr>
              <w:t>市民之家办公楼物业管理服务采购项目</w:t>
            </w:r>
          </w:p>
        </w:tc>
        <w:tc>
          <w:tcPr>
            <w:tcW w:w="382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spacing w:line="360" w:lineRule="auto"/>
              <w:jc w:val="both"/>
              <w:rPr>
                <w:rFonts w:hint="default" w:ascii="宋体" w:hAnsi="宋体" w:eastAsia="宋体"/>
                <w:color w:val="000000"/>
                <w:sz w:val="24"/>
                <w:szCs w:val="24"/>
                <w:highlight w:val="none"/>
                <w:lang w:val="en-US" w:eastAsia="zh-CN"/>
              </w:rPr>
            </w:pPr>
            <w:r>
              <w:rPr>
                <w:rFonts w:ascii="宋体" w:hAnsi="宋体" w:eastAsia="宋体"/>
                <w:color w:val="000000"/>
                <w:sz w:val="24"/>
                <w:szCs w:val="24"/>
                <w:highlight w:val="none"/>
              </w:rPr>
              <w:t>1734000</w:t>
            </w:r>
            <w:r>
              <w:rPr>
                <w:rFonts w:hint="eastAsia" w:ascii="宋体" w:hAnsi="宋体" w:eastAsia="宋体"/>
                <w:color w:val="000000"/>
                <w:sz w:val="24"/>
                <w:szCs w:val="24"/>
                <w:highlight w:val="none"/>
                <w:lang w:val="en-US" w:eastAsia="zh-CN"/>
              </w:rPr>
              <w:t>0元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994" w:hRule="atLeast"/>
        </w:trPr>
        <w:tc>
          <w:tcPr>
            <w:tcW w:w="417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spacing w:line="360" w:lineRule="auto"/>
              <w:ind w:left="0" w:leftChars="0" w:firstLine="0" w:firstLineChars="0"/>
              <w:jc w:val="both"/>
              <w:rPr>
                <w:rFonts w:hint="default" w:ascii="宋体" w:hAnsi="宋体" w:eastAsia="宋体"/>
                <w:color w:val="000000"/>
                <w:sz w:val="22"/>
                <w:szCs w:val="22"/>
                <w:highlight w:val="none"/>
              </w:rPr>
            </w:pPr>
            <w:r>
              <w:rPr>
                <w:rFonts w:ascii="宋体" w:hAnsi="宋体" w:eastAsia="宋体"/>
                <w:color w:val="000000"/>
                <w:sz w:val="22"/>
                <w:szCs w:val="22"/>
                <w:highlight w:val="none"/>
              </w:rPr>
              <w:t>乔司街道办事处物业管理服务采购项目</w:t>
            </w:r>
          </w:p>
        </w:tc>
        <w:tc>
          <w:tcPr>
            <w:tcW w:w="382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spacing w:line="360" w:lineRule="auto"/>
              <w:jc w:val="both"/>
              <w:rPr>
                <w:rFonts w:hint="eastAsia" w:ascii="宋体" w:hAnsi="宋体" w:eastAsia="宋体"/>
                <w:color w:val="000000"/>
                <w:sz w:val="24"/>
                <w:szCs w:val="24"/>
                <w:highlight w:val="none"/>
                <w:lang w:val="en-US" w:eastAsia="zh-CN"/>
              </w:rPr>
            </w:pPr>
            <w:r>
              <w:rPr>
                <w:rFonts w:ascii="宋体" w:hAnsi="宋体" w:eastAsia="宋体"/>
                <w:color w:val="000000"/>
                <w:sz w:val="24"/>
                <w:szCs w:val="24"/>
                <w:highlight w:val="none"/>
              </w:rPr>
              <w:t>10560000</w:t>
            </w:r>
            <w:r>
              <w:rPr>
                <w:rFonts w:hint="eastAsia" w:ascii="宋体" w:hAnsi="宋体" w:eastAsia="宋体"/>
                <w:color w:val="000000"/>
                <w:sz w:val="24"/>
                <w:szCs w:val="24"/>
                <w:highlight w:val="none"/>
                <w:lang w:val="en-US" w:eastAsia="zh-CN"/>
              </w:rPr>
              <w:t>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000" w:hRule="atLeast"/>
        </w:trPr>
        <w:tc>
          <w:tcPr>
            <w:tcW w:w="417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spacing w:line="360" w:lineRule="auto"/>
              <w:ind w:left="0" w:leftChars="0" w:firstLine="0" w:firstLineChars="0"/>
              <w:jc w:val="both"/>
              <w:rPr>
                <w:rFonts w:hint="default" w:ascii="宋体" w:hAnsi="宋体" w:eastAsia="宋体"/>
                <w:color w:val="000000"/>
                <w:sz w:val="22"/>
                <w:szCs w:val="22"/>
                <w:highlight w:val="none"/>
              </w:rPr>
            </w:pPr>
            <w:r>
              <w:rPr>
                <w:rFonts w:ascii="宋体" w:hAnsi="宋体" w:eastAsia="宋体"/>
                <w:color w:val="000000"/>
                <w:sz w:val="22"/>
                <w:szCs w:val="22"/>
                <w:highlight w:val="none"/>
              </w:rPr>
              <w:t>崇贤街道物业管理服务采购项目</w:t>
            </w:r>
          </w:p>
        </w:tc>
        <w:tc>
          <w:tcPr>
            <w:tcW w:w="382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spacing w:line="360" w:lineRule="auto"/>
              <w:jc w:val="both"/>
              <w:rPr>
                <w:rFonts w:hint="eastAsia" w:ascii="宋体" w:hAnsi="宋体" w:eastAsia="宋体"/>
                <w:color w:val="000000"/>
                <w:sz w:val="24"/>
                <w:szCs w:val="24"/>
                <w:highlight w:val="none"/>
                <w:lang w:val="en-US" w:eastAsia="zh-CN"/>
              </w:rPr>
            </w:pPr>
            <w:r>
              <w:rPr>
                <w:rFonts w:ascii="宋体" w:hAnsi="宋体" w:eastAsia="宋体"/>
                <w:color w:val="000000"/>
                <w:sz w:val="24"/>
                <w:szCs w:val="24"/>
                <w:highlight w:val="none"/>
              </w:rPr>
              <w:t>6296000</w:t>
            </w:r>
            <w:r>
              <w:rPr>
                <w:rFonts w:hint="eastAsia" w:ascii="宋体" w:hAnsi="宋体" w:eastAsia="宋体"/>
                <w:color w:val="000000"/>
                <w:sz w:val="24"/>
                <w:szCs w:val="24"/>
                <w:highlight w:val="none"/>
                <w:lang w:val="en-US" w:eastAsia="zh-CN"/>
              </w:rPr>
              <w:t>元</w:t>
            </w:r>
          </w:p>
        </w:tc>
      </w:tr>
    </w:tbl>
    <w:p>
      <w:pPr>
        <w:spacing w:line="360" w:lineRule="auto"/>
        <w:ind w:firstLine="420"/>
        <w:jc w:val="left"/>
        <w:rPr>
          <w:rFonts w:ascii="宋体" w:hAnsi="宋体" w:eastAsia="宋体"/>
          <w:color w:val="auto"/>
          <w:sz w:val="24"/>
          <w:highlight w:val="none"/>
        </w:rPr>
      </w:pPr>
      <w:r>
        <w:rPr>
          <w:rFonts w:ascii="宋体" w:hAnsi="宋体" w:eastAsia="宋体"/>
          <w:color w:val="auto"/>
          <w:sz w:val="24"/>
          <w:highlight w:val="none"/>
        </w:rPr>
        <w:t>4.可能涉及的运行维护、升级更新、备品备件、耗材等后续采购情况</w:t>
      </w:r>
    </w:p>
    <w:p>
      <w:pPr>
        <w:spacing w:line="360" w:lineRule="auto"/>
        <w:ind w:firstLine="420"/>
        <w:jc w:val="left"/>
        <w:rPr>
          <w:rFonts w:ascii="宋体" w:hAnsi="宋体" w:eastAsia="宋体"/>
          <w:color w:val="auto"/>
          <w:sz w:val="24"/>
          <w:highlight w:val="none"/>
          <w:u w:val="single"/>
        </w:rPr>
      </w:pPr>
      <w:r>
        <w:rPr>
          <w:rFonts w:hint="eastAsia" w:ascii="宋体" w:hAnsi="宋体" w:eastAsia="宋体"/>
          <w:color w:val="auto"/>
          <w:sz w:val="24"/>
          <w:highlight w:val="none"/>
          <w:u w:val="single"/>
        </w:rPr>
        <w:t>本项目不涉及</w:t>
      </w:r>
      <w:r>
        <w:rPr>
          <w:rFonts w:ascii="宋体" w:hAnsi="宋体" w:eastAsia="宋体"/>
          <w:color w:val="auto"/>
          <w:sz w:val="24"/>
          <w:highlight w:val="none"/>
          <w:u w:val="single"/>
        </w:rPr>
        <w:t xml:space="preserve">                                                                  </w:t>
      </w:r>
    </w:p>
    <w:p>
      <w:pPr>
        <w:spacing w:line="360" w:lineRule="auto"/>
        <w:ind w:firstLine="420"/>
        <w:jc w:val="left"/>
        <w:rPr>
          <w:rFonts w:ascii="宋体" w:hAnsi="宋体" w:eastAsia="宋体"/>
          <w:color w:val="auto"/>
          <w:sz w:val="24"/>
          <w:highlight w:val="none"/>
        </w:rPr>
      </w:pPr>
      <w:r>
        <w:rPr>
          <w:rFonts w:ascii="宋体" w:hAnsi="宋体" w:eastAsia="宋体"/>
          <w:color w:val="auto"/>
          <w:sz w:val="24"/>
          <w:highlight w:val="none"/>
        </w:rPr>
        <w:t>5.其他相关情况</w:t>
      </w:r>
    </w:p>
    <w:p>
      <w:pPr>
        <w:spacing w:line="360" w:lineRule="auto"/>
        <w:ind w:firstLine="420"/>
        <w:jc w:val="left"/>
        <w:rPr>
          <w:rFonts w:ascii="宋体" w:hAnsi="宋体" w:eastAsia="宋体"/>
          <w:color w:val="auto"/>
          <w:sz w:val="24"/>
          <w:highlight w:val="none"/>
          <w:u w:val="single"/>
        </w:rPr>
      </w:pP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无</w:t>
      </w:r>
      <w:r>
        <w:rPr>
          <w:rFonts w:ascii="宋体" w:hAnsi="宋体" w:eastAsia="宋体"/>
          <w:color w:val="auto"/>
          <w:sz w:val="24"/>
          <w:highlight w:val="none"/>
          <w:u w:val="single"/>
        </w:rPr>
        <w:t xml:space="preserve">                                                                 </w:t>
      </w:r>
    </w:p>
    <w:p>
      <w:pPr>
        <w:spacing w:before="312" w:beforeLines="100" w:line="360" w:lineRule="auto"/>
        <w:jc w:val="left"/>
        <w:rPr>
          <w:rFonts w:ascii="宋体" w:hAnsi="宋体" w:eastAsia="宋体"/>
          <w:b/>
          <w:color w:val="auto"/>
          <w:sz w:val="24"/>
          <w:highlight w:val="none"/>
        </w:rPr>
      </w:pPr>
      <w:r>
        <w:rPr>
          <w:rFonts w:ascii="宋体" w:hAnsi="宋体" w:eastAsia="宋体"/>
          <w:b/>
          <w:color w:val="auto"/>
          <w:sz w:val="24"/>
          <w:highlight w:val="none"/>
        </w:rPr>
        <w:t>二</w:t>
      </w:r>
      <w:r>
        <w:rPr>
          <w:rFonts w:hint="eastAsia" w:ascii="宋体" w:hAnsi="宋体" w:eastAsia="宋体"/>
          <w:b/>
          <w:color w:val="auto"/>
          <w:sz w:val="24"/>
          <w:highlight w:val="none"/>
        </w:rPr>
        <w:t>、采购需求内容</w:t>
      </w:r>
    </w:p>
    <w:p>
      <w:pPr>
        <w:spacing w:line="360" w:lineRule="auto"/>
        <w:jc w:val="left"/>
        <w:rPr>
          <w:rFonts w:ascii="宋体" w:hAnsi="宋体" w:eastAsia="宋体" w:cs="仿宋_GB2312"/>
          <w:color w:val="auto"/>
          <w:sz w:val="24"/>
          <w:highlight w:val="none"/>
        </w:rPr>
      </w:pPr>
      <w:bookmarkStart w:id="1" w:name="_Hlk98153383"/>
      <w:r>
        <w:rPr>
          <w:rFonts w:hint="eastAsia" w:ascii="宋体" w:hAnsi="宋体" w:eastAsia="宋体" w:cs="仿宋_GB2312"/>
          <w:color w:val="auto"/>
          <w:sz w:val="24"/>
          <w:highlight w:val="none"/>
        </w:rPr>
        <w:t>（一）项目概况</w:t>
      </w:r>
    </w:p>
    <w:bookmarkEnd w:id="1"/>
    <w:p>
      <w:pPr>
        <w:spacing w:line="360" w:lineRule="auto"/>
        <w:jc w:val="left"/>
        <w:rPr>
          <w:rFonts w:hint="eastAsia" w:ascii="宋体" w:hAnsi="宋体" w:cs="仿宋"/>
          <w:color w:val="auto"/>
          <w:sz w:val="24"/>
          <w:highlight w:val="none"/>
          <w:lang w:eastAsia="zh-CN"/>
        </w:rPr>
      </w:pPr>
      <w:r>
        <w:rPr>
          <w:rFonts w:hint="eastAsia" w:ascii="宋体" w:hAnsi="宋体" w:cs="仿宋"/>
          <w:color w:val="auto"/>
          <w:sz w:val="24"/>
          <w:highlight w:val="none"/>
          <w:lang w:eastAsia="zh-CN"/>
        </w:rPr>
        <w:t>本项目采购内容包括共用设备管理与维修养护（含供电系统、给排水系统、绿化服务、电梯维护、消防设备维护、空调维护等）、安全保卫、公共区域环境卫生管理等及采购单位交办的其他工作，本项目的投标报价包含日常水电维修费用、设备维护费、安全保卫费、卫生管理费、绿化养护费、人员工资、税费等用以及针对本项目物业管理所产生的所有费用及合同包含的所有风险、责任等各项全部费用。</w:t>
      </w:r>
    </w:p>
    <w:p>
      <w:pPr>
        <w:spacing w:line="360" w:lineRule="auto"/>
        <w:jc w:val="left"/>
        <w:rPr>
          <w:rFonts w:ascii="宋体" w:hAnsi="宋体" w:eastAsia="宋体"/>
          <w:b w:val="0"/>
          <w:bCs/>
          <w:color w:val="auto"/>
          <w:sz w:val="24"/>
          <w:highlight w:val="none"/>
          <w:u w:val="single"/>
        </w:rPr>
      </w:pPr>
      <w:r>
        <w:rPr>
          <w:rFonts w:hint="eastAsia" w:ascii="宋体" w:hAnsi="宋体" w:eastAsia="宋体" w:cs="仿宋_GB2312"/>
          <w:color w:val="auto"/>
          <w:sz w:val="24"/>
          <w:highlight w:val="none"/>
        </w:rPr>
        <w:t>（二）预算金额（元）：</w:t>
      </w:r>
      <w:r>
        <w:rPr>
          <w:rFonts w:hint="eastAsia" w:ascii="宋体" w:hAnsi="宋体"/>
          <w:b w:val="0"/>
          <w:bCs/>
          <w:color w:val="auto"/>
          <w:sz w:val="24"/>
          <w:highlight w:val="none"/>
          <w:u w:val="single"/>
          <w:lang w:val="en-US" w:eastAsia="zh-CN"/>
        </w:rPr>
        <w:t>5800000</w:t>
      </w:r>
      <w:r>
        <w:rPr>
          <w:rFonts w:hint="eastAsia" w:ascii="宋体" w:hAnsi="宋体" w:eastAsia="宋体"/>
          <w:b w:val="0"/>
          <w:bCs/>
          <w:color w:val="auto"/>
          <w:sz w:val="24"/>
          <w:highlight w:val="none"/>
          <w:u w:val="single"/>
          <w:lang w:val="en-US" w:eastAsia="zh-CN"/>
        </w:rPr>
        <w:t>元</w:t>
      </w:r>
      <w:r>
        <w:rPr>
          <w:rFonts w:ascii="宋体" w:hAnsi="宋体" w:eastAsia="宋体"/>
          <w:b w:val="0"/>
          <w:bCs/>
          <w:color w:val="auto"/>
          <w:sz w:val="24"/>
          <w:highlight w:val="none"/>
          <w:u w:val="single"/>
        </w:rPr>
        <w:t xml:space="preserve"> </w:t>
      </w:r>
    </w:p>
    <w:p>
      <w:pPr>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（三）需满足的政府采购政策目标和具体支持对象</w:t>
      </w:r>
    </w:p>
    <w:p>
      <w:pPr>
        <w:spacing w:line="360" w:lineRule="auto"/>
        <w:ind w:firstLine="420"/>
        <w:jc w:val="left"/>
        <w:rPr>
          <w:rFonts w:ascii="宋体" w:hAnsi="宋体" w:eastAsia="宋体" w:cs="仿宋_GB2312"/>
          <w:color w:val="auto"/>
          <w:sz w:val="24"/>
          <w:highlight w:val="none"/>
        </w:rPr>
      </w:pPr>
      <w:r>
        <w:rPr>
          <w:rFonts w:hint="eastAsia" w:ascii="宋体" w:hAnsi="宋体"/>
          <w:color w:val="auto"/>
          <w:sz w:val="24"/>
          <w:highlight w:val="none"/>
          <w:lang w:eastAsia="zh-CN"/>
        </w:rPr>
        <w:t>☑</w:t>
      </w:r>
      <w:r>
        <w:rPr>
          <w:rFonts w:hint="eastAsia" w:ascii="宋体" w:hAnsi="宋体" w:eastAsia="宋体" w:cs="仿宋_GB2312"/>
          <w:color w:val="auto"/>
          <w:sz w:val="24"/>
          <w:highlight w:val="none"/>
        </w:rPr>
        <w:t>扶持中小企业</w:t>
      </w:r>
      <w:r>
        <w:rPr>
          <w:rFonts w:ascii="宋体" w:hAnsi="宋体" w:eastAsia="宋体" w:cs="仿宋_GB2312"/>
          <w:color w:val="auto"/>
          <w:sz w:val="24"/>
          <w:highlight w:val="none"/>
        </w:rPr>
        <w:t xml:space="preserve"> </w:t>
      </w:r>
      <w:r>
        <w:rPr>
          <w:rFonts w:hint="eastAsia" w:ascii="宋体" w:hAnsi="宋体"/>
          <w:color w:val="auto"/>
          <w:sz w:val="24"/>
          <w:highlight w:val="none"/>
          <w:lang w:eastAsia="zh-CN"/>
        </w:rPr>
        <w:t>☑</w:t>
      </w:r>
      <w:r>
        <w:rPr>
          <w:rFonts w:hint="eastAsia" w:ascii="宋体" w:hAnsi="宋体" w:eastAsia="宋体" w:cs="仿宋_GB2312"/>
          <w:color w:val="auto"/>
          <w:sz w:val="24"/>
          <w:highlight w:val="none"/>
        </w:rPr>
        <w:t>节能环保</w:t>
      </w:r>
      <w:r>
        <w:rPr>
          <w:rFonts w:ascii="宋体" w:hAnsi="宋体" w:eastAsia="宋体" w:cs="仿宋_GB2312"/>
          <w:color w:val="auto"/>
          <w:sz w:val="24"/>
          <w:highlight w:val="none"/>
        </w:rPr>
        <w:t xml:space="preserve"> </w:t>
      </w:r>
      <w:r>
        <w:rPr>
          <w:rFonts w:hint="eastAsia" w:ascii="宋体" w:hAnsi="宋体" w:eastAsia="宋体"/>
          <w:color w:val="auto"/>
          <w:sz w:val="24"/>
          <w:highlight w:val="none"/>
        </w:rPr>
        <w:t>□</w:t>
      </w:r>
      <w:r>
        <w:rPr>
          <w:rFonts w:hint="eastAsia" w:ascii="宋体" w:hAnsi="宋体" w:eastAsia="宋体" w:cs="仿宋_GB2312"/>
          <w:color w:val="auto"/>
          <w:sz w:val="24"/>
          <w:highlight w:val="none"/>
        </w:rPr>
        <w:t>其他（</w:t>
      </w:r>
      <w:r>
        <w:rPr>
          <w:rFonts w:ascii="宋体" w:hAnsi="宋体" w:eastAsia="宋体" w:cs="仿宋_GB2312"/>
          <w:color w:val="auto"/>
          <w:sz w:val="24"/>
          <w:highlight w:val="none"/>
          <w:u w:val="single"/>
        </w:rPr>
        <w:t xml:space="preserve">            </w:t>
      </w:r>
      <w:r>
        <w:rPr>
          <w:rFonts w:hint="eastAsia" w:ascii="宋体" w:hAnsi="宋体" w:eastAsia="宋体" w:cs="仿宋_GB2312"/>
          <w:color w:val="auto"/>
          <w:sz w:val="24"/>
          <w:highlight w:val="none"/>
        </w:rPr>
        <w:t>）</w:t>
      </w:r>
    </w:p>
    <w:p>
      <w:pPr>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（四）采购标的是否进口产品：</w:t>
      </w:r>
      <w:r>
        <w:rPr>
          <w:rFonts w:ascii="宋体" w:hAnsi="宋体" w:eastAsia="宋体" w:cs="仿宋_GB2312"/>
          <w:color w:val="auto"/>
          <w:sz w:val="24"/>
          <w:highlight w:val="none"/>
        </w:rPr>
        <w:t xml:space="preserve"> </w:t>
      </w:r>
      <w:r>
        <w:rPr>
          <w:rFonts w:hint="eastAsia" w:ascii="宋体" w:hAnsi="宋体" w:eastAsia="宋体"/>
          <w:color w:val="auto"/>
          <w:sz w:val="24"/>
          <w:highlight w:val="none"/>
        </w:rPr>
        <w:t>□</w:t>
      </w:r>
      <w:r>
        <w:rPr>
          <w:rFonts w:hint="eastAsia" w:ascii="宋体" w:hAnsi="宋体" w:eastAsia="宋体" w:cs="仿宋_GB2312"/>
          <w:color w:val="auto"/>
          <w:sz w:val="24"/>
          <w:highlight w:val="none"/>
        </w:rPr>
        <w:t>进口</w:t>
      </w:r>
      <w:r>
        <w:rPr>
          <w:rFonts w:ascii="宋体" w:hAnsi="宋体" w:eastAsia="宋体" w:cs="仿宋_GB2312"/>
          <w:color w:val="auto"/>
          <w:sz w:val="24"/>
          <w:highlight w:val="none"/>
        </w:rPr>
        <w:t xml:space="preserve"> </w:t>
      </w:r>
      <w:r>
        <w:rPr>
          <w:rFonts w:hint="eastAsia" w:ascii="宋体" w:hAnsi="宋体"/>
          <w:color w:val="auto"/>
          <w:sz w:val="24"/>
          <w:highlight w:val="none"/>
          <w:lang w:eastAsia="zh-CN"/>
        </w:rPr>
        <w:t>☑</w:t>
      </w:r>
      <w:r>
        <w:rPr>
          <w:rFonts w:hint="eastAsia" w:ascii="宋体" w:hAnsi="宋体" w:eastAsia="宋体" w:cs="仿宋_GB2312"/>
          <w:color w:val="auto"/>
          <w:sz w:val="24"/>
          <w:highlight w:val="none"/>
        </w:rPr>
        <w:t>国产</w:t>
      </w:r>
    </w:p>
    <w:p>
      <w:pPr>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（五）拟采购标的的技术要求</w:t>
      </w:r>
    </w:p>
    <w:p>
      <w:pPr>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拟采购标的1</w:t>
      </w:r>
    </w:p>
    <w:tbl>
      <w:tblPr>
        <w:tblStyle w:val="26"/>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vAlign w:val="center"/>
          </w:tcPr>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标的内容</w:t>
            </w:r>
          </w:p>
        </w:tc>
        <w:tc>
          <w:tcPr>
            <w:tcW w:w="6804" w:type="dxa"/>
            <w:gridSpan w:val="3"/>
            <w:vAlign w:val="center"/>
          </w:tcPr>
          <w:p>
            <w:pPr>
              <w:spacing w:line="360" w:lineRule="auto"/>
              <w:rPr>
                <w:rFonts w:ascii="宋体" w:hAnsi="宋体" w:eastAsia="宋体" w:cs="仿宋_GB2312"/>
                <w:color w:val="auto"/>
                <w:sz w:val="24"/>
                <w:highlight w:val="none"/>
              </w:rPr>
            </w:pPr>
            <w:r>
              <w:rPr>
                <w:rFonts w:hint="eastAsia" w:ascii="宋体" w:hAnsi="宋体" w:eastAsia="宋体"/>
                <w:color w:val="auto"/>
                <w:sz w:val="24"/>
                <w:highlight w:val="none"/>
                <w:u w:val="none"/>
                <w:lang w:val="en-US" w:eastAsia="zh-CN"/>
              </w:rPr>
              <w:t>202</w:t>
            </w:r>
            <w:r>
              <w:rPr>
                <w:rFonts w:hint="eastAsia" w:ascii="宋体" w:hAnsi="宋体"/>
                <w:color w:val="auto"/>
                <w:sz w:val="24"/>
                <w:highlight w:val="none"/>
                <w:u w:val="none"/>
                <w:lang w:val="en-US" w:eastAsia="zh-CN"/>
              </w:rPr>
              <w:t>5</w:t>
            </w:r>
            <w:r>
              <w:rPr>
                <w:rFonts w:hint="eastAsia" w:ascii="宋体" w:hAnsi="宋体" w:eastAsia="宋体"/>
                <w:color w:val="auto"/>
                <w:sz w:val="24"/>
                <w:highlight w:val="none"/>
                <w:u w:val="none"/>
                <w:lang w:val="en-US" w:eastAsia="zh-CN"/>
              </w:rPr>
              <w:t>年塘栖镇政府物业</w:t>
            </w:r>
            <w:r>
              <w:rPr>
                <w:rFonts w:hint="eastAsia" w:ascii="宋体" w:hAnsi="宋体" w:eastAsia="宋体"/>
                <w:color w:val="auto"/>
                <w:sz w:val="24"/>
                <w:highlight w:val="none"/>
                <w:u w:val="none"/>
              </w:rPr>
              <w:t>服务</w:t>
            </w:r>
            <w:r>
              <w:rPr>
                <w:rFonts w:hint="eastAsia" w:ascii="宋体" w:hAnsi="宋体" w:eastAsia="宋体"/>
                <w:color w:val="auto"/>
                <w:sz w:val="24"/>
                <w:highlight w:val="none"/>
                <w:u w:val="none"/>
                <w:lang w:eastAsia="zh-CN"/>
              </w:rPr>
              <w:t>采购项目</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vAlign w:val="center"/>
          </w:tcPr>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数量</w:t>
            </w:r>
          </w:p>
        </w:tc>
        <w:tc>
          <w:tcPr>
            <w:tcW w:w="2409" w:type="dxa"/>
            <w:vAlign w:val="center"/>
          </w:tcPr>
          <w:p>
            <w:pPr>
              <w:spacing w:line="360" w:lineRule="auto"/>
              <w:jc w:val="center"/>
              <w:rPr>
                <w:rFonts w:ascii="宋体" w:hAnsi="宋体" w:eastAsia="宋体" w:cs="仿宋_GB2312"/>
                <w:color w:val="auto"/>
                <w:sz w:val="24"/>
                <w:highlight w:val="none"/>
              </w:rPr>
            </w:pPr>
            <w:r>
              <w:rPr>
                <w:rFonts w:ascii="宋体" w:hAnsi="宋体" w:eastAsia="宋体" w:cs="仿宋_GB2312"/>
                <w:color w:val="auto"/>
                <w:sz w:val="24"/>
                <w:highlight w:val="none"/>
              </w:rPr>
              <w:t>1</w:t>
            </w:r>
          </w:p>
        </w:tc>
        <w:tc>
          <w:tcPr>
            <w:tcW w:w="1360" w:type="dxa"/>
            <w:vAlign w:val="center"/>
          </w:tcPr>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单位</w:t>
            </w:r>
          </w:p>
        </w:tc>
        <w:tc>
          <w:tcPr>
            <w:tcW w:w="3035" w:type="dxa"/>
            <w:vAlign w:val="center"/>
          </w:tcPr>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项</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458" w:type="dxa"/>
            <w:vAlign w:val="top"/>
          </w:tcPr>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功能和质量</w:t>
            </w:r>
          </w:p>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要求</w:t>
            </w:r>
          </w:p>
        </w:tc>
        <w:tc>
          <w:tcPr>
            <w:tcW w:w="6804" w:type="dxa"/>
            <w:gridSpan w:val="3"/>
            <w:vAlign w:val="top"/>
          </w:tcPr>
          <w:p>
            <w:pPr>
              <w:spacing w:line="360" w:lineRule="auto"/>
              <w:rPr>
                <w:rFonts w:hint="eastAsia" w:ascii="宋体" w:hAnsi="宋体" w:cs="仿宋"/>
                <w:color w:val="auto"/>
                <w:sz w:val="24"/>
                <w:highlight w:val="none"/>
                <w:lang w:eastAsia="zh-CN"/>
              </w:rPr>
            </w:pP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lang w:eastAsia="zh-CN"/>
              </w:rPr>
              <w:t>本项目采购内容包括共用设备管理与维修养护（含供电系统、给排水系统、绿化服务、电梯维护、消防设备维护、空调维护等）、安全保卫、公共区域环境卫生管理等及采购单位交办的其他工作，本项目的投标报价包含日常水电维修费用、设备维护费、安全保卫费、卫生管理费、绿化养护费、人员工资、税费等用以及针对本项目物业管理所产生的所有费用及合同包含的所有风险、责任等各项全部费用。采购人不再支付其他费用。</w:t>
            </w:r>
          </w:p>
          <w:p>
            <w:pPr>
              <w:pStyle w:val="34"/>
              <w:adjustRightInd w:val="0"/>
              <w:snapToGrid w:val="0"/>
              <w:ind w:left="0" w:leftChars="0" w:firstLine="0" w:firstLineChars="0"/>
              <w:rPr>
                <w:rFonts w:hint="default" w:ascii="宋体" w:hAnsi="宋体" w:eastAsia="宋体" w:cs="仿宋"/>
                <w:color w:val="auto"/>
                <w:highlight w:val="none"/>
                <w:lang w:val="en-US"/>
              </w:rPr>
            </w:pPr>
          </w:p>
        </w:tc>
      </w:tr>
    </w:tbl>
    <w:p>
      <w:pPr>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（六）拟采购标的的商务要求</w:t>
      </w:r>
    </w:p>
    <w:p>
      <w:pPr>
        <w:spacing w:line="360" w:lineRule="auto"/>
        <w:ind w:left="210" w:leftChars="100"/>
        <w:jc w:val="left"/>
        <w:rPr>
          <w:rFonts w:ascii="宋体" w:hAnsi="宋体" w:eastAsia="宋体" w:cs="仿宋_GB2312"/>
          <w:color w:val="auto"/>
          <w:sz w:val="24"/>
          <w:highlight w:val="none"/>
          <w:u w:val="single"/>
        </w:rPr>
      </w:pPr>
      <w:r>
        <w:rPr>
          <w:rFonts w:ascii="宋体" w:hAnsi="宋体" w:eastAsia="宋体" w:cs="仿宋_GB2312"/>
          <w:color w:val="auto"/>
          <w:sz w:val="24"/>
          <w:highlight w:val="none"/>
        </w:rPr>
        <w:t>1.交付（实施）的时间（期限）：</w:t>
      </w:r>
      <w:r>
        <w:rPr>
          <w:rFonts w:hint="eastAsia" w:ascii="宋体" w:hAnsi="宋体" w:eastAsia="宋体"/>
          <w:color w:val="auto"/>
          <w:sz w:val="24"/>
          <w:highlight w:val="none"/>
          <w:u w:val="single"/>
        </w:rPr>
        <w:t>服务期限为</w:t>
      </w:r>
      <w:r>
        <w:rPr>
          <w:rFonts w:hint="eastAsia" w:ascii="宋体" w:hAnsi="宋体" w:eastAsia="宋体"/>
          <w:color w:val="auto"/>
          <w:sz w:val="24"/>
          <w:highlight w:val="none"/>
          <w:u w:val="single"/>
          <w:lang w:val="en-US" w:eastAsia="zh-CN"/>
        </w:rPr>
        <w:t>2</w:t>
      </w:r>
      <w:r>
        <w:rPr>
          <w:rFonts w:hint="eastAsia" w:ascii="宋体" w:hAnsi="宋体" w:eastAsia="宋体"/>
          <w:color w:val="auto"/>
          <w:sz w:val="24"/>
          <w:highlight w:val="none"/>
          <w:u w:val="single"/>
        </w:rPr>
        <w:t>年</w:t>
      </w:r>
      <w:r>
        <w:rPr>
          <w:rFonts w:hint="eastAsia" w:ascii="宋体" w:hAnsi="宋体" w:eastAsia="宋体" w:cs="宋体"/>
          <w:bCs/>
          <w:snapToGrid w:val="0"/>
          <w:color w:val="auto"/>
          <w:kern w:val="0"/>
          <w:sz w:val="24"/>
          <w:highlight w:val="none"/>
          <w:u w:val="single"/>
        </w:rPr>
        <w:t>。</w:t>
      </w:r>
      <w:r>
        <w:rPr>
          <w:rFonts w:ascii="宋体" w:hAnsi="宋体" w:eastAsia="宋体"/>
          <w:color w:val="auto"/>
          <w:sz w:val="24"/>
          <w:highlight w:val="none"/>
          <w:u w:val="single"/>
        </w:rPr>
        <w:t xml:space="preserve">  </w:t>
      </w:r>
    </w:p>
    <w:p>
      <w:pPr>
        <w:spacing w:line="360" w:lineRule="auto"/>
        <w:ind w:left="210" w:leftChars="100"/>
        <w:jc w:val="left"/>
        <w:rPr>
          <w:rFonts w:ascii="宋体" w:hAnsi="宋体" w:eastAsia="宋体" w:cs="仿宋_GB2312"/>
          <w:color w:val="auto"/>
          <w:sz w:val="24"/>
          <w:highlight w:val="none"/>
        </w:rPr>
      </w:pPr>
      <w:r>
        <w:rPr>
          <w:rFonts w:ascii="宋体" w:hAnsi="宋体" w:eastAsia="宋体" w:cs="仿宋_GB2312"/>
          <w:color w:val="auto"/>
          <w:sz w:val="24"/>
          <w:highlight w:val="none"/>
        </w:rPr>
        <w:t>2.交付（实施）的地点（范围）：</w:t>
      </w:r>
      <w:r>
        <w:rPr>
          <w:rFonts w:hint="eastAsia" w:ascii="宋体" w:hAnsi="宋体" w:eastAsia="宋体" w:cs="仿宋_GB2312"/>
          <w:color w:val="auto"/>
          <w:sz w:val="24"/>
          <w:highlight w:val="none"/>
          <w:u w:val="single"/>
        </w:rPr>
        <w:t>杭州临平区</w:t>
      </w:r>
      <w:r>
        <w:rPr>
          <w:rFonts w:hint="eastAsia" w:ascii="宋体" w:hAnsi="宋体" w:eastAsia="宋体" w:cs="仿宋_GB2312"/>
          <w:color w:val="auto"/>
          <w:sz w:val="24"/>
          <w:highlight w:val="none"/>
          <w:u w:val="single"/>
          <w:lang w:val="en-US" w:eastAsia="zh-CN"/>
        </w:rPr>
        <w:t>塘栖镇</w:t>
      </w:r>
      <w:r>
        <w:rPr>
          <w:rFonts w:hint="eastAsia" w:ascii="宋体" w:hAnsi="宋体" w:cs="仿宋_GB2312"/>
          <w:color w:val="auto"/>
          <w:sz w:val="24"/>
          <w:highlight w:val="none"/>
          <w:u w:val="single"/>
          <w:lang w:val="en-US" w:eastAsia="zh-CN"/>
        </w:rPr>
        <w:t>,具体以采购人指定地点为准</w:t>
      </w:r>
      <w:r>
        <w:rPr>
          <w:rFonts w:ascii="宋体" w:hAnsi="宋体" w:eastAsia="宋体"/>
          <w:color w:val="auto"/>
          <w:sz w:val="24"/>
          <w:highlight w:val="none"/>
          <w:u w:val="single"/>
        </w:rPr>
        <w:t xml:space="preserve">   </w:t>
      </w:r>
    </w:p>
    <w:p>
      <w:pPr>
        <w:spacing w:line="360" w:lineRule="auto"/>
        <w:ind w:firstLine="240" w:firstLineChars="100"/>
        <w:rPr>
          <w:rFonts w:ascii="宋体" w:hAnsi="宋体" w:eastAsia="宋体" w:cs="仿宋_GB2312"/>
          <w:color w:val="auto"/>
          <w:sz w:val="24"/>
          <w:highlight w:val="none"/>
        </w:rPr>
      </w:pPr>
      <w:r>
        <w:rPr>
          <w:rFonts w:ascii="宋体" w:hAnsi="宋体" w:eastAsia="宋体" w:cs="仿宋_GB2312"/>
          <w:color w:val="auto"/>
          <w:sz w:val="24"/>
          <w:highlight w:val="none"/>
        </w:rPr>
        <w:t>3.付款条件（进度和方式）</w:t>
      </w:r>
    </w:p>
    <w:tbl>
      <w:tblPr>
        <w:tblStyle w:val="26"/>
        <w:tblW w:w="83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92"/>
        <w:gridCol w:w="3554"/>
        <w:gridCol w:w="376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569" w:hRule="atLeast"/>
        </w:trPr>
        <w:tc>
          <w:tcPr>
            <w:tcW w:w="992" w:type="dxa"/>
            <w:vAlign w:val="center"/>
          </w:tcPr>
          <w:p>
            <w:pPr>
              <w:spacing w:line="360" w:lineRule="auto"/>
              <w:jc w:val="center"/>
              <w:rPr>
                <w:rFonts w:ascii="宋体" w:hAnsi="宋体" w:cs="仿宋_GB2312"/>
                <w:sz w:val="24"/>
              </w:rPr>
            </w:pPr>
            <w:r>
              <w:rPr>
                <w:rFonts w:hint="eastAsia" w:ascii="宋体" w:hAnsi="宋体" w:cs="仿宋_GB2312"/>
                <w:sz w:val="24"/>
              </w:rPr>
              <w:t>序号</w:t>
            </w:r>
          </w:p>
        </w:tc>
        <w:tc>
          <w:tcPr>
            <w:tcW w:w="3554" w:type="dxa"/>
            <w:vAlign w:val="center"/>
          </w:tcPr>
          <w:p>
            <w:pPr>
              <w:spacing w:line="360" w:lineRule="auto"/>
              <w:jc w:val="center"/>
              <w:rPr>
                <w:rFonts w:ascii="宋体" w:hAnsi="宋体" w:cs="仿宋_GB2312"/>
                <w:sz w:val="24"/>
              </w:rPr>
            </w:pPr>
            <w:r>
              <w:rPr>
                <w:rFonts w:hint="eastAsia" w:ascii="宋体" w:hAnsi="宋体" w:cs="仿宋_GB2312"/>
                <w:sz w:val="24"/>
              </w:rPr>
              <w:t>付款比例（%）</w:t>
            </w:r>
          </w:p>
        </w:tc>
        <w:tc>
          <w:tcPr>
            <w:tcW w:w="3766" w:type="dxa"/>
            <w:vAlign w:val="center"/>
          </w:tcPr>
          <w:p>
            <w:pPr>
              <w:spacing w:line="360" w:lineRule="auto"/>
              <w:jc w:val="center"/>
              <w:rPr>
                <w:rFonts w:ascii="宋体" w:hAnsi="宋体" w:cs="仿宋_GB2312"/>
                <w:sz w:val="24"/>
              </w:rPr>
            </w:pPr>
            <w:r>
              <w:rPr>
                <w:rFonts w:hint="eastAsia" w:ascii="宋体" w:hAnsi="宋体" w:cs="仿宋_GB2312"/>
                <w:sz w:val="24"/>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509" w:hRule="atLeast"/>
        </w:trPr>
        <w:tc>
          <w:tcPr>
            <w:tcW w:w="992" w:type="dxa"/>
            <w:vAlign w:val="top"/>
          </w:tcPr>
          <w:p>
            <w:pPr>
              <w:spacing w:line="360" w:lineRule="auto"/>
              <w:jc w:val="center"/>
              <w:rPr>
                <w:rFonts w:ascii="宋体" w:hAnsi="宋体" w:cs="仿宋_GB2312"/>
                <w:sz w:val="24"/>
              </w:rPr>
            </w:pPr>
            <w:r>
              <w:rPr>
                <w:rFonts w:hint="eastAsia" w:ascii="宋体" w:hAnsi="宋体" w:cs="仿宋_GB2312"/>
                <w:sz w:val="24"/>
              </w:rPr>
              <w:t>1</w:t>
            </w:r>
          </w:p>
        </w:tc>
        <w:tc>
          <w:tcPr>
            <w:tcW w:w="3554" w:type="dxa"/>
            <w:vAlign w:val="top"/>
          </w:tcPr>
          <w:p>
            <w:pPr>
              <w:spacing w:line="360" w:lineRule="auto"/>
              <w:jc w:val="left"/>
              <w:rPr>
                <w:rFonts w:ascii="宋体" w:hAnsi="宋体" w:cs="仿宋_GB2312"/>
                <w:sz w:val="24"/>
              </w:rPr>
            </w:pPr>
            <w:r>
              <w:rPr>
                <w:rFonts w:hint="eastAsia" w:ascii="宋体" w:hAnsi="宋体" w:eastAsia="宋体" w:cs="宋体"/>
                <w:sz w:val="24"/>
                <w:highlight w:val="none"/>
                <w:lang w:eastAsia="zh-CN"/>
              </w:rPr>
              <w:t>应当</w:t>
            </w:r>
            <w:r>
              <w:rPr>
                <w:rFonts w:hint="eastAsia" w:ascii="宋体" w:hAnsi="宋体" w:eastAsia="宋体" w:cs="宋体"/>
                <w:sz w:val="24"/>
                <w:highlight w:val="none"/>
              </w:rPr>
              <w:t>在政府采购合同中约定预付款，预付款比例</w:t>
            </w:r>
            <w:r>
              <w:rPr>
                <w:rFonts w:hint="eastAsia" w:ascii="宋体" w:hAnsi="宋体" w:eastAsia="宋体" w:cs="宋体"/>
                <w:spacing w:val="-6"/>
                <w:kern w:val="2"/>
                <w:sz w:val="24"/>
                <w:szCs w:val="24"/>
                <w:highlight w:val="none"/>
                <w:lang w:val="en-US" w:eastAsia="zh-CN" w:bidi="ar-SA"/>
              </w:rPr>
              <w:t>原则上不低于合同金额的40％</w:t>
            </w:r>
            <w:r>
              <w:rPr>
                <w:rFonts w:hint="eastAsia" w:ascii="宋体" w:hAnsi="宋体" w:eastAsia="宋体" w:cs="宋体"/>
                <w:sz w:val="24"/>
                <w:highlight w:val="none"/>
              </w:rPr>
              <w:t>；项目分年安排预算的，每年预付款比例</w:t>
            </w:r>
            <w:r>
              <w:rPr>
                <w:rFonts w:hint="eastAsia" w:ascii="宋体" w:hAnsi="宋体" w:eastAsia="宋体" w:cs="宋体"/>
                <w:spacing w:val="-6"/>
                <w:kern w:val="2"/>
                <w:sz w:val="24"/>
                <w:szCs w:val="24"/>
                <w:highlight w:val="none"/>
                <w:lang w:val="en-US" w:eastAsia="zh-CN" w:bidi="ar-SA"/>
              </w:rPr>
              <w:t>不低于项目年度计划支付资金额的40％</w:t>
            </w:r>
            <w:r>
              <w:rPr>
                <w:rFonts w:hint="eastAsia" w:ascii="宋体" w:hAnsi="宋体" w:eastAsia="宋体" w:cs="宋体"/>
                <w:sz w:val="24"/>
                <w:highlight w:val="none"/>
              </w:rPr>
              <w:t>。采购项目实施以人工投入为主的，可适当降低预付款比例，但不低于</w:t>
            </w:r>
            <w:r>
              <w:rPr>
                <w:rFonts w:hint="eastAsia" w:ascii="宋体" w:hAnsi="宋体" w:eastAsia="宋体" w:cs="宋体"/>
                <w:sz w:val="24"/>
                <w:highlight w:val="none"/>
                <w:lang w:val="en-US" w:eastAsia="zh-CN"/>
              </w:rPr>
              <w:t>20</w:t>
            </w:r>
            <w:r>
              <w:rPr>
                <w:rFonts w:hint="eastAsia" w:ascii="宋体" w:hAnsi="宋体" w:eastAsia="宋体" w:cs="宋体"/>
                <w:sz w:val="24"/>
                <w:highlight w:val="none"/>
              </w:rPr>
              <w:t>%。可以根据项目特点、</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信用等实际情况提高预付款比例，最高预付比例可以达到</w:t>
            </w:r>
            <w:r>
              <w:rPr>
                <w:rFonts w:hint="eastAsia" w:ascii="宋体" w:hAnsi="宋体" w:eastAsia="宋体" w:cs="宋体"/>
                <w:sz w:val="24"/>
                <w:highlight w:val="none"/>
                <w:lang w:val="en-US" w:eastAsia="zh-CN"/>
              </w:rPr>
              <w:t>70</w:t>
            </w:r>
            <w:r>
              <w:rPr>
                <w:rFonts w:hint="eastAsia" w:ascii="宋体" w:hAnsi="宋体" w:eastAsia="宋体" w:cs="宋体"/>
                <w:sz w:val="24"/>
                <w:highlight w:val="none"/>
              </w:rPr>
              <w:t>%。</w:t>
            </w:r>
          </w:p>
        </w:tc>
        <w:tc>
          <w:tcPr>
            <w:tcW w:w="3766" w:type="dxa"/>
            <w:vAlign w:val="top"/>
          </w:tcPr>
          <w:p>
            <w:pPr>
              <w:spacing w:line="360" w:lineRule="auto"/>
              <w:rPr>
                <w:rFonts w:ascii="宋体" w:hAnsi="宋体" w:cs="仿宋_GB2312"/>
                <w:sz w:val="24"/>
              </w:rPr>
            </w:pPr>
            <w:r>
              <w:rPr>
                <w:rFonts w:hint="eastAsia" w:ascii="宋体" w:hAnsi="宋体" w:eastAsia="宋体" w:cs="宋体"/>
                <w:i w:val="0"/>
                <w:iCs w:val="0"/>
                <w:sz w:val="24"/>
                <w:szCs w:val="24"/>
                <w:lang w:val="en-US" w:eastAsia="zh-CN"/>
              </w:rPr>
              <w:t>最终</w:t>
            </w:r>
            <w:r>
              <w:rPr>
                <w:rFonts w:hint="eastAsia" w:ascii="宋体" w:hAnsi="宋体" w:eastAsia="宋体" w:cs="宋体"/>
                <w:i w:val="0"/>
                <w:iCs w:val="0"/>
                <w:sz w:val="24"/>
                <w:szCs w:val="24"/>
                <w:lang w:eastAsia="zh-CN"/>
              </w:rPr>
              <w:t>以经塘栖镇财办根据政府采购法等相关规定审核通过的合同相应条款为准。</w:t>
            </w:r>
          </w:p>
        </w:tc>
      </w:tr>
    </w:tbl>
    <w:p>
      <w:pPr>
        <w:spacing w:line="360" w:lineRule="auto"/>
        <w:ind w:firstLine="240" w:firstLineChars="100"/>
        <w:jc w:val="left"/>
        <w:rPr>
          <w:rFonts w:ascii="宋体" w:hAnsi="宋体" w:eastAsia="宋体" w:cs="仿宋_GB2312"/>
          <w:color w:val="auto"/>
          <w:sz w:val="24"/>
          <w:highlight w:val="none"/>
        </w:rPr>
      </w:pPr>
      <w:r>
        <w:rPr>
          <w:rFonts w:ascii="宋体" w:hAnsi="宋体" w:eastAsia="宋体" w:cs="仿宋_GB2312"/>
          <w:color w:val="auto"/>
          <w:sz w:val="24"/>
          <w:highlight w:val="none"/>
        </w:rPr>
        <w:t>4.</w:t>
      </w:r>
      <w:r>
        <w:rPr>
          <w:rFonts w:hint="eastAsia" w:ascii="宋体" w:hAnsi="宋体" w:eastAsia="宋体" w:cs="仿宋_GB2312"/>
          <w:color w:val="auto"/>
          <w:sz w:val="24"/>
          <w:highlight w:val="none"/>
        </w:rPr>
        <w:t>售后服务要求</w:t>
      </w:r>
    </w:p>
    <w:p>
      <w:pPr>
        <w:snapToGrid w:val="0"/>
        <w:spacing w:line="360" w:lineRule="auto"/>
        <w:ind w:firstLine="480" w:firstLineChars="200"/>
        <w:rPr>
          <w:rFonts w:ascii="宋体" w:hAnsi="宋体" w:eastAsia="宋体"/>
          <w:snapToGrid w:val="0"/>
          <w:color w:val="auto"/>
          <w:kern w:val="0"/>
          <w:sz w:val="24"/>
          <w:highlight w:val="none"/>
          <w:u w:val="single"/>
        </w:rPr>
      </w:pPr>
      <w:r>
        <w:rPr>
          <w:rFonts w:hint="eastAsia" w:ascii="宋体" w:hAnsi="宋体" w:eastAsia="宋体"/>
          <w:snapToGrid w:val="0"/>
          <w:color w:val="auto"/>
          <w:kern w:val="0"/>
          <w:sz w:val="24"/>
          <w:highlight w:val="none"/>
          <w:u w:val="single"/>
        </w:rPr>
        <w:t>无</w:t>
      </w:r>
      <w:r>
        <w:rPr>
          <w:rFonts w:ascii="宋体" w:hAnsi="宋体" w:eastAsia="宋体"/>
          <w:snapToGrid w:val="0"/>
          <w:color w:val="auto"/>
          <w:kern w:val="0"/>
          <w:sz w:val="24"/>
          <w:highlight w:val="none"/>
          <w:u w:val="single"/>
        </w:rPr>
        <w:t>。</w:t>
      </w:r>
    </w:p>
    <w:p>
      <w:pPr>
        <w:spacing w:line="360" w:lineRule="auto"/>
        <w:ind w:firstLine="240" w:firstLineChars="100"/>
        <w:jc w:val="left"/>
        <w:rPr>
          <w:rFonts w:ascii="宋体" w:hAnsi="宋体" w:eastAsia="宋体" w:cs="仿宋_GB2312"/>
          <w:color w:val="auto"/>
          <w:sz w:val="24"/>
          <w:highlight w:val="none"/>
        </w:rPr>
      </w:pPr>
      <w:r>
        <w:rPr>
          <w:rFonts w:ascii="宋体" w:hAnsi="宋体" w:eastAsia="宋体" w:cs="仿宋_GB2312"/>
          <w:color w:val="auto"/>
          <w:sz w:val="24"/>
          <w:highlight w:val="none"/>
        </w:rPr>
        <w:t>5.其他商务要求（包装和运输、保险等）</w:t>
      </w:r>
    </w:p>
    <w:p>
      <w:pPr>
        <w:spacing w:line="360" w:lineRule="auto"/>
        <w:ind w:left="210" w:leftChars="100" w:firstLine="240" w:firstLineChars="100"/>
        <w:jc w:val="left"/>
        <w:rPr>
          <w:rFonts w:ascii="宋体" w:hAnsi="宋体" w:eastAsia="宋体" w:cs="仿宋_GB2312"/>
          <w:color w:val="auto"/>
          <w:sz w:val="24"/>
          <w:highlight w:val="none"/>
          <w:u w:val="single"/>
        </w:rPr>
      </w:pPr>
      <w:r>
        <w:rPr>
          <w:rFonts w:hint="eastAsia" w:ascii="宋体" w:hAnsi="宋体" w:eastAsia="宋体" w:cs="仿宋_GB2312"/>
          <w:color w:val="auto"/>
          <w:sz w:val="24"/>
          <w:highlight w:val="none"/>
          <w:u w:val="single"/>
        </w:rPr>
        <w:t>无。</w:t>
      </w:r>
    </w:p>
    <w:p>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（七）采购项目的其他要求</w:t>
      </w:r>
    </w:p>
    <w:bookmarkEnd w:id="0"/>
    <w:p>
      <w:pPr>
        <w:pStyle w:val="38"/>
        <w:numPr>
          <w:numId w:val="0"/>
        </w:numPr>
        <w:spacing w:line="360" w:lineRule="auto"/>
        <w:ind w:firstLine="663" w:firstLineChars="300"/>
        <w:rPr>
          <w:rFonts w:hint="default" w:ascii="宋体" w:hAnsi="宋体" w:eastAsia="宋体" w:cs="宋体"/>
          <w:b/>
          <w:bCs/>
          <w:i w:val="0"/>
          <w:iCs w:val="0"/>
          <w:color w:val="000000"/>
          <w:highlight w:val="none"/>
          <w:lang w:val="en-US" w:eastAsia="zh-CN"/>
        </w:rPr>
      </w:pPr>
      <w:r>
        <w:rPr>
          <w:rFonts w:hint="eastAsia" w:ascii="宋体" w:hAnsi="宋体" w:eastAsia="宋体" w:cs="宋体"/>
          <w:b/>
          <w:bCs/>
          <w:i w:val="0"/>
          <w:iCs w:val="0"/>
          <w:color w:val="000000"/>
          <w:highlight w:val="none"/>
          <w:lang w:val="en-US" w:eastAsia="zh-CN"/>
        </w:rPr>
        <w:t>1.具体服务内容、要求等：</w:t>
      </w:r>
    </w:p>
    <w:tbl>
      <w:tblPr>
        <w:tblStyle w:val="27"/>
        <w:tblW w:w="89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1809" w:type="dxa"/>
            <w:vAlign w:val="center"/>
          </w:tcPr>
          <w:p>
            <w:pPr>
              <w:spacing w:before="0" w:beforeAutospacing="0" w:after="0" w:afterAutospacing="0"/>
              <w:ind w:left="0" w:right="0"/>
              <w:jc w:val="center"/>
              <w:rPr>
                <w:rFonts w:hint="eastAsia" w:ascii="宋体" w:hAnsi="宋体" w:cs="宋体"/>
                <w:b/>
                <w:color w:val="000000"/>
                <w:kern w:val="2"/>
                <w:sz w:val="21"/>
                <w:szCs w:val="22"/>
                <w:highlight w:val="none"/>
              </w:rPr>
            </w:pPr>
            <w:r>
              <w:rPr>
                <w:rFonts w:hint="eastAsia" w:ascii="Calibri" w:hAnsi="Calibri"/>
                <w:b/>
                <w:color w:val="000000"/>
                <w:kern w:val="2"/>
                <w:sz w:val="21"/>
                <w:szCs w:val="22"/>
                <w:highlight w:val="none"/>
              </w:rPr>
              <w:t>项目名称</w:t>
            </w:r>
          </w:p>
        </w:tc>
        <w:tc>
          <w:tcPr>
            <w:tcW w:w="7164" w:type="dxa"/>
            <w:vAlign w:val="center"/>
          </w:tcPr>
          <w:p>
            <w:pPr>
              <w:spacing w:before="0" w:beforeAutospacing="0" w:after="0" w:afterAutospacing="0"/>
              <w:ind w:left="0" w:right="0"/>
              <w:jc w:val="center"/>
              <w:rPr>
                <w:rFonts w:hint="eastAsia" w:ascii="宋体" w:hAnsi="宋体" w:cs="宋体"/>
                <w:b/>
                <w:color w:val="000000"/>
                <w:kern w:val="2"/>
                <w:sz w:val="21"/>
                <w:szCs w:val="22"/>
                <w:highlight w:val="none"/>
              </w:rPr>
            </w:pPr>
            <w:r>
              <w:rPr>
                <w:rFonts w:hint="eastAsia" w:ascii="Calibri" w:hAnsi="Calibri"/>
                <w:b/>
                <w:color w:val="000000"/>
                <w:kern w:val="2"/>
                <w:sz w:val="21"/>
                <w:szCs w:val="22"/>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spacing w:before="0" w:beforeAutospacing="0" w:after="0" w:afterAutospacing="0"/>
              <w:ind w:left="0" w:right="0"/>
              <w:jc w:val="center"/>
              <w:rPr>
                <w:rFonts w:hint="eastAsia" w:ascii="Calibri" w:hAnsi="Calibri"/>
                <w:kern w:val="2"/>
                <w:sz w:val="21"/>
                <w:szCs w:val="22"/>
                <w:highlight w:val="none"/>
              </w:rPr>
            </w:pPr>
            <w:r>
              <w:rPr>
                <w:rFonts w:hint="eastAsia" w:ascii="Calibri" w:hAnsi="Calibri"/>
                <w:kern w:val="2"/>
                <w:sz w:val="21"/>
                <w:szCs w:val="22"/>
                <w:highlight w:val="none"/>
              </w:rPr>
              <w:t>物业项目负责人</w:t>
            </w:r>
          </w:p>
        </w:tc>
        <w:tc>
          <w:tcPr>
            <w:tcW w:w="7164" w:type="dxa"/>
            <w:vAlign w:val="center"/>
          </w:tcPr>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1、主要职责：全面负责本项目的物业管理。</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2、人员设置：1人。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spacing w:before="0" w:beforeAutospacing="0" w:after="0" w:afterAutospacing="0"/>
              <w:ind w:left="0" w:right="0"/>
              <w:jc w:val="center"/>
              <w:rPr>
                <w:rFonts w:hint="eastAsia" w:ascii="Calibri" w:hAnsi="Calibri"/>
                <w:kern w:val="2"/>
                <w:sz w:val="21"/>
                <w:szCs w:val="22"/>
                <w:highlight w:val="none"/>
              </w:rPr>
            </w:pPr>
            <w:r>
              <w:rPr>
                <w:rFonts w:hint="eastAsia" w:ascii="Calibri" w:hAnsi="Calibri"/>
                <w:kern w:val="2"/>
                <w:sz w:val="21"/>
                <w:szCs w:val="22"/>
                <w:highlight w:val="none"/>
              </w:rPr>
              <w:t>保安及门卫</w:t>
            </w:r>
          </w:p>
        </w:tc>
        <w:tc>
          <w:tcPr>
            <w:tcW w:w="7164" w:type="dxa"/>
            <w:vAlign w:val="center"/>
          </w:tcPr>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（一）保安（含门卫）人员要求</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人员要求身体健康，仪表端庄，精力充沛，无不良嗜好，无犯罪记录，工作认真负责并定期接受培训，具体要求如下：</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1、能处理和应对采购人公共秩序维护工作，能正确使用各类消防器械和设备，能够熟悉、掌握各类刑事、治安案件和各类灾害事故的应急预案；</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2、上岗时佩戴统一标志，按需求穿戴统一制服（精致），装备佩戴规范，仪容仪表规范整齐，当值时坐姿挺直，站岗时不倚不靠、采用跨立站岗。</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3、文明执勤，训练有素，言语规范，认真负责；配备必备的安全护卫器械和通讯器材（由中标单位负责），盾牌、钢叉等反恐设备由采购人提供。</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仿宋_GB2312" w:hAnsi="仿宋" w:eastAsia="仿宋_GB2312" w:cs="仿宋_GB2312"/>
                <w:kern w:val="2"/>
                <w:sz w:val="24"/>
                <w:szCs w:val="20"/>
                <w:highlight w:val="none"/>
              </w:rPr>
              <w:t>▲</w:t>
            </w:r>
            <w:r>
              <w:rPr>
                <w:rFonts w:hint="eastAsia" w:ascii="Calibri" w:hAnsi="Calibri"/>
                <w:kern w:val="2"/>
                <w:sz w:val="21"/>
                <w:szCs w:val="22"/>
                <w:highlight w:val="none"/>
              </w:rPr>
              <w:t>（二）人员设置需求：</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保安（含门卫）不少于</w:t>
            </w:r>
            <w:r>
              <w:rPr>
                <w:rFonts w:hint="eastAsia" w:ascii="Calibri" w:hAnsi="Calibri"/>
                <w:kern w:val="2"/>
                <w:sz w:val="21"/>
                <w:szCs w:val="22"/>
                <w:highlight w:val="none"/>
                <w:lang w:val="en-US" w:eastAsia="zh-CN"/>
              </w:rPr>
              <w:t>19</w:t>
            </w:r>
            <w:r>
              <w:rPr>
                <w:rFonts w:hint="eastAsia" w:ascii="Calibri" w:hAnsi="Calibri"/>
                <w:kern w:val="2"/>
                <w:sz w:val="21"/>
                <w:szCs w:val="22"/>
                <w:highlight w:val="none"/>
              </w:rPr>
              <w:t>人，人员要求45周岁以下，具体分配如下：队长1人；机关</w:t>
            </w:r>
            <w:r>
              <w:rPr>
                <w:rFonts w:hint="eastAsia" w:ascii="Calibri" w:hAnsi="Calibri"/>
                <w:kern w:val="2"/>
                <w:sz w:val="21"/>
                <w:szCs w:val="22"/>
                <w:highlight w:val="none"/>
                <w:lang w:val="en-US" w:eastAsia="zh-CN"/>
              </w:rPr>
              <w:t>本部14人</w:t>
            </w:r>
            <w:r>
              <w:rPr>
                <w:rFonts w:hint="eastAsia" w:ascii="Calibri" w:hAnsi="Calibri"/>
                <w:kern w:val="2"/>
                <w:sz w:val="21"/>
                <w:szCs w:val="22"/>
                <w:highlight w:val="none"/>
              </w:rPr>
              <w:t>；</w:t>
            </w:r>
            <w:r>
              <w:rPr>
                <w:rFonts w:hint="eastAsia" w:ascii="Calibri" w:hAnsi="Calibri"/>
                <w:kern w:val="2"/>
                <w:sz w:val="21"/>
                <w:szCs w:val="22"/>
                <w:highlight w:val="none"/>
                <w:lang w:val="en-US" w:eastAsia="zh-CN"/>
              </w:rPr>
              <w:t>党服、人才之家1</w:t>
            </w:r>
            <w:r>
              <w:rPr>
                <w:rFonts w:hint="eastAsia" w:ascii="Calibri" w:hAnsi="Calibri"/>
                <w:kern w:val="2"/>
                <w:sz w:val="21"/>
                <w:szCs w:val="22"/>
                <w:highlight w:val="none"/>
              </w:rPr>
              <w:t>人</w:t>
            </w:r>
            <w:r>
              <w:rPr>
                <w:rFonts w:hint="eastAsia" w:ascii="Calibri" w:hAnsi="Calibri"/>
                <w:kern w:val="2"/>
                <w:sz w:val="21"/>
                <w:szCs w:val="22"/>
                <w:highlight w:val="none"/>
                <w:lang w:eastAsia="zh-CN"/>
              </w:rPr>
              <w:t>；</w:t>
            </w:r>
            <w:r>
              <w:rPr>
                <w:rFonts w:hint="eastAsia" w:ascii="Calibri" w:hAnsi="Calibri"/>
                <w:kern w:val="2"/>
                <w:sz w:val="21"/>
                <w:szCs w:val="22"/>
                <w:highlight w:val="none"/>
                <w:lang w:val="en-US" w:eastAsia="zh-CN"/>
              </w:rPr>
              <w:t>征迁指挥部、临时停车场3</w:t>
            </w:r>
            <w:bookmarkStart w:id="17" w:name="_GoBack"/>
            <w:bookmarkEnd w:id="17"/>
            <w:r>
              <w:rPr>
                <w:rFonts w:hint="eastAsia" w:ascii="Calibri" w:hAnsi="Calibri"/>
                <w:kern w:val="2"/>
                <w:sz w:val="21"/>
                <w:szCs w:val="22"/>
                <w:highlight w:val="none"/>
              </w:rPr>
              <w:t>人。后期具体人员安排由中标单位根据采购单位要求进行调度。</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（三）保安（含门卫）服务内容及要求：</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1、白天室外停车场及大厅需有专人进行引导登记管理。</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2、外来车辆及外来人员：禁止无关车辆进入采购人场地，确需进入的应做好登记并引导车辆有序通行、所有各类车辆在指定位置停放。禁止无关人员（产品推销及收购废品等闲杂人员）进入。</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3、保证大楼内、大楼周边秩序井然。登记、引导规范，并进行楼层巡楼。</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4、保持值班室、院子和大门口环境整洁、有序、道路畅通。</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5、夜间：对办公室门窗及楼道窗户关闭情况进行必要的安全检查，按时开启、关闭报警及其他有关设施。</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6、提供帮助：在遇到来办公楼咨询和服务的老人、残疾人等需要帮助时，应主动热情。</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7、应急响应：接到火警、警情后3分钟内到达现场处置，并报负责人，同时根据要求与警方联系与协调。</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8、工作纪律：保安员在工作期间要接受采购人的领导和监督，遵守采购人的有关规章制度。</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9、如遇到门口搬运货物，需主动帮助运送。</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10、无条件配合采购单位人员大楼内部物件搬运工作。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spacing w:before="0" w:beforeAutospacing="0" w:after="0" w:afterAutospacing="0"/>
              <w:ind w:left="0" w:right="0"/>
              <w:jc w:val="center"/>
              <w:rPr>
                <w:rFonts w:hint="eastAsia" w:ascii="Calibri" w:hAnsi="Calibri"/>
                <w:kern w:val="2"/>
                <w:sz w:val="21"/>
                <w:szCs w:val="22"/>
                <w:highlight w:val="none"/>
              </w:rPr>
            </w:pPr>
            <w:r>
              <w:rPr>
                <w:rFonts w:hint="eastAsia" w:ascii="Calibri" w:hAnsi="Calibri"/>
                <w:kern w:val="2"/>
                <w:sz w:val="21"/>
                <w:szCs w:val="22"/>
                <w:highlight w:val="none"/>
              </w:rPr>
              <w:t>水电维修</w:t>
            </w:r>
          </w:p>
        </w:tc>
        <w:tc>
          <w:tcPr>
            <w:tcW w:w="7164" w:type="dxa"/>
            <w:vAlign w:val="center"/>
          </w:tcPr>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（一）维保人员要求</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1、专业人员要求身体健康，仪表端庄，无不良嗜好，工作认真负责并定期接受培训。</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2、上岗时统一着装，佩戴统一标志，仪容仪表规范整齐。</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3、文明工作，训练有素，言语规范，认真负责。</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4、相关维修人员必须持证上岗；严格执行用电安全规范，确保用电安全。</w:t>
            </w:r>
          </w:p>
          <w:p>
            <w:pPr>
              <w:adjustRightInd w:val="0"/>
              <w:snapToGrid w:val="0"/>
              <w:spacing w:before="0" w:beforeAutospacing="0" w:after="0" w:afterAutospacing="0"/>
              <w:ind w:left="0" w:right="0" w:firstLine="480" w:firstLineChars="200"/>
              <w:rPr>
                <w:rFonts w:hint="eastAsia" w:ascii="Calibri" w:hAnsi="Calibri"/>
                <w:kern w:val="2"/>
                <w:sz w:val="21"/>
                <w:szCs w:val="22"/>
                <w:highlight w:val="none"/>
              </w:rPr>
            </w:pPr>
            <w:r>
              <w:rPr>
                <w:rFonts w:hint="eastAsia" w:ascii="仿宋_GB2312" w:hAnsi="仿宋" w:eastAsia="仿宋_GB2312" w:cs="仿宋_GB2312"/>
                <w:kern w:val="2"/>
                <w:sz w:val="24"/>
                <w:szCs w:val="20"/>
                <w:highlight w:val="none"/>
              </w:rPr>
              <w:t>▲</w:t>
            </w:r>
            <w:r>
              <w:rPr>
                <w:rFonts w:hint="eastAsia" w:ascii="Calibri" w:hAnsi="Calibri"/>
                <w:kern w:val="2"/>
                <w:sz w:val="21"/>
                <w:szCs w:val="22"/>
                <w:highlight w:val="none"/>
              </w:rPr>
              <w:t>（二）人员设置需求：</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水电维修工不少于1人。</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（三）水电维修要求</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供电系统</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 xml:space="preserve">1、服务内容：对区域内的电气管线、电线电缆、电源开关、动力插座等低压用电设施进行日常管理和巡检，保持设施正常运行。 </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2、服务质量标准：</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1）负责各类照明灯具、泛光照明系统、供用电设备设施的日常管理和巡检。各分电表箱、配电箱、配电柜及每层管线分线盒：无积尘，接头无松动现象，每季清洁一次；主要用电线路的绝缘状况，每半年测试一次，绝缘良好。总配电箱、高配电房：定期检查，无积尘，接头无松动现象；公共使用的照明、指示灯具线路、开关要保证完好。</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（2）保证整个管理区域的供电安全。</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（3）应急供电系统运行正常。</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 xml:space="preserve">（4）通过有效的管理措施及技术措施，积极开展节能管理工作。 </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给排水系统</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1、服务内容：对物业管理区域室内外给排水系统的设备、设施，如水泵、水箱、气压给水装置、水处理设备、消火栓、管道、管件、阀门、水嘴、卫生洁具、排水管、透气管、水封设备、室外排水管及附属构筑物等进行日常管理及巡检，保持正常运行。</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2、服务质量标准：</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（1）每半年对给排水系统进行维护、润滑。</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（2）用户末端的水压及流量满足使用要求。</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（3）每季对楼宇排水总管进行检查，每半年对水泵、管道进行防锈处理。</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4）确保水质无污染并符合规定的要求，生活饮用水水质符合GB5749一2006《生活饮用水卫生标准》的要求。生活饮用水设施的日常使用管理、清洗消毒、作业人员健康检查以及水质检测参照建设部、卫生部《城市供水水质管理规定》（建设部令第67号）执行。定期清洗水箱，每年不少于2次，并提供清洗后水质检测报告。</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（5）每季度对水质处理、消毒装置、电开水炉及设备控制柜进行保养。</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弱电系统</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服务内容及要求：由专业人员定期对监控系统、门禁系统、多媒体系统、会议系统等智能弱电设备进行巡查，定期清理设备机柜、控制箱、交换机等外表吸附的灰尘和絮状物。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spacing w:before="0" w:beforeAutospacing="0" w:after="0" w:afterAutospacing="0"/>
              <w:ind w:left="0" w:right="0"/>
              <w:jc w:val="center"/>
              <w:rPr>
                <w:rFonts w:hint="eastAsia" w:ascii="Calibri" w:hAnsi="Calibri"/>
                <w:kern w:val="2"/>
                <w:sz w:val="21"/>
                <w:szCs w:val="22"/>
                <w:highlight w:val="none"/>
              </w:rPr>
            </w:pPr>
            <w:r>
              <w:rPr>
                <w:rFonts w:hint="eastAsia" w:ascii="Calibri" w:hAnsi="Calibri"/>
                <w:kern w:val="2"/>
                <w:sz w:val="21"/>
                <w:szCs w:val="22"/>
                <w:highlight w:val="none"/>
              </w:rPr>
              <w:t>公共区域保洁</w:t>
            </w:r>
          </w:p>
        </w:tc>
        <w:tc>
          <w:tcPr>
            <w:tcW w:w="7164" w:type="dxa"/>
            <w:vAlign w:val="center"/>
          </w:tcPr>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（一）保洁、会务人员要求：</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1、保洁人员要求身体健康，无不良嗜好，工作认真负责并定期接受培训。会务人员要求高中及相关学历以上，会操作一般会议音响设备。</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2、上岗时佩戴统一标志，按需求穿戴统一制服，仪容仪表规范整齐。</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3、文明工作，训练有素，言语规范，认真负责。</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仿宋_GB2312" w:hAnsi="仿宋" w:eastAsia="仿宋_GB2312" w:cs="仿宋_GB2312"/>
                <w:kern w:val="2"/>
                <w:sz w:val="24"/>
                <w:szCs w:val="20"/>
                <w:highlight w:val="none"/>
              </w:rPr>
              <w:t>▲</w:t>
            </w:r>
            <w:r>
              <w:rPr>
                <w:rFonts w:hint="eastAsia" w:ascii="Calibri" w:hAnsi="Calibri"/>
                <w:kern w:val="2"/>
                <w:sz w:val="21"/>
                <w:szCs w:val="22"/>
                <w:highlight w:val="none"/>
              </w:rPr>
              <w:t>（二）人员设置需求：</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1、保洁员不少于</w:t>
            </w:r>
            <w:r>
              <w:rPr>
                <w:rFonts w:hint="eastAsia" w:ascii="Calibri" w:hAnsi="Calibri"/>
                <w:kern w:val="2"/>
                <w:sz w:val="21"/>
                <w:szCs w:val="22"/>
                <w:highlight w:val="none"/>
                <w:lang w:val="en-US" w:eastAsia="zh-CN"/>
              </w:rPr>
              <w:t>11</w:t>
            </w:r>
            <w:r>
              <w:rPr>
                <w:rFonts w:hint="eastAsia" w:ascii="Calibri" w:hAnsi="Calibri"/>
                <w:kern w:val="2"/>
                <w:sz w:val="21"/>
                <w:szCs w:val="22"/>
                <w:highlight w:val="none"/>
              </w:rPr>
              <w:t>人，人员要求55周岁以下。</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具体分配如下：机关</w:t>
            </w:r>
            <w:r>
              <w:rPr>
                <w:rFonts w:hint="eastAsia" w:ascii="Calibri" w:hAnsi="Calibri"/>
                <w:kern w:val="2"/>
                <w:sz w:val="21"/>
                <w:szCs w:val="22"/>
                <w:highlight w:val="none"/>
                <w:lang w:val="en-US" w:eastAsia="zh-CN"/>
              </w:rPr>
              <w:t>本部6</w:t>
            </w:r>
            <w:r>
              <w:rPr>
                <w:rFonts w:hint="eastAsia" w:ascii="Calibri" w:hAnsi="Calibri"/>
                <w:kern w:val="2"/>
                <w:sz w:val="21"/>
                <w:szCs w:val="22"/>
                <w:highlight w:val="none"/>
              </w:rPr>
              <w:t>人</w:t>
            </w:r>
            <w:r>
              <w:rPr>
                <w:rFonts w:hint="eastAsia" w:ascii="Calibri" w:hAnsi="Calibri"/>
                <w:kern w:val="2"/>
                <w:sz w:val="21"/>
                <w:szCs w:val="22"/>
                <w:highlight w:val="none"/>
                <w:lang w:eastAsia="zh-CN"/>
              </w:rPr>
              <w:t>；</w:t>
            </w:r>
            <w:r>
              <w:rPr>
                <w:rFonts w:hint="eastAsia" w:ascii="Calibri" w:hAnsi="Calibri"/>
                <w:kern w:val="2"/>
                <w:sz w:val="21"/>
                <w:szCs w:val="22"/>
                <w:highlight w:val="none"/>
                <w:lang w:val="en-US" w:eastAsia="zh-CN"/>
              </w:rPr>
              <w:t>党服、人才之家2</w:t>
            </w:r>
            <w:r>
              <w:rPr>
                <w:rFonts w:hint="eastAsia" w:ascii="Calibri" w:hAnsi="Calibri"/>
                <w:kern w:val="2"/>
                <w:sz w:val="21"/>
                <w:szCs w:val="22"/>
                <w:highlight w:val="none"/>
              </w:rPr>
              <w:t>人</w:t>
            </w:r>
            <w:r>
              <w:rPr>
                <w:rFonts w:hint="eastAsia" w:ascii="Calibri" w:hAnsi="Calibri"/>
                <w:kern w:val="2"/>
                <w:sz w:val="21"/>
                <w:szCs w:val="22"/>
                <w:highlight w:val="none"/>
                <w:lang w:eastAsia="zh-CN"/>
              </w:rPr>
              <w:t>；</w:t>
            </w:r>
            <w:r>
              <w:rPr>
                <w:rFonts w:hint="eastAsia" w:ascii="Calibri" w:hAnsi="Calibri"/>
                <w:kern w:val="2"/>
                <w:sz w:val="21"/>
                <w:szCs w:val="22"/>
                <w:highlight w:val="none"/>
                <w:lang w:val="en-US" w:eastAsia="zh-CN"/>
              </w:rPr>
              <w:t>交通、消防工作站1人；征迁指挥部、临时停车场3</w:t>
            </w:r>
            <w:r>
              <w:rPr>
                <w:rFonts w:hint="eastAsia" w:ascii="Calibri" w:hAnsi="Calibri"/>
                <w:kern w:val="2"/>
                <w:sz w:val="21"/>
                <w:szCs w:val="22"/>
                <w:highlight w:val="none"/>
              </w:rPr>
              <w:t>人。</w:t>
            </w:r>
          </w:p>
          <w:p>
            <w:pPr>
              <w:numPr>
                <w:ilvl w:val="0"/>
                <w:numId w:val="4"/>
              </w:numPr>
              <w:adjustRightInd w:val="0"/>
              <w:snapToGrid w:val="0"/>
              <w:spacing w:before="0" w:beforeAutospacing="0" w:after="0" w:afterAutospacing="0"/>
              <w:ind w:left="0" w:right="0" w:firstLine="480"/>
              <w:rPr>
                <w:rFonts w:hint="eastAsia" w:ascii="Calibri" w:hAnsi="Calibri"/>
                <w:kern w:val="2"/>
                <w:sz w:val="21"/>
                <w:szCs w:val="22"/>
                <w:highlight w:val="none"/>
                <w:lang w:eastAsia="zh-CN"/>
              </w:rPr>
            </w:pPr>
            <w:r>
              <w:rPr>
                <w:rFonts w:hint="eastAsia" w:ascii="Calibri" w:hAnsi="Calibri"/>
                <w:kern w:val="2"/>
                <w:sz w:val="21"/>
                <w:szCs w:val="22"/>
                <w:highlight w:val="none"/>
              </w:rPr>
              <w:t>会务人员</w:t>
            </w:r>
            <w:r>
              <w:rPr>
                <w:rFonts w:hint="eastAsia" w:ascii="Calibri" w:hAnsi="Calibri"/>
                <w:kern w:val="2"/>
                <w:sz w:val="21"/>
                <w:szCs w:val="22"/>
                <w:highlight w:val="none"/>
                <w:lang w:val="en-US" w:eastAsia="zh-CN"/>
              </w:rPr>
              <w:t>4</w:t>
            </w:r>
            <w:r>
              <w:rPr>
                <w:rFonts w:hint="eastAsia" w:ascii="Calibri" w:hAnsi="Calibri"/>
                <w:kern w:val="2"/>
                <w:sz w:val="21"/>
                <w:szCs w:val="22"/>
                <w:highlight w:val="none"/>
              </w:rPr>
              <w:t>人，人员</w:t>
            </w:r>
            <w:r>
              <w:rPr>
                <w:rFonts w:hint="eastAsia" w:ascii="Calibri" w:hAnsi="Calibri"/>
                <w:kern w:val="2"/>
                <w:sz w:val="21"/>
                <w:szCs w:val="22"/>
                <w:highlight w:val="none"/>
                <w:lang w:val="en-US" w:eastAsia="zh-CN"/>
              </w:rPr>
              <w:t>要求</w:t>
            </w:r>
            <w:r>
              <w:rPr>
                <w:rFonts w:hint="eastAsia" w:ascii="Calibri" w:hAnsi="Calibri"/>
                <w:kern w:val="2"/>
                <w:sz w:val="21"/>
                <w:szCs w:val="22"/>
                <w:highlight w:val="none"/>
              </w:rPr>
              <w:t>4</w:t>
            </w:r>
            <w:r>
              <w:rPr>
                <w:rFonts w:hint="eastAsia" w:ascii="Calibri" w:hAnsi="Calibri"/>
                <w:kern w:val="2"/>
                <w:sz w:val="21"/>
                <w:szCs w:val="22"/>
                <w:highlight w:val="none"/>
                <w:lang w:val="en-US" w:eastAsia="zh-CN"/>
              </w:rPr>
              <w:t>5</w:t>
            </w:r>
            <w:r>
              <w:rPr>
                <w:rFonts w:hint="eastAsia" w:ascii="Calibri" w:hAnsi="Calibri"/>
                <w:kern w:val="2"/>
                <w:sz w:val="21"/>
                <w:szCs w:val="22"/>
                <w:highlight w:val="none"/>
              </w:rPr>
              <w:t>周岁以下。具体分配如下：</w:t>
            </w:r>
            <w:r>
              <w:rPr>
                <w:rFonts w:hint="eastAsia" w:ascii="Calibri" w:hAnsi="Calibri"/>
                <w:kern w:val="2"/>
                <w:sz w:val="21"/>
                <w:szCs w:val="22"/>
                <w:highlight w:val="none"/>
                <w:lang w:val="en-US" w:eastAsia="zh-CN"/>
              </w:rPr>
              <w:t>会务主管1人，</w:t>
            </w:r>
            <w:r>
              <w:rPr>
                <w:rFonts w:hint="eastAsia" w:ascii="Calibri" w:hAnsi="Calibri"/>
                <w:kern w:val="2"/>
                <w:sz w:val="21"/>
                <w:szCs w:val="22"/>
                <w:highlight w:val="none"/>
              </w:rPr>
              <w:t>机关</w:t>
            </w:r>
            <w:r>
              <w:rPr>
                <w:rFonts w:hint="eastAsia" w:ascii="Calibri" w:hAnsi="Calibri"/>
                <w:kern w:val="2"/>
                <w:sz w:val="21"/>
                <w:szCs w:val="22"/>
                <w:highlight w:val="none"/>
                <w:lang w:val="en-US" w:eastAsia="zh-CN"/>
              </w:rPr>
              <w:t>本部2</w:t>
            </w:r>
            <w:r>
              <w:rPr>
                <w:rFonts w:hint="eastAsia" w:ascii="Calibri" w:hAnsi="Calibri"/>
                <w:kern w:val="2"/>
                <w:sz w:val="21"/>
                <w:szCs w:val="22"/>
                <w:highlight w:val="none"/>
              </w:rPr>
              <w:t>人</w:t>
            </w:r>
            <w:r>
              <w:rPr>
                <w:rFonts w:hint="eastAsia" w:ascii="Calibri" w:hAnsi="Calibri"/>
                <w:kern w:val="2"/>
                <w:sz w:val="21"/>
                <w:szCs w:val="22"/>
                <w:highlight w:val="none"/>
                <w:lang w:eastAsia="zh-CN"/>
              </w:rPr>
              <w:t>；</w:t>
            </w:r>
            <w:r>
              <w:rPr>
                <w:rFonts w:hint="eastAsia" w:ascii="Calibri" w:hAnsi="Calibri"/>
                <w:kern w:val="2"/>
                <w:sz w:val="21"/>
                <w:szCs w:val="22"/>
                <w:highlight w:val="none"/>
                <w:lang w:val="en-US" w:eastAsia="zh-CN"/>
              </w:rPr>
              <w:t>党服、人才之家1</w:t>
            </w:r>
            <w:r>
              <w:rPr>
                <w:rFonts w:hint="eastAsia" w:ascii="Calibri" w:hAnsi="Calibri"/>
                <w:kern w:val="2"/>
                <w:sz w:val="21"/>
                <w:szCs w:val="22"/>
                <w:highlight w:val="none"/>
              </w:rPr>
              <w:t>人</w:t>
            </w:r>
            <w:r>
              <w:rPr>
                <w:rFonts w:hint="eastAsia" w:ascii="Calibri" w:hAnsi="Calibri"/>
                <w:kern w:val="2"/>
                <w:sz w:val="21"/>
                <w:szCs w:val="22"/>
                <w:highlight w:val="none"/>
                <w:lang w:eastAsia="zh-CN"/>
              </w:rPr>
              <w:t>；</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lang w:val="en-US" w:eastAsia="zh-CN"/>
              </w:rPr>
              <w:t>3</w:t>
            </w:r>
            <w:r>
              <w:rPr>
                <w:rFonts w:hint="eastAsia" w:ascii="Calibri" w:hAnsi="Calibri"/>
                <w:kern w:val="2"/>
                <w:sz w:val="21"/>
                <w:szCs w:val="22"/>
                <w:highlight w:val="none"/>
              </w:rPr>
              <w:t>、后期具体人员安排由中标单位根据采购单位要求进行调度。</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（三）保洁服务内容及要求：</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1、服务内容： 完成本物业区域内的楼梯、大厅、走廊、屋顶天台、吊顶、平台、雨棚、卫生间、茶水间、花盆、会议室、接待室、办公区域及单位部分办公室、公共活动场所的台（地）面、明沟、墙面、门、窗、灯具、果壳箱等设施和器皿，楼宇外墙等所有公共部位设施，道路、园林、停车场（库）、垃圾房等所有公共场地及设施和门前三包区域的日常保洁保养以及垃圾、废弃物清理。具体如下：</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1）公共场所日常服务内容：水泥地面、石材地面、扶手、门窗玻璃、门及门窗框及有关附体，沙发、桌子、各类宣传牌、橱窗及有关附体，天花板、栏杆、消防楼梯区域等，楼道地面、楼梯每日至少拖洗一次，扶手、门每日至少擦抹一次，天花板、公共楼道灯、会议室吊灯：每季至少除尘一次，做到巡回保洁，及时清除各种垃圾等杂物，无积灰、印迹、污渍。</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2）门厅、办公区域等特定区域保洁服务内容：地面、大厅石材墙面、天花板、大厅、门窗玻璃、门及门窗框、墙壁附体，灯具、音响、垃圾桶等公用设施表面及卫生间，办公室内储物柜和桌椅表面等严格按要求做好清洁、清运及日常消杀工作，无积灰、印迹、污渍。卫生间每天至少拖洗一次，保持地面清洁、无杂物、无积水、无毛发、无异味、便池、水池下水道要畅通。配备洗手液、卫生纸、擦手纸等相关保洁耗材，每日检查，发现用完及时补充，有破损的及时更换，确保运作正常；瓷砖：2米以下每日擦抹不少于一次；2米以上每月清洁不少于一次，无明显积灰、水渍；暂时空置的房间每周进行一次卫生保洁，确保地面、桌面、玻璃面整洁干净。白色墙面及顶面如有污渍等应及时清除，墙面去污后及时用乳胶漆补刷。</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（3）顶篷等边缘区域服务内容：屋顶屋面、沟槽、地面、雨篷及边角区域，各种附体的表面清洁，大厅遮阳卷帘清洁且保持运行正常。</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（4 ）水电和设备等设施类服务内容：一般机器表面清洁（有特殊规定的设备除外），消防设施。空调的过滤网及外壳洗尘。开关盒、表箱盖2米以下的每日擦抹不少于一次；2米以上每周不少于一次，无灰尘、污迹。</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（5） 窗帘服务内容：保持窗帘表面清洁，普通窗帘根据窗帘清洁情况定时拆装清洗，布质窗帘一年清洗不少于一次。</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（6） 值班室清洁服务内容：值班室每天进行清洁打扫，床单确保一天一换，床面保持干净整洁，洗漱用品及时添加到位。</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（7）玻璃门、地、屏上每日清扫，无污渍、无灰尘及手印，表面光亮色泽一致；地面无污渍、灰尘、水渍及鞋印，洁净光亮、无灰尘及手印，整洁光亮（一年清洗玻璃1次）。</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8）不锈钢保洁服务内容：包括所有不锈钢制品、设施、设备，除有明确规定的保洁要求外，至少每三个月用不锈钢油保养一次。哑光不锈钢表面无污渍、无灰尘；镜面不锈钢表面光亮，三米内能清晰映出人影。</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9）垃圾分类及清运服务内容：按垃圾分类要求做好垃圾分类，并做好垃圾分类的监督工作；垃圾箱、筒的垃圾存量不超过上缘，垃圾不在筒箱内过夜。垃圾中转站工具摆放整齐，垃圾存量不超过三分之二且做到日产日清，定期清洗，每周消毒一次，无明显积水，无蚊蝇飞舞。垃圾清运工具应保持清洁无破损，清运过程中不得产生二次污染。各类垃圾运到规定的地方，再将垃圾运到垃圾转运站，其中公共区、卫生间无堆积垃圾。化粪池、污水池及时清理，确保排放指标正常。</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2、服务质量标准：</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（1）围墙内的道路、地下车库、停车场门前“三包”及所有公共区域的地面，无有形垃圾和建筑垃圾、无堆积杂物、无积灰、无积水和淤泥、无阻塞等。做到每日清扫两次，巡回保洁。</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（2）未列入的且为正常保洁工作以及突发性事件及重大活动造成的保洁工作的项目、部位均包括在本次采购范围内，中标单位不得因此拒绝提供保洁服务（保洁用品等所需费用全部包括在投标报价中）。</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（四）会议服务内容与要求</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（1）会议室依据会议、活动日程安排提前搞好卫生、打好开水，做好相关会议服务内容，会议中及时增添茶水，会议或活动结束后打扫干净。</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（2）会议服务员上岗前要按规定着装，仪容仪表端庄、整洁、精神饱满，提前到达会场。</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（3）掌握会议室、接待室所有设施性能和技术要求，会操作一般会议音响设备。</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（4）分发报纸、瓷杯清洗消毒等。</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（5）未尽事项根据实际工作情况具体调整。</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（五）耗材需求及要求：</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1、卫生间耗材：</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①洗手液</w:t>
            </w:r>
            <w:r>
              <w:rPr>
                <w:rFonts w:hint="eastAsia" w:ascii="Calibri" w:hAnsi="Calibri"/>
                <w:kern w:val="2"/>
                <w:sz w:val="21"/>
                <w:szCs w:val="22"/>
                <w:highlight w:val="none"/>
                <w:lang w:eastAsia="zh-CN"/>
              </w:rPr>
              <w:t>（品牌洗手液：蓝月亮、威露士等）</w:t>
            </w:r>
            <w:r>
              <w:rPr>
                <w:rFonts w:hint="eastAsia" w:ascii="Calibri" w:hAnsi="Calibri"/>
                <w:kern w:val="2"/>
                <w:sz w:val="21"/>
                <w:szCs w:val="22"/>
                <w:highlight w:val="none"/>
              </w:rPr>
              <w:t>；</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②卫生纸：要求柔软洁白、方便卫生，无致病菌产品</w:t>
            </w:r>
            <w:r>
              <w:rPr>
                <w:rFonts w:hint="eastAsia" w:ascii="Calibri" w:hAnsi="Calibri"/>
                <w:kern w:val="2"/>
                <w:sz w:val="21"/>
                <w:szCs w:val="22"/>
                <w:highlight w:val="none"/>
                <w:lang w:eastAsia="zh-CN"/>
              </w:rPr>
              <w:t>，（品牌：清风、维达、心相印等）</w:t>
            </w:r>
            <w:r>
              <w:rPr>
                <w:rFonts w:hint="eastAsia" w:ascii="Calibri" w:hAnsi="Calibri"/>
                <w:kern w:val="2"/>
                <w:sz w:val="21"/>
                <w:szCs w:val="22"/>
                <w:highlight w:val="none"/>
              </w:rPr>
              <w:t>；</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③擦手纸：要求纸质柔软厚实、适用触感柔顺、单层无香型；主要成分：100%原生木浆；规格：210mm ×200mm ～225mm ×215mm；基重每平方米不少于40克</w:t>
            </w:r>
            <w:r>
              <w:rPr>
                <w:rFonts w:hint="eastAsia" w:ascii="Calibri" w:hAnsi="Calibri"/>
                <w:kern w:val="2"/>
                <w:sz w:val="21"/>
                <w:szCs w:val="22"/>
                <w:highlight w:val="none"/>
                <w:lang w:eastAsia="zh-CN"/>
              </w:rPr>
              <w:t>，（品牌：清风、维达、心相印等）</w:t>
            </w:r>
            <w:r>
              <w:rPr>
                <w:rFonts w:hint="eastAsia" w:ascii="Calibri" w:hAnsi="Calibri"/>
                <w:kern w:val="2"/>
                <w:sz w:val="21"/>
                <w:szCs w:val="22"/>
                <w:highlight w:val="none"/>
              </w:rPr>
              <w:t>；</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2、保洁耗材：各类拖把、扫把、毛巾、洁厕液、除臭剂等。</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以上卫生间耗材及保洁用品等均由中标单位提供，选用的洗手液、卫生纸、擦手纸等耗材由正规厂家生产，符合国家相关标准，要求每日检查，发现用完及时补充，发现有破损的，应及时更换，确保运作正常。</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（六）其他</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（1）工作纪律：保洁员在工作期间要接受采购人的领导和监督，遵守采购人的有关规章制度。</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（2）在遇到来咨询和服务的老人、残疾人需要帮助时，应主动热情。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spacing w:before="0" w:beforeAutospacing="0" w:after="0" w:afterAutospacing="0"/>
              <w:ind w:left="0" w:right="0"/>
              <w:jc w:val="center"/>
              <w:rPr>
                <w:rFonts w:hint="eastAsia" w:ascii="Calibri" w:hAnsi="Calibri"/>
                <w:kern w:val="2"/>
                <w:sz w:val="21"/>
                <w:szCs w:val="22"/>
                <w:highlight w:val="none"/>
              </w:rPr>
            </w:pPr>
            <w:r>
              <w:rPr>
                <w:rFonts w:hint="eastAsia" w:ascii="Calibri" w:hAnsi="Calibri"/>
                <w:kern w:val="2"/>
                <w:sz w:val="21"/>
                <w:szCs w:val="22"/>
                <w:highlight w:val="none"/>
              </w:rPr>
              <w:t>绿化服务要求</w:t>
            </w:r>
          </w:p>
        </w:tc>
        <w:tc>
          <w:tcPr>
            <w:tcW w:w="7164" w:type="dxa"/>
            <w:vAlign w:val="center"/>
          </w:tcPr>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（一）人员要求：</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1、专业人员身体健康，工作认真负责并定期接受培训。</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2、上岗时佩戴统一标志，按需求穿戴统一制服，仪容仪表规范整齐。</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3、文明工作，训练有素，言语规范，认真负责。</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仿宋_GB2312" w:hAnsi="仿宋" w:eastAsia="仿宋_GB2312" w:cs="仿宋_GB2312"/>
                <w:kern w:val="2"/>
                <w:sz w:val="24"/>
                <w:szCs w:val="20"/>
                <w:highlight w:val="none"/>
              </w:rPr>
              <w:t>▲</w:t>
            </w:r>
            <w:r>
              <w:rPr>
                <w:rFonts w:hint="eastAsia" w:ascii="Calibri" w:hAnsi="Calibri"/>
                <w:kern w:val="2"/>
                <w:sz w:val="21"/>
                <w:szCs w:val="22"/>
                <w:highlight w:val="none"/>
              </w:rPr>
              <w:t>（</w:t>
            </w:r>
            <w:r>
              <w:rPr>
                <w:rFonts w:hint="eastAsia" w:ascii="Calibri" w:hAnsi="Calibri"/>
                <w:kern w:val="2"/>
                <w:sz w:val="21"/>
                <w:szCs w:val="22"/>
                <w:highlight w:val="none"/>
                <w:lang w:eastAsia="zh-CN"/>
              </w:rPr>
              <w:t>二</w:t>
            </w:r>
            <w:r>
              <w:rPr>
                <w:rFonts w:hint="eastAsia" w:ascii="Calibri" w:hAnsi="Calibri"/>
                <w:kern w:val="2"/>
                <w:sz w:val="21"/>
                <w:szCs w:val="22"/>
                <w:highlight w:val="none"/>
              </w:rPr>
              <w:t>）人员设置需求：</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室外绿化不少于1人进行专业养护。</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（三）绿化服务内容及要求：</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室内绿化：应选择观赏性强、观赏期长、方便管理的鲜活植物摆放室内。不允许摆放有毒有害植物。植株长势良好，无残枝、无黄叶、无积尘，花朵饱满、无萎蔫，托盘内无积水。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spacing w:before="0" w:beforeAutospacing="0" w:after="0" w:afterAutospacing="0"/>
              <w:ind w:left="0" w:right="0"/>
              <w:jc w:val="center"/>
              <w:rPr>
                <w:rFonts w:hint="eastAsia" w:ascii="Calibri" w:hAnsi="Calibri"/>
                <w:kern w:val="2"/>
                <w:sz w:val="21"/>
                <w:szCs w:val="22"/>
                <w:highlight w:val="none"/>
              </w:rPr>
            </w:pPr>
            <w:r>
              <w:rPr>
                <w:rFonts w:hint="eastAsia" w:ascii="Calibri" w:hAnsi="Calibri"/>
                <w:kern w:val="2"/>
                <w:sz w:val="21"/>
                <w:szCs w:val="22"/>
                <w:highlight w:val="none"/>
              </w:rPr>
              <w:t>电梯、消防设施</w:t>
            </w:r>
          </w:p>
        </w:tc>
        <w:tc>
          <w:tcPr>
            <w:tcW w:w="7164" w:type="dxa"/>
            <w:vAlign w:val="center"/>
          </w:tcPr>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电梯升降系统</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1、服务内容：电梯应由专业资质维保单位至少每15日进行一次清洁、润滑、调整和检查，建立每台电梯的台账档案，日常维护和应急维修应及时记录。每年经有资质的检测机构检验合格，在《安全使用许可证》有效期内安全运行。</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2、服务要求应配置持有特种设备作业人员证的电梯安全管理人员，对电梯保养、运行进行监督管理。</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消防设施设备</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服务内容及要求：消防设施设备应由专业资质维保单位至少每15日进行一次维护保养，建立台账并记录在案。消防重点单位每年应经有资质的检测机构检验合格，并出具《建筑消防设施年度检测报告》。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spacing w:before="0" w:beforeAutospacing="0" w:after="0" w:afterAutospacing="0"/>
              <w:ind w:left="0" w:right="0"/>
              <w:jc w:val="center"/>
              <w:rPr>
                <w:rFonts w:hint="eastAsia" w:ascii="Calibri" w:hAnsi="Calibri"/>
                <w:kern w:val="2"/>
                <w:sz w:val="21"/>
                <w:szCs w:val="22"/>
                <w:highlight w:val="none"/>
              </w:rPr>
            </w:pPr>
            <w:r>
              <w:rPr>
                <w:rFonts w:hint="eastAsia" w:ascii="Calibri" w:hAnsi="Calibri"/>
                <w:kern w:val="2"/>
                <w:sz w:val="21"/>
                <w:szCs w:val="22"/>
                <w:highlight w:val="none"/>
              </w:rPr>
              <w:t>零星维护</w:t>
            </w:r>
          </w:p>
        </w:tc>
        <w:tc>
          <w:tcPr>
            <w:tcW w:w="7164" w:type="dxa"/>
            <w:vAlign w:val="center"/>
          </w:tcPr>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1、服务内容：房屋地面、墙、台面、吊顶、门窗、楼梯、通风道、卫生洁具、大厅玻璃顶、外墙幕墙等无霉变破损。</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2、服务要求：确保办公楼（区）零星维修的及时性，一般修理（屋面补漏、修补面层、泛水、屋脊等）在两小时内处理完毕，小修（水、电、暖、气等设备的故障排除及零部件的维修等）在半个工作日内处理完毕，其他大修项目（公用生活设备必须进行更换、对主体结构进行加固等）自受理之日起3个工作日内处理完毕，确保零星维修合格率达到100%。工程维修人员须持有效期内相应证件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spacing w:before="0" w:beforeAutospacing="0" w:after="0" w:afterAutospacing="0"/>
              <w:ind w:left="0" w:right="0"/>
              <w:jc w:val="center"/>
              <w:rPr>
                <w:rFonts w:hint="eastAsia" w:ascii="Calibri" w:hAnsi="Calibri"/>
                <w:kern w:val="2"/>
                <w:sz w:val="21"/>
                <w:szCs w:val="22"/>
                <w:highlight w:val="none"/>
              </w:rPr>
            </w:pPr>
            <w:r>
              <w:rPr>
                <w:rFonts w:hint="eastAsia" w:ascii="Calibri" w:hAnsi="Calibri"/>
                <w:kern w:val="2"/>
                <w:sz w:val="21"/>
                <w:szCs w:val="22"/>
                <w:highlight w:val="none"/>
              </w:rPr>
              <w:t>其他管理</w:t>
            </w:r>
          </w:p>
        </w:tc>
        <w:tc>
          <w:tcPr>
            <w:tcW w:w="7164" w:type="dxa"/>
            <w:vAlign w:val="center"/>
          </w:tcPr>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根据采购单位需要提供综合会议、活动服务等各类活动的劳动服务，制定完备的会务服务工作流程、细则及服务工作计划并严格执行以及配合采购单位完成设施设备运行、一般性综合维修及巡查等相关工作，并做好记录和处理等。</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针对突发事件建立应急预案，并定期组织培训、演习，面临突发事件及时采取对应措施并上报。</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设施设备按规定进行检查、维修和保养，确保安全。每日进行水电气开关的检查和记录，并签字确认，排除隐患。严禁占用消防通道，发现安全隐患，必须及时上报。定期开展消防安全知识培训，每年至少组织一次演练。</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接到会务预定后，根据会议实际需求分配相应会场，并予以反馈。</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接到一卡通申请后，根据上传的文件资料予以审核，审核通过予以办理并反馈。</w:t>
            </w:r>
          </w:p>
          <w:p>
            <w:pPr>
              <w:adjustRightInd w:val="0"/>
              <w:snapToGrid w:val="0"/>
              <w:spacing w:before="0" w:beforeAutospacing="0" w:after="0" w:afterAutospacing="0"/>
              <w:ind w:left="0" w:right="0" w:firstLine="480"/>
              <w:rPr>
                <w:rFonts w:hint="eastAsia" w:ascii="Calibri" w:hAnsi="Calibri"/>
                <w:kern w:val="2"/>
                <w:sz w:val="21"/>
                <w:szCs w:val="22"/>
                <w:highlight w:val="none"/>
              </w:rPr>
            </w:pPr>
            <w:r>
              <w:rPr>
                <w:rFonts w:hint="eastAsia" w:ascii="Calibri" w:hAnsi="Calibri"/>
                <w:kern w:val="2"/>
                <w:sz w:val="21"/>
                <w:szCs w:val="22"/>
                <w:highlight w:val="none"/>
              </w:rPr>
              <w:t>接到停车申请后，根据上传的行驶证、文件（合同、文件、调令）等材料予以审核，审核通过后予以办理并反馈。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spacing w:before="0" w:beforeAutospacing="0" w:after="0" w:afterAutospacing="0"/>
              <w:ind w:left="0" w:right="0"/>
              <w:jc w:val="center"/>
              <w:rPr>
                <w:rFonts w:hint="eastAsia" w:ascii="Calibri" w:hAnsi="Calibri"/>
                <w:kern w:val="2"/>
                <w:sz w:val="21"/>
                <w:szCs w:val="22"/>
                <w:highlight w:val="none"/>
              </w:rPr>
            </w:pPr>
            <w:r>
              <w:rPr>
                <w:rFonts w:hint="eastAsia" w:ascii="Calibri" w:hAnsi="Calibri"/>
                <w:kern w:val="2"/>
                <w:sz w:val="21"/>
                <w:szCs w:val="22"/>
                <w:highlight w:val="none"/>
              </w:rPr>
              <w:t>管理服务应达到的指标</w:t>
            </w:r>
          </w:p>
        </w:tc>
        <w:tc>
          <w:tcPr>
            <w:tcW w:w="7164" w:type="dxa"/>
            <w:vAlign w:val="center"/>
          </w:tcPr>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1、通过努力达到“三优一保证”（优美环境、优质服务、优化功能、保证安全）；</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2、环境卫生、清洁率达99%；零修、报修及时率100%，返修率小于1%；</w:t>
            </w:r>
          </w:p>
          <w:p>
            <w:pPr>
              <w:adjustRightInd w:val="0"/>
              <w:snapToGrid w:val="0"/>
              <w:spacing w:before="0" w:beforeAutospacing="0" w:after="0" w:afterAutospacing="0"/>
              <w:ind w:left="0" w:right="0" w:firstLine="420" w:firstLineChars="200"/>
              <w:rPr>
                <w:rFonts w:hint="eastAsia" w:ascii="Calibri" w:hAnsi="Calibri"/>
                <w:kern w:val="2"/>
                <w:sz w:val="21"/>
                <w:szCs w:val="22"/>
                <w:highlight w:val="none"/>
              </w:rPr>
            </w:pPr>
            <w:r>
              <w:rPr>
                <w:rFonts w:hint="eastAsia" w:ascii="Calibri" w:hAnsi="Calibri"/>
                <w:kern w:val="2"/>
                <w:sz w:val="21"/>
                <w:szCs w:val="22"/>
                <w:highlight w:val="none"/>
              </w:rPr>
              <w:t>3、服务有效投诉少于1%，处理率100%；业主满意率95%以上。</w:t>
            </w:r>
          </w:p>
        </w:tc>
      </w:tr>
    </w:tbl>
    <w:p>
      <w:pPr>
        <w:pStyle w:val="39"/>
        <w:tabs>
          <w:tab w:val="right" w:leader="dot" w:pos="8268"/>
        </w:tabs>
        <w:rPr>
          <w:rFonts w:hint="eastAsia"/>
          <w:lang w:eastAsia="zh-CN"/>
        </w:rPr>
      </w:pPr>
    </w:p>
    <w:p>
      <w:pPr>
        <w:spacing w:line="360" w:lineRule="auto"/>
        <w:ind w:firstLine="482" w:firstLineChars="200"/>
        <w:rPr>
          <w:rFonts w:hint="eastAsia" w:ascii="宋体" w:hAnsi="宋体" w:eastAsia="宋体" w:cs="宋体"/>
          <w:b/>
          <w:bCs/>
          <w:i w:val="0"/>
          <w:iCs w:val="0"/>
          <w:sz w:val="24"/>
          <w:szCs w:val="24"/>
          <w:lang w:eastAsia="zh-CN"/>
        </w:rPr>
      </w:pPr>
      <w:r>
        <w:rPr>
          <w:rFonts w:hint="eastAsia" w:ascii="宋体" w:hAnsi="宋体" w:eastAsia="宋体" w:cs="宋体"/>
          <w:b/>
          <w:bCs/>
          <w:i w:val="0"/>
          <w:iCs w:val="0"/>
          <w:sz w:val="24"/>
          <w:szCs w:val="24"/>
          <w:lang w:eastAsia="zh-CN"/>
        </w:rPr>
        <w:t>（</w:t>
      </w:r>
      <w:r>
        <w:rPr>
          <w:rFonts w:hint="eastAsia" w:ascii="宋体" w:hAnsi="宋体" w:eastAsia="宋体" w:cs="宋体"/>
          <w:b/>
          <w:bCs/>
          <w:i w:val="0"/>
          <w:iCs w:val="0"/>
          <w:sz w:val="24"/>
          <w:szCs w:val="24"/>
          <w:lang w:val="en-US" w:eastAsia="zh-CN"/>
        </w:rPr>
        <w:t>4）</w:t>
      </w:r>
      <w:r>
        <w:rPr>
          <w:rFonts w:hint="eastAsia" w:ascii="宋体" w:hAnsi="宋体" w:eastAsia="宋体" w:cs="宋体"/>
          <w:b/>
          <w:bCs/>
          <w:i w:val="0"/>
          <w:iCs w:val="0"/>
          <w:sz w:val="24"/>
          <w:szCs w:val="24"/>
          <w:lang w:eastAsia="zh-CN"/>
        </w:rPr>
        <w:t>服务</w:t>
      </w:r>
      <w:r>
        <w:rPr>
          <w:rFonts w:hint="eastAsia" w:ascii="宋体" w:hAnsi="宋体" w:cs="宋体"/>
          <w:b/>
          <w:bCs/>
          <w:i w:val="0"/>
          <w:iCs w:val="0"/>
          <w:sz w:val="24"/>
          <w:szCs w:val="24"/>
          <w:lang w:val="en-US" w:eastAsia="zh-CN"/>
        </w:rPr>
        <w:t>考核</w:t>
      </w:r>
      <w:r>
        <w:rPr>
          <w:rFonts w:hint="eastAsia" w:ascii="宋体" w:hAnsi="宋体" w:eastAsia="宋体" w:cs="宋体"/>
          <w:b/>
          <w:bCs/>
          <w:i w:val="0"/>
          <w:iCs w:val="0"/>
          <w:sz w:val="24"/>
          <w:szCs w:val="24"/>
          <w:lang w:eastAsia="zh-CN"/>
        </w:rPr>
        <w:t>：</w:t>
      </w:r>
    </w:p>
    <w:tbl>
      <w:tblPr>
        <w:tblStyle w:val="26"/>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815"/>
        <w:gridCol w:w="4253"/>
        <w:gridCol w:w="269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项目</w:t>
            </w:r>
          </w:p>
        </w:tc>
        <w:tc>
          <w:tcPr>
            <w:tcW w:w="815"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内容</w:t>
            </w:r>
          </w:p>
        </w:tc>
        <w:tc>
          <w:tcPr>
            <w:tcW w:w="4253"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标准</w:t>
            </w:r>
          </w:p>
        </w:tc>
        <w:tc>
          <w:tcPr>
            <w:tcW w:w="2693"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扣分标准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b/>
                <w:bCs/>
                <w:sz w:val="20"/>
                <w:szCs w:val="20"/>
                <w:highlight w:val="none"/>
              </w:rPr>
              <w:t>安全服务</w:t>
            </w: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安保人员基本要求</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所有安保人员要求具有保安员上岗证，消控室值班人员必须具有国考证。</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没有证件，发现一次扣2分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所有安保人员要求具有三个月以上保安工作经验并由所在单位提供证明，新进保安人员要求总公司出具一个月以上培训合格证明。</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没有相关证明，发现一次扣1分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所有安保人员要求进行定期培训，并提交培训计划交甲方备案。</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没有培训记录，发现一次扣1分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所有安保人员年龄不得大于45周岁。</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超过规定年龄，发现一次扣2分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在岗时按规定着装，不得打瞌睡、睡觉。</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未按规定着装，发现一次扣1分</w:t>
            </w:r>
          </w:p>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在岗时发现有打瞌睡、睡觉、精神不振的每次发现扣1分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公共秩序维护</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严格出入登记制度，发现问题及时上报处理，杜绝闲杂人员进入办公楼（区）。物品进出实施分类管理，实行物品进出审验制度，杜绝可疑危险品进入</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未严格登记，发现一次扣1分</w:t>
            </w:r>
          </w:p>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未严格审验，发现一次扣1分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对进出的各类机动车辆进行有序管理，设置行车指示标志，规定车辆行驶路线，引导车辆停放区域，车库内配置道闸和监视系统。非机动车统一停放在室外指定区域，设置集中充电桩。停车区域无易燃、易爆物品存放。</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对车辆、非机动车未进行有序管理，发现一次扣1分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消控、监控设施设备应保持24小时正常运行，保证出入口、内部重点区域的安全监控、录像及协助布警。监控室收到异常情况报警信号后，应及时报警，并派专人赶到现场进行前期处理。监控资料应至少保留90天。做好防盗、防火报警监控设备日常使用管理。</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消监控室未按要求值班，发现一次扣2分</w:t>
            </w:r>
          </w:p>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未及时处理异常情况、防火报警，发现一次扣2分</w:t>
            </w:r>
          </w:p>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未做好相关台账记录，发现一次扣1分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明确巡视工作职责，对设备机房等重要区域、部位进行重点巡视并做好相关记录，及时发现和处理各种安全和事故隐患</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未按要求巡视，发现一次扣1分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消控安全管理</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配备完善的消防设施和器材，定期对消防设施进行巡查，确保运行正常。消防设施的维护管理及消防控制室应符合国标要求。</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未定期检查，发现一次扣1分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应在各楼层明显位置张贴平面疏散示意图、引路标志及控烟标志。</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未按要求张贴相关标识，发现一次扣1分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定期开展防火检查，保证疏散通道、安全出口、消防车道通畅</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未按要求开展防火检查，发现一次扣1分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每年至少组织1次消防安全培训及消防演练</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未按要求组织培训、演练，发现一次扣1分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突发事件处理</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建立突发时间应急预案体系，包括但不限于电梯困人、紧急会议、火警火灾、突发停电、水管破裂、意外伤害、群体性上访、台风、暴雨及雷电等应急预案。</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未按要求建立应急预案，发现一次扣2分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突发事件发生时应立即启动应急预案，迅速展开指挥协调、信息报告、紧急处置、秩序维护、抢险救援、后勤保障等工作，并在第一时间内向有关部门汇报处理结果。</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未启动应急预案，导致未及时处理突发事件，发现一次扣2分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每年至少组织1次突发事件应急演习。</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未按要求组织演练，发现一次扣1分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b/>
                <w:bCs/>
                <w:sz w:val="20"/>
                <w:szCs w:val="20"/>
                <w:highlight w:val="none"/>
              </w:rPr>
              <w:t>保洁服务</w:t>
            </w: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室内区域清洁</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室内公共区域的地面、墙面、楼梯、扶手、大厅、玻璃、门及门窗框、天花板、栏杆、走廊等整洁干净，无垃圾、无积灰、无污渍、无手印。</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存在垃圾、积尘、污渍、手印等，发现一次扣1分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室内卫生间、茶水间清洁，无垃圾、无污渍、无积水、无异味、无堆积杂物，洁具、台面、镜面光洁无水迹，电器设施外观清洁，物品摆放有序。室内卫生间符合“美丽厕所”标准，包括标识、手机架、挂钩、绿植等设施。</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未符合“美丽厕所”相关标准，发现一次扣1分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室外区域清洁</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室外广场、道路、停车场（库）、屋面、“门前三包”等公共区域的地面干净，无杂物、无积水、无淤泥、无污垢。</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存在杂物、积水、淤泥、污垢等，发现一次扣1分</w:t>
            </w:r>
          </w:p>
        </w:tc>
        <w:tc>
          <w:tcPr>
            <w:tcW w:w="709" w:type="dxa"/>
            <w:vAlign w:val="center"/>
          </w:tcPr>
          <w:p>
            <w:pPr>
              <w:spacing w:before="0" w:beforeAutospacing="0" w:after="0" w:afterAutospacing="0"/>
              <w:ind w:left="0" w:right="0"/>
              <w:jc w:val="center"/>
              <w:rPr>
                <w:rFonts w:hint="eastAsia" w:ascii="Times New Roman" w:hAnsi="Times New Roman" w:eastAsia="宋体" w:cs="Times New Roman"/>
                <w:sz w:val="20"/>
                <w:szCs w:val="20"/>
                <w:highlight w:val="none"/>
                <w:lang w:eastAsia="zh-CN"/>
              </w:rPr>
            </w:pPr>
            <w:r>
              <w:rPr>
                <w:rFonts w:hint="eastAsia" w:cs="Times New Roman"/>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外墙应保持清洁，无明显污迹。</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存在污迹，发现一次扣1分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定期对喷泉、景观、照明灯设施设备进行清洁，确保表面干净无污渍。</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未定期清洁，存在污渍，发现一次扣1分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垃圾分类</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垃圾、废弃物按分类要求及时收集、日产日清，化粪池及时清掏，垃圾箱（房）外侧表面清洁、内侧无残留物、无异味。</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未按要求及时处理，发现一次扣1分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垃圾应按照可回收物、有害垃圾、易腐垃圾和其他垃圾进行分类，对应垃圾桶颜色分别为蓝色、红色、绿色和灰色。</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未按要求进行垃圾分类，发现一次扣1分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在办公楼电梯口放置垃圾分类“每日一题”，做到每日更新。</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未按要求放置“每日一题”，发现一次扣1分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合理利用垃圾分类曝光台，对错误投放行为每日进行公示。</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未按要求进行公示，发现一次扣1分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实施垃圾分类动态监管，做好“每日一报、每周一报”工作。</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未按要求报送，发现一次扣1分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人员</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在岗时穿戴统一制服，仪容仪表规范整齐。文明工作，训练有素，言语规范，认真负责。</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未按规定着装，发现一次扣1分</w:t>
            </w:r>
          </w:p>
        </w:tc>
        <w:tc>
          <w:tcPr>
            <w:tcW w:w="709" w:type="dxa"/>
            <w:vAlign w:val="center"/>
          </w:tcPr>
          <w:p>
            <w:pPr>
              <w:spacing w:before="0" w:beforeAutospacing="0" w:after="0" w:afterAutospacing="0"/>
              <w:ind w:left="0" w:right="0"/>
              <w:jc w:val="center"/>
              <w:rPr>
                <w:rFonts w:hint="eastAsia" w:ascii="Times New Roman" w:hAnsi="Times New Roman" w:eastAsia="宋体" w:cs="Times New Roman"/>
                <w:sz w:val="20"/>
                <w:szCs w:val="20"/>
                <w:highlight w:val="none"/>
                <w:lang w:eastAsia="zh-CN"/>
              </w:rPr>
            </w:pPr>
            <w:r>
              <w:rPr>
                <w:rFonts w:hint="eastAsia" w:cs="Times New Roman"/>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除“四害”</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建立“四害”消杀工作管理制度，根据实际情况定期开展消杀工作，有效控制鼠、蟑、蝇、蚊等害虫孳生，定期对各类病虫害进行预防控制，适时投放消杀药物和设施；“除四害”实施单位须具有杭州市鼠害与卫生虫害防制协会颁发的《杭州市病媒生物消杀专业机构资质证书》，提供的服务不得低于杭州市爱卫会“除四害”相关规定及验收标准，并视特殊情况增加次数，无明显蚊蝇滋生地、鼠迹。</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存在明显蚊蝇滋生、鼠迹等，发现一次扣2分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b/>
                <w:bCs/>
                <w:sz w:val="20"/>
                <w:szCs w:val="20"/>
                <w:highlight w:val="none"/>
              </w:rPr>
              <w:t>绿化服务</w:t>
            </w:r>
          </w:p>
        </w:tc>
        <w:tc>
          <w:tcPr>
            <w:tcW w:w="815"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养护人员基本要求</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在岗时佩戴统一标志，穿戴统一制服，仪容仪表规范整齐。文明工作，训练有素，言语规范，认真负责。</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未按规定着装，发现一次扣1分</w:t>
            </w:r>
          </w:p>
        </w:tc>
        <w:tc>
          <w:tcPr>
            <w:tcW w:w="709" w:type="dxa"/>
            <w:vAlign w:val="center"/>
          </w:tcPr>
          <w:p>
            <w:pPr>
              <w:spacing w:before="0" w:beforeAutospacing="0" w:after="0" w:afterAutospacing="0"/>
              <w:ind w:left="0" w:right="0"/>
              <w:jc w:val="center"/>
              <w:rPr>
                <w:rFonts w:hint="eastAsia" w:ascii="Times New Roman" w:hAnsi="Times New Roman" w:eastAsia="宋体" w:cs="Times New Roman"/>
                <w:sz w:val="20"/>
                <w:szCs w:val="20"/>
                <w:highlight w:val="none"/>
                <w:lang w:eastAsia="zh-CN"/>
              </w:rPr>
            </w:pPr>
            <w:r>
              <w:rPr>
                <w:rFonts w:hint="eastAsia" w:cs="Times New Roman"/>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基本要求</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室内外绿化养护期内各类绿植应100%存活。</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未存活，发现一次扣1分</w:t>
            </w:r>
          </w:p>
        </w:tc>
        <w:tc>
          <w:tcPr>
            <w:tcW w:w="709" w:type="dxa"/>
            <w:vAlign w:val="center"/>
          </w:tcPr>
          <w:p>
            <w:pPr>
              <w:spacing w:before="0" w:beforeAutospacing="0" w:after="0" w:afterAutospacing="0"/>
              <w:ind w:left="0" w:right="0"/>
              <w:jc w:val="center"/>
              <w:rPr>
                <w:rFonts w:hint="eastAsia" w:ascii="Times New Roman" w:hAnsi="Times New Roman" w:eastAsia="宋体" w:cs="Times New Roman"/>
                <w:sz w:val="20"/>
                <w:szCs w:val="20"/>
                <w:highlight w:val="none"/>
                <w:lang w:eastAsia="zh-CN"/>
              </w:rPr>
            </w:pPr>
            <w:r>
              <w:rPr>
                <w:rFonts w:hint="eastAsia" w:cs="Times New Roman"/>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根据季节和气候状况，进行浇灌、施肥、修剪和松土等养护。</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未按要求养护，发现一次扣1分</w:t>
            </w:r>
          </w:p>
        </w:tc>
        <w:tc>
          <w:tcPr>
            <w:tcW w:w="709" w:type="dxa"/>
            <w:vAlign w:val="center"/>
          </w:tcPr>
          <w:p>
            <w:pPr>
              <w:spacing w:before="0" w:beforeAutospacing="0" w:after="0" w:afterAutospacing="0"/>
              <w:ind w:left="0" w:right="0"/>
              <w:jc w:val="center"/>
              <w:rPr>
                <w:rFonts w:hint="eastAsia" w:ascii="Times New Roman" w:hAnsi="Times New Roman" w:eastAsia="宋体" w:cs="Times New Roman"/>
                <w:sz w:val="20"/>
                <w:szCs w:val="20"/>
                <w:highlight w:val="none"/>
                <w:lang w:eastAsia="zh-CN"/>
              </w:rPr>
            </w:pPr>
            <w:r>
              <w:rPr>
                <w:rFonts w:hint="eastAsia" w:cs="Times New Roman"/>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定期检查病虫害情况，病虫害防治率100%，危害率低于5%。</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存在病虫害情况，发现一次扣1分</w:t>
            </w:r>
          </w:p>
        </w:tc>
        <w:tc>
          <w:tcPr>
            <w:tcW w:w="709" w:type="dxa"/>
            <w:vAlign w:val="center"/>
          </w:tcPr>
          <w:p>
            <w:pPr>
              <w:spacing w:before="0" w:beforeAutospacing="0" w:after="0" w:afterAutospacing="0"/>
              <w:ind w:left="0" w:right="0"/>
              <w:jc w:val="center"/>
              <w:rPr>
                <w:rFonts w:hint="eastAsia" w:ascii="Times New Roman" w:hAnsi="Times New Roman" w:eastAsia="宋体" w:cs="Times New Roman"/>
                <w:sz w:val="20"/>
                <w:szCs w:val="20"/>
                <w:highlight w:val="none"/>
                <w:lang w:eastAsia="zh-CN"/>
              </w:rPr>
            </w:pPr>
            <w:r>
              <w:rPr>
                <w:rFonts w:hint="eastAsia" w:cs="Times New Roman"/>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室内绿化</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应选择观赏性强、观赏期长、方便管理的鲜活植物摆放室内。不允许摆放有毒有害植物。</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未按要求摆放，发现一次扣1分</w:t>
            </w:r>
          </w:p>
        </w:tc>
        <w:tc>
          <w:tcPr>
            <w:tcW w:w="709" w:type="dxa"/>
            <w:vAlign w:val="center"/>
          </w:tcPr>
          <w:p>
            <w:pPr>
              <w:spacing w:before="0" w:beforeAutospacing="0" w:after="0" w:afterAutospacing="0"/>
              <w:ind w:left="0" w:right="0"/>
              <w:jc w:val="center"/>
              <w:rPr>
                <w:rFonts w:hint="eastAsia" w:ascii="Times New Roman" w:hAnsi="Times New Roman" w:eastAsia="宋体" w:cs="Times New Roman"/>
                <w:sz w:val="20"/>
                <w:szCs w:val="20"/>
                <w:highlight w:val="none"/>
                <w:lang w:eastAsia="zh-CN"/>
              </w:rPr>
            </w:pPr>
            <w:r>
              <w:rPr>
                <w:rFonts w:hint="eastAsia" w:cs="Times New Roman"/>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植株长势良好，无残枝、无黄叶、无积尘，花朵饱满、无萎蔫，托盘内无积水。</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长势不良，发现一次扣1分</w:t>
            </w:r>
          </w:p>
        </w:tc>
        <w:tc>
          <w:tcPr>
            <w:tcW w:w="709" w:type="dxa"/>
            <w:vAlign w:val="center"/>
          </w:tcPr>
          <w:p>
            <w:pPr>
              <w:spacing w:before="0" w:beforeAutospacing="0" w:after="0" w:afterAutospacing="0"/>
              <w:ind w:left="0" w:right="0"/>
              <w:jc w:val="center"/>
              <w:rPr>
                <w:rFonts w:hint="eastAsia" w:ascii="Times New Roman" w:hAnsi="Times New Roman" w:eastAsia="宋体" w:cs="Times New Roman"/>
                <w:sz w:val="20"/>
                <w:szCs w:val="20"/>
                <w:highlight w:val="none"/>
                <w:lang w:eastAsia="zh-CN"/>
              </w:rPr>
            </w:pPr>
            <w:r>
              <w:rPr>
                <w:rFonts w:hint="eastAsia" w:cs="Times New Roman"/>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b/>
                <w:bCs/>
                <w:sz w:val="20"/>
                <w:szCs w:val="20"/>
                <w:highlight w:val="none"/>
              </w:rPr>
              <w:t>会务服务</w:t>
            </w: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会前准备</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明确当天会议安排、会议情况和主要事项</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未明确相关事项，发现一次扣1分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服务人员仪表自查，衣着整洁、上岗微笑服务并使用礼貌用语。</w:t>
            </w:r>
          </w:p>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服务人员提前到岗，检查落实服务保障工作。根据会议时间提前1-2小时布置会场，在会前5-10分钟倒好主席台茶水。</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未统一穿戴、着装，发现一次扣1分</w:t>
            </w:r>
          </w:p>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未提前做好相关准备工作，发现一次扣1分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会中服务</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根据会议安排，帮助参会人员找到座位。遇到客人，要说：请，称呼要得当。迎客走在前，与客人保持1米距离，做到“三步一回头”，不随意变更站位。将主席台人员或领导领入休息室。</w:t>
            </w:r>
          </w:p>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会议开始后，在会议室门口悬挂“会议中请安静”的警示牌。</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未按要求引导，发现一次扣1分</w:t>
            </w:r>
          </w:p>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未按要求悬挂警示牌，发现一次扣1分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参加人员就坐后，应随时观察用水情况，及时续水，一般控制在20分钟左右。</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未按要求续水，发现一次扣1分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随时关注话筒、音响设备、视频播放设备等，发现问题及时采取应急预案，做好应急处理。</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未采取应急处理，发现一次扣1分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随时调整会场空调温度，符合节能的前提下以保证舒适度。</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未按要求调整，发现一次扣1分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会后整理</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全体服务保障人员要严格遵守保密规定，不得泄露会议内容，不得翻录和私留会议材料。回收会场材料，统一做好保密材料处理。</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未做好保密，发现一次扣2分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会议结束时，及时将门打开，热情、礼貌引导参会人员退场。</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未做好引导，发现一次扣1分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开展会场清洁及桌椅复原工作。查看有无客人遗留物品，若发现及时上报，转交并做好记录。</w:t>
            </w:r>
          </w:p>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会后及时收集整理提供的服务用品及设施设备，关闭灯光、空调及电器设备，锁好门窗。</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未做好相关工作，发现一次扣1分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restart"/>
            <w:vAlign w:val="center"/>
          </w:tcPr>
          <w:p>
            <w:pPr>
              <w:spacing w:before="0" w:beforeAutospacing="0" w:after="0" w:afterAutospacing="0"/>
              <w:ind w:left="0" w:right="0"/>
              <w:jc w:val="center"/>
              <w:rPr>
                <w:rFonts w:hint="eastAsia" w:ascii="Times New Roman" w:hAnsi="Times New Roman" w:cs="Times New Roman"/>
                <w:b/>
                <w:bCs/>
                <w:sz w:val="20"/>
                <w:szCs w:val="20"/>
                <w:highlight w:val="none"/>
              </w:rPr>
            </w:pPr>
            <w:r>
              <w:rPr>
                <w:rFonts w:hint="eastAsia" w:ascii="Times New Roman" w:hAnsi="Times New Roman" w:cs="Times New Roman"/>
                <w:b/>
                <w:bCs/>
                <w:sz w:val="20"/>
                <w:szCs w:val="20"/>
                <w:highlight w:val="none"/>
              </w:rPr>
              <w:t>设施设备维护</w:t>
            </w: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零星维护</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房屋地面、墙、台面、吊顶、门窗、楼梯、通风道、卫生洁具、大厅玻璃顶、外墙幕墙等完好，无霉变破损。</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存在破损情况，发现一次扣1分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未在规定时间内处理，发现一次扣1分</w:t>
            </w:r>
          </w:p>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工程人员未持证上岗，发现一次扣1分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供配电系统</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至少每2小时巡视一次高配房设备运行情况，如实记录设备运行参数。定期对各类机房设备设施进行检查、维护、清洁，并做好记录。</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未按要求巡查，发现一次扣1分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确保各类照明灯具、应急照明系统、供用电设备设施（包括配电箱、桥架、井道、开关、插座等）运行正常。</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未正常运行，发现一次扣1分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给排水系统</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每日检查污水泵、排水泵、生活水泵、阀门、管道、仪表等，确保给排水系统正常运行，无“跑”、“冒”、“滴”、“漏”现象。</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未按要求检查，发现一次扣1分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定期对水泵、管道进行养护，每年至少两次对水箱进行全面清洗，并提供水质检测报告。</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未定期养护，发现一次扣1分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弱电系统</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由专业人员定期对监控系统、门禁系统、多媒体系统、会议系统等智能弱电设备进行巡查，定期清理设备机柜、控制箱、交换机等外表吸附的灰尘和絮状物。</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未定期巡查，发现一次扣1分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电梯升降系统</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未定期维保，发现一次扣2分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应配置持有特种设备作业人员证的电梯安全管理人员，对电梯保养、运行进行监督管理。</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未持证上岗，发现一次扣2分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消防设施设备</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消防设施设备应由专业资质维保单位至少每15日进行一次维护保养，建立台账并记录在案。消防重点单位每年应经有资质的检测机构检验合格，并出具《建筑消防设施年度检测报告》。</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未定期维保，发现一次扣2分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安全管理</w:t>
            </w:r>
          </w:p>
        </w:tc>
        <w:tc>
          <w:tcPr>
            <w:tcW w:w="4253" w:type="dxa"/>
            <w:vAlign w:val="center"/>
          </w:tcPr>
          <w:p>
            <w:pPr>
              <w:widowControl/>
              <w:spacing w:before="0" w:beforeAutospacing="0" w:after="0" w:afterAutospacing="0"/>
              <w:ind w:left="0" w:right="0"/>
              <w:jc w:val="left"/>
              <w:textAlignment w:val="center"/>
              <w:rPr>
                <w:rFonts w:hint="eastAsia" w:ascii="Times New Roman" w:hAnsi="Times New Roman" w:cs="Times New Roman"/>
                <w:sz w:val="20"/>
                <w:szCs w:val="20"/>
                <w:highlight w:val="none"/>
              </w:rPr>
            </w:pPr>
            <w:r>
              <w:rPr>
                <w:rFonts w:hint="eastAsia" w:ascii="Times New Roman" w:hAnsi="Times New Roman" w:cs="Times New Roman"/>
                <w:kern w:val="0"/>
                <w:sz w:val="20"/>
                <w:szCs w:val="20"/>
                <w:highlight w:val="none"/>
              </w:rPr>
              <w:t>针对突发事件建立应急预案，并定期组织培训、演习，面临突发事件及时采取对应措施并上报。</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未建立应急预案并演练，发现一次扣1分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widowControl/>
              <w:spacing w:before="0" w:beforeAutospacing="0" w:after="0" w:afterAutospacing="0"/>
              <w:ind w:left="0" w:right="0"/>
              <w:jc w:val="left"/>
              <w:textAlignment w:val="center"/>
              <w:rPr>
                <w:rFonts w:hint="eastAsia" w:ascii="Times New Roman" w:hAnsi="Times New Roman" w:cs="Times New Roman"/>
                <w:sz w:val="20"/>
                <w:szCs w:val="20"/>
                <w:highlight w:val="none"/>
              </w:rPr>
            </w:pPr>
            <w:r>
              <w:rPr>
                <w:rFonts w:hint="eastAsia" w:ascii="Times New Roman" w:hAnsi="Times New Roman" w:cs="Times New Roman"/>
                <w:kern w:val="0"/>
                <w:sz w:val="20"/>
                <w:szCs w:val="20"/>
                <w:highlight w:val="none"/>
              </w:rPr>
              <w:t>设施设备按规定进行检查、维修和保养，确保安全。每日进行水电气开关的检查和记录，并签字确认，排除隐患。严禁占用消防通道，发现安全隐患，必须及时上报。定期开展消防安全知识培训，每年至少组织一次演练。</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未按消防要求管理，发现一次扣1分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设施设备管理</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报修服务：接到报修订单，在规定时间内按相应流程处理智慧化报修单。处理完成后予以反馈。</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未按要求处理报修单，发现一次扣1分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智慧巡更：定期通过手机扫二维码方式进行日常设施设备巡查及定期维护保养工作。中心巡查人员不定期更换二维码抽查。</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未按要求做好巡查，发现一次扣1分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会务预定</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接到会务预定后，根据会议实际需求分配相应会场，并予以反馈。</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未按要求做好预定处理，发现一次扣1分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停车申请</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接到停车申请后，根据上传的行驶证、文件（合同、文件、调令）等材料予以审核，审核通过后予以办理并反馈。</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未按要求及时处理申请，发现一次扣1分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评价反馈</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根据服务情况，满意度评价最高五星，评价在四星以上为满意。</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评价在三星及以下，扣2分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2693"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总计</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100</w:t>
            </w:r>
          </w:p>
        </w:tc>
      </w:tr>
    </w:tbl>
    <w:p>
      <w:pPr>
        <w:spacing w:line="360" w:lineRule="auto"/>
        <w:ind w:firstLine="482" w:firstLineChars="200"/>
        <w:rPr>
          <w:rFonts w:hint="eastAsia" w:ascii="宋体" w:hAnsi="宋体" w:eastAsia="宋体" w:cs="宋体"/>
          <w:b/>
          <w:bCs/>
          <w:i w:val="0"/>
          <w:iCs w:val="0"/>
          <w:sz w:val="24"/>
          <w:szCs w:val="24"/>
        </w:rPr>
      </w:pPr>
      <w:r>
        <w:rPr>
          <w:rFonts w:hint="eastAsia" w:ascii="宋体" w:hAnsi="宋体" w:eastAsia="宋体" w:cs="宋体"/>
          <w:b/>
          <w:bCs/>
          <w:i w:val="0"/>
          <w:iCs w:val="0"/>
          <w:sz w:val="24"/>
          <w:szCs w:val="24"/>
          <w:lang w:eastAsia="zh-CN"/>
        </w:rPr>
        <w:t>（</w:t>
      </w:r>
      <w:r>
        <w:rPr>
          <w:rFonts w:hint="eastAsia" w:ascii="宋体" w:hAnsi="宋体" w:eastAsia="宋体" w:cs="宋体"/>
          <w:b/>
          <w:bCs/>
          <w:i w:val="0"/>
          <w:iCs w:val="0"/>
          <w:sz w:val="24"/>
          <w:szCs w:val="24"/>
          <w:lang w:val="en-US" w:eastAsia="zh-CN"/>
        </w:rPr>
        <w:t>5</w:t>
      </w:r>
      <w:r>
        <w:rPr>
          <w:rFonts w:hint="eastAsia" w:ascii="宋体" w:hAnsi="宋体" w:eastAsia="宋体" w:cs="宋体"/>
          <w:b/>
          <w:bCs/>
          <w:i w:val="0"/>
          <w:iCs w:val="0"/>
          <w:sz w:val="24"/>
          <w:szCs w:val="24"/>
          <w:lang w:eastAsia="zh-CN"/>
        </w:rPr>
        <w:t>）</w:t>
      </w:r>
      <w:r>
        <w:rPr>
          <w:rFonts w:hint="eastAsia" w:ascii="宋体" w:hAnsi="宋体" w:eastAsia="宋体" w:cs="宋体"/>
          <w:b/>
          <w:bCs/>
          <w:i w:val="0"/>
          <w:iCs w:val="0"/>
          <w:sz w:val="24"/>
          <w:szCs w:val="24"/>
        </w:rPr>
        <w:t>履约保证金的缴纳和退付：</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highlight w:val="none"/>
        </w:rPr>
        <w:t>中标供应商向采购人缴纳</w:t>
      </w:r>
      <w:r>
        <w:rPr>
          <w:rFonts w:hint="eastAsia" w:ascii="宋体" w:hAnsi="宋体" w:cs="宋体"/>
          <w:i w:val="0"/>
          <w:iCs w:val="0"/>
          <w:sz w:val="24"/>
          <w:szCs w:val="24"/>
          <w:highlight w:val="none"/>
          <w:lang w:val="en-US" w:eastAsia="zh-CN"/>
        </w:rPr>
        <w:t>合同金额</w:t>
      </w:r>
      <w:r>
        <w:rPr>
          <w:rFonts w:hint="eastAsia" w:ascii="宋体" w:hAnsi="宋体" w:eastAsia="宋体" w:cs="宋体"/>
          <w:i w:val="0"/>
          <w:iCs w:val="0"/>
          <w:sz w:val="24"/>
          <w:szCs w:val="24"/>
          <w:highlight w:val="none"/>
          <w:lang w:val="en-US" w:eastAsia="zh-CN"/>
        </w:rPr>
        <w:t>1</w:t>
      </w:r>
      <w:r>
        <w:rPr>
          <w:rFonts w:hint="eastAsia" w:ascii="宋体" w:hAnsi="宋体" w:eastAsia="宋体" w:cs="宋体"/>
          <w:i w:val="0"/>
          <w:iCs w:val="0"/>
          <w:sz w:val="24"/>
          <w:szCs w:val="24"/>
          <w:highlight w:val="none"/>
        </w:rPr>
        <w:t>%的履约保证金</w:t>
      </w:r>
      <w:r>
        <w:rPr>
          <w:rFonts w:hint="eastAsia" w:ascii="宋体" w:hAnsi="宋体" w:eastAsia="宋体" w:cs="宋体"/>
          <w:i w:val="0"/>
          <w:iCs w:val="0"/>
          <w:sz w:val="24"/>
          <w:szCs w:val="24"/>
        </w:rPr>
        <w:t>，该保证金用于配送物资的质量安全保证以及必要时进行临时紧急采购，若在合同履行期间有违约行为的，按合同约定扣除相应的履约保证金。服务期结束后，采购人退付履约保证金。</w:t>
      </w:r>
    </w:p>
    <w:p>
      <w:pPr>
        <w:spacing w:line="360" w:lineRule="auto"/>
        <w:rPr>
          <w:rFonts w:ascii="宋体" w:hAnsi="宋体" w:eastAsia="宋体"/>
          <w:b/>
          <w:color w:val="auto"/>
          <w:sz w:val="24"/>
          <w:highlight w:val="none"/>
        </w:rPr>
      </w:pPr>
      <w:r>
        <w:rPr>
          <w:rFonts w:hint="eastAsia" w:ascii="宋体" w:hAnsi="宋体" w:eastAsia="宋体"/>
          <w:b/>
          <w:color w:val="auto"/>
          <w:sz w:val="24"/>
          <w:highlight w:val="none"/>
        </w:rPr>
        <w:t>三、合同订立安排</w:t>
      </w:r>
    </w:p>
    <w:p>
      <w:pPr>
        <w:spacing w:line="360" w:lineRule="auto"/>
        <w:jc w:val="left"/>
        <w:rPr>
          <w:rFonts w:ascii="宋体" w:hAnsi="宋体" w:cs="仿宋_GB2312"/>
          <w:sz w:val="24"/>
        </w:rPr>
      </w:pPr>
      <w:r>
        <w:rPr>
          <w:rFonts w:hint="eastAsia" w:ascii="宋体" w:hAnsi="宋体" w:eastAsia="宋体" w:cs="仿宋_GB2312"/>
          <w:color w:val="auto"/>
          <w:sz w:val="24"/>
          <w:highlight w:val="none"/>
        </w:rPr>
        <w:t>（一）采购项目预（概）算（元）：</w:t>
      </w:r>
      <w:r>
        <w:rPr>
          <w:rFonts w:hint="eastAsia" w:ascii="宋体" w:hAnsi="宋体" w:eastAsia="宋体"/>
          <w:b w:val="0"/>
          <w:bCs/>
          <w:color w:val="auto"/>
          <w:sz w:val="24"/>
          <w:highlight w:val="none"/>
          <w:u w:val="single"/>
          <w:lang w:val="en-US" w:eastAsia="zh-CN"/>
        </w:rPr>
        <w:t>5</w:t>
      </w:r>
      <w:r>
        <w:rPr>
          <w:rFonts w:hint="eastAsia" w:ascii="宋体" w:hAnsi="宋体"/>
          <w:b w:val="0"/>
          <w:bCs/>
          <w:color w:val="auto"/>
          <w:sz w:val="24"/>
          <w:highlight w:val="none"/>
          <w:u w:val="single"/>
          <w:lang w:val="en-US" w:eastAsia="zh-CN"/>
        </w:rPr>
        <w:t>800000</w:t>
      </w:r>
      <w:r>
        <w:rPr>
          <w:rFonts w:hint="eastAsia" w:ascii="宋体" w:hAnsi="宋体" w:eastAsia="宋体"/>
          <w:b w:val="0"/>
          <w:bCs/>
          <w:color w:val="auto"/>
          <w:sz w:val="24"/>
          <w:highlight w:val="none"/>
          <w:u w:val="single"/>
        </w:rPr>
        <w:t>元</w:t>
      </w:r>
      <w:r>
        <w:rPr>
          <w:rFonts w:hint="eastAsia" w:ascii="宋体" w:hAnsi="宋体" w:cs="仿宋_GB2312"/>
          <w:sz w:val="24"/>
        </w:rPr>
        <w:t>，最高限价（元）：</w:t>
      </w:r>
      <w:r>
        <w:rPr>
          <w:rFonts w:hint="eastAsia" w:ascii="宋体" w:hAnsi="宋体" w:cs="仿宋_GB2312"/>
          <w:sz w:val="24"/>
          <w:u w:val="single"/>
        </w:rPr>
        <w:t xml:space="preserve"> </w:t>
      </w:r>
      <w:r>
        <w:rPr>
          <w:rFonts w:hint="eastAsia" w:ascii="宋体" w:hAnsi="宋体" w:cs="仿宋_GB2312"/>
          <w:sz w:val="24"/>
          <w:u w:val="single"/>
          <w:lang w:val="en-US" w:eastAsia="zh-CN"/>
        </w:rPr>
        <w:t>5800000元</w:t>
      </w:r>
      <w:r>
        <w:rPr>
          <w:rFonts w:hint="eastAsia" w:ascii="宋体" w:hAnsi="宋体" w:cs="仿宋_GB2312"/>
          <w:sz w:val="24"/>
          <w:u w:val="single"/>
        </w:rPr>
        <w:t xml:space="preserve">            </w:t>
      </w:r>
    </w:p>
    <w:p>
      <w:pPr>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（二）开展采购活动的时间安排：</w:t>
      </w:r>
      <w:r>
        <w:rPr>
          <w:rFonts w:ascii="宋体" w:hAnsi="宋体" w:eastAsia="宋体" w:cs="仿宋_GB2312"/>
          <w:color w:val="auto"/>
          <w:sz w:val="24"/>
          <w:highlight w:val="none"/>
          <w:u w:val="single"/>
        </w:rPr>
        <w:t xml:space="preserve"> </w:t>
      </w:r>
      <w:r>
        <w:rPr>
          <w:rFonts w:hint="eastAsia" w:ascii="宋体" w:hAnsi="宋体" w:cs="仿宋_GB2312"/>
          <w:color w:val="auto"/>
          <w:sz w:val="24"/>
          <w:highlight w:val="none"/>
          <w:u w:val="single"/>
          <w:lang w:eastAsia="zh-CN"/>
        </w:rPr>
        <w:t>2025</w:t>
      </w:r>
      <w:r>
        <w:rPr>
          <w:rFonts w:ascii="宋体" w:hAnsi="宋体" w:eastAsia="宋体" w:cs="仿宋_GB2312"/>
          <w:color w:val="auto"/>
          <w:sz w:val="24"/>
          <w:highlight w:val="none"/>
          <w:u w:val="single"/>
        </w:rPr>
        <w:t>年</w:t>
      </w:r>
      <w:r>
        <w:rPr>
          <w:rFonts w:hint="eastAsia" w:ascii="宋体" w:hAnsi="宋体" w:cs="仿宋_GB2312"/>
          <w:color w:val="auto"/>
          <w:sz w:val="24"/>
          <w:highlight w:val="none"/>
          <w:u w:val="single"/>
          <w:lang w:val="en-US" w:eastAsia="zh-CN"/>
        </w:rPr>
        <w:t>5</w:t>
      </w:r>
      <w:r>
        <w:rPr>
          <w:rFonts w:hint="eastAsia" w:ascii="宋体" w:hAnsi="宋体" w:eastAsia="宋体" w:cs="仿宋_GB2312"/>
          <w:color w:val="auto"/>
          <w:sz w:val="24"/>
          <w:highlight w:val="none"/>
          <w:u w:val="single"/>
        </w:rPr>
        <w:t>月</w:t>
      </w:r>
      <w:r>
        <w:rPr>
          <w:rFonts w:ascii="宋体" w:hAnsi="宋体" w:eastAsia="宋体" w:cs="仿宋_GB2312"/>
          <w:color w:val="auto"/>
          <w:sz w:val="24"/>
          <w:highlight w:val="none"/>
          <w:u w:val="single"/>
        </w:rPr>
        <w:t xml:space="preserve"> </w:t>
      </w:r>
    </w:p>
    <w:p>
      <w:pPr>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（三）采购组织形式：</w:t>
      </w:r>
      <w:r>
        <w:rPr>
          <w:rFonts w:ascii="宋体" w:hAnsi="宋体" w:eastAsia="宋体" w:cs="仿宋_GB2312"/>
          <w:color w:val="auto"/>
          <w:sz w:val="24"/>
          <w:highlight w:val="none"/>
        </w:rPr>
        <w:tab/>
      </w:r>
      <w:r>
        <w:rPr>
          <w:rFonts w:hint="eastAsia" w:ascii="宋体" w:hAnsi="宋体"/>
          <w:color w:val="auto"/>
          <w:sz w:val="24"/>
          <w:highlight w:val="none"/>
          <w:lang w:eastAsia="zh-CN"/>
        </w:rPr>
        <w:t>☑</w:t>
      </w:r>
      <w:r>
        <w:rPr>
          <w:rFonts w:hint="eastAsia" w:ascii="宋体" w:hAnsi="宋体" w:eastAsia="宋体" w:cs="仿宋_GB2312"/>
          <w:color w:val="auto"/>
          <w:sz w:val="24"/>
          <w:highlight w:val="none"/>
        </w:rPr>
        <w:t>集中采购</w:t>
      </w:r>
      <w:r>
        <w:rPr>
          <w:rFonts w:ascii="宋体" w:hAnsi="宋体" w:eastAsia="宋体" w:cs="仿宋_GB2312"/>
          <w:color w:val="auto"/>
          <w:sz w:val="24"/>
          <w:highlight w:val="none"/>
        </w:rPr>
        <w:tab/>
      </w:r>
      <w:r>
        <w:rPr>
          <w:rFonts w:ascii="宋体" w:hAnsi="宋体" w:eastAsia="宋体" w:cs="仿宋_GB2312"/>
          <w:color w:val="auto"/>
          <w:sz w:val="24"/>
          <w:highlight w:val="none"/>
        </w:rPr>
        <w:tab/>
      </w:r>
      <w:r>
        <w:rPr>
          <w:rFonts w:hint="eastAsia" w:ascii="宋体" w:hAnsi="宋体"/>
          <w:color w:val="auto"/>
          <w:sz w:val="24"/>
          <w:highlight w:val="none"/>
          <w:lang w:eastAsia="zh-CN"/>
        </w:rPr>
        <w:t>□</w:t>
      </w:r>
      <w:r>
        <w:rPr>
          <w:rFonts w:hint="eastAsia" w:ascii="宋体" w:hAnsi="宋体" w:eastAsia="宋体" w:cs="仿宋_GB2312"/>
          <w:color w:val="auto"/>
          <w:sz w:val="24"/>
          <w:highlight w:val="none"/>
        </w:rPr>
        <w:t>分散采购</w:t>
      </w:r>
      <w:r>
        <w:rPr>
          <w:rFonts w:ascii="宋体" w:hAnsi="宋体" w:eastAsia="宋体" w:cs="仿宋_GB2312"/>
          <w:color w:val="auto"/>
          <w:sz w:val="24"/>
          <w:highlight w:val="none"/>
        </w:rPr>
        <w:t xml:space="preserve"> </w:t>
      </w:r>
    </w:p>
    <w:p>
      <w:pPr>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（四）委托代理安排</w:t>
      </w:r>
    </w:p>
    <w:p>
      <w:pPr>
        <w:spacing w:line="360" w:lineRule="auto"/>
        <w:ind w:firstLine="420"/>
        <w:jc w:val="left"/>
        <w:rPr>
          <w:rFonts w:ascii="宋体" w:hAnsi="宋体" w:eastAsia="宋体" w:cs="仿宋_GB2312"/>
          <w:color w:val="auto"/>
          <w:sz w:val="24"/>
          <w:highlight w:val="none"/>
        </w:rPr>
      </w:pPr>
      <w:r>
        <w:rPr>
          <w:rFonts w:hint="eastAsia" w:ascii="宋体" w:hAnsi="宋体"/>
          <w:color w:val="auto"/>
          <w:sz w:val="24"/>
          <w:highlight w:val="none"/>
          <w:lang w:eastAsia="zh-CN"/>
        </w:rPr>
        <w:t>☑</w:t>
      </w:r>
      <w:r>
        <w:rPr>
          <w:rFonts w:hint="eastAsia" w:ascii="宋体" w:hAnsi="宋体" w:eastAsia="宋体" w:cs="仿宋_GB2312"/>
          <w:color w:val="auto"/>
          <w:sz w:val="24"/>
          <w:highlight w:val="none"/>
        </w:rPr>
        <w:t>集中采购机构</w:t>
      </w:r>
      <w:r>
        <w:rPr>
          <w:rFonts w:ascii="宋体" w:hAnsi="宋体" w:eastAsia="宋体" w:cs="仿宋_GB2312"/>
          <w:color w:val="auto"/>
          <w:sz w:val="24"/>
          <w:highlight w:val="none"/>
        </w:rPr>
        <w:tab/>
      </w:r>
      <w:r>
        <w:rPr>
          <w:rFonts w:ascii="宋体" w:hAnsi="宋体" w:eastAsia="宋体" w:cs="仿宋_GB2312"/>
          <w:color w:val="auto"/>
          <w:sz w:val="24"/>
          <w:highlight w:val="none"/>
        </w:rPr>
        <w:tab/>
      </w:r>
      <w:r>
        <w:rPr>
          <w:rFonts w:hint="eastAsia" w:ascii="宋体" w:hAnsi="宋体" w:eastAsia="宋体"/>
          <w:color w:val="auto"/>
          <w:sz w:val="24"/>
          <w:highlight w:val="none"/>
        </w:rPr>
        <w:t>□</w:t>
      </w:r>
      <w:r>
        <w:rPr>
          <w:rFonts w:hint="eastAsia" w:ascii="宋体" w:hAnsi="宋体" w:eastAsia="宋体" w:cs="仿宋_GB2312"/>
          <w:color w:val="auto"/>
          <w:sz w:val="24"/>
          <w:highlight w:val="none"/>
        </w:rPr>
        <w:t>部门集中采购机构</w:t>
      </w:r>
    </w:p>
    <w:p>
      <w:pPr>
        <w:spacing w:line="360" w:lineRule="auto"/>
        <w:ind w:firstLine="420"/>
        <w:jc w:val="left"/>
        <w:rPr>
          <w:rFonts w:ascii="宋体" w:hAnsi="宋体" w:eastAsia="宋体" w:cs="仿宋_GB2312"/>
          <w:color w:val="auto"/>
          <w:sz w:val="24"/>
          <w:highlight w:val="none"/>
        </w:rPr>
      </w:pPr>
      <w:r>
        <w:rPr>
          <w:rFonts w:hint="eastAsia" w:ascii="宋体" w:hAnsi="宋体"/>
          <w:color w:val="auto"/>
          <w:sz w:val="24"/>
          <w:highlight w:val="none"/>
          <w:lang w:eastAsia="zh-CN"/>
        </w:rPr>
        <w:t>□</w:t>
      </w:r>
      <w:r>
        <w:rPr>
          <w:rFonts w:hint="eastAsia" w:ascii="宋体" w:hAnsi="宋体" w:eastAsia="宋体" w:cs="仿宋_GB2312"/>
          <w:color w:val="auto"/>
          <w:sz w:val="24"/>
          <w:highlight w:val="none"/>
        </w:rPr>
        <w:t>采购代理机构</w:t>
      </w:r>
      <w:r>
        <w:rPr>
          <w:rFonts w:ascii="宋体" w:hAnsi="宋体" w:eastAsia="宋体" w:cs="仿宋_GB2312"/>
          <w:color w:val="auto"/>
          <w:sz w:val="24"/>
          <w:highlight w:val="none"/>
        </w:rPr>
        <w:tab/>
      </w:r>
      <w:r>
        <w:rPr>
          <w:rFonts w:ascii="宋体" w:hAnsi="宋体" w:eastAsia="宋体" w:cs="仿宋_GB2312"/>
          <w:color w:val="auto"/>
          <w:sz w:val="24"/>
          <w:highlight w:val="none"/>
        </w:rPr>
        <w:tab/>
      </w:r>
      <w:r>
        <w:rPr>
          <w:rFonts w:hint="eastAsia" w:ascii="宋体" w:hAnsi="宋体" w:eastAsia="宋体"/>
          <w:color w:val="auto"/>
          <w:sz w:val="24"/>
          <w:highlight w:val="none"/>
        </w:rPr>
        <w:t>□</w:t>
      </w:r>
      <w:r>
        <w:rPr>
          <w:rFonts w:hint="eastAsia" w:ascii="宋体" w:hAnsi="宋体" w:eastAsia="宋体" w:cs="仿宋_GB2312"/>
          <w:color w:val="auto"/>
          <w:sz w:val="24"/>
          <w:highlight w:val="none"/>
        </w:rPr>
        <w:t>自行采购（含电子卖场）</w:t>
      </w:r>
    </w:p>
    <w:p>
      <w:pPr>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（五）采购包划分：</w:t>
      </w:r>
      <w:r>
        <w:rPr>
          <w:rFonts w:ascii="宋体" w:hAnsi="宋体" w:eastAsia="宋体" w:cs="仿宋_GB2312"/>
          <w:color w:val="auto"/>
          <w:sz w:val="24"/>
          <w:highlight w:val="none"/>
        </w:rPr>
        <w:tab/>
      </w:r>
      <w:r>
        <w:rPr>
          <w:rFonts w:hint="eastAsia" w:ascii="宋体" w:hAnsi="宋体" w:eastAsia="宋体"/>
          <w:color w:val="auto"/>
          <w:sz w:val="24"/>
          <w:highlight w:val="none"/>
        </w:rPr>
        <w:t>□</w:t>
      </w:r>
      <w:r>
        <w:rPr>
          <w:rFonts w:hint="eastAsia" w:ascii="宋体" w:hAnsi="宋体" w:eastAsia="宋体" w:cs="仿宋_GB2312"/>
          <w:color w:val="auto"/>
          <w:sz w:val="24"/>
          <w:highlight w:val="none"/>
        </w:rPr>
        <w:t>分标项</w:t>
      </w:r>
      <w:r>
        <w:rPr>
          <w:rFonts w:ascii="宋体" w:hAnsi="宋体" w:eastAsia="宋体" w:cs="仿宋_GB2312"/>
          <w:color w:val="auto"/>
          <w:sz w:val="24"/>
          <w:highlight w:val="none"/>
        </w:rPr>
        <w:tab/>
      </w:r>
      <w:r>
        <w:rPr>
          <w:rFonts w:ascii="宋体" w:hAnsi="宋体" w:eastAsia="宋体" w:cs="仿宋_GB2312"/>
          <w:color w:val="auto"/>
          <w:sz w:val="24"/>
          <w:highlight w:val="none"/>
        </w:rPr>
        <w:tab/>
      </w:r>
      <w:r>
        <w:rPr>
          <w:rFonts w:hint="eastAsia" w:ascii="宋体" w:hAnsi="宋体"/>
          <w:color w:val="auto"/>
          <w:sz w:val="24"/>
          <w:highlight w:val="none"/>
          <w:lang w:eastAsia="zh-CN"/>
        </w:rPr>
        <w:t>☑</w:t>
      </w:r>
      <w:r>
        <w:rPr>
          <w:rFonts w:hint="eastAsia" w:ascii="宋体" w:hAnsi="宋体" w:eastAsia="宋体" w:cs="仿宋_GB2312"/>
          <w:color w:val="auto"/>
          <w:sz w:val="24"/>
          <w:highlight w:val="none"/>
        </w:rPr>
        <w:t>不分标项</w:t>
      </w:r>
      <w:r>
        <w:rPr>
          <w:rFonts w:ascii="宋体" w:hAnsi="宋体" w:eastAsia="宋体" w:cs="仿宋_GB2312"/>
          <w:color w:val="auto"/>
          <w:sz w:val="24"/>
          <w:highlight w:val="none"/>
        </w:rPr>
        <w:t xml:space="preserve"> </w:t>
      </w:r>
    </w:p>
    <w:p>
      <w:pPr>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（六）合同分包：</w:t>
      </w:r>
      <w:r>
        <w:rPr>
          <w:rFonts w:ascii="宋体" w:hAnsi="宋体" w:eastAsia="宋体" w:cs="仿宋_GB2312"/>
          <w:color w:val="auto"/>
          <w:sz w:val="24"/>
          <w:highlight w:val="none"/>
        </w:rPr>
        <w:tab/>
      </w:r>
      <w:r>
        <w:rPr>
          <w:rFonts w:ascii="宋体" w:hAnsi="宋体" w:eastAsia="宋体" w:cs="仿宋_GB2312"/>
          <w:color w:val="auto"/>
          <w:sz w:val="24"/>
          <w:highlight w:val="none"/>
        </w:rPr>
        <w:tab/>
      </w:r>
      <w:r>
        <w:rPr>
          <w:rFonts w:hint="eastAsia" w:ascii="宋体" w:hAnsi="宋体" w:eastAsia="宋体"/>
          <w:color w:val="auto"/>
          <w:sz w:val="24"/>
          <w:highlight w:val="none"/>
        </w:rPr>
        <w:t>□</w:t>
      </w:r>
      <w:r>
        <w:rPr>
          <w:rFonts w:hint="eastAsia" w:ascii="宋体" w:hAnsi="宋体" w:eastAsia="宋体" w:cs="仿宋_GB2312"/>
          <w:color w:val="auto"/>
          <w:sz w:val="24"/>
          <w:highlight w:val="none"/>
        </w:rPr>
        <w:t>允许分包</w:t>
      </w:r>
      <w:r>
        <w:rPr>
          <w:rFonts w:ascii="宋体" w:hAnsi="宋体" w:eastAsia="宋体" w:cs="仿宋_GB2312"/>
          <w:color w:val="auto"/>
          <w:sz w:val="24"/>
          <w:highlight w:val="none"/>
        </w:rPr>
        <w:t xml:space="preserve">    </w:t>
      </w:r>
      <w:r>
        <w:rPr>
          <w:rFonts w:hint="eastAsia" w:ascii="宋体" w:hAnsi="宋体"/>
          <w:color w:val="auto"/>
          <w:sz w:val="24"/>
          <w:highlight w:val="none"/>
          <w:lang w:eastAsia="zh-CN"/>
        </w:rPr>
        <w:t>☑</w:t>
      </w:r>
      <w:r>
        <w:rPr>
          <w:rFonts w:hint="eastAsia" w:ascii="宋体" w:hAnsi="宋体" w:eastAsia="宋体" w:cs="仿宋_GB2312"/>
          <w:color w:val="auto"/>
          <w:sz w:val="24"/>
          <w:highlight w:val="none"/>
        </w:rPr>
        <w:t>不允许分包</w:t>
      </w:r>
    </w:p>
    <w:p>
      <w:pPr>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（七）供应商资格条件</w:t>
      </w:r>
    </w:p>
    <w:p>
      <w:pPr>
        <w:spacing w:line="360" w:lineRule="auto"/>
        <w:ind w:firstLine="480"/>
        <w:rPr>
          <w:rFonts w:hint="eastAsia" w:ascii="宋体" w:hAnsi="宋体" w:eastAsia="宋体" w:cs="宋体"/>
          <w:snapToGrid w:val="0"/>
          <w:color w:val="auto"/>
          <w:kern w:val="28"/>
          <w:sz w:val="24"/>
          <w:szCs w:val="20"/>
          <w:u w:val="single"/>
        </w:rPr>
      </w:pPr>
      <w:r>
        <w:rPr>
          <w:rFonts w:hint="eastAsia" w:ascii="宋体" w:hAnsi="宋体" w:eastAsia="宋体" w:cs="宋体"/>
          <w:snapToGrid w:val="0"/>
          <w:color w:val="auto"/>
          <w:kern w:val="28"/>
          <w:sz w:val="24"/>
          <w:szCs w:val="20"/>
          <w:u w:val="single"/>
        </w:rPr>
        <w:t>1. 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 2.落实政府采购政策需满足的资格要求：</w:t>
      </w:r>
    </w:p>
    <w:p>
      <w:pPr>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sym w:font="Wingdings" w:char="00FE"/>
      </w:r>
      <w:r>
        <w:rPr>
          <w:rFonts w:hint="eastAsia" w:ascii="宋体" w:hAnsi="宋体" w:eastAsia="宋体" w:cs="宋体"/>
          <w:color w:val="auto"/>
          <w:sz w:val="24"/>
          <w:u w:val="single"/>
        </w:rPr>
        <w:t>无；</w:t>
      </w:r>
    </w:p>
    <w:p>
      <w:pPr>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专门面向中小企业</w:t>
      </w:r>
    </w:p>
    <w:p>
      <w:pPr>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☐货物全部由符合政策要求的中小企业制造，提供中小企业声明函；</w:t>
      </w:r>
    </w:p>
    <w:p>
      <w:pPr>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☐货物全部由符合政策要求的小微企业制造，提供中小企业声明函；</w:t>
      </w:r>
    </w:p>
    <w:p>
      <w:pPr>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服务全部由符合政策要求的中小企业承接，提供中小企业声明函；</w:t>
      </w:r>
    </w:p>
    <w:p>
      <w:pPr>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☐服务全部由符合政策要求的小微企业承接，提供中小企业声明函；</w:t>
      </w:r>
    </w:p>
    <w:p>
      <w:pPr>
        <w:spacing w:line="360" w:lineRule="auto"/>
        <w:ind w:firstLine="480" w:firstLineChars="200"/>
        <w:rPr>
          <w:rFonts w:hint="eastAsia" w:ascii="宋体" w:hAnsi="宋体" w:eastAsia="宋体" w:cs="宋体"/>
          <w:color w:val="auto"/>
          <w:sz w:val="24"/>
          <w:u w:val="single"/>
          <w:lang w:eastAsia="zh-CN"/>
        </w:rPr>
      </w:pPr>
      <w:r>
        <w:rPr>
          <w:rFonts w:hint="eastAsia" w:ascii="宋体" w:hAnsi="宋体" w:eastAsia="宋体" w:cs="宋体"/>
          <w:color w:val="auto"/>
          <w:sz w:val="24"/>
          <w:u w:val="single"/>
        </w:rPr>
        <w:t>3.本项目的特定资格要求：</w:t>
      </w:r>
      <w:r>
        <w:rPr>
          <w:rFonts w:hint="eastAsia" w:ascii="宋体" w:hAnsi="宋体" w:cs="宋体"/>
          <w:color w:val="auto"/>
          <w:sz w:val="24"/>
          <w:u w:val="single"/>
          <w:lang w:val="en-US" w:eastAsia="zh-CN"/>
        </w:rPr>
        <w:t>无</w:t>
      </w:r>
    </w:p>
    <w:p>
      <w:pPr>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（八）采购方式</w:t>
      </w:r>
    </w:p>
    <w:p>
      <w:pPr>
        <w:spacing w:line="360" w:lineRule="auto"/>
        <w:ind w:firstLine="480"/>
        <w:jc w:val="left"/>
        <w:rPr>
          <w:rFonts w:ascii="宋体" w:hAnsi="宋体" w:eastAsia="宋体"/>
          <w:color w:val="auto"/>
          <w:sz w:val="24"/>
          <w:highlight w:val="none"/>
        </w:rPr>
      </w:pPr>
      <w:r>
        <w:rPr>
          <w:rFonts w:hint="eastAsia" w:ascii="宋体" w:hAnsi="宋体"/>
          <w:color w:val="auto"/>
          <w:sz w:val="24"/>
          <w:highlight w:val="none"/>
          <w:lang w:eastAsia="zh-CN"/>
        </w:rPr>
        <w:t>☑</w:t>
      </w:r>
      <w:r>
        <w:rPr>
          <w:rFonts w:hint="eastAsia" w:ascii="宋体" w:hAnsi="宋体" w:eastAsia="宋体"/>
          <w:color w:val="auto"/>
          <w:sz w:val="24"/>
          <w:highlight w:val="none"/>
        </w:rPr>
        <w:t>公开招标</w:t>
      </w:r>
      <w:r>
        <w:rPr>
          <w:rFonts w:ascii="宋体" w:hAnsi="宋体" w:eastAsia="宋体"/>
          <w:color w:val="auto"/>
          <w:sz w:val="24"/>
          <w:highlight w:val="none"/>
        </w:rPr>
        <w:tab/>
      </w:r>
      <w:r>
        <w:rPr>
          <w:rFonts w:ascii="宋体" w:hAnsi="宋体" w:eastAsia="宋体"/>
          <w:color w:val="auto"/>
          <w:sz w:val="24"/>
          <w:highlight w:val="none"/>
        </w:rPr>
        <w:tab/>
      </w:r>
      <w:r>
        <w:rPr>
          <w:rFonts w:ascii="宋体" w:hAnsi="宋体" w:eastAsia="宋体"/>
          <w:color w:val="auto"/>
          <w:sz w:val="24"/>
          <w:highlight w:val="none"/>
        </w:rPr>
        <w:tab/>
      </w:r>
      <w:r>
        <w:rPr>
          <w:rFonts w:hint="eastAsia" w:ascii="宋体" w:hAnsi="宋体" w:eastAsia="宋体"/>
          <w:color w:val="auto"/>
          <w:sz w:val="24"/>
          <w:highlight w:val="none"/>
        </w:rPr>
        <w:t>□邀请招标</w:t>
      </w:r>
      <w:r>
        <w:rPr>
          <w:rFonts w:ascii="宋体" w:hAnsi="宋体" w:eastAsia="宋体"/>
          <w:color w:val="auto"/>
          <w:sz w:val="24"/>
          <w:highlight w:val="none"/>
        </w:rPr>
        <w:tab/>
      </w:r>
      <w:r>
        <w:rPr>
          <w:rFonts w:ascii="宋体" w:hAnsi="宋体" w:eastAsia="宋体"/>
          <w:color w:val="auto"/>
          <w:sz w:val="24"/>
          <w:highlight w:val="none"/>
        </w:rPr>
        <w:tab/>
      </w:r>
      <w:r>
        <w:rPr>
          <w:rFonts w:ascii="宋体" w:hAnsi="宋体" w:eastAsia="宋体"/>
          <w:color w:val="auto"/>
          <w:sz w:val="24"/>
          <w:highlight w:val="none"/>
        </w:rPr>
        <w:tab/>
      </w:r>
      <w:r>
        <w:rPr>
          <w:rFonts w:hint="eastAsia" w:ascii="宋体" w:hAnsi="宋体"/>
          <w:color w:val="auto"/>
          <w:sz w:val="24"/>
          <w:highlight w:val="none"/>
          <w:lang w:eastAsia="zh-CN"/>
        </w:rPr>
        <w:t>□</w:t>
      </w:r>
      <w:r>
        <w:rPr>
          <w:rFonts w:hint="eastAsia" w:ascii="宋体" w:hAnsi="宋体" w:eastAsia="宋体"/>
          <w:color w:val="auto"/>
          <w:sz w:val="24"/>
          <w:highlight w:val="none"/>
        </w:rPr>
        <w:t>竞争性谈判</w:t>
      </w:r>
    </w:p>
    <w:p>
      <w:pPr>
        <w:spacing w:line="360" w:lineRule="auto"/>
        <w:ind w:firstLine="480"/>
        <w:jc w:val="left"/>
        <w:rPr>
          <w:rFonts w:ascii="宋体" w:hAnsi="宋体" w:eastAsia="宋体"/>
          <w:color w:val="auto"/>
          <w:sz w:val="24"/>
          <w:highlight w:val="none"/>
        </w:rPr>
      </w:pPr>
      <w:r>
        <w:rPr>
          <w:rFonts w:hint="eastAsia" w:ascii="宋体" w:hAnsi="宋体" w:eastAsia="宋体"/>
          <w:color w:val="auto"/>
          <w:sz w:val="24"/>
          <w:highlight w:val="none"/>
        </w:rPr>
        <w:t>□竞争性磋商</w:t>
      </w:r>
      <w:r>
        <w:rPr>
          <w:rFonts w:ascii="宋体" w:hAnsi="宋体" w:eastAsia="宋体"/>
          <w:color w:val="auto"/>
          <w:sz w:val="24"/>
          <w:highlight w:val="none"/>
        </w:rPr>
        <w:tab/>
      </w:r>
      <w:r>
        <w:rPr>
          <w:rFonts w:hint="eastAsia" w:ascii="宋体" w:hAnsi="宋体"/>
          <w:color w:val="auto"/>
          <w:sz w:val="24"/>
          <w:highlight w:val="none"/>
          <w:lang w:val="en-US" w:eastAsia="zh-CN"/>
        </w:rPr>
        <w:t xml:space="preserve">    </w:t>
      </w:r>
      <w:r>
        <w:rPr>
          <w:rFonts w:ascii="宋体" w:hAnsi="宋体" w:eastAsia="宋体"/>
          <w:color w:val="auto"/>
          <w:sz w:val="24"/>
          <w:highlight w:val="none"/>
        </w:rPr>
        <w:tab/>
      </w:r>
      <w:r>
        <w:rPr>
          <w:rFonts w:hint="eastAsia" w:ascii="宋体" w:hAnsi="宋体" w:eastAsia="宋体"/>
          <w:color w:val="auto"/>
          <w:sz w:val="24"/>
          <w:highlight w:val="none"/>
        </w:rPr>
        <w:t>□询价</w:t>
      </w:r>
      <w:r>
        <w:rPr>
          <w:rFonts w:ascii="宋体" w:hAnsi="宋体" w:eastAsia="宋体"/>
          <w:color w:val="auto"/>
          <w:sz w:val="24"/>
          <w:highlight w:val="none"/>
        </w:rPr>
        <w:tab/>
      </w:r>
      <w:r>
        <w:rPr>
          <w:rFonts w:ascii="宋体" w:hAnsi="宋体" w:eastAsia="宋体"/>
          <w:color w:val="auto"/>
          <w:sz w:val="24"/>
          <w:highlight w:val="none"/>
        </w:rPr>
        <w:tab/>
      </w:r>
      <w:r>
        <w:rPr>
          <w:rFonts w:ascii="宋体" w:hAnsi="宋体" w:eastAsia="宋体"/>
          <w:color w:val="auto"/>
          <w:sz w:val="24"/>
          <w:highlight w:val="none"/>
        </w:rPr>
        <w:tab/>
      </w:r>
      <w:r>
        <w:rPr>
          <w:rFonts w:ascii="宋体" w:hAnsi="宋体" w:eastAsia="宋体"/>
          <w:color w:val="auto"/>
          <w:sz w:val="24"/>
          <w:highlight w:val="none"/>
        </w:rPr>
        <w:tab/>
      </w:r>
      <w:r>
        <w:rPr>
          <w:rFonts w:hint="eastAsia" w:ascii="宋体" w:hAnsi="宋体" w:eastAsia="宋体"/>
          <w:color w:val="auto"/>
          <w:sz w:val="24"/>
          <w:highlight w:val="none"/>
        </w:rPr>
        <w:t>□单一来源采购</w:t>
      </w:r>
    </w:p>
    <w:p>
      <w:pPr>
        <w:spacing w:line="360" w:lineRule="auto"/>
        <w:ind w:firstLine="480"/>
        <w:jc w:val="left"/>
        <w:rPr>
          <w:rFonts w:ascii="宋体" w:hAnsi="宋体" w:eastAsia="宋体"/>
          <w:color w:val="auto"/>
          <w:sz w:val="24"/>
          <w:highlight w:val="none"/>
        </w:rPr>
      </w:pPr>
      <w:r>
        <w:rPr>
          <w:rFonts w:hint="eastAsia" w:ascii="宋体" w:hAnsi="宋体" w:eastAsia="宋体"/>
          <w:color w:val="auto"/>
          <w:sz w:val="24"/>
          <w:highlight w:val="none"/>
        </w:rPr>
        <w:t>□电子卖场</w:t>
      </w:r>
      <w:r>
        <w:rPr>
          <w:rFonts w:ascii="宋体" w:hAnsi="宋体" w:eastAsia="宋体"/>
          <w:color w:val="auto"/>
          <w:sz w:val="24"/>
          <w:highlight w:val="none"/>
        </w:rPr>
        <w:tab/>
      </w:r>
      <w:r>
        <w:rPr>
          <w:rFonts w:ascii="宋体" w:hAnsi="宋体" w:eastAsia="宋体"/>
          <w:color w:val="auto"/>
          <w:sz w:val="24"/>
          <w:highlight w:val="none"/>
        </w:rPr>
        <w:tab/>
      </w:r>
      <w:r>
        <w:rPr>
          <w:rFonts w:hint="eastAsia" w:ascii="宋体" w:hAnsi="宋体"/>
          <w:color w:val="auto"/>
          <w:sz w:val="24"/>
          <w:highlight w:val="none"/>
          <w:lang w:val="en-US" w:eastAsia="zh-CN"/>
        </w:rPr>
        <w:t xml:space="preserve">   </w:t>
      </w:r>
      <w:r>
        <w:rPr>
          <w:rFonts w:hint="eastAsia" w:ascii="宋体" w:hAnsi="宋体" w:eastAsia="宋体"/>
          <w:color w:val="auto"/>
          <w:sz w:val="24"/>
          <w:highlight w:val="none"/>
        </w:rPr>
        <w:t>□其他采购方式</w:t>
      </w:r>
      <w:r>
        <w:rPr>
          <w:rFonts w:ascii="宋体" w:hAnsi="宋体" w:eastAsia="宋体"/>
          <w:color w:val="auto"/>
          <w:sz w:val="24"/>
          <w:highlight w:val="none"/>
        </w:rPr>
        <w:t xml:space="preserve"> </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360" w:lineRule="auto"/>
        <w:jc w:val="left"/>
        <w:rPr>
          <w:rFonts w:ascii="宋体" w:hAnsi="宋体" w:eastAsia="宋体"/>
          <w:color w:val="auto"/>
          <w:sz w:val="24"/>
          <w:highlight w:val="none"/>
        </w:rPr>
      </w:pPr>
      <w:r>
        <w:rPr>
          <w:rFonts w:hint="eastAsia" w:ascii="宋体" w:hAnsi="宋体" w:eastAsia="宋体" w:cs="仿宋_GB2312"/>
          <w:color w:val="auto"/>
          <w:sz w:val="24"/>
          <w:highlight w:val="none"/>
        </w:rPr>
        <w:t>（九）</w:t>
      </w:r>
      <w:r>
        <w:rPr>
          <w:rFonts w:hint="eastAsia" w:ascii="宋体" w:hAnsi="宋体" w:eastAsia="宋体"/>
          <w:color w:val="auto"/>
          <w:sz w:val="24"/>
          <w:highlight w:val="none"/>
        </w:rPr>
        <w:t>选择采购方式的理由</w:t>
      </w:r>
    </w:p>
    <w:p>
      <w:pPr>
        <w:spacing w:line="360" w:lineRule="auto"/>
        <w:ind w:firstLine="420"/>
        <w:jc w:val="left"/>
        <w:rPr>
          <w:rFonts w:ascii="宋体" w:hAnsi="宋体" w:eastAsia="宋体"/>
          <w:color w:val="auto"/>
          <w:sz w:val="24"/>
          <w:highlight w:val="none"/>
          <w:u w:val="single"/>
        </w:rPr>
      </w:pP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预算</w:t>
      </w:r>
      <w:r>
        <w:rPr>
          <w:rFonts w:hint="eastAsia" w:ascii="宋体" w:hAnsi="宋体"/>
          <w:color w:val="auto"/>
          <w:sz w:val="24"/>
          <w:highlight w:val="none"/>
          <w:u w:val="single"/>
          <w:lang w:val="en-US" w:eastAsia="zh-CN"/>
        </w:rPr>
        <w:t>金额达到公开招标数额标准的</w:t>
      </w:r>
      <w:r>
        <w:rPr>
          <w:rFonts w:ascii="宋体" w:hAnsi="宋体" w:eastAsia="宋体"/>
          <w:color w:val="auto"/>
          <w:sz w:val="24"/>
          <w:highlight w:val="none"/>
          <w:u w:val="single"/>
        </w:rPr>
        <w:t>，</w:t>
      </w:r>
      <w:r>
        <w:rPr>
          <w:rFonts w:hint="eastAsia" w:ascii="宋体" w:hAnsi="宋体"/>
          <w:color w:val="auto"/>
          <w:sz w:val="24"/>
          <w:highlight w:val="none"/>
          <w:u w:val="single"/>
          <w:lang w:val="en-US" w:eastAsia="zh-CN"/>
        </w:rPr>
        <w:t>应当实行</w:t>
      </w:r>
      <w:r>
        <w:rPr>
          <w:rFonts w:hint="eastAsia" w:ascii="宋体" w:hAnsi="宋体" w:eastAsia="宋体"/>
          <w:color w:val="auto"/>
          <w:sz w:val="24"/>
          <w:highlight w:val="none"/>
          <w:u w:val="single"/>
        </w:rPr>
        <w:t>公开招标。</w:t>
      </w:r>
      <w:r>
        <w:rPr>
          <w:rFonts w:ascii="宋体" w:hAnsi="宋体" w:eastAsia="宋体"/>
          <w:color w:val="auto"/>
          <w:sz w:val="24"/>
          <w:highlight w:val="none"/>
          <w:u w:val="single"/>
        </w:rPr>
        <w:t xml:space="preserve">                                                                 </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（十）竞争范围：</w:t>
      </w:r>
      <w:r>
        <w:rPr>
          <w:rFonts w:ascii="宋体" w:hAnsi="宋体" w:eastAsia="宋体"/>
          <w:color w:val="auto"/>
          <w:sz w:val="24"/>
          <w:highlight w:val="none"/>
        </w:rPr>
        <w:tab/>
      </w:r>
      <w:r>
        <w:rPr>
          <w:rFonts w:hint="eastAsia" w:ascii="宋体" w:hAnsi="宋体"/>
          <w:color w:val="auto"/>
          <w:sz w:val="24"/>
          <w:highlight w:val="none"/>
          <w:lang w:eastAsia="zh-CN"/>
        </w:rPr>
        <w:t>☑</w:t>
      </w:r>
      <w:r>
        <w:rPr>
          <w:rFonts w:hint="eastAsia" w:ascii="宋体" w:hAnsi="宋体" w:eastAsia="宋体"/>
          <w:color w:val="auto"/>
          <w:sz w:val="24"/>
          <w:highlight w:val="none"/>
        </w:rPr>
        <w:t>公开发布</w:t>
      </w:r>
      <w:r>
        <w:rPr>
          <w:rFonts w:ascii="宋体" w:hAnsi="宋体" w:eastAsia="宋体"/>
          <w:color w:val="auto"/>
          <w:sz w:val="24"/>
          <w:highlight w:val="none"/>
        </w:rPr>
        <w:tab/>
      </w:r>
      <w:r>
        <w:rPr>
          <w:rFonts w:ascii="宋体" w:hAnsi="宋体" w:eastAsia="宋体"/>
          <w:color w:val="auto"/>
          <w:sz w:val="24"/>
          <w:highlight w:val="none"/>
        </w:rPr>
        <w:tab/>
      </w:r>
      <w:r>
        <w:rPr>
          <w:rFonts w:hint="eastAsia" w:ascii="宋体" w:hAnsi="宋体" w:eastAsia="宋体"/>
          <w:color w:val="auto"/>
          <w:sz w:val="24"/>
          <w:highlight w:val="none"/>
        </w:rPr>
        <w:t>□电子卖场</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（十一）评审规则：</w:t>
      </w:r>
      <w:r>
        <w:rPr>
          <w:rFonts w:ascii="宋体" w:hAnsi="宋体" w:eastAsia="宋体"/>
          <w:color w:val="auto"/>
          <w:sz w:val="24"/>
          <w:highlight w:val="none"/>
        </w:rPr>
        <w:t xml:space="preserve"> </w:t>
      </w:r>
      <w:r>
        <w:rPr>
          <w:rFonts w:ascii="宋体" w:hAnsi="宋体" w:eastAsia="宋体"/>
          <w:color w:val="auto"/>
          <w:sz w:val="24"/>
          <w:highlight w:val="none"/>
        </w:rPr>
        <w:tab/>
      </w:r>
      <w:r>
        <w:rPr>
          <w:rFonts w:hint="eastAsia" w:ascii="宋体" w:hAnsi="宋体"/>
          <w:color w:val="auto"/>
          <w:sz w:val="24"/>
          <w:highlight w:val="none"/>
          <w:lang w:eastAsia="zh-CN"/>
        </w:rPr>
        <w:t>☑</w:t>
      </w:r>
      <w:r>
        <w:rPr>
          <w:rFonts w:hint="eastAsia" w:ascii="宋体" w:hAnsi="宋体" w:eastAsia="宋体"/>
          <w:color w:val="auto"/>
          <w:sz w:val="24"/>
          <w:highlight w:val="none"/>
        </w:rPr>
        <w:t>综合评分</w:t>
      </w:r>
      <w:r>
        <w:rPr>
          <w:rFonts w:ascii="宋体" w:hAnsi="宋体" w:eastAsia="宋体"/>
          <w:color w:val="auto"/>
          <w:sz w:val="24"/>
          <w:highlight w:val="none"/>
        </w:rPr>
        <w:tab/>
      </w:r>
      <w:r>
        <w:rPr>
          <w:rFonts w:ascii="宋体" w:hAnsi="宋体" w:eastAsia="宋体"/>
          <w:color w:val="auto"/>
          <w:sz w:val="24"/>
          <w:highlight w:val="none"/>
        </w:rPr>
        <w:tab/>
      </w:r>
      <w:r>
        <w:rPr>
          <w:rFonts w:hint="eastAsia" w:ascii="宋体" w:hAnsi="宋体" w:eastAsia="宋体"/>
          <w:color w:val="auto"/>
          <w:sz w:val="24"/>
          <w:highlight w:val="none"/>
        </w:rPr>
        <w:t>□最低价中标</w:t>
      </w:r>
      <w:r>
        <w:rPr>
          <w:rFonts w:ascii="宋体" w:hAnsi="宋体" w:eastAsia="宋体"/>
          <w:color w:val="auto"/>
          <w:sz w:val="24"/>
          <w:highlight w:val="none"/>
        </w:rPr>
        <w:tab/>
      </w:r>
      <w:r>
        <w:rPr>
          <w:rFonts w:ascii="宋体" w:hAnsi="宋体" w:eastAsia="宋体"/>
          <w:color w:val="auto"/>
          <w:sz w:val="24"/>
          <w:highlight w:val="none"/>
        </w:rPr>
        <w:tab/>
      </w:r>
      <w:r>
        <w:rPr>
          <w:rFonts w:hint="eastAsia" w:ascii="宋体" w:hAnsi="宋体" w:eastAsia="宋体"/>
          <w:color w:val="auto"/>
          <w:sz w:val="24"/>
          <w:highlight w:val="none"/>
        </w:rPr>
        <w:t>□其他（</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r>
        <w:rPr>
          <w:rFonts w:ascii="宋体" w:hAnsi="宋体" w:eastAsia="宋体"/>
          <w:color w:val="auto"/>
          <w:sz w:val="24"/>
          <w:highlight w:val="none"/>
        </w:rPr>
        <w:t xml:space="preserve"> </w:t>
      </w:r>
    </w:p>
    <w:p>
      <w:pPr>
        <w:spacing w:before="312" w:beforeLines="100" w:line="360" w:lineRule="auto"/>
        <w:jc w:val="left"/>
        <w:rPr>
          <w:rFonts w:ascii="宋体" w:hAnsi="宋体" w:eastAsia="宋体"/>
          <w:b/>
          <w:color w:val="auto"/>
          <w:sz w:val="24"/>
          <w:highlight w:val="none"/>
        </w:rPr>
      </w:pPr>
      <w:r>
        <w:rPr>
          <w:rFonts w:hint="eastAsia" w:ascii="宋体" w:hAnsi="宋体" w:eastAsia="宋体"/>
          <w:b/>
          <w:color w:val="auto"/>
          <w:sz w:val="24"/>
          <w:highlight w:val="none"/>
        </w:rPr>
        <w:t>二、合同管理安排</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（一）合同类型</w:t>
      </w:r>
    </w:p>
    <w:p>
      <w:pPr>
        <w:spacing w:line="360" w:lineRule="auto"/>
        <w:ind w:firstLine="480" w:firstLineChars="200"/>
        <w:jc w:val="left"/>
        <w:rPr>
          <w:rFonts w:ascii="宋体" w:hAnsi="宋体" w:eastAsia="宋体"/>
          <w:color w:val="auto"/>
          <w:sz w:val="24"/>
          <w:highlight w:val="none"/>
        </w:rPr>
      </w:pPr>
      <w:r>
        <w:rPr>
          <w:rFonts w:hint="eastAsia" w:ascii="宋体" w:hAnsi="宋体"/>
          <w:color w:val="auto"/>
          <w:sz w:val="24"/>
          <w:highlight w:val="none"/>
          <w:lang w:eastAsia="zh-CN"/>
        </w:rPr>
        <w:t>□</w:t>
      </w:r>
      <w:r>
        <w:rPr>
          <w:rFonts w:hint="eastAsia" w:ascii="宋体" w:hAnsi="宋体" w:eastAsia="宋体"/>
          <w:color w:val="auto"/>
          <w:sz w:val="24"/>
          <w:highlight w:val="none"/>
        </w:rPr>
        <w:t>货物合同</w:t>
      </w:r>
      <w:r>
        <w:rPr>
          <w:rFonts w:ascii="宋体" w:hAnsi="宋体" w:eastAsia="宋体"/>
          <w:color w:val="auto"/>
          <w:sz w:val="24"/>
          <w:highlight w:val="none"/>
        </w:rPr>
        <w:t xml:space="preserve">  </w:t>
      </w:r>
      <w:r>
        <w:rPr>
          <w:rFonts w:ascii="宋体" w:hAnsi="宋体" w:eastAsia="宋体"/>
          <w:color w:val="auto"/>
          <w:sz w:val="24"/>
          <w:highlight w:val="none"/>
        </w:rPr>
        <w:tab/>
      </w:r>
      <w:r>
        <w:rPr>
          <w:rFonts w:ascii="宋体" w:hAnsi="宋体" w:eastAsia="宋体"/>
          <w:color w:val="auto"/>
          <w:sz w:val="24"/>
          <w:highlight w:val="none"/>
        </w:rPr>
        <w:tab/>
      </w:r>
      <w:r>
        <w:rPr>
          <w:rFonts w:hint="eastAsia" w:ascii="宋体" w:hAnsi="宋体"/>
          <w:color w:val="auto"/>
          <w:sz w:val="24"/>
          <w:highlight w:val="none"/>
          <w:lang w:eastAsia="zh-CN"/>
        </w:rPr>
        <w:t>☑</w:t>
      </w:r>
      <w:r>
        <w:rPr>
          <w:rFonts w:hint="eastAsia" w:ascii="宋体" w:hAnsi="宋体" w:eastAsia="宋体"/>
          <w:color w:val="auto"/>
          <w:sz w:val="24"/>
          <w:highlight w:val="none"/>
        </w:rPr>
        <w:t>服务合同</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□建设工程合同</w:t>
      </w:r>
      <w:r>
        <w:rPr>
          <w:rFonts w:ascii="宋体" w:hAnsi="宋体" w:eastAsia="宋体"/>
          <w:color w:val="auto"/>
          <w:sz w:val="24"/>
          <w:highlight w:val="none"/>
        </w:rPr>
        <w:tab/>
      </w:r>
      <w:r>
        <w:rPr>
          <w:rFonts w:hint="eastAsia" w:ascii="宋体" w:hAnsi="宋体" w:eastAsia="宋体"/>
          <w:color w:val="auto"/>
          <w:sz w:val="24"/>
          <w:highlight w:val="none"/>
        </w:rPr>
        <w:t>□其他</w:t>
      </w:r>
      <w:r>
        <w:rPr>
          <w:rFonts w:ascii="宋体" w:hAnsi="宋体" w:eastAsia="宋体"/>
          <w:color w:val="auto"/>
          <w:sz w:val="24"/>
          <w:highlight w:val="none"/>
        </w:rPr>
        <w:t xml:space="preserve"> </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（二）定价方式</w:t>
      </w:r>
    </w:p>
    <w:p>
      <w:pPr>
        <w:spacing w:line="360" w:lineRule="auto"/>
        <w:ind w:firstLine="420"/>
        <w:jc w:val="left"/>
        <w:rPr>
          <w:rFonts w:ascii="宋体" w:hAnsi="宋体" w:eastAsia="宋体"/>
          <w:color w:val="auto"/>
          <w:sz w:val="24"/>
          <w:highlight w:val="none"/>
        </w:rPr>
      </w:pPr>
      <w:r>
        <w:rPr>
          <w:rFonts w:hint="eastAsia" w:ascii="宋体" w:hAnsi="宋体" w:eastAsia="宋体"/>
          <w:color w:val="auto"/>
          <w:sz w:val="24"/>
          <w:highlight w:val="none"/>
        </w:rPr>
        <w:t>□固定总价</w:t>
      </w:r>
      <w:r>
        <w:rPr>
          <w:rFonts w:ascii="宋体" w:hAnsi="宋体" w:eastAsia="宋体"/>
          <w:color w:val="auto"/>
          <w:sz w:val="24"/>
          <w:highlight w:val="none"/>
        </w:rPr>
        <w:tab/>
      </w:r>
      <w:r>
        <w:rPr>
          <w:rFonts w:ascii="宋体" w:hAnsi="宋体" w:eastAsia="宋体"/>
          <w:color w:val="auto"/>
          <w:sz w:val="24"/>
          <w:highlight w:val="none"/>
        </w:rPr>
        <w:tab/>
      </w:r>
      <w:r>
        <w:rPr>
          <w:rFonts w:ascii="宋体" w:hAnsi="宋体" w:eastAsia="宋体"/>
          <w:color w:val="auto"/>
          <w:sz w:val="24"/>
          <w:highlight w:val="none"/>
        </w:rPr>
        <w:tab/>
      </w:r>
      <w:r>
        <w:rPr>
          <w:rFonts w:hint="eastAsia" w:ascii="宋体" w:hAnsi="宋体"/>
          <w:color w:val="auto"/>
          <w:sz w:val="24"/>
          <w:highlight w:val="none"/>
          <w:lang w:eastAsia="zh-CN"/>
        </w:rPr>
        <w:t>☑</w:t>
      </w:r>
      <w:r>
        <w:rPr>
          <w:rFonts w:hint="eastAsia" w:ascii="宋体" w:hAnsi="宋体" w:eastAsia="宋体"/>
          <w:color w:val="auto"/>
          <w:sz w:val="24"/>
          <w:highlight w:val="none"/>
        </w:rPr>
        <w:t>固定单价</w:t>
      </w:r>
    </w:p>
    <w:p>
      <w:pPr>
        <w:spacing w:line="360" w:lineRule="auto"/>
        <w:ind w:firstLine="420"/>
        <w:jc w:val="left"/>
        <w:rPr>
          <w:rFonts w:ascii="宋体" w:hAnsi="宋体" w:eastAsia="宋体"/>
          <w:color w:val="auto"/>
          <w:sz w:val="24"/>
          <w:highlight w:val="none"/>
        </w:rPr>
      </w:pPr>
      <w:r>
        <w:rPr>
          <w:rFonts w:hint="eastAsia" w:ascii="宋体" w:hAnsi="宋体" w:eastAsia="宋体"/>
          <w:color w:val="auto"/>
          <w:sz w:val="24"/>
          <w:highlight w:val="none"/>
        </w:rPr>
        <w:t>□成本补偿</w:t>
      </w:r>
      <w:r>
        <w:rPr>
          <w:rFonts w:ascii="宋体" w:hAnsi="宋体" w:eastAsia="宋体"/>
          <w:color w:val="auto"/>
          <w:sz w:val="24"/>
          <w:highlight w:val="none"/>
        </w:rPr>
        <w:tab/>
      </w:r>
      <w:r>
        <w:rPr>
          <w:rFonts w:ascii="宋体" w:hAnsi="宋体" w:eastAsia="宋体"/>
          <w:color w:val="auto"/>
          <w:sz w:val="24"/>
          <w:highlight w:val="none"/>
        </w:rPr>
        <w:tab/>
      </w:r>
      <w:r>
        <w:rPr>
          <w:rFonts w:ascii="宋体" w:hAnsi="宋体" w:eastAsia="宋体"/>
          <w:color w:val="auto"/>
          <w:sz w:val="24"/>
          <w:highlight w:val="none"/>
        </w:rPr>
        <w:tab/>
      </w:r>
      <w:r>
        <w:rPr>
          <w:rFonts w:hint="eastAsia" w:ascii="宋体" w:hAnsi="宋体" w:eastAsia="宋体"/>
          <w:color w:val="auto"/>
          <w:sz w:val="24"/>
          <w:highlight w:val="none"/>
        </w:rPr>
        <w:t>□绩效激励</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（三）合同文本的主要条款</w:t>
      </w:r>
    </w:p>
    <w:p>
      <w:pPr>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拟采购标的1</w:t>
      </w:r>
    </w:p>
    <w:tbl>
      <w:tblPr>
        <w:tblStyle w:val="26"/>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vAlign w:val="center"/>
          </w:tcPr>
          <w:p>
            <w:pPr>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标的内容</w:t>
            </w:r>
          </w:p>
        </w:tc>
        <w:tc>
          <w:tcPr>
            <w:tcW w:w="6804" w:type="dxa"/>
            <w:gridSpan w:val="3"/>
            <w:vAlign w:val="center"/>
          </w:tcPr>
          <w:p>
            <w:pPr>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2025</w:t>
            </w:r>
            <w:r>
              <w:rPr>
                <w:rFonts w:hint="eastAsia" w:ascii="宋体" w:hAnsi="宋体" w:eastAsia="宋体" w:cs="仿宋_GB2312"/>
                <w:color w:val="auto"/>
                <w:sz w:val="24"/>
                <w:highlight w:val="none"/>
                <w:lang w:val="en-US" w:eastAsia="zh-CN"/>
              </w:rPr>
              <w:t>年塘栖镇政府物业</w:t>
            </w:r>
            <w:r>
              <w:rPr>
                <w:rFonts w:hint="eastAsia" w:ascii="宋体" w:hAnsi="宋体" w:eastAsia="宋体" w:cs="仿宋_GB2312"/>
                <w:color w:val="auto"/>
                <w:sz w:val="24"/>
                <w:highlight w:val="none"/>
              </w:rPr>
              <w:t>服务</w:t>
            </w:r>
            <w:r>
              <w:rPr>
                <w:rFonts w:hint="eastAsia" w:ascii="宋体" w:hAnsi="宋体" w:eastAsia="宋体" w:cs="仿宋_GB2312"/>
                <w:color w:val="auto"/>
                <w:sz w:val="24"/>
                <w:highlight w:val="none"/>
                <w:lang w:eastAsia="zh-CN"/>
              </w:rPr>
              <w:t>采购项目</w:t>
            </w:r>
          </w:p>
          <w:p>
            <w:pPr>
              <w:spacing w:line="360" w:lineRule="auto"/>
              <w:jc w:val="center"/>
              <w:rPr>
                <w:rFonts w:hint="eastAsia" w:ascii="宋体" w:hAnsi="宋体" w:eastAsia="宋体" w:cs="仿宋_GB2312"/>
                <w:color w:val="auto"/>
                <w:sz w:val="24"/>
                <w:highlight w:val="none"/>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vAlign w:val="center"/>
          </w:tcPr>
          <w:p>
            <w:pPr>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数量</w:t>
            </w:r>
          </w:p>
        </w:tc>
        <w:tc>
          <w:tcPr>
            <w:tcW w:w="2409" w:type="dxa"/>
            <w:vAlign w:val="center"/>
          </w:tcPr>
          <w:p>
            <w:pPr>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1</w:t>
            </w:r>
          </w:p>
        </w:tc>
        <w:tc>
          <w:tcPr>
            <w:tcW w:w="1360" w:type="dxa"/>
            <w:vAlign w:val="center"/>
          </w:tcPr>
          <w:p>
            <w:pPr>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单位</w:t>
            </w:r>
          </w:p>
        </w:tc>
        <w:tc>
          <w:tcPr>
            <w:tcW w:w="3035" w:type="dxa"/>
            <w:vAlign w:val="center"/>
          </w:tcPr>
          <w:p>
            <w:pPr>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项</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458" w:type="dxa"/>
            <w:vAlign w:val="top"/>
          </w:tcPr>
          <w:p>
            <w:pPr>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功能和质量</w:t>
            </w:r>
          </w:p>
          <w:p>
            <w:pPr>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要求</w:t>
            </w:r>
          </w:p>
        </w:tc>
        <w:tc>
          <w:tcPr>
            <w:tcW w:w="6804" w:type="dxa"/>
            <w:gridSpan w:val="3"/>
            <w:vAlign w:val="top"/>
          </w:tcPr>
          <w:p>
            <w:pPr>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lang w:eastAsia="zh-CN"/>
              </w:rPr>
              <w:t>本项目采购内容包括共用设备管理与维修养护（含供电系统、给排水系统、绿化服务、电梯维护、消防设备维护、空调维护等）、安全保卫、公共区域环境卫生管理等及采购单位交办的其他工作，本项目的投标报价包含日常水电维修费用、设备维护费、安全保卫费、卫生管理费、绿化养护费、人员工资、税费等用以及针对本项目物业管理所产生的所有费用及合同包含的所有风险、责任等各项全部费用。采购人不再支付其他费用。</w:t>
            </w:r>
          </w:p>
        </w:tc>
      </w:tr>
    </w:tbl>
    <w:p>
      <w:pPr>
        <w:spacing w:line="360" w:lineRule="auto"/>
        <w:ind w:firstLine="480" w:firstLineChars="200"/>
        <w:jc w:val="left"/>
        <w:rPr>
          <w:rFonts w:ascii="宋体" w:hAnsi="宋体" w:eastAsia="宋体"/>
          <w:iCs/>
          <w:color w:val="auto"/>
          <w:sz w:val="24"/>
          <w:highlight w:val="none"/>
          <w:u w:val="single"/>
        </w:rPr>
      </w:pPr>
      <w:r>
        <w:rPr>
          <w:rFonts w:ascii="宋体" w:hAnsi="宋体" w:eastAsia="宋体"/>
          <w:iCs/>
          <w:color w:val="auto"/>
          <w:sz w:val="24"/>
          <w:highlight w:val="none"/>
        </w:rPr>
        <w:t>2.履行时间（期限）：</w:t>
      </w:r>
      <w:r>
        <w:rPr>
          <w:rFonts w:hint="eastAsia" w:ascii="宋体" w:hAnsi="宋体" w:eastAsia="宋体"/>
          <w:color w:val="auto"/>
          <w:sz w:val="24"/>
          <w:highlight w:val="none"/>
          <w:u w:val="single"/>
        </w:rPr>
        <w:t>服务期限为</w:t>
      </w:r>
      <w:r>
        <w:rPr>
          <w:rFonts w:hint="eastAsia" w:ascii="宋体" w:hAnsi="宋体" w:eastAsia="宋体"/>
          <w:color w:val="auto"/>
          <w:sz w:val="24"/>
          <w:highlight w:val="none"/>
          <w:u w:val="single"/>
          <w:lang w:val="en-US" w:eastAsia="zh-CN"/>
        </w:rPr>
        <w:t>2</w:t>
      </w:r>
      <w:r>
        <w:rPr>
          <w:rFonts w:hint="eastAsia" w:ascii="宋体" w:hAnsi="宋体" w:eastAsia="宋体"/>
          <w:color w:val="auto"/>
          <w:sz w:val="24"/>
          <w:highlight w:val="none"/>
          <w:u w:val="single"/>
        </w:rPr>
        <w:t>年</w:t>
      </w:r>
    </w:p>
    <w:p>
      <w:pPr>
        <w:spacing w:line="360" w:lineRule="auto"/>
        <w:ind w:firstLine="480" w:firstLineChars="200"/>
        <w:jc w:val="left"/>
        <w:rPr>
          <w:rFonts w:ascii="宋体" w:hAnsi="宋体" w:eastAsia="宋体"/>
          <w:iCs/>
          <w:color w:val="auto"/>
          <w:sz w:val="24"/>
          <w:highlight w:val="none"/>
          <w:u w:val="single"/>
        </w:rPr>
      </w:pPr>
      <w:r>
        <w:rPr>
          <w:rFonts w:ascii="宋体" w:hAnsi="宋体" w:eastAsia="宋体"/>
          <w:iCs/>
          <w:color w:val="auto"/>
          <w:sz w:val="24"/>
          <w:highlight w:val="none"/>
        </w:rPr>
        <w:t>3.履约地点和方式：</w:t>
      </w:r>
      <w:r>
        <w:rPr>
          <w:rFonts w:hint="eastAsia" w:ascii="宋体" w:hAnsi="宋体" w:eastAsia="宋体" w:cs="仿宋_GB2312"/>
          <w:color w:val="auto"/>
          <w:sz w:val="24"/>
          <w:highlight w:val="none"/>
          <w:u w:val="single"/>
        </w:rPr>
        <w:t>杭州临平区</w:t>
      </w:r>
      <w:r>
        <w:rPr>
          <w:rFonts w:hint="eastAsia" w:ascii="宋体" w:hAnsi="宋体" w:eastAsia="宋体" w:cs="仿宋_GB2312"/>
          <w:color w:val="auto"/>
          <w:sz w:val="24"/>
          <w:highlight w:val="none"/>
          <w:u w:val="single"/>
          <w:lang w:val="en-US" w:eastAsia="zh-CN"/>
        </w:rPr>
        <w:t>塘栖镇</w:t>
      </w:r>
      <w:r>
        <w:rPr>
          <w:rFonts w:hint="eastAsia" w:ascii="宋体" w:hAnsi="宋体" w:cs="仿宋_GB2312"/>
          <w:color w:val="auto"/>
          <w:sz w:val="24"/>
          <w:highlight w:val="none"/>
          <w:u w:val="single"/>
          <w:lang w:val="en-US" w:eastAsia="zh-CN"/>
        </w:rPr>
        <w:t>,具体以采购人指定地点为准</w:t>
      </w:r>
      <w:r>
        <w:rPr>
          <w:rFonts w:hint="eastAsia" w:ascii="宋体" w:hAnsi="宋体" w:eastAsia="宋体"/>
          <w:iCs/>
          <w:color w:val="auto"/>
          <w:sz w:val="24"/>
          <w:highlight w:val="none"/>
          <w:u w:val="single"/>
        </w:rPr>
        <w:t>。</w:t>
      </w:r>
    </w:p>
    <w:p>
      <w:pPr>
        <w:pStyle w:val="15"/>
        <w:numPr>
          <w:numId w:val="0"/>
        </w:numPr>
        <w:snapToGrid w:val="0"/>
        <w:spacing w:line="400" w:lineRule="atLeast"/>
        <w:jc w:val="both"/>
        <w:rPr>
          <w:rFonts w:hint="eastAsia" w:ascii="宋体" w:hAnsi="宋体" w:eastAsia="宋体" w:cs="宋体"/>
          <w:i w:val="0"/>
          <w:iCs w:val="0"/>
          <w:kern w:val="2"/>
          <w:sz w:val="24"/>
          <w:szCs w:val="24"/>
          <w:lang w:val="en-US" w:eastAsia="zh-CN" w:bidi="ar-SA"/>
        </w:rPr>
      </w:pPr>
      <w:r>
        <w:rPr>
          <w:rFonts w:ascii="宋体" w:hAnsi="宋体" w:eastAsia="宋体"/>
          <w:iCs/>
          <w:color w:val="auto"/>
          <w:sz w:val="24"/>
          <w:highlight w:val="none"/>
        </w:rPr>
        <w:t>4.价款或者报酬：</w:t>
      </w:r>
      <w:r>
        <w:rPr>
          <w:rFonts w:hint="eastAsia" w:ascii="宋体" w:hAnsi="宋体" w:eastAsia="宋体" w:cs="宋体"/>
          <w:sz w:val="24"/>
          <w:highlight w:val="none"/>
          <w:lang w:eastAsia="zh-CN"/>
        </w:rPr>
        <w:t>应当</w:t>
      </w:r>
      <w:r>
        <w:rPr>
          <w:rFonts w:hint="eastAsia" w:ascii="宋体" w:hAnsi="宋体" w:eastAsia="宋体" w:cs="宋体"/>
          <w:sz w:val="24"/>
          <w:highlight w:val="none"/>
        </w:rPr>
        <w:t>在政府采购合同中约定预付款，预付款比例</w:t>
      </w:r>
      <w:r>
        <w:rPr>
          <w:rFonts w:hint="eastAsia" w:ascii="宋体" w:hAnsi="宋体" w:eastAsia="宋体" w:cs="宋体"/>
          <w:spacing w:val="-6"/>
          <w:kern w:val="2"/>
          <w:sz w:val="24"/>
          <w:szCs w:val="24"/>
          <w:highlight w:val="none"/>
          <w:lang w:val="en-US" w:eastAsia="zh-CN" w:bidi="ar-SA"/>
        </w:rPr>
        <w:t>原则上不低于合同金额的40％</w:t>
      </w:r>
      <w:r>
        <w:rPr>
          <w:rFonts w:hint="eastAsia" w:ascii="宋体" w:hAnsi="宋体" w:eastAsia="宋体" w:cs="宋体"/>
          <w:sz w:val="24"/>
          <w:highlight w:val="none"/>
        </w:rPr>
        <w:t>；项目分年安排预算的，每年预付款比例</w:t>
      </w:r>
      <w:r>
        <w:rPr>
          <w:rFonts w:hint="eastAsia" w:ascii="宋体" w:hAnsi="宋体" w:eastAsia="宋体" w:cs="宋体"/>
          <w:spacing w:val="-6"/>
          <w:kern w:val="2"/>
          <w:sz w:val="24"/>
          <w:szCs w:val="24"/>
          <w:highlight w:val="none"/>
          <w:lang w:val="en-US" w:eastAsia="zh-CN" w:bidi="ar-SA"/>
        </w:rPr>
        <w:t>不低于项目年度计划支付资金额的40％</w:t>
      </w:r>
      <w:r>
        <w:rPr>
          <w:rFonts w:hint="eastAsia" w:ascii="宋体" w:hAnsi="宋体" w:eastAsia="宋体" w:cs="宋体"/>
          <w:sz w:val="24"/>
          <w:highlight w:val="none"/>
        </w:rPr>
        <w:t>。采购项目实施以人工投入为主的，可适当降低预付款比例，但不低于</w:t>
      </w:r>
      <w:r>
        <w:rPr>
          <w:rFonts w:hint="eastAsia" w:ascii="宋体" w:hAnsi="宋体" w:eastAsia="宋体" w:cs="宋体"/>
          <w:sz w:val="24"/>
          <w:highlight w:val="none"/>
          <w:lang w:val="en-US" w:eastAsia="zh-CN"/>
        </w:rPr>
        <w:t>20</w:t>
      </w:r>
      <w:r>
        <w:rPr>
          <w:rFonts w:hint="eastAsia" w:ascii="宋体" w:hAnsi="宋体" w:eastAsia="宋体" w:cs="宋体"/>
          <w:sz w:val="24"/>
          <w:highlight w:val="none"/>
        </w:rPr>
        <w:t>%。可以根据项目特点、</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信用等实际情况提高预付款比例，最高预付比例可以达到</w:t>
      </w:r>
      <w:r>
        <w:rPr>
          <w:rFonts w:hint="eastAsia" w:ascii="宋体" w:hAnsi="宋体" w:eastAsia="宋体" w:cs="宋体"/>
          <w:sz w:val="24"/>
          <w:highlight w:val="none"/>
          <w:lang w:val="en-US" w:eastAsia="zh-CN"/>
        </w:rPr>
        <w:t>70</w:t>
      </w:r>
      <w:r>
        <w:rPr>
          <w:rFonts w:hint="eastAsia" w:ascii="宋体" w:hAnsi="宋体" w:eastAsia="宋体" w:cs="宋体"/>
          <w:sz w:val="24"/>
          <w:highlight w:val="none"/>
        </w:rPr>
        <w:t>%。</w:t>
      </w:r>
    </w:p>
    <w:p>
      <w:pPr>
        <w:spacing w:line="360" w:lineRule="auto"/>
        <w:ind w:firstLine="480" w:firstLineChars="200"/>
        <w:jc w:val="left"/>
        <w:rPr>
          <w:rFonts w:ascii="宋体" w:hAnsi="宋体" w:eastAsia="宋体"/>
          <w:iCs/>
          <w:color w:val="auto"/>
          <w:sz w:val="24"/>
          <w:highlight w:val="none"/>
          <w:u w:val="single"/>
        </w:rPr>
      </w:pPr>
      <w:r>
        <w:rPr>
          <w:rFonts w:ascii="宋体" w:hAnsi="宋体" w:eastAsia="宋体"/>
          <w:iCs/>
          <w:color w:val="auto"/>
          <w:sz w:val="24"/>
          <w:highlight w:val="none"/>
        </w:rPr>
        <w:t>5.考核要求和付款进度安排</w:t>
      </w:r>
    </w:p>
    <w:tbl>
      <w:tblPr>
        <w:tblStyle w:val="26"/>
        <w:tblW w:w="83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91"/>
        <w:gridCol w:w="2517"/>
        <w:gridCol w:w="49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569" w:hRule="atLeast"/>
        </w:trPr>
        <w:tc>
          <w:tcPr>
            <w:tcW w:w="891" w:type="dxa"/>
            <w:vAlign w:val="center"/>
          </w:tcPr>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2517" w:type="dxa"/>
            <w:vAlign w:val="center"/>
          </w:tcPr>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付款比例（</w:t>
            </w:r>
            <w:r>
              <w:rPr>
                <w:rFonts w:ascii="宋体" w:hAnsi="宋体" w:eastAsia="宋体" w:cs="仿宋_GB2312"/>
                <w:color w:val="auto"/>
                <w:sz w:val="24"/>
                <w:highlight w:val="none"/>
              </w:rPr>
              <w:t>%）</w:t>
            </w:r>
          </w:p>
        </w:tc>
        <w:tc>
          <w:tcPr>
            <w:tcW w:w="4904" w:type="dxa"/>
            <w:vAlign w:val="center"/>
          </w:tcPr>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考核要求</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891" w:type="dxa"/>
            <w:vAlign w:val="center"/>
          </w:tcPr>
          <w:p>
            <w:pPr>
              <w:spacing w:line="360" w:lineRule="auto"/>
              <w:jc w:val="center"/>
              <w:rPr>
                <w:rFonts w:ascii="宋体" w:hAnsi="宋体" w:eastAsia="宋体" w:cs="仿宋_GB2312"/>
                <w:color w:val="auto"/>
                <w:sz w:val="24"/>
                <w:highlight w:val="none"/>
              </w:rPr>
            </w:pPr>
            <w:r>
              <w:rPr>
                <w:rFonts w:ascii="宋体" w:hAnsi="宋体" w:eastAsia="宋体" w:cs="仿宋_GB2312"/>
                <w:color w:val="auto"/>
                <w:sz w:val="24"/>
                <w:highlight w:val="none"/>
              </w:rPr>
              <w:t>1</w:t>
            </w:r>
          </w:p>
        </w:tc>
        <w:tc>
          <w:tcPr>
            <w:tcW w:w="2517" w:type="dxa"/>
            <w:vAlign w:val="center"/>
          </w:tcPr>
          <w:p>
            <w:pPr>
              <w:spacing w:line="360" w:lineRule="auto"/>
              <w:jc w:val="left"/>
              <w:rPr>
                <w:rFonts w:hint="default" w:ascii="宋体" w:hAnsi="宋体" w:eastAsia="宋体" w:cs="仿宋_GB2312"/>
                <w:color w:val="auto"/>
                <w:sz w:val="24"/>
                <w:highlight w:val="none"/>
                <w:lang w:val="en-US" w:eastAsia="zh-CN"/>
              </w:rPr>
            </w:pPr>
            <w:r>
              <w:rPr>
                <w:rFonts w:hint="eastAsia" w:ascii="宋体" w:hAnsi="宋体" w:eastAsia="宋体" w:cs="宋体"/>
                <w:sz w:val="24"/>
                <w:highlight w:val="none"/>
                <w:lang w:eastAsia="zh-CN"/>
              </w:rPr>
              <w:t>应当</w:t>
            </w:r>
            <w:r>
              <w:rPr>
                <w:rFonts w:hint="eastAsia" w:ascii="宋体" w:hAnsi="宋体" w:eastAsia="宋体" w:cs="宋体"/>
                <w:sz w:val="24"/>
                <w:highlight w:val="none"/>
              </w:rPr>
              <w:t>在政府采购合同中约定预付款，预付款比例</w:t>
            </w:r>
            <w:r>
              <w:rPr>
                <w:rFonts w:hint="eastAsia" w:ascii="宋体" w:hAnsi="宋体" w:eastAsia="宋体" w:cs="宋体"/>
                <w:spacing w:val="-6"/>
                <w:kern w:val="2"/>
                <w:sz w:val="24"/>
                <w:szCs w:val="24"/>
                <w:highlight w:val="none"/>
                <w:lang w:val="en-US" w:eastAsia="zh-CN" w:bidi="ar-SA"/>
              </w:rPr>
              <w:t>原则上不低于合同金额的40％</w:t>
            </w:r>
            <w:r>
              <w:rPr>
                <w:rFonts w:hint="eastAsia" w:ascii="宋体" w:hAnsi="宋体" w:eastAsia="宋体" w:cs="宋体"/>
                <w:sz w:val="24"/>
                <w:highlight w:val="none"/>
              </w:rPr>
              <w:t>；项目分年安排预算的，每年预付款比例</w:t>
            </w:r>
            <w:r>
              <w:rPr>
                <w:rFonts w:hint="eastAsia" w:ascii="宋体" w:hAnsi="宋体" w:eastAsia="宋体" w:cs="宋体"/>
                <w:spacing w:val="-6"/>
                <w:kern w:val="2"/>
                <w:sz w:val="24"/>
                <w:szCs w:val="24"/>
                <w:highlight w:val="none"/>
                <w:lang w:val="en-US" w:eastAsia="zh-CN" w:bidi="ar-SA"/>
              </w:rPr>
              <w:t>不低于项目年度计划支付资金额的40％</w:t>
            </w:r>
            <w:r>
              <w:rPr>
                <w:rFonts w:hint="eastAsia" w:ascii="宋体" w:hAnsi="宋体" w:eastAsia="宋体" w:cs="宋体"/>
                <w:sz w:val="24"/>
                <w:highlight w:val="none"/>
              </w:rPr>
              <w:t>。采购项目实施以人工投入为主的，可适当降低预付款比例，但不低于</w:t>
            </w:r>
            <w:r>
              <w:rPr>
                <w:rFonts w:hint="eastAsia" w:ascii="宋体" w:hAnsi="宋体" w:eastAsia="宋体" w:cs="宋体"/>
                <w:sz w:val="24"/>
                <w:highlight w:val="none"/>
                <w:lang w:val="en-US" w:eastAsia="zh-CN"/>
              </w:rPr>
              <w:t>20</w:t>
            </w:r>
            <w:r>
              <w:rPr>
                <w:rFonts w:hint="eastAsia" w:ascii="宋体" w:hAnsi="宋体" w:eastAsia="宋体" w:cs="宋体"/>
                <w:sz w:val="24"/>
                <w:highlight w:val="none"/>
              </w:rPr>
              <w:t>%。可以根据项目特点、</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信用等实际情况提高预付款比例，最高预付比例可以达到</w:t>
            </w:r>
            <w:r>
              <w:rPr>
                <w:rFonts w:hint="eastAsia" w:ascii="宋体" w:hAnsi="宋体" w:eastAsia="宋体" w:cs="宋体"/>
                <w:sz w:val="24"/>
                <w:highlight w:val="none"/>
                <w:lang w:val="en-US" w:eastAsia="zh-CN"/>
              </w:rPr>
              <w:t>70</w:t>
            </w:r>
            <w:r>
              <w:rPr>
                <w:rFonts w:hint="eastAsia" w:ascii="宋体" w:hAnsi="宋体" w:eastAsia="宋体" w:cs="宋体"/>
                <w:sz w:val="24"/>
                <w:highlight w:val="none"/>
              </w:rPr>
              <w:t>%。</w:t>
            </w:r>
          </w:p>
        </w:tc>
        <w:tc>
          <w:tcPr>
            <w:tcW w:w="4904" w:type="dxa"/>
            <w:vAlign w:val="top"/>
          </w:tcPr>
          <w:p>
            <w:pPr>
              <w:spacing w:line="360" w:lineRule="auto"/>
              <w:jc w:val="left"/>
              <w:rPr>
                <w:rFonts w:ascii="宋体" w:hAnsi="宋体" w:eastAsia="宋体" w:cs="仿宋"/>
                <w:color w:val="auto"/>
                <w:sz w:val="24"/>
                <w:highlight w:val="none"/>
              </w:rPr>
            </w:pPr>
            <w:r>
              <w:rPr>
                <w:rFonts w:hint="eastAsia" w:ascii="Times New Roman" w:hAnsi="Times New Roman" w:eastAsia="宋体" w:cs="Times New Roman"/>
                <w:bCs/>
                <w:color w:val="000000"/>
                <w:sz w:val="24"/>
                <w:szCs w:val="24"/>
                <w:highlight w:val="none"/>
              </w:rPr>
              <w:t>采购人根据物业服务质量考核结果按季支付物业管理服务费，自合同签订之日起</w:t>
            </w:r>
            <w:r>
              <w:rPr>
                <w:rFonts w:hint="eastAsia" w:ascii="Times New Roman" w:hAnsi="Times New Roman" w:eastAsia="宋体" w:cs="Times New Roman"/>
                <w:bCs/>
                <w:color w:val="000000"/>
                <w:sz w:val="24"/>
                <w:szCs w:val="24"/>
                <w:highlight w:val="none"/>
                <w:lang w:val="en-US" w:eastAsia="zh-CN"/>
              </w:rPr>
              <w:t>7</w:t>
            </w:r>
            <w:r>
              <w:rPr>
                <w:rFonts w:hint="eastAsia" w:ascii="Times New Roman" w:hAnsi="Times New Roman" w:eastAsia="宋体" w:cs="Times New Roman"/>
                <w:bCs/>
                <w:color w:val="000000"/>
                <w:sz w:val="24"/>
                <w:szCs w:val="24"/>
                <w:highlight w:val="none"/>
              </w:rPr>
              <w:t>日内支付年合同价预付款</w:t>
            </w:r>
            <w:r>
              <w:rPr>
                <w:rFonts w:hint="eastAsia" w:ascii="Times New Roman" w:hAnsi="Times New Roman" w:eastAsia="宋体" w:cs="Times New Roman"/>
                <w:bCs/>
                <w:color w:val="000000"/>
                <w:sz w:val="24"/>
                <w:szCs w:val="24"/>
                <w:highlight w:val="none"/>
                <w:lang w:val="en-US" w:eastAsia="zh-CN"/>
              </w:rPr>
              <w:t>2</w:t>
            </w:r>
            <w:r>
              <w:rPr>
                <w:rFonts w:hint="eastAsia" w:ascii="Times New Roman" w:hAnsi="Times New Roman" w:eastAsia="宋体" w:cs="Times New Roman"/>
                <w:bCs/>
                <w:color w:val="000000"/>
                <w:sz w:val="24"/>
                <w:szCs w:val="24"/>
                <w:highlight w:val="none"/>
              </w:rPr>
              <w:t>0%，经采购人考核合格后按季付款，每个季度支付</w:t>
            </w:r>
            <w:r>
              <w:rPr>
                <w:rFonts w:hint="eastAsia" w:ascii="Times New Roman" w:hAnsi="Times New Roman" w:eastAsia="宋体" w:cs="Times New Roman"/>
                <w:bCs/>
                <w:color w:val="000000"/>
                <w:sz w:val="24"/>
                <w:szCs w:val="24"/>
                <w:highlight w:val="none"/>
                <w:lang w:val="en-US" w:eastAsia="zh-CN"/>
              </w:rPr>
              <w:t>年</w:t>
            </w:r>
            <w:r>
              <w:rPr>
                <w:rFonts w:hint="eastAsia" w:ascii="Times New Roman" w:hAnsi="Times New Roman" w:eastAsia="宋体" w:cs="Times New Roman"/>
                <w:bCs/>
                <w:color w:val="000000"/>
                <w:sz w:val="24"/>
                <w:szCs w:val="24"/>
                <w:highlight w:val="none"/>
              </w:rPr>
              <w:t>合同价1/4×</w:t>
            </w:r>
            <w:r>
              <w:rPr>
                <w:rFonts w:hint="eastAsia" w:ascii="Times New Roman" w:hAnsi="Times New Roman" w:eastAsia="宋体" w:cs="Times New Roman"/>
                <w:bCs/>
                <w:color w:val="000000"/>
                <w:sz w:val="24"/>
                <w:szCs w:val="24"/>
                <w:highlight w:val="none"/>
                <w:lang w:val="en-US" w:eastAsia="zh-CN"/>
              </w:rPr>
              <w:t>8</w:t>
            </w:r>
            <w:r>
              <w:rPr>
                <w:rFonts w:hint="eastAsia" w:ascii="Times New Roman" w:hAnsi="Times New Roman" w:eastAsia="宋体" w:cs="Times New Roman"/>
                <w:bCs/>
                <w:color w:val="000000"/>
                <w:sz w:val="24"/>
                <w:szCs w:val="24"/>
                <w:highlight w:val="none"/>
              </w:rPr>
              <w:t>0%</w:t>
            </w:r>
            <w:r>
              <w:rPr>
                <w:rFonts w:hint="eastAsia" w:ascii="Times New Roman" w:hAnsi="Times New Roman" w:eastAsia="宋体" w:cs="Times New Roman"/>
                <w:bCs/>
                <w:color w:val="000000"/>
                <w:sz w:val="24"/>
                <w:szCs w:val="24"/>
                <w:highlight w:val="none"/>
                <w:lang w:eastAsia="zh-CN"/>
              </w:rPr>
              <w:t>；</w:t>
            </w:r>
            <w:r>
              <w:rPr>
                <w:rFonts w:hint="eastAsia" w:ascii="Times New Roman" w:hAnsi="Times New Roman" w:eastAsia="宋体" w:cs="Times New Roman"/>
                <w:bCs/>
                <w:color w:val="000000"/>
                <w:sz w:val="24"/>
                <w:szCs w:val="24"/>
                <w:highlight w:val="none"/>
                <w:lang w:val="en-US" w:eastAsia="zh-CN"/>
              </w:rPr>
              <w:t>第一年度结束后7</w:t>
            </w:r>
            <w:r>
              <w:rPr>
                <w:rFonts w:hint="eastAsia" w:ascii="Times New Roman" w:hAnsi="Times New Roman" w:eastAsia="宋体" w:cs="Times New Roman"/>
                <w:bCs/>
                <w:color w:val="000000"/>
                <w:sz w:val="24"/>
                <w:szCs w:val="24"/>
                <w:highlight w:val="none"/>
              </w:rPr>
              <w:t>日内</w:t>
            </w:r>
            <w:r>
              <w:rPr>
                <w:rFonts w:hint="eastAsia" w:ascii="Times New Roman" w:hAnsi="Times New Roman" w:eastAsia="宋体" w:cs="Times New Roman"/>
                <w:bCs/>
                <w:color w:val="000000"/>
                <w:sz w:val="24"/>
                <w:szCs w:val="24"/>
                <w:highlight w:val="none"/>
                <w:lang w:val="en-US" w:eastAsia="zh-CN"/>
              </w:rPr>
              <w:t>支付第二年度年合同价预付款20%，</w:t>
            </w:r>
            <w:r>
              <w:rPr>
                <w:rFonts w:hint="eastAsia" w:ascii="Times New Roman" w:hAnsi="Times New Roman" w:eastAsia="宋体" w:cs="Times New Roman"/>
                <w:bCs/>
                <w:color w:val="000000"/>
                <w:sz w:val="24"/>
                <w:szCs w:val="24"/>
                <w:highlight w:val="none"/>
              </w:rPr>
              <w:t>经采购人考核合格后</w:t>
            </w:r>
            <w:r>
              <w:rPr>
                <w:rFonts w:hint="eastAsia" w:ascii="Times New Roman" w:hAnsi="Times New Roman" w:eastAsia="宋体" w:cs="Times New Roman"/>
                <w:bCs/>
                <w:color w:val="000000"/>
                <w:sz w:val="24"/>
                <w:szCs w:val="24"/>
                <w:highlight w:val="none"/>
                <w:lang w:eastAsia="zh-CN"/>
              </w:rPr>
              <w:t>，</w:t>
            </w:r>
            <w:r>
              <w:rPr>
                <w:rFonts w:hint="eastAsia" w:ascii="Times New Roman" w:hAnsi="Times New Roman" w:eastAsia="宋体" w:cs="Times New Roman"/>
                <w:bCs/>
                <w:color w:val="000000"/>
                <w:sz w:val="24"/>
                <w:szCs w:val="24"/>
                <w:highlight w:val="none"/>
              </w:rPr>
              <w:t>每个季度支付</w:t>
            </w:r>
            <w:r>
              <w:rPr>
                <w:rFonts w:hint="eastAsia" w:ascii="Times New Roman" w:hAnsi="Times New Roman" w:eastAsia="宋体" w:cs="Times New Roman"/>
                <w:bCs/>
                <w:color w:val="000000"/>
                <w:sz w:val="24"/>
                <w:szCs w:val="24"/>
                <w:highlight w:val="none"/>
                <w:lang w:val="en-US" w:eastAsia="zh-CN"/>
              </w:rPr>
              <w:t>年</w:t>
            </w:r>
            <w:r>
              <w:rPr>
                <w:rFonts w:hint="eastAsia" w:ascii="Times New Roman" w:hAnsi="Times New Roman" w:eastAsia="宋体" w:cs="Times New Roman"/>
                <w:bCs/>
                <w:color w:val="000000"/>
                <w:sz w:val="24"/>
                <w:szCs w:val="24"/>
                <w:highlight w:val="none"/>
              </w:rPr>
              <w:t>合同价1/4×</w:t>
            </w:r>
            <w:r>
              <w:rPr>
                <w:rFonts w:hint="eastAsia" w:ascii="Times New Roman" w:hAnsi="Times New Roman" w:eastAsia="宋体" w:cs="Times New Roman"/>
                <w:bCs/>
                <w:color w:val="000000"/>
                <w:sz w:val="24"/>
                <w:szCs w:val="24"/>
                <w:highlight w:val="none"/>
                <w:lang w:val="en-US" w:eastAsia="zh-CN"/>
              </w:rPr>
              <w:t>8</w:t>
            </w:r>
            <w:r>
              <w:rPr>
                <w:rFonts w:hint="eastAsia" w:ascii="Times New Roman" w:hAnsi="Times New Roman" w:eastAsia="宋体" w:cs="Times New Roman"/>
                <w:bCs/>
                <w:color w:val="000000"/>
                <w:sz w:val="24"/>
                <w:szCs w:val="24"/>
                <w:highlight w:val="none"/>
              </w:rPr>
              <w:t>0%</w:t>
            </w:r>
            <w:r>
              <w:rPr>
                <w:rFonts w:hint="eastAsia" w:ascii="Times New Roman" w:hAnsi="Times New Roman" w:eastAsia="宋体" w:cs="Times New Roman"/>
                <w:bCs/>
                <w:color w:val="000000"/>
                <w:sz w:val="24"/>
                <w:szCs w:val="24"/>
                <w:highlight w:val="none"/>
                <w:lang w:val="en-US" w:eastAsia="zh-CN"/>
              </w:rPr>
              <w:t>。</w:t>
            </w:r>
          </w:p>
        </w:tc>
      </w:tr>
    </w:tbl>
    <w:p>
      <w:pPr>
        <w:spacing w:line="360" w:lineRule="auto"/>
        <w:ind w:firstLine="480" w:firstLineChars="200"/>
        <w:jc w:val="left"/>
        <w:rPr>
          <w:rFonts w:ascii="宋体" w:hAnsi="宋体" w:eastAsia="宋体"/>
          <w:iCs/>
          <w:color w:val="auto"/>
          <w:sz w:val="24"/>
          <w:highlight w:val="none"/>
          <w:u w:val="single"/>
        </w:rPr>
      </w:pPr>
      <w:r>
        <w:rPr>
          <w:rFonts w:ascii="宋体" w:hAnsi="宋体" w:eastAsia="宋体"/>
          <w:iCs/>
          <w:color w:val="auto"/>
          <w:sz w:val="24"/>
          <w:highlight w:val="none"/>
        </w:rPr>
        <w:t>6.</w:t>
      </w:r>
      <w:r>
        <w:rPr>
          <w:rFonts w:hint="eastAsia" w:ascii="宋体" w:hAnsi="宋体" w:eastAsia="宋体"/>
          <w:iCs/>
          <w:color w:val="auto"/>
          <w:sz w:val="24"/>
          <w:highlight w:val="none"/>
        </w:rPr>
        <w:t>资金支付方式：</w:t>
      </w:r>
      <w:r>
        <w:rPr>
          <w:rFonts w:ascii="宋体" w:hAnsi="宋体" w:eastAsia="宋体"/>
          <w:iCs/>
          <w:color w:val="auto"/>
          <w:sz w:val="24"/>
          <w:highlight w:val="none"/>
          <w:u w:val="single"/>
        </w:rPr>
        <w:t xml:space="preserve">  银行转账  </w:t>
      </w:r>
    </w:p>
    <w:p>
      <w:pPr>
        <w:spacing w:line="360" w:lineRule="auto"/>
        <w:ind w:firstLine="480" w:firstLineChars="200"/>
        <w:jc w:val="left"/>
        <w:rPr>
          <w:rFonts w:ascii="宋体" w:hAnsi="宋体" w:eastAsia="宋体"/>
          <w:iCs/>
          <w:color w:val="auto"/>
          <w:sz w:val="24"/>
          <w:highlight w:val="none"/>
        </w:rPr>
      </w:pPr>
      <w:r>
        <w:rPr>
          <w:rFonts w:ascii="宋体" w:hAnsi="宋体" w:eastAsia="宋体"/>
          <w:iCs/>
          <w:color w:val="auto"/>
          <w:sz w:val="24"/>
          <w:highlight w:val="none"/>
        </w:rPr>
        <w:t>7.验收、交付标准和方法</w:t>
      </w:r>
    </w:p>
    <w:p>
      <w:pPr>
        <w:pStyle w:val="30"/>
        <w:ind w:firstLine="480"/>
        <w:rPr>
          <w:rFonts w:ascii="宋体" w:hAnsi="宋体" w:eastAsia="宋体" w:cs="仿宋"/>
          <w:color w:val="auto"/>
          <w:highlight w:val="none"/>
          <w:u w:val="single"/>
        </w:rPr>
      </w:pPr>
      <w:bookmarkStart w:id="2" w:name="_Hlk103202290"/>
      <w:r>
        <w:rPr>
          <w:rFonts w:ascii="宋体" w:hAnsi="宋体" w:eastAsia="宋体" w:cs="仿宋"/>
          <w:color w:val="auto"/>
          <w:highlight w:val="none"/>
          <w:u w:val="single"/>
        </w:rPr>
        <w:t>1.</w:t>
      </w:r>
      <w:r>
        <w:rPr>
          <w:rFonts w:hint="eastAsia" w:ascii="宋体" w:hAnsi="宋体" w:eastAsia="宋体" w:cs="仿宋"/>
          <w:color w:val="auto"/>
          <w:highlight w:val="none"/>
          <w:u w:val="single"/>
        </w:rPr>
        <w:t>验收组织和程序</w:t>
      </w:r>
    </w:p>
    <w:p>
      <w:pPr>
        <w:pStyle w:val="30"/>
        <w:ind w:firstLine="480"/>
        <w:rPr>
          <w:rFonts w:ascii="宋体" w:hAnsi="宋体" w:eastAsia="宋体" w:cs="仿宋"/>
          <w:color w:val="auto"/>
          <w:highlight w:val="none"/>
          <w:u w:val="single"/>
        </w:rPr>
      </w:pPr>
      <w:r>
        <w:rPr>
          <w:rFonts w:hint="eastAsia" w:ascii="宋体" w:hAnsi="宋体" w:eastAsia="宋体" w:cs="仿宋"/>
          <w:color w:val="auto"/>
          <w:highlight w:val="none"/>
          <w:u w:val="single"/>
        </w:rPr>
        <w:t>（</w:t>
      </w:r>
      <w:r>
        <w:rPr>
          <w:rFonts w:ascii="宋体" w:hAnsi="宋体" w:eastAsia="宋体" w:cs="仿宋"/>
          <w:color w:val="auto"/>
          <w:highlight w:val="none"/>
          <w:u w:val="single"/>
        </w:rPr>
        <w:t>1）根据《中华人民共和国政府采购法》、《中华人民共和国民法典》、《中华</w:t>
      </w:r>
      <w:r>
        <w:rPr>
          <w:rFonts w:hint="eastAsia" w:ascii="宋体" w:hAnsi="宋体" w:eastAsia="宋体" w:cs="仿宋"/>
          <w:color w:val="auto"/>
          <w:highlight w:val="none"/>
          <w:u w:val="single"/>
        </w:rPr>
        <w:t>人民共和国政府采购法实施条例》、财政部《财政部关于进一步加强政府采购需求和履约验收管理的指导意见》（财库</w:t>
      </w:r>
      <w:r>
        <w:rPr>
          <w:rFonts w:ascii="宋体" w:hAnsi="宋体" w:eastAsia="宋体" w:cs="仿宋"/>
          <w:color w:val="auto"/>
          <w:highlight w:val="none"/>
          <w:u w:val="single"/>
        </w:rPr>
        <w:t>[2016]205号）、杭州市财政局《杭州市政府采购履约验收暂行办法》（</w:t>
      </w:r>
      <w:r>
        <w:rPr>
          <w:rFonts w:hint="eastAsia" w:ascii="宋体" w:hAnsi="宋体" w:eastAsia="宋体" w:cs="仿宋"/>
          <w:color w:val="auto"/>
          <w:highlight w:val="none"/>
          <w:u w:val="single"/>
        </w:rPr>
        <w:t>杭财采监</w:t>
      </w:r>
      <w:r>
        <w:rPr>
          <w:rFonts w:ascii="宋体" w:hAnsi="宋体" w:eastAsia="宋体" w:cs="仿宋"/>
          <w:color w:val="auto"/>
          <w:highlight w:val="none"/>
          <w:u w:val="single"/>
        </w:rPr>
        <w:t>[2019]10号）等相关法律、法规、规范性文件要求组织验收。</w:t>
      </w:r>
    </w:p>
    <w:p>
      <w:pPr>
        <w:pStyle w:val="30"/>
        <w:ind w:firstLine="480"/>
        <w:rPr>
          <w:rFonts w:ascii="宋体" w:hAnsi="宋体" w:eastAsia="宋体" w:cs="仿宋"/>
          <w:color w:val="auto"/>
          <w:highlight w:val="none"/>
          <w:u w:val="single"/>
        </w:rPr>
      </w:pPr>
      <w:r>
        <w:rPr>
          <w:rFonts w:hint="eastAsia" w:ascii="宋体" w:hAnsi="宋体" w:eastAsia="宋体" w:cs="仿宋"/>
          <w:color w:val="auto"/>
          <w:highlight w:val="none"/>
          <w:u w:val="single"/>
        </w:rPr>
        <w:t>（</w:t>
      </w:r>
      <w:r>
        <w:rPr>
          <w:rFonts w:ascii="宋体" w:hAnsi="宋体" w:eastAsia="宋体" w:cs="仿宋"/>
          <w:color w:val="auto"/>
          <w:highlight w:val="none"/>
          <w:u w:val="single"/>
        </w:rPr>
        <w:t>2）验收方法：验收小组验收。</w:t>
      </w:r>
    </w:p>
    <w:p>
      <w:pPr>
        <w:pStyle w:val="30"/>
        <w:ind w:firstLine="480"/>
        <w:rPr>
          <w:rFonts w:ascii="宋体" w:hAnsi="宋体" w:eastAsia="宋体" w:cs="仿宋"/>
          <w:color w:val="auto"/>
          <w:highlight w:val="none"/>
          <w:u w:val="single"/>
        </w:rPr>
      </w:pPr>
      <w:r>
        <w:rPr>
          <w:rFonts w:hint="eastAsia" w:ascii="宋体" w:hAnsi="宋体" w:eastAsia="宋体" w:cs="仿宋"/>
          <w:color w:val="auto"/>
          <w:highlight w:val="none"/>
          <w:u w:val="single"/>
        </w:rPr>
        <w:t>（</w:t>
      </w:r>
      <w:r>
        <w:rPr>
          <w:rFonts w:ascii="宋体" w:hAnsi="宋体" w:eastAsia="宋体" w:cs="仿宋"/>
          <w:color w:val="auto"/>
          <w:highlight w:val="none"/>
          <w:u w:val="single"/>
        </w:rPr>
        <w:t>3）验收小组组建方式：</w:t>
      </w:r>
      <w:r>
        <w:rPr>
          <w:rFonts w:hint="eastAsia" w:ascii="宋体" w:hAnsi="宋体" w:eastAsia="宋体" w:cs="仿宋"/>
          <w:color w:val="auto"/>
          <w:highlight w:val="none"/>
          <w:u w:val="single"/>
        </w:rPr>
        <w:t>项目验收负责人组织</w:t>
      </w:r>
      <w:r>
        <w:rPr>
          <w:rFonts w:ascii="宋体" w:hAnsi="宋体" w:eastAsia="宋体" w:cs="仿宋"/>
          <w:color w:val="auto"/>
          <w:highlight w:val="none"/>
          <w:u w:val="single"/>
        </w:rPr>
        <w:t>验收小组，验收小组由</w:t>
      </w:r>
      <w:r>
        <w:rPr>
          <w:rFonts w:hint="eastAsia" w:ascii="宋体" w:hAnsi="宋体" w:eastAsia="宋体" w:cs="仿宋"/>
          <w:color w:val="auto"/>
          <w:highlight w:val="none"/>
          <w:u w:val="single"/>
        </w:rPr>
        <w:t>相关</w:t>
      </w:r>
      <w:r>
        <w:rPr>
          <w:rFonts w:ascii="宋体" w:hAnsi="宋体" w:eastAsia="宋体" w:cs="仿宋"/>
          <w:color w:val="auto"/>
          <w:highlight w:val="none"/>
          <w:u w:val="single"/>
        </w:rPr>
        <w:t>专家和用户代表</w:t>
      </w:r>
      <w:r>
        <w:rPr>
          <w:rFonts w:hint="eastAsia" w:ascii="宋体" w:hAnsi="宋体" w:eastAsia="宋体" w:cs="仿宋"/>
          <w:color w:val="auto"/>
          <w:highlight w:val="none"/>
          <w:u w:val="single"/>
        </w:rPr>
        <w:t>按相关规定</w:t>
      </w:r>
      <w:r>
        <w:rPr>
          <w:rFonts w:ascii="宋体" w:hAnsi="宋体" w:eastAsia="宋体" w:cs="仿宋"/>
          <w:color w:val="auto"/>
          <w:highlight w:val="none"/>
          <w:u w:val="single"/>
        </w:rPr>
        <w:t>组成。验收小组负责实施具体的验收活动。甲方可以邀请其他单位的相关专业人员参加验收小组。验收小组推选一名组长，主持验收小组的工作。</w:t>
      </w:r>
    </w:p>
    <w:p>
      <w:pPr>
        <w:pStyle w:val="30"/>
        <w:ind w:firstLine="480"/>
        <w:rPr>
          <w:rFonts w:ascii="宋体" w:hAnsi="宋体" w:eastAsia="宋体" w:cs="仿宋"/>
          <w:color w:val="auto"/>
          <w:highlight w:val="none"/>
          <w:u w:val="single"/>
        </w:rPr>
      </w:pPr>
      <w:r>
        <w:rPr>
          <w:rFonts w:hint="eastAsia" w:ascii="宋体" w:hAnsi="宋体" w:eastAsia="宋体" w:cs="仿宋"/>
          <w:color w:val="auto"/>
          <w:highlight w:val="none"/>
          <w:u w:val="single"/>
        </w:rPr>
        <w:t>（</w:t>
      </w:r>
      <w:r>
        <w:rPr>
          <w:rFonts w:ascii="宋体" w:hAnsi="宋体" w:eastAsia="宋体" w:cs="仿宋"/>
          <w:color w:val="auto"/>
          <w:highlight w:val="none"/>
          <w:u w:val="single"/>
        </w:rPr>
        <w:t>4）验收流程：</w:t>
      </w:r>
    </w:p>
    <w:p>
      <w:pPr>
        <w:pStyle w:val="30"/>
        <w:ind w:firstLine="480"/>
        <w:rPr>
          <w:rFonts w:ascii="宋体" w:hAnsi="宋体" w:eastAsia="宋体" w:cs="仿宋"/>
          <w:color w:val="auto"/>
          <w:highlight w:val="none"/>
          <w:u w:val="single"/>
        </w:rPr>
      </w:pPr>
      <w:r>
        <w:rPr>
          <w:rFonts w:ascii="宋体" w:hAnsi="宋体" w:eastAsia="宋体" w:cs="仿宋"/>
          <w:color w:val="auto"/>
          <w:highlight w:val="none"/>
          <w:u w:val="single"/>
        </w:rPr>
        <w:t>1）</w:t>
      </w:r>
      <w:r>
        <w:rPr>
          <w:rFonts w:hint="eastAsia" w:ascii="宋体" w:hAnsi="宋体" w:eastAsia="宋体" w:cs="仿宋"/>
          <w:color w:val="auto"/>
          <w:highlight w:val="none"/>
          <w:u w:val="single"/>
        </w:rPr>
        <w:t>项目验收负责人</w:t>
      </w:r>
      <w:r>
        <w:rPr>
          <w:rFonts w:ascii="宋体" w:hAnsi="宋体" w:eastAsia="宋体" w:cs="仿宋"/>
          <w:color w:val="auto"/>
          <w:highlight w:val="none"/>
          <w:u w:val="single"/>
        </w:rPr>
        <w:t>根据验收方案组织验收小组现场验收，并准备验收材料并通知各验收参与方在指定时间指定地点联合验收，包括甲方、乙方、验收小组、其他验收参与方等。</w:t>
      </w:r>
    </w:p>
    <w:p>
      <w:pPr>
        <w:pStyle w:val="30"/>
        <w:ind w:firstLine="480"/>
        <w:rPr>
          <w:rFonts w:ascii="宋体" w:hAnsi="宋体" w:eastAsia="宋体" w:cs="仿宋"/>
          <w:color w:val="auto"/>
          <w:highlight w:val="none"/>
          <w:u w:val="single"/>
        </w:rPr>
      </w:pPr>
      <w:r>
        <w:rPr>
          <w:rFonts w:ascii="宋体" w:hAnsi="宋体" w:eastAsia="宋体" w:cs="仿宋"/>
          <w:color w:val="auto"/>
          <w:highlight w:val="none"/>
          <w:u w:val="single"/>
        </w:rPr>
        <w:t>2）验收小组应当按照验收方案独立开展验收，对乙方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宋体" w:hAnsi="宋体" w:eastAsia="宋体" w:cs="仿宋"/>
          <w:color w:val="auto"/>
          <w:highlight w:val="none"/>
          <w:u w:val="single"/>
        </w:rPr>
        <w:t>作出实质性修改的，应当报经甲方同意。</w:t>
      </w:r>
    </w:p>
    <w:p>
      <w:pPr>
        <w:pStyle w:val="30"/>
        <w:ind w:firstLine="480"/>
        <w:rPr>
          <w:rFonts w:ascii="宋体" w:hAnsi="宋体" w:eastAsia="宋体" w:cs="仿宋"/>
          <w:color w:val="auto"/>
          <w:highlight w:val="none"/>
          <w:u w:val="single"/>
        </w:rPr>
      </w:pPr>
      <w:r>
        <w:rPr>
          <w:rFonts w:ascii="宋体" w:hAnsi="宋体" w:eastAsia="宋体" w:cs="仿宋"/>
          <w:color w:val="auto"/>
          <w:highlight w:val="none"/>
          <w:u w:val="single"/>
        </w:rPr>
        <w:t>3）乙方配合验收工作，并就验收实施过程中的疑问进行解答和澄清。项目验收过程中，乙方不认可验收意见的，按照合同的约定的方式解决，合同未作约定的，按照《中华人民共和国民法典》等相关规定处理。</w:t>
      </w:r>
    </w:p>
    <w:p>
      <w:pPr>
        <w:pStyle w:val="30"/>
        <w:ind w:firstLine="480"/>
        <w:rPr>
          <w:rFonts w:ascii="宋体" w:hAnsi="宋体" w:eastAsia="宋体" w:cs="仿宋"/>
          <w:color w:val="auto"/>
          <w:highlight w:val="none"/>
          <w:u w:val="single"/>
        </w:rPr>
      </w:pPr>
      <w:r>
        <w:rPr>
          <w:rFonts w:ascii="宋体" w:hAnsi="宋体" w:eastAsia="宋体" w:cs="仿宋"/>
          <w:color w:val="auto"/>
          <w:highlight w:val="none"/>
          <w:u w:val="single"/>
        </w:rPr>
        <w:t>4）出具验收报告。验收结束后，验收小组应当出具验收报告，报告甲方。验收报告应当根据验收方案制作，以书面形式</w:t>
      </w:r>
      <w:r>
        <w:rPr>
          <w:rFonts w:hint="eastAsia" w:ascii="宋体" w:hAnsi="宋体" w:eastAsia="宋体" w:cs="仿宋"/>
          <w:color w:val="auto"/>
          <w:highlight w:val="none"/>
          <w:u w:val="single"/>
        </w:rPr>
        <w:t>作出结论性意见，并经验收小组全体成员签字。验收小组成员对验收报告载明的结论有异议的，应当在验收报告上签署不同意并说明理由，否则视为同意验收结论。</w:t>
      </w:r>
    </w:p>
    <w:p>
      <w:pPr>
        <w:pStyle w:val="30"/>
        <w:ind w:firstLine="480"/>
        <w:rPr>
          <w:rFonts w:ascii="宋体" w:hAnsi="宋体" w:eastAsia="宋体" w:cs="仿宋"/>
          <w:color w:val="auto"/>
          <w:highlight w:val="none"/>
          <w:u w:val="single"/>
        </w:rPr>
      </w:pPr>
      <w:r>
        <w:rPr>
          <w:rFonts w:ascii="宋体" w:hAnsi="宋体" w:eastAsia="宋体" w:cs="仿宋"/>
          <w:color w:val="auto"/>
          <w:highlight w:val="none"/>
          <w:u w:val="single"/>
        </w:rPr>
        <w:t>5）验收不合格的，甲方应责令乙方采取补救措施，向乙方发出整改通知书，并依法及时处理。整改结束后，由乙方通知甲方或其委托的验收组织机构重新验收。</w:t>
      </w:r>
    </w:p>
    <w:p>
      <w:pPr>
        <w:pStyle w:val="12"/>
        <w:spacing w:line="360" w:lineRule="auto"/>
        <w:rPr>
          <w:rFonts w:ascii="宋体" w:hAnsi="宋体" w:eastAsia="宋体" w:cs="宋体"/>
          <w:color w:val="auto"/>
          <w:sz w:val="24"/>
          <w:szCs w:val="24"/>
          <w:highlight w:val="none"/>
          <w:u w:val="single"/>
        </w:rPr>
      </w:pPr>
      <w:r>
        <w:rPr>
          <w:rFonts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u w:val="single"/>
        </w:rPr>
        <w:t>履约验收内容</w:t>
      </w:r>
    </w:p>
    <w:p>
      <w:pPr>
        <w:pStyle w:val="30"/>
        <w:ind w:firstLine="439" w:firstLineChars="183"/>
        <w:rPr>
          <w:rFonts w:ascii="宋体" w:hAnsi="宋体" w:eastAsia="宋体" w:cs="仿宋"/>
          <w:color w:val="auto"/>
          <w:highlight w:val="none"/>
          <w:u w:val="single"/>
        </w:rPr>
      </w:pPr>
      <w:r>
        <w:rPr>
          <w:rFonts w:ascii="宋体" w:hAnsi="宋体" w:eastAsia="宋体" w:cs="仿宋"/>
          <w:color w:val="auto"/>
          <w:highlight w:val="none"/>
          <w:u w:val="single"/>
        </w:rPr>
        <w:t>1.</w:t>
      </w:r>
      <w:r>
        <w:rPr>
          <w:rFonts w:hint="eastAsia" w:ascii="宋体" w:hAnsi="宋体" w:eastAsia="宋体" w:cs="仿宋"/>
          <w:color w:val="auto"/>
          <w:highlight w:val="none"/>
          <w:u w:val="single"/>
        </w:rPr>
        <w:t>技术履约内容</w:t>
      </w:r>
    </w:p>
    <w:p>
      <w:pPr>
        <w:pStyle w:val="12"/>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1</w:t>
      </w:r>
      <w:r>
        <w:rPr>
          <w:rFonts w:hint="eastAsia" w:ascii="宋体" w:hAnsi="宋体" w:eastAsia="宋体" w:cs="仿宋"/>
          <w:color w:val="auto"/>
          <w:sz w:val="24"/>
          <w:szCs w:val="24"/>
          <w:highlight w:val="none"/>
          <w:u w:val="single"/>
        </w:rPr>
        <w:t>）满足所有采购需求及响应文件承诺；</w:t>
      </w:r>
    </w:p>
    <w:p>
      <w:pPr>
        <w:pStyle w:val="12"/>
        <w:spacing w:after="120" w:line="360" w:lineRule="auto"/>
        <w:rPr>
          <w:rFonts w:ascii="宋体" w:hAnsi="宋体" w:eastAsia="宋体" w:cs="仿宋"/>
          <w:color w:val="auto"/>
          <w:sz w:val="24"/>
          <w:szCs w:val="24"/>
          <w:highlight w:val="none"/>
          <w:u w:val="single"/>
        </w:rPr>
      </w:pPr>
      <w:bookmarkStart w:id="3" w:name="_Hlk104128754"/>
      <w:r>
        <w:rPr>
          <w:rFonts w:ascii="宋体" w:hAnsi="宋体" w:eastAsia="宋体" w:cs="仿宋"/>
          <w:color w:val="auto"/>
          <w:sz w:val="24"/>
          <w:szCs w:val="24"/>
          <w:highlight w:val="none"/>
          <w:u w:val="single"/>
        </w:rPr>
        <w:t>2）拟投服务团队人员全部到位，与</w:t>
      </w:r>
      <w:r>
        <w:rPr>
          <w:rFonts w:hint="eastAsia" w:ascii="宋体" w:hAnsi="宋体" w:eastAsia="宋体" w:cs="仿宋"/>
          <w:color w:val="auto"/>
          <w:sz w:val="24"/>
          <w:szCs w:val="24"/>
          <w:highlight w:val="none"/>
          <w:u w:val="single"/>
        </w:rPr>
        <w:t>响应</w:t>
      </w:r>
      <w:r>
        <w:rPr>
          <w:rFonts w:ascii="宋体" w:hAnsi="宋体" w:eastAsia="宋体" w:cs="仿宋"/>
          <w:color w:val="auto"/>
          <w:sz w:val="24"/>
          <w:szCs w:val="24"/>
          <w:highlight w:val="none"/>
          <w:u w:val="single"/>
        </w:rPr>
        <w:t>文件人员信息清单一致</w:t>
      </w:r>
      <w:bookmarkEnd w:id="3"/>
      <w:r>
        <w:rPr>
          <w:rFonts w:hint="eastAsia" w:ascii="宋体" w:hAnsi="宋体" w:eastAsia="宋体" w:cs="仿宋"/>
          <w:color w:val="auto"/>
          <w:sz w:val="24"/>
          <w:szCs w:val="24"/>
          <w:highlight w:val="none"/>
          <w:u w:val="single"/>
        </w:rPr>
        <w:t>。</w:t>
      </w:r>
    </w:p>
    <w:p>
      <w:pPr>
        <w:pStyle w:val="30"/>
        <w:ind w:firstLine="439" w:firstLineChars="183"/>
        <w:rPr>
          <w:rFonts w:ascii="宋体" w:hAnsi="宋体" w:eastAsia="宋体" w:cs="仿宋"/>
          <w:color w:val="auto"/>
          <w:highlight w:val="none"/>
          <w:u w:val="single"/>
        </w:rPr>
      </w:pPr>
      <w:r>
        <w:rPr>
          <w:rFonts w:ascii="宋体" w:hAnsi="宋体" w:eastAsia="宋体" w:cs="仿宋"/>
          <w:color w:val="auto"/>
          <w:highlight w:val="none"/>
          <w:u w:val="single"/>
        </w:rPr>
        <w:t>2.商务履约内容</w:t>
      </w:r>
    </w:p>
    <w:p>
      <w:pPr>
        <w:pStyle w:val="31"/>
        <w:spacing w:line="360" w:lineRule="auto"/>
        <w:ind w:firstLine="480"/>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1</w:t>
      </w:r>
      <w:r>
        <w:rPr>
          <w:rFonts w:hint="eastAsia" w:ascii="宋体" w:hAnsi="宋体" w:eastAsia="宋体" w:cs="仿宋"/>
          <w:color w:val="auto"/>
          <w:sz w:val="24"/>
          <w:szCs w:val="24"/>
          <w:highlight w:val="none"/>
          <w:u w:val="single"/>
        </w:rPr>
        <w:t>）服务周期满足采购要求。</w:t>
      </w:r>
    </w:p>
    <w:p>
      <w:pPr>
        <w:pStyle w:val="31"/>
        <w:spacing w:after="157" w:line="360" w:lineRule="auto"/>
        <w:ind w:firstLine="480"/>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3.</w:t>
      </w:r>
      <w:r>
        <w:rPr>
          <w:rFonts w:hint="eastAsia" w:ascii="宋体" w:hAnsi="宋体" w:eastAsia="宋体" w:cs="仿宋"/>
          <w:color w:val="auto"/>
          <w:sz w:val="24"/>
          <w:szCs w:val="24"/>
          <w:highlight w:val="none"/>
          <w:u w:val="single"/>
        </w:rPr>
        <w:t>验收标准</w:t>
      </w:r>
    </w:p>
    <w:p>
      <w:pPr>
        <w:pStyle w:val="12"/>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1</w:t>
      </w:r>
      <w:r>
        <w:rPr>
          <w:rFonts w:hint="eastAsia" w:ascii="宋体" w:hAnsi="宋体" w:eastAsia="宋体" w:cs="仿宋"/>
          <w:color w:val="auto"/>
          <w:sz w:val="24"/>
          <w:szCs w:val="24"/>
          <w:highlight w:val="none"/>
          <w:u w:val="single"/>
        </w:rPr>
        <w:t>）满足所有采购需求及响应文件承诺；</w:t>
      </w:r>
    </w:p>
    <w:p>
      <w:pPr>
        <w:pStyle w:val="12"/>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2）拟投服务团队人员全部到位，与</w:t>
      </w:r>
      <w:r>
        <w:rPr>
          <w:rFonts w:hint="eastAsia" w:ascii="宋体" w:hAnsi="宋体" w:eastAsia="宋体" w:cs="仿宋"/>
          <w:color w:val="auto"/>
          <w:sz w:val="24"/>
          <w:szCs w:val="24"/>
          <w:highlight w:val="none"/>
          <w:u w:val="single"/>
        </w:rPr>
        <w:t>响应</w:t>
      </w:r>
      <w:r>
        <w:rPr>
          <w:rFonts w:ascii="宋体" w:hAnsi="宋体" w:eastAsia="宋体" w:cs="仿宋"/>
          <w:color w:val="auto"/>
          <w:sz w:val="24"/>
          <w:szCs w:val="24"/>
          <w:highlight w:val="none"/>
          <w:u w:val="single"/>
        </w:rPr>
        <w:t>文件人员信息清单一致；</w:t>
      </w:r>
    </w:p>
    <w:p>
      <w:pPr>
        <w:pStyle w:val="12"/>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3</w:t>
      </w:r>
      <w:r>
        <w:rPr>
          <w:rFonts w:hint="eastAsia" w:ascii="宋体" w:hAnsi="宋体" w:eastAsia="宋体" w:cs="仿宋"/>
          <w:color w:val="auto"/>
          <w:sz w:val="24"/>
          <w:szCs w:val="24"/>
          <w:highlight w:val="none"/>
          <w:u w:val="single"/>
        </w:rPr>
        <w:t>）项目验收资料齐全；</w:t>
      </w:r>
    </w:p>
    <w:p>
      <w:pPr>
        <w:pStyle w:val="12"/>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4</w:t>
      </w:r>
      <w:r>
        <w:rPr>
          <w:rFonts w:hint="eastAsia" w:ascii="宋体" w:hAnsi="宋体" w:eastAsia="宋体" w:cs="仿宋"/>
          <w:color w:val="auto"/>
          <w:sz w:val="24"/>
          <w:szCs w:val="24"/>
          <w:highlight w:val="none"/>
          <w:u w:val="single"/>
        </w:rPr>
        <w:t>）考核。</w:t>
      </w:r>
    </w:p>
    <w:p>
      <w:pPr>
        <w:spacing w:line="360" w:lineRule="auto"/>
        <w:ind w:firstLine="480" w:firstLineChars="200"/>
        <w:jc w:val="left"/>
        <w:rPr>
          <w:rFonts w:ascii="宋体" w:hAnsi="宋体" w:eastAsia="宋体" w:cs="仿宋"/>
          <w:color w:val="auto"/>
          <w:sz w:val="24"/>
          <w:highlight w:val="none"/>
          <w:u w:val="single"/>
        </w:rPr>
      </w:pPr>
      <w:r>
        <w:rPr>
          <w:rFonts w:ascii="宋体" w:hAnsi="宋体" w:eastAsia="宋体" w:cs="仿宋"/>
          <w:color w:val="auto"/>
          <w:sz w:val="24"/>
          <w:highlight w:val="none"/>
          <w:u w:val="single"/>
        </w:rPr>
        <w:t>4.</w:t>
      </w:r>
      <w:r>
        <w:rPr>
          <w:rFonts w:hint="eastAsia" w:ascii="宋体" w:hAnsi="宋体" w:eastAsia="宋体" w:cs="仿宋"/>
          <w:color w:val="auto"/>
          <w:sz w:val="24"/>
          <w:highlight w:val="none"/>
          <w:u w:val="single"/>
        </w:rPr>
        <w:t>履约验收其他事项</w:t>
      </w:r>
    </w:p>
    <w:p>
      <w:pPr>
        <w:pStyle w:val="31"/>
        <w:spacing w:after="157" w:line="360" w:lineRule="auto"/>
        <w:ind w:firstLine="48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u w:val="single"/>
        </w:rPr>
        <w:t>（</w:t>
      </w:r>
      <w:r>
        <w:rPr>
          <w:rFonts w:ascii="宋体" w:hAnsi="宋体" w:eastAsia="宋体" w:cs="仿宋"/>
          <w:color w:val="auto"/>
          <w:sz w:val="24"/>
          <w:szCs w:val="24"/>
          <w:highlight w:val="none"/>
          <w:u w:val="single"/>
        </w:rPr>
        <w:t>1）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p>
      <w:pPr>
        <w:pStyle w:val="31"/>
        <w:spacing w:after="157" w:line="360" w:lineRule="auto"/>
        <w:ind w:firstLine="48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u w:val="single"/>
        </w:rPr>
        <w:t>（</w:t>
      </w:r>
      <w:r>
        <w:rPr>
          <w:rFonts w:ascii="宋体" w:hAnsi="宋体" w:eastAsia="宋体" w:cs="仿宋"/>
          <w:color w:val="auto"/>
          <w:sz w:val="24"/>
          <w:szCs w:val="24"/>
          <w:highlight w:val="none"/>
          <w:u w:val="single"/>
        </w:rPr>
        <w:t>2）乙方服务成果未通过甲方验收，甲方有权要求乙方进行整改，相关费用</w:t>
      </w:r>
      <w:r>
        <w:rPr>
          <w:rFonts w:hint="eastAsia" w:ascii="宋体" w:hAnsi="宋体" w:eastAsia="宋体" w:cs="仿宋"/>
          <w:color w:val="auto"/>
          <w:sz w:val="24"/>
          <w:szCs w:val="24"/>
          <w:highlight w:val="none"/>
          <w:u w:val="single"/>
        </w:rPr>
        <w:t>（包括但不限于重新组织验收等费用）</w:t>
      </w:r>
      <w:r>
        <w:rPr>
          <w:rFonts w:ascii="宋体" w:hAnsi="宋体" w:eastAsia="宋体" w:cs="仿宋"/>
          <w:color w:val="auto"/>
          <w:sz w:val="24"/>
          <w:szCs w:val="24"/>
          <w:highlight w:val="none"/>
          <w:u w:val="single"/>
        </w:rPr>
        <w:t>由乙方承担；如乙方</w:t>
      </w:r>
      <w:r>
        <w:rPr>
          <w:rFonts w:hint="eastAsia" w:ascii="宋体" w:hAnsi="宋体" w:eastAsia="宋体" w:cs="仿宋"/>
          <w:color w:val="auto"/>
          <w:sz w:val="24"/>
          <w:szCs w:val="24"/>
          <w:highlight w:val="none"/>
          <w:u w:val="single"/>
        </w:rPr>
        <w:t>未在甲方要求期限内整改或整改后仍不合格或已经无法整改的，甲方有权要求乙方承担相应的违约责任。</w:t>
      </w:r>
    </w:p>
    <w:bookmarkEnd w:id="2"/>
    <w:p>
      <w:pPr>
        <w:spacing w:line="360" w:lineRule="auto"/>
        <w:ind w:firstLine="480" w:firstLineChars="200"/>
        <w:jc w:val="left"/>
        <w:rPr>
          <w:rFonts w:ascii="宋体" w:hAnsi="宋体" w:eastAsia="宋体"/>
          <w:color w:val="auto"/>
          <w:sz w:val="24"/>
          <w:highlight w:val="none"/>
          <w:u w:val="single"/>
        </w:rPr>
      </w:pPr>
      <w:r>
        <w:rPr>
          <w:rFonts w:ascii="宋体" w:hAnsi="宋体" w:eastAsia="宋体"/>
          <w:iCs/>
          <w:color w:val="auto"/>
          <w:sz w:val="24"/>
          <w:highlight w:val="none"/>
        </w:rPr>
        <w:t>8.质量保修范围和保修期：</w:t>
      </w:r>
      <w:r>
        <w:rPr>
          <w:rFonts w:hint="eastAsia" w:ascii="宋体" w:hAnsi="宋体" w:eastAsia="宋体"/>
          <w:color w:val="auto"/>
          <w:sz w:val="24"/>
          <w:highlight w:val="none"/>
          <w:u w:val="single"/>
        </w:rPr>
        <w:t>本项目不涉及。</w:t>
      </w:r>
    </w:p>
    <w:p>
      <w:pPr>
        <w:spacing w:line="360" w:lineRule="auto"/>
        <w:ind w:firstLine="480" w:firstLineChars="200"/>
        <w:jc w:val="left"/>
        <w:rPr>
          <w:rFonts w:ascii="宋体" w:hAnsi="宋体" w:eastAsia="宋体"/>
          <w:iCs/>
          <w:color w:val="auto"/>
          <w:sz w:val="24"/>
          <w:highlight w:val="none"/>
          <w:u w:val="single"/>
        </w:rPr>
      </w:pPr>
      <w:r>
        <w:rPr>
          <w:rFonts w:ascii="宋体" w:hAnsi="宋体" w:eastAsia="宋体"/>
          <w:iCs/>
          <w:color w:val="auto"/>
          <w:sz w:val="24"/>
          <w:highlight w:val="none"/>
        </w:rPr>
        <w:t>9.知识产权归属、处理方式：</w:t>
      </w:r>
      <w:r>
        <w:rPr>
          <w:rFonts w:hint="eastAsia" w:ascii="宋体" w:hAnsi="宋体" w:eastAsia="宋体"/>
          <w:color w:val="auto"/>
          <w:sz w:val="24"/>
          <w:highlight w:val="none"/>
          <w:u w:val="single"/>
        </w:rPr>
        <w:t>归采购人所有。</w:t>
      </w:r>
    </w:p>
    <w:p>
      <w:pPr>
        <w:spacing w:line="360" w:lineRule="auto"/>
        <w:ind w:firstLine="480" w:firstLineChars="200"/>
        <w:jc w:val="left"/>
        <w:rPr>
          <w:rFonts w:ascii="宋体" w:hAnsi="宋体" w:eastAsia="宋体"/>
          <w:iCs/>
          <w:color w:val="auto"/>
          <w:sz w:val="24"/>
          <w:highlight w:val="none"/>
        </w:rPr>
      </w:pPr>
      <w:r>
        <w:rPr>
          <w:rFonts w:ascii="宋体" w:hAnsi="宋体" w:eastAsia="宋体"/>
          <w:iCs/>
          <w:color w:val="auto"/>
          <w:sz w:val="24"/>
          <w:highlight w:val="none"/>
        </w:rPr>
        <w:t>10.成本补偿、风险分担约定</w:t>
      </w:r>
    </w:p>
    <w:p>
      <w:pPr>
        <w:spacing w:line="360" w:lineRule="auto"/>
        <w:ind w:firstLine="480" w:firstLineChars="200"/>
        <w:jc w:val="left"/>
        <w:rPr>
          <w:rFonts w:ascii="宋体" w:hAnsi="宋体" w:eastAsia="宋体"/>
          <w:color w:val="auto"/>
          <w:sz w:val="24"/>
          <w:highlight w:val="none"/>
          <w:u w:val="single"/>
        </w:rPr>
      </w:pPr>
      <w:r>
        <w:rPr>
          <w:rFonts w:hint="eastAsia" w:ascii="宋体" w:hAnsi="宋体" w:eastAsia="宋体"/>
          <w:color w:val="auto"/>
          <w:sz w:val="24"/>
          <w:highlight w:val="none"/>
          <w:u w:val="single"/>
        </w:rPr>
        <w:t>如中标供应商在合同履行期内配送的食材引起重大事故的，经鉴定为配送单位食材质量问题的，由配送单位承担相应法律责任并终止合同。</w:t>
      </w:r>
    </w:p>
    <w:p>
      <w:pPr>
        <w:spacing w:line="360" w:lineRule="auto"/>
        <w:ind w:firstLine="480" w:firstLineChars="200"/>
        <w:jc w:val="left"/>
        <w:rPr>
          <w:rFonts w:ascii="宋体" w:hAnsi="宋体" w:eastAsia="宋体"/>
          <w:iCs/>
          <w:color w:val="auto"/>
          <w:sz w:val="24"/>
          <w:highlight w:val="none"/>
        </w:rPr>
      </w:pPr>
      <w:r>
        <w:rPr>
          <w:rFonts w:ascii="宋体" w:hAnsi="宋体" w:eastAsia="宋体"/>
          <w:iCs/>
          <w:color w:val="auto"/>
          <w:sz w:val="24"/>
          <w:highlight w:val="none"/>
        </w:rPr>
        <w:t>11.违约责任与解决争议的方法：</w:t>
      </w:r>
    </w:p>
    <w:p>
      <w:pPr>
        <w:pStyle w:val="48"/>
        <w:snapToGrid w:val="0"/>
        <w:spacing w:line="360" w:lineRule="auto"/>
        <w:ind w:firstLine="480" w:firstLineChars="200"/>
        <w:rPr>
          <w:rFonts w:ascii="宋体" w:hAnsi="宋体" w:eastAsia="宋体"/>
          <w:color w:val="auto"/>
          <w:sz w:val="24"/>
          <w:szCs w:val="24"/>
          <w:highlight w:val="none"/>
          <w:u w:val="single"/>
        </w:rPr>
      </w:pPr>
      <w:r>
        <w:rPr>
          <w:rFonts w:ascii="宋体" w:hAnsi="宋体" w:eastAsia="宋体"/>
          <w:color w:val="auto"/>
          <w:sz w:val="24"/>
          <w:szCs w:val="24"/>
          <w:highlight w:val="none"/>
          <w:u w:val="single"/>
        </w:rPr>
        <w:t>11.1</w:t>
      </w:r>
      <w:r>
        <w:rPr>
          <w:rFonts w:hint="eastAsia" w:ascii="宋体" w:hAnsi="宋体" w:eastAsia="宋体"/>
          <w:color w:val="auto"/>
          <w:sz w:val="24"/>
          <w:szCs w:val="24"/>
          <w:highlight w:val="none"/>
          <w:u w:val="single"/>
        </w:rPr>
        <w:t>甲方无正当理由拒收接受服务的，甲方向乙方偿付合同款项百分之</w:t>
      </w:r>
      <w:r>
        <w:rPr>
          <w:rFonts w:hint="eastAsia" w:ascii="宋体" w:hAnsi="宋体"/>
          <w:color w:val="auto"/>
          <w:sz w:val="24"/>
          <w:szCs w:val="24"/>
          <w:highlight w:val="none"/>
          <w:u w:val="single"/>
          <w:lang w:val="en-US" w:eastAsia="zh-CN"/>
        </w:rPr>
        <w:t>三</w:t>
      </w:r>
      <w:r>
        <w:rPr>
          <w:rFonts w:hint="eastAsia" w:ascii="宋体" w:hAnsi="宋体" w:eastAsia="宋体"/>
          <w:color w:val="auto"/>
          <w:sz w:val="24"/>
          <w:szCs w:val="24"/>
          <w:highlight w:val="none"/>
          <w:u w:val="single"/>
        </w:rPr>
        <w:t>作为违约金。</w:t>
      </w:r>
    </w:p>
    <w:p>
      <w:pPr>
        <w:pStyle w:val="48"/>
        <w:snapToGrid w:val="0"/>
        <w:spacing w:line="360" w:lineRule="auto"/>
        <w:ind w:firstLine="480" w:firstLineChars="200"/>
        <w:rPr>
          <w:rFonts w:ascii="宋体" w:hAnsi="宋体" w:eastAsia="宋体"/>
          <w:color w:val="auto"/>
          <w:sz w:val="24"/>
          <w:szCs w:val="24"/>
          <w:highlight w:val="none"/>
          <w:u w:val="single"/>
        </w:rPr>
      </w:pPr>
      <w:r>
        <w:rPr>
          <w:rFonts w:ascii="宋体" w:hAnsi="宋体" w:eastAsia="宋体"/>
          <w:color w:val="auto"/>
          <w:sz w:val="24"/>
          <w:szCs w:val="24"/>
          <w:highlight w:val="none"/>
          <w:u w:val="single"/>
        </w:rPr>
        <w:t>11.2</w:t>
      </w:r>
      <w:r>
        <w:rPr>
          <w:rFonts w:hint="eastAsia" w:ascii="宋体" w:hAnsi="宋体" w:eastAsia="宋体"/>
          <w:color w:val="auto"/>
          <w:sz w:val="24"/>
          <w:szCs w:val="24"/>
          <w:highlight w:val="none"/>
          <w:u w:val="single"/>
        </w:rPr>
        <w:t>甲方无故逾期验收和办理款项支付手续的，甲方应按逾期付款总额每日万分之五向乙方支付违约金，赔付上</w:t>
      </w:r>
      <w:r>
        <w:rPr>
          <w:rFonts w:hint="eastAsia" w:ascii="宋体" w:hAnsi="宋体"/>
          <w:color w:val="auto"/>
          <w:sz w:val="24"/>
          <w:szCs w:val="24"/>
          <w:highlight w:val="none"/>
          <w:u w:val="single"/>
          <w:lang w:val="en-US" w:eastAsia="zh-CN"/>
        </w:rPr>
        <w:t>限</w:t>
      </w:r>
      <w:r>
        <w:rPr>
          <w:rFonts w:hint="eastAsia" w:ascii="宋体" w:hAnsi="宋体" w:eastAsia="宋体"/>
          <w:color w:val="auto"/>
          <w:sz w:val="24"/>
          <w:szCs w:val="24"/>
          <w:highlight w:val="none"/>
          <w:u w:val="single"/>
        </w:rPr>
        <w:t>为合同总额的百分之五。</w:t>
      </w:r>
    </w:p>
    <w:p>
      <w:pPr>
        <w:pStyle w:val="48"/>
        <w:snapToGrid w:val="0"/>
        <w:spacing w:line="360" w:lineRule="auto"/>
        <w:ind w:firstLine="480" w:firstLineChars="200"/>
        <w:rPr>
          <w:rFonts w:ascii="宋体" w:hAnsi="宋体" w:eastAsia="宋体"/>
          <w:color w:val="auto"/>
          <w:sz w:val="24"/>
          <w:szCs w:val="24"/>
          <w:highlight w:val="none"/>
          <w:u w:val="single"/>
        </w:rPr>
      </w:pPr>
      <w:r>
        <w:rPr>
          <w:rFonts w:ascii="宋体" w:hAnsi="宋体" w:eastAsia="宋体"/>
          <w:color w:val="auto"/>
          <w:sz w:val="24"/>
          <w:szCs w:val="24"/>
          <w:highlight w:val="none"/>
          <w:u w:val="single"/>
        </w:rPr>
        <w:t>11.3</w:t>
      </w:r>
      <w:r>
        <w:rPr>
          <w:rFonts w:hint="eastAsia" w:ascii="宋体" w:hAnsi="宋体" w:eastAsia="宋体"/>
          <w:color w:val="auto"/>
          <w:sz w:val="24"/>
          <w:szCs w:val="24"/>
          <w:highlight w:val="none"/>
          <w:u w:val="single"/>
        </w:rPr>
        <w:t>乙方未能如期提供服务的，每逾期一日向甲方支付合同款项的万分之五作为违约金，赔付上</w:t>
      </w:r>
      <w:r>
        <w:rPr>
          <w:rFonts w:hint="eastAsia" w:ascii="宋体" w:hAnsi="宋体"/>
          <w:color w:val="auto"/>
          <w:sz w:val="24"/>
          <w:szCs w:val="24"/>
          <w:highlight w:val="none"/>
          <w:u w:val="single"/>
          <w:lang w:val="en-US" w:eastAsia="zh-CN"/>
        </w:rPr>
        <w:t>限</w:t>
      </w:r>
      <w:r>
        <w:rPr>
          <w:rFonts w:hint="eastAsia" w:ascii="宋体" w:hAnsi="宋体" w:eastAsia="宋体"/>
          <w:color w:val="auto"/>
          <w:sz w:val="24"/>
          <w:szCs w:val="24"/>
          <w:highlight w:val="none"/>
          <w:u w:val="single"/>
        </w:rPr>
        <w:t>为合同总额的百分之五。</w:t>
      </w:r>
    </w:p>
    <w:p>
      <w:pPr>
        <w:pStyle w:val="48"/>
        <w:snapToGrid w:val="0"/>
        <w:spacing w:line="360" w:lineRule="auto"/>
        <w:ind w:firstLine="480" w:firstLineChars="200"/>
        <w:rPr>
          <w:rFonts w:ascii="宋体" w:hAnsi="宋体" w:eastAsia="宋体"/>
          <w:color w:val="auto"/>
          <w:sz w:val="24"/>
          <w:szCs w:val="24"/>
          <w:highlight w:val="none"/>
          <w:u w:val="single"/>
        </w:rPr>
      </w:pPr>
      <w:r>
        <w:rPr>
          <w:rFonts w:ascii="宋体" w:hAnsi="宋体" w:eastAsia="宋体"/>
          <w:color w:val="auto"/>
          <w:sz w:val="24"/>
          <w:szCs w:val="24"/>
          <w:highlight w:val="none"/>
          <w:u w:val="single"/>
        </w:rPr>
        <w:t>11.4</w:t>
      </w:r>
      <w:r>
        <w:rPr>
          <w:rFonts w:hint="eastAsia" w:ascii="宋体" w:hAnsi="宋体" w:eastAsia="宋体"/>
          <w:color w:val="auto"/>
          <w:sz w:val="24"/>
          <w:szCs w:val="24"/>
          <w:highlight w:val="none"/>
          <w:u w:val="single"/>
        </w:rPr>
        <w:t>乙方因未能如期提供服务或因其他违约行为导致甲方解除合同的，乙方应向甲方支付合同款项的百分之五违约金。</w:t>
      </w:r>
    </w:p>
    <w:p>
      <w:pPr>
        <w:pStyle w:val="8"/>
        <w:ind w:firstLine="480" w:firstLineChars="200"/>
        <w:rPr>
          <w:rFonts w:ascii="宋体" w:hAnsi="宋体" w:eastAsia="宋体"/>
          <w:color w:val="auto"/>
          <w:highlight w:val="none"/>
          <w:u w:val="single"/>
        </w:rPr>
      </w:pPr>
      <w:r>
        <w:rPr>
          <w:rFonts w:ascii="宋体" w:hAnsi="宋体" w:eastAsia="宋体" w:cs="宋体"/>
          <w:color w:val="auto"/>
          <w:sz w:val="24"/>
          <w:highlight w:val="none"/>
          <w:u w:val="single"/>
        </w:rPr>
        <w:t>11.</w:t>
      </w:r>
      <w:r>
        <w:rPr>
          <w:rFonts w:hint="eastAsia" w:ascii="宋体" w:hAnsi="宋体" w:eastAsia="宋体" w:cs="宋体"/>
          <w:color w:val="auto"/>
          <w:sz w:val="24"/>
          <w:highlight w:val="none"/>
          <w:u w:val="single"/>
          <w:lang w:val="en-US" w:eastAsia="zh-CN"/>
        </w:rPr>
        <w:t>5</w:t>
      </w:r>
      <w:r>
        <w:rPr>
          <w:rFonts w:hint="eastAsia" w:ascii="宋体" w:hAnsi="宋体" w:eastAsia="宋体"/>
          <w:color w:val="auto"/>
          <w:sz w:val="24"/>
          <w:highlight w:val="none"/>
          <w:u w:val="single"/>
        </w:rPr>
        <w:t>双方在执行合同中所发生的一切争议，应通过协商解决。如协商不成，可向甲方所在地法院起诉。</w:t>
      </w:r>
    </w:p>
    <w:p>
      <w:pPr>
        <w:spacing w:line="360" w:lineRule="auto"/>
        <w:ind w:firstLine="480" w:firstLineChars="200"/>
        <w:jc w:val="left"/>
        <w:rPr>
          <w:rFonts w:ascii="宋体" w:hAnsi="宋体" w:eastAsia="宋体"/>
          <w:iCs/>
          <w:color w:val="auto"/>
          <w:sz w:val="24"/>
          <w:highlight w:val="none"/>
        </w:rPr>
      </w:pPr>
      <w:r>
        <w:rPr>
          <w:rFonts w:ascii="宋体" w:hAnsi="宋体" w:eastAsia="宋体"/>
          <w:iCs/>
          <w:color w:val="auto"/>
          <w:sz w:val="24"/>
          <w:highlight w:val="none"/>
        </w:rPr>
        <w:t>12.其他条款</w:t>
      </w:r>
    </w:p>
    <w:p>
      <w:pPr>
        <w:snapToGrid w:val="0"/>
        <w:spacing w:line="360" w:lineRule="auto"/>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u w:val="single"/>
        </w:rPr>
        <w:t>12.1</w:t>
      </w:r>
      <w:r>
        <w:rPr>
          <w:rFonts w:hint="eastAsia" w:ascii="宋体" w:hAnsi="宋体" w:eastAsia="宋体" w:cs="宋体"/>
          <w:color w:val="auto"/>
          <w:sz w:val="24"/>
          <w:highlight w:val="none"/>
          <w:u w:val="single"/>
        </w:rPr>
        <w:t>本合同有效期自     年     月    日起至     年    月    日止。</w:t>
      </w:r>
    </w:p>
    <w:p>
      <w:pPr>
        <w:snapToGrid w:val="0"/>
        <w:spacing w:line="360" w:lineRule="auto"/>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u w:val="single"/>
        </w:rPr>
        <w:t>12.2</w:t>
      </w:r>
      <w:r>
        <w:rPr>
          <w:rFonts w:hint="eastAsia" w:ascii="宋体" w:hAnsi="宋体" w:eastAsia="宋体" w:cs="宋体"/>
          <w:color w:val="auto"/>
          <w:sz w:val="24"/>
          <w:highlight w:val="none"/>
          <w:u w:val="single"/>
        </w:rPr>
        <w:t>双方应本着真诚友好协商的原则，解决本合同执行过程中所遇到的争议，未尽事宜，双方协商解决。协商不成时，双方同意依法向甲方所在地的人民法院起诉。</w:t>
      </w:r>
    </w:p>
    <w:p>
      <w:pPr>
        <w:snapToGrid w:val="0"/>
        <w:spacing w:line="360" w:lineRule="auto"/>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u w:val="single"/>
        </w:rPr>
        <w:t>12.3</w:t>
      </w:r>
      <w:r>
        <w:rPr>
          <w:rFonts w:hint="eastAsia" w:ascii="宋体" w:hAnsi="宋体" w:eastAsia="宋体" w:cs="宋体"/>
          <w:color w:val="auto"/>
          <w:sz w:val="24"/>
          <w:highlight w:val="none"/>
          <w:u w:val="single"/>
        </w:rPr>
        <w:t>本协议一式     份，甲乙双方各执     份，具有同等法律效力。</w:t>
      </w:r>
    </w:p>
    <w:p>
      <w:pPr>
        <w:snapToGrid w:val="0"/>
        <w:spacing w:line="360" w:lineRule="auto"/>
        <w:ind w:firstLine="482" w:firstLineChars="200"/>
        <w:rPr>
          <w:rFonts w:ascii="宋体" w:hAnsi="宋体" w:eastAsia="宋体" w:cs="宋体"/>
          <w:b/>
          <w:bCs/>
          <w:color w:val="auto"/>
          <w:sz w:val="24"/>
          <w:highlight w:val="none"/>
          <w:u w:val="single"/>
        </w:rPr>
      </w:pPr>
      <w:r>
        <w:rPr>
          <w:rFonts w:ascii="宋体" w:hAnsi="宋体" w:eastAsia="宋体" w:cs="宋体"/>
          <w:b/>
          <w:bCs/>
          <w:color w:val="auto"/>
          <w:sz w:val="24"/>
          <w:highlight w:val="none"/>
          <w:u w:val="single"/>
        </w:rPr>
        <w:t>12.4</w:t>
      </w:r>
      <w:r>
        <w:rPr>
          <w:rFonts w:hint="eastAsia" w:ascii="宋体" w:hAnsi="宋体" w:eastAsia="宋体" w:cs="宋体"/>
          <w:b/>
          <w:bCs/>
          <w:color w:val="auto"/>
          <w:sz w:val="24"/>
          <w:highlight w:val="none"/>
          <w:u w:val="single"/>
        </w:rPr>
        <w:t>本合同自双方签字盖章后生效。　</w:t>
      </w:r>
    </w:p>
    <w:p>
      <w:pPr>
        <w:snapToGrid w:val="0"/>
        <w:spacing w:line="360" w:lineRule="auto"/>
        <w:ind w:firstLine="480" w:firstLineChars="200"/>
        <w:rPr>
          <w:rFonts w:ascii="宋体" w:hAnsi="宋体" w:eastAsia="宋体" w:cs="宋体"/>
          <w:color w:val="auto"/>
          <w:kern w:val="0"/>
          <w:sz w:val="24"/>
          <w:highlight w:val="none"/>
          <w:u w:val="single"/>
        </w:rPr>
      </w:pPr>
      <w:r>
        <w:rPr>
          <w:rFonts w:ascii="宋体" w:hAnsi="宋体" w:eastAsia="宋体" w:cs="宋体"/>
          <w:color w:val="auto"/>
          <w:sz w:val="24"/>
          <w:highlight w:val="none"/>
          <w:u w:val="single"/>
        </w:rPr>
        <w:t>12.5</w:t>
      </w:r>
      <w:r>
        <w:rPr>
          <w:rFonts w:hint="eastAsia" w:ascii="宋体" w:hAnsi="宋体" w:eastAsia="宋体" w:cs="宋体"/>
          <w:color w:val="auto"/>
          <w:sz w:val="24"/>
          <w:highlight w:val="none"/>
          <w:u w:val="single"/>
        </w:rPr>
        <w:t>采购文件</w:t>
      </w:r>
      <w:r>
        <w:rPr>
          <w:rFonts w:hint="eastAsia" w:ascii="宋体" w:hAnsi="宋体" w:eastAsia="宋体" w:cs="宋体"/>
          <w:color w:val="auto"/>
          <w:kern w:val="0"/>
          <w:sz w:val="24"/>
          <w:highlight w:val="none"/>
          <w:u w:val="single"/>
        </w:rPr>
        <w:t>、补充文件、中标通知书、询标纪要及承诺、投标文件等均是本合同不可分割的部分。</w:t>
      </w:r>
    </w:p>
    <w:p>
      <w:pPr>
        <w:pStyle w:val="28"/>
        <w:snapToGrid w:val="0"/>
        <w:spacing w:before="0"/>
        <w:ind w:firstLine="424" w:firstLineChars="177"/>
        <w:rPr>
          <w:rFonts w:ascii="宋体" w:hAnsi="宋体" w:eastAsia="宋体" w:cs="仿宋_GB2312"/>
          <w:color w:val="auto"/>
          <w:kern w:val="0"/>
          <w:szCs w:val="24"/>
          <w:highlight w:val="none"/>
          <w:u w:val="single"/>
          <w:lang w:val="zh-CN"/>
        </w:rPr>
      </w:pPr>
      <w:r>
        <w:rPr>
          <w:rFonts w:ascii="宋体" w:hAnsi="宋体" w:eastAsia="宋体"/>
          <w:color w:val="auto"/>
          <w:szCs w:val="24"/>
          <w:highlight w:val="none"/>
          <w:u w:val="single"/>
        </w:rPr>
        <w:t xml:space="preserve"> 12.6</w:t>
      </w:r>
      <w:r>
        <w:rPr>
          <w:rFonts w:hint="eastAsia" w:ascii="宋体" w:hAnsi="宋体" w:eastAsia="宋体" w:cs="仿宋_GB2312"/>
          <w:color w:val="auto"/>
          <w:kern w:val="0"/>
          <w:szCs w:val="24"/>
          <w:highlight w:val="none"/>
          <w:u w:val="single"/>
          <w:lang w:val="zh-CN"/>
        </w:rPr>
        <w:t>合同签订依据为相关法律法规文件、招标文件、乙方投标文件等，合同条款与前者冲突的，以前者为准。</w:t>
      </w:r>
    </w:p>
    <w:p>
      <w:pPr>
        <w:autoSpaceDE w:val="0"/>
        <w:autoSpaceDN w:val="0"/>
        <w:snapToGrid w:val="0"/>
        <w:spacing w:line="360" w:lineRule="auto"/>
        <w:ind w:firstLine="480" w:firstLineChars="200"/>
        <w:jc w:val="left"/>
        <w:rPr>
          <w:rFonts w:ascii="宋体" w:hAnsi="宋体" w:eastAsia="宋体"/>
          <w:color w:val="auto"/>
          <w:kern w:val="0"/>
          <w:sz w:val="24"/>
          <w:highlight w:val="none"/>
          <w:u w:val="single"/>
          <w:lang w:val="zh-CN"/>
        </w:rPr>
      </w:pPr>
    </w:p>
    <w:p>
      <w:pPr>
        <w:spacing w:before="312" w:beforeLines="100" w:line="360" w:lineRule="auto"/>
        <w:jc w:val="left"/>
        <w:rPr>
          <w:rFonts w:ascii="宋体" w:hAnsi="宋体" w:eastAsia="宋体"/>
          <w:b/>
          <w:color w:val="auto"/>
          <w:sz w:val="24"/>
          <w:highlight w:val="none"/>
        </w:rPr>
      </w:pPr>
      <w:r>
        <w:rPr>
          <w:rFonts w:hint="eastAsia" w:ascii="宋体" w:hAnsi="宋体" w:eastAsia="宋体"/>
          <w:b/>
          <w:color w:val="auto"/>
          <w:sz w:val="24"/>
          <w:highlight w:val="none"/>
        </w:rPr>
        <w:t>三、履约验收方案</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（一）履约验收主体</w:t>
      </w:r>
    </w:p>
    <w:p>
      <w:pPr>
        <w:spacing w:line="360" w:lineRule="auto"/>
        <w:ind w:left="420" w:leftChars="200"/>
        <w:jc w:val="left"/>
        <w:rPr>
          <w:rFonts w:ascii="宋体" w:hAnsi="宋体" w:eastAsia="宋体"/>
          <w:color w:val="auto"/>
          <w:sz w:val="24"/>
          <w:highlight w:val="none"/>
          <w:u w:val="single"/>
        </w:rPr>
      </w:pPr>
      <w:r>
        <w:rPr>
          <w:rFonts w:ascii="宋体" w:hAnsi="宋体" w:eastAsia="宋体"/>
          <w:color w:val="auto"/>
          <w:sz w:val="24"/>
          <w:highlight w:val="none"/>
        </w:rPr>
        <w:t>1.采购单位：</w:t>
      </w:r>
      <w:r>
        <w:rPr>
          <w:rFonts w:hint="eastAsia" w:ascii="宋体" w:hAnsi="宋体" w:eastAsia="宋体"/>
          <w:color w:val="auto"/>
          <w:sz w:val="24"/>
          <w:highlight w:val="none"/>
          <w:u w:val="single"/>
          <w:lang w:eastAsia="zh-CN"/>
        </w:rPr>
        <w:t>杭州市临平区塘栖镇人民政府</w:t>
      </w:r>
      <w:r>
        <w:rPr>
          <w:rFonts w:ascii="宋体" w:hAnsi="宋体" w:eastAsia="宋体"/>
          <w:color w:val="auto"/>
          <w:sz w:val="24"/>
          <w:highlight w:val="none"/>
          <w:u w:val="single"/>
        </w:rPr>
        <w:t xml:space="preserve"> </w:t>
      </w:r>
    </w:p>
    <w:p>
      <w:pPr>
        <w:spacing w:line="360" w:lineRule="auto"/>
        <w:ind w:left="420" w:leftChars="200"/>
        <w:jc w:val="left"/>
        <w:rPr>
          <w:rFonts w:ascii="宋体" w:hAnsi="宋体" w:eastAsia="宋体"/>
          <w:color w:val="auto"/>
          <w:sz w:val="24"/>
          <w:highlight w:val="none"/>
          <w:u w:val="single"/>
        </w:rPr>
      </w:pPr>
      <w:r>
        <w:rPr>
          <w:rFonts w:ascii="宋体" w:hAnsi="宋体" w:eastAsia="宋体"/>
          <w:color w:val="auto"/>
          <w:sz w:val="24"/>
          <w:highlight w:val="none"/>
        </w:rPr>
        <w:t>2.是否选择代理机构：</w:t>
      </w:r>
      <w:r>
        <w:rPr>
          <w:rFonts w:hint="eastAsia" w:ascii="宋体" w:hAnsi="宋体"/>
          <w:color w:val="auto"/>
          <w:sz w:val="24"/>
          <w:highlight w:val="none"/>
          <w:lang w:eastAsia="zh-CN"/>
        </w:rPr>
        <w:t>□</w:t>
      </w:r>
      <w:r>
        <w:rPr>
          <w:rFonts w:hint="eastAsia" w:ascii="宋体" w:hAnsi="宋体" w:eastAsia="宋体"/>
          <w:color w:val="auto"/>
          <w:sz w:val="24"/>
          <w:highlight w:val="none"/>
        </w:rPr>
        <w:t>是</w:t>
      </w:r>
      <w:r>
        <w:rPr>
          <w:rFonts w:ascii="宋体" w:hAnsi="宋体" w:eastAsia="宋体"/>
          <w:color w:val="auto"/>
          <w:sz w:val="24"/>
          <w:highlight w:val="none"/>
        </w:rPr>
        <w:tab/>
      </w:r>
      <w:r>
        <w:rPr>
          <w:rFonts w:hint="eastAsia" w:ascii="宋体" w:hAnsi="宋体"/>
          <w:color w:val="auto"/>
          <w:sz w:val="24"/>
          <w:highlight w:val="none"/>
          <w:lang w:eastAsia="zh-CN"/>
        </w:rPr>
        <w:t>☑</w:t>
      </w:r>
      <w:r>
        <w:rPr>
          <w:rFonts w:hint="eastAsia" w:ascii="宋体" w:hAnsi="宋体" w:eastAsia="宋体"/>
          <w:color w:val="auto"/>
          <w:sz w:val="24"/>
          <w:highlight w:val="none"/>
        </w:rPr>
        <w:t>否</w:t>
      </w:r>
    </w:p>
    <w:p>
      <w:pPr>
        <w:spacing w:line="360" w:lineRule="auto"/>
        <w:ind w:left="420" w:leftChars="200"/>
        <w:jc w:val="left"/>
        <w:rPr>
          <w:rFonts w:ascii="宋体" w:hAnsi="宋体" w:eastAsia="宋体"/>
          <w:color w:val="auto"/>
          <w:sz w:val="24"/>
          <w:highlight w:val="none"/>
          <w:u w:val="single"/>
        </w:rPr>
      </w:pPr>
      <w:r>
        <w:rPr>
          <w:rFonts w:ascii="宋体" w:hAnsi="宋体" w:eastAsia="宋体"/>
          <w:color w:val="auto"/>
          <w:sz w:val="24"/>
          <w:highlight w:val="none"/>
        </w:rPr>
        <w:t>3.是否邀请本项目的其他供应商：</w:t>
      </w:r>
      <w:r>
        <w:rPr>
          <w:rFonts w:ascii="宋体" w:hAnsi="宋体" w:eastAsia="宋体"/>
          <w:color w:val="auto"/>
          <w:sz w:val="24"/>
          <w:highlight w:val="none"/>
        </w:rPr>
        <w:tab/>
      </w:r>
      <w:r>
        <w:rPr>
          <w:rFonts w:hint="eastAsia" w:ascii="宋体" w:hAnsi="宋体" w:eastAsia="宋体"/>
          <w:color w:val="auto"/>
          <w:sz w:val="24"/>
          <w:highlight w:val="none"/>
        </w:rPr>
        <w:t>□是</w:t>
      </w:r>
      <w:r>
        <w:rPr>
          <w:rFonts w:ascii="宋体" w:hAnsi="宋体" w:eastAsia="宋体"/>
          <w:color w:val="auto"/>
          <w:sz w:val="24"/>
          <w:highlight w:val="none"/>
        </w:rPr>
        <w:tab/>
      </w:r>
      <w:r>
        <w:rPr>
          <w:rFonts w:hint="eastAsia" w:ascii="宋体" w:hAnsi="宋体"/>
          <w:color w:val="auto"/>
          <w:sz w:val="24"/>
          <w:highlight w:val="none"/>
          <w:lang w:eastAsia="zh-CN"/>
        </w:rPr>
        <w:t>☑</w:t>
      </w:r>
      <w:r>
        <w:rPr>
          <w:rFonts w:hint="eastAsia" w:ascii="宋体" w:hAnsi="宋体" w:eastAsia="宋体"/>
          <w:color w:val="auto"/>
          <w:sz w:val="24"/>
          <w:highlight w:val="none"/>
        </w:rPr>
        <w:t>否</w:t>
      </w:r>
    </w:p>
    <w:p>
      <w:pPr>
        <w:spacing w:line="360" w:lineRule="auto"/>
        <w:ind w:left="420" w:leftChars="200"/>
        <w:jc w:val="left"/>
        <w:rPr>
          <w:rFonts w:ascii="宋体" w:hAnsi="宋体" w:eastAsia="宋体"/>
          <w:color w:val="auto"/>
          <w:sz w:val="24"/>
          <w:highlight w:val="none"/>
        </w:rPr>
      </w:pPr>
      <w:r>
        <w:rPr>
          <w:rFonts w:ascii="宋体" w:hAnsi="宋体" w:eastAsia="宋体"/>
          <w:color w:val="auto"/>
          <w:sz w:val="24"/>
          <w:highlight w:val="none"/>
        </w:rPr>
        <w:t>4.是否邀请专家：</w:t>
      </w:r>
      <w:r>
        <w:rPr>
          <w:rFonts w:ascii="宋体" w:hAnsi="宋体" w:eastAsia="宋体"/>
          <w:color w:val="auto"/>
          <w:sz w:val="24"/>
          <w:highlight w:val="none"/>
        </w:rPr>
        <w:tab/>
      </w:r>
      <w:r>
        <w:rPr>
          <w:rFonts w:hint="eastAsia" w:ascii="宋体" w:hAnsi="宋体"/>
          <w:color w:val="auto"/>
          <w:sz w:val="24"/>
          <w:highlight w:val="none"/>
          <w:lang w:eastAsia="zh-CN"/>
        </w:rPr>
        <w:t>☑</w:t>
      </w:r>
      <w:r>
        <w:rPr>
          <w:rFonts w:hint="eastAsia" w:ascii="宋体" w:hAnsi="宋体" w:eastAsia="宋体"/>
          <w:color w:val="auto"/>
          <w:sz w:val="24"/>
          <w:highlight w:val="none"/>
        </w:rPr>
        <w:t>是</w:t>
      </w:r>
      <w:r>
        <w:rPr>
          <w:rFonts w:ascii="宋体" w:hAnsi="宋体" w:eastAsia="宋体"/>
          <w:color w:val="auto"/>
          <w:sz w:val="24"/>
          <w:highlight w:val="none"/>
        </w:rPr>
        <w:tab/>
      </w:r>
      <w:r>
        <w:rPr>
          <w:rFonts w:hint="eastAsia" w:ascii="宋体" w:hAnsi="宋体" w:eastAsia="宋体"/>
          <w:color w:val="auto"/>
          <w:sz w:val="24"/>
          <w:highlight w:val="none"/>
        </w:rPr>
        <w:t>□否</w:t>
      </w:r>
    </w:p>
    <w:p>
      <w:pPr>
        <w:spacing w:line="360" w:lineRule="auto"/>
        <w:ind w:left="420" w:leftChars="200"/>
        <w:jc w:val="left"/>
        <w:rPr>
          <w:rFonts w:ascii="宋体" w:hAnsi="宋体" w:eastAsia="宋体"/>
          <w:color w:val="auto"/>
          <w:sz w:val="24"/>
          <w:highlight w:val="none"/>
        </w:rPr>
      </w:pPr>
      <w:r>
        <w:rPr>
          <w:rFonts w:ascii="宋体" w:hAnsi="宋体" w:eastAsia="宋体"/>
          <w:color w:val="auto"/>
          <w:sz w:val="24"/>
          <w:highlight w:val="none"/>
        </w:rPr>
        <w:t>5.是否邀请服务对象：</w:t>
      </w:r>
      <w:r>
        <w:rPr>
          <w:rFonts w:ascii="宋体" w:hAnsi="宋体" w:eastAsia="宋体"/>
          <w:color w:val="auto"/>
          <w:sz w:val="24"/>
          <w:highlight w:val="none"/>
        </w:rPr>
        <w:tab/>
      </w:r>
      <w:r>
        <w:rPr>
          <w:rFonts w:hint="eastAsia" w:ascii="宋体" w:hAnsi="宋体" w:eastAsia="宋体"/>
          <w:color w:val="auto"/>
          <w:sz w:val="24"/>
          <w:highlight w:val="none"/>
        </w:rPr>
        <w:t>□是</w:t>
      </w:r>
      <w:r>
        <w:rPr>
          <w:rFonts w:ascii="宋体" w:hAnsi="宋体" w:eastAsia="宋体"/>
          <w:color w:val="auto"/>
          <w:sz w:val="24"/>
          <w:highlight w:val="none"/>
        </w:rPr>
        <w:tab/>
      </w:r>
      <w:r>
        <w:rPr>
          <w:rFonts w:hint="eastAsia" w:ascii="宋体" w:hAnsi="宋体"/>
          <w:color w:val="auto"/>
          <w:sz w:val="24"/>
          <w:highlight w:val="none"/>
          <w:lang w:eastAsia="zh-CN"/>
        </w:rPr>
        <w:t>☑</w:t>
      </w:r>
      <w:r>
        <w:rPr>
          <w:rFonts w:hint="eastAsia" w:ascii="宋体" w:hAnsi="宋体" w:eastAsia="宋体"/>
          <w:color w:val="auto"/>
          <w:sz w:val="24"/>
          <w:highlight w:val="none"/>
        </w:rPr>
        <w:t>否</w:t>
      </w:r>
    </w:p>
    <w:p>
      <w:pPr>
        <w:spacing w:line="360" w:lineRule="auto"/>
        <w:ind w:firstLine="420"/>
        <w:jc w:val="left"/>
        <w:rPr>
          <w:rFonts w:ascii="宋体" w:hAnsi="宋体" w:eastAsia="宋体"/>
          <w:color w:val="auto"/>
          <w:sz w:val="24"/>
          <w:highlight w:val="none"/>
        </w:rPr>
      </w:pPr>
      <w:r>
        <w:rPr>
          <w:rFonts w:ascii="宋体" w:hAnsi="宋体" w:eastAsia="宋体"/>
          <w:color w:val="auto"/>
          <w:sz w:val="24"/>
          <w:highlight w:val="none"/>
        </w:rPr>
        <w:t>6.其他</w:t>
      </w:r>
    </w:p>
    <w:p>
      <w:pPr>
        <w:spacing w:line="360" w:lineRule="auto"/>
        <w:ind w:firstLine="420"/>
        <w:jc w:val="left"/>
        <w:rPr>
          <w:rFonts w:ascii="宋体" w:hAnsi="宋体" w:eastAsia="宋体"/>
          <w:color w:val="auto"/>
          <w:sz w:val="24"/>
          <w:highlight w:val="none"/>
          <w:u w:val="single"/>
        </w:rPr>
      </w:pPr>
      <w:r>
        <w:rPr>
          <w:rFonts w:ascii="宋体" w:hAnsi="宋体" w:eastAsia="宋体"/>
          <w:color w:val="auto"/>
          <w:sz w:val="24"/>
          <w:highlight w:val="none"/>
          <w:u w:val="single"/>
        </w:rPr>
        <w:t xml:space="preserve"> 无。                                                               </w:t>
      </w:r>
    </w:p>
    <w:p>
      <w:pPr>
        <w:spacing w:line="360" w:lineRule="auto"/>
        <w:jc w:val="left"/>
        <w:rPr>
          <w:rFonts w:ascii="宋体" w:hAnsi="宋体" w:eastAsia="宋体"/>
          <w:color w:val="auto"/>
          <w:sz w:val="24"/>
          <w:highlight w:val="none"/>
          <w:u w:val="single"/>
        </w:rPr>
      </w:pPr>
      <w:r>
        <w:rPr>
          <w:rFonts w:hint="eastAsia" w:ascii="宋体" w:hAnsi="宋体" w:eastAsia="宋体"/>
          <w:color w:val="auto"/>
          <w:sz w:val="24"/>
          <w:highlight w:val="none"/>
        </w:rPr>
        <w:t>（二）履约验收时间：</w:t>
      </w:r>
      <w:r>
        <w:rPr>
          <w:rFonts w:ascii="宋体" w:hAnsi="宋体" w:eastAsia="宋体"/>
          <w:color w:val="auto"/>
          <w:sz w:val="24"/>
          <w:highlight w:val="none"/>
          <w:u w:val="single"/>
        </w:rPr>
        <w:t xml:space="preserve"> 项目服务期结束。 </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（三）履约验收方式：</w:t>
      </w:r>
      <w:r>
        <w:rPr>
          <w:rFonts w:ascii="宋体" w:hAnsi="宋体" w:eastAsia="宋体"/>
          <w:color w:val="auto"/>
          <w:sz w:val="24"/>
          <w:highlight w:val="none"/>
        </w:rPr>
        <w:tab/>
      </w:r>
      <w:r>
        <w:rPr>
          <w:rFonts w:hint="eastAsia" w:ascii="宋体" w:hAnsi="宋体" w:eastAsia="宋体"/>
          <w:color w:val="auto"/>
          <w:sz w:val="24"/>
          <w:highlight w:val="none"/>
        </w:rPr>
        <w:t>□简易程序</w:t>
      </w:r>
      <w:r>
        <w:rPr>
          <w:rFonts w:ascii="宋体" w:hAnsi="宋体" w:eastAsia="宋体"/>
          <w:color w:val="auto"/>
          <w:sz w:val="24"/>
          <w:highlight w:val="none"/>
        </w:rPr>
        <w:tab/>
      </w:r>
      <w:r>
        <w:rPr>
          <w:rFonts w:ascii="宋体" w:hAnsi="宋体" w:eastAsia="宋体"/>
          <w:color w:val="auto"/>
          <w:sz w:val="24"/>
          <w:highlight w:val="none"/>
        </w:rPr>
        <w:tab/>
      </w:r>
      <w:r>
        <w:rPr>
          <w:rFonts w:hint="eastAsia" w:ascii="宋体" w:hAnsi="宋体"/>
          <w:color w:val="auto"/>
          <w:sz w:val="24"/>
          <w:highlight w:val="none"/>
          <w:lang w:eastAsia="zh-CN"/>
        </w:rPr>
        <w:t>☑</w:t>
      </w:r>
      <w:r>
        <w:rPr>
          <w:rFonts w:hint="eastAsia" w:ascii="宋体" w:hAnsi="宋体" w:eastAsia="宋体"/>
          <w:color w:val="auto"/>
          <w:sz w:val="24"/>
          <w:highlight w:val="none"/>
        </w:rPr>
        <w:t>一般程序</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（四）履约验收程序：</w:t>
      </w:r>
      <w:r>
        <w:rPr>
          <w:rFonts w:ascii="宋体" w:hAnsi="宋体" w:eastAsia="宋体"/>
          <w:color w:val="auto"/>
          <w:sz w:val="24"/>
          <w:highlight w:val="none"/>
        </w:rPr>
        <w:tab/>
      </w:r>
      <w:r>
        <w:rPr>
          <w:rFonts w:hint="eastAsia" w:ascii="宋体" w:hAnsi="宋体"/>
          <w:color w:val="auto"/>
          <w:sz w:val="24"/>
          <w:highlight w:val="none"/>
          <w:lang w:eastAsia="zh-CN"/>
        </w:rPr>
        <w:t>☑</w:t>
      </w:r>
      <w:r>
        <w:rPr>
          <w:rFonts w:hint="eastAsia" w:ascii="宋体" w:hAnsi="宋体" w:eastAsia="宋体"/>
          <w:color w:val="auto"/>
          <w:sz w:val="24"/>
          <w:highlight w:val="none"/>
        </w:rPr>
        <w:t>一次性验收</w:t>
      </w:r>
      <w:r>
        <w:rPr>
          <w:rFonts w:ascii="宋体" w:hAnsi="宋体" w:eastAsia="宋体"/>
          <w:color w:val="auto"/>
          <w:sz w:val="24"/>
          <w:highlight w:val="none"/>
        </w:rPr>
        <w:tab/>
      </w:r>
      <w:r>
        <w:rPr>
          <w:rFonts w:hint="eastAsia" w:ascii="宋体" w:hAnsi="宋体" w:eastAsia="宋体"/>
          <w:color w:val="auto"/>
          <w:sz w:val="24"/>
          <w:highlight w:val="none"/>
        </w:rPr>
        <w:t>□分段验收</w:t>
      </w:r>
      <w:r>
        <w:rPr>
          <w:rFonts w:ascii="宋体" w:hAnsi="宋体" w:eastAsia="宋体"/>
          <w:color w:val="auto"/>
          <w:sz w:val="24"/>
          <w:highlight w:val="none"/>
        </w:rPr>
        <w:tab/>
      </w:r>
      <w:r>
        <w:rPr>
          <w:rFonts w:ascii="宋体" w:hAnsi="宋体" w:eastAsia="宋体"/>
          <w:color w:val="auto"/>
          <w:sz w:val="24"/>
          <w:highlight w:val="none"/>
        </w:rPr>
        <w:tab/>
      </w:r>
      <w:r>
        <w:rPr>
          <w:rFonts w:hint="eastAsia" w:ascii="宋体" w:hAnsi="宋体" w:eastAsia="宋体"/>
          <w:color w:val="auto"/>
          <w:sz w:val="24"/>
          <w:highlight w:val="none"/>
        </w:rPr>
        <w:t>□分期验收</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（五）履约验收内容</w:t>
      </w:r>
    </w:p>
    <w:p>
      <w:pPr>
        <w:pStyle w:val="12"/>
        <w:spacing w:after="120" w:line="360" w:lineRule="auto"/>
        <w:rPr>
          <w:rFonts w:ascii="宋体" w:hAnsi="宋体" w:eastAsia="宋体" w:cs="仿宋"/>
          <w:color w:val="auto"/>
          <w:sz w:val="24"/>
          <w:szCs w:val="24"/>
          <w:highlight w:val="none"/>
          <w:u w:val="none"/>
        </w:rPr>
      </w:pPr>
      <w:bookmarkStart w:id="4" w:name="_Toc354"/>
      <w:bookmarkStart w:id="5" w:name="_Hlk102914293"/>
      <w:r>
        <w:rPr>
          <w:rFonts w:ascii="宋体" w:hAnsi="宋体" w:eastAsia="宋体" w:cs="仿宋"/>
          <w:color w:val="auto"/>
          <w:sz w:val="24"/>
          <w:szCs w:val="24"/>
          <w:highlight w:val="none"/>
          <w:u w:val="none"/>
        </w:rPr>
        <w:t>1.</w:t>
      </w:r>
      <w:r>
        <w:rPr>
          <w:rFonts w:hint="eastAsia" w:ascii="宋体" w:hAnsi="宋体" w:eastAsia="宋体" w:cs="仿宋"/>
          <w:color w:val="auto"/>
          <w:sz w:val="24"/>
          <w:szCs w:val="24"/>
          <w:highlight w:val="none"/>
          <w:u w:val="none"/>
        </w:rPr>
        <w:t>技术履约内容</w:t>
      </w:r>
    </w:p>
    <w:p>
      <w:pPr>
        <w:pStyle w:val="12"/>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1</w:t>
      </w:r>
      <w:r>
        <w:rPr>
          <w:rFonts w:hint="eastAsia" w:ascii="宋体" w:hAnsi="宋体" w:eastAsia="宋体" w:cs="仿宋"/>
          <w:color w:val="auto"/>
          <w:sz w:val="24"/>
          <w:szCs w:val="24"/>
          <w:highlight w:val="none"/>
          <w:u w:val="single"/>
        </w:rPr>
        <w:t>）满足所有采购需求及响应文件承诺；</w:t>
      </w:r>
    </w:p>
    <w:p>
      <w:pPr>
        <w:pStyle w:val="12"/>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2）拟投服务团队人员全部到位，与</w:t>
      </w:r>
      <w:r>
        <w:rPr>
          <w:rFonts w:hint="eastAsia" w:ascii="宋体" w:hAnsi="宋体" w:eastAsia="宋体" w:cs="仿宋"/>
          <w:color w:val="auto"/>
          <w:sz w:val="24"/>
          <w:szCs w:val="24"/>
          <w:highlight w:val="none"/>
          <w:u w:val="single"/>
        </w:rPr>
        <w:t>响应</w:t>
      </w:r>
      <w:r>
        <w:rPr>
          <w:rFonts w:ascii="宋体" w:hAnsi="宋体" w:eastAsia="宋体" w:cs="仿宋"/>
          <w:color w:val="auto"/>
          <w:sz w:val="24"/>
          <w:szCs w:val="24"/>
          <w:highlight w:val="none"/>
          <w:u w:val="single"/>
        </w:rPr>
        <w:t>文件人员信息清单一致</w:t>
      </w:r>
      <w:r>
        <w:rPr>
          <w:rFonts w:hint="eastAsia" w:ascii="宋体" w:hAnsi="宋体" w:eastAsia="宋体" w:cs="仿宋"/>
          <w:color w:val="auto"/>
          <w:sz w:val="24"/>
          <w:szCs w:val="24"/>
          <w:highlight w:val="none"/>
          <w:u w:val="single"/>
        </w:rPr>
        <w:t>。</w:t>
      </w:r>
    </w:p>
    <w:p>
      <w:pPr>
        <w:pStyle w:val="12"/>
        <w:spacing w:after="120" w:line="360" w:lineRule="auto"/>
        <w:rPr>
          <w:rFonts w:ascii="宋体" w:hAnsi="宋体" w:eastAsia="宋体" w:cs="仿宋"/>
          <w:color w:val="auto"/>
          <w:sz w:val="24"/>
          <w:szCs w:val="24"/>
          <w:highlight w:val="none"/>
          <w:u w:val="none"/>
        </w:rPr>
      </w:pPr>
      <w:r>
        <w:rPr>
          <w:rFonts w:ascii="宋体" w:hAnsi="宋体" w:eastAsia="宋体" w:cs="仿宋"/>
          <w:color w:val="auto"/>
          <w:sz w:val="24"/>
          <w:szCs w:val="24"/>
          <w:highlight w:val="none"/>
          <w:u w:val="none"/>
        </w:rPr>
        <w:t>2.商务履约内容</w:t>
      </w:r>
    </w:p>
    <w:p>
      <w:pPr>
        <w:pStyle w:val="12"/>
        <w:spacing w:after="120" w:line="360" w:lineRule="auto"/>
        <w:rPr>
          <w:rFonts w:hint="eastAsia"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1</w:t>
      </w:r>
      <w:r>
        <w:rPr>
          <w:rFonts w:hint="eastAsia" w:ascii="宋体" w:hAnsi="宋体" w:eastAsia="宋体" w:cs="仿宋"/>
          <w:color w:val="auto"/>
          <w:sz w:val="24"/>
          <w:szCs w:val="24"/>
          <w:highlight w:val="none"/>
          <w:u w:val="single"/>
        </w:rPr>
        <w:t>）服务周期满足采购要求。</w:t>
      </w:r>
    </w:p>
    <w:p>
      <w:pPr>
        <w:pStyle w:val="12"/>
        <w:spacing w:after="120" w:line="360" w:lineRule="auto"/>
        <w:ind w:left="0" w:leftChars="0" w:firstLine="0" w:firstLineChars="0"/>
        <w:rPr>
          <w:rFonts w:ascii="宋体" w:hAnsi="宋体" w:eastAsia="宋体" w:cs="仿宋"/>
          <w:color w:val="auto"/>
          <w:sz w:val="24"/>
          <w:szCs w:val="24"/>
          <w:highlight w:val="none"/>
          <w:u w:val="none"/>
        </w:rPr>
      </w:pPr>
      <w:r>
        <w:rPr>
          <w:rFonts w:hint="eastAsia" w:ascii="宋体" w:hAnsi="宋体" w:eastAsia="宋体" w:cs="仿宋"/>
          <w:color w:val="auto"/>
          <w:sz w:val="24"/>
          <w:szCs w:val="24"/>
          <w:highlight w:val="none"/>
          <w:u w:val="none"/>
          <w:lang w:eastAsia="zh-CN"/>
        </w:rPr>
        <w:t>（</w:t>
      </w:r>
      <w:r>
        <w:rPr>
          <w:rFonts w:hint="eastAsia" w:ascii="宋体" w:hAnsi="宋体" w:eastAsia="宋体" w:cs="仿宋"/>
          <w:color w:val="auto"/>
          <w:sz w:val="24"/>
          <w:szCs w:val="24"/>
          <w:highlight w:val="none"/>
          <w:u w:val="none"/>
          <w:lang w:val="en-US" w:eastAsia="zh-CN"/>
        </w:rPr>
        <w:t>六</w:t>
      </w:r>
      <w:r>
        <w:rPr>
          <w:rFonts w:hint="eastAsia" w:ascii="宋体" w:hAnsi="宋体" w:eastAsia="宋体" w:cs="仿宋"/>
          <w:color w:val="auto"/>
          <w:sz w:val="24"/>
          <w:szCs w:val="24"/>
          <w:highlight w:val="none"/>
          <w:u w:val="none"/>
          <w:lang w:eastAsia="zh-CN"/>
        </w:rPr>
        <w:t>）</w:t>
      </w:r>
      <w:r>
        <w:rPr>
          <w:rFonts w:hint="eastAsia" w:ascii="宋体" w:hAnsi="宋体" w:eastAsia="宋体" w:cs="仿宋"/>
          <w:color w:val="auto"/>
          <w:sz w:val="24"/>
          <w:szCs w:val="24"/>
          <w:highlight w:val="none"/>
          <w:u w:val="none"/>
          <w:lang w:val="en-US" w:eastAsia="zh-CN"/>
        </w:rPr>
        <w:t>履约</w:t>
      </w:r>
      <w:r>
        <w:rPr>
          <w:rFonts w:hint="eastAsia" w:ascii="宋体" w:hAnsi="宋体" w:eastAsia="宋体" w:cs="仿宋"/>
          <w:color w:val="auto"/>
          <w:sz w:val="24"/>
          <w:szCs w:val="24"/>
          <w:highlight w:val="none"/>
          <w:u w:val="none"/>
        </w:rPr>
        <w:t>验收标准</w:t>
      </w:r>
      <w:bookmarkEnd w:id="4"/>
    </w:p>
    <w:p>
      <w:pPr>
        <w:pStyle w:val="12"/>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1</w:t>
      </w:r>
      <w:r>
        <w:rPr>
          <w:rFonts w:hint="eastAsia" w:ascii="宋体" w:hAnsi="宋体" w:eastAsia="宋体" w:cs="仿宋"/>
          <w:color w:val="auto"/>
          <w:sz w:val="24"/>
          <w:szCs w:val="24"/>
          <w:highlight w:val="none"/>
          <w:u w:val="single"/>
        </w:rPr>
        <w:t>）满足所有采购需求及响应文件承诺；</w:t>
      </w:r>
    </w:p>
    <w:p>
      <w:pPr>
        <w:pStyle w:val="12"/>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2）拟投服务团队人员全部到位，与</w:t>
      </w:r>
      <w:r>
        <w:rPr>
          <w:rFonts w:hint="eastAsia" w:ascii="宋体" w:hAnsi="宋体" w:eastAsia="宋体" w:cs="仿宋"/>
          <w:color w:val="auto"/>
          <w:sz w:val="24"/>
          <w:szCs w:val="24"/>
          <w:highlight w:val="none"/>
          <w:u w:val="single"/>
        </w:rPr>
        <w:t>响应</w:t>
      </w:r>
      <w:r>
        <w:rPr>
          <w:rFonts w:ascii="宋体" w:hAnsi="宋体" w:eastAsia="宋体" w:cs="仿宋"/>
          <w:color w:val="auto"/>
          <w:sz w:val="24"/>
          <w:szCs w:val="24"/>
          <w:highlight w:val="none"/>
          <w:u w:val="single"/>
        </w:rPr>
        <w:t>文件人员信息清单一致；</w:t>
      </w:r>
    </w:p>
    <w:p>
      <w:pPr>
        <w:pStyle w:val="12"/>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3</w:t>
      </w:r>
      <w:r>
        <w:rPr>
          <w:rFonts w:hint="eastAsia" w:ascii="宋体" w:hAnsi="宋体" w:eastAsia="宋体" w:cs="仿宋"/>
          <w:color w:val="auto"/>
          <w:sz w:val="24"/>
          <w:szCs w:val="24"/>
          <w:highlight w:val="none"/>
          <w:u w:val="single"/>
        </w:rPr>
        <w:t>）项目验收资料齐全；</w:t>
      </w:r>
    </w:p>
    <w:p>
      <w:pPr>
        <w:spacing w:line="360" w:lineRule="auto"/>
        <w:jc w:val="left"/>
        <w:rPr>
          <w:rFonts w:ascii="宋体" w:hAnsi="宋体" w:eastAsia="宋体" w:cs="仿宋"/>
          <w:color w:val="auto"/>
          <w:sz w:val="24"/>
          <w:highlight w:val="none"/>
          <w:u w:val="none"/>
        </w:rPr>
      </w:pPr>
      <w:bookmarkStart w:id="6" w:name="_Toc24191"/>
      <w:bookmarkStart w:id="7" w:name="_Toc100838239"/>
      <w:r>
        <w:rPr>
          <w:rFonts w:hint="eastAsia" w:ascii="宋体" w:hAnsi="宋体" w:cs="仿宋"/>
          <w:color w:val="auto"/>
          <w:sz w:val="24"/>
          <w:highlight w:val="none"/>
          <w:u w:val="none"/>
          <w:lang w:eastAsia="zh-CN"/>
        </w:rPr>
        <w:t>（</w:t>
      </w:r>
      <w:r>
        <w:rPr>
          <w:rFonts w:hint="eastAsia" w:ascii="宋体" w:hAnsi="宋体" w:cs="仿宋"/>
          <w:color w:val="auto"/>
          <w:sz w:val="24"/>
          <w:highlight w:val="none"/>
          <w:u w:val="none"/>
          <w:lang w:val="en-US" w:eastAsia="zh-CN"/>
        </w:rPr>
        <w:t>七</w:t>
      </w:r>
      <w:r>
        <w:rPr>
          <w:rFonts w:hint="eastAsia" w:ascii="宋体" w:hAnsi="宋体" w:cs="仿宋"/>
          <w:color w:val="auto"/>
          <w:sz w:val="24"/>
          <w:highlight w:val="none"/>
          <w:u w:val="none"/>
          <w:lang w:eastAsia="zh-CN"/>
        </w:rPr>
        <w:t>）</w:t>
      </w:r>
      <w:r>
        <w:rPr>
          <w:rFonts w:hint="eastAsia" w:ascii="宋体" w:hAnsi="宋体" w:eastAsia="宋体" w:cs="仿宋"/>
          <w:color w:val="auto"/>
          <w:sz w:val="24"/>
          <w:highlight w:val="none"/>
          <w:u w:val="none"/>
        </w:rPr>
        <w:t>履约验收其他事项</w:t>
      </w:r>
      <w:bookmarkEnd w:id="6"/>
      <w:bookmarkEnd w:id="7"/>
    </w:p>
    <w:p>
      <w:pPr>
        <w:pStyle w:val="31"/>
        <w:spacing w:after="120" w:line="360" w:lineRule="auto"/>
        <w:ind w:firstLine="48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u w:val="single"/>
        </w:rPr>
        <w:t>（</w:t>
      </w:r>
      <w:r>
        <w:rPr>
          <w:rFonts w:ascii="宋体" w:hAnsi="宋体" w:eastAsia="宋体" w:cs="仿宋"/>
          <w:color w:val="auto"/>
          <w:sz w:val="24"/>
          <w:szCs w:val="24"/>
          <w:highlight w:val="none"/>
          <w:u w:val="single"/>
        </w:rPr>
        <w:t>1）采购人在供应商提供相关服务的过程中，有权不定期对服务内容和质量进行考核。供应商提供相关服务过程中有违反合同约定、不达约定标准情况</w:t>
      </w:r>
      <w:r>
        <w:rPr>
          <w:rFonts w:hint="eastAsia" w:ascii="宋体" w:hAnsi="宋体" w:eastAsia="宋体" w:cs="仿宋"/>
          <w:color w:val="auto"/>
          <w:sz w:val="24"/>
          <w:szCs w:val="24"/>
          <w:highlight w:val="none"/>
          <w:u w:val="single"/>
        </w:rPr>
        <w:t>的，采购人有权要求供应商限期整改，供应商未按采购人</w:t>
      </w:r>
      <w:r>
        <w:rPr>
          <w:rFonts w:ascii="宋体" w:hAnsi="宋体" w:eastAsia="宋体" w:cs="仿宋"/>
          <w:color w:val="auto"/>
          <w:sz w:val="24"/>
          <w:szCs w:val="24"/>
          <w:highlight w:val="none"/>
          <w:u w:val="single"/>
        </w:rPr>
        <w:t>要求整改的，采购人有权拒绝验收，供应商应承担相应的违约责任。</w:t>
      </w:r>
    </w:p>
    <w:p>
      <w:pPr>
        <w:pStyle w:val="31"/>
        <w:spacing w:after="120" w:line="360" w:lineRule="auto"/>
        <w:ind w:firstLine="48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u w:val="single"/>
        </w:rPr>
        <w:t>（</w:t>
      </w:r>
      <w:r>
        <w:rPr>
          <w:rFonts w:ascii="宋体" w:hAnsi="宋体" w:eastAsia="宋体" w:cs="仿宋"/>
          <w:color w:val="auto"/>
          <w:sz w:val="24"/>
          <w:szCs w:val="24"/>
          <w:highlight w:val="none"/>
          <w:u w:val="single"/>
        </w:rPr>
        <w:t>2）供应商服务成果未通过采购人验收，采购人有权要求供应商进行整改，相关费用</w:t>
      </w:r>
      <w:r>
        <w:rPr>
          <w:rFonts w:hint="eastAsia" w:ascii="宋体" w:hAnsi="宋体" w:eastAsia="宋体" w:cs="仿宋"/>
          <w:color w:val="auto"/>
          <w:sz w:val="24"/>
          <w:szCs w:val="24"/>
          <w:highlight w:val="none"/>
          <w:u w:val="single"/>
        </w:rPr>
        <w:t>（包括但不限于重新组织验收等费用）</w:t>
      </w:r>
      <w:r>
        <w:rPr>
          <w:rFonts w:ascii="宋体" w:hAnsi="宋体" w:eastAsia="宋体" w:cs="仿宋"/>
          <w:color w:val="auto"/>
          <w:sz w:val="24"/>
          <w:szCs w:val="24"/>
          <w:highlight w:val="none"/>
          <w:u w:val="single"/>
        </w:rPr>
        <w:t>由供应商承担；如供应商</w:t>
      </w:r>
      <w:r>
        <w:rPr>
          <w:rFonts w:hint="eastAsia" w:ascii="宋体" w:hAnsi="宋体" w:eastAsia="宋体" w:cs="仿宋"/>
          <w:color w:val="auto"/>
          <w:sz w:val="24"/>
          <w:szCs w:val="24"/>
          <w:highlight w:val="none"/>
          <w:u w:val="single"/>
        </w:rPr>
        <w:t>未在采购人要求期限内整改或整改后仍不合格或已经无法整改的，采购人有权要求供应商承担相应的违约责任。</w:t>
      </w:r>
    </w:p>
    <w:bookmarkEnd w:id="5"/>
    <w:p>
      <w:pPr>
        <w:spacing w:before="312" w:beforeLines="100" w:line="360" w:lineRule="auto"/>
        <w:jc w:val="left"/>
        <w:rPr>
          <w:rFonts w:ascii="宋体" w:hAnsi="宋体" w:eastAsia="宋体"/>
          <w:b/>
          <w:color w:val="auto"/>
          <w:sz w:val="24"/>
          <w:highlight w:val="none"/>
        </w:rPr>
      </w:pPr>
      <w:r>
        <w:rPr>
          <w:rFonts w:hint="eastAsia" w:ascii="宋体" w:hAnsi="宋体" w:eastAsia="宋体"/>
          <w:b/>
          <w:color w:val="auto"/>
          <w:sz w:val="24"/>
          <w:highlight w:val="none"/>
        </w:rPr>
        <w:t>四、风险控制措施和替代方案</w:t>
      </w:r>
    </w:p>
    <w:p>
      <w:pPr>
        <w:spacing w:line="360" w:lineRule="auto"/>
        <w:ind w:firstLine="420"/>
        <w:jc w:val="left"/>
        <w:rPr>
          <w:rFonts w:ascii="宋体" w:hAnsi="宋体" w:eastAsia="宋体"/>
          <w:color w:val="auto"/>
          <w:sz w:val="24"/>
          <w:highlight w:val="none"/>
        </w:rPr>
      </w:pPr>
      <w:r>
        <w:rPr>
          <w:rFonts w:hint="eastAsia" w:ascii="宋体" w:hAnsi="宋体" w:eastAsia="宋体"/>
          <w:color w:val="auto"/>
          <w:sz w:val="24"/>
          <w:highlight w:val="none"/>
        </w:rPr>
        <w:t>该采购项目按照《政府采购需求管理办法》第二十五条规定，是否需要组织风险判断、提出处置措施和替代方案：</w:t>
      </w:r>
      <w:r>
        <w:rPr>
          <w:rFonts w:ascii="宋体" w:hAnsi="宋体" w:eastAsia="宋体"/>
          <w:color w:val="auto"/>
          <w:sz w:val="24"/>
          <w:highlight w:val="none"/>
        </w:rPr>
        <w:tab/>
      </w:r>
      <w:r>
        <w:rPr>
          <w:rFonts w:hint="eastAsia" w:ascii="宋体" w:hAnsi="宋体"/>
          <w:color w:val="auto"/>
          <w:sz w:val="24"/>
          <w:highlight w:val="none"/>
          <w:lang w:eastAsia="zh-CN"/>
        </w:rPr>
        <w:t>☑</w:t>
      </w:r>
      <w:r>
        <w:rPr>
          <w:rFonts w:hint="eastAsia" w:ascii="宋体" w:hAnsi="宋体" w:eastAsia="宋体"/>
          <w:color w:val="auto"/>
          <w:sz w:val="24"/>
          <w:highlight w:val="none"/>
        </w:rPr>
        <w:t>是</w:t>
      </w:r>
      <w:r>
        <w:rPr>
          <w:rFonts w:ascii="宋体" w:hAnsi="宋体" w:eastAsia="宋体"/>
          <w:color w:val="auto"/>
          <w:sz w:val="24"/>
          <w:highlight w:val="none"/>
        </w:rPr>
        <w:tab/>
      </w:r>
      <w:r>
        <w:rPr>
          <w:rFonts w:hint="eastAsia" w:ascii="宋体" w:hAnsi="宋体" w:eastAsia="宋体"/>
          <w:color w:val="auto"/>
          <w:sz w:val="24"/>
          <w:highlight w:val="none"/>
        </w:rPr>
        <w:t>□否</w:t>
      </w:r>
    </w:p>
    <w:p>
      <w:pPr>
        <w:spacing w:line="360" w:lineRule="auto"/>
        <w:jc w:val="left"/>
        <w:outlineLvl w:val="1"/>
        <w:rPr>
          <w:rFonts w:ascii="宋体" w:hAnsi="宋体" w:eastAsia="宋体"/>
          <w:color w:val="auto"/>
          <w:sz w:val="24"/>
          <w:highlight w:val="none"/>
        </w:rPr>
      </w:pPr>
      <w:bookmarkStart w:id="8" w:name="_Toc29357"/>
      <w:r>
        <w:rPr>
          <w:rFonts w:hint="eastAsia" w:ascii="宋体" w:hAnsi="宋体" w:eastAsia="宋体"/>
          <w:color w:val="auto"/>
          <w:sz w:val="24"/>
          <w:highlight w:val="none"/>
        </w:rPr>
        <w:t>（一）国家政策变化应对措施</w:t>
      </w:r>
      <w:bookmarkEnd w:id="8"/>
    </w:p>
    <w:p>
      <w:pPr>
        <w:spacing w:line="360" w:lineRule="auto"/>
        <w:ind w:firstLine="420"/>
        <w:jc w:val="left"/>
        <w:rPr>
          <w:rFonts w:ascii="宋体" w:hAnsi="宋体" w:eastAsia="宋体"/>
          <w:color w:val="auto"/>
          <w:sz w:val="24"/>
          <w:highlight w:val="none"/>
          <w:u w:val="single"/>
        </w:rPr>
      </w:pPr>
      <w:r>
        <w:rPr>
          <w:rFonts w:hint="eastAsia" w:ascii="宋体" w:hAnsi="宋体" w:eastAsia="宋体"/>
          <w:color w:val="auto"/>
          <w:sz w:val="24"/>
          <w:highlight w:val="none"/>
          <w:u w:val="single"/>
        </w:rPr>
        <w:t>如遇到国家政策发生变化，根据新的政策进行采购需求调整。</w:t>
      </w:r>
      <w:r>
        <w:rPr>
          <w:rFonts w:ascii="宋体" w:hAnsi="宋体" w:eastAsia="宋体"/>
          <w:color w:val="auto"/>
          <w:sz w:val="24"/>
          <w:highlight w:val="none"/>
          <w:u w:val="single"/>
        </w:rPr>
        <w:t xml:space="preserve">                            </w:t>
      </w:r>
    </w:p>
    <w:p>
      <w:pPr>
        <w:spacing w:line="360" w:lineRule="auto"/>
        <w:jc w:val="left"/>
        <w:outlineLvl w:val="1"/>
        <w:rPr>
          <w:rFonts w:ascii="宋体" w:hAnsi="宋体" w:eastAsia="宋体"/>
          <w:color w:val="auto"/>
          <w:sz w:val="24"/>
          <w:highlight w:val="none"/>
        </w:rPr>
      </w:pPr>
      <w:bookmarkStart w:id="9" w:name="_Toc516"/>
      <w:r>
        <w:rPr>
          <w:rFonts w:hint="eastAsia" w:ascii="宋体" w:hAnsi="宋体" w:eastAsia="宋体"/>
          <w:color w:val="auto"/>
          <w:sz w:val="24"/>
          <w:highlight w:val="none"/>
        </w:rPr>
        <w:t>（二）实施环境变化应对措施</w:t>
      </w:r>
      <w:bookmarkEnd w:id="9"/>
    </w:p>
    <w:p>
      <w:pPr>
        <w:spacing w:line="360" w:lineRule="auto"/>
        <w:ind w:firstLine="420"/>
        <w:jc w:val="left"/>
        <w:rPr>
          <w:rFonts w:ascii="宋体" w:hAnsi="宋体" w:eastAsia="宋体"/>
          <w:color w:val="auto"/>
          <w:sz w:val="24"/>
          <w:highlight w:val="none"/>
          <w:u w:val="single"/>
        </w:rPr>
      </w:pPr>
      <w:r>
        <w:rPr>
          <w:rFonts w:hint="eastAsia" w:ascii="宋体" w:hAnsi="宋体" w:eastAsia="宋体"/>
          <w:color w:val="auto"/>
          <w:sz w:val="24"/>
          <w:highlight w:val="none"/>
          <w:u w:val="single"/>
        </w:rPr>
        <w:t>如遇到实施环境发生变化，根据新的实施环境进行采购需求调整。</w:t>
      </w:r>
      <w:r>
        <w:rPr>
          <w:rFonts w:ascii="宋体" w:hAnsi="宋体" w:eastAsia="宋体"/>
          <w:color w:val="auto"/>
          <w:sz w:val="24"/>
          <w:highlight w:val="none"/>
          <w:u w:val="single"/>
        </w:rPr>
        <w:t xml:space="preserve">                                                                 </w:t>
      </w:r>
    </w:p>
    <w:p>
      <w:pPr>
        <w:spacing w:line="360" w:lineRule="auto"/>
        <w:jc w:val="left"/>
        <w:outlineLvl w:val="1"/>
        <w:rPr>
          <w:rFonts w:ascii="宋体" w:hAnsi="宋体" w:eastAsia="宋体"/>
          <w:color w:val="auto"/>
          <w:sz w:val="24"/>
          <w:highlight w:val="none"/>
        </w:rPr>
      </w:pPr>
      <w:bookmarkStart w:id="10" w:name="_Toc9608"/>
      <w:r>
        <w:rPr>
          <w:rFonts w:hint="eastAsia" w:ascii="宋体" w:hAnsi="宋体" w:eastAsia="宋体"/>
          <w:color w:val="auto"/>
          <w:sz w:val="24"/>
          <w:highlight w:val="none"/>
        </w:rPr>
        <w:t>（三）重大技术变化应对措施</w:t>
      </w:r>
      <w:bookmarkEnd w:id="10"/>
    </w:p>
    <w:p>
      <w:pPr>
        <w:spacing w:line="360" w:lineRule="auto"/>
        <w:ind w:firstLine="420"/>
        <w:jc w:val="left"/>
        <w:rPr>
          <w:rFonts w:ascii="宋体" w:hAnsi="宋体" w:eastAsia="宋体"/>
          <w:color w:val="auto"/>
          <w:sz w:val="24"/>
          <w:highlight w:val="none"/>
          <w:u w:val="single"/>
        </w:rPr>
      </w:pPr>
      <w:r>
        <w:rPr>
          <w:rFonts w:hint="eastAsia" w:ascii="宋体" w:hAnsi="宋体" w:eastAsia="宋体"/>
          <w:color w:val="auto"/>
          <w:sz w:val="24"/>
          <w:highlight w:val="none"/>
          <w:u w:val="single"/>
        </w:rPr>
        <w:t>如遇到重大技术变化，根据变化情况进行适当调整。</w:t>
      </w:r>
      <w:r>
        <w:rPr>
          <w:rFonts w:ascii="宋体" w:hAnsi="宋体" w:eastAsia="宋体"/>
          <w:color w:val="auto"/>
          <w:sz w:val="24"/>
          <w:highlight w:val="none"/>
          <w:u w:val="single"/>
        </w:rPr>
        <w:t xml:space="preserve">                                                                </w:t>
      </w:r>
    </w:p>
    <w:p>
      <w:pPr>
        <w:spacing w:line="360" w:lineRule="auto"/>
        <w:jc w:val="left"/>
        <w:outlineLvl w:val="1"/>
        <w:rPr>
          <w:rFonts w:ascii="宋体" w:hAnsi="宋体" w:eastAsia="宋体"/>
          <w:color w:val="auto"/>
          <w:sz w:val="24"/>
          <w:highlight w:val="none"/>
        </w:rPr>
      </w:pPr>
      <w:bookmarkStart w:id="11" w:name="_Toc1490"/>
      <w:r>
        <w:rPr>
          <w:rFonts w:hint="eastAsia" w:ascii="宋体" w:hAnsi="宋体" w:eastAsia="宋体"/>
          <w:color w:val="auto"/>
          <w:sz w:val="24"/>
          <w:highlight w:val="none"/>
        </w:rPr>
        <w:t>（四）预算项目调整应对措施</w:t>
      </w:r>
      <w:bookmarkEnd w:id="11"/>
    </w:p>
    <w:p>
      <w:pPr>
        <w:spacing w:line="360" w:lineRule="auto"/>
        <w:ind w:firstLine="420"/>
        <w:jc w:val="left"/>
        <w:rPr>
          <w:rFonts w:ascii="宋体" w:hAnsi="宋体" w:eastAsia="宋体"/>
          <w:color w:val="auto"/>
          <w:sz w:val="24"/>
          <w:highlight w:val="none"/>
          <w:u w:val="single"/>
        </w:rPr>
      </w:pPr>
      <w:r>
        <w:rPr>
          <w:rFonts w:ascii="宋体" w:hAnsi="宋体" w:eastAsia="宋体"/>
          <w:color w:val="auto"/>
          <w:sz w:val="24"/>
          <w:highlight w:val="none"/>
        </w:rPr>
        <w:t xml:space="preserve">  </w:t>
      </w:r>
      <w:r>
        <w:rPr>
          <w:rFonts w:ascii="宋体" w:hAnsi="宋体" w:eastAsia="宋体"/>
          <w:color w:val="auto"/>
          <w:sz w:val="24"/>
          <w:highlight w:val="none"/>
          <w:u w:val="single"/>
        </w:rPr>
        <w:t xml:space="preserve"> 根据调整后的项目预算更新采购需求。                                                              </w:t>
      </w:r>
    </w:p>
    <w:p>
      <w:pPr>
        <w:spacing w:line="360" w:lineRule="auto"/>
        <w:jc w:val="left"/>
        <w:outlineLvl w:val="1"/>
        <w:rPr>
          <w:rFonts w:ascii="宋体" w:hAnsi="宋体" w:eastAsia="宋体"/>
          <w:color w:val="auto"/>
          <w:sz w:val="24"/>
          <w:highlight w:val="none"/>
        </w:rPr>
      </w:pPr>
      <w:bookmarkStart w:id="12" w:name="_Toc1573"/>
      <w:r>
        <w:rPr>
          <w:rFonts w:hint="eastAsia" w:ascii="宋体" w:hAnsi="宋体" w:eastAsia="宋体"/>
          <w:color w:val="auto"/>
          <w:sz w:val="24"/>
          <w:highlight w:val="none"/>
        </w:rPr>
        <w:t>（五）因质疑投诉影响采购进度应对措施</w:t>
      </w:r>
      <w:bookmarkEnd w:id="12"/>
    </w:p>
    <w:p>
      <w:pPr>
        <w:spacing w:line="360" w:lineRule="auto"/>
        <w:ind w:firstLine="420"/>
        <w:jc w:val="left"/>
        <w:rPr>
          <w:rFonts w:ascii="宋体" w:hAnsi="宋体" w:eastAsia="宋体"/>
          <w:color w:val="auto"/>
          <w:sz w:val="24"/>
          <w:highlight w:val="none"/>
          <w:u w:val="single"/>
        </w:rPr>
      </w:pPr>
      <w:r>
        <w:rPr>
          <w:rFonts w:ascii="宋体" w:hAnsi="宋体" w:eastAsia="宋体"/>
          <w:color w:val="auto"/>
          <w:sz w:val="24"/>
          <w:highlight w:val="none"/>
        </w:rPr>
        <w:t xml:space="preserve">   </w:t>
      </w:r>
      <w:r>
        <w:rPr>
          <w:rFonts w:hint="eastAsia" w:ascii="宋体" w:hAnsi="宋体" w:eastAsia="宋体"/>
          <w:color w:val="auto"/>
          <w:sz w:val="24"/>
          <w:highlight w:val="none"/>
          <w:u w:val="single"/>
        </w:rPr>
        <w:t>如必要，</w:t>
      </w:r>
      <w:r>
        <w:rPr>
          <w:rFonts w:hint="eastAsia" w:ascii="宋体" w:hAnsi="宋体"/>
          <w:color w:val="auto"/>
          <w:sz w:val="24"/>
          <w:highlight w:val="none"/>
          <w:u w:val="single"/>
          <w:lang w:val="en-US" w:eastAsia="zh-CN"/>
        </w:rPr>
        <w:t>经政府采购监督管理部门批准后</w:t>
      </w:r>
      <w:r>
        <w:rPr>
          <w:rFonts w:hint="eastAsia" w:ascii="宋体" w:hAnsi="宋体" w:eastAsia="宋体"/>
          <w:color w:val="auto"/>
          <w:sz w:val="24"/>
          <w:highlight w:val="none"/>
          <w:u w:val="single"/>
        </w:rPr>
        <w:t>采用其他采购方式进行采购。</w:t>
      </w:r>
      <w:r>
        <w:rPr>
          <w:rFonts w:ascii="宋体" w:hAnsi="宋体" w:eastAsia="宋体"/>
          <w:color w:val="auto"/>
          <w:sz w:val="24"/>
          <w:highlight w:val="none"/>
          <w:u w:val="single"/>
        </w:rPr>
        <w:t xml:space="preserve">                                                               </w:t>
      </w:r>
    </w:p>
    <w:p>
      <w:pPr>
        <w:spacing w:line="360" w:lineRule="auto"/>
        <w:jc w:val="left"/>
        <w:outlineLvl w:val="1"/>
        <w:rPr>
          <w:rFonts w:ascii="宋体" w:hAnsi="宋体" w:eastAsia="宋体"/>
          <w:color w:val="auto"/>
          <w:sz w:val="24"/>
          <w:highlight w:val="none"/>
        </w:rPr>
      </w:pPr>
      <w:bookmarkStart w:id="13" w:name="_Toc23686"/>
      <w:r>
        <w:rPr>
          <w:rFonts w:hint="eastAsia" w:ascii="宋体" w:hAnsi="宋体" w:eastAsia="宋体"/>
          <w:color w:val="auto"/>
          <w:sz w:val="24"/>
          <w:highlight w:val="none"/>
        </w:rPr>
        <w:t>（六）采购失败应对措施</w:t>
      </w:r>
      <w:bookmarkEnd w:id="13"/>
    </w:p>
    <w:p>
      <w:pPr>
        <w:spacing w:line="360" w:lineRule="auto"/>
        <w:ind w:firstLine="420"/>
        <w:jc w:val="left"/>
        <w:rPr>
          <w:rFonts w:ascii="宋体" w:hAnsi="宋体" w:eastAsia="宋体"/>
          <w:color w:val="auto"/>
          <w:sz w:val="24"/>
          <w:highlight w:val="none"/>
          <w:u w:val="single"/>
        </w:rPr>
      </w:pPr>
      <w:r>
        <w:rPr>
          <w:rFonts w:ascii="宋体" w:hAnsi="宋体" w:eastAsia="宋体"/>
          <w:color w:val="auto"/>
          <w:sz w:val="24"/>
          <w:highlight w:val="none"/>
        </w:rPr>
        <w:t xml:space="preserve">   </w:t>
      </w:r>
      <w:r>
        <w:rPr>
          <w:rFonts w:hint="eastAsia" w:ascii="宋体" w:hAnsi="宋体" w:eastAsia="宋体"/>
          <w:color w:val="auto"/>
          <w:sz w:val="24"/>
          <w:highlight w:val="none"/>
          <w:u w:val="single"/>
        </w:rPr>
        <w:t>调查取证和重新组织专家复审、认证，重新启动采购程序。</w:t>
      </w:r>
      <w:r>
        <w:rPr>
          <w:rFonts w:ascii="宋体" w:hAnsi="宋体" w:eastAsia="宋体"/>
          <w:color w:val="auto"/>
          <w:sz w:val="24"/>
          <w:highlight w:val="none"/>
          <w:u w:val="single"/>
        </w:rPr>
        <w:t xml:space="preserve">                                                               </w:t>
      </w:r>
    </w:p>
    <w:p>
      <w:pPr>
        <w:spacing w:line="360" w:lineRule="auto"/>
        <w:jc w:val="left"/>
        <w:outlineLvl w:val="1"/>
        <w:rPr>
          <w:rFonts w:ascii="宋体" w:hAnsi="宋体" w:eastAsia="宋体"/>
          <w:color w:val="auto"/>
          <w:sz w:val="24"/>
          <w:highlight w:val="none"/>
        </w:rPr>
      </w:pPr>
      <w:bookmarkStart w:id="14" w:name="_Toc25221"/>
      <w:r>
        <w:rPr>
          <w:rFonts w:hint="eastAsia" w:ascii="宋体" w:hAnsi="宋体" w:eastAsia="宋体"/>
          <w:color w:val="auto"/>
          <w:sz w:val="24"/>
          <w:highlight w:val="none"/>
        </w:rPr>
        <w:t>（七）不按规定签订或者履行合同应对措施</w:t>
      </w:r>
      <w:bookmarkEnd w:id="14"/>
    </w:p>
    <w:p>
      <w:pPr>
        <w:spacing w:line="360" w:lineRule="auto"/>
        <w:ind w:firstLine="420"/>
        <w:jc w:val="left"/>
        <w:rPr>
          <w:rFonts w:ascii="宋体" w:hAnsi="宋体" w:eastAsia="宋体"/>
          <w:color w:val="auto"/>
          <w:sz w:val="24"/>
          <w:highlight w:val="none"/>
          <w:u w:val="single"/>
        </w:rPr>
      </w:pPr>
      <w:r>
        <w:rPr>
          <w:rFonts w:ascii="宋体" w:hAnsi="宋体" w:eastAsia="宋体"/>
          <w:color w:val="auto"/>
          <w:sz w:val="24"/>
          <w:highlight w:val="none"/>
        </w:rPr>
        <w:t xml:space="preserve">   </w:t>
      </w:r>
      <w:r>
        <w:rPr>
          <w:rFonts w:hint="eastAsia" w:ascii="宋体" w:hAnsi="宋体" w:eastAsia="宋体"/>
          <w:color w:val="auto"/>
          <w:sz w:val="24"/>
          <w:highlight w:val="none"/>
          <w:u w:val="single"/>
        </w:rPr>
        <w:t>要求承担继续履行、采取补救措施或者赔偿损失等违约责任</w:t>
      </w:r>
      <w:r>
        <w:rPr>
          <w:rFonts w:ascii="宋体" w:hAnsi="宋体" w:eastAsia="宋体"/>
          <w:color w:val="auto"/>
          <w:sz w:val="24"/>
          <w:highlight w:val="none"/>
          <w:u w:val="single"/>
        </w:rPr>
        <w:t xml:space="preserve"> 。                                                               </w:t>
      </w:r>
    </w:p>
    <w:p>
      <w:pPr>
        <w:spacing w:line="360" w:lineRule="auto"/>
        <w:jc w:val="left"/>
        <w:rPr>
          <w:rFonts w:ascii="宋体" w:hAnsi="宋体" w:eastAsia="宋体"/>
          <w:color w:val="auto"/>
          <w:sz w:val="24"/>
          <w:highlight w:val="none"/>
        </w:rPr>
      </w:pPr>
      <w:bookmarkStart w:id="15" w:name="_Toc18321"/>
      <w:r>
        <w:rPr>
          <w:rFonts w:hint="eastAsia" w:ascii="宋体" w:hAnsi="宋体" w:eastAsia="宋体"/>
          <w:color w:val="auto"/>
          <w:sz w:val="24"/>
          <w:highlight w:val="none"/>
        </w:rPr>
        <w:t>（八）出现损害国家利益和社会公共利益情形应对措施</w:t>
      </w:r>
      <w:bookmarkEnd w:id="15"/>
    </w:p>
    <w:p>
      <w:pPr>
        <w:spacing w:line="360" w:lineRule="auto"/>
        <w:ind w:firstLine="420"/>
        <w:jc w:val="left"/>
        <w:rPr>
          <w:rFonts w:ascii="宋体" w:hAnsi="宋体" w:eastAsia="宋体"/>
          <w:color w:val="auto"/>
          <w:sz w:val="24"/>
          <w:highlight w:val="none"/>
          <w:u w:val="single"/>
        </w:rPr>
      </w:pPr>
      <w:r>
        <w:rPr>
          <w:rFonts w:ascii="宋体" w:hAnsi="宋体" w:eastAsia="宋体"/>
          <w:color w:val="auto"/>
          <w:sz w:val="24"/>
          <w:highlight w:val="none"/>
        </w:rPr>
        <w:t xml:space="preserve"> </w:t>
      </w:r>
      <w:r>
        <w:rPr>
          <w:rFonts w:ascii="宋体" w:hAnsi="宋体" w:eastAsia="宋体"/>
          <w:color w:val="auto"/>
          <w:sz w:val="24"/>
          <w:highlight w:val="none"/>
          <w:u w:val="single"/>
        </w:rPr>
        <w:t xml:space="preserve"> 变更、解除合同。                                                                </w:t>
      </w:r>
    </w:p>
    <w:p>
      <w:pPr>
        <w:spacing w:line="360" w:lineRule="auto"/>
        <w:jc w:val="left"/>
        <w:outlineLvl w:val="1"/>
        <w:rPr>
          <w:rFonts w:ascii="宋体" w:hAnsi="宋体" w:eastAsia="宋体"/>
          <w:color w:val="auto"/>
          <w:sz w:val="24"/>
          <w:highlight w:val="none"/>
        </w:rPr>
      </w:pPr>
      <w:bookmarkStart w:id="16" w:name="_Toc15359"/>
      <w:r>
        <w:rPr>
          <w:rFonts w:hint="eastAsia" w:ascii="宋体" w:hAnsi="宋体" w:eastAsia="宋体"/>
          <w:color w:val="auto"/>
          <w:sz w:val="24"/>
          <w:highlight w:val="none"/>
        </w:rPr>
        <w:t>（九）其他采购和合同履行过程的风险及应对措施</w:t>
      </w:r>
      <w:bookmarkEnd w:id="16"/>
      <w:r>
        <w:rPr>
          <w:rFonts w:hint="eastAsia" w:ascii="宋体" w:hAnsi="宋体" w:eastAsia="宋体"/>
          <w:color w:val="auto"/>
          <w:sz w:val="24"/>
          <w:highlight w:val="none"/>
        </w:rPr>
        <w:t>。</w:t>
      </w:r>
    </w:p>
    <w:p>
      <w:pPr>
        <w:spacing w:line="360" w:lineRule="auto"/>
        <w:jc w:val="left"/>
        <w:outlineLvl w:val="1"/>
        <w:rPr>
          <w:rFonts w:ascii="宋体" w:hAnsi="宋体" w:eastAsia="宋体"/>
          <w:color w:val="auto"/>
          <w:sz w:val="24"/>
          <w:highlight w:val="none"/>
          <w:u w:val="single"/>
        </w:rPr>
      </w:pPr>
      <w:r>
        <w:rPr>
          <w:rFonts w:ascii="宋体" w:hAnsi="宋体" w:eastAsia="宋体"/>
          <w:color w:val="auto"/>
          <w:sz w:val="24"/>
          <w:highlight w:val="none"/>
        </w:rPr>
        <w:t xml:space="preserve">     </w:t>
      </w:r>
      <w:r>
        <w:rPr>
          <w:rFonts w:hint="eastAsia" w:ascii="宋体" w:hAnsi="宋体" w:eastAsia="宋体"/>
          <w:color w:val="auto"/>
          <w:sz w:val="24"/>
          <w:highlight w:val="none"/>
          <w:u w:val="single"/>
        </w:rPr>
        <w:t>无</w:t>
      </w:r>
      <w:r>
        <w:rPr>
          <w:rFonts w:ascii="宋体" w:hAnsi="宋体" w:eastAsia="宋体"/>
          <w:color w:val="auto"/>
          <w:sz w:val="24"/>
          <w:highlight w:val="none"/>
          <w:u w:val="single"/>
        </w:rPr>
        <w:t xml:space="preserve">                                                                   </w:t>
      </w:r>
    </w:p>
    <w:p>
      <w:pPr>
        <w:spacing w:line="360" w:lineRule="auto"/>
        <w:jc w:val="left"/>
        <w:outlineLvl w:val="1"/>
        <w:rPr>
          <w:rFonts w:ascii="宋体" w:hAnsi="宋体" w:eastAsia="宋体"/>
          <w:color w:val="auto"/>
          <w:sz w:val="24"/>
          <w:highlight w:val="none"/>
          <w:u w:val="single"/>
        </w:rPr>
      </w:pPr>
    </w:p>
    <w:p>
      <w:pPr>
        <w:spacing w:line="360" w:lineRule="auto"/>
        <w:jc w:val="left"/>
        <w:outlineLvl w:val="1"/>
        <w:rPr>
          <w:rFonts w:ascii="宋体" w:hAnsi="宋体" w:eastAsia="宋体"/>
          <w:color w:val="auto"/>
          <w:sz w:val="24"/>
          <w:highlight w:val="none"/>
          <w:u w:val="single"/>
        </w:rPr>
      </w:pPr>
    </w:p>
    <w:p>
      <w:pPr>
        <w:spacing w:line="360" w:lineRule="auto"/>
        <w:jc w:val="left"/>
        <w:outlineLvl w:val="1"/>
        <w:rPr>
          <w:rFonts w:ascii="宋体" w:hAnsi="宋体" w:eastAsia="宋体"/>
          <w:color w:val="auto"/>
          <w:sz w:val="24"/>
          <w:highlight w:val="none"/>
          <w:u w:val="single"/>
        </w:rPr>
      </w:pPr>
    </w:p>
    <w:p>
      <w:pPr>
        <w:spacing w:line="360" w:lineRule="auto"/>
        <w:jc w:val="left"/>
        <w:outlineLvl w:val="1"/>
        <w:rPr>
          <w:rFonts w:ascii="宋体" w:hAnsi="宋体" w:eastAsia="宋体"/>
          <w:color w:val="auto"/>
          <w:sz w:val="24"/>
          <w:highlight w:val="none"/>
          <w:u w:val="single"/>
        </w:rPr>
      </w:pPr>
    </w:p>
    <w:p>
      <w:pPr>
        <w:spacing w:line="360" w:lineRule="auto"/>
        <w:ind w:firstLine="1560" w:firstLineChars="300"/>
        <w:jc w:val="both"/>
        <w:rPr>
          <w:rFonts w:ascii="宋体" w:hAnsi="宋体" w:eastAsia="宋体" w:cs="宋体"/>
          <w:color w:val="auto"/>
          <w:sz w:val="52"/>
          <w:szCs w:val="52"/>
          <w:highlight w:val="none"/>
        </w:rPr>
      </w:pPr>
      <w:r>
        <w:rPr>
          <w:rFonts w:hint="eastAsia" w:ascii="宋体" w:hAnsi="宋体" w:eastAsia="宋体" w:cs="宋体"/>
          <w:color w:val="auto"/>
          <w:sz w:val="52"/>
          <w:szCs w:val="52"/>
          <w:highlight w:val="none"/>
        </w:rPr>
        <w:t>政府采购项目采购需求</w:t>
      </w:r>
    </w:p>
    <w:p>
      <w:pPr>
        <w:spacing w:line="360" w:lineRule="auto"/>
        <w:jc w:val="center"/>
        <w:rPr>
          <w:rFonts w:ascii="宋体" w:hAnsi="宋体" w:eastAsia="宋体" w:cs="宋体"/>
          <w:color w:val="auto"/>
          <w:sz w:val="52"/>
          <w:szCs w:val="52"/>
          <w:highlight w:val="none"/>
        </w:rPr>
      </w:pPr>
      <w:r>
        <w:rPr>
          <w:rFonts w:hint="eastAsia" w:ascii="宋体" w:hAnsi="宋体" w:eastAsia="宋体" w:cs="宋体"/>
          <w:color w:val="auto"/>
          <w:sz w:val="52"/>
          <w:szCs w:val="52"/>
          <w:highlight w:val="none"/>
        </w:rPr>
        <w:t>审查意见</w:t>
      </w:r>
    </w:p>
    <w:p>
      <w:pPr>
        <w:spacing w:line="360" w:lineRule="auto"/>
        <w:jc w:val="center"/>
        <w:rPr>
          <w:rFonts w:ascii="宋体" w:hAnsi="宋体" w:eastAsia="宋体"/>
          <w:color w:val="auto"/>
          <w:sz w:val="44"/>
          <w:szCs w:val="44"/>
          <w:highlight w:val="none"/>
        </w:rPr>
      </w:pPr>
    </w:p>
    <w:p>
      <w:pPr>
        <w:spacing w:line="360" w:lineRule="auto"/>
        <w:jc w:val="center"/>
        <w:rPr>
          <w:rFonts w:ascii="宋体" w:hAnsi="宋体" w:eastAsia="宋体"/>
          <w:color w:val="auto"/>
          <w:sz w:val="44"/>
          <w:szCs w:val="44"/>
          <w:highlight w:val="none"/>
        </w:rPr>
      </w:pPr>
    </w:p>
    <w:p>
      <w:pPr>
        <w:spacing w:line="360" w:lineRule="auto"/>
        <w:jc w:val="center"/>
        <w:rPr>
          <w:rFonts w:ascii="宋体" w:hAnsi="宋体" w:eastAsia="宋体"/>
          <w:color w:val="auto"/>
          <w:sz w:val="44"/>
          <w:szCs w:val="44"/>
          <w:highlight w:val="none"/>
        </w:rPr>
      </w:pPr>
    </w:p>
    <w:p>
      <w:pPr>
        <w:spacing w:line="360" w:lineRule="auto"/>
        <w:ind w:left="420" w:leftChars="200" w:firstLine="1260" w:firstLineChars="450"/>
        <w:rPr>
          <w:rFonts w:ascii="宋体" w:hAnsi="宋体" w:eastAsia="宋体"/>
          <w:color w:val="auto"/>
          <w:sz w:val="28"/>
          <w:szCs w:val="28"/>
          <w:highlight w:val="none"/>
          <w:u w:val="single"/>
        </w:rPr>
      </w:pPr>
      <w:r>
        <w:rPr>
          <w:rFonts w:hint="eastAsia" w:ascii="宋体" w:hAnsi="宋体" w:eastAsia="宋体"/>
          <w:color w:val="auto"/>
          <w:sz w:val="28"/>
          <w:szCs w:val="28"/>
          <w:highlight w:val="none"/>
        </w:rPr>
        <w:t>采购单位：</w:t>
      </w:r>
      <w:r>
        <w:rPr>
          <w:rFonts w:hint="eastAsia" w:ascii="宋体" w:hAnsi="宋体" w:eastAsia="宋体"/>
          <w:color w:val="auto"/>
          <w:sz w:val="28"/>
          <w:szCs w:val="28"/>
          <w:highlight w:val="none"/>
        </w:rPr>
        <w:tab/>
      </w:r>
      <w:r>
        <w:rPr>
          <w:rFonts w:hint="eastAsia" w:ascii="宋体" w:hAnsi="宋体" w:eastAsia="宋体"/>
          <w:color w:val="auto"/>
          <w:sz w:val="28"/>
          <w:szCs w:val="28"/>
          <w:highlight w:val="none"/>
          <w:u w:val="single"/>
          <w:lang w:eastAsia="zh-CN"/>
        </w:rPr>
        <w:t>杭州市临平区塘栖镇人民政府</w:t>
      </w:r>
      <w:r>
        <w:rPr>
          <w:rFonts w:hint="eastAsia" w:ascii="宋体" w:hAnsi="宋体" w:eastAsia="宋体"/>
          <w:color w:val="auto"/>
          <w:sz w:val="28"/>
          <w:szCs w:val="28"/>
          <w:highlight w:val="none"/>
          <w:u w:val="single"/>
        </w:rPr>
        <w:t xml:space="preserve">   </w:t>
      </w:r>
    </w:p>
    <w:p>
      <w:pPr>
        <w:spacing w:line="360" w:lineRule="auto"/>
        <w:ind w:firstLine="1680" w:firstLineChars="600"/>
        <w:rPr>
          <w:rFonts w:hint="eastAsia" w:ascii="宋体" w:hAnsi="宋体" w:eastAsia="宋体"/>
          <w:color w:val="auto"/>
          <w:sz w:val="28"/>
          <w:szCs w:val="28"/>
          <w:highlight w:val="none"/>
          <w:u w:val="single"/>
          <w:lang w:eastAsia="zh-CN"/>
        </w:rPr>
      </w:pPr>
      <w:r>
        <w:rPr>
          <w:rFonts w:ascii="宋体" w:hAnsi="宋体" w:eastAsia="宋体"/>
          <w:color w:val="auto"/>
          <w:sz w:val="28"/>
          <w:szCs w:val="28"/>
          <w:highlight w:val="none"/>
        </w:rPr>
        <w:t>项目名称</w:t>
      </w:r>
      <w:r>
        <w:rPr>
          <w:rFonts w:hint="eastAsia" w:ascii="宋体" w:hAnsi="宋体" w:eastAsia="宋体"/>
          <w:color w:val="auto"/>
          <w:sz w:val="28"/>
          <w:szCs w:val="28"/>
          <w:highlight w:val="none"/>
        </w:rPr>
        <w:t>：</w:t>
      </w:r>
      <w:r>
        <w:rPr>
          <w:rFonts w:hint="eastAsia" w:ascii="宋体" w:hAnsi="宋体" w:eastAsia="宋体"/>
          <w:color w:val="auto"/>
          <w:sz w:val="28"/>
          <w:szCs w:val="28"/>
          <w:highlight w:val="none"/>
          <w:u w:val="single"/>
        </w:rPr>
        <w:tab/>
      </w:r>
      <w:r>
        <w:rPr>
          <w:rFonts w:hint="eastAsia" w:ascii="宋体" w:hAnsi="宋体"/>
          <w:color w:val="auto"/>
          <w:sz w:val="24"/>
          <w:highlight w:val="none"/>
          <w:u w:val="single"/>
          <w:lang w:val="en-US" w:eastAsia="zh-CN"/>
        </w:rPr>
        <w:t>2025</w:t>
      </w:r>
      <w:r>
        <w:rPr>
          <w:rFonts w:hint="eastAsia" w:ascii="宋体" w:hAnsi="宋体" w:eastAsia="宋体"/>
          <w:color w:val="auto"/>
          <w:sz w:val="24"/>
          <w:highlight w:val="none"/>
          <w:u w:val="single"/>
          <w:lang w:val="en-US" w:eastAsia="zh-CN"/>
        </w:rPr>
        <w:t>年塘栖镇政府物业</w:t>
      </w:r>
      <w:r>
        <w:rPr>
          <w:rFonts w:hint="eastAsia" w:ascii="宋体" w:hAnsi="宋体" w:eastAsia="宋体"/>
          <w:color w:val="auto"/>
          <w:sz w:val="24"/>
          <w:highlight w:val="none"/>
          <w:u w:val="single"/>
        </w:rPr>
        <w:t>服务</w:t>
      </w:r>
      <w:r>
        <w:rPr>
          <w:rFonts w:hint="eastAsia" w:ascii="宋体" w:hAnsi="宋体" w:eastAsia="宋体"/>
          <w:color w:val="auto"/>
          <w:sz w:val="24"/>
          <w:highlight w:val="none"/>
          <w:u w:val="single"/>
          <w:lang w:eastAsia="zh-CN"/>
        </w:rPr>
        <w:t>采购项目</w:t>
      </w:r>
    </w:p>
    <w:p>
      <w:pPr>
        <w:spacing w:line="360" w:lineRule="auto"/>
        <w:ind w:left="420" w:leftChars="200" w:firstLine="1260" w:firstLineChars="450"/>
        <w:rPr>
          <w:rFonts w:ascii="宋体" w:hAnsi="宋体" w:eastAsia="宋体"/>
          <w:color w:val="auto"/>
          <w:sz w:val="28"/>
          <w:szCs w:val="28"/>
          <w:highlight w:val="none"/>
          <w:u w:val="single"/>
        </w:rPr>
      </w:pPr>
      <w:r>
        <w:rPr>
          <w:rFonts w:hint="eastAsia" w:ascii="宋体" w:hAnsi="宋体" w:eastAsia="宋体"/>
          <w:color w:val="auto"/>
          <w:sz w:val="28"/>
          <w:szCs w:val="28"/>
          <w:highlight w:val="none"/>
        </w:rPr>
        <w:t>第三方机构：</w:t>
      </w:r>
      <w:r>
        <w:rPr>
          <w:rFonts w:hint="eastAsia" w:ascii="宋体" w:hAnsi="宋体" w:eastAsia="宋体"/>
          <w:color w:val="auto"/>
          <w:sz w:val="28"/>
          <w:szCs w:val="28"/>
          <w:highlight w:val="none"/>
          <w:u w:val="single"/>
        </w:rPr>
        <w:t xml:space="preserve">                        </w:t>
      </w:r>
    </w:p>
    <w:p>
      <w:pPr>
        <w:spacing w:line="360" w:lineRule="auto"/>
        <w:ind w:left="420" w:leftChars="200" w:firstLine="1260" w:firstLineChars="450"/>
        <w:rPr>
          <w:rFonts w:ascii="宋体" w:hAnsi="宋体" w:eastAsia="宋体"/>
          <w:color w:val="auto"/>
          <w:sz w:val="28"/>
          <w:szCs w:val="28"/>
          <w:highlight w:val="none"/>
          <w:u w:val="single"/>
        </w:rPr>
      </w:pPr>
      <w:r>
        <w:rPr>
          <w:rFonts w:hint="eastAsia" w:ascii="宋体" w:hAnsi="宋体" w:eastAsia="宋体"/>
          <w:color w:val="auto"/>
          <w:sz w:val="28"/>
          <w:szCs w:val="28"/>
          <w:highlight w:val="none"/>
        </w:rPr>
        <w:t>审查时间：</w:t>
      </w:r>
      <w:r>
        <w:rPr>
          <w:rFonts w:hint="eastAsia" w:ascii="宋体" w:hAnsi="宋体" w:eastAsia="宋体"/>
          <w:color w:val="auto"/>
          <w:sz w:val="28"/>
          <w:szCs w:val="28"/>
          <w:highlight w:val="none"/>
        </w:rPr>
        <w:tab/>
      </w:r>
      <w:r>
        <w:rPr>
          <w:rFonts w:hint="eastAsia" w:ascii="宋体" w:hAnsi="宋体" w:eastAsia="宋体"/>
          <w:color w:val="auto"/>
          <w:sz w:val="28"/>
          <w:szCs w:val="28"/>
          <w:highlight w:val="none"/>
          <w:u w:val="single"/>
        </w:rPr>
        <w:t xml:space="preserve">                        </w:t>
      </w:r>
    </w:p>
    <w:p>
      <w:pPr>
        <w:widowControl/>
        <w:jc w:val="left"/>
        <w:rPr>
          <w:rFonts w:ascii="宋体" w:hAnsi="宋体" w:eastAsia="宋体" w:cs="仿宋_GB2312"/>
          <w:color w:val="auto"/>
          <w:sz w:val="24"/>
          <w:highlight w:val="none"/>
        </w:rPr>
      </w:pPr>
      <w:r>
        <w:rPr>
          <w:rFonts w:ascii="宋体" w:hAnsi="宋体" w:eastAsia="宋体" w:cs="仿宋_GB2312"/>
          <w:color w:val="auto"/>
          <w:sz w:val="24"/>
          <w:highlight w:val="none"/>
        </w:rPr>
        <w:br w:type="page"/>
      </w:r>
    </w:p>
    <w:p>
      <w:pPr>
        <w:spacing w:before="312" w:beforeLines="100" w:line="360" w:lineRule="auto"/>
        <w:jc w:val="left"/>
        <w:rPr>
          <w:rFonts w:ascii="宋体" w:hAnsi="宋体" w:eastAsia="宋体"/>
          <w:b/>
          <w:color w:val="auto"/>
          <w:sz w:val="28"/>
          <w:szCs w:val="28"/>
          <w:highlight w:val="none"/>
        </w:rPr>
      </w:pPr>
      <w:r>
        <w:rPr>
          <w:rFonts w:hint="eastAsia" w:ascii="宋体" w:hAnsi="宋体" w:eastAsia="宋体"/>
          <w:b/>
          <w:color w:val="auto"/>
          <w:sz w:val="28"/>
          <w:szCs w:val="28"/>
          <w:highlight w:val="none"/>
        </w:rPr>
        <w:t>一、审查项目名称</w:t>
      </w:r>
    </w:p>
    <w:p>
      <w:pPr>
        <w:spacing w:before="312" w:beforeLines="100" w:line="360" w:lineRule="auto"/>
        <w:ind w:firstLine="420"/>
        <w:jc w:val="left"/>
        <w:rPr>
          <w:rFonts w:hint="eastAsia" w:ascii="宋体" w:hAnsi="宋体" w:eastAsia="宋体" w:cs="仿宋_GB2312"/>
          <w:color w:val="auto"/>
          <w:sz w:val="24"/>
          <w:highlight w:val="none"/>
          <w:u w:val="single"/>
          <w:lang w:eastAsia="zh-CN"/>
        </w:rPr>
      </w:pPr>
      <w:r>
        <w:rPr>
          <w:rFonts w:hint="eastAsia" w:ascii="宋体" w:hAnsi="宋体" w:eastAsia="宋体" w:cs="仿宋_GB2312"/>
          <w:color w:val="auto"/>
          <w:sz w:val="24"/>
          <w:highlight w:val="none"/>
        </w:rPr>
        <w:t>项目名称：</w:t>
      </w:r>
      <w:r>
        <w:rPr>
          <w:rFonts w:hint="eastAsia" w:ascii="宋体" w:hAnsi="宋体"/>
          <w:color w:val="auto"/>
          <w:sz w:val="24"/>
          <w:highlight w:val="none"/>
          <w:u w:val="single"/>
          <w:lang w:val="en-US" w:eastAsia="zh-CN"/>
        </w:rPr>
        <w:t>2025</w:t>
      </w:r>
      <w:r>
        <w:rPr>
          <w:rFonts w:hint="eastAsia" w:ascii="宋体" w:hAnsi="宋体" w:eastAsia="宋体"/>
          <w:color w:val="auto"/>
          <w:sz w:val="24"/>
          <w:highlight w:val="none"/>
          <w:u w:val="single"/>
          <w:lang w:val="en-US" w:eastAsia="zh-CN"/>
        </w:rPr>
        <w:t>年塘栖镇政府物业</w:t>
      </w:r>
      <w:r>
        <w:rPr>
          <w:rFonts w:hint="eastAsia" w:ascii="宋体" w:hAnsi="宋体" w:eastAsia="宋体"/>
          <w:color w:val="auto"/>
          <w:sz w:val="24"/>
          <w:highlight w:val="none"/>
          <w:u w:val="single"/>
        </w:rPr>
        <w:t>服务</w:t>
      </w:r>
      <w:r>
        <w:rPr>
          <w:rFonts w:hint="eastAsia" w:ascii="宋体" w:hAnsi="宋体" w:eastAsia="宋体"/>
          <w:color w:val="auto"/>
          <w:sz w:val="24"/>
          <w:highlight w:val="none"/>
          <w:u w:val="single"/>
          <w:lang w:eastAsia="zh-CN"/>
        </w:rPr>
        <w:t>采购项目</w:t>
      </w:r>
    </w:p>
    <w:p>
      <w:pPr>
        <w:spacing w:before="312" w:beforeLines="100" w:line="360" w:lineRule="auto"/>
        <w:jc w:val="left"/>
        <w:rPr>
          <w:rFonts w:ascii="宋体" w:hAnsi="宋体" w:eastAsia="宋体"/>
          <w:b/>
          <w:color w:val="auto"/>
          <w:sz w:val="28"/>
          <w:szCs w:val="28"/>
          <w:highlight w:val="none"/>
        </w:rPr>
      </w:pPr>
      <w:r>
        <w:rPr>
          <w:rFonts w:hint="eastAsia" w:ascii="宋体" w:hAnsi="宋体" w:eastAsia="宋体"/>
          <w:b/>
          <w:color w:val="auto"/>
          <w:sz w:val="28"/>
          <w:szCs w:val="28"/>
          <w:highlight w:val="none"/>
        </w:rPr>
        <w:t>二、参与审查人员名单</w:t>
      </w:r>
    </w:p>
    <w:tbl>
      <w:tblPr>
        <w:tblStyle w:val="26"/>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1405"/>
        <w:gridCol w:w="1922"/>
        <w:gridCol w:w="1207"/>
        <w:gridCol w:w="1345"/>
        <w:gridCol w:w="1301"/>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84" w:type="dxa"/>
            <w:vAlign w:val="center"/>
          </w:tcPr>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405" w:type="dxa"/>
            <w:tcBorders>
              <w:right w:val="single" w:color="auto" w:sz="4" w:space="0"/>
            </w:tcBorders>
            <w:vAlign w:val="center"/>
          </w:tcPr>
          <w:p>
            <w:pPr>
              <w:spacing w:line="360" w:lineRule="auto"/>
              <w:jc w:val="center"/>
              <w:rPr>
                <w:rFonts w:ascii="宋体" w:hAnsi="宋体" w:eastAsia="宋体"/>
                <w:color w:val="auto"/>
                <w:sz w:val="24"/>
                <w:highlight w:val="none"/>
              </w:rPr>
            </w:pPr>
            <w:r>
              <w:rPr>
                <w:rFonts w:ascii="宋体" w:hAnsi="宋体" w:eastAsia="宋体"/>
                <w:color w:val="auto"/>
                <w:sz w:val="24"/>
                <w:highlight w:val="none"/>
              </w:rPr>
              <w:t>姓名</w:t>
            </w:r>
          </w:p>
        </w:tc>
        <w:tc>
          <w:tcPr>
            <w:tcW w:w="1922" w:type="dxa"/>
            <w:tcBorders>
              <w:left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单位</w:t>
            </w:r>
          </w:p>
        </w:tc>
        <w:tc>
          <w:tcPr>
            <w:tcW w:w="1207" w:type="dxa"/>
            <w:vAlign w:val="center"/>
          </w:tcPr>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内部处室</w:t>
            </w:r>
          </w:p>
        </w:tc>
        <w:tc>
          <w:tcPr>
            <w:tcW w:w="1345" w:type="dxa"/>
            <w:vAlign w:val="center"/>
          </w:tcPr>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职务/职称</w:t>
            </w:r>
          </w:p>
        </w:tc>
        <w:tc>
          <w:tcPr>
            <w:tcW w:w="1301" w:type="dxa"/>
            <w:vAlign w:val="center"/>
          </w:tcPr>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联系方式</w:t>
            </w:r>
          </w:p>
        </w:tc>
        <w:tc>
          <w:tcPr>
            <w:tcW w:w="825" w:type="dxa"/>
            <w:vAlign w:val="center"/>
          </w:tcPr>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84" w:type="dxa"/>
            <w:vAlign w:val="center"/>
          </w:tcPr>
          <w:p>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405" w:type="dxa"/>
            <w:tcBorders>
              <w:right w:val="single" w:color="auto" w:sz="4" w:space="0"/>
            </w:tcBorders>
            <w:vAlign w:val="center"/>
          </w:tcPr>
          <w:p>
            <w:pPr>
              <w:spacing w:line="360" w:lineRule="auto"/>
              <w:jc w:val="center"/>
              <w:rPr>
                <w:rFonts w:hint="eastAsia" w:ascii="宋体" w:hAnsi="宋体" w:eastAsia="宋体"/>
                <w:color w:val="auto"/>
                <w:sz w:val="24"/>
                <w:highlight w:val="none"/>
                <w:lang w:val="en-US" w:eastAsia="zh-CN"/>
              </w:rPr>
            </w:pPr>
            <w:r>
              <w:rPr>
                <w:rFonts w:hint="eastAsia" w:ascii="宋体" w:hAnsi="宋体"/>
                <w:sz w:val="24"/>
                <w:highlight w:val="none"/>
                <w:lang w:eastAsia="zh-CN"/>
              </w:rPr>
              <w:t>张慧娟</w:t>
            </w:r>
          </w:p>
        </w:tc>
        <w:tc>
          <w:tcPr>
            <w:tcW w:w="1922" w:type="dxa"/>
            <w:tcBorders>
              <w:left w:val="single" w:color="auto" w:sz="4" w:space="0"/>
            </w:tcBorders>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sz w:val="24"/>
                <w:highlight w:val="none"/>
                <w:lang w:eastAsia="zh-CN"/>
              </w:rPr>
              <w:t>杭州市临平区塘栖镇人民政府</w:t>
            </w:r>
          </w:p>
        </w:tc>
        <w:tc>
          <w:tcPr>
            <w:tcW w:w="1207" w:type="dxa"/>
            <w:vAlign w:val="center"/>
          </w:tcPr>
          <w:p>
            <w:pPr>
              <w:spacing w:line="360" w:lineRule="auto"/>
              <w:jc w:val="center"/>
              <w:rPr>
                <w:rFonts w:ascii="宋体" w:hAnsi="宋体" w:eastAsia="宋体"/>
                <w:color w:val="auto"/>
                <w:sz w:val="24"/>
                <w:highlight w:val="none"/>
              </w:rPr>
            </w:pPr>
            <w:r>
              <w:rPr>
                <w:rFonts w:hint="eastAsia" w:ascii="宋体" w:hAnsi="宋体"/>
                <w:sz w:val="24"/>
                <w:highlight w:val="none"/>
                <w:lang w:eastAsia="zh-CN"/>
              </w:rPr>
              <w:t>党政综合办公室（综合信息指挥室）-财政</w:t>
            </w:r>
          </w:p>
        </w:tc>
        <w:tc>
          <w:tcPr>
            <w:tcW w:w="1345" w:type="dxa"/>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sz w:val="24"/>
                <w:highlight w:val="none"/>
                <w:lang w:eastAsia="zh-CN"/>
              </w:rPr>
              <w:t>主任</w:t>
            </w:r>
          </w:p>
        </w:tc>
        <w:tc>
          <w:tcPr>
            <w:tcW w:w="1301" w:type="dxa"/>
            <w:vAlign w:val="center"/>
          </w:tcPr>
          <w:p>
            <w:pPr>
              <w:spacing w:line="360" w:lineRule="auto"/>
              <w:jc w:val="center"/>
              <w:rPr>
                <w:rFonts w:ascii="宋体" w:hAnsi="宋体" w:eastAsia="宋体"/>
                <w:color w:val="auto"/>
                <w:sz w:val="24"/>
                <w:highlight w:val="none"/>
              </w:rPr>
            </w:pPr>
            <w:r>
              <w:rPr>
                <w:rFonts w:hint="eastAsia" w:ascii="宋体" w:hAnsi="宋体"/>
                <w:sz w:val="24"/>
                <w:highlight w:val="none"/>
              </w:rPr>
              <w:t>0571-86372522</w:t>
            </w:r>
          </w:p>
        </w:tc>
        <w:tc>
          <w:tcPr>
            <w:tcW w:w="825" w:type="dxa"/>
            <w:vAlign w:val="center"/>
          </w:tcPr>
          <w:p>
            <w:pPr>
              <w:spacing w:line="360" w:lineRule="auto"/>
              <w:jc w:val="center"/>
              <w:rPr>
                <w:rFonts w:hint="eastAsia" w:ascii="宋体" w:hAnsi="宋体" w:eastAsia="宋体"/>
                <w:color w:val="auto"/>
                <w:sz w:val="24"/>
                <w:highlight w:val="none"/>
                <w:lang w:val="en-US" w:eastAsia="zh-CN"/>
              </w:rPr>
            </w:pPr>
            <w:r>
              <w:rPr>
                <w:rFonts w:hint="eastAsia" w:ascii="宋体" w:hAnsi="宋体"/>
                <w:sz w:val="24"/>
                <w:highlight w:val="none"/>
                <w:lang w:val="en-US" w:eastAsia="zh-CN"/>
              </w:rPr>
              <w:t>财务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84" w:type="dxa"/>
            <w:vAlign w:val="center"/>
          </w:tcPr>
          <w:p>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w:t>
            </w:r>
          </w:p>
        </w:tc>
        <w:tc>
          <w:tcPr>
            <w:tcW w:w="1405" w:type="dxa"/>
            <w:tcBorders>
              <w:right w:val="single" w:color="auto" w:sz="4" w:space="0"/>
            </w:tcBorders>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楼江峰</w:t>
            </w:r>
          </w:p>
        </w:tc>
        <w:tc>
          <w:tcPr>
            <w:tcW w:w="1922" w:type="dxa"/>
            <w:tcBorders>
              <w:left w:val="single" w:color="auto" w:sz="4" w:space="0"/>
            </w:tcBorders>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杭州市临平区塘栖镇人民政府</w:t>
            </w:r>
          </w:p>
        </w:tc>
        <w:tc>
          <w:tcPr>
            <w:tcW w:w="1207" w:type="dxa"/>
            <w:vAlign w:val="center"/>
          </w:tcPr>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镇纪委</w:t>
            </w:r>
          </w:p>
        </w:tc>
        <w:tc>
          <w:tcPr>
            <w:tcW w:w="1345" w:type="dxa"/>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专职监察员</w:t>
            </w:r>
          </w:p>
        </w:tc>
        <w:tc>
          <w:tcPr>
            <w:tcW w:w="1301" w:type="dxa"/>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rPr>
              <w:t>0571-86372254</w:t>
            </w:r>
          </w:p>
        </w:tc>
        <w:tc>
          <w:tcPr>
            <w:tcW w:w="825" w:type="dxa"/>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84" w:type="dxa"/>
            <w:vAlign w:val="center"/>
          </w:tcPr>
          <w:p>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w:t>
            </w:r>
          </w:p>
        </w:tc>
        <w:tc>
          <w:tcPr>
            <w:tcW w:w="1405" w:type="dxa"/>
            <w:tcBorders>
              <w:right w:val="single" w:color="auto" w:sz="4" w:space="0"/>
            </w:tcBorders>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sz w:val="24"/>
                <w:highlight w:val="none"/>
                <w:lang w:eastAsia="zh-CN"/>
              </w:rPr>
              <w:t>林飞鹏</w:t>
            </w:r>
          </w:p>
        </w:tc>
        <w:tc>
          <w:tcPr>
            <w:tcW w:w="1922" w:type="dxa"/>
            <w:tcBorders>
              <w:left w:val="single" w:color="auto" w:sz="4" w:space="0"/>
            </w:tcBorders>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sz w:val="24"/>
                <w:highlight w:val="none"/>
                <w:lang w:eastAsia="zh-CN"/>
              </w:rPr>
              <w:t>杭州市临平区塘栖镇人民政府</w:t>
            </w:r>
          </w:p>
        </w:tc>
        <w:tc>
          <w:tcPr>
            <w:tcW w:w="1207" w:type="dxa"/>
            <w:vAlign w:val="center"/>
          </w:tcPr>
          <w:p>
            <w:pPr>
              <w:spacing w:line="360" w:lineRule="auto"/>
              <w:jc w:val="center"/>
              <w:rPr>
                <w:rFonts w:ascii="宋体" w:hAnsi="宋体" w:eastAsia="宋体"/>
                <w:color w:val="auto"/>
                <w:sz w:val="24"/>
                <w:highlight w:val="none"/>
              </w:rPr>
            </w:pPr>
            <w:r>
              <w:rPr>
                <w:rFonts w:hint="eastAsia" w:ascii="宋体" w:hAnsi="宋体"/>
                <w:sz w:val="24"/>
                <w:highlight w:val="none"/>
                <w:lang w:eastAsia="zh-CN"/>
              </w:rPr>
              <w:t>党政综合办公室（综合信息指挥室）-党政</w:t>
            </w:r>
          </w:p>
        </w:tc>
        <w:tc>
          <w:tcPr>
            <w:tcW w:w="1345" w:type="dxa"/>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sz w:val="24"/>
                <w:highlight w:val="none"/>
                <w:lang w:eastAsia="zh-CN"/>
              </w:rPr>
              <w:t>副主任</w:t>
            </w:r>
          </w:p>
        </w:tc>
        <w:tc>
          <w:tcPr>
            <w:tcW w:w="1301" w:type="dxa"/>
            <w:vAlign w:val="center"/>
          </w:tcPr>
          <w:p>
            <w:pPr>
              <w:spacing w:line="360" w:lineRule="auto"/>
              <w:jc w:val="center"/>
              <w:rPr>
                <w:rFonts w:ascii="宋体" w:hAnsi="宋体" w:eastAsia="宋体"/>
                <w:color w:val="auto"/>
                <w:sz w:val="24"/>
                <w:highlight w:val="none"/>
              </w:rPr>
            </w:pPr>
            <w:r>
              <w:rPr>
                <w:rFonts w:hint="eastAsia" w:ascii="宋体" w:hAnsi="宋体"/>
                <w:sz w:val="24"/>
                <w:highlight w:val="none"/>
                <w:lang w:eastAsia="zh-CN"/>
              </w:rPr>
              <w:t>0571-86372129</w:t>
            </w:r>
          </w:p>
        </w:tc>
        <w:tc>
          <w:tcPr>
            <w:tcW w:w="825" w:type="dxa"/>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eastAsia="宋体" w:cs="宋体"/>
                <w:sz w:val="24"/>
                <w:highlight w:val="none"/>
                <w:lang w:eastAsia="zh-CN"/>
              </w:rPr>
              <w:t>采购、法务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84" w:type="dxa"/>
            <w:vAlign w:val="center"/>
          </w:tcPr>
          <w:p>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4</w:t>
            </w:r>
          </w:p>
        </w:tc>
        <w:tc>
          <w:tcPr>
            <w:tcW w:w="1405" w:type="dxa"/>
            <w:tcBorders>
              <w:right w:val="single" w:color="auto" w:sz="4" w:space="0"/>
            </w:tcBorders>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丁月红</w:t>
            </w:r>
          </w:p>
        </w:tc>
        <w:tc>
          <w:tcPr>
            <w:tcW w:w="1922" w:type="dxa"/>
            <w:tcBorders>
              <w:left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color w:val="auto"/>
                <w:sz w:val="24"/>
                <w:highlight w:val="none"/>
                <w:lang w:val="en-US" w:eastAsia="zh-CN"/>
              </w:rPr>
              <w:t>杭州市临平区塘栖镇人民政府</w:t>
            </w:r>
          </w:p>
        </w:tc>
        <w:tc>
          <w:tcPr>
            <w:tcW w:w="1207" w:type="dxa"/>
            <w:vAlign w:val="center"/>
          </w:tcPr>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党政综合办公室（党政）</w:t>
            </w:r>
          </w:p>
        </w:tc>
        <w:tc>
          <w:tcPr>
            <w:tcW w:w="1345" w:type="dxa"/>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 xml:space="preserve"> 副主任</w:t>
            </w:r>
          </w:p>
        </w:tc>
        <w:tc>
          <w:tcPr>
            <w:tcW w:w="1301" w:type="dxa"/>
            <w:vAlign w:val="center"/>
          </w:tcPr>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 xml:space="preserve">0571-86371633 </w:t>
            </w:r>
          </w:p>
        </w:tc>
        <w:tc>
          <w:tcPr>
            <w:tcW w:w="825" w:type="dxa"/>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业务</w:t>
            </w:r>
          </w:p>
        </w:tc>
      </w:tr>
    </w:tbl>
    <w:p>
      <w:pPr>
        <w:spacing w:before="312" w:beforeLines="100" w:line="360" w:lineRule="auto"/>
        <w:jc w:val="left"/>
        <w:rPr>
          <w:rFonts w:ascii="宋体" w:hAnsi="宋体" w:eastAsia="宋体"/>
          <w:b/>
          <w:color w:val="auto"/>
          <w:sz w:val="28"/>
          <w:szCs w:val="28"/>
          <w:highlight w:val="none"/>
        </w:rPr>
      </w:pPr>
      <w:r>
        <w:rPr>
          <w:rFonts w:hint="eastAsia" w:ascii="宋体" w:hAnsi="宋体" w:eastAsia="宋体"/>
          <w:b/>
          <w:color w:val="auto"/>
          <w:sz w:val="28"/>
          <w:szCs w:val="28"/>
          <w:highlight w:val="none"/>
        </w:rPr>
        <w:t>三、一般性审查情况</w:t>
      </w:r>
    </w:p>
    <w:tbl>
      <w:tblPr>
        <w:tblStyle w:val="26"/>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5327"/>
        <w:gridCol w:w="2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62" w:type="dxa"/>
            <w:gridSpan w:val="2"/>
            <w:vAlign w:val="center"/>
          </w:tcPr>
          <w:p>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审 查 内 容</w:t>
            </w:r>
          </w:p>
        </w:tc>
        <w:tc>
          <w:tcPr>
            <w:tcW w:w="2727" w:type="dxa"/>
            <w:vAlign w:val="center"/>
          </w:tcPr>
          <w:p>
            <w:pPr>
              <w:spacing w:line="360" w:lineRule="auto"/>
              <w:jc w:val="center"/>
              <w:rPr>
                <w:rFonts w:ascii="宋体" w:hAnsi="宋体" w:eastAsia="宋体"/>
                <w:b/>
                <w:color w:val="auto"/>
                <w:sz w:val="24"/>
                <w:highlight w:val="none"/>
              </w:rPr>
            </w:pPr>
            <w:r>
              <w:rPr>
                <w:rFonts w:ascii="宋体" w:hAnsi="宋体" w:eastAsia="宋体"/>
                <w:b/>
                <w:color w:val="auto"/>
                <w:sz w:val="24"/>
                <w:highlight w:val="none"/>
              </w:rPr>
              <w:t>审查</w:t>
            </w:r>
            <w:r>
              <w:rPr>
                <w:rFonts w:hint="eastAsia" w:ascii="宋体" w:hAnsi="宋体" w:eastAsia="宋体"/>
                <w:b/>
                <w:color w:val="auto"/>
                <w:sz w:val="24"/>
                <w:highlight w:val="none"/>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5327" w:type="dxa"/>
            <w:tcBorders>
              <w:bottom w:val="single" w:color="auto" w:sz="4" w:space="0"/>
            </w:tcBorders>
            <w:vAlign w:val="center"/>
          </w:tcPr>
          <w:p>
            <w:pPr>
              <w:spacing w:line="360" w:lineRule="auto"/>
              <w:rPr>
                <w:rFonts w:ascii="宋体" w:hAnsi="宋体" w:eastAsia="宋体"/>
                <w:b/>
                <w:color w:val="auto"/>
                <w:sz w:val="24"/>
                <w:highlight w:val="none"/>
              </w:rPr>
            </w:pPr>
            <w:r>
              <w:rPr>
                <w:rFonts w:hint="eastAsia" w:ascii="宋体" w:hAnsi="宋体" w:eastAsia="宋体"/>
                <w:color w:val="auto"/>
                <w:sz w:val="24"/>
                <w:highlight w:val="none"/>
              </w:rPr>
              <w:t>采购需求是否符合预算、资产、财务等管理制度规定。</w:t>
            </w:r>
          </w:p>
        </w:tc>
        <w:tc>
          <w:tcPr>
            <w:tcW w:w="2727" w:type="dxa"/>
            <w:tcBorders>
              <w:bottom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color w:val="auto"/>
                <w:sz w:val="24"/>
                <w:highlight w:val="none"/>
                <w:lang w:eastAsia="zh-CN"/>
              </w:rPr>
              <w:t>☑</w:t>
            </w:r>
            <w:r>
              <w:rPr>
                <w:rFonts w:hint="eastAsia" w:ascii="宋体" w:hAnsi="宋体" w:eastAsia="宋体"/>
                <w:color w:val="auto"/>
                <w:sz w:val="24"/>
                <w:highlight w:val="none"/>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5327" w:type="dxa"/>
            <w:tcBorders>
              <w:top w:val="single" w:color="auto" w:sz="4" w:space="0"/>
              <w:bottom w:val="single" w:color="auto" w:sz="4" w:space="0"/>
            </w:tcBorders>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对采购方式、评审规则、合同类型、定价方式的选择是否说明适用理由。</w:t>
            </w:r>
          </w:p>
        </w:tc>
        <w:tc>
          <w:tcPr>
            <w:tcW w:w="2727" w:type="dxa"/>
            <w:tcBorders>
              <w:top w:val="single" w:color="auto" w:sz="4" w:space="0"/>
              <w:bottom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color w:val="auto"/>
                <w:sz w:val="24"/>
                <w:highlight w:val="none"/>
                <w:lang w:eastAsia="zh-CN"/>
              </w:rPr>
              <w:t>☑</w:t>
            </w:r>
            <w:r>
              <w:rPr>
                <w:rFonts w:hint="eastAsia" w:ascii="宋体" w:hAnsi="宋体" w:eastAsia="宋体"/>
                <w:color w:val="auto"/>
                <w:sz w:val="24"/>
                <w:highlight w:val="none"/>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5327" w:type="dxa"/>
            <w:tcBorders>
              <w:top w:val="single" w:color="auto" w:sz="4" w:space="0"/>
              <w:bottom w:val="single" w:color="auto" w:sz="4" w:space="0"/>
            </w:tcBorders>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属于按规定需要报相关监管部门批准、核准的事项，是否作出相关安排。</w:t>
            </w:r>
          </w:p>
        </w:tc>
        <w:tc>
          <w:tcPr>
            <w:tcW w:w="2727" w:type="dxa"/>
            <w:tcBorders>
              <w:top w:val="single" w:color="auto" w:sz="4" w:space="0"/>
              <w:bottom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color w:val="auto"/>
                <w:sz w:val="24"/>
                <w:highlight w:val="none"/>
                <w:lang w:eastAsia="zh-CN"/>
              </w:rPr>
              <w:t>☑</w:t>
            </w:r>
            <w:r>
              <w:rPr>
                <w:rFonts w:hint="eastAsia" w:ascii="宋体" w:hAnsi="宋体" w:eastAsia="宋体"/>
                <w:color w:val="auto"/>
                <w:sz w:val="24"/>
                <w:highlight w:val="none"/>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5327" w:type="dxa"/>
            <w:tcBorders>
              <w:top w:val="single" w:color="auto" w:sz="4" w:space="0"/>
              <w:bottom w:val="single" w:color="auto" w:sz="4" w:space="0"/>
            </w:tcBorders>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采购实施计划是否完整。</w:t>
            </w:r>
          </w:p>
        </w:tc>
        <w:tc>
          <w:tcPr>
            <w:tcW w:w="2727" w:type="dxa"/>
            <w:tcBorders>
              <w:top w:val="single" w:color="auto" w:sz="4" w:space="0"/>
              <w:bottom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color w:val="auto"/>
                <w:sz w:val="24"/>
                <w:highlight w:val="none"/>
                <w:lang w:eastAsia="zh-CN"/>
              </w:rPr>
              <w:t>☑</w:t>
            </w:r>
            <w:r>
              <w:rPr>
                <w:rFonts w:hint="eastAsia" w:ascii="宋体" w:hAnsi="宋体" w:eastAsia="宋体"/>
                <w:color w:val="auto"/>
                <w:sz w:val="24"/>
                <w:highlight w:val="none"/>
              </w:rPr>
              <w:t>是  □否</w:t>
            </w:r>
          </w:p>
        </w:tc>
      </w:tr>
    </w:tbl>
    <w:p>
      <w:pPr>
        <w:spacing w:before="312" w:beforeLines="100" w:line="360" w:lineRule="auto"/>
        <w:jc w:val="left"/>
        <w:rPr>
          <w:rFonts w:ascii="宋体" w:hAnsi="宋体" w:eastAsia="宋体"/>
          <w:b/>
          <w:color w:val="auto"/>
          <w:sz w:val="28"/>
          <w:szCs w:val="28"/>
          <w:highlight w:val="none"/>
        </w:rPr>
      </w:pPr>
      <w:r>
        <w:rPr>
          <w:rFonts w:hint="eastAsia" w:ascii="宋体" w:hAnsi="宋体" w:eastAsia="宋体"/>
          <w:b/>
          <w:color w:val="auto"/>
          <w:sz w:val="28"/>
          <w:szCs w:val="28"/>
          <w:highlight w:val="none"/>
        </w:rPr>
        <w:t>四、重点审查情况</w:t>
      </w:r>
    </w:p>
    <w:tbl>
      <w:tblPr>
        <w:tblStyle w:val="26"/>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0"/>
        <w:gridCol w:w="4976"/>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46" w:type="dxa"/>
            <w:gridSpan w:val="2"/>
            <w:vAlign w:val="center"/>
          </w:tcPr>
          <w:p>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审 查 内 容</w:t>
            </w:r>
          </w:p>
        </w:tc>
        <w:tc>
          <w:tcPr>
            <w:tcW w:w="1843" w:type="dxa"/>
            <w:vAlign w:val="center"/>
          </w:tcPr>
          <w:p>
            <w:pPr>
              <w:spacing w:line="360" w:lineRule="auto"/>
              <w:jc w:val="center"/>
              <w:rPr>
                <w:rFonts w:ascii="宋体" w:hAnsi="宋体" w:eastAsia="宋体"/>
                <w:b/>
                <w:color w:val="auto"/>
                <w:sz w:val="24"/>
                <w:highlight w:val="none"/>
              </w:rPr>
            </w:pPr>
            <w:r>
              <w:rPr>
                <w:rFonts w:ascii="宋体" w:hAnsi="宋体" w:eastAsia="宋体"/>
                <w:b/>
                <w:color w:val="auto"/>
                <w:sz w:val="24"/>
                <w:highlight w:val="none"/>
              </w:rPr>
              <w:t>审查</w:t>
            </w:r>
            <w:r>
              <w:rPr>
                <w:rFonts w:hint="eastAsia" w:ascii="宋体" w:hAnsi="宋体" w:eastAsia="宋体"/>
                <w:b/>
                <w:color w:val="auto"/>
                <w:sz w:val="24"/>
                <w:highlight w:val="none"/>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restart"/>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（一）非歧视性审查（主要审查是否指向特定供应商或者特定产品）</w:t>
            </w:r>
          </w:p>
        </w:tc>
        <w:tc>
          <w:tcPr>
            <w:tcW w:w="4976" w:type="dxa"/>
            <w:tcBorders>
              <w:bottom w:val="single" w:color="auto" w:sz="4" w:space="0"/>
            </w:tcBorders>
            <w:vAlign w:val="center"/>
          </w:tcPr>
          <w:p>
            <w:pPr>
              <w:spacing w:line="360" w:lineRule="auto"/>
              <w:rPr>
                <w:rFonts w:ascii="宋体" w:hAnsi="宋体" w:eastAsia="宋体"/>
                <w:b/>
                <w:color w:val="auto"/>
                <w:sz w:val="24"/>
                <w:highlight w:val="none"/>
              </w:rPr>
            </w:pPr>
            <w:r>
              <w:rPr>
                <w:rFonts w:hint="eastAsia" w:ascii="宋体" w:hAnsi="宋体" w:eastAsia="宋体"/>
                <w:color w:val="auto"/>
                <w:sz w:val="24"/>
                <w:highlight w:val="none"/>
              </w:rPr>
              <w:t>资格条件设置是否合理</w:t>
            </w:r>
          </w:p>
        </w:tc>
        <w:tc>
          <w:tcPr>
            <w:tcW w:w="1843" w:type="dxa"/>
            <w:tcBorders>
              <w:bottom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color w:val="auto"/>
                <w:sz w:val="24"/>
                <w:highlight w:val="none"/>
                <w:lang w:eastAsia="zh-CN"/>
              </w:rPr>
              <w:t>☑</w:t>
            </w:r>
            <w:r>
              <w:rPr>
                <w:rFonts w:hint="eastAsia" w:ascii="宋体" w:hAnsi="宋体" w:eastAsia="宋体"/>
                <w:color w:val="auto"/>
                <w:sz w:val="24"/>
                <w:highlight w:val="none"/>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continue"/>
            <w:vAlign w:val="center"/>
          </w:tcPr>
          <w:p>
            <w:pPr>
              <w:spacing w:line="360" w:lineRule="auto"/>
              <w:rPr>
                <w:rFonts w:ascii="宋体" w:hAnsi="宋体" w:eastAsia="宋体"/>
                <w:color w:val="auto"/>
                <w:sz w:val="24"/>
                <w:highlight w:val="none"/>
              </w:rPr>
            </w:pPr>
          </w:p>
        </w:tc>
        <w:tc>
          <w:tcPr>
            <w:tcW w:w="4976" w:type="dxa"/>
            <w:tcBorders>
              <w:top w:val="single" w:color="auto" w:sz="4" w:space="0"/>
              <w:bottom w:val="single" w:color="auto" w:sz="4" w:space="0"/>
            </w:tcBorders>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要求供应商提供超过2个同类业务合同的，是否具有合理性</w:t>
            </w:r>
          </w:p>
        </w:tc>
        <w:tc>
          <w:tcPr>
            <w:tcW w:w="1843" w:type="dxa"/>
            <w:tcBorders>
              <w:top w:val="single" w:color="auto" w:sz="4" w:space="0"/>
              <w:bottom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color w:val="auto"/>
                <w:sz w:val="24"/>
                <w:highlight w:val="none"/>
                <w:lang w:eastAsia="zh-CN"/>
              </w:rPr>
              <w:t>☑</w:t>
            </w:r>
            <w:r>
              <w:rPr>
                <w:rFonts w:hint="eastAsia" w:ascii="宋体" w:hAnsi="宋体" w:eastAsia="宋体"/>
                <w:color w:val="auto"/>
                <w:sz w:val="24"/>
                <w:highlight w:val="none"/>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continue"/>
            <w:vAlign w:val="center"/>
          </w:tcPr>
          <w:p>
            <w:pPr>
              <w:spacing w:line="360" w:lineRule="auto"/>
              <w:rPr>
                <w:rFonts w:ascii="宋体" w:hAnsi="宋体" w:eastAsia="宋体"/>
                <w:color w:val="auto"/>
                <w:sz w:val="24"/>
                <w:highlight w:val="none"/>
              </w:rPr>
            </w:pPr>
          </w:p>
        </w:tc>
        <w:tc>
          <w:tcPr>
            <w:tcW w:w="4976" w:type="dxa"/>
            <w:tcBorders>
              <w:top w:val="single" w:color="auto" w:sz="4" w:space="0"/>
              <w:bottom w:val="single" w:color="auto" w:sz="4" w:space="0"/>
            </w:tcBorders>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技术要求是否指向特定的专利、商标、品牌、技术路线等</w:t>
            </w:r>
          </w:p>
        </w:tc>
        <w:tc>
          <w:tcPr>
            <w:tcW w:w="1843" w:type="dxa"/>
            <w:tcBorders>
              <w:top w:val="single" w:color="auto" w:sz="4" w:space="0"/>
              <w:bottom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 xml:space="preserve">□是  </w:t>
            </w:r>
            <w:r>
              <w:rPr>
                <w:rFonts w:hint="eastAsia" w:ascii="宋体" w:hAnsi="宋体"/>
                <w:color w:val="auto"/>
                <w:sz w:val="24"/>
                <w:highlight w:val="none"/>
                <w:lang w:eastAsia="zh-CN"/>
              </w:rPr>
              <w:t>☑</w:t>
            </w:r>
            <w:r>
              <w:rPr>
                <w:rFonts w:hint="eastAsia" w:ascii="宋体" w:hAnsi="宋体" w:eastAsia="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continue"/>
            <w:vAlign w:val="center"/>
          </w:tcPr>
          <w:p>
            <w:pPr>
              <w:spacing w:line="360" w:lineRule="auto"/>
              <w:rPr>
                <w:rFonts w:ascii="宋体" w:hAnsi="宋体" w:eastAsia="宋体"/>
                <w:color w:val="auto"/>
                <w:sz w:val="24"/>
                <w:highlight w:val="none"/>
              </w:rPr>
            </w:pPr>
          </w:p>
        </w:tc>
        <w:tc>
          <w:tcPr>
            <w:tcW w:w="4976" w:type="dxa"/>
            <w:tcBorders>
              <w:top w:val="single" w:color="auto" w:sz="4" w:space="0"/>
              <w:bottom w:val="single" w:color="auto" w:sz="4" w:space="0"/>
            </w:tcBorders>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评审因素设置是否具有倾向性</w:t>
            </w:r>
          </w:p>
        </w:tc>
        <w:tc>
          <w:tcPr>
            <w:tcW w:w="1843" w:type="dxa"/>
            <w:tcBorders>
              <w:top w:val="single" w:color="auto" w:sz="4" w:space="0"/>
              <w:bottom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 xml:space="preserve">□是  </w:t>
            </w:r>
            <w:r>
              <w:rPr>
                <w:rFonts w:hint="eastAsia" w:ascii="宋体" w:hAnsi="宋体"/>
                <w:color w:val="auto"/>
                <w:sz w:val="24"/>
                <w:highlight w:val="none"/>
                <w:lang w:eastAsia="zh-CN"/>
              </w:rPr>
              <w:t>☑</w:t>
            </w:r>
            <w:r>
              <w:rPr>
                <w:rFonts w:hint="eastAsia" w:ascii="宋体" w:hAnsi="宋体" w:eastAsia="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continue"/>
            <w:vAlign w:val="center"/>
          </w:tcPr>
          <w:p>
            <w:pPr>
              <w:spacing w:line="360" w:lineRule="auto"/>
              <w:rPr>
                <w:rFonts w:ascii="宋体" w:hAnsi="宋体" w:eastAsia="宋体"/>
                <w:color w:val="auto"/>
                <w:sz w:val="24"/>
                <w:highlight w:val="none"/>
              </w:rPr>
            </w:pPr>
          </w:p>
        </w:tc>
        <w:tc>
          <w:tcPr>
            <w:tcW w:w="4976" w:type="dxa"/>
            <w:tcBorders>
              <w:top w:val="single" w:color="auto" w:sz="4" w:space="0"/>
            </w:tcBorders>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将有关履约能力作为评审因素是否适当</w:t>
            </w:r>
          </w:p>
        </w:tc>
        <w:tc>
          <w:tcPr>
            <w:tcW w:w="1843" w:type="dxa"/>
            <w:tcBorders>
              <w:top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color w:val="auto"/>
                <w:sz w:val="24"/>
                <w:highlight w:val="none"/>
                <w:lang w:eastAsia="zh-CN"/>
              </w:rPr>
              <w:t>☑</w:t>
            </w:r>
            <w:r>
              <w:rPr>
                <w:rFonts w:hint="eastAsia" w:ascii="宋体" w:hAnsi="宋体" w:eastAsia="宋体"/>
                <w:color w:val="auto"/>
                <w:sz w:val="24"/>
                <w:highlight w:val="none"/>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restart"/>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（二）竞争性审查（主要审查是否确保充分竞争）</w:t>
            </w:r>
          </w:p>
        </w:tc>
        <w:tc>
          <w:tcPr>
            <w:tcW w:w="4976" w:type="dxa"/>
            <w:tcBorders>
              <w:bottom w:val="single" w:color="auto" w:sz="4" w:space="0"/>
            </w:tcBorders>
            <w:vAlign w:val="center"/>
          </w:tcPr>
          <w:p>
            <w:pPr>
              <w:spacing w:line="360" w:lineRule="auto"/>
              <w:rPr>
                <w:rFonts w:ascii="宋体" w:hAnsi="宋体" w:eastAsia="宋体"/>
                <w:b/>
                <w:color w:val="auto"/>
                <w:sz w:val="24"/>
                <w:highlight w:val="none"/>
              </w:rPr>
            </w:pPr>
            <w:r>
              <w:rPr>
                <w:rFonts w:hint="eastAsia" w:ascii="宋体" w:hAnsi="宋体" w:eastAsia="宋体"/>
                <w:color w:val="auto"/>
                <w:sz w:val="24"/>
                <w:highlight w:val="none"/>
              </w:rPr>
              <w:t>应当以公开方式邀请供应商的，是否依法采用公开竞争方式</w:t>
            </w:r>
          </w:p>
        </w:tc>
        <w:tc>
          <w:tcPr>
            <w:tcW w:w="1843" w:type="dxa"/>
            <w:tcBorders>
              <w:bottom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color w:val="auto"/>
                <w:sz w:val="24"/>
                <w:highlight w:val="none"/>
                <w:lang w:eastAsia="zh-CN"/>
              </w:rPr>
              <w:t>☑</w:t>
            </w:r>
            <w:r>
              <w:rPr>
                <w:rFonts w:hint="eastAsia" w:ascii="宋体" w:hAnsi="宋体" w:eastAsia="宋体"/>
                <w:color w:val="auto"/>
                <w:sz w:val="24"/>
                <w:highlight w:val="none"/>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continue"/>
            <w:vAlign w:val="center"/>
          </w:tcPr>
          <w:p>
            <w:pPr>
              <w:spacing w:line="360" w:lineRule="auto"/>
              <w:rPr>
                <w:rFonts w:ascii="宋体" w:hAnsi="宋体" w:eastAsia="宋体"/>
                <w:color w:val="auto"/>
                <w:sz w:val="24"/>
                <w:highlight w:val="none"/>
              </w:rPr>
            </w:pPr>
          </w:p>
        </w:tc>
        <w:tc>
          <w:tcPr>
            <w:tcW w:w="4976" w:type="dxa"/>
            <w:tcBorders>
              <w:top w:val="single" w:color="auto" w:sz="4" w:space="0"/>
              <w:bottom w:val="single" w:color="auto" w:sz="4" w:space="0"/>
            </w:tcBorders>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采用单一来源采购方式的，是否符合法定情形</w:t>
            </w:r>
          </w:p>
        </w:tc>
        <w:tc>
          <w:tcPr>
            <w:tcW w:w="1843" w:type="dxa"/>
            <w:tcBorders>
              <w:top w:val="single" w:color="auto" w:sz="4" w:space="0"/>
              <w:bottom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 xml:space="preserve">□是  </w:t>
            </w:r>
            <w:r>
              <w:rPr>
                <w:rFonts w:hint="eastAsia" w:ascii="宋体" w:hAnsi="宋体"/>
                <w:color w:val="auto"/>
                <w:sz w:val="24"/>
                <w:highlight w:val="none"/>
                <w:lang w:eastAsia="zh-CN"/>
              </w:rPr>
              <w:t>☑</w:t>
            </w:r>
            <w:r>
              <w:rPr>
                <w:rFonts w:hint="eastAsia" w:ascii="宋体" w:hAnsi="宋体" w:eastAsia="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continue"/>
            <w:vAlign w:val="center"/>
          </w:tcPr>
          <w:p>
            <w:pPr>
              <w:spacing w:line="360" w:lineRule="auto"/>
              <w:rPr>
                <w:rFonts w:ascii="宋体" w:hAnsi="宋体" w:eastAsia="宋体"/>
                <w:color w:val="auto"/>
                <w:sz w:val="24"/>
                <w:highlight w:val="none"/>
              </w:rPr>
            </w:pPr>
          </w:p>
        </w:tc>
        <w:tc>
          <w:tcPr>
            <w:tcW w:w="4976" w:type="dxa"/>
            <w:tcBorders>
              <w:top w:val="single" w:color="auto" w:sz="4" w:space="0"/>
              <w:bottom w:val="single" w:color="auto" w:sz="4" w:space="0"/>
            </w:tcBorders>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采购需求的内容是否完整、明确</w:t>
            </w:r>
          </w:p>
        </w:tc>
        <w:tc>
          <w:tcPr>
            <w:tcW w:w="1843" w:type="dxa"/>
            <w:tcBorders>
              <w:top w:val="single" w:color="auto" w:sz="4" w:space="0"/>
              <w:bottom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color w:val="auto"/>
                <w:sz w:val="24"/>
                <w:highlight w:val="none"/>
                <w:lang w:eastAsia="zh-CN"/>
              </w:rPr>
              <w:t>☑</w:t>
            </w:r>
            <w:r>
              <w:rPr>
                <w:rFonts w:hint="eastAsia" w:ascii="宋体" w:hAnsi="宋体" w:eastAsia="宋体"/>
                <w:color w:val="auto"/>
                <w:sz w:val="24"/>
                <w:highlight w:val="none"/>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continue"/>
            <w:vAlign w:val="center"/>
          </w:tcPr>
          <w:p>
            <w:pPr>
              <w:spacing w:line="360" w:lineRule="auto"/>
              <w:rPr>
                <w:rFonts w:ascii="宋体" w:hAnsi="宋体" w:eastAsia="宋体"/>
                <w:color w:val="auto"/>
                <w:sz w:val="24"/>
                <w:highlight w:val="none"/>
              </w:rPr>
            </w:pPr>
          </w:p>
        </w:tc>
        <w:tc>
          <w:tcPr>
            <w:tcW w:w="4976" w:type="dxa"/>
            <w:tcBorders>
              <w:top w:val="single" w:color="auto" w:sz="4" w:space="0"/>
              <w:bottom w:val="single" w:color="auto" w:sz="4" w:space="0"/>
            </w:tcBorders>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采购需求的内容是否考虑后续采购竞争性</w:t>
            </w:r>
          </w:p>
        </w:tc>
        <w:tc>
          <w:tcPr>
            <w:tcW w:w="1843" w:type="dxa"/>
            <w:tcBorders>
              <w:top w:val="single" w:color="auto" w:sz="4" w:space="0"/>
              <w:bottom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color w:val="auto"/>
                <w:sz w:val="24"/>
                <w:highlight w:val="none"/>
                <w:lang w:eastAsia="zh-CN"/>
              </w:rPr>
              <w:t>☑</w:t>
            </w:r>
            <w:r>
              <w:rPr>
                <w:rFonts w:hint="eastAsia" w:ascii="宋体" w:hAnsi="宋体" w:eastAsia="宋体"/>
                <w:color w:val="auto"/>
                <w:sz w:val="24"/>
                <w:highlight w:val="none"/>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continue"/>
            <w:vAlign w:val="center"/>
          </w:tcPr>
          <w:p>
            <w:pPr>
              <w:spacing w:line="360" w:lineRule="auto"/>
              <w:rPr>
                <w:rFonts w:ascii="宋体" w:hAnsi="宋体" w:eastAsia="宋体"/>
                <w:color w:val="auto"/>
                <w:sz w:val="24"/>
                <w:highlight w:val="none"/>
              </w:rPr>
            </w:pPr>
          </w:p>
        </w:tc>
        <w:tc>
          <w:tcPr>
            <w:tcW w:w="4976" w:type="dxa"/>
            <w:tcBorders>
              <w:top w:val="single" w:color="auto" w:sz="4" w:space="0"/>
            </w:tcBorders>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评审方法、评审因素、价格权重等评审规则是否适当</w:t>
            </w:r>
          </w:p>
        </w:tc>
        <w:tc>
          <w:tcPr>
            <w:tcW w:w="1843" w:type="dxa"/>
            <w:tcBorders>
              <w:top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color w:val="auto"/>
                <w:sz w:val="24"/>
                <w:highlight w:val="none"/>
                <w:lang w:eastAsia="zh-CN"/>
              </w:rPr>
              <w:t>☑</w:t>
            </w:r>
            <w:r>
              <w:rPr>
                <w:rFonts w:hint="eastAsia" w:ascii="宋体" w:hAnsi="宋体" w:eastAsia="宋体"/>
                <w:color w:val="auto"/>
                <w:sz w:val="24"/>
                <w:highlight w:val="none"/>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restart"/>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（三）采购政策审查</w:t>
            </w:r>
          </w:p>
        </w:tc>
        <w:tc>
          <w:tcPr>
            <w:tcW w:w="4976" w:type="dxa"/>
            <w:tcBorders>
              <w:bottom w:val="single" w:color="auto" w:sz="4" w:space="0"/>
            </w:tcBorders>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进口产品的采购是否必要</w:t>
            </w:r>
          </w:p>
        </w:tc>
        <w:tc>
          <w:tcPr>
            <w:tcW w:w="1843" w:type="dxa"/>
            <w:tcBorders>
              <w:bottom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 xml:space="preserve">□是  </w:t>
            </w:r>
            <w:r>
              <w:rPr>
                <w:rFonts w:hint="eastAsia" w:ascii="宋体" w:hAnsi="宋体"/>
                <w:color w:val="auto"/>
                <w:sz w:val="24"/>
                <w:highlight w:val="none"/>
                <w:lang w:eastAsia="zh-CN"/>
              </w:rPr>
              <w:t>☑</w:t>
            </w:r>
            <w:r>
              <w:rPr>
                <w:rFonts w:hint="eastAsia" w:ascii="宋体" w:hAnsi="宋体" w:eastAsia="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continue"/>
            <w:vAlign w:val="center"/>
          </w:tcPr>
          <w:p>
            <w:pPr>
              <w:spacing w:line="360" w:lineRule="auto"/>
              <w:rPr>
                <w:rFonts w:ascii="宋体" w:hAnsi="宋体" w:eastAsia="宋体"/>
                <w:color w:val="auto"/>
                <w:sz w:val="24"/>
                <w:highlight w:val="none"/>
              </w:rPr>
            </w:pPr>
          </w:p>
        </w:tc>
        <w:tc>
          <w:tcPr>
            <w:tcW w:w="4976" w:type="dxa"/>
            <w:tcBorders>
              <w:bottom w:val="single" w:color="auto" w:sz="4" w:space="0"/>
            </w:tcBorders>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是否落实支持创新政府采购政策要求</w:t>
            </w:r>
          </w:p>
        </w:tc>
        <w:tc>
          <w:tcPr>
            <w:tcW w:w="1843" w:type="dxa"/>
            <w:tcBorders>
              <w:bottom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color w:val="auto"/>
                <w:sz w:val="24"/>
                <w:highlight w:val="none"/>
                <w:lang w:eastAsia="zh-CN"/>
              </w:rPr>
              <w:t>☑</w:t>
            </w:r>
            <w:r>
              <w:rPr>
                <w:rFonts w:hint="eastAsia" w:ascii="宋体" w:hAnsi="宋体" w:eastAsia="宋体"/>
                <w:color w:val="auto"/>
                <w:sz w:val="24"/>
                <w:highlight w:val="none"/>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continue"/>
            <w:vAlign w:val="center"/>
          </w:tcPr>
          <w:p>
            <w:pPr>
              <w:spacing w:line="360" w:lineRule="auto"/>
              <w:rPr>
                <w:rFonts w:ascii="宋体" w:hAnsi="宋体" w:eastAsia="宋体"/>
                <w:color w:val="auto"/>
                <w:sz w:val="24"/>
                <w:highlight w:val="none"/>
              </w:rPr>
            </w:pPr>
          </w:p>
        </w:tc>
        <w:tc>
          <w:tcPr>
            <w:tcW w:w="4976" w:type="dxa"/>
            <w:tcBorders>
              <w:bottom w:val="single" w:color="auto" w:sz="4" w:space="0"/>
            </w:tcBorders>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是否落实绿色发展、节能环保政府采购政策要求</w:t>
            </w:r>
          </w:p>
        </w:tc>
        <w:tc>
          <w:tcPr>
            <w:tcW w:w="1843" w:type="dxa"/>
            <w:tcBorders>
              <w:bottom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color w:val="auto"/>
                <w:sz w:val="24"/>
                <w:highlight w:val="none"/>
                <w:lang w:eastAsia="zh-CN"/>
              </w:rPr>
              <w:t>☑</w:t>
            </w:r>
            <w:r>
              <w:rPr>
                <w:rFonts w:hint="eastAsia" w:ascii="宋体" w:hAnsi="宋体" w:eastAsia="宋体"/>
                <w:color w:val="auto"/>
                <w:sz w:val="24"/>
                <w:highlight w:val="none"/>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continue"/>
            <w:vAlign w:val="center"/>
          </w:tcPr>
          <w:p>
            <w:pPr>
              <w:spacing w:line="360" w:lineRule="auto"/>
              <w:rPr>
                <w:rFonts w:ascii="宋体" w:hAnsi="宋体" w:eastAsia="宋体"/>
                <w:color w:val="auto"/>
                <w:sz w:val="24"/>
                <w:highlight w:val="none"/>
              </w:rPr>
            </w:pPr>
          </w:p>
        </w:tc>
        <w:tc>
          <w:tcPr>
            <w:tcW w:w="4976" w:type="dxa"/>
            <w:tcBorders>
              <w:bottom w:val="single" w:color="auto" w:sz="4" w:space="0"/>
            </w:tcBorders>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是否落实中小企业发展政府采购政策要求</w:t>
            </w:r>
          </w:p>
        </w:tc>
        <w:tc>
          <w:tcPr>
            <w:tcW w:w="1843" w:type="dxa"/>
            <w:tcBorders>
              <w:bottom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color w:val="auto"/>
                <w:sz w:val="24"/>
                <w:highlight w:val="none"/>
                <w:lang w:eastAsia="zh-CN"/>
              </w:rPr>
              <w:t>☑</w:t>
            </w:r>
            <w:r>
              <w:rPr>
                <w:rFonts w:hint="eastAsia" w:ascii="宋体" w:hAnsi="宋体" w:eastAsia="宋体"/>
                <w:color w:val="auto"/>
                <w:sz w:val="24"/>
                <w:highlight w:val="none"/>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continue"/>
            <w:vAlign w:val="center"/>
          </w:tcPr>
          <w:p>
            <w:pPr>
              <w:spacing w:line="360" w:lineRule="auto"/>
              <w:rPr>
                <w:rFonts w:ascii="宋体" w:hAnsi="宋体" w:eastAsia="宋体"/>
                <w:color w:val="auto"/>
                <w:sz w:val="24"/>
                <w:highlight w:val="none"/>
              </w:rPr>
            </w:pPr>
          </w:p>
        </w:tc>
        <w:tc>
          <w:tcPr>
            <w:tcW w:w="4976" w:type="dxa"/>
            <w:tcBorders>
              <w:bottom w:val="single" w:color="auto" w:sz="4" w:space="0"/>
            </w:tcBorders>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是否落实支持监狱发展政府采购政策要求</w:t>
            </w:r>
          </w:p>
        </w:tc>
        <w:tc>
          <w:tcPr>
            <w:tcW w:w="1843" w:type="dxa"/>
            <w:tcBorders>
              <w:bottom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color w:val="auto"/>
                <w:sz w:val="24"/>
                <w:highlight w:val="none"/>
                <w:lang w:eastAsia="zh-CN"/>
              </w:rPr>
              <w:t>☑</w:t>
            </w:r>
            <w:r>
              <w:rPr>
                <w:rFonts w:hint="eastAsia" w:ascii="宋体" w:hAnsi="宋体" w:eastAsia="宋体"/>
                <w:color w:val="auto"/>
                <w:sz w:val="24"/>
                <w:highlight w:val="none"/>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continue"/>
            <w:vAlign w:val="center"/>
          </w:tcPr>
          <w:p>
            <w:pPr>
              <w:spacing w:line="360" w:lineRule="auto"/>
              <w:rPr>
                <w:rFonts w:ascii="宋体" w:hAnsi="宋体" w:eastAsia="宋体"/>
                <w:color w:val="auto"/>
                <w:sz w:val="24"/>
                <w:highlight w:val="none"/>
              </w:rPr>
            </w:pPr>
          </w:p>
        </w:tc>
        <w:tc>
          <w:tcPr>
            <w:tcW w:w="4976" w:type="dxa"/>
            <w:tcBorders>
              <w:top w:val="single" w:color="auto" w:sz="4" w:space="0"/>
            </w:tcBorders>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是否落实促进残疾人就业政府采购政策要求</w:t>
            </w:r>
          </w:p>
        </w:tc>
        <w:tc>
          <w:tcPr>
            <w:tcW w:w="1843" w:type="dxa"/>
            <w:tcBorders>
              <w:top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color w:val="auto"/>
                <w:sz w:val="24"/>
                <w:highlight w:val="none"/>
                <w:lang w:eastAsia="zh-CN"/>
              </w:rPr>
              <w:t>☑</w:t>
            </w:r>
            <w:r>
              <w:rPr>
                <w:rFonts w:hint="eastAsia" w:ascii="宋体" w:hAnsi="宋体" w:eastAsia="宋体"/>
                <w:color w:val="auto"/>
                <w:sz w:val="24"/>
                <w:highlight w:val="none"/>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restart"/>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（四）履约风险审查</w:t>
            </w:r>
          </w:p>
        </w:tc>
        <w:tc>
          <w:tcPr>
            <w:tcW w:w="4976" w:type="dxa"/>
            <w:tcBorders>
              <w:bottom w:val="single" w:color="auto" w:sz="4" w:space="0"/>
            </w:tcBorders>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合同文本是否按规定由法律顾问审定</w:t>
            </w:r>
          </w:p>
        </w:tc>
        <w:tc>
          <w:tcPr>
            <w:tcW w:w="1843" w:type="dxa"/>
            <w:tcBorders>
              <w:bottom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color w:val="auto"/>
                <w:sz w:val="24"/>
                <w:highlight w:val="none"/>
                <w:lang w:eastAsia="zh-CN"/>
              </w:rPr>
              <w:t>☑</w:t>
            </w:r>
            <w:r>
              <w:rPr>
                <w:rFonts w:hint="eastAsia" w:ascii="宋体" w:hAnsi="宋体" w:eastAsia="宋体"/>
                <w:color w:val="auto"/>
                <w:sz w:val="24"/>
                <w:highlight w:val="none"/>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continue"/>
            <w:vAlign w:val="center"/>
          </w:tcPr>
          <w:p>
            <w:pPr>
              <w:spacing w:line="360" w:lineRule="auto"/>
              <w:rPr>
                <w:rFonts w:ascii="宋体" w:hAnsi="宋体" w:eastAsia="宋体"/>
                <w:color w:val="auto"/>
                <w:sz w:val="24"/>
                <w:highlight w:val="none"/>
              </w:rPr>
            </w:pPr>
          </w:p>
        </w:tc>
        <w:tc>
          <w:tcPr>
            <w:tcW w:w="4976" w:type="dxa"/>
            <w:tcBorders>
              <w:bottom w:val="single" w:color="auto" w:sz="4" w:space="0"/>
            </w:tcBorders>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合同文本运用是否适当</w:t>
            </w:r>
          </w:p>
        </w:tc>
        <w:tc>
          <w:tcPr>
            <w:tcW w:w="1843" w:type="dxa"/>
            <w:tcBorders>
              <w:bottom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color w:val="auto"/>
                <w:sz w:val="24"/>
                <w:highlight w:val="none"/>
                <w:lang w:eastAsia="zh-CN"/>
              </w:rPr>
              <w:t>☑</w:t>
            </w:r>
            <w:r>
              <w:rPr>
                <w:rFonts w:hint="eastAsia" w:ascii="宋体" w:hAnsi="宋体" w:eastAsia="宋体"/>
                <w:color w:val="auto"/>
                <w:sz w:val="24"/>
                <w:highlight w:val="none"/>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continue"/>
            <w:vAlign w:val="center"/>
          </w:tcPr>
          <w:p>
            <w:pPr>
              <w:spacing w:line="360" w:lineRule="auto"/>
              <w:rPr>
                <w:rFonts w:ascii="宋体" w:hAnsi="宋体" w:eastAsia="宋体"/>
                <w:color w:val="auto"/>
                <w:sz w:val="24"/>
                <w:highlight w:val="none"/>
              </w:rPr>
            </w:pPr>
          </w:p>
        </w:tc>
        <w:tc>
          <w:tcPr>
            <w:tcW w:w="4976" w:type="dxa"/>
            <w:tcBorders>
              <w:top w:val="single" w:color="auto" w:sz="4" w:space="0"/>
              <w:bottom w:val="single" w:color="auto" w:sz="4" w:space="0"/>
            </w:tcBorders>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是否围绕采购需求和合同履行设置权利义务</w:t>
            </w:r>
          </w:p>
        </w:tc>
        <w:tc>
          <w:tcPr>
            <w:tcW w:w="1843" w:type="dxa"/>
            <w:tcBorders>
              <w:top w:val="single" w:color="auto" w:sz="4" w:space="0"/>
              <w:bottom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color w:val="auto"/>
                <w:sz w:val="24"/>
                <w:highlight w:val="none"/>
                <w:lang w:eastAsia="zh-CN"/>
              </w:rPr>
              <w:t>☑</w:t>
            </w:r>
            <w:r>
              <w:rPr>
                <w:rFonts w:hint="eastAsia" w:ascii="宋体" w:hAnsi="宋体" w:eastAsia="宋体"/>
                <w:color w:val="auto"/>
                <w:sz w:val="24"/>
                <w:highlight w:val="none"/>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continue"/>
            <w:vAlign w:val="center"/>
          </w:tcPr>
          <w:p>
            <w:pPr>
              <w:spacing w:line="360" w:lineRule="auto"/>
              <w:rPr>
                <w:rFonts w:ascii="宋体" w:hAnsi="宋体" w:eastAsia="宋体"/>
                <w:color w:val="auto"/>
                <w:sz w:val="24"/>
                <w:highlight w:val="none"/>
              </w:rPr>
            </w:pPr>
          </w:p>
        </w:tc>
        <w:tc>
          <w:tcPr>
            <w:tcW w:w="4976" w:type="dxa"/>
            <w:tcBorders>
              <w:top w:val="single" w:color="auto" w:sz="4" w:space="0"/>
              <w:bottom w:val="single" w:color="auto" w:sz="4" w:space="0"/>
            </w:tcBorders>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是否明确知识产权等方面的要求</w:t>
            </w:r>
          </w:p>
        </w:tc>
        <w:tc>
          <w:tcPr>
            <w:tcW w:w="1843" w:type="dxa"/>
            <w:tcBorders>
              <w:top w:val="single" w:color="auto" w:sz="4" w:space="0"/>
              <w:bottom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color w:val="auto"/>
                <w:sz w:val="24"/>
                <w:highlight w:val="none"/>
                <w:lang w:eastAsia="zh-CN"/>
              </w:rPr>
              <w:t>☑</w:t>
            </w:r>
            <w:r>
              <w:rPr>
                <w:rFonts w:hint="eastAsia" w:ascii="宋体" w:hAnsi="宋体" w:eastAsia="宋体"/>
                <w:color w:val="auto"/>
                <w:sz w:val="24"/>
                <w:highlight w:val="none"/>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continue"/>
            <w:vAlign w:val="center"/>
          </w:tcPr>
          <w:p>
            <w:pPr>
              <w:spacing w:line="360" w:lineRule="auto"/>
              <w:rPr>
                <w:rFonts w:ascii="宋体" w:hAnsi="宋体" w:eastAsia="宋体"/>
                <w:color w:val="auto"/>
                <w:sz w:val="24"/>
                <w:highlight w:val="none"/>
              </w:rPr>
            </w:pPr>
          </w:p>
        </w:tc>
        <w:tc>
          <w:tcPr>
            <w:tcW w:w="4976" w:type="dxa"/>
            <w:tcBorders>
              <w:top w:val="single" w:color="auto" w:sz="4" w:space="0"/>
              <w:bottom w:val="single" w:color="auto" w:sz="4" w:space="0"/>
            </w:tcBorders>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履约验收方案是否完整、标准是否明确</w:t>
            </w:r>
          </w:p>
        </w:tc>
        <w:tc>
          <w:tcPr>
            <w:tcW w:w="1843" w:type="dxa"/>
            <w:tcBorders>
              <w:top w:val="single" w:color="auto" w:sz="4" w:space="0"/>
              <w:bottom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color w:val="auto"/>
                <w:sz w:val="24"/>
                <w:highlight w:val="none"/>
                <w:lang w:eastAsia="zh-CN"/>
              </w:rPr>
              <w:t>☑</w:t>
            </w:r>
            <w:r>
              <w:rPr>
                <w:rFonts w:hint="eastAsia" w:ascii="宋体" w:hAnsi="宋体" w:eastAsia="宋体"/>
                <w:color w:val="auto"/>
                <w:sz w:val="24"/>
                <w:highlight w:val="none"/>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continue"/>
            <w:vAlign w:val="center"/>
          </w:tcPr>
          <w:p>
            <w:pPr>
              <w:spacing w:line="360" w:lineRule="auto"/>
              <w:rPr>
                <w:rFonts w:ascii="宋体" w:hAnsi="宋体" w:eastAsia="宋体"/>
                <w:color w:val="auto"/>
                <w:sz w:val="24"/>
                <w:highlight w:val="none"/>
              </w:rPr>
            </w:pPr>
          </w:p>
        </w:tc>
        <w:tc>
          <w:tcPr>
            <w:tcW w:w="4976" w:type="dxa"/>
            <w:tcBorders>
              <w:top w:val="single" w:color="auto" w:sz="4" w:space="0"/>
            </w:tcBorders>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风险处置措施和替代方案是否可行</w:t>
            </w:r>
          </w:p>
        </w:tc>
        <w:tc>
          <w:tcPr>
            <w:tcW w:w="1843" w:type="dxa"/>
            <w:tcBorders>
              <w:top w:val="single" w:color="auto" w:sz="4" w:space="0"/>
            </w:tcBorders>
            <w:vAlign w:val="center"/>
          </w:tcPr>
          <w:p>
            <w:pPr>
              <w:spacing w:line="360" w:lineRule="auto"/>
              <w:jc w:val="center"/>
              <w:rPr>
                <w:rFonts w:ascii="宋体" w:hAnsi="宋体" w:eastAsia="宋体"/>
                <w:color w:val="auto"/>
                <w:sz w:val="24"/>
                <w:highlight w:val="none"/>
              </w:rPr>
            </w:pPr>
            <w:r>
              <w:rPr>
                <w:rFonts w:hint="eastAsia" w:ascii="宋体" w:hAnsi="宋体"/>
                <w:color w:val="auto"/>
                <w:sz w:val="24"/>
                <w:highlight w:val="none"/>
                <w:lang w:eastAsia="zh-CN"/>
              </w:rPr>
              <w:t>☑</w:t>
            </w:r>
            <w:r>
              <w:rPr>
                <w:rFonts w:hint="eastAsia" w:ascii="宋体" w:hAnsi="宋体" w:eastAsia="宋体"/>
                <w:color w:val="auto"/>
                <w:sz w:val="24"/>
                <w:highlight w:val="none"/>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restart"/>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（五）采购人或者主管预算单位认为应当审查的其他内容</w:t>
            </w:r>
          </w:p>
        </w:tc>
        <w:tc>
          <w:tcPr>
            <w:tcW w:w="4976" w:type="dxa"/>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采购人或者主管预算单位认为应当审查的其他内容1</w:t>
            </w:r>
          </w:p>
        </w:tc>
        <w:tc>
          <w:tcPr>
            <w:tcW w:w="1843" w:type="dxa"/>
            <w:vAlign w:val="center"/>
          </w:tcPr>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 xml:space="preserve">□是  </w:t>
            </w:r>
            <w:r>
              <w:rPr>
                <w:rFonts w:hint="eastAsia" w:ascii="宋体" w:hAnsi="宋体"/>
                <w:color w:val="auto"/>
                <w:sz w:val="24"/>
                <w:highlight w:val="none"/>
                <w:lang w:eastAsia="zh-CN"/>
              </w:rPr>
              <w:t>☑</w:t>
            </w:r>
            <w:r>
              <w:rPr>
                <w:rFonts w:hint="eastAsia" w:ascii="宋体" w:hAnsi="宋体" w:eastAsia="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continue"/>
            <w:vAlign w:val="center"/>
          </w:tcPr>
          <w:p>
            <w:pPr>
              <w:spacing w:line="360" w:lineRule="auto"/>
              <w:rPr>
                <w:rFonts w:ascii="宋体" w:hAnsi="宋体" w:eastAsia="宋体"/>
                <w:color w:val="auto"/>
                <w:sz w:val="24"/>
                <w:highlight w:val="none"/>
              </w:rPr>
            </w:pPr>
          </w:p>
        </w:tc>
        <w:tc>
          <w:tcPr>
            <w:tcW w:w="4976" w:type="dxa"/>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采购人或者主管预算单位认为应当审查的其他内容2</w:t>
            </w:r>
          </w:p>
        </w:tc>
        <w:tc>
          <w:tcPr>
            <w:tcW w:w="1843" w:type="dxa"/>
            <w:vAlign w:val="center"/>
          </w:tcPr>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 xml:space="preserve">□是  </w:t>
            </w:r>
            <w:r>
              <w:rPr>
                <w:rFonts w:hint="eastAsia" w:ascii="宋体" w:hAnsi="宋体"/>
                <w:color w:val="auto"/>
                <w:sz w:val="24"/>
                <w:highlight w:val="none"/>
                <w:lang w:eastAsia="zh-CN"/>
              </w:rPr>
              <w:t>☑</w:t>
            </w:r>
            <w:r>
              <w:rPr>
                <w:rFonts w:hint="eastAsia" w:ascii="宋体" w:hAnsi="宋体" w:eastAsia="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70" w:type="dxa"/>
            <w:vMerge w:val="continue"/>
            <w:vAlign w:val="center"/>
          </w:tcPr>
          <w:p>
            <w:pPr>
              <w:spacing w:line="360" w:lineRule="auto"/>
              <w:rPr>
                <w:rFonts w:ascii="宋体" w:hAnsi="宋体" w:eastAsia="宋体"/>
                <w:color w:val="auto"/>
                <w:sz w:val="24"/>
                <w:highlight w:val="none"/>
              </w:rPr>
            </w:pPr>
          </w:p>
        </w:tc>
        <w:tc>
          <w:tcPr>
            <w:tcW w:w="4976" w:type="dxa"/>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采购人或者主管预算单位认为应当审查的其他内容3</w:t>
            </w:r>
          </w:p>
        </w:tc>
        <w:tc>
          <w:tcPr>
            <w:tcW w:w="1843" w:type="dxa"/>
            <w:vAlign w:val="center"/>
          </w:tcPr>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 xml:space="preserve">□是  </w:t>
            </w:r>
            <w:r>
              <w:rPr>
                <w:rFonts w:hint="eastAsia" w:ascii="宋体" w:hAnsi="宋体"/>
                <w:color w:val="auto"/>
                <w:sz w:val="24"/>
                <w:highlight w:val="none"/>
                <w:lang w:eastAsia="zh-CN"/>
              </w:rPr>
              <w:t>☑</w:t>
            </w:r>
            <w:r>
              <w:rPr>
                <w:rFonts w:hint="eastAsia" w:ascii="宋体" w:hAnsi="宋体" w:eastAsia="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trPr>
        <w:tc>
          <w:tcPr>
            <w:tcW w:w="1970" w:type="dxa"/>
            <w:vMerge w:val="continue"/>
            <w:vAlign w:val="center"/>
          </w:tcPr>
          <w:p>
            <w:pPr>
              <w:spacing w:line="360" w:lineRule="auto"/>
              <w:rPr>
                <w:rFonts w:ascii="宋体" w:hAnsi="宋体" w:eastAsia="宋体"/>
                <w:color w:val="auto"/>
                <w:sz w:val="24"/>
                <w:highlight w:val="none"/>
              </w:rPr>
            </w:pPr>
          </w:p>
        </w:tc>
        <w:tc>
          <w:tcPr>
            <w:tcW w:w="4976" w:type="dxa"/>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采购人或者主管预算单位认为应当审查的其他内容4</w:t>
            </w:r>
          </w:p>
        </w:tc>
        <w:tc>
          <w:tcPr>
            <w:tcW w:w="1843" w:type="dxa"/>
            <w:vAlign w:val="center"/>
          </w:tcPr>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 xml:space="preserve">□是  </w:t>
            </w:r>
            <w:r>
              <w:rPr>
                <w:rFonts w:hint="eastAsia" w:ascii="宋体" w:hAnsi="宋体"/>
                <w:color w:val="auto"/>
                <w:sz w:val="24"/>
                <w:highlight w:val="none"/>
                <w:lang w:eastAsia="zh-CN"/>
              </w:rPr>
              <w:t>☑</w:t>
            </w:r>
            <w:r>
              <w:rPr>
                <w:rFonts w:hint="eastAsia" w:ascii="宋体" w:hAnsi="宋体" w:eastAsia="宋体"/>
                <w:color w:val="auto"/>
                <w:sz w:val="24"/>
                <w:highlight w:val="none"/>
              </w:rPr>
              <w:t>否</w:t>
            </w:r>
          </w:p>
        </w:tc>
      </w:tr>
    </w:tbl>
    <w:p>
      <w:pPr>
        <w:spacing w:line="360" w:lineRule="auto"/>
        <w:rPr>
          <w:rFonts w:ascii="宋体" w:hAnsi="宋体" w:eastAsia="宋体"/>
          <w:color w:val="auto"/>
          <w:sz w:val="24"/>
          <w:highlight w:val="none"/>
        </w:rPr>
      </w:pPr>
    </w:p>
    <w:p>
      <w:pPr>
        <w:spacing w:line="360" w:lineRule="auto"/>
        <w:ind w:firstLine="241" w:firstLineChars="100"/>
        <w:jc w:val="left"/>
        <w:rPr>
          <w:rFonts w:ascii="宋体" w:hAnsi="宋体" w:eastAsia="宋体" w:cs="仿宋_GB2312"/>
          <w:b/>
          <w:color w:val="auto"/>
          <w:sz w:val="24"/>
          <w:highlight w:val="none"/>
        </w:rPr>
      </w:pPr>
      <w:r>
        <w:rPr>
          <w:rFonts w:hint="eastAsia" w:ascii="宋体" w:hAnsi="宋体" w:eastAsia="宋体"/>
          <w:b/>
          <w:color w:val="auto"/>
          <w:sz w:val="24"/>
          <w:highlight w:val="none"/>
        </w:rPr>
        <w:t xml:space="preserve">审查结果:   </w:t>
      </w:r>
      <w:r>
        <w:rPr>
          <w:rFonts w:hint="eastAsia" w:ascii="宋体" w:hAnsi="宋体"/>
          <w:color w:val="auto"/>
          <w:sz w:val="24"/>
          <w:highlight w:val="none"/>
          <w:lang w:eastAsia="zh-CN"/>
        </w:rPr>
        <w:t>☑</w:t>
      </w:r>
      <w:r>
        <w:rPr>
          <w:rFonts w:hint="eastAsia" w:ascii="宋体" w:hAnsi="宋体" w:eastAsia="宋体" w:cs="仿宋_GB2312"/>
          <w:b/>
          <w:color w:val="auto"/>
          <w:sz w:val="24"/>
          <w:highlight w:val="none"/>
        </w:rPr>
        <w:t xml:space="preserve">通过    </w:t>
      </w:r>
      <w:r>
        <w:rPr>
          <w:rFonts w:hint="eastAsia" w:ascii="宋体" w:hAnsi="宋体" w:eastAsia="宋体"/>
          <w:color w:val="auto"/>
          <w:sz w:val="24"/>
          <w:highlight w:val="none"/>
        </w:rPr>
        <w:t>□</w:t>
      </w:r>
      <w:r>
        <w:rPr>
          <w:rFonts w:hint="eastAsia" w:ascii="宋体" w:hAnsi="宋体" w:eastAsia="宋体" w:cs="仿宋_GB2312"/>
          <w:b/>
          <w:color w:val="auto"/>
          <w:sz w:val="24"/>
          <w:highlight w:val="none"/>
        </w:rPr>
        <w:t>不通过</w:t>
      </w:r>
    </w:p>
    <w:p>
      <w:pPr>
        <w:spacing w:line="360" w:lineRule="auto"/>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 xml:space="preserve">  审查人员签字：</w:t>
      </w:r>
    </w:p>
    <w:p>
      <w:pPr>
        <w:spacing w:line="360" w:lineRule="auto"/>
        <w:rPr>
          <w:rFonts w:ascii="宋体" w:hAnsi="宋体" w:eastAsia="宋体"/>
          <w:color w:val="auto"/>
          <w:sz w:val="24"/>
          <w:highlight w:val="none"/>
        </w:rPr>
      </w:pPr>
    </w:p>
    <w:p>
      <w:pPr>
        <w:spacing w:line="360" w:lineRule="auto"/>
        <w:jc w:val="left"/>
        <w:outlineLvl w:val="1"/>
        <w:rPr>
          <w:rFonts w:ascii="宋体" w:hAnsi="宋体" w:eastAsia="宋体"/>
          <w:color w:val="auto"/>
          <w:sz w:val="24"/>
          <w:highlight w:val="none"/>
        </w:rPr>
      </w:pPr>
    </w:p>
    <w:sectPr>
      <w:footerReference r:id="rId4" w:type="default"/>
      <w:footerReference r:id="rId5"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
    <w:altName w:val="宋体"/>
    <w:panose1 w:val="00000000000000000000"/>
    <w:charset w:val="86"/>
    <w:family w:val="auto"/>
    <w:pitch w:val="default"/>
    <w:sig w:usb0="00000000" w:usb1="00000000" w:usb2="00000010" w:usb3="00000000" w:csb0="00040001"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PingFang SC Regular">
    <w:altName w:val="Segoe Print"/>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525941291">
    <w:nsid w:val="968ECE2B"/>
    <w:multiLevelType w:val="singleLevel"/>
    <w:tmpl w:val="968ECE2B"/>
    <w:lvl w:ilvl="0" w:tentative="1">
      <w:start w:val="2"/>
      <w:numFmt w:val="decimal"/>
      <w:suff w:val="nothing"/>
      <w:lvlText w:val="%1、"/>
      <w:lvlJc w:val="left"/>
    </w:lvl>
  </w:abstractNum>
  <w:abstractNum w:abstractNumId="2004697439">
    <w:nsid w:val="777D415F"/>
    <w:multiLevelType w:val="multilevel"/>
    <w:tmpl w:val="777D415F"/>
    <w:lvl w:ilvl="0" w:tentative="1">
      <w:start w:val="2"/>
      <w:numFmt w:val="japaneseCounting"/>
      <w:pStyle w:val="45"/>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45475618">
    <w:nsid w:val="79EB7B22"/>
    <w:multiLevelType w:val="multilevel"/>
    <w:tmpl w:val="79EB7B22"/>
    <w:lvl w:ilvl="0" w:tentative="1">
      <w:start w:val="1"/>
      <w:numFmt w:val="bullet"/>
      <w:lvlText w:val=""/>
      <w:lvlJc w:val="left"/>
      <w:pPr>
        <w:tabs>
          <w:tab w:val="left" w:pos="700"/>
        </w:tabs>
        <w:ind w:left="700" w:hanging="420"/>
      </w:pPr>
      <w:rPr>
        <w:rFonts w:hint="default" w:ascii="Wingdings" w:hAnsi="Wingdings"/>
      </w:rPr>
    </w:lvl>
    <w:lvl w:ilvl="1" w:tentative="1">
      <w:start w:val="1"/>
      <w:numFmt w:val="bullet"/>
      <w:lvlText w:val=""/>
      <w:lvlJc w:val="left"/>
      <w:pPr>
        <w:tabs>
          <w:tab w:val="left" w:pos="1120"/>
        </w:tabs>
        <w:ind w:left="1120" w:hanging="420"/>
      </w:pPr>
      <w:rPr>
        <w:rFonts w:hint="default" w:ascii="Wingdings" w:hAnsi="Wingdings"/>
      </w:rPr>
    </w:lvl>
    <w:lvl w:ilvl="2" w:tentative="1">
      <w:start w:val="1"/>
      <w:numFmt w:val="bullet"/>
      <w:lvlText w:val=""/>
      <w:lvlJc w:val="left"/>
      <w:pPr>
        <w:tabs>
          <w:tab w:val="left" w:pos="1540"/>
        </w:tabs>
        <w:ind w:left="1540" w:hanging="420"/>
      </w:pPr>
      <w:rPr>
        <w:rFonts w:hint="default" w:ascii="Wingdings" w:hAnsi="Wingdings"/>
      </w:rPr>
    </w:lvl>
    <w:lvl w:ilvl="3" w:tentative="1">
      <w:start w:val="1"/>
      <w:numFmt w:val="bullet"/>
      <w:lvlText w:val=""/>
      <w:lvlJc w:val="left"/>
      <w:pPr>
        <w:tabs>
          <w:tab w:val="left" w:pos="1960"/>
        </w:tabs>
        <w:ind w:left="1960" w:hanging="420"/>
      </w:pPr>
      <w:rPr>
        <w:rFonts w:hint="default" w:ascii="Wingdings" w:hAnsi="Wingdings"/>
      </w:rPr>
    </w:lvl>
    <w:lvl w:ilvl="4" w:tentative="1">
      <w:start w:val="1"/>
      <w:numFmt w:val="bullet"/>
      <w:pStyle w:val="36"/>
      <w:lvlText w:val=""/>
      <w:lvlJc w:val="left"/>
      <w:pPr>
        <w:tabs>
          <w:tab w:val="left" w:pos="2380"/>
        </w:tabs>
        <w:ind w:left="2380" w:hanging="420"/>
      </w:pPr>
      <w:rPr>
        <w:rFonts w:hint="default" w:ascii="Wingdings" w:hAnsi="Wingdings"/>
      </w:rPr>
    </w:lvl>
    <w:lvl w:ilvl="5" w:tentative="1">
      <w:start w:val="1"/>
      <w:numFmt w:val="bullet"/>
      <w:lvlText w:val=""/>
      <w:lvlJc w:val="left"/>
      <w:pPr>
        <w:tabs>
          <w:tab w:val="left" w:pos="2800"/>
        </w:tabs>
        <w:ind w:left="2800" w:hanging="420"/>
      </w:pPr>
      <w:rPr>
        <w:rFonts w:hint="default" w:ascii="Wingdings" w:hAnsi="Wingdings"/>
      </w:rPr>
    </w:lvl>
    <w:lvl w:ilvl="6" w:tentative="1">
      <w:start w:val="1"/>
      <w:numFmt w:val="bullet"/>
      <w:lvlText w:val=""/>
      <w:lvlJc w:val="left"/>
      <w:pPr>
        <w:tabs>
          <w:tab w:val="left" w:pos="3220"/>
        </w:tabs>
        <w:ind w:left="3220" w:hanging="420"/>
      </w:pPr>
      <w:rPr>
        <w:rFonts w:hint="default" w:ascii="Wingdings" w:hAnsi="Wingdings"/>
      </w:rPr>
    </w:lvl>
    <w:lvl w:ilvl="7" w:tentative="1">
      <w:start w:val="1"/>
      <w:numFmt w:val="bullet"/>
      <w:lvlText w:val=""/>
      <w:lvlJc w:val="left"/>
      <w:pPr>
        <w:tabs>
          <w:tab w:val="left" w:pos="3640"/>
        </w:tabs>
        <w:ind w:left="3640" w:hanging="420"/>
      </w:pPr>
      <w:rPr>
        <w:rFonts w:hint="default" w:ascii="Wingdings" w:hAnsi="Wingdings"/>
      </w:rPr>
    </w:lvl>
    <w:lvl w:ilvl="8" w:tentative="1">
      <w:start w:val="1"/>
      <w:numFmt w:val="bullet"/>
      <w:lvlText w:val=""/>
      <w:lvlJc w:val="left"/>
      <w:pPr>
        <w:tabs>
          <w:tab w:val="left" w:pos="4060"/>
        </w:tabs>
        <w:ind w:left="4060" w:hanging="420"/>
      </w:pPr>
      <w:rPr>
        <w:rFonts w:hint="default" w:ascii="Wingdings" w:hAnsi="Wingdings"/>
      </w:rPr>
    </w:lvl>
  </w:abstractNum>
  <w:abstractNum w:abstractNumId="1985156851">
    <w:nsid w:val="765316F3"/>
    <w:multiLevelType w:val="multilevel"/>
    <w:tmpl w:val="765316F3"/>
    <w:lvl w:ilvl="0" w:tentative="1">
      <w:start w:val="1"/>
      <w:numFmt w:val="chineseCountingThousand"/>
      <w:pStyle w:val="2"/>
      <w:lvlText w:val="%1、"/>
      <w:lvlJc w:val="left"/>
      <w:rPr>
        <w:rFonts w:hint="default" w:ascii="??" w:hAnsi="??" w:eastAsia="??"/>
        <w:b/>
        <w:i w:val="0"/>
        <w:iCs w:val="0"/>
        <w:caps w:val="0"/>
        <w:smallCaps w:val="0"/>
        <w:strike w:val="0"/>
        <w:dstrike w:val="0"/>
        <w:color w:val="000000"/>
        <w:spacing w:val="0"/>
        <w:position w:val="0"/>
        <w:sz w:val="21"/>
        <w:szCs w:val="21"/>
        <w:u w:val="none"/>
      </w:rPr>
    </w:lvl>
    <w:lvl w:ilvl="1" w:tentative="1">
      <w:start w:val="1"/>
      <w:numFmt w:val="lowerLetter"/>
      <w:lvlText w:val="%2)"/>
      <w:lvlJc w:val="left"/>
      <w:pPr>
        <w:tabs>
          <w:tab w:val="left" w:pos="1149"/>
        </w:tabs>
        <w:ind w:left="1149" w:hanging="420"/>
      </w:pPr>
    </w:lvl>
    <w:lvl w:ilvl="2" w:tentative="1">
      <w:start w:val="2"/>
      <w:numFmt w:val="japaneseCounting"/>
      <w:lvlText w:val="(%3)"/>
      <w:lvlJc w:val="left"/>
      <w:pPr>
        <w:tabs>
          <w:tab w:val="left" w:pos="1569"/>
        </w:tabs>
        <w:ind w:left="1569" w:hanging="420"/>
      </w:pPr>
    </w:lvl>
    <w:lvl w:ilvl="3" w:tentative="1">
      <w:start w:val="1"/>
      <w:numFmt w:val="japaneseCounting"/>
      <w:lvlText w:val="（%4）"/>
      <w:lvlJc w:val="left"/>
      <w:pPr>
        <w:tabs>
          <w:tab w:val="left" w:pos="2289"/>
        </w:tabs>
        <w:ind w:left="2289" w:hanging="720"/>
      </w:pPr>
    </w:lvl>
    <w:lvl w:ilvl="4" w:tentative="1">
      <w:start w:val="3"/>
      <w:numFmt w:val="japaneseCounting"/>
      <w:lvlText w:val="%5、"/>
      <w:lvlJc w:val="left"/>
      <w:pPr>
        <w:tabs>
          <w:tab w:val="left" w:pos="2409"/>
        </w:tabs>
        <w:ind w:left="2409" w:hanging="420"/>
      </w:pPr>
    </w:lvl>
    <w:lvl w:ilvl="5" w:tentative="1">
      <w:start w:val="1"/>
      <w:numFmt w:val="decimal"/>
      <w:lvlText w:val="%6、"/>
      <w:lvlJc w:val="left"/>
      <w:pPr>
        <w:tabs>
          <w:tab w:val="left" w:pos="3144"/>
        </w:tabs>
        <w:ind w:left="3144" w:hanging="735"/>
      </w:pPr>
      <w:rPr>
        <w:rFonts w:ascii="Times New Roman" w:hAnsi="Times New Roman" w:eastAsia="宋体" w:cs="Times New Roman"/>
      </w:rPr>
    </w:lvl>
    <w:lvl w:ilvl="6" w:tentative="1">
      <w:start w:val="1"/>
      <w:numFmt w:val="decimal"/>
      <w:lvlText w:val="%7."/>
      <w:lvlJc w:val="left"/>
      <w:pPr>
        <w:tabs>
          <w:tab w:val="left" w:pos="3249"/>
        </w:tabs>
        <w:ind w:left="3249" w:hanging="420"/>
      </w:pPr>
    </w:lvl>
    <w:lvl w:ilvl="7" w:tentative="1">
      <w:start w:val="1"/>
      <w:numFmt w:val="lowerLetter"/>
      <w:lvlText w:val="%8)"/>
      <w:lvlJc w:val="left"/>
      <w:pPr>
        <w:tabs>
          <w:tab w:val="left" w:pos="3669"/>
        </w:tabs>
        <w:ind w:left="3669" w:hanging="420"/>
      </w:pPr>
    </w:lvl>
    <w:lvl w:ilvl="8" w:tentative="1">
      <w:start w:val="1"/>
      <w:numFmt w:val="lowerRoman"/>
      <w:lvlText w:val="%9."/>
      <w:lvlJc w:val="right"/>
      <w:pPr>
        <w:tabs>
          <w:tab w:val="left" w:pos="4089"/>
        </w:tabs>
        <w:ind w:left="4089" w:hanging="420"/>
      </w:pPr>
    </w:lvl>
  </w:abstractNum>
  <w:num w:numId="1">
    <w:abstractNumId w:val="1985156851"/>
  </w:num>
  <w:num w:numId="2">
    <w:abstractNumId w:val="2045475618"/>
  </w:num>
  <w:num w:numId="3">
    <w:abstractNumId w:val="2004697439"/>
  </w:num>
  <w:num w:numId="4">
    <w:abstractNumId w:val="25259412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GEzYzNkMDRiYmJmMzhjNjlhZjc3ZmYwYzU4ZjFmZTEifQ=="/>
  </w:docVars>
  <w:rsids>
    <w:rsidRoot w:val="006F0877"/>
    <w:rsid w:val="00003821"/>
    <w:rsid w:val="00021224"/>
    <w:rsid w:val="00025074"/>
    <w:rsid w:val="00025455"/>
    <w:rsid w:val="000311FD"/>
    <w:rsid w:val="000441ED"/>
    <w:rsid w:val="000609AD"/>
    <w:rsid w:val="00064381"/>
    <w:rsid w:val="00066D41"/>
    <w:rsid w:val="00076506"/>
    <w:rsid w:val="00077C1A"/>
    <w:rsid w:val="0008558E"/>
    <w:rsid w:val="000918DD"/>
    <w:rsid w:val="00092F4E"/>
    <w:rsid w:val="000A60DC"/>
    <w:rsid w:val="000B06FC"/>
    <w:rsid w:val="000C0F74"/>
    <w:rsid w:val="000C3D7C"/>
    <w:rsid w:val="000C6507"/>
    <w:rsid w:val="000D0C5A"/>
    <w:rsid w:val="000D661C"/>
    <w:rsid w:val="000E102E"/>
    <w:rsid w:val="000E2842"/>
    <w:rsid w:val="000F2FFD"/>
    <w:rsid w:val="000F4C91"/>
    <w:rsid w:val="000F58B1"/>
    <w:rsid w:val="001300DC"/>
    <w:rsid w:val="001364CE"/>
    <w:rsid w:val="00142180"/>
    <w:rsid w:val="001444DD"/>
    <w:rsid w:val="001509B0"/>
    <w:rsid w:val="00152AF0"/>
    <w:rsid w:val="001540ED"/>
    <w:rsid w:val="00154DF5"/>
    <w:rsid w:val="00171DEE"/>
    <w:rsid w:val="001737EA"/>
    <w:rsid w:val="00175816"/>
    <w:rsid w:val="0017709A"/>
    <w:rsid w:val="00177181"/>
    <w:rsid w:val="00181458"/>
    <w:rsid w:val="0018642F"/>
    <w:rsid w:val="00186E20"/>
    <w:rsid w:val="00192DB8"/>
    <w:rsid w:val="001965E5"/>
    <w:rsid w:val="00196835"/>
    <w:rsid w:val="00196A3F"/>
    <w:rsid w:val="001A0D54"/>
    <w:rsid w:val="001A4CEB"/>
    <w:rsid w:val="001A6F93"/>
    <w:rsid w:val="001C3C81"/>
    <w:rsid w:val="001C5914"/>
    <w:rsid w:val="001D058B"/>
    <w:rsid w:val="001D2C73"/>
    <w:rsid w:val="001D73CE"/>
    <w:rsid w:val="001E59BD"/>
    <w:rsid w:val="001F0BAE"/>
    <w:rsid w:val="001F230B"/>
    <w:rsid w:val="002009D3"/>
    <w:rsid w:val="00213440"/>
    <w:rsid w:val="0021449A"/>
    <w:rsid w:val="00222BA1"/>
    <w:rsid w:val="00240327"/>
    <w:rsid w:val="0024056D"/>
    <w:rsid w:val="00251D5B"/>
    <w:rsid w:val="0025719D"/>
    <w:rsid w:val="00261674"/>
    <w:rsid w:val="00265E4D"/>
    <w:rsid w:val="0026741D"/>
    <w:rsid w:val="002678A2"/>
    <w:rsid w:val="0027642B"/>
    <w:rsid w:val="00277755"/>
    <w:rsid w:val="00280777"/>
    <w:rsid w:val="00286AAF"/>
    <w:rsid w:val="00295E38"/>
    <w:rsid w:val="002964A8"/>
    <w:rsid w:val="002A0A2F"/>
    <w:rsid w:val="002B163F"/>
    <w:rsid w:val="002C4305"/>
    <w:rsid w:val="002D75AC"/>
    <w:rsid w:val="002E3138"/>
    <w:rsid w:val="002E34B2"/>
    <w:rsid w:val="002E35A8"/>
    <w:rsid w:val="002E3751"/>
    <w:rsid w:val="002F0942"/>
    <w:rsid w:val="002F4DC4"/>
    <w:rsid w:val="002F7B43"/>
    <w:rsid w:val="003019E1"/>
    <w:rsid w:val="00303316"/>
    <w:rsid w:val="00310CAD"/>
    <w:rsid w:val="00315D22"/>
    <w:rsid w:val="00315D6E"/>
    <w:rsid w:val="00321278"/>
    <w:rsid w:val="00322903"/>
    <w:rsid w:val="003263C8"/>
    <w:rsid w:val="0033793E"/>
    <w:rsid w:val="00340773"/>
    <w:rsid w:val="003507DB"/>
    <w:rsid w:val="0035602E"/>
    <w:rsid w:val="0036346D"/>
    <w:rsid w:val="00372722"/>
    <w:rsid w:val="003909A6"/>
    <w:rsid w:val="00392588"/>
    <w:rsid w:val="003939FE"/>
    <w:rsid w:val="0039420F"/>
    <w:rsid w:val="003A329F"/>
    <w:rsid w:val="003C77ED"/>
    <w:rsid w:val="003D0FAE"/>
    <w:rsid w:val="003D45FA"/>
    <w:rsid w:val="003D4D3F"/>
    <w:rsid w:val="003E3407"/>
    <w:rsid w:val="003F6DB7"/>
    <w:rsid w:val="004019C1"/>
    <w:rsid w:val="00402F07"/>
    <w:rsid w:val="00405CAF"/>
    <w:rsid w:val="004066EE"/>
    <w:rsid w:val="00410718"/>
    <w:rsid w:val="004141FE"/>
    <w:rsid w:val="00427428"/>
    <w:rsid w:val="00431378"/>
    <w:rsid w:val="00433A86"/>
    <w:rsid w:val="00441433"/>
    <w:rsid w:val="0046019E"/>
    <w:rsid w:val="0047248C"/>
    <w:rsid w:val="00473949"/>
    <w:rsid w:val="0047473B"/>
    <w:rsid w:val="004956AF"/>
    <w:rsid w:val="004978DB"/>
    <w:rsid w:val="004A0291"/>
    <w:rsid w:val="004A2E91"/>
    <w:rsid w:val="004A52DA"/>
    <w:rsid w:val="004B0059"/>
    <w:rsid w:val="004B0115"/>
    <w:rsid w:val="004D18D1"/>
    <w:rsid w:val="004D4E89"/>
    <w:rsid w:val="004E02FA"/>
    <w:rsid w:val="004E1E58"/>
    <w:rsid w:val="004F3CC0"/>
    <w:rsid w:val="004F3F1A"/>
    <w:rsid w:val="004F55C4"/>
    <w:rsid w:val="004F655B"/>
    <w:rsid w:val="00504F13"/>
    <w:rsid w:val="0050595D"/>
    <w:rsid w:val="00506D54"/>
    <w:rsid w:val="00516B83"/>
    <w:rsid w:val="00521FD9"/>
    <w:rsid w:val="00537974"/>
    <w:rsid w:val="005408BD"/>
    <w:rsid w:val="00552A9C"/>
    <w:rsid w:val="005545EC"/>
    <w:rsid w:val="00561A6F"/>
    <w:rsid w:val="00565F24"/>
    <w:rsid w:val="0059535D"/>
    <w:rsid w:val="005A2F80"/>
    <w:rsid w:val="005B1E45"/>
    <w:rsid w:val="005C009E"/>
    <w:rsid w:val="005C0A71"/>
    <w:rsid w:val="005C0CCF"/>
    <w:rsid w:val="005C641E"/>
    <w:rsid w:val="005D6E53"/>
    <w:rsid w:val="005D7443"/>
    <w:rsid w:val="005F18C8"/>
    <w:rsid w:val="005F50EF"/>
    <w:rsid w:val="005F622B"/>
    <w:rsid w:val="00601EDD"/>
    <w:rsid w:val="00603E06"/>
    <w:rsid w:val="00607AAD"/>
    <w:rsid w:val="006100E1"/>
    <w:rsid w:val="00613F11"/>
    <w:rsid w:val="00616A27"/>
    <w:rsid w:val="00621454"/>
    <w:rsid w:val="00626E7E"/>
    <w:rsid w:val="00645085"/>
    <w:rsid w:val="00653690"/>
    <w:rsid w:val="00654020"/>
    <w:rsid w:val="00655153"/>
    <w:rsid w:val="006678D9"/>
    <w:rsid w:val="00674484"/>
    <w:rsid w:val="0068268F"/>
    <w:rsid w:val="006840A0"/>
    <w:rsid w:val="006861C3"/>
    <w:rsid w:val="00687581"/>
    <w:rsid w:val="00692769"/>
    <w:rsid w:val="006A4B8D"/>
    <w:rsid w:val="006A72B1"/>
    <w:rsid w:val="006A7A4B"/>
    <w:rsid w:val="006B4378"/>
    <w:rsid w:val="006C1C1B"/>
    <w:rsid w:val="006C1E13"/>
    <w:rsid w:val="006C3D11"/>
    <w:rsid w:val="006C53CE"/>
    <w:rsid w:val="006C6381"/>
    <w:rsid w:val="006D049B"/>
    <w:rsid w:val="006D532A"/>
    <w:rsid w:val="006D7DD7"/>
    <w:rsid w:val="006E0E56"/>
    <w:rsid w:val="006E6DC5"/>
    <w:rsid w:val="006F0877"/>
    <w:rsid w:val="00721F76"/>
    <w:rsid w:val="00725B7D"/>
    <w:rsid w:val="00725D7C"/>
    <w:rsid w:val="00742EDA"/>
    <w:rsid w:val="00755F49"/>
    <w:rsid w:val="00765A2F"/>
    <w:rsid w:val="00773C97"/>
    <w:rsid w:val="00774726"/>
    <w:rsid w:val="007865E5"/>
    <w:rsid w:val="00787410"/>
    <w:rsid w:val="00791ACE"/>
    <w:rsid w:val="007B08B6"/>
    <w:rsid w:val="007B2CBB"/>
    <w:rsid w:val="007B429E"/>
    <w:rsid w:val="007B491E"/>
    <w:rsid w:val="007D4985"/>
    <w:rsid w:val="007E1048"/>
    <w:rsid w:val="007F38B3"/>
    <w:rsid w:val="007F3C60"/>
    <w:rsid w:val="007F4BBB"/>
    <w:rsid w:val="008020B2"/>
    <w:rsid w:val="0080466B"/>
    <w:rsid w:val="00804E07"/>
    <w:rsid w:val="00812139"/>
    <w:rsid w:val="00814363"/>
    <w:rsid w:val="00814F5F"/>
    <w:rsid w:val="0081662C"/>
    <w:rsid w:val="00823618"/>
    <w:rsid w:val="0083154B"/>
    <w:rsid w:val="008370AF"/>
    <w:rsid w:val="00837B9B"/>
    <w:rsid w:val="00840D73"/>
    <w:rsid w:val="008455BB"/>
    <w:rsid w:val="0084753C"/>
    <w:rsid w:val="008544E1"/>
    <w:rsid w:val="008666A5"/>
    <w:rsid w:val="00867FB6"/>
    <w:rsid w:val="0087065E"/>
    <w:rsid w:val="00871E99"/>
    <w:rsid w:val="00873FCE"/>
    <w:rsid w:val="0087423D"/>
    <w:rsid w:val="00880915"/>
    <w:rsid w:val="00882C84"/>
    <w:rsid w:val="008851B5"/>
    <w:rsid w:val="00891EF2"/>
    <w:rsid w:val="0089598D"/>
    <w:rsid w:val="008961A4"/>
    <w:rsid w:val="008967F7"/>
    <w:rsid w:val="00896E24"/>
    <w:rsid w:val="008C58C5"/>
    <w:rsid w:val="008E73BC"/>
    <w:rsid w:val="008F4E3B"/>
    <w:rsid w:val="00902985"/>
    <w:rsid w:val="0090340B"/>
    <w:rsid w:val="00913317"/>
    <w:rsid w:val="00917BE6"/>
    <w:rsid w:val="0092280E"/>
    <w:rsid w:val="00924EB1"/>
    <w:rsid w:val="0092766B"/>
    <w:rsid w:val="00927AE6"/>
    <w:rsid w:val="009329CA"/>
    <w:rsid w:val="00932CFC"/>
    <w:rsid w:val="00940CF8"/>
    <w:rsid w:val="00944357"/>
    <w:rsid w:val="00945456"/>
    <w:rsid w:val="009477C8"/>
    <w:rsid w:val="009521F7"/>
    <w:rsid w:val="0096287D"/>
    <w:rsid w:val="00964678"/>
    <w:rsid w:val="0096773D"/>
    <w:rsid w:val="0096786C"/>
    <w:rsid w:val="00970BA3"/>
    <w:rsid w:val="00975ECD"/>
    <w:rsid w:val="00987C9E"/>
    <w:rsid w:val="00991EC1"/>
    <w:rsid w:val="00994A11"/>
    <w:rsid w:val="009A09E5"/>
    <w:rsid w:val="009A626A"/>
    <w:rsid w:val="009C7390"/>
    <w:rsid w:val="009D0BEE"/>
    <w:rsid w:val="00A02CC7"/>
    <w:rsid w:val="00A11C59"/>
    <w:rsid w:val="00A1222D"/>
    <w:rsid w:val="00A21567"/>
    <w:rsid w:val="00A36FAB"/>
    <w:rsid w:val="00A406E9"/>
    <w:rsid w:val="00A42342"/>
    <w:rsid w:val="00A43986"/>
    <w:rsid w:val="00A550BF"/>
    <w:rsid w:val="00A55C7D"/>
    <w:rsid w:val="00A63E98"/>
    <w:rsid w:val="00A7297B"/>
    <w:rsid w:val="00A8253E"/>
    <w:rsid w:val="00A855A9"/>
    <w:rsid w:val="00A86E50"/>
    <w:rsid w:val="00A91983"/>
    <w:rsid w:val="00A963FF"/>
    <w:rsid w:val="00AA13CF"/>
    <w:rsid w:val="00AB3B6A"/>
    <w:rsid w:val="00AD07A5"/>
    <w:rsid w:val="00AE007E"/>
    <w:rsid w:val="00AE11FE"/>
    <w:rsid w:val="00AE6A51"/>
    <w:rsid w:val="00AF280F"/>
    <w:rsid w:val="00AF3EC7"/>
    <w:rsid w:val="00AF4CE6"/>
    <w:rsid w:val="00AF6CC0"/>
    <w:rsid w:val="00AF71DD"/>
    <w:rsid w:val="00B01C63"/>
    <w:rsid w:val="00B12D3C"/>
    <w:rsid w:val="00B20E34"/>
    <w:rsid w:val="00B228ED"/>
    <w:rsid w:val="00B50FA3"/>
    <w:rsid w:val="00B517EC"/>
    <w:rsid w:val="00B532F2"/>
    <w:rsid w:val="00B66159"/>
    <w:rsid w:val="00B779AD"/>
    <w:rsid w:val="00B84B09"/>
    <w:rsid w:val="00B9284B"/>
    <w:rsid w:val="00B955CB"/>
    <w:rsid w:val="00BB4B73"/>
    <w:rsid w:val="00BC4821"/>
    <w:rsid w:val="00BC6338"/>
    <w:rsid w:val="00BE63D2"/>
    <w:rsid w:val="00BF2A3F"/>
    <w:rsid w:val="00C0392D"/>
    <w:rsid w:val="00C152E5"/>
    <w:rsid w:val="00C23A7F"/>
    <w:rsid w:val="00C257F5"/>
    <w:rsid w:val="00C43ED0"/>
    <w:rsid w:val="00C5094F"/>
    <w:rsid w:val="00C53676"/>
    <w:rsid w:val="00C569AC"/>
    <w:rsid w:val="00C67D36"/>
    <w:rsid w:val="00C728F5"/>
    <w:rsid w:val="00C77916"/>
    <w:rsid w:val="00C81C22"/>
    <w:rsid w:val="00C944BD"/>
    <w:rsid w:val="00C97E24"/>
    <w:rsid w:val="00CA1AD8"/>
    <w:rsid w:val="00CA4BB6"/>
    <w:rsid w:val="00CB2D28"/>
    <w:rsid w:val="00CB6081"/>
    <w:rsid w:val="00CB77BF"/>
    <w:rsid w:val="00CB7952"/>
    <w:rsid w:val="00CC1BC8"/>
    <w:rsid w:val="00CD2D8D"/>
    <w:rsid w:val="00CE2D6F"/>
    <w:rsid w:val="00CF0093"/>
    <w:rsid w:val="00CF405D"/>
    <w:rsid w:val="00CF4EA2"/>
    <w:rsid w:val="00D15600"/>
    <w:rsid w:val="00D16211"/>
    <w:rsid w:val="00D2230F"/>
    <w:rsid w:val="00D24F12"/>
    <w:rsid w:val="00D32789"/>
    <w:rsid w:val="00D3294B"/>
    <w:rsid w:val="00D35879"/>
    <w:rsid w:val="00D373A6"/>
    <w:rsid w:val="00D376B5"/>
    <w:rsid w:val="00D41BDD"/>
    <w:rsid w:val="00D55150"/>
    <w:rsid w:val="00D6434D"/>
    <w:rsid w:val="00D65E5D"/>
    <w:rsid w:val="00D71D85"/>
    <w:rsid w:val="00D73A16"/>
    <w:rsid w:val="00D73E71"/>
    <w:rsid w:val="00D84530"/>
    <w:rsid w:val="00DA1ADC"/>
    <w:rsid w:val="00DA3611"/>
    <w:rsid w:val="00DA7140"/>
    <w:rsid w:val="00DC08EA"/>
    <w:rsid w:val="00DC40DF"/>
    <w:rsid w:val="00DD464D"/>
    <w:rsid w:val="00DD4C65"/>
    <w:rsid w:val="00DD6D87"/>
    <w:rsid w:val="00DD7DD1"/>
    <w:rsid w:val="00DE5FC3"/>
    <w:rsid w:val="00DF3090"/>
    <w:rsid w:val="00DF4B7B"/>
    <w:rsid w:val="00E00C0D"/>
    <w:rsid w:val="00E31468"/>
    <w:rsid w:val="00E36214"/>
    <w:rsid w:val="00E375A3"/>
    <w:rsid w:val="00E44747"/>
    <w:rsid w:val="00E45CAE"/>
    <w:rsid w:val="00E51EA6"/>
    <w:rsid w:val="00E608EB"/>
    <w:rsid w:val="00E62F47"/>
    <w:rsid w:val="00E70873"/>
    <w:rsid w:val="00E725FF"/>
    <w:rsid w:val="00E826D3"/>
    <w:rsid w:val="00EA0A3D"/>
    <w:rsid w:val="00EA29CA"/>
    <w:rsid w:val="00EB34AE"/>
    <w:rsid w:val="00EC1024"/>
    <w:rsid w:val="00EC2D15"/>
    <w:rsid w:val="00ED09C0"/>
    <w:rsid w:val="00ED5383"/>
    <w:rsid w:val="00ED7534"/>
    <w:rsid w:val="00EE281D"/>
    <w:rsid w:val="00EF1A57"/>
    <w:rsid w:val="00EF6F3E"/>
    <w:rsid w:val="00F15CF5"/>
    <w:rsid w:val="00F31807"/>
    <w:rsid w:val="00F32EBD"/>
    <w:rsid w:val="00F32FA1"/>
    <w:rsid w:val="00F37314"/>
    <w:rsid w:val="00F44317"/>
    <w:rsid w:val="00F53627"/>
    <w:rsid w:val="00F5458A"/>
    <w:rsid w:val="00F55DEB"/>
    <w:rsid w:val="00F560D0"/>
    <w:rsid w:val="00F61373"/>
    <w:rsid w:val="00F645A1"/>
    <w:rsid w:val="00F743F7"/>
    <w:rsid w:val="00F75DE4"/>
    <w:rsid w:val="00F80F1F"/>
    <w:rsid w:val="00F9463E"/>
    <w:rsid w:val="00F97CF8"/>
    <w:rsid w:val="00FA2D23"/>
    <w:rsid w:val="00FA5B42"/>
    <w:rsid w:val="00FA681C"/>
    <w:rsid w:val="00FA7052"/>
    <w:rsid w:val="00FB6308"/>
    <w:rsid w:val="00FC3796"/>
    <w:rsid w:val="00FC4248"/>
    <w:rsid w:val="00FC6A68"/>
    <w:rsid w:val="00FE0209"/>
    <w:rsid w:val="00FE2C0D"/>
    <w:rsid w:val="00FE46D0"/>
    <w:rsid w:val="00FF1287"/>
    <w:rsid w:val="00FF2F24"/>
    <w:rsid w:val="00FF6893"/>
    <w:rsid w:val="03DD6186"/>
    <w:rsid w:val="05D91375"/>
    <w:rsid w:val="06476776"/>
    <w:rsid w:val="08637E84"/>
    <w:rsid w:val="0ACB174A"/>
    <w:rsid w:val="0FC94E23"/>
    <w:rsid w:val="0FFAA126"/>
    <w:rsid w:val="1DA71418"/>
    <w:rsid w:val="1DE7509C"/>
    <w:rsid w:val="1EB109E6"/>
    <w:rsid w:val="1FBF5987"/>
    <w:rsid w:val="206A5ACA"/>
    <w:rsid w:val="20981F9A"/>
    <w:rsid w:val="21C345D8"/>
    <w:rsid w:val="237B2595"/>
    <w:rsid w:val="28147F59"/>
    <w:rsid w:val="2CFDEC3D"/>
    <w:rsid w:val="2FF78ACD"/>
    <w:rsid w:val="34379B27"/>
    <w:rsid w:val="357B7A37"/>
    <w:rsid w:val="3F307BA4"/>
    <w:rsid w:val="3FD8B744"/>
    <w:rsid w:val="3FFFE3D5"/>
    <w:rsid w:val="41CE7D5E"/>
    <w:rsid w:val="44606014"/>
    <w:rsid w:val="492A2844"/>
    <w:rsid w:val="4FB77C3C"/>
    <w:rsid w:val="528A78A8"/>
    <w:rsid w:val="563D53F1"/>
    <w:rsid w:val="567E389E"/>
    <w:rsid w:val="56A50E33"/>
    <w:rsid w:val="56D2DA67"/>
    <w:rsid w:val="5A9776A0"/>
    <w:rsid w:val="5BBF1A8D"/>
    <w:rsid w:val="5D3B0420"/>
    <w:rsid w:val="5D9F79E0"/>
    <w:rsid w:val="5DBFE6CB"/>
    <w:rsid w:val="5EFB6B15"/>
    <w:rsid w:val="5F5DEEF0"/>
    <w:rsid w:val="5F7B0613"/>
    <w:rsid w:val="622E7D53"/>
    <w:rsid w:val="63C416EC"/>
    <w:rsid w:val="64B22643"/>
    <w:rsid w:val="67F5AD5B"/>
    <w:rsid w:val="6BC749A9"/>
    <w:rsid w:val="6BE6446F"/>
    <w:rsid w:val="6BEF420E"/>
    <w:rsid w:val="6BFFC72E"/>
    <w:rsid w:val="6C7FD9C9"/>
    <w:rsid w:val="6FC9F4BB"/>
    <w:rsid w:val="6FEF5868"/>
    <w:rsid w:val="73612280"/>
    <w:rsid w:val="73843B20"/>
    <w:rsid w:val="74BFF378"/>
    <w:rsid w:val="75FB23CF"/>
    <w:rsid w:val="7747C58A"/>
    <w:rsid w:val="7775E090"/>
    <w:rsid w:val="77FDC161"/>
    <w:rsid w:val="788A7D09"/>
    <w:rsid w:val="79EB7B06"/>
    <w:rsid w:val="79F006D6"/>
    <w:rsid w:val="7A7F1594"/>
    <w:rsid w:val="7BEA5002"/>
    <w:rsid w:val="7BEFA79F"/>
    <w:rsid w:val="7BF55B1A"/>
    <w:rsid w:val="7CF3DF71"/>
    <w:rsid w:val="7CF76844"/>
    <w:rsid w:val="7D500D30"/>
    <w:rsid w:val="7DBBA619"/>
    <w:rsid w:val="7DFF8764"/>
    <w:rsid w:val="7E774BE7"/>
    <w:rsid w:val="7EFD2AA6"/>
    <w:rsid w:val="7EFEB8FD"/>
    <w:rsid w:val="7F8A1ADB"/>
    <w:rsid w:val="7FCB7C81"/>
    <w:rsid w:val="7FFF23F9"/>
    <w:rsid w:val="8DAF712B"/>
    <w:rsid w:val="8DFD7E3C"/>
    <w:rsid w:val="8FF68B1A"/>
    <w:rsid w:val="9BE7792B"/>
    <w:rsid w:val="9EDCEB3E"/>
    <w:rsid w:val="ABFD0AD8"/>
    <w:rsid w:val="AF230823"/>
    <w:rsid w:val="AFF76641"/>
    <w:rsid w:val="BEFC0781"/>
    <w:rsid w:val="BF5FE6FA"/>
    <w:rsid w:val="BF7FCB72"/>
    <w:rsid w:val="BFCBECE1"/>
    <w:rsid w:val="BFDF593B"/>
    <w:rsid w:val="BFF6B921"/>
    <w:rsid w:val="C31F63CD"/>
    <w:rsid w:val="C7FF0A76"/>
    <w:rsid w:val="CBDD2878"/>
    <w:rsid w:val="CFDD797F"/>
    <w:rsid w:val="D78F1D07"/>
    <w:rsid w:val="D7ADD1FB"/>
    <w:rsid w:val="D7F1A469"/>
    <w:rsid w:val="DBF7FA46"/>
    <w:rsid w:val="DEDF7BEB"/>
    <w:rsid w:val="DF4F7E4B"/>
    <w:rsid w:val="DFBE0F0D"/>
    <w:rsid w:val="DFDE6D44"/>
    <w:rsid w:val="E3FF6071"/>
    <w:rsid w:val="E6D70A22"/>
    <w:rsid w:val="E6E64C1F"/>
    <w:rsid w:val="E7B92E4B"/>
    <w:rsid w:val="EA66F35A"/>
    <w:rsid w:val="EDF2FCDF"/>
    <w:rsid w:val="EEFBD0D8"/>
    <w:rsid w:val="EF8E1714"/>
    <w:rsid w:val="EFAB0267"/>
    <w:rsid w:val="EFBFA9A5"/>
    <w:rsid w:val="F2F53258"/>
    <w:rsid w:val="F677CB77"/>
    <w:rsid w:val="F7FFC0E2"/>
    <w:rsid w:val="FAF78EC6"/>
    <w:rsid w:val="FB6E436B"/>
    <w:rsid w:val="FBEE60A5"/>
    <w:rsid w:val="FD5FE2C3"/>
    <w:rsid w:val="FD7FE3EB"/>
    <w:rsid w:val="FDE732DF"/>
    <w:rsid w:val="FDFD932C"/>
    <w:rsid w:val="FE9F133B"/>
    <w:rsid w:val="FEBF9A18"/>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52"/>
    <w:qFormat/>
    <w:uiPriority w:val="0"/>
    <w:pPr>
      <w:keepNext/>
      <w:keepLines/>
      <w:numPr>
        <w:ilvl w:val="0"/>
        <w:numId w:val="1"/>
      </w:numPr>
      <w:tabs>
        <w:tab w:val="left" w:pos="706"/>
      </w:tabs>
      <w:spacing w:line="360" w:lineRule="auto"/>
      <w:outlineLvl w:val="1"/>
    </w:pPr>
    <w:rPr>
      <w:rFonts w:ascii="Arial" w:hAnsi="Arial" w:eastAsia="??" w:cs="Arial"/>
      <w:b/>
      <w:bCs/>
      <w:szCs w:val="32"/>
    </w:rPr>
  </w:style>
  <w:style w:type="paragraph" w:styleId="4">
    <w:name w:val="heading 3"/>
    <w:basedOn w:val="1"/>
    <w:next w:val="1"/>
    <w:link w:val="63"/>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6"/>
    <w:unhideWhenUsed/>
    <w:qFormat/>
    <w:uiPriority w:val="0"/>
    <w:pPr>
      <w:keepNext/>
      <w:keepLines/>
      <w:spacing w:before="280" w:after="290" w:line="376" w:lineRule="auto"/>
      <w:outlineLvl w:val="3"/>
    </w:pPr>
    <w:rPr>
      <w:rFonts w:ascii="Cambria" w:hAnsi="Cambria" w:eastAsia="宋体" w:cs="黑体"/>
      <w:b/>
      <w:bCs/>
      <w:sz w:val="28"/>
      <w:szCs w:val="28"/>
    </w:rPr>
  </w:style>
  <w:style w:type="paragraph" w:styleId="6">
    <w:name w:val="heading 5"/>
    <w:basedOn w:val="1"/>
    <w:next w:val="1"/>
    <w:link w:val="64"/>
    <w:unhideWhenUsed/>
    <w:qFormat/>
    <w:uiPriority w:val="0"/>
    <w:pPr>
      <w:keepNext/>
      <w:keepLines/>
      <w:spacing w:before="280" w:after="290" w:line="376" w:lineRule="auto"/>
      <w:outlineLvl w:val="4"/>
    </w:pPr>
    <w:rPr>
      <w:b/>
      <w:bCs/>
      <w:sz w:val="28"/>
      <w:szCs w:val="28"/>
    </w:rPr>
  </w:style>
  <w:style w:type="character" w:default="1" w:styleId="22">
    <w:name w:val="Default Paragraph Font"/>
    <w:unhideWhenUsed/>
    <w:qFormat/>
    <w:uiPriority w:val="1"/>
  </w:style>
  <w:style w:type="table" w:default="1" w:styleId="26">
    <w:name w:val="Normal Table"/>
    <w:unhideWhenUsed/>
    <w:qFormat/>
    <w:uiPriority w:val="99"/>
    <w:tblPr>
      <w:tblStyle w:val="26"/>
      <w:tblLayout w:type="fixed"/>
      <w:tblCellMar>
        <w:top w:w="0" w:type="dxa"/>
        <w:left w:w="108" w:type="dxa"/>
        <w:bottom w:w="0" w:type="dxa"/>
        <w:right w:w="108" w:type="dxa"/>
      </w:tblCellMar>
    </w:tblPr>
    <w:tcPr>
      <w:textDirection w:val="lrTb"/>
    </w:tcPr>
  </w:style>
  <w:style w:type="paragraph" w:styleId="7">
    <w:name w:val="Body Text First Indent"/>
    <w:basedOn w:val="8"/>
    <w:next w:val="9"/>
    <w:qFormat/>
    <w:uiPriority w:val="0"/>
    <w:pPr>
      <w:ind w:firstLine="420"/>
    </w:pPr>
    <w:rPr>
      <w:rFonts w:hAnsi="Calibri" w:cs="Times New Roman"/>
      <w:szCs w:val="20"/>
    </w:rPr>
  </w:style>
  <w:style w:type="paragraph" w:styleId="8">
    <w:name w:val="Body Text"/>
    <w:basedOn w:val="1"/>
    <w:next w:val="7"/>
    <w:link w:val="61"/>
    <w:unhideWhenUsed/>
    <w:qFormat/>
    <w:uiPriority w:val="0"/>
    <w:pPr>
      <w:spacing w:after="120"/>
    </w:pPr>
  </w:style>
  <w:style w:type="paragraph" w:styleId="9">
    <w:name w:val="toc 6"/>
    <w:basedOn w:val="1"/>
    <w:next w:val="1"/>
    <w:qFormat/>
    <w:uiPriority w:val="0"/>
    <w:pPr>
      <w:ind w:left="2100" w:leftChars="1000"/>
    </w:pPr>
  </w:style>
  <w:style w:type="paragraph" w:styleId="10">
    <w:name w:val="Normal Indent"/>
    <w:basedOn w:val="1"/>
    <w:link w:val="62"/>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1">
    <w:name w:val="annotation text"/>
    <w:basedOn w:val="1"/>
    <w:link w:val="67"/>
    <w:unhideWhenUsed/>
    <w:qFormat/>
    <w:uiPriority w:val="0"/>
    <w:pPr>
      <w:jc w:val="left"/>
    </w:pPr>
  </w:style>
  <w:style w:type="paragraph" w:styleId="12">
    <w:name w:val="Body Text Indent"/>
    <w:basedOn w:val="1"/>
    <w:next w:val="13"/>
    <w:link w:val="53"/>
    <w:qFormat/>
    <w:uiPriority w:val="0"/>
    <w:pPr>
      <w:spacing w:line="480" w:lineRule="atLeast"/>
      <w:ind w:firstLine="570"/>
    </w:pPr>
    <w:rPr>
      <w:rFonts w:ascii="??" w:hAnsi="??" w:eastAsia="??"/>
      <w:sz w:val="28"/>
      <w:szCs w:val="28"/>
    </w:rPr>
  </w:style>
  <w:style w:type="paragraph" w:styleId="13">
    <w:name w:val="Body Text First Indent 2"/>
    <w:basedOn w:val="12"/>
    <w:next w:val="7"/>
    <w:qFormat/>
    <w:uiPriority w:val="0"/>
    <w:pPr>
      <w:adjustRightInd/>
      <w:spacing w:after="120" w:line="240" w:lineRule="auto"/>
      <w:ind w:left="420" w:leftChars="200" w:firstLine="210"/>
    </w:pPr>
    <w:rPr>
      <w:sz w:val="21"/>
    </w:rPr>
  </w:style>
  <w:style w:type="paragraph" w:styleId="1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5">
    <w:name w:val="Plain Text"/>
    <w:basedOn w:val="1"/>
    <w:link w:val="60"/>
    <w:qFormat/>
    <w:uiPriority w:val="0"/>
    <w:pPr>
      <w:adjustRightInd w:val="0"/>
    </w:pPr>
    <w:rPr>
      <w:rFonts w:ascii="宋体" w:hAnsi="Courier New" w:cs="Arial"/>
      <w:snapToGrid w:val="0"/>
      <w:szCs w:val="21"/>
    </w:rPr>
  </w:style>
  <w:style w:type="paragraph" w:styleId="16">
    <w:name w:val="Date"/>
    <w:basedOn w:val="1"/>
    <w:next w:val="1"/>
    <w:qFormat/>
    <w:uiPriority w:val="0"/>
    <w:pPr>
      <w:ind w:left="100" w:leftChars="2500"/>
    </w:pPr>
  </w:style>
  <w:style w:type="paragraph" w:styleId="17">
    <w:name w:val="Balloon Text"/>
    <w:basedOn w:val="1"/>
    <w:semiHidden/>
    <w:qFormat/>
    <w:uiPriority w:val="0"/>
    <w:rPr>
      <w:sz w:val="18"/>
      <w:szCs w:val="18"/>
    </w:rPr>
  </w:style>
  <w:style w:type="paragraph" w:styleId="18">
    <w:name w:val="footer"/>
    <w:basedOn w:val="1"/>
    <w:link w:val="50"/>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1">
    <w:name w:val="Normal (Web)"/>
    <w:basedOn w:val="1"/>
    <w:qFormat/>
    <w:uiPriority w:val="99"/>
    <w:pPr>
      <w:widowControl/>
      <w:suppressAutoHyphens/>
      <w:spacing w:before="100" w:beforeAutospacing="1" w:after="100" w:afterAutospacing="1"/>
      <w:jc w:val="left"/>
    </w:pPr>
    <w:rPr>
      <w:rFonts w:ascii="??" w:hAnsi="??" w:eastAsia="??" w:cs="宋体"/>
      <w:kern w:val="0"/>
      <w:sz w:val="24"/>
    </w:rPr>
  </w:style>
  <w:style w:type="character" w:styleId="23">
    <w:name w:val="Strong"/>
    <w:basedOn w:val="22"/>
    <w:qFormat/>
    <w:uiPriority w:val="22"/>
    <w:rPr>
      <w:b/>
      <w:bCs/>
    </w:rPr>
  </w:style>
  <w:style w:type="character" w:styleId="24">
    <w:name w:val="page number"/>
    <w:qFormat/>
    <w:uiPriority w:val="0"/>
  </w:style>
  <w:style w:type="character" w:styleId="25">
    <w:name w:val="annotation reference"/>
    <w:basedOn w:val="22"/>
    <w:unhideWhenUsed/>
    <w:qFormat/>
    <w:uiPriority w:val="0"/>
    <w:rPr>
      <w:sz w:val="21"/>
      <w:szCs w:val="21"/>
    </w:rPr>
  </w:style>
  <w:style w:type="table" w:styleId="27">
    <w:name w:val="Table Grid"/>
    <w:basedOn w:val="26"/>
    <w:qFormat/>
    <w:uiPriority w:val="59"/>
    <w:pPr/>
    <w:rPr>
      <w:rFonts w:ascii="Calibri" w:hAnsi="Calibri"/>
      <w:kern w:val="2"/>
      <w:sz w:val="21"/>
      <w:szCs w:val="22"/>
    </w:rPr>
    <w:tblPr>
      <w:tblStyle w:val="2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extDirection w:val="lrTb"/>
    </w:tcPr>
  </w:style>
  <w:style w:type="paragraph" w:customStyle="1" w:styleId="28">
    <w:name w:val="正文2"/>
    <w:basedOn w:val="1"/>
    <w:link w:val="54"/>
    <w:qFormat/>
    <w:uiPriority w:val="0"/>
    <w:pPr>
      <w:adjustRightInd w:val="0"/>
      <w:spacing w:before="156" w:line="360" w:lineRule="auto"/>
      <w:ind w:firstLine="510" w:firstLineChars="200"/>
    </w:pPr>
    <w:rPr>
      <w:sz w:val="24"/>
      <w:szCs w:val="20"/>
    </w:rPr>
  </w:style>
  <w:style w:type="paragraph" w:customStyle="1" w:styleId="29">
    <w:name w:val="List Paragraph"/>
    <w:basedOn w:val="1"/>
    <w:link w:val="55"/>
    <w:qFormat/>
    <w:uiPriority w:val="0"/>
    <w:pPr>
      <w:widowControl/>
      <w:ind w:firstLine="200" w:firstLineChars="200"/>
      <w:jc w:val="left"/>
    </w:pPr>
    <w:rPr>
      <w:kern w:val="0"/>
      <w:sz w:val="20"/>
      <w:szCs w:val="20"/>
    </w:rPr>
  </w:style>
  <w:style w:type="paragraph" w:customStyle="1" w:styleId="30">
    <w:name w:val="_正文"/>
    <w:basedOn w:val="1"/>
    <w:link w:val="56"/>
    <w:qFormat/>
    <w:uiPriority w:val="0"/>
    <w:pPr>
      <w:tabs>
        <w:tab w:val="left" w:pos="840"/>
      </w:tabs>
      <w:spacing w:line="360" w:lineRule="auto"/>
      <w:ind w:firstLine="200" w:firstLineChars="200"/>
    </w:pPr>
    <w:rPr>
      <w:sz w:val="24"/>
    </w:rPr>
  </w:style>
  <w:style w:type="paragraph" w:customStyle="1" w:styleId="31">
    <w:name w:val="正文（上会）"/>
    <w:basedOn w:val="1"/>
    <w:link w:val="57"/>
    <w:qFormat/>
    <w:uiPriority w:val="0"/>
    <w:pPr>
      <w:spacing w:line="336" w:lineRule="auto"/>
      <w:ind w:firstLine="200" w:firstLineChars="200"/>
    </w:pPr>
    <w:rPr>
      <w:rFonts w:ascii="仿宋_GB2312" w:hAnsi="仿宋_GB2312" w:eastAsia="仿宋_GB2312" w:cs="仿宋_GB2312"/>
      <w:sz w:val="32"/>
      <w:szCs w:val="32"/>
    </w:rPr>
  </w:style>
  <w:style w:type="paragraph" w:customStyle="1" w:styleId="32">
    <w:name w:val="无间隔1"/>
    <w:link w:val="58"/>
    <w:qFormat/>
    <w:uiPriority w:val="99"/>
    <w:rPr>
      <w:rFonts w:ascii="Times New Roman" w:hAnsi="Times New Roman" w:eastAsia="宋体" w:cs="Times New Roman"/>
      <w:sz w:val="22"/>
      <w:szCs w:val="22"/>
      <w:lang w:val="en-US" w:eastAsia="zh-CN" w:bidi="ar-SA"/>
    </w:rPr>
  </w:style>
  <w:style w:type="paragraph" w:customStyle="1" w:styleId="33">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34">
    <w:name w:val="jd-正文1"/>
    <w:basedOn w:val="1"/>
    <w:qFormat/>
    <w:uiPriority w:val="0"/>
    <w:pPr>
      <w:widowControl/>
      <w:spacing w:line="360" w:lineRule="auto"/>
      <w:ind w:firstLine="482" w:firstLineChars="200"/>
    </w:pPr>
    <w:rPr>
      <w:rFonts w:ascii="宋体" w:hAnsi="宋体" w:cs="宋体"/>
      <w:sz w:val="24"/>
      <w:szCs w:val="20"/>
    </w:r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6">
    <w:name w:val="亚运 5级标题"/>
    <w:basedOn w:val="6"/>
    <w:qFormat/>
    <w:uiPriority w:val="0"/>
    <w:pPr>
      <w:numPr>
        <w:ilvl w:val="4"/>
        <w:numId w:val="2"/>
      </w:numPr>
      <w:tabs>
        <w:tab w:val="left" w:pos="700"/>
        <w:tab w:val="left" w:pos="840"/>
        <w:tab w:val="left" w:pos="2409"/>
        <w:tab w:val="clear" w:pos="2380"/>
      </w:tabs>
      <w:adjustRightInd w:val="0"/>
      <w:spacing w:before="0" w:after="0" w:line="360" w:lineRule="auto"/>
      <w:ind w:left="2409"/>
      <w:textAlignment w:val="baseline"/>
    </w:pPr>
    <w:rPr>
      <w:rFonts w:ascii="宋体" w:hAnsi="宋体"/>
      <w:color w:val="000000"/>
      <w:sz w:val="24"/>
    </w:rPr>
  </w:style>
  <w:style w:type="paragraph" w:customStyle="1" w:styleId="37">
    <w:name w:val="正文11"/>
    <w:qFormat/>
    <w:uiPriority w:val="0"/>
    <w:rPr>
      <w:rFonts w:ascii="PingFang SC Regular" w:hAnsi="PingFang SC Regular" w:eastAsia="Arial Unicode MS" w:cs="Arial Unicode MS"/>
      <w:color w:val="000000"/>
      <w:sz w:val="22"/>
      <w:szCs w:val="22"/>
      <w:lang w:val="en-US" w:eastAsia="zh-CN" w:bidi="ar-SA"/>
    </w:rPr>
  </w:style>
  <w:style w:type="paragraph" w:customStyle="1" w:styleId="38">
    <w:name w:val="正文1"/>
    <w:basedOn w:val="14"/>
    <w:next w:val="39"/>
    <w:qFormat/>
    <w:uiPriority w:val="0"/>
    <w:rPr>
      <w:rFonts w:hint="eastAsia" w:ascii="Arial Unicode MS" w:hAnsi="Arial Unicode MS" w:eastAsia="Arial Unicode MS" w:cs="Arial Unicode MS"/>
      <w:color w:val="000000"/>
      <w:sz w:val="22"/>
      <w:szCs w:val="22"/>
      <w:u w:val="none" w:color="000000"/>
      <w:lang w:val="zh-TW" w:eastAsia="zh-TW" w:bidi="ar-SA"/>
    </w:rPr>
  </w:style>
  <w:style w:type="paragraph" w:customStyle="1" w:styleId="39">
    <w:name w:val="标题 21"/>
    <w:basedOn w:val="38"/>
    <w:next w:val="38"/>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4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4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42">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二级条标题"/>
    <w:basedOn w:val="44"/>
    <w:next w:val="42"/>
    <w:qFormat/>
    <w:uiPriority w:val="99"/>
    <w:pPr>
      <w:tabs>
        <w:tab w:val="left" w:pos="1260"/>
        <w:tab w:val="left" w:pos="1680"/>
        <w:tab w:val="left" w:pos="2100"/>
      </w:tabs>
      <w:ind w:left="0"/>
      <w:outlineLvl w:val="3"/>
    </w:pPr>
  </w:style>
  <w:style w:type="paragraph" w:customStyle="1" w:styleId="44">
    <w:name w:val="一级条标题"/>
    <w:basedOn w:val="1"/>
    <w:next w:val="42"/>
    <w:qFormat/>
    <w:uiPriority w:val="99"/>
    <w:pPr>
      <w:widowControl/>
      <w:tabs>
        <w:tab w:val="left" w:pos="1260"/>
        <w:tab w:val="left" w:pos="1680"/>
      </w:tabs>
      <w:ind w:left="1680" w:hanging="420"/>
      <w:outlineLvl w:val="2"/>
    </w:pPr>
    <w:rPr>
      <w:rFonts w:ascii="黑体" w:eastAsia="黑体"/>
      <w:kern w:val="0"/>
      <w:szCs w:val="20"/>
    </w:rPr>
  </w:style>
  <w:style w:type="paragraph" w:customStyle="1" w:styleId="45">
    <w:name w:val="标准小三"/>
    <w:basedOn w:val="1"/>
    <w:qFormat/>
    <w:uiPriority w:val="0"/>
    <w:pPr>
      <w:widowControl/>
      <w:numPr>
        <w:ilvl w:val="0"/>
        <w:numId w:val="3"/>
      </w:numPr>
      <w:spacing w:line="700" w:lineRule="exact"/>
      <w:ind w:left="0" w:firstLine="200" w:firstLineChars="200"/>
      <w:jc w:val="left"/>
    </w:pPr>
    <w:rPr>
      <w:rFonts w:ascii="宋体" w:hAnsi="Arial" w:eastAsia="仿宋_GB2312" w:cs="宋体"/>
      <w:snapToGrid w:val="0"/>
      <w:kern w:val="0"/>
      <w:sz w:val="30"/>
      <w:szCs w:val="32"/>
    </w:rPr>
  </w:style>
  <w:style w:type="paragraph" w:customStyle="1" w:styleId="46">
    <w:name w:val="表格文字"/>
    <w:basedOn w:val="1"/>
    <w:next w:val="8"/>
    <w:qFormat/>
    <w:uiPriority w:val="0"/>
    <w:pPr>
      <w:ind w:firstLine="200" w:firstLineChars="200"/>
    </w:pPr>
    <w:rPr>
      <w:rFonts w:ascii="Arial" w:hAnsi="Arial"/>
      <w:spacing w:val="-5"/>
      <w:kern w:val="0"/>
      <w:sz w:val="24"/>
      <w:szCs w:val="20"/>
    </w:rPr>
  </w:style>
  <w:style w:type="paragraph" w:customStyle="1" w:styleId="47">
    <w:name w:val="[Normal]"/>
    <w:qFormat/>
    <w:uiPriority w:val="0"/>
    <w:rPr>
      <w:rFonts w:ascii="宋体" w:hAnsi="宋体" w:eastAsia="宋体" w:cs="Times New Roman"/>
      <w:sz w:val="24"/>
      <w:szCs w:val="22"/>
      <w:lang w:val="zh-CN" w:eastAsia="zh-CN" w:bidi="ar-SA"/>
    </w:rPr>
  </w:style>
  <w:style w:type="paragraph" w:customStyle="1" w:styleId="48">
    <w:name w:val="无间隔2"/>
    <w:basedOn w:val="1"/>
    <w:link w:val="69"/>
    <w:qFormat/>
    <w:uiPriority w:val="0"/>
    <w:pPr>
      <w:adjustRightInd w:val="0"/>
    </w:pPr>
    <w:rPr>
      <w:szCs w:val="22"/>
    </w:rPr>
  </w:style>
  <w:style w:type="paragraph" w:customStyle="1" w:styleId="49">
    <w:name w:val="Table Paragraph"/>
    <w:basedOn w:val="1"/>
    <w:qFormat/>
    <w:uiPriority w:val="0"/>
    <w:pPr>
      <w:adjustRightInd/>
      <w:jc w:val="left"/>
    </w:pPr>
    <w:rPr>
      <w:rFonts w:ascii="Calibri" w:hAnsi="Calibri"/>
      <w:kern w:val="0"/>
      <w:sz w:val="22"/>
      <w:szCs w:val="22"/>
      <w:lang w:eastAsia="en-US"/>
    </w:rPr>
  </w:style>
  <w:style w:type="character" w:customStyle="1" w:styleId="50">
    <w:name w:val="页脚 字符"/>
    <w:link w:val="18"/>
    <w:qFormat/>
    <w:uiPriority w:val="99"/>
    <w:rPr>
      <w:kern w:val="2"/>
      <w:sz w:val="18"/>
      <w:szCs w:val="18"/>
    </w:rPr>
  </w:style>
  <w:style w:type="character" w:customStyle="1" w:styleId="51">
    <w:name w:val="页脚 Char"/>
    <w:qFormat/>
    <w:uiPriority w:val="99"/>
    <w:rPr>
      <w:rFonts w:eastAsia="Calibri"/>
      <w:sz w:val="21"/>
    </w:rPr>
  </w:style>
  <w:style w:type="character" w:customStyle="1" w:styleId="52">
    <w:name w:val="标题 2 字符"/>
    <w:basedOn w:val="22"/>
    <w:link w:val="2"/>
    <w:qFormat/>
    <w:uiPriority w:val="0"/>
    <w:rPr>
      <w:rFonts w:ascii="Arial" w:hAnsi="Arial" w:eastAsia="??" w:cs="Arial"/>
      <w:b/>
      <w:bCs/>
      <w:kern w:val="2"/>
      <w:sz w:val="21"/>
      <w:szCs w:val="32"/>
    </w:rPr>
  </w:style>
  <w:style w:type="character" w:customStyle="1" w:styleId="53">
    <w:name w:val="正文文本缩进 字符"/>
    <w:basedOn w:val="22"/>
    <w:link w:val="12"/>
    <w:qFormat/>
    <w:uiPriority w:val="0"/>
    <w:rPr>
      <w:rFonts w:ascii="??" w:hAnsi="??" w:eastAsia="??"/>
      <w:kern w:val="2"/>
      <w:sz w:val="28"/>
      <w:szCs w:val="28"/>
    </w:rPr>
  </w:style>
  <w:style w:type="character" w:customStyle="1" w:styleId="54">
    <w:name w:val="正文2 Char Char"/>
    <w:link w:val="28"/>
    <w:qFormat/>
    <w:uiPriority w:val="0"/>
    <w:rPr>
      <w:kern w:val="2"/>
      <w:sz w:val="24"/>
    </w:rPr>
  </w:style>
  <w:style w:type="character" w:customStyle="1" w:styleId="55">
    <w:name w:val="列表段落 字符"/>
    <w:link w:val="29"/>
    <w:qFormat/>
    <w:uiPriority w:val="0"/>
  </w:style>
  <w:style w:type="character" w:customStyle="1" w:styleId="56">
    <w:name w:val="_正文 Char"/>
    <w:link w:val="30"/>
    <w:qFormat/>
    <w:uiPriority w:val="0"/>
    <w:rPr>
      <w:kern w:val="2"/>
      <w:sz w:val="24"/>
      <w:szCs w:val="24"/>
    </w:rPr>
  </w:style>
  <w:style w:type="character" w:customStyle="1" w:styleId="57">
    <w:name w:val="正文（上会） 字符"/>
    <w:link w:val="31"/>
    <w:qFormat/>
    <w:uiPriority w:val="0"/>
    <w:rPr>
      <w:rFonts w:ascii="仿宋_GB2312" w:hAnsi="仿宋_GB2312" w:eastAsia="仿宋_GB2312" w:cs="仿宋_GB2312"/>
      <w:kern w:val="2"/>
      <w:sz w:val="32"/>
      <w:szCs w:val="32"/>
    </w:rPr>
  </w:style>
  <w:style w:type="character" w:customStyle="1" w:styleId="58">
    <w:name w:val="No Spacing Char"/>
    <w:link w:val="32"/>
    <w:qFormat/>
    <w:uiPriority w:val="1"/>
    <w:rPr>
      <w:sz w:val="22"/>
      <w:szCs w:val="22"/>
    </w:rPr>
  </w:style>
  <w:style w:type="character" w:customStyle="1" w:styleId="59">
    <w:name w:val="纯文本 字符"/>
    <w:basedOn w:val="22"/>
    <w:semiHidden/>
    <w:qFormat/>
    <w:uiPriority w:val="0"/>
    <w:rPr>
      <w:rFonts w:ascii="宋体" w:hAnsi="Courier New" w:eastAsia="宋体" w:cs="Courier New"/>
      <w:kern w:val="2"/>
      <w:sz w:val="21"/>
      <w:szCs w:val="24"/>
    </w:rPr>
  </w:style>
  <w:style w:type="character" w:customStyle="1" w:styleId="60">
    <w:name w:val="纯文本 字符1"/>
    <w:link w:val="15"/>
    <w:qFormat/>
    <w:uiPriority w:val="0"/>
    <w:rPr>
      <w:rFonts w:ascii="宋体" w:hAnsi="Courier New" w:cs="Arial"/>
      <w:snapToGrid w:val="0"/>
      <w:kern w:val="2"/>
      <w:sz w:val="21"/>
      <w:szCs w:val="21"/>
    </w:rPr>
  </w:style>
  <w:style w:type="character" w:customStyle="1" w:styleId="61">
    <w:name w:val="正文文本 字符"/>
    <w:basedOn w:val="22"/>
    <w:link w:val="8"/>
    <w:semiHidden/>
    <w:qFormat/>
    <w:uiPriority w:val="0"/>
    <w:rPr>
      <w:kern w:val="2"/>
      <w:sz w:val="21"/>
      <w:szCs w:val="24"/>
    </w:rPr>
  </w:style>
  <w:style w:type="character" w:customStyle="1" w:styleId="62">
    <w:name w:val="正文缩进 字符"/>
    <w:link w:val="10"/>
    <w:qFormat/>
    <w:uiPriority w:val="0"/>
    <w:rPr>
      <w:rFonts w:ascii="宋体"/>
      <w:snapToGrid w:val="0"/>
      <w:color w:val="000000"/>
      <w:kern w:val="28"/>
      <w:sz w:val="28"/>
    </w:rPr>
  </w:style>
  <w:style w:type="character" w:customStyle="1" w:styleId="63">
    <w:name w:val="标题 3 字符"/>
    <w:basedOn w:val="22"/>
    <w:link w:val="4"/>
    <w:semiHidden/>
    <w:qFormat/>
    <w:uiPriority w:val="0"/>
    <w:rPr>
      <w:b/>
      <w:bCs/>
      <w:kern w:val="2"/>
      <w:sz w:val="32"/>
      <w:szCs w:val="32"/>
    </w:rPr>
  </w:style>
  <w:style w:type="character" w:customStyle="1" w:styleId="64">
    <w:name w:val="标题 5 字符"/>
    <w:basedOn w:val="22"/>
    <w:link w:val="6"/>
    <w:semiHidden/>
    <w:qFormat/>
    <w:uiPriority w:val="0"/>
    <w:rPr>
      <w:b/>
      <w:bCs/>
      <w:kern w:val="2"/>
      <w:sz w:val="28"/>
      <w:szCs w:val="28"/>
    </w:rPr>
  </w:style>
  <w:style w:type="character" w:customStyle="1" w:styleId="65">
    <w:name w:val="正文2 Char"/>
    <w:qFormat/>
    <w:locked/>
    <w:uiPriority w:val="0"/>
    <w:rPr>
      <w:rFonts w:eastAsia="??"/>
      <w:kern w:val="2"/>
      <w:sz w:val="24"/>
      <w:szCs w:val="28"/>
    </w:rPr>
  </w:style>
  <w:style w:type="character" w:customStyle="1" w:styleId="66">
    <w:name w:val="标题 4 字符"/>
    <w:basedOn w:val="22"/>
    <w:link w:val="5"/>
    <w:qFormat/>
    <w:uiPriority w:val="0"/>
    <w:rPr>
      <w:rFonts w:ascii="Cambria" w:hAnsi="Cambria" w:eastAsia="宋体" w:cs="黑体"/>
      <w:b/>
      <w:bCs/>
      <w:kern w:val="2"/>
      <w:sz w:val="28"/>
      <w:szCs w:val="28"/>
    </w:rPr>
  </w:style>
  <w:style w:type="character" w:customStyle="1" w:styleId="67">
    <w:name w:val="批注文字 字符"/>
    <w:link w:val="11"/>
    <w:qFormat/>
    <w:uiPriority w:val="0"/>
    <w:rPr>
      <w:kern w:val="2"/>
      <w:sz w:val="21"/>
      <w:szCs w:val="24"/>
    </w:rPr>
  </w:style>
  <w:style w:type="character" w:customStyle="1" w:styleId="68">
    <w:name w:val="正文缩进 字符2"/>
    <w:qFormat/>
    <w:uiPriority w:val="0"/>
    <w:rPr>
      <w:rFonts w:ascii="宋体" w:eastAsia="宋体"/>
      <w:snapToGrid w:val="0"/>
      <w:color w:val="000000"/>
      <w:kern w:val="28"/>
      <w:sz w:val="28"/>
      <w:lang w:val="en-US" w:eastAsia="zh-CN" w:bidi="ar-SA"/>
    </w:rPr>
  </w:style>
  <w:style w:type="character" w:customStyle="1" w:styleId="69">
    <w:name w:val="无间隔 字符"/>
    <w:link w:val="48"/>
    <w:qFormat/>
    <w:uiPriority w:val="0"/>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25</Pages>
  <Words>16071</Words>
  <Characters>16431</Characters>
  <Lines>94</Lines>
  <Paragraphs>26</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2022-04-18T09:11:00Z</dcterms:created>
  <dc:creator>MC SYSTEM</dc:creator>
  <cp:lastModifiedBy>丁月红</cp:lastModifiedBy>
  <cp:lastPrinted>2023-02-17T08:01:00Z</cp:lastPrinted>
  <dcterms:modified xsi:type="dcterms:W3CDTF">2025-05-08T02:18:28Z</dcterms:modified>
  <dc:title>厦财采〔2021〕9号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ICV">
    <vt:lpwstr>686819C5137C4E1585A8683A9CE52457_13</vt:lpwstr>
  </property>
</Properties>
</file>