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sz w:val="44"/>
          <w:szCs w:val="44"/>
          <w:u w:val="single"/>
          <w:shd w:val="clear" w:color="auto" w:fill="auto"/>
        </w:rPr>
      </w:pPr>
      <w:bookmarkStart w:id="0" w:name="_Toc20384570"/>
      <w:r>
        <w:rPr>
          <w:rFonts w:hint="eastAsia" w:ascii="仿宋" w:hAnsi="仿宋" w:eastAsia="仿宋" w:cs="仿宋"/>
          <w:sz w:val="32"/>
          <w:szCs w:val="32"/>
          <w:shd w:val="clear" w:color="auto" w:fill="auto"/>
        </w:rPr>
        <w:t xml:space="preserve"> </w:t>
      </w:r>
    </w:p>
    <w:p>
      <w:pPr>
        <w:spacing w:line="360" w:lineRule="auto"/>
        <w:jc w:val="center"/>
        <w:rPr>
          <w:rFonts w:hint="eastAsia" w:ascii="仿宋" w:hAnsi="仿宋" w:eastAsia="仿宋" w:cs="仿宋"/>
          <w:sz w:val="52"/>
          <w:szCs w:val="52"/>
          <w:shd w:val="clear" w:color="auto" w:fill="auto"/>
        </w:rPr>
      </w:pPr>
      <w:r>
        <w:rPr>
          <w:rFonts w:hint="eastAsia" w:ascii="仿宋" w:hAnsi="仿宋" w:eastAsia="仿宋" w:cs="仿宋"/>
          <w:sz w:val="52"/>
          <w:szCs w:val="52"/>
          <w:shd w:val="clear" w:color="auto" w:fill="auto"/>
        </w:rPr>
        <w:t>杭州市政府采购项目</w:t>
      </w:r>
    </w:p>
    <w:p>
      <w:pPr>
        <w:spacing w:line="360" w:lineRule="auto"/>
        <w:jc w:val="center"/>
        <w:rPr>
          <w:rFonts w:hint="eastAsia" w:ascii="仿宋" w:hAnsi="仿宋" w:eastAsia="仿宋" w:cs="仿宋"/>
          <w:sz w:val="52"/>
          <w:szCs w:val="52"/>
          <w:shd w:val="clear" w:color="auto" w:fill="auto"/>
        </w:rPr>
      </w:pPr>
      <w:r>
        <w:rPr>
          <w:rFonts w:hint="eastAsia" w:ascii="仿宋" w:hAnsi="仿宋" w:eastAsia="仿宋" w:cs="仿宋"/>
          <w:sz w:val="52"/>
          <w:szCs w:val="52"/>
          <w:shd w:val="clear" w:color="auto" w:fill="auto"/>
        </w:rPr>
        <w:t>采购需求</w:t>
      </w:r>
    </w:p>
    <w:p>
      <w:pPr>
        <w:spacing w:line="360" w:lineRule="auto"/>
        <w:jc w:val="center"/>
        <w:rPr>
          <w:rFonts w:hint="eastAsia" w:ascii="仿宋" w:hAnsi="仿宋" w:eastAsia="仿宋" w:cs="仿宋"/>
          <w:sz w:val="32"/>
          <w:szCs w:val="32"/>
          <w:shd w:val="clear" w:color="auto" w:fill="auto"/>
        </w:rPr>
      </w:pPr>
    </w:p>
    <w:p>
      <w:pPr>
        <w:spacing w:line="360" w:lineRule="auto"/>
        <w:jc w:val="center"/>
        <w:rPr>
          <w:rFonts w:hint="eastAsia" w:ascii="仿宋" w:hAnsi="仿宋" w:eastAsia="仿宋" w:cs="仿宋"/>
          <w:sz w:val="44"/>
          <w:szCs w:val="44"/>
          <w:shd w:val="clear" w:color="auto" w:fill="auto"/>
        </w:rPr>
      </w:pPr>
    </w:p>
    <w:p>
      <w:pPr>
        <w:spacing w:line="360" w:lineRule="auto"/>
        <w:jc w:val="center"/>
        <w:rPr>
          <w:rFonts w:hint="eastAsia" w:ascii="仿宋" w:hAnsi="仿宋" w:eastAsia="仿宋" w:cs="仿宋"/>
          <w:sz w:val="44"/>
          <w:szCs w:val="44"/>
          <w:shd w:val="clear" w:color="auto" w:fill="auto"/>
        </w:rPr>
      </w:pPr>
    </w:p>
    <w:p>
      <w:pPr>
        <w:pStyle w:val="2"/>
        <w:rPr>
          <w:rFonts w:hint="eastAsia" w:ascii="仿宋" w:hAnsi="仿宋" w:eastAsia="仿宋" w:cs="仿宋"/>
          <w:shd w:val="clear" w:color="auto" w:fill="auto"/>
        </w:rPr>
      </w:pPr>
    </w:p>
    <w:p>
      <w:pPr>
        <w:spacing w:line="360" w:lineRule="auto"/>
        <w:jc w:val="center"/>
        <w:rPr>
          <w:rFonts w:hint="eastAsia" w:ascii="仿宋" w:hAnsi="仿宋" w:eastAsia="仿宋" w:cs="仿宋"/>
          <w:sz w:val="44"/>
          <w:szCs w:val="44"/>
          <w:shd w:val="clear" w:color="auto" w:fill="auto"/>
        </w:rPr>
      </w:pPr>
    </w:p>
    <w:p>
      <w:pPr>
        <w:pStyle w:val="2"/>
        <w:rPr>
          <w:rFonts w:hint="eastAsia" w:ascii="仿宋" w:hAnsi="仿宋" w:eastAsia="仿宋" w:cs="仿宋"/>
          <w:shd w:val="clear" w:color="auto" w:fill="auto"/>
        </w:rPr>
      </w:pPr>
    </w:p>
    <w:p>
      <w:pPr>
        <w:pStyle w:val="20"/>
        <w:ind w:firstLine="344"/>
        <w:rPr>
          <w:rFonts w:hint="eastAsia" w:ascii="仿宋" w:hAnsi="仿宋" w:eastAsia="仿宋" w:cs="仿宋"/>
          <w:shd w:val="clear" w:color="auto" w:fill="auto"/>
        </w:rPr>
      </w:pPr>
    </w:p>
    <w:p>
      <w:pPr>
        <w:pStyle w:val="20"/>
        <w:ind w:firstLine="344"/>
        <w:rPr>
          <w:rFonts w:hint="eastAsia" w:ascii="仿宋" w:hAnsi="仿宋" w:eastAsia="仿宋" w:cs="仿宋"/>
          <w:shd w:val="clear" w:color="auto" w:fill="auto"/>
        </w:rPr>
      </w:pPr>
    </w:p>
    <w:p>
      <w:pPr>
        <w:pStyle w:val="20"/>
        <w:ind w:firstLine="344"/>
        <w:rPr>
          <w:rFonts w:hint="eastAsia" w:ascii="仿宋" w:hAnsi="仿宋" w:eastAsia="仿宋" w:cs="仿宋"/>
          <w:shd w:val="clear" w:color="auto" w:fill="auto"/>
        </w:rPr>
      </w:pPr>
    </w:p>
    <w:p>
      <w:pPr>
        <w:pStyle w:val="20"/>
        <w:ind w:firstLine="344"/>
        <w:rPr>
          <w:rFonts w:hint="eastAsia" w:ascii="仿宋" w:hAnsi="仿宋" w:eastAsia="仿宋" w:cs="仿宋"/>
          <w:shd w:val="clear" w:color="auto" w:fill="auto"/>
        </w:rPr>
      </w:pPr>
    </w:p>
    <w:p>
      <w:pPr>
        <w:pStyle w:val="20"/>
        <w:ind w:firstLine="344"/>
        <w:rPr>
          <w:rFonts w:hint="eastAsia" w:ascii="仿宋" w:hAnsi="仿宋" w:eastAsia="仿宋" w:cs="仿宋"/>
          <w:shd w:val="clear" w:color="auto" w:fill="auto"/>
        </w:rPr>
      </w:pPr>
    </w:p>
    <w:p>
      <w:pPr>
        <w:pStyle w:val="20"/>
        <w:ind w:firstLine="344"/>
        <w:rPr>
          <w:rFonts w:hint="eastAsia" w:ascii="仿宋" w:hAnsi="仿宋" w:eastAsia="仿宋" w:cs="仿宋"/>
          <w:shd w:val="clear" w:color="auto" w:fill="auto"/>
        </w:rPr>
      </w:pPr>
    </w:p>
    <w:p>
      <w:pPr>
        <w:pStyle w:val="20"/>
        <w:ind w:firstLine="344"/>
        <w:rPr>
          <w:rFonts w:hint="eastAsia" w:ascii="仿宋" w:hAnsi="仿宋" w:eastAsia="仿宋" w:cs="仿宋"/>
          <w:shd w:val="clear" w:color="auto" w:fill="auto"/>
        </w:rPr>
      </w:pPr>
    </w:p>
    <w:p>
      <w:pPr>
        <w:pStyle w:val="20"/>
        <w:ind w:firstLine="344"/>
        <w:rPr>
          <w:rFonts w:hint="eastAsia" w:ascii="仿宋" w:hAnsi="仿宋" w:eastAsia="仿宋" w:cs="仿宋"/>
          <w:shd w:val="clear" w:color="auto" w:fill="auto"/>
        </w:rPr>
      </w:pPr>
    </w:p>
    <w:p>
      <w:pPr>
        <w:spacing w:line="360" w:lineRule="auto"/>
        <w:jc w:val="center"/>
        <w:rPr>
          <w:rFonts w:hint="eastAsia" w:ascii="仿宋" w:hAnsi="仿宋" w:eastAsia="仿宋" w:cs="仿宋"/>
          <w:sz w:val="28"/>
          <w:szCs w:val="28"/>
          <w:u w:val="single"/>
          <w:shd w:val="clear" w:color="auto" w:fill="auto"/>
        </w:rPr>
      </w:pPr>
      <w:r>
        <w:rPr>
          <w:rFonts w:hint="eastAsia" w:ascii="仿宋" w:hAnsi="仿宋" w:eastAsia="仿宋" w:cs="仿宋"/>
          <w:sz w:val="28"/>
          <w:szCs w:val="28"/>
          <w:shd w:val="clear" w:color="auto" w:fill="auto"/>
        </w:rPr>
        <w:t>采购单位：</w:t>
      </w:r>
      <w:r>
        <w:rPr>
          <w:rFonts w:hint="eastAsia" w:ascii="仿宋" w:hAnsi="仿宋" w:eastAsia="仿宋" w:cs="仿宋"/>
          <w:sz w:val="28"/>
          <w:szCs w:val="28"/>
          <w:shd w:val="clear" w:color="auto" w:fill="auto"/>
          <w:lang w:eastAsia="zh-CN"/>
        </w:rPr>
        <w:t>杭州市公安局临平区分局</w:t>
      </w:r>
    </w:p>
    <w:p>
      <w:pPr>
        <w:spacing w:line="360" w:lineRule="auto"/>
        <w:jc w:val="center"/>
        <w:rPr>
          <w:rFonts w:hint="eastAsia" w:ascii="仿宋" w:hAnsi="仿宋" w:eastAsia="仿宋" w:cs="仿宋"/>
          <w:sz w:val="28"/>
          <w:szCs w:val="28"/>
          <w:u w:val="single"/>
          <w:shd w:val="clear" w:color="auto" w:fill="auto"/>
          <w:lang w:eastAsia="zh-CN"/>
        </w:rPr>
      </w:pPr>
      <w:r>
        <w:rPr>
          <w:rFonts w:hint="eastAsia" w:ascii="仿宋" w:hAnsi="仿宋" w:eastAsia="仿宋" w:cs="仿宋"/>
          <w:sz w:val="28"/>
          <w:szCs w:val="28"/>
          <w:shd w:val="clear" w:color="auto" w:fill="auto"/>
        </w:rPr>
        <w:t>项目名称：</w:t>
      </w:r>
      <w:r>
        <w:rPr>
          <w:rFonts w:hint="eastAsia" w:ascii="仿宋" w:hAnsi="仿宋" w:eastAsia="仿宋" w:cs="仿宋"/>
          <w:sz w:val="28"/>
          <w:szCs w:val="28"/>
          <w:shd w:val="clear" w:color="auto" w:fill="auto"/>
          <w:lang w:eastAsia="zh-CN"/>
        </w:rPr>
        <w:t>后台算力服务器及存储租赁服务项目</w:t>
      </w:r>
    </w:p>
    <w:p>
      <w:pPr>
        <w:spacing w:line="360" w:lineRule="auto"/>
        <w:jc w:val="center"/>
        <w:rPr>
          <w:rFonts w:hint="eastAsia" w:ascii="仿宋" w:hAnsi="仿宋" w:eastAsia="仿宋" w:cs="仿宋"/>
          <w:sz w:val="28"/>
          <w:szCs w:val="28"/>
          <w:u w:val="single"/>
          <w:shd w:val="clear" w:color="auto" w:fill="auto"/>
        </w:rPr>
      </w:pPr>
      <w:r>
        <w:rPr>
          <w:rFonts w:hint="eastAsia" w:ascii="仿宋" w:hAnsi="仿宋" w:eastAsia="仿宋" w:cs="仿宋"/>
          <w:sz w:val="28"/>
          <w:szCs w:val="28"/>
          <w:shd w:val="clear" w:color="auto" w:fill="auto"/>
        </w:rPr>
        <w:t>编制单位：</w:t>
      </w:r>
      <w:r>
        <w:rPr>
          <w:rFonts w:hint="eastAsia" w:ascii="仿宋" w:hAnsi="仿宋" w:eastAsia="仿宋" w:cs="仿宋"/>
          <w:sz w:val="28"/>
          <w:szCs w:val="28"/>
          <w:shd w:val="clear" w:color="auto" w:fill="auto"/>
          <w:lang w:eastAsia="zh-CN"/>
        </w:rPr>
        <w:t>杭州市公安局临平区分局</w:t>
      </w:r>
    </w:p>
    <w:p>
      <w:pPr>
        <w:spacing w:line="360" w:lineRule="auto"/>
        <w:jc w:val="center"/>
        <w:rPr>
          <w:rFonts w:hint="default" w:ascii="仿宋" w:hAnsi="仿宋" w:eastAsia="仿宋" w:cs="仿宋"/>
          <w:sz w:val="28"/>
          <w:szCs w:val="28"/>
          <w:u w:val="single"/>
          <w:shd w:val="clear" w:color="auto" w:fill="auto"/>
          <w:lang w:val="en-US" w:eastAsia="zh-CN"/>
        </w:rPr>
      </w:pPr>
      <w:r>
        <w:rPr>
          <w:rFonts w:hint="eastAsia" w:ascii="仿宋" w:hAnsi="仿宋" w:eastAsia="仿宋" w:cs="仿宋"/>
          <w:sz w:val="28"/>
          <w:szCs w:val="28"/>
          <w:shd w:val="clear" w:color="auto" w:fill="auto"/>
        </w:rPr>
        <w:t>编制时间：</w:t>
      </w:r>
      <w:r>
        <w:rPr>
          <w:rFonts w:hint="eastAsia" w:ascii="仿宋" w:hAnsi="仿宋" w:eastAsia="仿宋" w:cs="仿宋"/>
          <w:sz w:val="28"/>
          <w:szCs w:val="28"/>
          <w:u w:val="none"/>
          <w:shd w:val="clear" w:color="auto" w:fill="auto"/>
        </w:rPr>
        <w:t>202</w:t>
      </w:r>
      <w:r>
        <w:rPr>
          <w:rFonts w:hint="eastAsia" w:ascii="仿宋" w:hAnsi="仿宋" w:eastAsia="仿宋" w:cs="仿宋"/>
          <w:sz w:val="28"/>
          <w:szCs w:val="28"/>
          <w:u w:val="none"/>
          <w:shd w:val="clear" w:color="auto" w:fill="auto"/>
          <w:lang w:val="en-US" w:eastAsia="zh-CN"/>
        </w:rPr>
        <w:t>5</w:t>
      </w:r>
      <w:r>
        <w:rPr>
          <w:rFonts w:hint="eastAsia" w:ascii="仿宋" w:hAnsi="仿宋" w:eastAsia="仿宋" w:cs="仿宋"/>
          <w:sz w:val="28"/>
          <w:szCs w:val="28"/>
          <w:u w:val="none"/>
          <w:shd w:val="clear" w:color="auto" w:fill="auto"/>
        </w:rPr>
        <w:t>年</w:t>
      </w:r>
      <w:r>
        <w:rPr>
          <w:rFonts w:hint="eastAsia" w:ascii="仿宋" w:hAnsi="仿宋" w:eastAsia="仿宋" w:cs="仿宋"/>
          <w:sz w:val="28"/>
          <w:szCs w:val="28"/>
          <w:u w:val="none"/>
          <w:shd w:val="clear" w:color="auto" w:fill="auto"/>
          <w:lang w:val="en-US" w:eastAsia="zh-CN"/>
        </w:rPr>
        <w:t>2</w:t>
      </w:r>
      <w:r>
        <w:rPr>
          <w:rFonts w:hint="eastAsia" w:ascii="仿宋" w:hAnsi="仿宋" w:eastAsia="仿宋" w:cs="仿宋"/>
          <w:sz w:val="28"/>
          <w:szCs w:val="28"/>
          <w:u w:val="none"/>
          <w:shd w:val="clear" w:color="auto" w:fill="auto"/>
        </w:rPr>
        <w:t>月</w:t>
      </w:r>
      <w:r>
        <w:rPr>
          <w:rFonts w:hint="eastAsia" w:ascii="仿宋" w:hAnsi="仿宋" w:eastAsia="仿宋" w:cs="仿宋"/>
          <w:sz w:val="28"/>
          <w:szCs w:val="28"/>
          <w:u w:val="none"/>
          <w:shd w:val="clear" w:color="auto" w:fill="auto"/>
          <w:lang w:val="en-US" w:eastAsia="zh-CN"/>
        </w:rPr>
        <w:t>17日</w:t>
      </w:r>
    </w:p>
    <w:p>
      <w:pPr>
        <w:spacing w:line="380" w:lineRule="exact"/>
        <w:jc w:val="left"/>
        <w:rPr>
          <w:rFonts w:hint="eastAsia" w:ascii="仿宋" w:hAnsi="仿宋" w:eastAsia="仿宋" w:cs="仿宋"/>
          <w:b/>
          <w:sz w:val="28"/>
          <w:szCs w:val="28"/>
          <w:shd w:val="clear" w:color="auto" w:fill="auto"/>
        </w:rPr>
      </w:pPr>
      <w:r>
        <w:rPr>
          <w:rFonts w:hint="eastAsia" w:ascii="仿宋" w:hAnsi="仿宋" w:eastAsia="仿宋" w:cs="仿宋"/>
          <w:sz w:val="32"/>
          <w:szCs w:val="32"/>
          <w:shd w:val="clear" w:color="auto" w:fill="auto"/>
        </w:rPr>
        <w:br w:type="page"/>
      </w:r>
      <w:r>
        <w:rPr>
          <w:rFonts w:hint="eastAsia" w:ascii="仿宋" w:hAnsi="仿宋" w:eastAsia="仿宋" w:cs="仿宋"/>
          <w:b/>
          <w:sz w:val="28"/>
          <w:szCs w:val="28"/>
          <w:shd w:val="clear" w:color="auto" w:fill="auto"/>
        </w:rPr>
        <w:t>一、需求调查情况</w:t>
      </w:r>
    </w:p>
    <w:p>
      <w:pPr>
        <w:spacing w:line="380" w:lineRule="exact"/>
        <w:jc w:val="left"/>
        <w:rPr>
          <w:rFonts w:hint="eastAsia" w:ascii="仿宋" w:hAnsi="仿宋" w:eastAsia="仿宋" w:cs="仿宋"/>
          <w:sz w:val="24"/>
          <w:shd w:val="clear" w:color="auto" w:fill="auto"/>
        </w:rPr>
      </w:pPr>
      <w:r>
        <w:rPr>
          <w:rFonts w:hint="eastAsia" w:ascii="仿宋" w:hAnsi="仿宋" w:eastAsia="仿宋" w:cs="仿宋"/>
          <w:sz w:val="24"/>
          <w:shd w:val="clear" w:color="auto" w:fill="auto"/>
        </w:rPr>
        <w:t>（一）本项目是否需要开展需求调查：是</w:t>
      </w:r>
    </w:p>
    <w:p>
      <w:pPr>
        <w:spacing w:line="380" w:lineRule="exact"/>
        <w:jc w:val="left"/>
        <w:rPr>
          <w:rFonts w:hint="eastAsia" w:ascii="仿宋" w:hAnsi="仿宋" w:eastAsia="仿宋" w:cs="仿宋"/>
          <w:sz w:val="24"/>
          <w:shd w:val="clear" w:color="auto" w:fill="auto"/>
        </w:rPr>
      </w:pPr>
      <w:r>
        <w:rPr>
          <w:rFonts w:hint="eastAsia" w:ascii="仿宋" w:hAnsi="仿宋" w:eastAsia="仿宋" w:cs="仿宋"/>
          <w:sz w:val="24"/>
          <w:shd w:val="clear" w:color="auto" w:fill="auto"/>
        </w:rPr>
        <w:t>（二）本项目是否属于可以不再重复开展需求调查情形：否</w:t>
      </w:r>
    </w:p>
    <w:p>
      <w:pPr>
        <w:spacing w:line="380" w:lineRule="exact"/>
        <w:jc w:val="left"/>
        <w:rPr>
          <w:rFonts w:hint="eastAsia" w:ascii="仿宋" w:hAnsi="仿宋" w:eastAsia="仿宋" w:cs="仿宋"/>
          <w:sz w:val="24"/>
          <w:shd w:val="clear" w:color="auto" w:fill="auto"/>
        </w:rPr>
      </w:pPr>
      <w:r>
        <w:rPr>
          <w:rFonts w:hint="eastAsia" w:ascii="仿宋" w:hAnsi="仿宋" w:eastAsia="仿宋" w:cs="仿宋"/>
          <w:sz w:val="24"/>
          <w:shd w:val="clear" w:color="auto" w:fill="auto"/>
        </w:rPr>
        <w:t xml:space="preserve">（三）需求调查方式:发布采购需求公示                        </w:t>
      </w:r>
    </w:p>
    <w:p>
      <w:pPr>
        <w:spacing w:line="380" w:lineRule="exact"/>
        <w:jc w:val="left"/>
        <w:rPr>
          <w:rFonts w:hint="eastAsia" w:ascii="仿宋" w:hAnsi="仿宋" w:eastAsia="仿宋" w:cs="仿宋"/>
          <w:sz w:val="24"/>
          <w:shd w:val="clear" w:color="auto" w:fill="auto"/>
        </w:rPr>
      </w:pPr>
      <w:r>
        <w:rPr>
          <w:rFonts w:hint="eastAsia" w:ascii="仿宋" w:hAnsi="仿宋" w:eastAsia="仿宋" w:cs="仿宋"/>
          <w:sz w:val="24"/>
          <w:shd w:val="clear" w:color="auto" w:fill="auto"/>
        </w:rPr>
        <w:t>（四）需求调查对象:潜在供应商及有关专家</w:t>
      </w:r>
    </w:p>
    <w:p>
      <w:pPr>
        <w:spacing w:line="380" w:lineRule="exact"/>
        <w:jc w:val="left"/>
        <w:rPr>
          <w:rFonts w:hint="eastAsia" w:ascii="仿宋" w:hAnsi="仿宋" w:eastAsia="仿宋" w:cs="仿宋"/>
          <w:sz w:val="24"/>
          <w:shd w:val="clear" w:color="auto" w:fill="auto"/>
        </w:rPr>
      </w:pPr>
      <w:r>
        <w:rPr>
          <w:rFonts w:hint="eastAsia" w:ascii="仿宋" w:hAnsi="仿宋" w:eastAsia="仿宋" w:cs="仿宋"/>
          <w:sz w:val="24"/>
          <w:shd w:val="clear" w:color="auto" w:fill="auto"/>
        </w:rPr>
        <w:t>（五）需求调查结果</w:t>
      </w:r>
    </w:p>
    <w:p>
      <w:pPr>
        <w:spacing w:line="380" w:lineRule="exact"/>
        <w:ind w:firstLine="420"/>
        <w:jc w:val="left"/>
        <w:rPr>
          <w:rFonts w:hint="eastAsia" w:ascii="仿宋" w:hAnsi="仿宋" w:eastAsia="仿宋" w:cs="仿宋"/>
          <w:sz w:val="24"/>
          <w:shd w:val="clear" w:color="auto" w:fill="auto"/>
        </w:rPr>
      </w:pPr>
      <w:r>
        <w:rPr>
          <w:rFonts w:hint="eastAsia" w:ascii="仿宋" w:hAnsi="仿宋" w:eastAsia="仿宋" w:cs="仿宋"/>
          <w:sz w:val="24"/>
          <w:shd w:val="clear" w:color="auto" w:fill="auto"/>
        </w:rPr>
        <w:t>1.相关产业发展情况</w:t>
      </w:r>
    </w:p>
    <w:p>
      <w:pPr>
        <w:spacing w:line="380" w:lineRule="exact"/>
        <w:jc w:val="left"/>
        <w:rPr>
          <w:rFonts w:hint="eastAsia" w:ascii="仿宋" w:hAnsi="仿宋" w:eastAsia="仿宋" w:cs="仿宋"/>
          <w:sz w:val="24"/>
          <w:u w:val="none"/>
          <w:shd w:val="clear" w:color="auto" w:fill="auto"/>
          <w:lang w:val="en-US" w:eastAsia="zh-CN"/>
        </w:rPr>
      </w:pPr>
      <w:r>
        <w:rPr>
          <w:rFonts w:hint="eastAsia" w:ascii="仿宋" w:hAnsi="仿宋" w:eastAsia="仿宋" w:cs="仿宋"/>
          <w:sz w:val="24"/>
          <w:u w:val="none"/>
          <w:shd w:val="clear" w:color="auto" w:fill="auto"/>
          <w:lang w:val="en-US" w:eastAsia="zh-CN"/>
        </w:rPr>
        <w:t xml:space="preserve">   </w:t>
      </w:r>
      <w:r>
        <w:rPr>
          <w:rFonts w:hint="eastAsia" w:ascii="仿宋" w:hAnsi="仿宋" w:eastAsia="仿宋" w:cs="仿宋"/>
          <w:sz w:val="24"/>
          <w:u w:val="single"/>
          <w:shd w:val="clear" w:color="auto" w:fill="auto"/>
          <w:lang w:val="en-US" w:eastAsia="zh-CN"/>
        </w:rPr>
        <w:t xml:space="preserve">         /                                                                 </w:t>
      </w:r>
      <w:r>
        <w:rPr>
          <w:rFonts w:hint="eastAsia" w:ascii="仿宋" w:hAnsi="仿宋" w:eastAsia="仿宋" w:cs="仿宋"/>
          <w:i w:val="0"/>
          <w:iCs w:val="0"/>
          <w:sz w:val="24"/>
          <w:u w:val="none"/>
          <w:shd w:val="clear" w:color="auto" w:fill="auto"/>
          <w:lang w:val="en-US" w:eastAsia="zh-CN"/>
        </w:rPr>
        <w:t>。</w:t>
      </w:r>
    </w:p>
    <w:p>
      <w:pPr>
        <w:spacing w:line="380" w:lineRule="exact"/>
        <w:ind w:firstLine="480" w:firstLineChars="200"/>
        <w:jc w:val="left"/>
        <w:rPr>
          <w:rFonts w:hint="eastAsia" w:ascii="仿宋" w:hAnsi="仿宋" w:eastAsia="仿宋" w:cs="仿宋"/>
          <w:color w:val="auto"/>
          <w:sz w:val="24"/>
          <w:u w:val="none"/>
          <w:shd w:val="clear" w:color="auto" w:fill="auto"/>
        </w:rPr>
      </w:pPr>
      <w:r>
        <w:rPr>
          <w:rFonts w:hint="eastAsia" w:ascii="仿宋" w:hAnsi="仿宋" w:eastAsia="仿宋" w:cs="仿宋"/>
          <w:color w:val="auto"/>
          <w:sz w:val="24"/>
          <w:u w:val="none"/>
          <w:shd w:val="clear" w:color="auto" w:fill="auto"/>
        </w:rPr>
        <w:t>2.市场供给情况:</w:t>
      </w:r>
      <w:r>
        <w:rPr>
          <w:rFonts w:hint="eastAsia" w:ascii="仿宋" w:hAnsi="仿宋" w:eastAsia="仿宋" w:cs="仿宋"/>
          <w:color w:val="auto"/>
          <w:sz w:val="24"/>
          <w:u w:val="none"/>
          <w:shd w:val="clear" w:color="auto" w:fill="auto"/>
          <w:lang w:eastAsia="zh-CN"/>
        </w:rPr>
        <w:t>根据</w:t>
      </w:r>
      <w:r>
        <w:rPr>
          <w:rFonts w:hint="eastAsia" w:ascii="仿宋" w:hAnsi="仿宋" w:eastAsia="仿宋" w:cs="仿宋"/>
          <w:color w:val="auto"/>
          <w:sz w:val="24"/>
          <w:u w:val="none"/>
          <w:shd w:val="clear" w:color="auto" w:fill="auto"/>
          <w:lang w:val="en-US" w:eastAsia="zh-CN"/>
        </w:rPr>
        <w:t>上级部门意见</w:t>
      </w:r>
      <w:r>
        <w:rPr>
          <w:rFonts w:hint="eastAsia" w:ascii="仿宋" w:hAnsi="仿宋" w:eastAsia="仿宋" w:cs="仿宋"/>
          <w:color w:val="auto"/>
          <w:sz w:val="24"/>
          <w:u w:val="none"/>
          <w:shd w:val="clear" w:color="auto" w:fill="auto"/>
          <w:lang w:eastAsia="zh-CN"/>
        </w:rPr>
        <w:t>，需要采购服务单位</w:t>
      </w:r>
      <w:r>
        <w:rPr>
          <w:rFonts w:hint="eastAsia" w:ascii="仿宋" w:hAnsi="仿宋" w:eastAsia="仿宋" w:cs="仿宋"/>
          <w:color w:val="auto"/>
          <w:sz w:val="24"/>
          <w:u w:val="none"/>
          <w:shd w:val="clear" w:color="auto" w:fill="auto"/>
          <w:lang w:val="en-US" w:eastAsia="zh-CN"/>
        </w:rPr>
        <w:t>对后台算力服务器及存储租赁服务项目</w:t>
      </w:r>
      <w:r>
        <w:rPr>
          <w:rFonts w:hint="eastAsia" w:ascii="仿宋" w:hAnsi="仿宋" w:eastAsia="仿宋" w:cs="仿宋"/>
          <w:color w:val="auto"/>
          <w:sz w:val="24"/>
          <w:u w:val="none"/>
          <w:shd w:val="clear" w:color="auto" w:fill="auto"/>
          <w:lang w:eastAsia="zh-CN"/>
        </w:rPr>
        <w:t>。</w:t>
      </w:r>
    </w:p>
    <w:p>
      <w:pPr>
        <w:spacing w:line="380" w:lineRule="exact"/>
        <w:ind w:firstLine="420"/>
        <w:jc w:val="left"/>
        <w:rPr>
          <w:rFonts w:hint="eastAsia" w:ascii="仿宋" w:hAnsi="仿宋" w:eastAsia="仿宋" w:cs="仿宋"/>
          <w:color w:val="auto"/>
          <w:sz w:val="24"/>
          <w:u w:val="none"/>
          <w:shd w:val="clear" w:color="auto" w:fill="auto"/>
        </w:rPr>
      </w:pPr>
      <w:r>
        <w:rPr>
          <w:rFonts w:hint="eastAsia" w:ascii="仿宋" w:hAnsi="仿宋" w:eastAsia="仿宋" w:cs="仿宋"/>
          <w:color w:val="auto"/>
          <w:sz w:val="24"/>
          <w:u w:val="none"/>
          <w:shd w:val="clear" w:color="auto" w:fill="auto"/>
        </w:rPr>
        <w:t>3.同类采购项目历史成交信息情况</w:t>
      </w:r>
    </w:p>
    <w:p>
      <w:pPr>
        <w:spacing w:line="380" w:lineRule="exact"/>
        <w:ind w:firstLine="240" w:firstLineChars="100"/>
        <w:jc w:val="left"/>
        <w:rPr>
          <w:rFonts w:hint="default" w:ascii="仿宋" w:hAnsi="仿宋" w:eastAsia="仿宋" w:cs="仿宋"/>
          <w:color w:val="auto"/>
          <w:sz w:val="24"/>
          <w:u w:val="none"/>
          <w:shd w:val="clear" w:color="auto" w:fill="auto"/>
          <w:lang w:val="en-US" w:eastAsia="zh-CN"/>
        </w:rPr>
      </w:pPr>
      <w:r>
        <w:rPr>
          <w:rFonts w:hint="eastAsia" w:ascii="仿宋" w:hAnsi="仿宋" w:eastAsia="仿宋" w:cs="仿宋"/>
          <w:color w:val="auto"/>
          <w:sz w:val="24"/>
          <w:u w:val="none"/>
          <w:shd w:val="clear" w:color="auto" w:fill="auto"/>
          <w:lang w:val="en-US" w:eastAsia="zh-CN"/>
        </w:rPr>
        <w:t>1）兰溪市卫生健康局2025年政务云服务器租赁采购</w:t>
      </w:r>
      <w:r>
        <w:rPr>
          <w:rFonts w:hint="eastAsia" w:ascii="仿宋" w:hAnsi="仿宋" w:eastAsia="仿宋" w:cs="仿宋"/>
          <w:color w:val="auto"/>
          <w:sz w:val="24"/>
          <w:u w:val="none"/>
          <w:shd w:val="clear" w:color="auto" w:fill="auto"/>
          <w:lang w:eastAsia="zh-CN"/>
        </w:rPr>
        <w:t>、</w:t>
      </w:r>
      <w:r>
        <w:rPr>
          <w:rFonts w:hint="eastAsia" w:ascii="仿宋" w:hAnsi="仿宋" w:eastAsia="仿宋" w:cs="仿宋"/>
          <w:color w:val="auto"/>
          <w:sz w:val="24"/>
          <w:u w:val="none"/>
          <w:shd w:val="clear" w:color="auto" w:fill="auto"/>
          <w:lang w:val="en-US" w:eastAsia="zh-CN"/>
        </w:rPr>
        <w:t>编号ZJXC-LX2024-087、中标价：2085083.62（元）、服务期一年。</w:t>
      </w:r>
    </w:p>
    <w:p>
      <w:pPr>
        <w:spacing w:line="380" w:lineRule="exact"/>
        <w:ind w:firstLine="240" w:firstLineChars="100"/>
        <w:jc w:val="left"/>
        <w:rPr>
          <w:rFonts w:hint="default" w:ascii="仿宋" w:hAnsi="仿宋" w:eastAsia="仿宋" w:cs="仿宋"/>
          <w:color w:val="auto"/>
          <w:sz w:val="24"/>
          <w:u w:val="none"/>
          <w:shd w:val="clear" w:color="auto" w:fill="auto"/>
          <w:lang w:val="en-US" w:eastAsia="zh-CN"/>
        </w:rPr>
      </w:pPr>
      <w:r>
        <w:rPr>
          <w:rFonts w:hint="eastAsia" w:ascii="仿宋" w:hAnsi="仿宋" w:eastAsia="仿宋" w:cs="仿宋"/>
          <w:color w:val="auto"/>
          <w:sz w:val="24"/>
          <w:u w:val="none"/>
          <w:shd w:val="clear" w:color="auto" w:fill="auto"/>
          <w:lang w:val="en-US" w:eastAsia="zh-CN"/>
        </w:rPr>
        <w:t>2）2022年度社会治安视频监控续租运维服务、编号JYCG-2022-049-1、中标价：3410000元。</w:t>
      </w:r>
    </w:p>
    <w:p>
      <w:pPr>
        <w:spacing w:line="380" w:lineRule="exact"/>
        <w:ind w:firstLine="420"/>
        <w:jc w:val="left"/>
        <w:rPr>
          <w:rFonts w:hint="eastAsia" w:ascii="仿宋" w:hAnsi="仿宋" w:eastAsia="仿宋" w:cs="仿宋"/>
          <w:color w:val="auto"/>
          <w:sz w:val="24"/>
          <w:u w:val="none"/>
          <w:shd w:val="clear" w:color="auto" w:fill="auto"/>
        </w:rPr>
      </w:pPr>
      <w:r>
        <w:rPr>
          <w:rFonts w:hint="eastAsia" w:ascii="仿宋" w:hAnsi="仿宋" w:eastAsia="仿宋" w:cs="仿宋"/>
          <w:color w:val="auto"/>
          <w:sz w:val="24"/>
          <w:u w:val="none"/>
          <w:shd w:val="clear" w:color="auto" w:fill="auto"/>
        </w:rPr>
        <w:t>4.可能涉及的运行维护、升级更新、备品备件、耗材等后续采购情况</w:t>
      </w:r>
    </w:p>
    <w:p>
      <w:pPr>
        <w:spacing w:line="380" w:lineRule="exact"/>
        <w:ind w:firstLine="420"/>
        <w:jc w:val="left"/>
        <w:rPr>
          <w:rFonts w:hint="eastAsia" w:ascii="仿宋" w:hAnsi="仿宋" w:eastAsia="仿宋" w:cs="仿宋"/>
          <w:color w:val="auto"/>
          <w:sz w:val="24"/>
          <w:u w:val="none"/>
          <w:shd w:val="clear" w:color="auto" w:fill="auto"/>
        </w:rPr>
      </w:pPr>
      <w:r>
        <w:rPr>
          <w:rFonts w:hint="eastAsia" w:ascii="仿宋" w:hAnsi="仿宋" w:eastAsia="仿宋" w:cs="仿宋"/>
          <w:color w:val="auto"/>
          <w:sz w:val="24"/>
          <w:u w:val="none"/>
          <w:shd w:val="clear" w:color="auto" w:fill="auto"/>
          <w:lang w:val="en-US" w:eastAsia="zh-CN"/>
        </w:rPr>
        <w:t>本项目为服务采购，不涉及</w:t>
      </w:r>
      <w:r>
        <w:rPr>
          <w:rFonts w:hint="eastAsia" w:ascii="仿宋" w:hAnsi="仿宋" w:eastAsia="仿宋" w:cs="仿宋"/>
          <w:color w:val="auto"/>
          <w:sz w:val="24"/>
          <w:u w:val="none"/>
          <w:shd w:val="clear" w:color="auto" w:fill="auto"/>
        </w:rPr>
        <w:t>运行维护、升级更新、备品备件、耗材等后续采购情况</w:t>
      </w:r>
    </w:p>
    <w:p>
      <w:pPr>
        <w:spacing w:line="380" w:lineRule="exact"/>
        <w:ind w:firstLine="420"/>
        <w:jc w:val="left"/>
        <w:rPr>
          <w:rFonts w:hint="eastAsia" w:ascii="仿宋" w:hAnsi="仿宋" w:eastAsia="仿宋" w:cs="仿宋"/>
          <w:color w:val="auto"/>
          <w:sz w:val="24"/>
          <w:u w:val="none"/>
          <w:shd w:val="clear" w:color="auto" w:fill="auto"/>
        </w:rPr>
      </w:pPr>
      <w:r>
        <w:rPr>
          <w:rFonts w:hint="eastAsia" w:ascii="仿宋" w:hAnsi="仿宋" w:eastAsia="仿宋" w:cs="仿宋"/>
          <w:color w:val="auto"/>
          <w:sz w:val="24"/>
          <w:u w:val="none"/>
          <w:shd w:val="clear" w:color="auto" w:fill="auto"/>
        </w:rPr>
        <w:t>5.其他相关情况：无</w:t>
      </w:r>
    </w:p>
    <w:p>
      <w:pPr>
        <w:spacing w:line="380" w:lineRule="exact"/>
        <w:ind w:firstLine="280" w:firstLineChars="100"/>
        <w:jc w:val="left"/>
        <w:rPr>
          <w:rFonts w:hint="eastAsia" w:ascii="仿宋" w:hAnsi="仿宋" w:eastAsia="仿宋" w:cs="仿宋"/>
          <w:color w:val="auto"/>
          <w:sz w:val="24"/>
          <w:u w:val="none"/>
          <w:shd w:val="clear" w:color="auto" w:fill="auto"/>
        </w:rPr>
      </w:pPr>
      <w:r>
        <w:rPr>
          <w:rFonts w:hint="eastAsia" w:ascii="仿宋" w:hAnsi="仿宋" w:eastAsia="仿宋" w:cs="仿宋"/>
          <w:b/>
          <w:color w:val="auto"/>
          <w:sz w:val="28"/>
          <w:szCs w:val="28"/>
          <w:u w:val="none"/>
          <w:shd w:val="clear" w:color="auto" w:fill="auto"/>
        </w:rPr>
        <w:t>二、采购需求内容</w:t>
      </w:r>
    </w:p>
    <w:p>
      <w:pPr>
        <w:spacing w:line="380" w:lineRule="exact"/>
        <w:jc w:val="left"/>
        <w:rPr>
          <w:rFonts w:hint="eastAsia" w:ascii="仿宋" w:hAnsi="仿宋" w:eastAsia="仿宋" w:cs="仿宋"/>
          <w:color w:val="auto"/>
          <w:sz w:val="24"/>
          <w:u w:val="none"/>
          <w:shd w:val="clear" w:color="auto" w:fill="auto"/>
        </w:rPr>
      </w:pPr>
      <w:r>
        <w:rPr>
          <w:rFonts w:hint="eastAsia" w:ascii="仿宋" w:hAnsi="仿宋" w:eastAsia="仿宋" w:cs="仿宋"/>
          <w:color w:val="auto"/>
          <w:sz w:val="24"/>
          <w:u w:val="none"/>
          <w:shd w:val="clear" w:color="auto" w:fill="auto"/>
        </w:rPr>
        <w:t>（一）项目概况</w:t>
      </w:r>
    </w:p>
    <w:p>
      <w:pPr>
        <w:spacing w:line="380" w:lineRule="exact"/>
        <w:ind w:firstLine="420"/>
        <w:jc w:val="left"/>
        <w:rPr>
          <w:rFonts w:hint="eastAsia" w:ascii="仿宋" w:hAnsi="仿宋" w:eastAsia="仿宋" w:cs="仿宋"/>
          <w:color w:val="auto"/>
          <w:sz w:val="24"/>
          <w:u w:val="none"/>
          <w:shd w:val="clear" w:color="auto" w:fill="auto"/>
        </w:rPr>
      </w:pPr>
      <w:r>
        <w:rPr>
          <w:rFonts w:hint="eastAsia" w:ascii="仿宋" w:hAnsi="仿宋" w:eastAsia="仿宋" w:cs="仿宋"/>
          <w:color w:val="auto"/>
          <w:sz w:val="24"/>
          <w:u w:val="none"/>
          <w:shd w:val="clear" w:color="auto" w:fill="auto"/>
          <w:lang w:val="en-US" w:eastAsia="zh-CN"/>
        </w:rPr>
        <w:t>本项目为后台算力服务器及存储租赁服务项目</w:t>
      </w:r>
      <w:r>
        <w:rPr>
          <w:rFonts w:hint="eastAsia" w:ascii="仿宋" w:hAnsi="仿宋" w:eastAsia="仿宋" w:cs="仿宋"/>
          <w:color w:val="auto"/>
          <w:sz w:val="24"/>
          <w:u w:val="none"/>
          <w:shd w:val="clear" w:color="auto" w:fill="auto"/>
        </w:rPr>
        <w:t>。</w:t>
      </w:r>
    </w:p>
    <w:p>
      <w:pPr>
        <w:spacing w:line="380" w:lineRule="exact"/>
        <w:jc w:val="left"/>
        <w:rPr>
          <w:rFonts w:hint="default" w:ascii="仿宋" w:hAnsi="仿宋" w:eastAsia="仿宋" w:cs="仿宋"/>
          <w:color w:val="auto"/>
          <w:sz w:val="24"/>
          <w:u w:val="none"/>
          <w:shd w:val="clear" w:color="auto" w:fill="auto"/>
          <w:lang w:val="en-US" w:eastAsia="zh-CN"/>
        </w:rPr>
      </w:pPr>
      <w:r>
        <w:rPr>
          <w:rFonts w:hint="eastAsia" w:ascii="仿宋" w:hAnsi="仿宋" w:eastAsia="仿宋" w:cs="仿宋"/>
          <w:color w:val="auto"/>
          <w:sz w:val="24"/>
          <w:u w:val="none"/>
          <w:shd w:val="clear" w:color="auto" w:fill="auto"/>
        </w:rPr>
        <w:t>（二）预算金额（元）：</w:t>
      </w:r>
      <w:r>
        <w:rPr>
          <w:rFonts w:hint="eastAsia" w:ascii="仿宋" w:hAnsi="仿宋" w:eastAsia="仿宋" w:cs="仿宋"/>
          <w:color w:val="auto"/>
          <w:sz w:val="24"/>
          <w:u w:val="none"/>
          <w:shd w:val="clear" w:color="auto" w:fill="auto"/>
          <w:lang w:val="en-US" w:eastAsia="zh-CN"/>
        </w:rPr>
        <w:t>9000000</w:t>
      </w:r>
    </w:p>
    <w:p>
      <w:pPr>
        <w:spacing w:line="380" w:lineRule="exact"/>
        <w:jc w:val="left"/>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rPr>
        <w:t>（三）需满足的政府采购政策目标和具体支持对象:服务全部由符合政策要求的中小企业承接，提供中小企业声明函</w:t>
      </w:r>
      <w:r>
        <w:rPr>
          <w:rFonts w:hint="eastAsia" w:ascii="仿宋" w:hAnsi="仿宋" w:eastAsia="仿宋" w:cs="仿宋"/>
          <w:color w:val="auto"/>
          <w:sz w:val="24"/>
          <w:shd w:val="clear" w:color="auto" w:fill="auto"/>
          <w:lang w:eastAsia="zh-CN"/>
        </w:rPr>
        <w:t>。</w:t>
      </w:r>
    </w:p>
    <w:p>
      <w:pPr>
        <w:spacing w:line="380" w:lineRule="exact"/>
        <w:jc w:val="left"/>
        <w:rPr>
          <w:rFonts w:hint="default" w:ascii="仿宋" w:hAnsi="仿宋" w:eastAsia="仿宋" w:cs="仿宋"/>
          <w:color w:val="auto"/>
          <w:sz w:val="24"/>
          <w:shd w:val="clear" w:color="auto" w:fill="auto"/>
          <w:lang w:val="en-US" w:eastAsia="zh-CN"/>
        </w:rPr>
      </w:pPr>
      <w:r>
        <w:rPr>
          <w:rFonts w:hint="eastAsia" w:ascii="仿宋" w:hAnsi="仿宋" w:eastAsia="仿宋" w:cs="仿宋"/>
          <w:color w:val="auto"/>
          <w:sz w:val="24"/>
          <w:shd w:val="clear" w:color="auto" w:fill="auto"/>
        </w:rPr>
        <w:t>（四）采购标的是否进口产品：</w:t>
      </w:r>
      <w:r>
        <w:rPr>
          <w:rFonts w:hint="eastAsia" w:ascii="仿宋" w:hAnsi="仿宋" w:eastAsia="仿宋" w:cs="仿宋"/>
          <w:color w:val="auto"/>
          <w:sz w:val="24"/>
          <w:shd w:val="clear" w:color="auto" w:fill="auto"/>
        </w:rPr>
        <w:sym w:font="Wingdings" w:char="00FE"/>
      </w:r>
      <w:r>
        <w:rPr>
          <w:rFonts w:hint="eastAsia" w:ascii="仿宋" w:hAnsi="仿宋" w:eastAsia="仿宋" w:cs="仿宋"/>
          <w:color w:val="auto"/>
          <w:sz w:val="24"/>
          <w:shd w:val="clear" w:color="auto" w:fill="auto"/>
        </w:rPr>
        <w:t>国产</w:t>
      </w:r>
    </w:p>
    <w:p>
      <w:pPr>
        <w:spacing w:line="380" w:lineRule="exact"/>
        <w:jc w:val="left"/>
        <w:rPr>
          <w:rFonts w:hint="eastAsia" w:ascii="仿宋" w:hAnsi="仿宋" w:eastAsia="仿宋" w:cs="仿宋"/>
          <w:sz w:val="24"/>
          <w:shd w:val="clear" w:color="auto" w:fill="auto"/>
        </w:rPr>
      </w:pPr>
      <w:r>
        <w:rPr>
          <w:rFonts w:hint="eastAsia" w:ascii="仿宋" w:hAnsi="仿宋" w:eastAsia="仿宋" w:cs="仿宋"/>
          <w:sz w:val="24"/>
          <w:shd w:val="clear" w:color="auto" w:fill="auto"/>
        </w:rPr>
        <w:t>（五）拟采购标的的技术要求</w:t>
      </w:r>
    </w:p>
    <w:p>
      <w:pPr>
        <w:pStyle w:val="2"/>
        <w:rPr>
          <w:rFonts w:hint="eastAsia"/>
        </w:rPr>
      </w:pP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拟采购标的</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后台算力服务器及存储租赁服务项目标项一</w:t>
      </w:r>
    </w:p>
    <w:p>
      <w:pPr>
        <w:rPr>
          <w:rFonts w:hint="eastAsia" w:ascii="宋体" w:hAnsi="宋体" w:eastAsia="宋体" w:cs="宋体"/>
          <w:sz w:val="24"/>
          <w:szCs w:val="24"/>
          <w:lang w:val="en-US" w:eastAsia="zh-CN"/>
        </w:rPr>
      </w:pPr>
      <w:r>
        <w:rPr>
          <w:rFonts w:hint="eastAsia" w:ascii="宋体" w:hAnsi="宋体" w:eastAsia="宋体" w:cs="宋体"/>
          <w:b/>
          <w:color w:val="000000"/>
          <w:sz w:val="24"/>
          <w:szCs w:val="24"/>
          <w:highlight w:val="none"/>
          <w:lang w:val="en-US" w:eastAsia="zh-CN"/>
        </w:rPr>
        <w:t>预算金额</w:t>
      </w:r>
      <w:r>
        <w:rPr>
          <w:rFonts w:hint="eastAsia" w:ascii="宋体" w:hAnsi="宋体" w:cs="宋体"/>
          <w:b/>
          <w:color w:val="000000"/>
          <w:sz w:val="24"/>
          <w:szCs w:val="24"/>
          <w:highlight w:val="none"/>
          <w:lang w:val="en-US" w:eastAsia="zh-CN"/>
        </w:rPr>
        <w:t>882</w:t>
      </w:r>
      <w:r>
        <w:rPr>
          <w:rFonts w:hint="eastAsia" w:ascii="宋体" w:hAnsi="宋体" w:eastAsia="宋体" w:cs="宋体"/>
          <w:b/>
          <w:color w:val="000000"/>
          <w:sz w:val="24"/>
          <w:szCs w:val="24"/>
          <w:highlight w:val="none"/>
          <w:lang w:val="en-US" w:eastAsia="zh-CN"/>
        </w:rPr>
        <w:t>万</w:t>
      </w:r>
    </w:p>
    <w:p>
      <w:pPr>
        <w:snapToGrid w:val="0"/>
        <w:spacing w:line="360" w:lineRule="auto"/>
        <w:outlineLvl w:val="0"/>
        <w:rPr>
          <w:rFonts w:hint="eastAsia" w:ascii="仿宋" w:hAnsi="仿宋" w:eastAsia="仿宋" w:cs="仿宋"/>
          <w:b/>
          <w:bCs/>
          <w:sz w:val="24"/>
          <w:szCs w:val="24"/>
        </w:rPr>
      </w:pPr>
      <w:bookmarkStart w:id="1" w:name="_Hlk188620752"/>
      <w:r>
        <w:rPr>
          <w:rFonts w:hint="eastAsia" w:ascii="仿宋" w:hAnsi="仿宋" w:eastAsia="仿宋" w:cs="仿宋"/>
          <w:b/>
          <w:bCs/>
          <w:sz w:val="24"/>
          <w:szCs w:val="24"/>
        </w:rPr>
        <w:t>一、 项目概述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为深入推进临平区社会治理感知体系建设，深入贯彻“统一整体规划、统一建设运维、统一平台共享、统一技术标准、统一监督管理”的“五统一”工作原则，进一步提升临平公安后台算力及存储能力，满足实战应用需求。结合临平实际，拟在原天网工程6000路存储基础上扩建12000路存储，实现视频监控存储总量达到18000路目标，并扩建不少于</w:t>
      </w:r>
      <w:r>
        <w:rPr>
          <w:rFonts w:hint="eastAsia" w:ascii="仿宋_GB2312" w:eastAsia="仿宋_GB2312"/>
          <w:sz w:val="24"/>
          <w:szCs w:val="24"/>
        </w:rPr>
        <w:t>68张国产GPU卡的智能解析算力。</w:t>
      </w:r>
      <w:r>
        <w:rPr>
          <w:rFonts w:hint="eastAsia" w:ascii="仿宋" w:hAnsi="仿宋" w:eastAsia="仿宋" w:cs="仿宋"/>
          <w:sz w:val="24"/>
          <w:szCs w:val="24"/>
        </w:rPr>
        <w:t>为确保达到以上需求，本项目通过购买服务的方式，对后端资源进行扩容建</w:t>
      </w:r>
      <w:bookmarkEnd w:id="1"/>
      <w:r>
        <w:rPr>
          <w:rFonts w:hint="eastAsia" w:ascii="仿宋" w:hAnsi="仿宋" w:eastAsia="仿宋" w:cs="仿宋"/>
          <w:sz w:val="24"/>
          <w:szCs w:val="24"/>
        </w:rPr>
        <w:t>设，并匹配对应的云存储设备、智能解析设备、网络交换设备及配套的视频接入转发中心等基础设施，为视图智能应用建设提供基础，赋能临平公安数字实战警务实践。</w:t>
      </w:r>
    </w:p>
    <w:p>
      <w:pPr>
        <w:snapToGrid w:val="0"/>
        <w:spacing w:line="360" w:lineRule="auto"/>
        <w:outlineLvl w:val="0"/>
        <w:rPr>
          <w:rFonts w:hint="eastAsia" w:ascii="仿宋" w:hAnsi="仿宋" w:eastAsia="仿宋" w:cs="仿宋"/>
          <w:b/>
          <w:bCs/>
          <w:sz w:val="24"/>
          <w:szCs w:val="24"/>
        </w:rPr>
      </w:pPr>
      <w:r>
        <w:rPr>
          <w:rFonts w:hint="eastAsia" w:ascii="仿宋" w:hAnsi="仿宋" w:eastAsia="仿宋" w:cs="仿宋"/>
          <w:b/>
          <w:bCs/>
          <w:sz w:val="24"/>
          <w:szCs w:val="24"/>
        </w:rPr>
        <w:t>二、 总体要求</w:t>
      </w:r>
    </w:p>
    <w:p>
      <w:pPr>
        <w:spacing w:line="360" w:lineRule="auto"/>
        <w:ind w:firstLine="480" w:firstLineChars="200"/>
        <w:rPr>
          <w:rFonts w:hint="eastAsia" w:ascii="仿宋_GB2312" w:eastAsia="仿宋_GB2312"/>
          <w:sz w:val="24"/>
          <w:szCs w:val="24"/>
        </w:rPr>
      </w:pPr>
      <w:bookmarkStart w:id="2" w:name="_Hlk188620875"/>
      <w:r>
        <w:rPr>
          <w:rFonts w:hint="eastAsia" w:ascii="仿宋_GB2312" w:eastAsia="仿宋_GB2312"/>
          <w:sz w:val="24"/>
          <w:szCs w:val="24"/>
        </w:rPr>
        <w:t>本项目采用购买服务的方式为杭州市公安局临平区分局提供公安专网视图存储扩容服务及智能后端扩容服务，主要包括扩容云存储池、智能解析算力资源及相关配套基础设施内容。总体要求如下：</w:t>
      </w:r>
    </w:p>
    <w:p>
      <w:pPr>
        <w:numPr>
          <w:ilvl w:val="0"/>
          <w:numId w:val="1"/>
        </w:num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本项目中标单位在系统建设过程中所涉及的所有硬件产品（含辅材辅料）全部由中标单位根据采购要求自行完成产品选型和建设，所有硬件产品（含辅材辅料）的产权归中标单位所有，所有硬件产品（含辅材辅料）的维护、更新由中标单位负责。</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2.中标单位所提供的硬件产品（含辅材辅料）须存放在采购人指定的机房内。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3.中标单位应充分考虑采购人对图像和视频数据服务的高质量要求，确保合同期内能稳定提供高标准、高质量的图像和视频采集、处理服务，所有硬件、系统均需与临平区公安分局现有系统实现无缝对接。</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4.合同期内，如某些硬件产品水平无法满足采购需求，中标单位必须无条件并及时地进行更新与改造，由此产生的费用由中标单位自行承担。</w:t>
      </w:r>
      <w:bookmarkEnd w:id="2"/>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5.中标单位提供所有硬件设备均需满足国产化要求。</w:t>
      </w:r>
    </w:p>
    <w:p>
      <w:pPr>
        <w:snapToGrid w:val="0"/>
        <w:spacing w:line="360" w:lineRule="auto"/>
        <w:outlineLvl w:val="0"/>
        <w:rPr>
          <w:rFonts w:hint="eastAsia" w:ascii="仿宋" w:hAnsi="仿宋" w:eastAsia="仿宋" w:cs="仿宋"/>
          <w:b/>
          <w:bCs/>
          <w:sz w:val="24"/>
          <w:szCs w:val="24"/>
        </w:rPr>
      </w:pPr>
      <w:r>
        <w:rPr>
          <w:rFonts w:hint="eastAsia" w:ascii="仿宋" w:hAnsi="仿宋" w:eastAsia="仿宋" w:cs="仿宋"/>
          <w:b/>
          <w:bCs/>
          <w:sz w:val="24"/>
          <w:szCs w:val="24"/>
        </w:rPr>
        <w:t>三、详细技术要求</w:t>
      </w:r>
    </w:p>
    <w:p>
      <w:pPr>
        <w:spacing w:line="360" w:lineRule="auto"/>
        <w:ind w:firstLine="480" w:firstLineChars="200"/>
        <w:rPr>
          <w:rFonts w:hint="eastAsia" w:ascii="仿宋_GB2312" w:eastAsia="仿宋_GB2312"/>
          <w:b/>
          <w:bCs/>
          <w:sz w:val="24"/>
          <w:szCs w:val="24"/>
        </w:rPr>
      </w:pPr>
      <w:r>
        <w:rPr>
          <w:rFonts w:hint="eastAsia" w:ascii="仿宋_GB2312" w:eastAsia="仿宋_GB2312"/>
          <w:sz w:val="24"/>
          <w:szCs w:val="24"/>
        </w:rPr>
        <w:t>1.扩容云存储存储池：按照新增12000路视频监控存储要求扩容临平区公安分局云存储存储池。在视频专网按照4M码流，存储30天的标准存储视频监控，提供至少16.875PB的存储空间；在公安网内，按照大小图存180天的标准，提供至少5.625PB的存储空间；即总计需提供至少22.5PB的存储空间。</w:t>
      </w:r>
    </w:p>
    <w:p>
      <w:pPr>
        <w:spacing w:line="360" w:lineRule="auto"/>
        <w:ind w:firstLine="480" w:firstLineChars="200"/>
        <w:rPr>
          <w:rFonts w:hint="eastAsia" w:ascii="仿宋_GB2312" w:eastAsia="仿宋_GB2312"/>
          <w:b/>
          <w:bCs/>
          <w:sz w:val="24"/>
          <w:szCs w:val="24"/>
        </w:rPr>
      </w:pPr>
      <w:r>
        <w:rPr>
          <w:rFonts w:hint="eastAsia" w:ascii="仿宋_GB2312" w:eastAsia="仿宋_GB2312"/>
          <w:sz w:val="24"/>
          <w:szCs w:val="24"/>
        </w:rPr>
        <w:t>2.扩容智能解析算力资源：本项目扩容的智能解析算力资源，将服务于公安实战，要求提供总计不少于68张国产GPU卡。</w:t>
      </w:r>
    </w:p>
    <w:p>
      <w:pPr>
        <w:spacing w:line="360" w:lineRule="auto"/>
        <w:ind w:firstLine="480" w:firstLineChars="200"/>
        <w:rPr>
          <w:rFonts w:hint="eastAsia" w:ascii="仿宋_GB2312" w:eastAsia="仿宋_GB2312"/>
          <w:b/>
          <w:bCs/>
          <w:sz w:val="24"/>
          <w:szCs w:val="24"/>
        </w:rPr>
      </w:pPr>
      <w:r>
        <w:rPr>
          <w:rFonts w:hint="eastAsia" w:ascii="仿宋_GB2312" w:eastAsia="仿宋_GB2312"/>
          <w:sz w:val="24"/>
          <w:szCs w:val="24"/>
        </w:rPr>
        <w:t>3.扩容配套视频接入转发中心基础设施：结合本项目业务需求，增加5台大数据服务器、4台摆渡服务器、3台数据自助分析节点、1台应用服务器、3台流媒体服务器以及对应的交换机、安全设备等，优化临平分局视频接入转发中心基础设施支撑配套。</w:t>
      </w:r>
    </w:p>
    <w:p>
      <w:pPr>
        <w:snapToGrid w:val="0"/>
        <w:spacing w:line="360" w:lineRule="auto"/>
        <w:outlineLvl w:val="0"/>
        <w:rPr>
          <w:rFonts w:hint="eastAsia" w:ascii="仿宋" w:hAnsi="仿宋" w:eastAsia="仿宋" w:cs="仿宋"/>
          <w:b/>
          <w:bCs/>
          <w:sz w:val="24"/>
          <w:szCs w:val="24"/>
        </w:rPr>
      </w:pPr>
      <w:r>
        <w:rPr>
          <w:rFonts w:hint="eastAsia" w:ascii="仿宋" w:hAnsi="仿宋" w:eastAsia="仿宋" w:cs="仿宋"/>
          <w:b/>
          <w:bCs/>
          <w:sz w:val="24"/>
          <w:szCs w:val="24"/>
        </w:rPr>
        <w:t>四、 服务要求</w:t>
      </w:r>
    </w:p>
    <w:p>
      <w:pPr>
        <w:spacing w:line="360" w:lineRule="auto"/>
        <w:ind w:firstLine="480" w:firstLineChars="200"/>
        <w:rPr>
          <w:rFonts w:hint="eastAsia" w:ascii="仿宋_GB2312" w:eastAsia="仿宋_GB2312"/>
          <w:b/>
          <w:bCs/>
          <w:sz w:val="24"/>
          <w:szCs w:val="24"/>
        </w:rPr>
      </w:pPr>
      <w:r>
        <w:rPr>
          <w:rFonts w:hint="eastAsia" w:ascii="仿宋_GB2312" w:eastAsia="仿宋_GB2312"/>
          <w:sz w:val="24"/>
          <w:szCs w:val="24"/>
        </w:rPr>
        <w:t>1.响应服务：中标单位在正式签订合同并进入试运行期起，须</w:t>
      </w:r>
      <w:r>
        <w:rPr>
          <w:rFonts w:hint="eastAsia" w:ascii="仿宋" w:hAnsi="仿宋" w:eastAsia="仿宋" w:cs="仿宋"/>
          <w:spacing w:val="-4"/>
          <w:sz w:val="24"/>
          <w:szCs w:val="24"/>
        </w:rPr>
        <w:t>提供7×24小时响应服务，确保设备7×24小时正常运行。如遇问题，中标单位须要在1小时内对故障进行排查修复。</w:t>
      </w:r>
    </w:p>
    <w:p>
      <w:pPr>
        <w:spacing w:line="360" w:lineRule="auto"/>
        <w:ind w:firstLine="464" w:firstLineChars="200"/>
        <w:rPr>
          <w:rFonts w:hint="eastAsia" w:ascii="仿宋" w:hAnsi="仿宋" w:eastAsia="仿宋" w:cs="仿宋"/>
          <w:b/>
          <w:bCs/>
          <w:spacing w:val="-4"/>
          <w:sz w:val="24"/>
          <w:szCs w:val="24"/>
        </w:rPr>
      </w:pPr>
      <w:r>
        <w:rPr>
          <w:rFonts w:hint="eastAsia" w:ascii="仿宋" w:hAnsi="仿宋" w:eastAsia="仿宋" w:cs="仿宋"/>
          <w:spacing w:val="-4"/>
          <w:sz w:val="24"/>
          <w:szCs w:val="24"/>
        </w:rPr>
        <w:t>2.巡检服务：中标单位需建立完善的巡检制度，通过巡检及时发现各类问题并及时进行整改修复，定期提交巡检报告。</w:t>
      </w:r>
    </w:p>
    <w:p>
      <w:pPr>
        <w:spacing w:line="360" w:lineRule="auto"/>
        <w:ind w:firstLine="464" w:firstLineChars="200"/>
        <w:rPr>
          <w:rFonts w:hint="eastAsia" w:ascii="仿宋" w:hAnsi="仿宋" w:eastAsia="仿宋" w:cs="仿宋"/>
          <w:b/>
          <w:bCs/>
          <w:spacing w:val="-4"/>
          <w:sz w:val="24"/>
          <w:szCs w:val="24"/>
        </w:rPr>
      </w:pPr>
      <w:r>
        <w:rPr>
          <w:rFonts w:hint="eastAsia" w:ascii="仿宋" w:hAnsi="仿宋" w:eastAsia="仿宋" w:cs="仿宋"/>
          <w:spacing w:val="-4"/>
          <w:sz w:val="24"/>
          <w:szCs w:val="24"/>
        </w:rPr>
        <w:t>3.技术服务：</w:t>
      </w:r>
      <w:r>
        <w:rPr>
          <w:rFonts w:hint="eastAsia" w:ascii="仿宋_GB2312" w:eastAsia="仿宋_GB2312"/>
          <w:sz w:val="24"/>
          <w:szCs w:val="24"/>
        </w:rPr>
        <w:t>中标单位须要提供包括但不限于存储配置、存储迁移、配套网络设备配置、软件平台适配等技术服务，确保在服务期内临平区公安分局视频、视图业务不因配套网络或存储故障而受影响。</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4.服务考核要求：</w:t>
      </w:r>
      <w:r>
        <w:rPr>
          <w:rFonts w:hint="eastAsia" w:ascii="仿宋" w:hAnsi="仿宋" w:eastAsia="仿宋" w:cs="仿宋"/>
          <w:spacing w:val="-4"/>
          <w:sz w:val="24"/>
          <w:szCs w:val="24"/>
        </w:rPr>
        <w:t>临平区公安分局</w:t>
      </w:r>
      <w:r>
        <w:rPr>
          <w:rFonts w:hint="eastAsia" w:ascii="仿宋_GB2312" w:eastAsia="仿宋_GB2312"/>
          <w:sz w:val="24"/>
          <w:szCs w:val="24"/>
        </w:rPr>
        <w:t>根据中标单位在项目期内提供的服务情况进行考核。</w:t>
      </w:r>
    </w:p>
    <w:p>
      <w:pPr>
        <w:spacing w:line="360" w:lineRule="auto"/>
        <w:ind w:firstLine="480" w:firstLineChars="200"/>
        <w:rPr>
          <w:rFonts w:hint="eastAsia"/>
        </w:rPr>
      </w:pPr>
      <w:r>
        <w:rPr>
          <w:rFonts w:hint="eastAsia" w:ascii="仿宋_GB2312" w:eastAsia="仿宋_GB2312"/>
          <w:sz w:val="24"/>
          <w:szCs w:val="24"/>
        </w:rPr>
        <w:t>4.1故障考核：因存储或配套的网络设备故障造成</w:t>
      </w:r>
      <w:r>
        <w:rPr>
          <w:rFonts w:hint="eastAsia" w:ascii="仿宋" w:hAnsi="仿宋" w:eastAsia="仿宋" w:cs="仿宋"/>
          <w:spacing w:val="-4"/>
          <w:sz w:val="24"/>
          <w:szCs w:val="24"/>
        </w:rPr>
        <w:t>临平区公安分局视频、视图业务中断，导致实战业务、考核受到影响的，每发生一起，扣除相应金额，</w:t>
      </w:r>
      <w:r>
        <w:rPr>
          <w:rFonts w:hint="eastAsia" w:ascii="仿宋_GB2312" w:eastAsia="仿宋_GB2312"/>
          <w:sz w:val="24"/>
          <w:szCs w:val="24"/>
        </w:rPr>
        <w:t>扣除金额应当从当年服务期费用中扣除。故障在一小时内修复的，每次扣除1万元；故障在24小时内修复的，每次扣除5万元；故障超过24小时仍未修复的，每次扣除10万元。</w:t>
      </w:r>
    </w:p>
    <w:p>
      <w:pPr>
        <w:spacing w:line="360" w:lineRule="auto"/>
        <w:ind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4.2安全考核：中标单位需确保全项目所有系统安全运行并确保信息安全，如发生相应安全问题的，则进行相应的安全问题处罚并依据相关法律移交司法机关。</w:t>
      </w:r>
    </w:p>
    <w:p>
      <w:pPr>
        <w:pStyle w:val="2"/>
        <w:spacing w:line="360" w:lineRule="auto"/>
        <w:ind w:firstLine="928" w:firstLineChars="400"/>
        <w:rPr>
          <w:rFonts w:hint="eastAsia" w:ascii="仿宋" w:hAnsi="仿宋" w:eastAsia="仿宋" w:cs="仿宋"/>
          <w:spacing w:val="-4"/>
          <w:szCs w:val="24"/>
        </w:rPr>
      </w:pPr>
      <w:r>
        <w:rPr>
          <w:rFonts w:hint="eastAsia" w:ascii="仿宋" w:hAnsi="仿宋" w:eastAsia="仿宋" w:cs="仿宋"/>
          <w:spacing w:val="-4"/>
          <w:szCs w:val="24"/>
        </w:rPr>
        <w:t>4.2.1 受到国家级安全问题通报的，出现1次，每次扣除当年服务期费用2万元。</w:t>
      </w:r>
    </w:p>
    <w:p>
      <w:pPr>
        <w:pStyle w:val="2"/>
        <w:spacing w:line="360" w:lineRule="auto"/>
        <w:ind w:firstLine="928" w:firstLineChars="400"/>
        <w:rPr>
          <w:rFonts w:hint="eastAsia" w:ascii="仿宋" w:hAnsi="仿宋" w:eastAsia="仿宋" w:cs="仿宋"/>
          <w:spacing w:val="-4"/>
          <w:szCs w:val="24"/>
        </w:rPr>
      </w:pPr>
      <w:r>
        <w:rPr>
          <w:rFonts w:hint="eastAsia" w:ascii="仿宋" w:hAnsi="仿宋" w:eastAsia="仿宋" w:cs="仿宋"/>
          <w:spacing w:val="-4"/>
          <w:szCs w:val="24"/>
        </w:rPr>
        <w:t>4.2.2 受到省级安全问题通报的，出现1次，每次扣除当年服务期费用1万元。</w:t>
      </w:r>
    </w:p>
    <w:p>
      <w:pPr>
        <w:pStyle w:val="2"/>
        <w:spacing w:line="360" w:lineRule="auto"/>
        <w:ind w:firstLine="928" w:firstLineChars="400"/>
        <w:rPr>
          <w:rFonts w:hint="eastAsia" w:ascii="仿宋" w:hAnsi="仿宋" w:eastAsia="仿宋" w:cs="仿宋"/>
          <w:spacing w:val="-4"/>
          <w:szCs w:val="24"/>
        </w:rPr>
      </w:pPr>
      <w:r>
        <w:rPr>
          <w:rFonts w:hint="eastAsia" w:ascii="仿宋" w:hAnsi="仿宋" w:eastAsia="仿宋" w:cs="仿宋"/>
          <w:spacing w:val="-4"/>
          <w:szCs w:val="24"/>
        </w:rPr>
        <w:t>4.2.3 受到市级安全问题通报的，出现1次，每次扣除当年服务期费用5000元。</w:t>
      </w:r>
    </w:p>
    <w:p>
      <w:pPr>
        <w:pStyle w:val="39"/>
        <w:spacing w:line="360" w:lineRule="auto"/>
        <w:ind w:firstLine="928" w:firstLineChars="400"/>
        <w:rPr>
          <w:rFonts w:hint="eastAsia" w:ascii="仿宋" w:hAnsi="仿宋" w:eastAsia="仿宋" w:cs="仿宋"/>
          <w:sz w:val="24"/>
          <w:szCs w:val="24"/>
        </w:rPr>
      </w:pPr>
      <w:r>
        <w:rPr>
          <w:rFonts w:hint="eastAsia" w:ascii="仿宋" w:hAnsi="仿宋" w:eastAsia="仿宋" w:cs="仿宋"/>
          <w:sz w:val="24"/>
          <w:szCs w:val="24"/>
        </w:rPr>
        <w:t>4.2.4 每次通报后，中标单位需及时解决并递交书面整改报告，运维服务期内累计通报超过2次的，扣除服务期费用4万元。</w:t>
      </w:r>
    </w:p>
    <w:p>
      <w:pPr>
        <w:spacing w:line="360" w:lineRule="auto"/>
        <w:ind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4.3 日常管理考核：</w:t>
      </w:r>
    </w:p>
    <w:p>
      <w:pPr>
        <w:pStyle w:val="39"/>
        <w:spacing w:line="360" w:lineRule="auto"/>
        <w:ind w:firstLine="928" w:firstLineChars="400"/>
        <w:rPr>
          <w:rFonts w:hint="eastAsia" w:ascii="仿宋" w:hAnsi="仿宋" w:eastAsia="仿宋" w:cs="仿宋"/>
          <w:sz w:val="24"/>
          <w:szCs w:val="24"/>
        </w:rPr>
      </w:pPr>
      <w:r>
        <w:rPr>
          <w:rFonts w:hint="eastAsia" w:ascii="仿宋" w:hAnsi="仿宋" w:eastAsia="仿宋" w:cs="仿宋"/>
          <w:sz w:val="24"/>
          <w:szCs w:val="24"/>
        </w:rPr>
        <w:t>4.3.1 中标单位需按要求按时按规产出并提交文档资料、工作台账、周期性报告等材料，未按规完成的每次扣除当年服务期费用5千元。</w:t>
      </w:r>
    </w:p>
    <w:p>
      <w:pPr>
        <w:pStyle w:val="39"/>
        <w:spacing w:line="360" w:lineRule="auto"/>
        <w:ind w:firstLine="928" w:firstLineChars="400"/>
        <w:rPr>
          <w:rFonts w:hint="eastAsia" w:ascii="仿宋" w:hAnsi="仿宋" w:eastAsia="仿宋" w:cs="仿宋"/>
          <w:sz w:val="24"/>
          <w:szCs w:val="24"/>
        </w:rPr>
      </w:pPr>
      <w:r>
        <w:rPr>
          <w:rFonts w:hint="eastAsia" w:ascii="仿宋" w:hAnsi="仿宋" w:eastAsia="仿宋" w:cs="仿宋"/>
          <w:sz w:val="24"/>
          <w:szCs w:val="24"/>
        </w:rPr>
        <w:t>4.3.2 中标单位违规服务导致发生社会媒体曝光、收到多方投诉情况，出现1次，每次扣除当年服务期费用5千元。</w:t>
      </w:r>
    </w:p>
    <w:p>
      <w:pPr>
        <w:pStyle w:val="2"/>
        <w:ind w:firstLine="696" w:firstLineChars="300"/>
        <w:rPr>
          <w:rFonts w:hint="eastAsia" w:ascii="仿宋" w:hAnsi="仿宋" w:eastAsia="仿宋" w:cs="仿宋"/>
          <w:spacing w:val="-4"/>
          <w:szCs w:val="24"/>
        </w:rPr>
      </w:pPr>
      <w:r>
        <w:rPr>
          <w:rFonts w:hint="eastAsia" w:ascii="仿宋" w:hAnsi="仿宋" w:eastAsia="仿宋" w:cs="仿宋"/>
          <w:spacing w:val="-4"/>
          <w:szCs w:val="24"/>
        </w:rPr>
        <w:t>4.4 服务期内因项目实际需要需进行服务考核内容新增、补充及修改的，可通过签署运维考核服务方案进行补充。</w:t>
      </w:r>
    </w:p>
    <w:p>
      <w:pPr>
        <w:spacing w:line="360" w:lineRule="auto"/>
        <w:rPr>
          <w:rFonts w:hint="eastAsia" w:ascii="仿宋_GB2312" w:eastAsia="仿宋_GB2312"/>
          <w:sz w:val="24"/>
          <w:szCs w:val="24"/>
        </w:rPr>
      </w:pPr>
    </w:p>
    <w:p>
      <w:pPr>
        <w:adjustRightInd w:val="0"/>
        <w:snapToGrid w:val="0"/>
        <w:spacing w:line="360" w:lineRule="auto"/>
        <w:outlineLvl w:val="0"/>
        <w:rPr>
          <w:rFonts w:hint="eastAsia" w:ascii="仿宋" w:hAnsi="仿宋" w:eastAsia="仿宋" w:cs="仿宋"/>
          <w:b/>
          <w:bCs/>
          <w:sz w:val="24"/>
          <w:szCs w:val="24"/>
        </w:rPr>
      </w:pPr>
      <w:r>
        <w:rPr>
          <w:rFonts w:hint="eastAsia" w:ascii="仿宋" w:hAnsi="仿宋" w:eastAsia="仿宋" w:cs="仿宋"/>
          <w:b/>
          <w:bCs/>
          <w:sz w:val="24"/>
          <w:szCs w:val="24"/>
        </w:rPr>
        <w:t>五、服务期、验收及资金支付要求</w:t>
      </w:r>
    </w:p>
    <w:p>
      <w:pPr>
        <w:spacing w:line="360" w:lineRule="auto"/>
        <w:ind w:firstLine="480" w:firstLineChars="200"/>
        <w:rPr>
          <w:rFonts w:hint="eastAsia" w:ascii="仿宋" w:hAnsi="仿宋" w:eastAsia="仿宋" w:cs="仿宋"/>
          <w:bCs/>
          <w:sz w:val="24"/>
          <w:szCs w:val="24"/>
        </w:rPr>
      </w:pPr>
      <w:r>
        <w:rPr>
          <w:rFonts w:hint="eastAsia" w:ascii="仿宋_GB2312" w:eastAsia="仿宋_GB2312"/>
          <w:sz w:val="24"/>
          <w:szCs w:val="24"/>
        </w:rPr>
        <w:t>1.建设要求：</w:t>
      </w:r>
      <w:r>
        <w:rPr>
          <w:rFonts w:hint="eastAsia" w:ascii="仿宋" w:hAnsi="仿宋" w:eastAsia="仿宋" w:cs="仿宋"/>
          <w:spacing w:val="-4"/>
          <w:sz w:val="24"/>
          <w:szCs w:val="24"/>
        </w:rPr>
        <w:t>第一年</w:t>
      </w:r>
      <w:r>
        <w:rPr>
          <w:rFonts w:hint="eastAsia" w:ascii="仿宋" w:hAnsi="仿宋" w:eastAsia="仿宋" w:cs="仿宋"/>
          <w:bCs/>
          <w:sz w:val="24"/>
          <w:szCs w:val="24"/>
        </w:rPr>
        <w:t>合同签订后的</w:t>
      </w:r>
      <w:r>
        <w:rPr>
          <w:rFonts w:hint="eastAsia" w:ascii="仿宋" w:hAnsi="仿宋" w:eastAsia="仿宋" w:cs="仿宋"/>
          <w:bCs/>
          <w:sz w:val="24"/>
          <w:szCs w:val="24"/>
          <w:u w:val="single"/>
        </w:rPr>
        <w:t>15</w:t>
      </w:r>
      <w:r>
        <w:rPr>
          <w:rFonts w:hint="eastAsia" w:ascii="仿宋" w:hAnsi="仿宋" w:eastAsia="仿宋" w:cs="仿宋"/>
          <w:bCs/>
          <w:sz w:val="24"/>
          <w:szCs w:val="24"/>
        </w:rPr>
        <w:t>天为项目建设期，中标单位须在该时间内完成所有存储及配套网络设备的接入和测试等工作，以及与对应视频、视图数据汇聚管理平台的对接工作，并不间段提供服务。</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2.服务期：项目服务期3年，中标单位分三年提供服务，每年签署一次合同，每份合同履约期12个月，次年合同需在上一年合同服务到期前10个工作日内完成签署。</w:t>
      </w:r>
    </w:p>
    <w:p>
      <w:pPr>
        <w:spacing w:line="360" w:lineRule="auto"/>
        <w:ind w:firstLine="480" w:firstLineChars="200"/>
        <w:rPr>
          <w:rFonts w:hint="eastAsia" w:ascii="仿宋_GB2312" w:eastAsia="仿宋_GB2312"/>
          <w:sz w:val="24"/>
          <w:szCs w:val="24"/>
        </w:rPr>
      </w:pPr>
      <w:r>
        <w:rPr>
          <w:rFonts w:hint="eastAsia" w:ascii="仿宋" w:hAnsi="仿宋" w:eastAsia="仿宋" w:cs="仿宋"/>
          <w:bCs/>
          <w:sz w:val="24"/>
          <w:szCs w:val="24"/>
        </w:rPr>
        <w:t>3.验收：合同签订后即进入</w:t>
      </w:r>
      <w:r>
        <w:rPr>
          <w:rFonts w:hint="eastAsia" w:ascii="仿宋" w:hAnsi="仿宋" w:eastAsia="仿宋" w:cs="仿宋"/>
          <w:bCs/>
          <w:sz w:val="24"/>
          <w:szCs w:val="24"/>
          <w:u w:val="single"/>
        </w:rPr>
        <w:t>15</w:t>
      </w:r>
      <w:r>
        <w:rPr>
          <w:rFonts w:hint="eastAsia" w:ascii="仿宋" w:hAnsi="仿宋" w:eastAsia="仿宋" w:cs="仿宋"/>
          <w:bCs/>
          <w:sz w:val="24"/>
          <w:szCs w:val="24"/>
        </w:rPr>
        <w:t>天的建设期，建设期满后进行初验，初验通过后进入</w:t>
      </w:r>
      <w:r>
        <w:rPr>
          <w:rFonts w:hint="eastAsia" w:ascii="仿宋" w:hAnsi="仿宋" w:eastAsia="仿宋" w:cs="仿宋"/>
          <w:bCs/>
          <w:sz w:val="24"/>
          <w:szCs w:val="24"/>
          <w:u w:val="single"/>
        </w:rPr>
        <w:t>1</w:t>
      </w:r>
      <w:r>
        <w:rPr>
          <w:rFonts w:hint="eastAsia" w:ascii="仿宋" w:hAnsi="仿宋" w:eastAsia="仿宋" w:cs="仿宋"/>
          <w:bCs/>
          <w:sz w:val="24"/>
          <w:szCs w:val="24"/>
        </w:rPr>
        <w:t>个月的试运行期，试运行期满后，由采购方自行组织或者委托采购代理机构开展项目验收并进入正式服务期，服务期每满12个月（不包含试运行期）组织一次年度运维服务验收，从第二年合同起，服务期每满6个月组织一次半年度运维服务验收，3年运维服务期内共组织3次年度运维服务终验及2次半年度运维服务验收。</w:t>
      </w:r>
    </w:p>
    <w:p>
      <w:pPr>
        <w:pStyle w:val="38"/>
        <w:adjustRightInd w:val="0"/>
        <w:snapToGrid w:val="0"/>
        <w:spacing w:after="0" w:line="360" w:lineRule="auto"/>
        <w:ind w:firstLine="480"/>
        <w:rPr>
          <w:rFonts w:hint="eastAsia" w:ascii="仿宋" w:hAnsi="仿宋" w:eastAsia="仿宋" w:cs="仿宋"/>
          <w:color w:val="000000"/>
          <w:szCs w:val="24"/>
          <w:lang w:eastAsia="zh-CN"/>
        </w:rPr>
      </w:pPr>
      <w:r>
        <w:rPr>
          <w:rFonts w:hint="eastAsia" w:ascii="仿宋_GB2312"/>
          <w:szCs w:val="24"/>
          <w:lang w:eastAsia="zh-CN"/>
        </w:rPr>
        <w:t>4.</w:t>
      </w:r>
      <w:r>
        <w:rPr>
          <w:rFonts w:hint="eastAsia" w:ascii="仿宋" w:hAnsi="仿宋" w:eastAsia="仿宋" w:cs="仿宋"/>
          <w:spacing w:val="-4"/>
          <w:szCs w:val="24"/>
          <w:lang w:eastAsia="zh-CN" w:bidi="ar-SA"/>
        </w:rPr>
        <w:t>资金支付：</w:t>
      </w:r>
      <w:r>
        <w:rPr>
          <w:rFonts w:hint="eastAsia" w:ascii="仿宋" w:hAnsi="仿宋" w:eastAsia="仿宋" w:cs="仿宋"/>
          <w:color w:val="000000"/>
          <w:szCs w:val="24"/>
          <w:lang w:eastAsia="zh-CN"/>
        </w:rPr>
        <w:t>本项目服务期为三年，采购价格为三年总价，项目中标后三年服务期合同一年一签，中标金额按三年平均拆分进行支付，每年合同支付方式为：</w:t>
      </w:r>
    </w:p>
    <w:p>
      <w:pPr>
        <w:spacing w:line="360" w:lineRule="auto"/>
        <w:ind w:firstLine="480" w:firstLineChars="200"/>
        <w:rPr>
          <w:rFonts w:hint="eastAsia" w:ascii="仿宋" w:hAnsi="仿宋" w:eastAsia="仿宋" w:cs="仿宋"/>
          <w:kern w:val="0"/>
          <w:sz w:val="24"/>
          <w:szCs w:val="24"/>
        </w:rPr>
      </w:pPr>
      <w:r>
        <w:rPr>
          <w:rFonts w:hint="eastAsia" w:ascii="仿宋_GB2312" w:eastAsia="仿宋_GB2312"/>
          <w:sz w:val="24"/>
          <w:szCs w:val="24"/>
        </w:rPr>
        <w:t>1）第一年：</w:t>
      </w:r>
      <w:r>
        <w:rPr>
          <w:rFonts w:hint="eastAsia" w:ascii="仿宋" w:hAnsi="仿宋" w:eastAsia="仿宋" w:cs="仿宋"/>
          <w:color w:val="000000"/>
          <w:sz w:val="24"/>
          <w:szCs w:val="24"/>
        </w:rPr>
        <w:t>合同签订后，</w:t>
      </w:r>
      <w:r>
        <w:rPr>
          <w:rFonts w:hint="eastAsia" w:ascii="仿宋" w:hAnsi="仿宋" w:eastAsia="仿宋" w:cs="仿宋"/>
          <w:kern w:val="0"/>
          <w:sz w:val="24"/>
          <w:szCs w:val="24"/>
        </w:rPr>
        <w:t>采购单位在收到中标单位发票后30天内支付合同总额的70%</w:t>
      </w:r>
      <w:r>
        <w:rPr>
          <w:rFonts w:hint="eastAsia" w:ascii="仿宋" w:hAnsi="仿宋" w:eastAsia="仿宋" w:cs="仿宋"/>
          <w:color w:val="000000"/>
          <w:sz w:val="24"/>
          <w:szCs w:val="24"/>
        </w:rPr>
        <w:t>；项目经试运行并通过验收后，采购</w:t>
      </w:r>
      <w:r>
        <w:rPr>
          <w:rFonts w:hint="eastAsia" w:ascii="仿宋" w:hAnsi="仿宋" w:eastAsia="仿宋" w:cs="仿宋"/>
          <w:kern w:val="0"/>
          <w:sz w:val="24"/>
          <w:szCs w:val="24"/>
        </w:rPr>
        <w:t>单位在收到中标单位发票后30天内支付合同总额的25%；</w:t>
      </w:r>
      <w:r>
        <w:rPr>
          <w:rFonts w:hint="eastAsia" w:ascii="仿宋" w:hAnsi="仿宋" w:eastAsia="仿宋" w:cs="仿宋"/>
          <w:color w:val="000000"/>
          <w:sz w:val="24"/>
          <w:szCs w:val="24"/>
        </w:rPr>
        <w:t>运维期满12个月且年度运维服务工作完并通过验收，</w:t>
      </w:r>
      <w:r>
        <w:rPr>
          <w:rFonts w:hint="eastAsia" w:ascii="仿宋" w:hAnsi="仿宋" w:eastAsia="仿宋" w:cs="仿宋"/>
          <w:kern w:val="0"/>
          <w:sz w:val="24"/>
          <w:szCs w:val="24"/>
        </w:rPr>
        <w:t>采购单位依据运维服务考核结果在收到中标单位发票后30天内最高支付合同总额的5%。</w:t>
      </w:r>
    </w:p>
    <w:p>
      <w:pPr>
        <w:spacing w:line="360" w:lineRule="auto"/>
        <w:ind w:firstLine="480" w:firstLineChars="200"/>
        <w:rPr>
          <w:rFonts w:hint="eastAsia" w:ascii="仿宋_GB2312" w:eastAsia="仿宋_GB2312"/>
          <w:sz w:val="24"/>
          <w:szCs w:val="24"/>
        </w:rPr>
      </w:pPr>
      <w:r>
        <w:rPr>
          <w:rFonts w:hint="eastAsia" w:ascii="仿宋" w:hAnsi="仿宋" w:eastAsia="仿宋" w:cs="仿宋"/>
          <w:kern w:val="0"/>
          <w:sz w:val="24"/>
          <w:szCs w:val="24"/>
        </w:rPr>
        <w:t>2）第二年：</w:t>
      </w:r>
      <w:r>
        <w:rPr>
          <w:rFonts w:hint="eastAsia" w:ascii="仿宋" w:hAnsi="仿宋" w:eastAsia="仿宋" w:cs="仿宋"/>
          <w:color w:val="000000"/>
          <w:sz w:val="24"/>
          <w:szCs w:val="24"/>
        </w:rPr>
        <w:t>合同签订后，</w:t>
      </w:r>
      <w:r>
        <w:rPr>
          <w:rFonts w:hint="eastAsia" w:ascii="仿宋" w:hAnsi="仿宋" w:eastAsia="仿宋" w:cs="仿宋"/>
          <w:kern w:val="0"/>
          <w:sz w:val="24"/>
          <w:szCs w:val="24"/>
        </w:rPr>
        <w:t>采购单位在收到中标单位发票后30天内支付合同总额的70%</w:t>
      </w:r>
      <w:r>
        <w:rPr>
          <w:rFonts w:hint="eastAsia" w:ascii="仿宋" w:hAnsi="仿宋" w:eastAsia="仿宋" w:cs="仿宋"/>
          <w:color w:val="000000"/>
          <w:sz w:val="24"/>
          <w:szCs w:val="24"/>
        </w:rPr>
        <w:t>；半年度运维服务完成并验收通过后，</w:t>
      </w:r>
      <w:r>
        <w:rPr>
          <w:rFonts w:hint="eastAsia" w:ascii="仿宋" w:hAnsi="仿宋" w:eastAsia="仿宋" w:cs="仿宋"/>
          <w:kern w:val="0"/>
          <w:sz w:val="24"/>
          <w:szCs w:val="24"/>
        </w:rPr>
        <w:t>采购单位依据运维服务考核结果在收到中标单位发票后30天内最高支付合同总额的25%</w:t>
      </w:r>
      <w:r>
        <w:rPr>
          <w:rFonts w:hint="eastAsia" w:ascii="仿宋" w:hAnsi="仿宋" w:eastAsia="仿宋" w:cs="仿宋"/>
          <w:color w:val="000000"/>
          <w:sz w:val="24"/>
          <w:szCs w:val="24"/>
        </w:rPr>
        <w:t>；运维期满12个月且年度运维服务工作完并通过验收，</w:t>
      </w:r>
      <w:r>
        <w:rPr>
          <w:rFonts w:hint="eastAsia" w:ascii="仿宋" w:hAnsi="仿宋" w:eastAsia="仿宋" w:cs="仿宋"/>
          <w:kern w:val="0"/>
          <w:sz w:val="24"/>
          <w:szCs w:val="24"/>
        </w:rPr>
        <w:t>采购单位依据运维服务考核结果在收到中标单位发票后30天内最高支付合同总额的5%。</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3）第三年：</w:t>
      </w:r>
      <w:r>
        <w:rPr>
          <w:rFonts w:hint="eastAsia" w:ascii="仿宋" w:hAnsi="仿宋" w:eastAsia="仿宋" w:cs="仿宋"/>
          <w:color w:val="000000"/>
          <w:sz w:val="24"/>
          <w:szCs w:val="24"/>
        </w:rPr>
        <w:t>合同签订后，</w:t>
      </w:r>
      <w:r>
        <w:rPr>
          <w:rFonts w:hint="eastAsia" w:ascii="仿宋" w:hAnsi="仿宋" w:eastAsia="仿宋" w:cs="仿宋"/>
          <w:kern w:val="0"/>
          <w:sz w:val="24"/>
          <w:szCs w:val="24"/>
        </w:rPr>
        <w:t>采购单位在收到中标单位发票后30天内支付合同总额的70%</w:t>
      </w:r>
      <w:r>
        <w:rPr>
          <w:rFonts w:hint="eastAsia" w:ascii="仿宋" w:hAnsi="仿宋" w:eastAsia="仿宋" w:cs="仿宋"/>
          <w:color w:val="000000"/>
          <w:sz w:val="24"/>
          <w:szCs w:val="24"/>
        </w:rPr>
        <w:t>；半年度运维服务完成并验收通过后，</w:t>
      </w:r>
      <w:r>
        <w:rPr>
          <w:rFonts w:hint="eastAsia" w:ascii="仿宋" w:hAnsi="仿宋" w:eastAsia="仿宋" w:cs="仿宋"/>
          <w:kern w:val="0"/>
          <w:sz w:val="24"/>
          <w:szCs w:val="24"/>
        </w:rPr>
        <w:t>采购单位依据运维服务考核结果在收到中标单位发票后30天内最高支付合同总额的25%</w:t>
      </w:r>
      <w:r>
        <w:rPr>
          <w:rFonts w:hint="eastAsia" w:ascii="仿宋" w:hAnsi="仿宋" w:eastAsia="仿宋" w:cs="仿宋"/>
          <w:color w:val="000000"/>
          <w:sz w:val="24"/>
          <w:szCs w:val="24"/>
        </w:rPr>
        <w:t>；运维期满12个月且年度运维服务工作完并通过验收，</w:t>
      </w:r>
      <w:r>
        <w:rPr>
          <w:rFonts w:hint="eastAsia" w:ascii="仿宋" w:hAnsi="仿宋" w:eastAsia="仿宋" w:cs="仿宋"/>
          <w:kern w:val="0"/>
          <w:sz w:val="24"/>
          <w:szCs w:val="24"/>
        </w:rPr>
        <w:t>采购单位依据运维服务考核结果在收到中标单位发票后30天内最高支付合同总额的5%。</w:t>
      </w:r>
    </w:p>
    <w:p>
      <w:pPr>
        <w:numPr>
          <w:ilvl w:val="255"/>
          <w:numId w:val="0"/>
        </w:numPr>
        <w:adjustRightInd w:val="0"/>
        <w:snapToGrid w:val="0"/>
        <w:spacing w:line="360" w:lineRule="auto"/>
        <w:outlineLvl w:val="0"/>
        <w:rPr>
          <w:rFonts w:hint="eastAsia" w:ascii="仿宋" w:hAnsi="仿宋" w:eastAsia="仿宋" w:cs="仿宋"/>
          <w:b/>
          <w:bCs/>
          <w:sz w:val="24"/>
          <w:szCs w:val="24"/>
        </w:rPr>
      </w:pPr>
      <w:r>
        <w:rPr>
          <w:rFonts w:hint="eastAsia" w:ascii="仿宋" w:hAnsi="仿宋" w:eastAsia="仿宋" w:cs="仿宋"/>
          <w:b/>
          <w:bCs/>
          <w:sz w:val="24"/>
          <w:szCs w:val="24"/>
        </w:rPr>
        <w:t>六、履约保证金</w:t>
      </w:r>
    </w:p>
    <w:p>
      <w:pPr>
        <w:pStyle w:val="2"/>
        <w:ind w:firstLine="0" w:firstLineChars="0"/>
        <w:rPr>
          <w:rFonts w:hint="eastAsia"/>
        </w:rPr>
      </w:pPr>
      <w:r>
        <w:rPr>
          <w:rFonts w:hint="eastAsia" w:ascii="仿宋" w:hAnsi="仿宋" w:eastAsia="仿宋" w:cs="仿宋"/>
        </w:rPr>
        <w:t>中标单位</w:t>
      </w:r>
      <w:r>
        <w:rPr>
          <w:rFonts w:hint="eastAsia" w:ascii="仿宋" w:hAnsi="仿宋" w:eastAsia="仿宋" w:cs="仿宋"/>
          <w:u w:val="single"/>
        </w:rPr>
        <w:t xml:space="preserve">  否   </w:t>
      </w:r>
      <w:r>
        <w:rPr>
          <w:rFonts w:hint="eastAsia" w:ascii="仿宋" w:hAnsi="仿宋" w:eastAsia="仿宋" w:cs="仿宋"/>
        </w:rPr>
        <w:t>（是/否）需要支付履约保证金。</w:t>
      </w:r>
    </w:p>
    <w:p>
      <w:pPr>
        <w:adjustRightInd w:val="0"/>
        <w:snapToGrid w:val="0"/>
        <w:spacing w:line="360" w:lineRule="auto"/>
        <w:outlineLvl w:val="0"/>
        <w:rPr>
          <w:rFonts w:hint="eastAsia" w:ascii="仿宋" w:hAnsi="仿宋" w:eastAsia="仿宋" w:cs="仿宋"/>
          <w:b/>
          <w:bCs/>
          <w:sz w:val="24"/>
          <w:szCs w:val="24"/>
        </w:rPr>
      </w:pPr>
      <w:r>
        <w:rPr>
          <w:rFonts w:hint="eastAsia" w:ascii="仿宋" w:hAnsi="仿宋" w:eastAsia="仿宋" w:cs="仿宋"/>
          <w:b/>
          <w:bCs/>
          <w:sz w:val="24"/>
          <w:szCs w:val="24"/>
        </w:rPr>
        <w:t>七、其他要求</w:t>
      </w:r>
    </w:p>
    <w:p>
      <w:pPr>
        <w:spacing w:line="360" w:lineRule="auto"/>
        <w:ind w:firstLine="480" w:firstLineChars="200"/>
        <w:rPr>
          <w:rFonts w:hint="eastAsia" w:ascii="仿宋" w:hAnsi="仿宋" w:eastAsia="仿宋" w:cs="仿宋"/>
          <w:color w:val="000000"/>
          <w:sz w:val="24"/>
          <w:szCs w:val="24"/>
        </w:rPr>
      </w:pPr>
      <w:r>
        <w:rPr>
          <w:rFonts w:hint="eastAsia" w:ascii="仿宋_GB2312" w:eastAsia="仿宋_GB2312"/>
          <w:sz w:val="24"/>
          <w:szCs w:val="24"/>
        </w:rPr>
        <w:t>1.</w:t>
      </w:r>
      <w:r>
        <w:rPr>
          <w:rFonts w:hint="eastAsia" w:ascii="仿宋" w:hAnsi="仿宋" w:eastAsia="仿宋" w:cs="仿宋"/>
          <w:color w:val="000000"/>
          <w:sz w:val="24"/>
          <w:szCs w:val="24"/>
        </w:rPr>
        <w:t>保密服务：采购人对中标单位及工作人员开展常态化安全保密教育，组织签订安全保密承诺书，明确具体安全管理内容、安全保密义务和责任；中标单位及工作人员违反安全管理要求，构成违法犯罪的，采购人将及时报送本级政府采购和市场监督管理部门，提请列入政府采购严重违法失信行为记录名单、市场监督管理严重失信名单，并追究相关责任。</w:t>
      </w:r>
    </w:p>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系统安全性要求：合同服务期限内，中标单位应当采取必要的、合理的措施，确保承租系统的安全，保障系统产生的视频、图像以及其他数据的安全性，确保公民隐私以及国家利益不受侵犯。另外，中标单位必须加强服务团队的安全教育和责任意识，维护采购人合法权益。</w:t>
      </w:r>
    </w:p>
    <w:p>
      <w:pPr>
        <w:ind w:firstLine="480" w:firstLineChars="200"/>
        <w:rPr>
          <w:rFonts w:hint="eastAsia" w:ascii="黑体" w:hAnsi="黑体" w:eastAsia="黑体"/>
          <w:sz w:val="24"/>
          <w:szCs w:val="24"/>
        </w:rPr>
      </w:pPr>
    </w:p>
    <w:tbl>
      <w:tblPr>
        <w:tblStyle w:val="16"/>
        <w:tblW w:w="8837" w:type="dxa"/>
        <w:jc w:val="center"/>
        <w:tblInd w:w="0" w:type="dxa"/>
        <w:tblLayout w:type="fixed"/>
        <w:tblCellMar>
          <w:top w:w="0" w:type="dxa"/>
          <w:left w:w="108" w:type="dxa"/>
          <w:bottom w:w="0" w:type="dxa"/>
          <w:right w:w="108" w:type="dxa"/>
        </w:tblCellMar>
      </w:tblPr>
      <w:tblGrid>
        <w:gridCol w:w="523"/>
        <w:gridCol w:w="806"/>
        <w:gridCol w:w="5948"/>
        <w:gridCol w:w="771"/>
        <w:gridCol w:w="789"/>
      </w:tblGrid>
      <w:tr>
        <w:tblPrEx>
          <w:tblLayout w:type="fixed"/>
          <w:tblCellMar>
            <w:top w:w="0" w:type="dxa"/>
            <w:left w:w="108" w:type="dxa"/>
            <w:bottom w:w="0" w:type="dxa"/>
            <w:right w:w="108" w:type="dxa"/>
          </w:tblCellMar>
        </w:tblPrEx>
        <w:trPr>
          <w:trHeight w:val="31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b/>
                <w:bCs/>
                <w:color w:val="000000"/>
                <w:kern w:val="0"/>
                <w:sz w:val="24"/>
                <w:szCs w:val="24"/>
              </w:rPr>
            </w:pPr>
            <w:r>
              <w:rPr>
                <w:rFonts w:hint="eastAsia" w:ascii="宋体" w:hAnsi="宋体" w:eastAsia="宋体"/>
                <w:b/>
                <w:bCs/>
                <w:color w:val="000000"/>
                <w:kern w:val="0"/>
                <w:sz w:val="24"/>
                <w:szCs w:val="24"/>
              </w:rPr>
              <w:t>序号</w:t>
            </w:r>
          </w:p>
        </w:tc>
        <w:tc>
          <w:tcPr>
            <w:tcW w:w="806" w:type="dxa"/>
            <w:tcBorders>
              <w:top w:val="single" w:color="auto" w:sz="4" w:space="0"/>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b/>
                <w:bCs/>
                <w:color w:val="000000"/>
                <w:kern w:val="0"/>
                <w:sz w:val="24"/>
                <w:szCs w:val="24"/>
              </w:rPr>
            </w:pPr>
            <w:r>
              <w:rPr>
                <w:rFonts w:hint="eastAsia" w:ascii="宋体" w:hAnsi="宋体" w:eastAsia="宋体"/>
                <w:b/>
                <w:bCs/>
                <w:color w:val="000000"/>
                <w:kern w:val="0"/>
                <w:sz w:val="24"/>
                <w:szCs w:val="24"/>
              </w:rPr>
              <w:t>产品名称</w:t>
            </w:r>
          </w:p>
        </w:tc>
        <w:tc>
          <w:tcPr>
            <w:tcW w:w="5948" w:type="dxa"/>
            <w:tcBorders>
              <w:top w:val="single" w:color="auto" w:sz="4" w:space="0"/>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b/>
                <w:bCs/>
                <w:color w:val="000000"/>
                <w:kern w:val="0"/>
                <w:sz w:val="24"/>
                <w:szCs w:val="24"/>
              </w:rPr>
            </w:pPr>
            <w:r>
              <w:rPr>
                <w:rFonts w:hint="eastAsia" w:ascii="宋体" w:hAnsi="宋体" w:eastAsia="宋体"/>
                <w:b/>
                <w:bCs/>
                <w:color w:val="000000"/>
                <w:kern w:val="0"/>
                <w:sz w:val="24"/>
                <w:szCs w:val="24"/>
              </w:rPr>
              <w:t>技术规格及指标要求</w:t>
            </w:r>
          </w:p>
        </w:tc>
        <w:tc>
          <w:tcPr>
            <w:tcW w:w="771" w:type="dxa"/>
            <w:tcBorders>
              <w:top w:val="single" w:color="auto" w:sz="4" w:space="0"/>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b/>
                <w:bCs/>
                <w:color w:val="000000"/>
                <w:kern w:val="0"/>
                <w:sz w:val="24"/>
                <w:szCs w:val="24"/>
              </w:rPr>
            </w:pPr>
            <w:r>
              <w:rPr>
                <w:rFonts w:hint="eastAsia" w:ascii="宋体" w:hAnsi="宋体" w:eastAsia="宋体"/>
                <w:b/>
                <w:bCs/>
                <w:color w:val="000000"/>
                <w:kern w:val="0"/>
                <w:sz w:val="24"/>
                <w:szCs w:val="24"/>
              </w:rPr>
              <w:t>数量</w:t>
            </w:r>
          </w:p>
        </w:tc>
        <w:tc>
          <w:tcPr>
            <w:tcW w:w="789" w:type="dxa"/>
            <w:tcBorders>
              <w:top w:val="single" w:color="auto" w:sz="4" w:space="0"/>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b/>
                <w:bCs/>
                <w:color w:val="000000"/>
                <w:kern w:val="0"/>
                <w:sz w:val="24"/>
                <w:szCs w:val="24"/>
              </w:rPr>
            </w:pPr>
            <w:r>
              <w:rPr>
                <w:rFonts w:hint="eastAsia" w:ascii="宋体" w:hAnsi="宋体" w:eastAsia="宋体"/>
                <w:b/>
                <w:bCs/>
                <w:color w:val="000000"/>
                <w:kern w:val="0"/>
                <w:sz w:val="24"/>
                <w:szCs w:val="24"/>
              </w:rPr>
              <w:t>单位</w:t>
            </w:r>
          </w:p>
        </w:tc>
      </w:tr>
      <w:tr>
        <w:tblPrEx>
          <w:tblLayout w:type="fixed"/>
          <w:tblCellMar>
            <w:top w:w="0" w:type="dxa"/>
            <w:left w:w="108" w:type="dxa"/>
            <w:bottom w:w="0" w:type="dxa"/>
            <w:right w:w="108" w:type="dxa"/>
          </w:tblCellMar>
        </w:tblPrEx>
        <w:trPr>
          <w:trHeight w:val="31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b/>
                <w:bCs/>
                <w:color w:val="000000"/>
                <w:kern w:val="0"/>
                <w:sz w:val="24"/>
                <w:szCs w:val="24"/>
              </w:rPr>
            </w:pPr>
            <w:r>
              <w:rPr>
                <w:rFonts w:hint="eastAsia" w:ascii="宋体" w:hAnsi="宋体" w:eastAsia="宋体"/>
                <w:b/>
                <w:bCs/>
                <w:color w:val="000000"/>
                <w:kern w:val="0"/>
                <w:sz w:val="24"/>
                <w:szCs w:val="24"/>
              </w:rPr>
              <w:t>一</w:t>
            </w:r>
          </w:p>
        </w:tc>
        <w:tc>
          <w:tcPr>
            <w:tcW w:w="8314"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25" w:lineRule="atLeast"/>
              <w:jc w:val="left"/>
              <w:rPr>
                <w:rFonts w:hint="eastAsia" w:ascii="宋体" w:hAnsi="宋体" w:eastAsia="宋体"/>
                <w:b/>
                <w:bCs/>
                <w:color w:val="000000"/>
                <w:kern w:val="0"/>
                <w:sz w:val="24"/>
                <w:szCs w:val="24"/>
              </w:rPr>
            </w:pPr>
            <w:r>
              <w:rPr>
                <w:rFonts w:hint="eastAsia" w:ascii="宋体" w:hAnsi="宋体" w:eastAsia="宋体"/>
                <w:b/>
                <w:bCs/>
                <w:color w:val="000000"/>
                <w:kern w:val="0"/>
                <w:sz w:val="24"/>
                <w:szCs w:val="24"/>
              </w:rPr>
              <w:t>扩容云存储存储池</w:t>
            </w:r>
          </w:p>
        </w:tc>
      </w:tr>
      <w:tr>
        <w:tblPrEx>
          <w:tblLayout w:type="fixed"/>
          <w:tblCellMar>
            <w:top w:w="0" w:type="dxa"/>
            <w:left w:w="108" w:type="dxa"/>
            <w:bottom w:w="0" w:type="dxa"/>
            <w:right w:w="108" w:type="dxa"/>
          </w:tblCellMar>
        </w:tblPrEx>
        <w:trPr>
          <w:trHeight w:val="598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2"/>
              </w:numPr>
              <w:spacing w:line="25" w:lineRule="atLeast"/>
              <w:jc w:val="center"/>
              <w:rPr>
                <w:rFonts w:hint="eastAsia" w:ascii="宋体" w:hAnsi="宋体" w:eastAsia="宋体"/>
                <w:color w:val="000000"/>
                <w:kern w:val="0"/>
                <w:sz w:val="24"/>
                <w:szCs w:val="24"/>
              </w:rPr>
            </w:pPr>
          </w:p>
        </w:tc>
        <w:tc>
          <w:tcPr>
            <w:tcW w:w="806"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云存储节点</w:t>
            </w:r>
          </w:p>
        </w:tc>
        <w:tc>
          <w:tcPr>
            <w:tcW w:w="5948" w:type="dxa"/>
            <w:tcBorders>
              <w:top w:val="nil"/>
              <w:left w:val="nil"/>
              <w:bottom w:val="single" w:color="auto" w:sz="4" w:space="0"/>
              <w:right w:val="single" w:color="auto" w:sz="4" w:space="0"/>
            </w:tcBorders>
            <w:shd w:val="clear" w:color="auto" w:fill="auto"/>
          </w:tcPr>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4U机架式36盘位网络存储设备</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内置不少于2颗64位多核国产处理器，不少于1块240G SSD,2块960G SSD；不少于64GB内存；</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不少于2个千兆数据网口，2个万兆光口，1个千兆管理口；</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支持视频流、图片流直存</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支持ONVIF、GB/T 28181、RTSP等标准协议</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采用非对称分布式架构，集群化部署，对外提供唯一IP的存储服务</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支持纠删码数据保护技术，具备设备级和磁盘级容错模式，保障数据不丢失、系统业务不中断</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★支持手动、自动对智能事件关联的多个录像片段设置录像标签。支持标签与其关联的录像片段同生命周期管理；支持通过按标签内容查询、回放、下载录像片段数据；支持对标签关联的录像片段进行锁定、备份</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支持云存储节点在线无缝扩容，容量和性能线性增长（需要公安部检测报告证明并加盖原厂公章）</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支持按照24/36/48等盘位、不同性能、不同CPU架构的存储节点混合组网，当出现磁盘或节点故障时，系统可根据CPU利用率、节点连接数、节点吞吐量、节点综合负载等策略提供最优重构速度，最高重构速度可达4TB/h（需要公安部检测报告证明并加盖原厂公章）</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支持视频检索功能，按照监控点编号、录像类型、时间组合等条件查询</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支持视频回放功能：正序/倒序回放、定位回放、高倍速回放、关键帧回放等功能</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支持图形化页面对图片数据进行处理，包括图片预览、压缩、裁剪、旋转、缩放、格式转换、马赛克、归一化及打文字水印，并支持通过图形化页面下载处理成功的图片数据（需要公安部检测报告证明并加盖原厂公章）</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★内置不少于36块16T硬盘</w:t>
            </w:r>
          </w:p>
        </w:tc>
        <w:tc>
          <w:tcPr>
            <w:tcW w:w="771"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40</w:t>
            </w:r>
          </w:p>
        </w:tc>
        <w:tc>
          <w:tcPr>
            <w:tcW w:w="789"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台</w:t>
            </w:r>
          </w:p>
        </w:tc>
      </w:tr>
      <w:tr>
        <w:tblPrEx>
          <w:tblLayout w:type="fixed"/>
          <w:tblCellMar>
            <w:top w:w="0" w:type="dxa"/>
            <w:left w:w="108" w:type="dxa"/>
            <w:bottom w:w="0" w:type="dxa"/>
            <w:right w:w="108" w:type="dxa"/>
          </w:tblCellMar>
        </w:tblPrEx>
        <w:trPr>
          <w:trHeight w:val="358"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b/>
                <w:bCs/>
                <w:color w:val="000000"/>
                <w:kern w:val="0"/>
                <w:sz w:val="24"/>
                <w:szCs w:val="24"/>
              </w:rPr>
            </w:pPr>
            <w:r>
              <w:rPr>
                <w:rFonts w:hint="eastAsia" w:ascii="宋体" w:hAnsi="宋体" w:eastAsia="宋体"/>
                <w:b/>
                <w:bCs/>
                <w:color w:val="000000"/>
                <w:kern w:val="0"/>
                <w:sz w:val="24"/>
                <w:szCs w:val="24"/>
              </w:rPr>
              <w:t>二</w:t>
            </w:r>
          </w:p>
        </w:tc>
        <w:tc>
          <w:tcPr>
            <w:tcW w:w="8314"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25" w:lineRule="atLeast"/>
              <w:jc w:val="left"/>
              <w:rPr>
                <w:rFonts w:hint="eastAsia" w:ascii="宋体" w:hAnsi="宋体" w:eastAsia="宋体"/>
                <w:b/>
                <w:bCs/>
                <w:color w:val="000000"/>
                <w:kern w:val="0"/>
                <w:sz w:val="24"/>
                <w:szCs w:val="24"/>
              </w:rPr>
            </w:pPr>
            <w:r>
              <w:rPr>
                <w:rFonts w:hint="eastAsia" w:ascii="宋体" w:hAnsi="宋体" w:eastAsia="宋体"/>
                <w:b/>
                <w:bCs/>
                <w:color w:val="000000"/>
                <w:kern w:val="0"/>
                <w:sz w:val="24"/>
                <w:szCs w:val="24"/>
              </w:rPr>
              <w:t>扩容智能解析算力资源</w:t>
            </w:r>
          </w:p>
        </w:tc>
      </w:tr>
      <w:tr>
        <w:tblPrEx>
          <w:tblLayout w:type="fixed"/>
          <w:tblCellMar>
            <w:top w:w="0" w:type="dxa"/>
            <w:left w:w="108" w:type="dxa"/>
            <w:bottom w:w="0" w:type="dxa"/>
            <w:right w:w="108" w:type="dxa"/>
          </w:tblCellMar>
        </w:tblPrEx>
        <w:trPr>
          <w:trHeight w:val="270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3"/>
              </w:numPr>
              <w:spacing w:line="25" w:lineRule="atLeast"/>
              <w:jc w:val="center"/>
              <w:rPr>
                <w:rFonts w:hint="eastAsia" w:ascii="宋体" w:hAnsi="宋体" w:eastAsia="宋体"/>
                <w:color w:val="000000"/>
                <w:kern w:val="0"/>
                <w:sz w:val="24"/>
                <w:szCs w:val="24"/>
              </w:rPr>
            </w:pPr>
          </w:p>
        </w:tc>
        <w:tc>
          <w:tcPr>
            <w:tcW w:w="806"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推理服务器</w:t>
            </w:r>
          </w:p>
        </w:tc>
        <w:tc>
          <w:tcPr>
            <w:tcW w:w="5948" w:type="dxa"/>
            <w:tcBorders>
              <w:top w:val="nil"/>
              <w:left w:val="nil"/>
              <w:bottom w:val="single" w:color="auto" w:sz="4" w:space="0"/>
              <w:right w:val="single" w:color="auto" w:sz="4" w:space="0"/>
            </w:tcBorders>
            <w:shd w:val="clear" w:color="auto" w:fill="auto"/>
            <w:vAlign w:val="center"/>
          </w:tcPr>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19英寸2U机架式标准机箱</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★处理器不少于2颗国产Hygon高性能C86架构处理器，核数≥32核，主频≥2.0GHz；</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内存不少于256G DDR4；硬盘不少于1块480G SSD硬盘</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★GPU卡不少于6张国产加速卡；</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网口不少于2个千兆自适应网络接口，不少于2个万兆光口，标配1个IPMI RJ45管理接口；OCP专用扩展槽位，采用标准OPC 3.0模块，可选支持1G、10G、25G网络</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PCI E扩展槽：最大可支持11个PCIe 3.0扩展插槽，其中8个标准PCIe插槽、1个阵列卡专用插槽和2个OCP专用插槽</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电源：标配1600W（1+1）冗余电源；</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其它端口：不少于5个USB 3.0接口；</w:t>
            </w:r>
          </w:p>
        </w:tc>
        <w:tc>
          <w:tcPr>
            <w:tcW w:w="771"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8</w:t>
            </w:r>
          </w:p>
        </w:tc>
        <w:tc>
          <w:tcPr>
            <w:tcW w:w="789"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台</w:t>
            </w:r>
          </w:p>
        </w:tc>
      </w:tr>
      <w:tr>
        <w:tblPrEx>
          <w:tblLayout w:type="fixed"/>
          <w:tblCellMar>
            <w:top w:w="0" w:type="dxa"/>
            <w:left w:w="108" w:type="dxa"/>
            <w:bottom w:w="0" w:type="dxa"/>
            <w:right w:w="108" w:type="dxa"/>
          </w:tblCellMar>
        </w:tblPrEx>
        <w:trPr>
          <w:trHeight w:val="699"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3"/>
              </w:numPr>
              <w:spacing w:line="25" w:lineRule="atLeast"/>
              <w:jc w:val="center"/>
              <w:rPr>
                <w:rFonts w:hint="eastAsia" w:ascii="宋体" w:hAnsi="宋体" w:eastAsia="宋体"/>
                <w:color w:val="000000"/>
                <w:kern w:val="0"/>
                <w:sz w:val="24"/>
                <w:szCs w:val="24"/>
              </w:rPr>
            </w:pPr>
          </w:p>
        </w:tc>
        <w:tc>
          <w:tcPr>
            <w:tcW w:w="806"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比对服务器</w:t>
            </w:r>
          </w:p>
        </w:tc>
        <w:tc>
          <w:tcPr>
            <w:tcW w:w="5948" w:type="dxa"/>
            <w:tcBorders>
              <w:top w:val="nil"/>
              <w:left w:val="nil"/>
              <w:bottom w:val="single" w:color="auto" w:sz="4" w:space="0"/>
              <w:right w:val="single" w:color="auto" w:sz="4" w:space="0"/>
            </w:tcBorders>
            <w:shd w:val="clear" w:color="auto" w:fill="auto"/>
            <w:vAlign w:val="center"/>
          </w:tcPr>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19英寸2U机架式标准机箱</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★处理器不少于2颗国产Hygon高性能C86架构处理器，核数≥32核，主频≥2.0GHz；</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内存不少于512G DDR4;硬盘不少于1块240G SSD硬盘；</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★GPU卡不少于4张国产加速卡；</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不少于2个万兆光口</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电源：1200W(1+1)；</w:t>
            </w:r>
          </w:p>
        </w:tc>
        <w:tc>
          <w:tcPr>
            <w:tcW w:w="771"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1</w:t>
            </w:r>
          </w:p>
        </w:tc>
        <w:tc>
          <w:tcPr>
            <w:tcW w:w="789"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台</w:t>
            </w:r>
          </w:p>
        </w:tc>
      </w:tr>
      <w:tr>
        <w:tblPrEx>
          <w:tblLayout w:type="fixed"/>
          <w:tblCellMar>
            <w:top w:w="0" w:type="dxa"/>
            <w:left w:w="108" w:type="dxa"/>
            <w:bottom w:w="0" w:type="dxa"/>
            <w:right w:w="108" w:type="dxa"/>
          </w:tblCellMar>
        </w:tblPrEx>
        <w:trPr>
          <w:trHeight w:val="84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3"/>
              </w:numPr>
              <w:spacing w:line="25" w:lineRule="atLeast"/>
              <w:jc w:val="center"/>
              <w:rPr>
                <w:rFonts w:hint="eastAsia" w:ascii="宋体" w:hAnsi="宋体" w:eastAsia="宋体"/>
                <w:color w:val="000000"/>
                <w:kern w:val="0"/>
                <w:sz w:val="24"/>
                <w:szCs w:val="24"/>
              </w:rPr>
            </w:pPr>
          </w:p>
        </w:tc>
        <w:tc>
          <w:tcPr>
            <w:tcW w:w="806"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搜图服务器</w:t>
            </w:r>
          </w:p>
        </w:tc>
        <w:tc>
          <w:tcPr>
            <w:tcW w:w="5948" w:type="dxa"/>
            <w:tcBorders>
              <w:top w:val="nil"/>
              <w:left w:val="nil"/>
              <w:bottom w:val="single" w:color="auto" w:sz="4" w:space="0"/>
              <w:right w:val="single" w:color="auto" w:sz="4" w:space="0"/>
            </w:tcBorders>
            <w:shd w:val="clear" w:color="auto" w:fill="auto"/>
          </w:tcPr>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19英寸2U机架式标准机箱</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★配置不少于2颗国产Hygon高性能C86架构处理器，核数不低于24核，主频不低于2.2GHz；</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内存不少于768G DDR4；最大支持扩展至32根DDR4内存，最大可扩展至2TB内存</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硬盘不少于1*240G SSD，不少于4*960G SSD（RAID 0），不少于1*4T SATA硬盘；</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★独显&amp;GPU扩展：配置不少于8张国产加速卡；</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网口：不少于2个千兆自适应网络接口，不少于1个IPMI RJ45管理接口；OCP专用扩展槽位，采用标准OPC 3.0模块，可选支持1G、10G、25G网络</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电源：配置1200W(1+1)冗余电源；可选800W，1200W 或1600W CRPS高效冗余电源</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其它端口：2个VGA接口（1个前置VGA、1个后置VGA），5个USB 3.0接口（2个位于机箱前部、2个位于机箱后部、1个位于机箱内部）</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支持人脸、人体、车辆、非机动车以图搜图应用</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人脸抓拍库单卡最大容量：3亿/单卡，并发性能：10个/秒</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人体抓拍库单卡最大容量：3亿/单卡，并发性能：10个/秒</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车辆抓拍库单卡最大容量：3亿/单卡，并发性能：10个/秒</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非机动车抓拍库单卡最大容量：3亿/单卡，并发性能：10个/秒</w:t>
            </w:r>
          </w:p>
        </w:tc>
        <w:tc>
          <w:tcPr>
            <w:tcW w:w="771"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2</w:t>
            </w:r>
          </w:p>
        </w:tc>
        <w:tc>
          <w:tcPr>
            <w:tcW w:w="789"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台</w:t>
            </w:r>
          </w:p>
        </w:tc>
      </w:tr>
      <w:tr>
        <w:tblPrEx>
          <w:tblLayout w:type="fixed"/>
          <w:tblCellMar>
            <w:top w:w="0" w:type="dxa"/>
            <w:left w:w="108" w:type="dxa"/>
            <w:bottom w:w="0" w:type="dxa"/>
            <w:right w:w="108" w:type="dxa"/>
          </w:tblCellMar>
        </w:tblPrEx>
        <w:trPr>
          <w:trHeight w:val="39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b/>
                <w:bCs/>
                <w:color w:val="000000"/>
                <w:kern w:val="0"/>
                <w:sz w:val="24"/>
                <w:szCs w:val="24"/>
              </w:rPr>
            </w:pPr>
            <w:r>
              <w:rPr>
                <w:rFonts w:hint="eastAsia" w:ascii="宋体" w:hAnsi="宋体" w:eastAsia="宋体"/>
                <w:b/>
                <w:bCs/>
                <w:color w:val="000000"/>
                <w:kern w:val="0"/>
                <w:sz w:val="24"/>
                <w:szCs w:val="24"/>
              </w:rPr>
              <w:t>三</w:t>
            </w:r>
          </w:p>
        </w:tc>
        <w:tc>
          <w:tcPr>
            <w:tcW w:w="8314"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25" w:lineRule="atLeast"/>
              <w:jc w:val="left"/>
              <w:rPr>
                <w:rFonts w:hint="eastAsia" w:ascii="宋体" w:hAnsi="宋体" w:eastAsia="宋体"/>
                <w:b/>
                <w:bCs/>
                <w:color w:val="000000"/>
                <w:kern w:val="0"/>
                <w:sz w:val="24"/>
                <w:szCs w:val="24"/>
              </w:rPr>
            </w:pPr>
            <w:r>
              <w:rPr>
                <w:rFonts w:hint="eastAsia" w:ascii="宋体" w:hAnsi="宋体" w:eastAsia="宋体"/>
                <w:b/>
                <w:bCs/>
                <w:color w:val="000000"/>
                <w:kern w:val="0"/>
                <w:sz w:val="24"/>
                <w:szCs w:val="24"/>
              </w:rPr>
              <w:t>扩容配套视频接入转发中心基础设施</w:t>
            </w:r>
          </w:p>
        </w:tc>
      </w:tr>
      <w:tr>
        <w:tblPrEx>
          <w:tblLayout w:type="fixed"/>
          <w:tblCellMar>
            <w:top w:w="0" w:type="dxa"/>
            <w:left w:w="108" w:type="dxa"/>
            <w:bottom w:w="0" w:type="dxa"/>
            <w:right w:w="108" w:type="dxa"/>
          </w:tblCellMar>
        </w:tblPrEx>
        <w:trPr>
          <w:trHeight w:val="184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4"/>
              </w:numPr>
              <w:spacing w:line="25" w:lineRule="atLeast"/>
              <w:jc w:val="center"/>
              <w:rPr>
                <w:rFonts w:hint="eastAsia" w:ascii="宋体" w:hAnsi="宋体" w:eastAsia="宋体"/>
                <w:color w:val="000000"/>
                <w:kern w:val="0"/>
                <w:sz w:val="24"/>
                <w:szCs w:val="24"/>
              </w:rPr>
            </w:pPr>
          </w:p>
        </w:tc>
        <w:tc>
          <w:tcPr>
            <w:tcW w:w="806"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大数据服务器</w:t>
            </w:r>
          </w:p>
        </w:tc>
        <w:tc>
          <w:tcPr>
            <w:tcW w:w="5948" w:type="dxa"/>
            <w:tcBorders>
              <w:top w:val="nil"/>
              <w:left w:val="nil"/>
              <w:bottom w:val="single" w:color="auto" w:sz="4" w:space="0"/>
              <w:right w:val="single" w:color="auto" w:sz="4" w:space="0"/>
            </w:tcBorders>
            <w:shd w:val="clear" w:color="auto" w:fill="auto"/>
          </w:tcPr>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2U双路标准机架式服务器</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★CPU不少于2颗国产Hygon高性能C86架构处理器,不少于24核</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内存不低于512GB DDR4</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硬盘不少于2块600G SAS，不少于6块960G SSD，不少于6块8T SATA；</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RAID：硬盘组RAID_4G(1个)</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外部接口不少于2个万兆光口，不少于2个千兆电口；不少于4个USB；</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电源模块：高效能800W铂金1+1 CRPS冗余电源</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散热模块：最大4个热插拔冗余风扇</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功耗模块：AC:200-240V 50Hz</w:t>
            </w:r>
          </w:p>
        </w:tc>
        <w:tc>
          <w:tcPr>
            <w:tcW w:w="771"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5</w:t>
            </w:r>
          </w:p>
        </w:tc>
        <w:tc>
          <w:tcPr>
            <w:tcW w:w="789"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台</w:t>
            </w:r>
          </w:p>
        </w:tc>
      </w:tr>
      <w:tr>
        <w:tblPrEx>
          <w:tblLayout w:type="fixed"/>
          <w:tblCellMar>
            <w:top w:w="0" w:type="dxa"/>
            <w:left w:w="108" w:type="dxa"/>
            <w:bottom w:w="0" w:type="dxa"/>
            <w:right w:w="108" w:type="dxa"/>
          </w:tblCellMar>
        </w:tblPrEx>
        <w:trPr>
          <w:trHeight w:val="208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4"/>
              </w:numPr>
              <w:spacing w:line="25" w:lineRule="atLeast"/>
              <w:jc w:val="center"/>
              <w:rPr>
                <w:rFonts w:hint="eastAsia" w:ascii="宋体" w:hAnsi="宋体" w:eastAsia="宋体"/>
                <w:color w:val="000000"/>
                <w:kern w:val="0"/>
                <w:sz w:val="24"/>
                <w:szCs w:val="24"/>
              </w:rPr>
            </w:pPr>
          </w:p>
        </w:tc>
        <w:tc>
          <w:tcPr>
            <w:tcW w:w="806"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摆渡服务器</w:t>
            </w:r>
          </w:p>
        </w:tc>
        <w:tc>
          <w:tcPr>
            <w:tcW w:w="5948" w:type="dxa"/>
            <w:tcBorders>
              <w:top w:val="nil"/>
              <w:left w:val="nil"/>
              <w:bottom w:val="single" w:color="auto" w:sz="4" w:space="0"/>
              <w:right w:val="single" w:color="auto" w:sz="4" w:space="0"/>
            </w:tcBorders>
            <w:shd w:val="clear" w:color="auto" w:fill="auto"/>
            <w:vAlign w:val="center"/>
          </w:tcPr>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2U双路标准机架式服务器</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★CPU：配置不少于1颗国产Hygon高性能C86架构处理器；</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内存不少于256G DDR4，内存插槽不少于16根</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硬盘不少于12块960G SSD；</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网口不少于2个千兆电口，不少于2个万兆光口，支持选配10GbE、25GbE SFP+等多种网络接口</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其他接口：不少于1个千兆RJ-45管理接口，不少于4个USB 接口</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电源：配置800W（1+1）高效CRPS冗余白金电源</w:t>
            </w:r>
          </w:p>
        </w:tc>
        <w:tc>
          <w:tcPr>
            <w:tcW w:w="771"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4</w:t>
            </w:r>
          </w:p>
        </w:tc>
        <w:tc>
          <w:tcPr>
            <w:tcW w:w="789"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台</w:t>
            </w:r>
          </w:p>
        </w:tc>
      </w:tr>
      <w:tr>
        <w:tblPrEx>
          <w:tblLayout w:type="fixed"/>
          <w:tblCellMar>
            <w:top w:w="0" w:type="dxa"/>
            <w:left w:w="108" w:type="dxa"/>
            <w:bottom w:w="0" w:type="dxa"/>
            <w:right w:w="108" w:type="dxa"/>
          </w:tblCellMar>
        </w:tblPrEx>
        <w:trPr>
          <w:trHeight w:val="9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4"/>
              </w:numPr>
              <w:spacing w:line="25" w:lineRule="atLeast"/>
              <w:jc w:val="center"/>
              <w:rPr>
                <w:rFonts w:hint="eastAsia" w:ascii="宋体" w:hAnsi="宋体" w:eastAsia="宋体"/>
                <w:color w:val="000000"/>
                <w:kern w:val="0"/>
                <w:sz w:val="24"/>
                <w:szCs w:val="24"/>
              </w:rPr>
            </w:pPr>
          </w:p>
        </w:tc>
        <w:tc>
          <w:tcPr>
            <w:tcW w:w="806"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数据自助分析节点</w:t>
            </w:r>
          </w:p>
        </w:tc>
        <w:tc>
          <w:tcPr>
            <w:tcW w:w="5948" w:type="dxa"/>
            <w:tcBorders>
              <w:top w:val="nil"/>
              <w:left w:val="nil"/>
              <w:bottom w:val="single" w:color="auto" w:sz="4" w:space="0"/>
              <w:right w:val="single" w:color="auto" w:sz="4" w:space="0"/>
            </w:tcBorders>
            <w:shd w:val="clear" w:color="auto" w:fill="auto"/>
          </w:tcPr>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2U单路标准机架式服务器</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★CPU不少于1颗国产Hygon高性能C86架构处理器，单处理器物理核心数≥16核，主频≥2.5 GHz，末级缓存容量≥32 MB，线程数≥32线程，热设计功耗≥135 W，支持内存的最高速率≥3200 MHz，通道数≥4，位宽≥64；</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内存不少于128G DDR4；不少于2块480G SSD硬盘,不少于2块4T 7.2K SATA硬盘；</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网口不少于2个千兆电口；</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其他接口：不少于1个千兆RJ-45管理接口，不少于4个USB 3.0接口；</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电源：配置550W（1+1）高效铂金CRPS冗余电源</w:t>
            </w:r>
          </w:p>
        </w:tc>
        <w:tc>
          <w:tcPr>
            <w:tcW w:w="771"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3</w:t>
            </w:r>
          </w:p>
        </w:tc>
        <w:tc>
          <w:tcPr>
            <w:tcW w:w="789"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台</w:t>
            </w:r>
          </w:p>
        </w:tc>
      </w:tr>
      <w:tr>
        <w:tblPrEx>
          <w:tblLayout w:type="fixed"/>
          <w:tblCellMar>
            <w:top w:w="0" w:type="dxa"/>
            <w:left w:w="108" w:type="dxa"/>
            <w:bottom w:w="0" w:type="dxa"/>
            <w:right w:w="108" w:type="dxa"/>
          </w:tblCellMar>
        </w:tblPrEx>
        <w:trPr>
          <w:trHeight w:val="53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4"/>
              </w:numPr>
              <w:spacing w:line="25" w:lineRule="atLeast"/>
              <w:jc w:val="center"/>
              <w:rPr>
                <w:rFonts w:hint="eastAsia" w:ascii="宋体" w:hAnsi="宋体" w:eastAsia="宋体"/>
                <w:color w:val="000000"/>
                <w:kern w:val="0"/>
                <w:sz w:val="24"/>
                <w:szCs w:val="24"/>
              </w:rPr>
            </w:pPr>
          </w:p>
        </w:tc>
        <w:tc>
          <w:tcPr>
            <w:tcW w:w="806"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应用服务器</w:t>
            </w:r>
          </w:p>
        </w:tc>
        <w:tc>
          <w:tcPr>
            <w:tcW w:w="5948" w:type="dxa"/>
            <w:tcBorders>
              <w:top w:val="nil"/>
              <w:left w:val="nil"/>
              <w:bottom w:val="single" w:color="auto" w:sz="4" w:space="0"/>
              <w:right w:val="single" w:color="auto" w:sz="4" w:space="0"/>
            </w:tcBorders>
            <w:shd w:val="clear" w:color="auto" w:fill="auto"/>
          </w:tcPr>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2U单路标准机架式服务器</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★CPU不少于1颗国产Hygon高性能C86架构处理器，单处理器物理核心数≥32核，主频≥2.2 GHz，为实现设备高校利用，CPU支持超线程技术和睿频技术</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内存不少于256G DDR4；不少于2块240G SSD硬盘,不少于2块8T 7.2K SATA硬盘；</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网口不少于2个千兆电口，不少于2个千兆电口；支持选配10GbE、25GbE SFP+等多种网络接口；</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其他接口：不少于1个千兆RJ-45管理接口，不少于4个USB 3.0接口；</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电源：配置550W（1+1）高效铂金CRPS冗余电源</w:t>
            </w:r>
          </w:p>
        </w:tc>
        <w:tc>
          <w:tcPr>
            <w:tcW w:w="771"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1</w:t>
            </w:r>
          </w:p>
        </w:tc>
        <w:tc>
          <w:tcPr>
            <w:tcW w:w="789"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台</w:t>
            </w:r>
          </w:p>
        </w:tc>
      </w:tr>
      <w:tr>
        <w:tblPrEx>
          <w:tblLayout w:type="fixed"/>
          <w:tblCellMar>
            <w:top w:w="0" w:type="dxa"/>
            <w:left w:w="108" w:type="dxa"/>
            <w:bottom w:w="0" w:type="dxa"/>
            <w:right w:w="108" w:type="dxa"/>
          </w:tblCellMar>
        </w:tblPrEx>
        <w:trPr>
          <w:trHeight w:val="212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4"/>
              </w:numPr>
              <w:spacing w:line="25" w:lineRule="atLeast"/>
              <w:jc w:val="center"/>
              <w:rPr>
                <w:rFonts w:hint="eastAsia" w:ascii="宋体" w:hAnsi="宋体" w:eastAsia="宋体"/>
                <w:color w:val="000000"/>
                <w:kern w:val="0"/>
                <w:sz w:val="24"/>
                <w:szCs w:val="24"/>
              </w:rPr>
            </w:pPr>
          </w:p>
        </w:tc>
        <w:tc>
          <w:tcPr>
            <w:tcW w:w="806"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流媒体服务器</w:t>
            </w:r>
          </w:p>
        </w:tc>
        <w:tc>
          <w:tcPr>
            <w:tcW w:w="5948" w:type="dxa"/>
            <w:tcBorders>
              <w:top w:val="nil"/>
              <w:left w:val="nil"/>
              <w:bottom w:val="single" w:color="auto" w:sz="4" w:space="0"/>
              <w:right w:val="single" w:color="auto" w:sz="4" w:space="0"/>
            </w:tcBorders>
            <w:shd w:val="clear" w:color="auto" w:fill="auto"/>
          </w:tcPr>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2U单路标准机架式服务器</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★CPU不少于1颗国产Hygon高性能C86架构处理器，单处理器物理核心数≥16核，主频≥2.5 GHz，末级缓存容量≥32 MB，线程数≥32线程，热设计功耗≥135 W，支持内存的最高速率≥3200 MHz，通道数≥4，位宽≥64；</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内存不少于64G DDR4；硬盘不少于4块600G 10K SAS硬盘；</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网口不少于2个千兆电口，不少于2个万兆光口；</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其他接口不少于1个千兆RJ-45管理接口，不少于4个USB 3.0接口；</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电源：配置550W（1+1）高效铂金CRPS冗余电源</w:t>
            </w:r>
          </w:p>
        </w:tc>
        <w:tc>
          <w:tcPr>
            <w:tcW w:w="771"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3</w:t>
            </w:r>
          </w:p>
        </w:tc>
        <w:tc>
          <w:tcPr>
            <w:tcW w:w="789"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台</w:t>
            </w:r>
          </w:p>
        </w:tc>
      </w:tr>
      <w:tr>
        <w:tblPrEx>
          <w:tblLayout w:type="fixed"/>
          <w:tblCellMar>
            <w:top w:w="0" w:type="dxa"/>
            <w:left w:w="108" w:type="dxa"/>
            <w:bottom w:w="0" w:type="dxa"/>
            <w:right w:w="108" w:type="dxa"/>
          </w:tblCellMar>
        </w:tblPrEx>
        <w:trPr>
          <w:trHeight w:val="31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4"/>
              </w:numPr>
              <w:spacing w:line="25" w:lineRule="atLeast"/>
              <w:jc w:val="center"/>
              <w:rPr>
                <w:rFonts w:hint="eastAsia" w:ascii="宋体" w:hAnsi="宋体" w:eastAsia="宋体"/>
                <w:color w:val="000000"/>
                <w:kern w:val="0"/>
                <w:sz w:val="24"/>
                <w:szCs w:val="24"/>
              </w:rPr>
            </w:pPr>
          </w:p>
        </w:tc>
        <w:tc>
          <w:tcPr>
            <w:tcW w:w="806"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高可靠性网络安全隔离与信息单向导入设备</w:t>
            </w:r>
          </w:p>
        </w:tc>
        <w:tc>
          <w:tcPr>
            <w:tcW w:w="5948" w:type="dxa"/>
            <w:tcBorders>
              <w:top w:val="nil"/>
              <w:left w:val="nil"/>
              <w:bottom w:val="single" w:color="auto" w:sz="4" w:space="0"/>
              <w:right w:val="single" w:color="auto" w:sz="4" w:space="0"/>
            </w:tcBorders>
            <w:shd w:val="clear" w:color="auto" w:fill="auto"/>
            <w:noWrap/>
            <w:vAlign w:val="bottom"/>
          </w:tcPr>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采用2+1硬件结构，具备两套独立主机系统内网机和外网机，两套独立主机系统之间采用自主研制的无回馈光单向隔离硬件进行连接。产品为国内自主研发，内部采用基于单光纤结构无反馈单向数据传输的专利技术，光单向传输机制基于自主研发的单向传输卡实现（提供证明文件并加盖公章）。</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2、设备内外网独立主机系统之间，采用完全自主设计和研制的无回馈光单向通讯部件，外网机的无回馈光单向部件仅使用光通讯模块的发射器（严禁使用光接收器部分），内网机的无回馈光单向部件仅使用光通讯模块的接收器（严禁使用光发射器部分）。</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3、设备外网机和内网机之间，仅使用单根光纤连接，不存在逆向的内网机到外网机的物理通道；设备外网机和内网机之间，采用专用光单向传输专用协议（非网络协议），不存在逆向的内网机到外网机的物理通道。</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4、采用高可靠自校验、自纠错算法，在现有稳定光单向传输基础上进一步提升无回馈光单向传输的可靠性，能够满足实际应用需要，确保单向导入数据的完整性。</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5、支持文件、数据流等方式导入，能够与相关应用无缝衔接主要支持如下方式数据单向导入：主动获取和推送方式，专用客户端方式导入，数据流单向导入方式。</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6、设备能够在外网机识别判断导入数据格式、内容等信息，格式过滤和内容检查，实现对导入数据的细颗粒度控制，并能够实现相关安全策略配置，精确限定导入数据的格式和内容。能够依据需求内嵌国家保密安全部门认可的密级标志检查功能，实现数据密标检查和控制。</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7、设备能够采用专用客户端、专用API接口、IP地址、数字证书等方式，准确判断数据源和目的服务器，构造从真正数据源到目的的可信导入通道。</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8、设备作为内外网之间唯一物理通道，采用专用无回馈单向硬件和专用协议，完全阻断所有网络协议连接，仅支持纯数据的导入，阻断网络攻击。</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9、具备完善的设备系统日志、操作日志、运行日志、运行状态信息，具备完整的安全审计。</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10、自定义服务支持：能够依据实际需求提供用户自定义应用的开发和支持。</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11、支持双机热备、多链路冗余和负载均衡。</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12、支持复杂内外网导入方式：包括一对一、一对多、多对一和多对多，支持数据分类重新归并等灵活内外网数据对应关系。</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13、8个10/100/1000M以太网络接口，4个万兆光纤接口，2个CONSOLE口。</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14、支持TCP/IP网络（包括Windows，Unix/Linux等）。</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15、支持多种形式数据单向导入，包括文件、数据流等。</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16、自主研制的无回馈光单向硬件设备。</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17、内部采用自定义专有单向传输协议。</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18、系统吞吐率(1000M接口)：≥8000Mbps。</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19、光单向通讯隔离部件内部数据吞吐率：30Gbps。</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平均无故障时间：≥60000小时，冗余电源。</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资质：</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1、产品为国内自主研发，提供软件著作权证书复印件并加盖公章。</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2、提供投标产品在国家保密科技测评中心通过检测的《检测报告》复印件并加盖公章等（至少三个以上省部级项目）。</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3、产品获得由国家信息安全测评中心颁发的EAL3+证书，提供证明材料复印件并加盖公章。</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4、产品原厂商具有可信变域防护的关键技术，提供复印件并加盖公章。</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5、产品厂商参与过安全隔离与信息交换系统的国家产品标准制定，提供复印件并加盖公章。</w:t>
            </w:r>
          </w:p>
        </w:tc>
        <w:tc>
          <w:tcPr>
            <w:tcW w:w="771"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1</w:t>
            </w:r>
          </w:p>
        </w:tc>
        <w:tc>
          <w:tcPr>
            <w:tcW w:w="789"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套</w:t>
            </w:r>
          </w:p>
        </w:tc>
      </w:tr>
      <w:tr>
        <w:tblPrEx>
          <w:tblLayout w:type="fixed"/>
          <w:tblCellMar>
            <w:top w:w="0" w:type="dxa"/>
            <w:left w:w="108" w:type="dxa"/>
            <w:bottom w:w="0" w:type="dxa"/>
            <w:right w:w="108" w:type="dxa"/>
          </w:tblCellMar>
        </w:tblPrEx>
        <w:trPr>
          <w:trHeight w:val="56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4"/>
              </w:numPr>
              <w:spacing w:line="25" w:lineRule="atLeast"/>
              <w:jc w:val="center"/>
              <w:rPr>
                <w:rFonts w:hint="eastAsia" w:ascii="宋体" w:hAnsi="宋体" w:eastAsia="宋体"/>
                <w:color w:val="000000"/>
                <w:kern w:val="0"/>
                <w:sz w:val="24"/>
                <w:szCs w:val="24"/>
              </w:rPr>
            </w:pPr>
          </w:p>
        </w:tc>
        <w:tc>
          <w:tcPr>
            <w:tcW w:w="806"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导入服务器系统 V1.0</w:t>
            </w:r>
          </w:p>
        </w:tc>
        <w:tc>
          <w:tcPr>
            <w:tcW w:w="5948" w:type="dxa"/>
            <w:tcBorders>
              <w:top w:val="nil"/>
              <w:left w:val="nil"/>
              <w:bottom w:val="single" w:color="auto" w:sz="4" w:space="0"/>
              <w:right w:val="single" w:color="auto" w:sz="4" w:space="0"/>
            </w:tcBorders>
            <w:shd w:val="clear" w:color="auto" w:fill="auto"/>
            <w:noWrap/>
            <w:vAlign w:val="bottom"/>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 xml:space="preserve"> 1.设备包含导入服务器和导入前置机各一台，采用标准2U机架式。</w:t>
            </w:r>
          </w:p>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2. 设备接口：4个千兆电口，4个万兆光纤接口。</w:t>
            </w:r>
          </w:p>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3.系统吞吐率(1000M接口)：≥8000Mbps。</w:t>
            </w:r>
          </w:p>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4.光单向通讯隔离部件内部数据吞吐率：30Gbps，平均无故障时间：≥60000小时。</w:t>
            </w:r>
          </w:p>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5. 支持主动访问、身份鉴别等多种安全模式；支持多种文件传输协议，包括可定制的非标准通讯协议；支持内容过滤、断点续传及优先级策略设置。</w:t>
            </w:r>
          </w:p>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6.产品为国内自主研发，产品使用光单向传输领域专利技术进行数据传输，光单向传输机制基于自主研发的单向传输卡实现，（提供专利证明文件并加盖公章）。</w:t>
            </w:r>
          </w:p>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7.采用高可靠自校验、自纠错算法，在现有稳定光单向传输基础上进一步提升无回馈光单向传输的可靠性，能够满足实际应用需要，确保单向导入数据的完整性。</w:t>
            </w:r>
          </w:p>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8.支持文件、数据流等方式导入，能够与相关应用无缝衔接主要支持如下方式数据单向导入：主动获取和推送方式，专用客户端方式导入，数据流单向导入方式。</w:t>
            </w:r>
          </w:p>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9.以满足GB17859-1999中第三级（安全标记级）要求的国产安全操作系统为基础，构造可信的设备操作系统安全内核、最小特权原则、操作系统可信启动、应用模块可信加载、重要信息完整性保护，提供第三方检测报告复印件并加盖公章。</w:t>
            </w:r>
          </w:p>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10.提供投标产品在国家保密科技测评中心通过检测的《检测报告》复印件并加盖公章等（至少三个以上省部级项目）。</w:t>
            </w:r>
          </w:p>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11.产品厂商参与过安全隔离与信息交换系统的国家产品标准制定，提供复印件并加盖公章。</w:t>
            </w:r>
          </w:p>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12.投标厂商必须同时入围公安部边界接入平台安全产品名单中隔离网闸；接入平台厂商入围；提供复印件并加盖公章。</w:t>
            </w:r>
          </w:p>
        </w:tc>
        <w:tc>
          <w:tcPr>
            <w:tcW w:w="771"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1</w:t>
            </w:r>
          </w:p>
        </w:tc>
        <w:tc>
          <w:tcPr>
            <w:tcW w:w="789"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台</w:t>
            </w:r>
          </w:p>
        </w:tc>
      </w:tr>
      <w:tr>
        <w:tblPrEx>
          <w:tblLayout w:type="fixed"/>
          <w:tblCellMar>
            <w:top w:w="0" w:type="dxa"/>
            <w:left w:w="108" w:type="dxa"/>
            <w:bottom w:w="0" w:type="dxa"/>
            <w:right w:w="108" w:type="dxa"/>
          </w:tblCellMar>
        </w:tblPrEx>
        <w:trPr>
          <w:trHeight w:val="1444"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4"/>
              </w:numPr>
              <w:spacing w:line="25" w:lineRule="atLeast"/>
              <w:jc w:val="center"/>
              <w:rPr>
                <w:rFonts w:hint="eastAsia" w:ascii="宋体" w:hAnsi="宋体" w:eastAsia="宋体"/>
                <w:color w:val="000000"/>
                <w:kern w:val="0"/>
                <w:sz w:val="24"/>
                <w:szCs w:val="24"/>
              </w:rPr>
            </w:pPr>
          </w:p>
        </w:tc>
        <w:tc>
          <w:tcPr>
            <w:tcW w:w="806"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导入前置机系统 V1.0</w:t>
            </w:r>
          </w:p>
        </w:tc>
        <w:tc>
          <w:tcPr>
            <w:tcW w:w="5948" w:type="dxa"/>
            <w:tcBorders>
              <w:top w:val="nil"/>
              <w:left w:val="nil"/>
              <w:bottom w:val="single" w:color="auto" w:sz="4" w:space="0"/>
              <w:right w:val="single" w:color="auto" w:sz="4" w:space="0"/>
            </w:tcBorders>
            <w:shd w:val="clear" w:color="auto" w:fill="auto"/>
            <w:noWrap/>
            <w:vAlign w:val="bottom"/>
          </w:tcPr>
          <w:p>
            <w:pPr>
              <w:widowControl/>
              <w:spacing w:line="25" w:lineRule="atLeast"/>
              <w:jc w:val="center"/>
              <w:rPr>
                <w:rFonts w:hint="eastAsia"/>
              </w:rPr>
            </w:pPr>
            <w:r>
              <w:rPr>
                <w:rFonts w:hint="eastAsia"/>
              </w:rPr>
              <w:t>1.设备包含导入服务器和导入前置机各一台，采用标准2U机架式。</w:t>
            </w:r>
          </w:p>
          <w:p>
            <w:pPr>
              <w:widowControl/>
              <w:spacing w:line="25" w:lineRule="atLeast"/>
              <w:jc w:val="center"/>
              <w:rPr>
                <w:rFonts w:hint="eastAsia"/>
              </w:rPr>
            </w:pPr>
            <w:r>
              <w:rPr>
                <w:rFonts w:hint="eastAsia"/>
              </w:rPr>
              <w:t>2. 设备接口：4个千兆电口，4个万兆光纤接口。</w:t>
            </w:r>
          </w:p>
          <w:p>
            <w:pPr>
              <w:widowControl/>
              <w:spacing w:line="25" w:lineRule="atLeast"/>
              <w:jc w:val="center"/>
              <w:rPr>
                <w:rFonts w:hint="eastAsia"/>
              </w:rPr>
            </w:pPr>
            <w:r>
              <w:rPr>
                <w:rFonts w:hint="eastAsia"/>
              </w:rPr>
              <w:t>3.系统吞吐率(1000M接口)：≥8000Mbps。</w:t>
            </w:r>
          </w:p>
          <w:p>
            <w:pPr>
              <w:widowControl/>
              <w:spacing w:line="25" w:lineRule="atLeast"/>
              <w:jc w:val="center"/>
              <w:rPr>
                <w:rFonts w:hint="eastAsia"/>
              </w:rPr>
            </w:pPr>
            <w:r>
              <w:rPr>
                <w:rFonts w:hint="eastAsia"/>
              </w:rPr>
              <w:t>4.光单向通讯隔离部件内部数据吞吐率：30Gbps，平均无故障时间：≥60000小时。</w:t>
            </w:r>
          </w:p>
          <w:p>
            <w:pPr>
              <w:widowControl/>
              <w:spacing w:line="25" w:lineRule="atLeast"/>
              <w:jc w:val="center"/>
              <w:rPr>
                <w:rFonts w:hint="eastAsia"/>
              </w:rPr>
            </w:pPr>
            <w:r>
              <w:rPr>
                <w:rFonts w:hint="eastAsia"/>
              </w:rPr>
              <w:t>5. 支持主动访问、身份鉴别等多种安全模式；支持多种文件传输协议，包括可定制的非标准通讯协议；支持内容过滤、断点续传及优先级策略设置。</w:t>
            </w:r>
          </w:p>
          <w:p>
            <w:pPr>
              <w:widowControl/>
              <w:spacing w:line="25" w:lineRule="atLeast"/>
              <w:jc w:val="center"/>
              <w:rPr>
                <w:rFonts w:hint="eastAsia"/>
              </w:rPr>
            </w:pPr>
            <w:r>
              <w:rPr>
                <w:rFonts w:hint="eastAsia"/>
              </w:rPr>
              <w:t>6.产品为国内自主研发，产品使用光单向传输领域专利技术进行数据传输，光单向传输机制基于自主研发的单向传输卡实现，（提供专利证明文件并加盖公章）。</w:t>
            </w:r>
          </w:p>
          <w:p>
            <w:pPr>
              <w:widowControl/>
              <w:spacing w:line="25" w:lineRule="atLeast"/>
              <w:jc w:val="center"/>
              <w:rPr>
                <w:rFonts w:hint="eastAsia"/>
              </w:rPr>
            </w:pPr>
            <w:r>
              <w:rPr>
                <w:rFonts w:hint="eastAsia"/>
              </w:rPr>
              <w:t>7.采用高可靠自校验、自纠错算法，在现有稳定光单向传输基础上进一步提升无回馈光单向传输的可靠性，能够满足实际应用需要，确保单向导入数据的完整性。</w:t>
            </w:r>
          </w:p>
          <w:p>
            <w:pPr>
              <w:widowControl/>
              <w:spacing w:line="25" w:lineRule="atLeast"/>
              <w:jc w:val="center"/>
              <w:rPr>
                <w:rFonts w:hint="eastAsia"/>
              </w:rPr>
            </w:pPr>
            <w:r>
              <w:rPr>
                <w:rFonts w:hint="eastAsia"/>
              </w:rPr>
              <w:t>8.支持文件、数据流等方式导入，能够与相关应用无缝衔接主要支持如下方式数据单向导入：主动获取和推送方式，专用客户端方式导入，数据流单向导入方式。</w:t>
            </w:r>
          </w:p>
          <w:p>
            <w:pPr>
              <w:widowControl/>
              <w:spacing w:line="25" w:lineRule="atLeast"/>
              <w:jc w:val="center"/>
              <w:rPr>
                <w:rFonts w:hint="eastAsia"/>
              </w:rPr>
            </w:pPr>
            <w:r>
              <w:rPr>
                <w:rFonts w:hint="eastAsia"/>
              </w:rPr>
              <w:t>9.以满足GB17859-1999中第三级（安全标记级）要求的国产安全操作系统为基础，构造可信的设备操作系统安全内核、最小特权原则、操作系统可信启动、应用模块可信加载、重要信息完整性保护，提供第三方检测报告复印件并加盖公章。</w:t>
            </w:r>
          </w:p>
          <w:p>
            <w:pPr>
              <w:widowControl/>
              <w:spacing w:line="25" w:lineRule="atLeast"/>
              <w:jc w:val="center"/>
              <w:rPr>
                <w:rFonts w:hint="eastAsia"/>
              </w:rPr>
            </w:pPr>
            <w:r>
              <w:rPr>
                <w:rFonts w:hint="eastAsia"/>
              </w:rPr>
              <w:t>10.提供投标产品在国家保密科技测评中心通过检测的《检测报告》复印件并加盖公章等（至少三个以上省部级项目）。</w:t>
            </w:r>
          </w:p>
          <w:p>
            <w:pPr>
              <w:widowControl/>
              <w:spacing w:line="25" w:lineRule="atLeast"/>
              <w:jc w:val="center"/>
              <w:rPr>
                <w:rFonts w:hint="eastAsia"/>
              </w:rPr>
            </w:pPr>
            <w:r>
              <w:rPr>
                <w:rFonts w:hint="eastAsia"/>
              </w:rPr>
              <w:t>11.产品厂商参与过安全隔离与信息交换系统的国家产品标准制定，提供复印件并加盖公章。</w:t>
            </w:r>
          </w:p>
          <w:p>
            <w:pPr>
              <w:widowControl/>
              <w:spacing w:line="25" w:lineRule="atLeast"/>
              <w:jc w:val="center"/>
              <w:rPr>
                <w:rFonts w:hint="eastAsia" w:ascii="宋体" w:hAnsi="宋体" w:eastAsia="宋体"/>
                <w:color w:val="000000"/>
                <w:kern w:val="0"/>
                <w:sz w:val="24"/>
                <w:szCs w:val="24"/>
              </w:rPr>
            </w:pPr>
            <w:r>
              <w:rPr>
                <w:rFonts w:hint="eastAsia"/>
              </w:rPr>
              <w:t>12.投标厂商必须同时入围公安部边界接入平台安全产品名单中隔离网闸；接入平台厂商入围；提供复印件并加盖公章。</w:t>
            </w:r>
          </w:p>
        </w:tc>
        <w:tc>
          <w:tcPr>
            <w:tcW w:w="771"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1</w:t>
            </w:r>
          </w:p>
        </w:tc>
        <w:tc>
          <w:tcPr>
            <w:tcW w:w="789"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台</w:t>
            </w:r>
          </w:p>
        </w:tc>
      </w:tr>
      <w:tr>
        <w:tblPrEx>
          <w:tblLayout w:type="fixed"/>
          <w:tblCellMar>
            <w:top w:w="0" w:type="dxa"/>
            <w:left w:w="108" w:type="dxa"/>
            <w:bottom w:w="0" w:type="dxa"/>
            <w:right w:w="108" w:type="dxa"/>
          </w:tblCellMar>
        </w:tblPrEx>
        <w:trPr>
          <w:trHeight w:val="31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4"/>
              </w:numPr>
              <w:spacing w:line="25" w:lineRule="atLeast"/>
              <w:jc w:val="center"/>
              <w:rPr>
                <w:rFonts w:hint="eastAsia" w:ascii="宋体" w:hAnsi="宋体" w:eastAsia="宋体"/>
                <w:color w:val="000000"/>
                <w:kern w:val="0"/>
                <w:sz w:val="24"/>
                <w:szCs w:val="24"/>
              </w:rPr>
            </w:pPr>
          </w:p>
        </w:tc>
        <w:tc>
          <w:tcPr>
            <w:tcW w:w="806" w:type="dxa"/>
            <w:tcBorders>
              <w:top w:val="nil"/>
              <w:left w:val="nil"/>
              <w:bottom w:val="single" w:color="auto" w:sz="4" w:space="0"/>
              <w:right w:val="single" w:color="auto" w:sz="4" w:space="0"/>
            </w:tcBorders>
            <w:shd w:val="clear" w:color="auto" w:fill="auto"/>
            <w:vAlign w:val="center"/>
          </w:tcPr>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48口万兆交换机</w:t>
            </w:r>
          </w:p>
        </w:tc>
        <w:tc>
          <w:tcPr>
            <w:tcW w:w="5948" w:type="dxa"/>
            <w:tcBorders>
              <w:top w:val="nil"/>
              <w:left w:val="nil"/>
              <w:bottom w:val="single" w:color="auto" w:sz="4" w:space="0"/>
              <w:right w:val="single" w:color="auto" w:sz="4" w:space="0"/>
            </w:tcBorders>
            <w:shd w:val="clear" w:color="auto" w:fill="auto"/>
            <w:noWrap/>
            <w:vAlign w:val="bottom"/>
          </w:tcPr>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1、国产化：采用国产化核心芯片</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2、性能指标：交换容量≥4.8Tbps，包转发率≥2000Mpps，如存在双参数，以较小值为准</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3、端口配置：≥2个QSPF+光端口，≥4个QSPF28光端口，≥48个万兆光端口</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4、冗余电源风扇：配置冗余电源，冗余风扇</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5、路由协议：支持BFD/BGP/IS-IS/OSPF/RIP/静态路由</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6、IPv6：支持RIPng、BGP4+、IS-ISv6协议；支持IPv6策略路；支持DHCPv6功能、IPv6 portal功能、IPv6管理功能；</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7、支持SNMP V1/V2/V3、Telnet、RMON、SSH功能；</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8、TAP分流功能：支持增加时间戳及以太网头；</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9、支持Telemetry（GRPC）可视化；</w:t>
            </w:r>
          </w:p>
        </w:tc>
        <w:tc>
          <w:tcPr>
            <w:tcW w:w="771"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2</w:t>
            </w:r>
          </w:p>
        </w:tc>
        <w:tc>
          <w:tcPr>
            <w:tcW w:w="789"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台</w:t>
            </w:r>
          </w:p>
        </w:tc>
      </w:tr>
      <w:tr>
        <w:tblPrEx>
          <w:tblLayout w:type="fixed"/>
          <w:tblCellMar>
            <w:top w:w="0" w:type="dxa"/>
            <w:left w:w="108" w:type="dxa"/>
            <w:bottom w:w="0" w:type="dxa"/>
            <w:right w:w="108" w:type="dxa"/>
          </w:tblCellMar>
        </w:tblPrEx>
        <w:trPr>
          <w:trHeight w:val="3735"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4"/>
              </w:numPr>
              <w:spacing w:line="25" w:lineRule="atLeast"/>
              <w:jc w:val="center"/>
              <w:rPr>
                <w:rFonts w:hint="eastAsia" w:ascii="宋体" w:hAnsi="宋体" w:eastAsia="宋体"/>
                <w:color w:val="000000"/>
                <w:kern w:val="0"/>
                <w:sz w:val="24"/>
                <w:szCs w:val="24"/>
              </w:rPr>
            </w:pPr>
          </w:p>
        </w:tc>
        <w:tc>
          <w:tcPr>
            <w:tcW w:w="806"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48口万兆交换机</w:t>
            </w:r>
          </w:p>
        </w:tc>
        <w:tc>
          <w:tcPr>
            <w:tcW w:w="5948" w:type="dxa"/>
            <w:tcBorders>
              <w:top w:val="nil"/>
              <w:left w:val="nil"/>
              <w:bottom w:val="single" w:color="auto" w:sz="4" w:space="0"/>
              <w:right w:val="single" w:color="auto" w:sz="4" w:space="0"/>
            </w:tcBorders>
            <w:shd w:val="clear" w:color="auto" w:fill="auto"/>
            <w:noWrap/>
            <w:vAlign w:val="bottom"/>
          </w:tcPr>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1、国产化：采用国产化核心芯片</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2、性能指标：交换容量≥4.8Tbps，包转发率≥2000Mpps，如存在双参数，以较小值为准</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3、端口配置：≥2个QSPF+光端口，≥4个QSPF28光端口，≥48个万兆光端口</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4、冗余电源风扇：配置冗余电源，冗余风扇</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5、路由协议：支持BFD/BGP/IS-IS/OSPF/RIP/静态路由</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6、IPv6：支持RIPng、BGP4+、IS-ISv6协议；支持IPv6策略路；支持DHCPv6功能、IPv6 portal功能、IPv6管理功能；</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7、支持SNMP V1/V2/V3、Telnet、RMON、SSH功能；</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8、TAP分流功能：支持增加时间戳及以太网头；</w:t>
            </w:r>
          </w:p>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9、支持Telemetry（GRPC）可视化；</w:t>
            </w:r>
          </w:p>
        </w:tc>
        <w:tc>
          <w:tcPr>
            <w:tcW w:w="771"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3</w:t>
            </w:r>
          </w:p>
        </w:tc>
        <w:tc>
          <w:tcPr>
            <w:tcW w:w="789"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台</w:t>
            </w:r>
          </w:p>
        </w:tc>
      </w:tr>
      <w:tr>
        <w:tblPrEx>
          <w:tblLayout w:type="fixed"/>
          <w:tblCellMar>
            <w:top w:w="0" w:type="dxa"/>
            <w:left w:w="108" w:type="dxa"/>
            <w:bottom w:w="0" w:type="dxa"/>
            <w:right w:w="108" w:type="dxa"/>
          </w:tblCellMar>
        </w:tblPrEx>
        <w:trPr>
          <w:trHeight w:val="302"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4"/>
              </w:numPr>
              <w:spacing w:line="25" w:lineRule="atLeast"/>
              <w:jc w:val="center"/>
              <w:rPr>
                <w:rFonts w:hint="eastAsia" w:ascii="宋体" w:hAnsi="宋体" w:eastAsia="宋体"/>
                <w:color w:val="000000"/>
                <w:kern w:val="0"/>
                <w:sz w:val="24"/>
                <w:szCs w:val="24"/>
              </w:rPr>
            </w:pPr>
          </w:p>
        </w:tc>
        <w:tc>
          <w:tcPr>
            <w:tcW w:w="806"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万兆多模光模块</w:t>
            </w:r>
          </w:p>
        </w:tc>
        <w:tc>
          <w:tcPr>
            <w:tcW w:w="5948"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SFP+ 万兆模块(850nm,300m,LC)</w:t>
            </w:r>
          </w:p>
        </w:tc>
        <w:tc>
          <w:tcPr>
            <w:tcW w:w="771"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192</w:t>
            </w:r>
          </w:p>
        </w:tc>
        <w:tc>
          <w:tcPr>
            <w:tcW w:w="789"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块</w:t>
            </w:r>
          </w:p>
        </w:tc>
      </w:tr>
      <w:tr>
        <w:tblPrEx>
          <w:tblLayout w:type="fixed"/>
          <w:tblCellMar>
            <w:top w:w="0" w:type="dxa"/>
            <w:left w:w="108" w:type="dxa"/>
            <w:bottom w:w="0" w:type="dxa"/>
            <w:right w:w="108" w:type="dxa"/>
          </w:tblCellMar>
        </w:tblPrEx>
        <w:trPr>
          <w:trHeight w:val="31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4"/>
              </w:numPr>
              <w:spacing w:line="25" w:lineRule="atLeast"/>
              <w:jc w:val="center"/>
              <w:rPr>
                <w:rFonts w:hint="eastAsia" w:ascii="宋体" w:hAnsi="宋体" w:eastAsia="宋体"/>
                <w:color w:val="000000"/>
                <w:kern w:val="0"/>
                <w:sz w:val="24"/>
                <w:szCs w:val="24"/>
              </w:rPr>
            </w:pPr>
          </w:p>
        </w:tc>
        <w:tc>
          <w:tcPr>
            <w:tcW w:w="806"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千兆交换机</w:t>
            </w:r>
          </w:p>
        </w:tc>
        <w:tc>
          <w:tcPr>
            <w:tcW w:w="5948" w:type="dxa"/>
            <w:tcBorders>
              <w:top w:val="nil"/>
              <w:left w:val="nil"/>
              <w:bottom w:val="single" w:color="auto" w:sz="4" w:space="0"/>
              <w:right w:val="single" w:color="auto" w:sz="4" w:space="0"/>
            </w:tcBorders>
            <w:shd w:val="clear" w:color="auto" w:fill="auto"/>
            <w:noWrap/>
            <w:vAlign w:val="bottom"/>
          </w:tcPr>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1、国产化：采用国产化核心芯片</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2、性能指标：交换容量≥1.3Tbps，包转发率≥280Mpps，如存在双参数，以较小值为准</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3、端口配置：配置千兆电口≥28（含4个 Combo口），≥8个万兆SFP+光口</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4、冗余电源风扇：冗余风扇，冗余电源</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5、IP路由：支持静态路由，RIP，RIPng，OSPF等价路由，VRRP/VRRPv3</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6、流量调度：支持集群或堆叠技术，实现单一界面管理多台设备</w:t>
            </w:r>
          </w:p>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7、管理和监控：支持端口镜像/流镜像</w:t>
            </w:r>
          </w:p>
        </w:tc>
        <w:tc>
          <w:tcPr>
            <w:tcW w:w="771"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1</w:t>
            </w:r>
          </w:p>
        </w:tc>
        <w:tc>
          <w:tcPr>
            <w:tcW w:w="789"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台</w:t>
            </w:r>
          </w:p>
        </w:tc>
      </w:tr>
      <w:tr>
        <w:tblPrEx>
          <w:tblLayout w:type="fixed"/>
          <w:tblCellMar>
            <w:top w:w="0" w:type="dxa"/>
            <w:left w:w="108" w:type="dxa"/>
            <w:bottom w:w="0" w:type="dxa"/>
            <w:right w:w="108" w:type="dxa"/>
          </w:tblCellMar>
        </w:tblPrEx>
        <w:trPr>
          <w:trHeight w:val="31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4"/>
              </w:numPr>
              <w:spacing w:line="25" w:lineRule="atLeast"/>
              <w:jc w:val="center"/>
              <w:rPr>
                <w:rFonts w:hint="eastAsia" w:ascii="宋体" w:hAnsi="宋体" w:eastAsia="宋体"/>
                <w:color w:val="000000"/>
                <w:kern w:val="0"/>
                <w:sz w:val="24"/>
                <w:szCs w:val="24"/>
              </w:rPr>
            </w:pPr>
          </w:p>
        </w:tc>
        <w:tc>
          <w:tcPr>
            <w:tcW w:w="806"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LSUM1CGS8QSSH0</w:t>
            </w:r>
          </w:p>
        </w:tc>
        <w:tc>
          <w:tcPr>
            <w:tcW w:w="5948"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textAlignment w:val="center"/>
              <w:rPr>
                <w:rFonts w:hint="eastAsia" w:ascii="宋体" w:hAnsi="宋体" w:eastAsia="宋体"/>
                <w:color w:val="000000"/>
                <w:kern w:val="0"/>
                <w:sz w:val="24"/>
                <w:szCs w:val="24"/>
              </w:rPr>
            </w:pPr>
            <w:r>
              <w:rPr>
                <w:rFonts w:hint="eastAsia" w:cs="等线"/>
                <w:color w:val="000000"/>
                <w:kern w:val="0"/>
                <w:sz w:val="24"/>
                <w:szCs w:val="24"/>
              </w:rPr>
              <w:t>H3C S10500 8端口100G以太网光接口(QSFP28)+8端口40G/4端口100G以太网光接口模块(QSFP28)(SH)</w:t>
            </w:r>
          </w:p>
        </w:tc>
        <w:tc>
          <w:tcPr>
            <w:tcW w:w="771"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2</w:t>
            </w:r>
          </w:p>
        </w:tc>
        <w:tc>
          <w:tcPr>
            <w:tcW w:w="789"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台</w:t>
            </w:r>
          </w:p>
        </w:tc>
      </w:tr>
      <w:tr>
        <w:tblPrEx>
          <w:tblLayout w:type="fixed"/>
          <w:tblCellMar>
            <w:top w:w="0" w:type="dxa"/>
            <w:left w:w="108" w:type="dxa"/>
            <w:bottom w:w="0" w:type="dxa"/>
            <w:right w:w="108" w:type="dxa"/>
          </w:tblCellMar>
        </w:tblPrEx>
        <w:trPr>
          <w:trHeight w:val="56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4"/>
              </w:numPr>
              <w:spacing w:line="25" w:lineRule="atLeast"/>
              <w:jc w:val="center"/>
              <w:rPr>
                <w:rFonts w:hint="eastAsia" w:ascii="宋体" w:hAnsi="宋体" w:eastAsia="宋体"/>
                <w:color w:val="000000"/>
                <w:kern w:val="0"/>
                <w:sz w:val="24"/>
                <w:szCs w:val="24"/>
              </w:rPr>
            </w:pPr>
          </w:p>
        </w:tc>
        <w:tc>
          <w:tcPr>
            <w:tcW w:w="806"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QSFP-40G-LR4-WDM1300</w:t>
            </w:r>
          </w:p>
        </w:tc>
        <w:tc>
          <w:tcPr>
            <w:tcW w:w="5948"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textAlignment w:val="center"/>
              <w:rPr>
                <w:rFonts w:hint="eastAsia" w:ascii="宋体" w:hAnsi="宋体" w:eastAsia="宋体"/>
                <w:color w:val="000000"/>
                <w:kern w:val="0"/>
                <w:sz w:val="24"/>
                <w:szCs w:val="24"/>
              </w:rPr>
            </w:pPr>
            <w:r>
              <w:rPr>
                <w:rFonts w:hint="eastAsia" w:cs="等线"/>
                <w:color w:val="000000"/>
                <w:kern w:val="0"/>
                <w:sz w:val="24"/>
                <w:szCs w:val="24"/>
              </w:rPr>
              <w:t>QSFP+ 40G光模块(1310nm,10km,LR4,LC)</w:t>
            </w:r>
          </w:p>
        </w:tc>
        <w:tc>
          <w:tcPr>
            <w:tcW w:w="771"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4</w:t>
            </w:r>
          </w:p>
        </w:tc>
        <w:tc>
          <w:tcPr>
            <w:tcW w:w="789"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台</w:t>
            </w:r>
          </w:p>
        </w:tc>
      </w:tr>
      <w:tr>
        <w:tblPrEx>
          <w:tblLayout w:type="fixed"/>
          <w:tblCellMar>
            <w:top w:w="0" w:type="dxa"/>
            <w:left w:w="108" w:type="dxa"/>
            <w:bottom w:w="0" w:type="dxa"/>
            <w:right w:w="108" w:type="dxa"/>
          </w:tblCellMar>
        </w:tblPrEx>
        <w:trPr>
          <w:trHeight w:val="56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4"/>
              </w:numPr>
              <w:spacing w:line="25" w:lineRule="atLeast"/>
              <w:jc w:val="center"/>
              <w:rPr>
                <w:rFonts w:hint="eastAsia" w:ascii="宋体" w:hAnsi="宋体" w:eastAsia="宋体"/>
                <w:color w:val="000000"/>
                <w:kern w:val="0"/>
                <w:sz w:val="24"/>
                <w:szCs w:val="24"/>
              </w:rPr>
            </w:pPr>
          </w:p>
        </w:tc>
        <w:tc>
          <w:tcPr>
            <w:tcW w:w="806"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QSFP-100G-SWDM4-MM850</w:t>
            </w:r>
          </w:p>
        </w:tc>
        <w:tc>
          <w:tcPr>
            <w:tcW w:w="5948"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textAlignment w:val="center"/>
              <w:rPr>
                <w:rFonts w:hint="eastAsia" w:ascii="宋体" w:hAnsi="宋体" w:eastAsia="宋体"/>
                <w:color w:val="000000"/>
                <w:kern w:val="0"/>
                <w:sz w:val="24"/>
                <w:szCs w:val="24"/>
              </w:rPr>
            </w:pPr>
            <w:r>
              <w:rPr>
                <w:rFonts w:hint="eastAsia" w:cs="等线"/>
                <w:color w:val="000000"/>
                <w:kern w:val="0"/>
                <w:sz w:val="24"/>
                <w:szCs w:val="24"/>
              </w:rPr>
              <w:t>100G QSFP28光模块-(850nm,100m OM4,SWDM4,LC)</w:t>
            </w:r>
          </w:p>
        </w:tc>
        <w:tc>
          <w:tcPr>
            <w:tcW w:w="771"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4</w:t>
            </w:r>
          </w:p>
        </w:tc>
        <w:tc>
          <w:tcPr>
            <w:tcW w:w="789"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台</w:t>
            </w:r>
          </w:p>
        </w:tc>
      </w:tr>
      <w:tr>
        <w:tblPrEx>
          <w:tblLayout w:type="fixed"/>
          <w:tblCellMar>
            <w:top w:w="0" w:type="dxa"/>
            <w:left w:w="108" w:type="dxa"/>
            <w:bottom w:w="0" w:type="dxa"/>
            <w:right w:w="108" w:type="dxa"/>
          </w:tblCellMar>
        </w:tblPrEx>
        <w:trPr>
          <w:trHeight w:val="56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4"/>
              </w:numPr>
              <w:spacing w:line="25" w:lineRule="atLeast"/>
              <w:jc w:val="center"/>
              <w:rPr>
                <w:rFonts w:hint="eastAsia" w:ascii="宋体" w:hAnsi="宋体" w:eastAsia="宋体"/>
                <w:color w:val="000000"/>
                <w:kern w:val="0"/>
                <w:sz w:val="24"/>
                <w:szCs w:val="24"/>
              </w:rPr>
            </w:pPr>
          </w:p>
        </w:tc>
        <w:tc>
          <w:tcPr>
            <w:tcW w:w="806"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QSFP-100G-LR4-WDM1300</w:t>
            </w:r>
          </w:p>
        </w:tc>
        <w:tc>
          <w:tcPr>
            <w:tcW w:w="5948"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textAlignment w:val="center"/>
              <w:rPr>
                <w:rFonts w:hint="eastAsia" w:ascii="宋体" w:hAnsi="宋体" w:eastAsia="宋体"/>
                <w:color w:val="000000"/>
                <w:kern w:val="0"/>
                <w:sz w:val="24"/>
                <w:szCs w:val="24"/>
              </w:rPr>
            </w:pPr>
            <w:r>
              <w:rPr>
                <w:rFonts w:hint="eastAsia" w:cs="等线"/>
                <w:color w:val="000000"/>
                <w:kern w:val="0"/>
                <w:sz w:val="24"/>
                <w:szCs w:val="24"/>
              </w:rPr>
              <w:t>100G QSFP28光模块(1310nm,10km,LR4,WDM,LC)</w:t>
            </w:r>
          </w:p>
        </w:tc>
        <w:tc>
          <w:tcPr>
            <w:tcW w:w="771"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2</w:t>
            </w:r>
          </w:p>
        </w:tc>
        <w:tc>
          <w:tcPr>
            <w:tcW w:w="789"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台</w:t>
            </w:r>
          </w:p>
        </w:tc>
      </w:tr>
      <w:tr>
        <w:tblPrEx>
          <w:tblLayout w:type="fixed"/>
          <w:tblCellMar>
            <w:top w:w="0" w:type="dxa"/>
            <w:left w:w="108" w:type="dxa"/>
            <w:bottom w:w="0" w:type="dxa"/>
            <w:right w:w="108" w:type="dxa"/>
          </w:tblCellMar>
        </w:tblPrEx>
        <w:trPr>
          <w:trHeight w:val="31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4"/>
              </w:numPr>
              <w:spacing w:line="25" w:lineRule="atLeast"/>
              <w:jc w:val="center"/>
              <w:rPr>
                <w:rFonts w:hint="eastAsia" w:ascii="宋体" w:hAnsi="宋体" w:eastAsia="宋体"/>
                <w:color w:val="000000"/>
                <w:kern w:val="0"/>
                <w:sz w:val="24"/>
                <w:szCs w:val="24"/>
              </w:rPr>
            </w:pPr>
          </w:p>
        </w:tc>
        <w:tc>
          <w:tcPr>
            <w:tcW w:w="806"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系统调试</w:t>
            </w:r>
          </w:p>
        </w:tc>
        <w:tc>
          <w:tcPr>
            <w:tcW w:w="5948" w:type="dxa"/>
            <w:tcBorders>
              <w:top w:val="nil"/>
              <w:left w:val="nil"/>
              <w:bottom w:val="single" w:color="auto" w:sz="4" w:space="0"/>
              <w:right w:val="single" w:color="auto" w:sz="4" w:space="0"/>
            </w:tcBorders>
            <w:shd w:val="clear" w:color="auto" w:fill="auto"/>
            <w:noWrap/>
            <w:vAlign w:val="bottom"/>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包含：运输、安装上架、调试等</w:t>
            </w:r>
          </w:p>
        </w:tc>
        <w:tc>
          <w:tcPr>
            <w:tcW w:w="771"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1</w:t>
            </w:r>
          </w:p>
        </w:tc>
        <w:tc>
          <w:tcPr>
            <w:tcW w:w="789"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项</w:t>
            </w:r>
          </w:p>
        </w:tc>
      </w:tr>
      <w:tr>
        <w:tblPrEx>
          <w:tblLayout w:type="fixed"/>
          <w:tblCellMar>
            <w:top w:w="0" w:type="dxa"/>
            <w:left w:w="108" w:type="dxa"/>
            <w:bottom w:w="0" w:type="dxa"/>
            <w:right w:w="108" w:type="dxa"/>
          </w:tblCellMar>
        </w:tblPrEx>
        <w:trPr>
          <w:trHeight w:val="31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4"/>
              </w:numPr>
              <w:spacing w:line="25" w:lineRule="atLeast"/>
              <w:jc w:val="center"/>
              <w:rPr>
                <w:rFonts w:hint="eastAsia" w:ascii="宋体" w:hAnsi="宋体" w:eastAsia="宋体"/>
                <w:color w:val="000000"/>
                <w:kern w:val="0"/>
                <w:sz w:val="24"/>
                <w:szCs w:val="24"/>
              </w:rPr>
            </w:pPr>
          </w:p>
        </w:tc>
        <w:tc>
          <w:tcPr>
            <w:tcW w:w="806"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人员保障</w:t>
            </w:r>
          </w:p>
        </w:tc>
        <w:tc>
          <w:tcPr>
            <w:tcW w:w="5948" w:type="dxa"/>
            <w:tcBorders>
              <w:top w:val="nil"/>
              <w:left w:val="nil"/>
              <w:bottom w:val="single" w:color="auto" w:sz="4" w:space="0"/>
              <w:right w:val="single" w:color="auto" w:sz="4" w:space="0"/>
            </w:tcBorders>
            <w:shd w:val="clear" w:color="auto" w:fill="auto"/>
            <w:noWrap/>
            <w:vAlign w:val="bottom"/>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提供7*24小时响应运维服务，定期提交巡检报告</w:t>
            </w: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项</w:t>
            </w:r>
          </w:p>
        </w:tc>
      </w:tr>
    </w:tbl>
    <w:p>
      <w:pPr>
        <w:pStyle w:val="4"/>
        <w:rPr>
          <w:rFonts w:hint="eastAsia"/>
          <w:lang w:eastAsia="zh-CN"/>
        </w:rPr>
      </w:pPr>
    </w:p>
    <w:p>
      <w:pPr>
        <w:spacing w:line="360" w:lineRule="auto"/>
        <w:jc w:val="both"/>
        <w:outlineLvl w:val="0"/>
        <w:rPr>
          <w:rFonts w:hint="eastAsia" w:ascii="宋体" w:hAnsi="宋体" w:eastAsia="宋体" w:cs="宋体"/>
          <w:b/>
          <w:color w:val="000000"/>
          <w:sz w:val="24"/>
          <w:szCs w:val="24"/>
          <w:lang w:val="en-US" w:eastAsia="zh-CN"/>
        </w:rPr>
      </w:pPr>
      <w:r>
        <w:rPr>
          <w:rFonts w:hint="eastAsia" w:ascii="宋体" w:hAnsi="宋体" w:cs="宋体"/>
          <w:b/>
          <w:color w:val="000000"/>
          <w:sz w:val="24"/>
          <w:szCs w:val="24"/>
          <w:lang w:eastAsia="zh-CN"/>
        </w:rPr>
        <w:t>后台算力服务器及存储租赁服务项目</w:t>
      </w:r>
      <w:r>
        <w:rPr>
          <w:rFonts w:hint="eastAsia" w:ascii="宋体" w:hAnsi="宋体" w:eastAsia="宋体" w:cs="宋体"/>
          <w:b/>
          <w:color w:val="000000"/>
          <w:sz w:val="24"/>
          <w:szCs w:val="24"/>
          <w:lang w:val="en-US" w:eastAsia="zh-CN"/>
        </w:rPr>
        <w:t>标项二</w:t>
      </w:r>
    </w:p>
    <w:p>
      <w:pPr>
        <w:pStyle w:val="4"/>
        <w:rPr>
          <w:rFonts w:hint="eastAsia" w:ascii="宋体" w:hAnsi="宋体" w:eastAsia="宋体" w:cs="宋体"/>
          <w:sz w:val="24"/>
          <w:szCs w:val="24"/>
          <w:lang w:val="en-US" w:eastAsia="zh-CN"/>
        </w:rPr>
      </w:pPr>
      <w:r>
        <w:rPr>
          <w:rFonts w:hint="eastAsia" w:ascii="宋体" w:hAnsi="宋体" w:eastAsia="宋体" w:cs="宋体"/>
          <w:b/>
          <w:color w:val="000000"/>
          <w:sz w:val="24"/>
          <w:szCs w:val="24"/>
          <w:lang w:val="en-US" w:eastAsia="zh-CN"/>
        </w:rPr>
        <w:t>预算18万</w:t>
      </w:r>
    </w:p>
    <w:p>
      <w:pPr>
        <w:pStyle w:val="37"/>
        <w:spacing w:line="360" w:lineRule="auto"/>
        <w:ind w:firstLine="0" w:firstLineChars="0"/>
        <w:rPr>
          <w:b/>
          <w:color w:val="000000"/>
          <w:sz w:val="24"/>
        </w:rPr>
      </w:pPr>
      <w:r>
        <w:rPr>
          <w:rFonts w:hint="eastAsia"/>
          <w:b/>
          <w:color w:val="000000"/>
          <w:sz w:val="24"/>
        </w:rPr>
        <w:t>一、</w:t>
      </w:r>
      <w:r>
        <w:rPr>
          <w:b/>
          <w:color w:val="000000"/>
          <w:sz w:val="24"/>
        </w:rPr>
        <w:t>项目概况及建设内容</w:t>
      </w:r>
    </w:p>
    <w:p>
      <w:pPr>
        <w:spacing w:before="156" w:beforeLines="50" w:after="156" w:afterLines="50" w:line="360" w:lineRule="auto"/>
        <w:ind w:firstLine="480" w:firstLineChars="200"/>
        <w:rPr>
          <w:sz w:val="24"/>
        </w:rPr>
      </w:pPr>
      <w:r>
        <w:rPr>
          <w:rFonts w:hint="eastAsia"/>
          <w:sz w:val="24"/>
        </w:rPr>
        <w:t>为进一步提升临平公安后台算力及存储能力，满足实战应用需求。结合临平实际，拟在原天网工程6000路存储基础上扩建12000路存储，实现视频监控存储总量达到18000路目标，并扩建不少于68张国产GPU卡的智能解析算力。为确保达到以上需求，本项目通过购买服务的方式，对后端资源进行扩容建设，并匹配对应的云存储设备、智能解析设备、网络交换设备及配套的视频接入转发中心等基础设施，为视图智能应用建设提供基础，赋能临平公安数字实战警务实践。。</w:t>
      </w:r>
    </w:p>
    <w:p>
      <w:pPr>
        <w:spacing w:before="156" w:beforeLines="50" w:after="156" w:afterLines="50" w:line="360" w:lineRule="auto"/>
        <w:ind w:firstLine="480" w:firstLineChars="200"/>
        <w:rPr>
          <w:sz w:val="24"/>
        </w:rPr>
      </w:pPr>
      <w:r>
        <w:rPr>
          <w:rFonts w:hint="eastAsia"/>
          <w:sz w:val="24"/>
        </w:rPr>
        <w:t>本项目采用租赁方式为杭州市公安局临平区分局提供公安专网视图存储扩容服务及智能后端扩容服务，主要包括扩容云存储池扩容智能解析算力资源及相关配套基础设施内容。</w:t>
      </w:r>
    </w:p>
    <w:p>
      <w:pPr>
        <w:spacing w:before="156" w:beforeLines="50" w:after="156" w:afterLines="50" w:line="360" w:lineRule="auto"/>
        <w:ind w:firstLine="480" w:firstLineChars="200"/>
        <w:rPr>
          <w:sz w:val="24"/>
        </w:rPr>
      </w:pPr>
      <w:r>
        <w:rPr>
          <w:rFonts w:hint="eastAsia"/>
          <w:sz w:val="24"/>
        </w:rPr>
        <w:t>1.扩容云存储存储池</w:t>
      </w:r>
    </w:p>
    <w:p>
      <w:pPr>
        <w:spacing w:before="156" w:beforeLines="50" w:after="156" w:afterLines="50" w:line="360" w:lineRule="auto"/>
        <w:ind w:firstLine="480" w:firstLineChars="200"/>
        <w:rPr>
          <w:sz w:val="24"/>
        </w:rPr>
      </w:pPr>
      <w:r>
        <w:rPr>
          <w:rFonts w:hint="eastAsia"/>
          <w:sz w:val="24"/>
        </w:rPr>
        <w:t>在分局扩容12000路视频监控的要求下，扩容云存储存储池。在视频专网按照4M码流，存储30天的标准存储视频监控，提供至少16.875PB的存储空间；在公安网内，按照大小图存180天的标准，提供至少5.625PB的存储空间；即总计需提供至少22.5PB的存储空间。</w:t>
      </w:r>
    </w:p>
    <w:p>
      <w:pPr>
        <w:spacing w:before="156" w:beforeLines="50" w:after="156" w:afterLines="50" w:line="360" w:lineRule="auto"/>
        <w:ind w:firstLine="480" w:firstLineChars="200"/>
        <w:rPr>
          <w:sz w:val="24"/>
        </w:rPr>
      </w:pPr>
      <w:r>
        <w:rPr>
          <w:rFonts w:hint="eastAsia"/>
          <w:sz w:val="24"/>
        </w:rPr>
        <w:t>2.扩容智能解析算力资源</w:t>
      </w:r>
    </w:p>
    <w:p>
      <w:pPr>
        <w:spacing w:before="156" w:beforeLines="50" w:after="156" w:afterLines="50" w:line="360" w:lineRule="auto"/>
        <w:ind w:firstLine="480" w:firstLineChars="200"/>
        <w:rPr>
          <w:sz w:val="24"/>
        </w:rPr>
      </w:pPr>
      <w:r>
        <w:rPr>
          <w:rFonts w:hint="eastAsia"/>
          <w:sz w:val="24"/>
        </w:rPr>
        <w:t>本项目扩容的智能解析算力资源，将服务于公安实战，要求提供总计不少于68张国产GPU卡。</w:t>
      </w:r>
    </w:p>
    <w:p>
      <w:pPr>
        <w:spacing w:before="156" w:beforeLines="50" w:after="156" w:afterLines="50" w:line="360" w:lineRule="auto"/>
        <w:ind w:firstLine="480" w:firstLineChars="200"/>
        <w:rPr>
          <w:sz w:val="24"/>
        </w:rPr>
      </w:pPr>
      <w:r>
        <w:rPr>
          <w:rFonts w:hint="eastAsia"/>
          <w:sz w:val="24"/>
        </w:rPr>
        <w:t>3．扩容配套视频接入转发中心基础设施</w:t>
      </w:r>
    </w:p>
    <w:p>
      <w:pPr>
        <w:spacing w:before="156" w:beforeLines="50" w:after="156" w:afterLines="50" w:line="360" w:lineRule="auto"/>
        <w:ind w:firstLine="480" w:firstLineChars="200"/>
        <w:rPr>
          <w:sz w:val="24"/>
        </w:rPr>
      </w:pPr>
      <w:r>
        <w:rPr>
          <w:rFonts w:hint="eastAsia"/>
          <w:sz w:val="24"/>
        </w:rPr>
        <w:t>结合本项目业务需求，增加5台大数据服务器、4台摆渡服务器、3台数据自助分析节点、1台应用服务器、3台流媒体服务器以及对应的交换机、安全设备等，优化临平分局视频接入转发中心基础设施支撑配套。</w:t>
      </w:r>
    </w:p>
    <w:p>
      <w:pPr>
        <w:spacing w:before="156" w:beforeLines="50" w:after="156" w:afterLines="50" w:line="360" w:lineRule="auto"/>
        <w:ind w:firstLine="480" w:firstLineChars="200"/>
        <w:rPr>
          <w:sz w:val="24"/>
        </w:rPr>
      </w:pPr>
      <w:r>
        <w:rPr>
          <w:rFonts w:hint="eastAsia"/>
          <w:sz w:val="24"/>
        </w:rPr>
        <w:t>监理</w:t>
      </w:r>
      <w:r>
        <w:rPr>
          <w:sz w:val="24"/>
        </w:rPr>
        <w:t>服务期：</w:t>
      </w:r>
      <w:r>
        <w:rPr>
          <w:rFonts w:hint="eastAsia"/>
          <w:sz w:val="24"/>
        </w:rPr>
        <w:t>自合同签订生效之日起，至</w:t>
      </w:r>
      <w:r>
        <w:rPr>
          <w:rFonts w:hint="eastAsia" w:ascii="宋体" w:hAnsi="宋体"/>
          <w:sz w:val="24"/>
        </w:rPr>
        <w:t>所监理项目建设通过验收（终验）时止。</w:t>
      </w:r>
    </w:p>
    <w:p>
      <w:pPr>
        <w:pageBreakBefore/>
        <w:spacing w:line="360" w:lineRule="auto"/>
        <w:rPr>
          <w:b/>
          <w:color w:val="000000"/>
          <w:sz w:val="24"/>
        </w:rPr>
      </w:pPr>
      <w:r>
        <w:rPr>
          <w:rFonts w:hint="eastAsia"/>
          <w:b/>
          <w:color w:val="000000"/>
          <w:sz w:val="24"/>
        </w:rPr>
        <w:t>二、</w:t>
      </w:r>
      <w:r>
        <w:rPr>
          <w:b/>
          <w:color w:val="000000"/>
          <w:sz w:val="24"/>
        </w:rPr>
        <w:t>监理服务内容</w:t>
      </w:r>
    </w:p>
    <w:p>
      <w:pPr>
        <w:spacing w:before="156" w:beforeLines="50" w:after="156" w:afterLines="50" w:line="360" w:lineRule="auto"/>
        <w:ind w:firstLine="480" w:firstLineChars="200"/>
        <w:rPr>
          <w:sz w:val="24"/>
        </w:rPr>
      </w:pPr>
      <w:r>
        <w:rPr>
          <w:sz w:val="24"/>
        </w:rPr>
        <w:t>根据项目建设目标和要求，遵循国家、省信息系统项目建设和监理的标准和规范，按照“四控、三管、一协调”的原则，对照项目建设合同和用户需求，为项目提供全过程监理。具体包括：制订监理规划；确保项目质量、进度和投资计划的顺利实施；做好项目建设进度跟踪控制，督促项目顺利进行；做好项目有关文档的起草、管理和归档等工作，确保项目规范实施；协调项目涉及的各承建单位之间的工作关系；针对项目建设情况，提出合理化的改进建议，协助项目建设内容“按期、保质、高效、节约”完成；协助项目验收等服务工作</w:t>
      </w:r>
      <w:r>
        <w:rPr>
          <w:rFonts w:hint="eastAsia"/>
          <w:sz w:val="24"/>
        </w:rPr>
        <w:t>；协助、配合项目审计工作。</w:t>
      </w:r>
    </w:p>
    <w:p>
      <w:pPr>
        <w:spacing w:line="360" w:lineRule="auto"/>
        <w:ind w:firstLine="480" w:firstLineChars="200"/>
        <w:rPr>
          <w:sz w:val="24"/>
          <w:szCs w:val="32"/>
        </w:rPr>
      </w:pPr>
      <w:r>
        <w:rPr>
          <w:rFonts w:hint="eastAsia"/>
          <w:sz w:val="24"/>
          <w:szCs w:val="32"/>
        </w:rPr>
        <w:t>注：本项目采购服务的供应商将提供全过程监理服务，以下文档中，提供全过程监理服务的供应商，简称为“监理单位”；采购全过程监理服务的单位，简称为“建设单位”；项目实施单位，简称为“承建单位”。</w:t>
      </w:r>
    </w:p>
    <w:p>
      <w:pPr>
        <w:spacing w:before="156" w:beforeLines="50" w:after="156" w:afterLines="50" w:line="360" w:lineRule="auto"/>
        <w:ind w:firstLine="480" w:firstLineChars="200"/>
        <w:rPr>
          <w:sz w:val="24"/>
        </w:rPr>
      </w:pPr>
      <w:r>
        <w:rPr>
          <w:rFonts w:hint="eastAsia"/>
          <w:sz w:val="24"/>
        </w:rPr>
        <w:t>2.1</w:t>
      </w:r>
      <w:r>
        <w:rPr>
          <w:sz w:val="24"/>
        </w:rPr>
        <w:t>主要监理内容</w:t>
      </w:r>
    </w:p>
    <w:p>
      <w:pPr>
        <w:spacing w:line="360" w:lineRule="auto"/>
        <w:rPr>
          <w:b/>
          <w:sz w:val="24"/>
        </w:rPr>
      </w:pPr>
      <w:r>
        <w:rPr>
          <w:rFonts w:hint="eastAsia"/>
          <w:b/>
          <w:sz w:val="24"/>
        </w:rPr>
        <w:t>1</w:t>
      </w:r>
      <w:r>
        <w:rPr>
          <w:b/>
          <w:sz w:val="24"/>
        </w:rPr>
        <w:t>、项目组织及技术总体方案的把关</w:t>
      </w:r>
    </w:p>
    <w:p>
      <w:pPr>
        <w:tabs>
          <w:tab w:val="left" w:pos="-3060"/>
        </w:tabs>
        <w:snapToGrid w:val="0"/>
        <w:spacing w:line="360" w:lineRule="auto"/>
        <w:ind w:firstLine="480" w:firstLineChars="200"/>
        <w:rPr>
          <w:sz w:val="24"/>
        </w:rPr>
      </w:pPr>
      <w:r>
        <w:rPr>
          <w:sz w:val="24"/>
        </w:rPr>
        <w:t>1）参与项目需求、招标文件等制订和审核；</w:t>
      </w:r>
    </w:p>
    <w:p>
      <w:pPr>
        <w:tabs>
          <w:tab w:val="left" w:pos="-3060"/>
        </w:tabs>
        <w:snapToGrid w:val="0"/>
        <w:spacing w:line="360" w:lineRule="auto"/>
        <w:ind w:firstLine="480" w:firstLineChars="200"/>
        <w:rPr>
          <w:sz w:val="24"/>
        </w:rPr>
      </w:pPr>
      <w:r>
        <w:rPr>
          <w:sz w:val="24"/>
        </w:rPr>
        <w:t>2）参与项目施工合同的洽商和签订工作；</w:t>
      </w:r>
    </w:p>
    <w:p>
      <w:pPr>
        <w:tabs>
          <w:tab w:val="left" w:pos="-3060"/>
        </w:tabs>
        <w:snapToGrid w:val="0"/>
        <w:spacing w:line="360" w:lineRule="auto"/>
        <w:ind w:firstLine="480" w:firstLineChars="200"/>
        <w:rPr>
          <w:sz w:val="24"/>
        </w:rPr>
      </w:pPr>
      <w:r>
        <w:rPr>
          <w:sz w:val="24"/>
        </w:rPr>
        <w:t>3）审核</w:t>
      </w:r>
      <w:r>
        <w:rPr>
          <w:rFonts w:hint="eastAsia"/>
          <w:sz w:val="24"/>
        </w:rPr>
        <w:t>和</w:t>
      </w:r>
      <w:r>
        <w:rPr>
          <w:sz w:val="24"/>
        </w:rPr>
        <w:t>确认承建单位的总体设计方案（深化设计方案）；</w:t>
      </w:r>
    </w:p>
    <w:p>
      <w:pPr>
        <w:tabs>
          <w:tab w:val="left" w:pos="-3060"/>
        </w:tabs>
        <w:snapToGrid w:val="0"/>
        <w:spacing w:line="360" w:lineRule="auto"/>
        <w:ind w:firstLine="480" w:firstLineChars="200"/>
        <w:rPr>
          <w:sz w:val="24"/>
        </w:rPr>
      </w:pPr>
      <w:r>
        <w:rPr>
          <w:sz w:val="24"/>
        </w:rPr>
        <w:t>4）审核</w:t>
      </w:r>
      <w:r>
        <w:rPr>
          <w:rFonts w:hint="eastAsia"/>
          <w:sz w:val="24"/>
        </w:rPr>
        <w:t>和</w:t>
      </w:r>
      <w:r>
        <w:rPr>
          <w:sz w:val="24"/>
        </w:rPr>
        <w:t>确认项目建设过程中的各种关键技术方案；</w:t>
      </w:r>
    </w:p>
    <w:p>
      <w:pPr>
        <w:tabs>
          <w:tab w:val="left" w:pos="-3060"/>
        </w:tabs>
        <w:snapToGrid w:val="0"/>
        <w:spacing w:line="360" w:lineRule="auto"/>
        <w:ind w:firstLine="480" w:firstLineChars="200"/>
        <w:rPr>
          <w:sz w:val="24"/>
        </w:rPr>
      </w:pPr>
      <w:r>
        <w:rPr>
          <w:sz w:val="24"/>
        </w:rPr>
        <w:t>5）审核</w:t>
      </w:r>
      <w:r>
        <w:rPr>
          <w:rFonts w:hint="eastAsia"/>
          <w:sz w:val="24"/>
        </w:rPr>
        <w:t>和</w:t>
      </w:r>
      <w:r>
        <w:rPr>
          <w:sz w:val="24"/>
        </w:rPr>
        <w:t>确认承建单位的实施方案、《项目计划》等；</w:t>
      </w:r>
    </w:p>
    <w:p>
      <w:pPr>
        <w:tabs>
          <w:tab w:val="left" w:pos="-3060"/>
        </w:tabs>
        <w:snapToGrid w:val="0"/>
        <w:spacing w:line="360" w:lineRule="auto"/>
        <w:ind w:firstLine="480" w:firstLineChars="200"/>
        <w:rPr>
          <w:sz w:val="24"/>
        </w:rPr>
      </w:pPr>
      <w:r>
        <w:rPr>
          <w:sz w:val="24"/>
        </w:rPr>
        <w:t>6）审核</w:t>
      </w:r>
      <w:r>
        <w:rPr>
          <w:rFonts w:hint="eastAsia"/>
          <w:sz w:val="24"/>
        </w:rPr>
        <w:t>和</w:t>
      </w:r>
      <w:r>
        <w:rPr>
          <w:sz w:val="24"/>
        </w:rPr>
        <w:t>确认承建单位的项目质量保证计划、质量控制体系（含质量控制的关键性节点）；</w:t>
      </w:r>
    </w:p>
    <w:p>
      <w:pPr>
        <w:tabs>
          <w:tab w:val="left" w:pos="-3060"/>
        </w:tabs>
        <w:snapToGrid w:val="0"/>
        <w:spacing w:line="360" w:lineRule="auto"/>
        <w:ind w:firstLine="480" w:firstLineChars="200"/>
        <w:rPr>
          <w:sz w:val="24"/>
        </w:rPr>
      </w:pPr>
      <w:r>
        <w:rPr>
          <w:rFonts w:hint="eastAsia"/>
          <w:sz w:val="24"/>
        </w:rPr>
        <w:t>7</w:t>
      </w:r>
      <w:r>
        <w:rPr>
          <w:sz w:val="24"/>
        </w:rPr>
        <w:t>）审核</w:t>
      </w:r>
      <w:r>
        <w:rPr>
          <w:rFonts w:hint="eastAsia"/>
          <w:sz w:val="24"/>
        </w:rPr>
        <w:t>和</w:t>
      </w:r>
      <w:r>
        <w:rPr>
          <w:sz w:val="24"/>
        </w:rPr>
        <w:t>确认承建单位的系统测试、培训和试运行计划；</w:t>
      </w:r>
    </w:p>
    <w:p>
      <w:pPr>
        <w:tabs>
          <w:tab w:val="left" w:pos="-3060"/>
        </w:tabs>
        <w:snapToGrid w:val="0"/>
        <w:spacing w:line="360" w:lineRule="auto"/>
        <w:ind w:firstLine="480" w:firstLineChars="200"/>
        <w:rPr>
          <w:sz w:val="24"/>
        </w:rPr>
      </w:pPr>
      <w:r>
        <w:rPr>
          <w:rFonts w:hint="eastAsia"/>
          <w:sz w:val="24"/>
        </w:rPr>
        <w:t>8</w:t>
      </w:r>
      <w:r>
        <w:rPr>
          <w:sz w:val="24"/>
        </w:rPr>
        <w:t>）审核</w:t>
      </w:r>
      <w:r>
        <w:rPr>
          <w:rFonts w:hint="eastAsia"/>
          <w:sz w:val="24"/>
        </w:rPr>
        <w:t>和</w:t>
      </w:r>
      <w:r>
        <w:rPr>
          <w:sz w:val="24"/>
        </w:rPr>
        <w:t>确认承建单位的项目进度计划和进度控制节点。</w:t>
      </w:r>
    </w:p>
    <w:p>
      <w:pPr>
        <w:spacing w:line="360" w:lineRule="auto"/>
        <w:rPr>
          <w:b/>
          <w:sz w:val="24"/>
        </w:rPr>
      </w:pPr>
      <w:r>
        <w:rPr>
          <w:rFonts w:hint="eastAsia"/>
          <w:b/>
          <w:sz w:val="24"/>
        </w:rPr>
        <w:t>2</w:t>
      </w:r>
      <w:r>
        <w:rPr>
          <w:b/>
          <w:sz w:val="24"/>
        </w:rPr>
        <w:t>、项目质量控制</w:t>
      </w:r>
    </w:p>
    <w:p>
      <w:pPr>
        <w:tabs>
          <w:tab w:val="left" w:pos="-3060"/>
        </w:tabs>
        <w:snapToGrid w:val="0"/>
        <w:spacing w:line="360" w:lineRule="auto"/>
        <w:rPr>
          <w:sz w:val="24"/>
        </w:rPr>
      </w:pPr>
      <w:r>
        <w:rPr>
          <w:sz w:val="24"/>
        </w:rPr>
        <w:t>（1）系统集成质量的控制</w:t>
      </w:r>
    </w:p>
    <w:p>
      <w:pPr>
        <w:tabs>
          <w:tab w:val="left" w:pos="-3060"/>
        </w:tabs>
        <w:snapToGrid w:val="0"/>
        <w:spacing w:line="360" w:lineRule="auto"/>
        <w:ind w:firstLine="480" w:firstLineChars="200"/>
        <w:rPr>
          <w:sz w:val="24"/>
        </w:rPr>
      </w:pPr>
      <w:r>
        <w:rPr>
          <w:sz w:val="24"/>
        </w:rPr>
        <w:t xml:space="preserve">1）系统集成方案的审核和确认； </w:t>
      </w:r>
    </w:p>
    <w:p>
      <w:pPr>
        <w:tabs>
          <w:tab w:val="left" w:pos="-3060"/>
        </w:tabs>
        <w:snapToGrid w:val="0"/>
        <w:spacing w:line="360" w:lineRule="auto"/>
        <w:ind w:firstLine="480" w:firstLineChars="200"/>
        <w:rPr>
          <w:sz w:val="24"/>
        </w:rPr>
      </w:pPr>
      <w:r>
        <w:rPr>
          <w:sz w:val="24"/>
        </w:rPr>
        <w:t>2）审核关键设备、系统软件选型方案，</w:t>
      </w:r>
      <w:r>
        <w:rPr>
          <w:rFonts w:hint="eastAsia"/>
          <w:sz w:val="24"/>
        </w:rPr>
        <w:t>协助承建单位和建设单位进行选型</w:t>
      </w:r>
      <w:r>
        <w:rPr>
          <w:sz w:val="24"/>
        </w:rPr>
        <w:t>；</w:t>
      </w:r>
    </w:p>
    <w:p>
      <w:pPr>
        <w:tabs>
          <w:tab w:val="left" w:pos="-3060"/>
        </w:tabs>
        <w:snapToGrid w:val="0"/>
        <w:spacing w:line="360" w:lineRule="auto"/>
        <w:ind w:firstLine="480" w:firstLineChars="200"/>
        <w:rPr>
          <w:sz w:val="24"/>
        </w:rPr>
      </w:pPr>
      <w:r>
        <w:rPr>
          <w:rFonts w:hint="eastAsia"/>
          <w:sz w:val="24"/>
        </w:rPr>
        <w:t>3</w:t>
      </w:r>
      <w:r>
        <w:rPr>
          <w:sz w:val="24"/>
        </w:rPr>
        <w:t>）对采购的硬件设备的质量进行检验、测试和验收；</w:t>
      </w:r>
    </w:p>
    <w:p>
      <w:pPr>
        <w:tabs>
          <w:tab w:val="left" w:pos="-3060"/>
        </w:tabs>
        <w:snapToGrid w:val="0"/>
        <w:spacing w:line="360" w:lineRule="auto"/>
        <w:ind w:firstLine="480" w:firstLineChars="200"/>
        <w:rPr>
          <w:sz w:val="24"/>
        </w:rPr>
      </w:pPr>
      <w:r>
        <w:rPr>
          <w:rFonts w:hint="eastAsia"/>
          <w:sz w:val="24"/>
        </w:rPr>
        <w:t>4</w:t>
      </w:r>
      <w:r>
        <w:rPr>
          <w:sz w:val="24"/>
        </w:rPr>
        <w:t>）对设备安装、系统软件的安装调试进行验收；</w:t>
      </w:r>
    </w:p>
    <w:p>
      <w:pPr>
        <w:tabs>
          <w:tab w:val="left" w:pos="-3060"/>
        </w:tabs>
        <w:snapToGrid w:val="0"/>
        <w:spacing w:line="360" w:lineRule="auto"/>
        <w:ind w:firstLine="480" w:firstLineChars="200"/>
        <w:rPr>
          <w:sz w:val="24"/>
        </w:rPr>
      </w:pPr>
      <w:r>
        <w:rPr>
          <w:rFonts w:hint="eastAsia"/>
          <w:sz w:val="24"/>
        </w:rPr>
        <w:t>5</w:t>
      </w:r>
      <w:r>
        <w:rPr>
          <w:sz w:val="24"/>
        </w:rPr>
        <w:t>）对系统集成进行总体验收。</w:t>
      </w:r>
    </w:p>
    <w:p>
      <w:pPr>
        <w:tabs>
          <w:tab w:val="left" w:pos="-3060"/>
        </w:tabs>
        <w:snapToGrid w:val="0"/>
        <w:spacing w:line="360" w:lineRule="auto"/>
        <w:rPr>
          <w:sz w:val="24"/>
        </w:rPr>
      </w:pPr>
      <w:r>
        <w:rPr>
          <w:sz w:val="24"/>
        </w:rPr>
        <w:t>（</w:t>
      </w:r>
      <w:r>
        <w:rPr>
          <w:rFonts w:hint="eastAsia"/>
          <w:sz w:val="24"/>
        </w:rPr>
        <w:t>2</w:t>
      </w:r>
      <w:r>
        <w:rPr>
          <w:sz w:val="24"/>
        </w:rPr>
        <w:t>）系统应用培训的质量控制</w:t>
      </w:r>
    </w:p>
    <w:p>
      <w:pPr>
        <w:tabs>
          <w:tab w:val="left" w:pos="-3060"/>
        </w:tabs>
        <w:snapToGrid w:val="0"/>
        <w:spacing w:line="360" w:lineRule="auto"/>
        <w:ind w:firstLine="480" w:firstLineChars="200"/>
        <w:rPr>
          <w:sz w:val="24"/>
        </w:rPr>
      </w:pPr>
      <w:r>
        <w:rPr>
          <w:sz w:val="24"/>
        </w:rPr>
        <w:t>1）审核确认承建单位的培训计划；</w:t>
      </w:r>
    </w:p>
    <w:p>
      <w:pPr>
        <w:tabs>
          <w:tab w:val="left" w:pos="-3060"/>
        </w:tabs>
        <w:snapToGrid w:val="0"/>
        <w:spacing w:line="360" w:lineRule="auto"/>
        <w:ind w:firstLine="480" w:firstLineChars="200"/>
        <w:rPr>
          <w:sz w:val="24"/>
        </w:rPr>
      </w:pPr>
      <w:r>
        <w:rPr>
          <w:sz w:val="24"/>
        </w:rPr>
        <w:t>2）监督承建单位实施及培训计划，并征求</w:t>
      </w:r>
      <w:r>
        <w:rPr>
          <w:rFonts w:hint="eastAsia"/>
          <w:sz w:val="24"/>
        </w:rPr>
        <w:t>建设单位</w:t>
      </w:r>
      <w:r>
        <w:rPr>
          <w:sz w:val="24"/>
        </w:rPr>
        <w:t>的意见反馈，协助组织各类培训会；</w:t>
      </w:r>
    </w:p>
    <w:p>
      <w:pPr>
        <w:tabs>
          <w:tab w:val="left" w:pos="-3060"/>
        </w:tabs>
        <w:snapToGrid w:val="0"/>
        <w:spacing w:line="360" w:lineRule="auto"/>
        <w:ind w:firstLine="480" w:firstLineChars="200"/>
        <w:rPr>
          <w:sz w:val="24"/>
        </w:rPr>
      </w:pPr>
      <w:r>
        <w:rPr>
          <w:sz w:val="24"/>
        </w:rPr>
        <w:t>3）审核确认承建单位的培训总结报告。</w:t>
      </w:r>
    </w:p>
    <w:p>
      <w:pPr>
        <w:spacing w:line="360" w:lineRule="auto"/>
        <w:rPr>
          <w:b/>
          <w:sz w:val="24"/>
        </w:rPr>
      </w:pPr>
      <w:r>
        <w:rPr>
          <w:rFonts w:hint="eastAsia"/>
          <w:b/>
          <w:sz w:val="24"/>
        </w:rPr>
        <w:t>3</w:t>
      </w:r>
      <w:r>
        <w:rPr>
          <w:b/>
          <w:sz w:val="24"/>
        </w:rPr>
        <w:t>、项目进度控制</w:t>
      </w:r>
    </w:p>
    <w:p>
      <w:pPr>
        <w:tabs>
          <w:tab w:val="left" w:pos="-3060"/>
        </w:tabs>
        <w:snapToGrid w:val="0"/>
        <w:spacing w:line="360" w:lineRule="auto"/>
        <w:ind w:firstLine="480" w:firstLineChars="200"/>
        <w:rPr>
          <w:sz w:val="24"/>
        </w:rPr>
      </w:pPr>
      <w:r>
        <w:rPr>
          <w:sz w:val="24"/>
        </w:rPr>
        <w:t>1）审核承建单位的进度分解计划，确认分解计划可以保证总体计划目标；</w:t>
      </w:r>
    </w:p>
    <w:p>
      <w:pPr>
        <w:tabs>
          <w:tab w:val="left" w:pos="-3060"/>
        </w:tabs>
        <w:snapToGrid w:val="0"/>
        <w:spacing w:line="360" w:lineRule="auto"/>
        <w:ind w:firstLine="480" w:firstLineChars="200"/>
        <w:rPr>
          <w:sz w:val="24"/>
        </w:rPr>
      </w:pPr>
      <w:r>
        <w:rPr>
          <w:sz w:val="24"/>
        </w:rPr>
        <w:t>2）对项目实施进度进行实时跟踪，并要求承建单位（对进度计划进行动态调整，以确保项目的阶段和总体进度目标的实现；</w:t>
      </w:r>
    </w:p>
    <w:p>
      <w:pPr>
        <w:tabs>
          <w:tab w:val="left" w:pos="-3060"/>
        </w:tabs>
        <w:snapToGrid w:val="0"/>
        <w:spacing w:line="360" w:lineRule="auto"/>
        <w:ind w:firstLine="480" w:firstLineChars="200"/>
        <w:rPr>
          <w:sz w:val="24"/>
        </w:rPr>
      </w:pPr>
      <w:r>
        <w:rPr>
          <w:sz w:val="24"/>
        </w:rPr>
        <w:t>3）当工期目标发生偏离时，应及时指出，并提出对策和建议，同时督促承建单位尽快采取措施。</w:t>
      </w:r>
    </w:p>
    <w:p>
      <w:pPr>
        <w:tabs>
          <w:tab w:val="left" w:pos="-3060"/>
        </w:tabs>
        <w:snapToGrid w:val="0"/>
        <w:spacing w:line="360" w:lineRule="auto"/>
        <w:ind w:firstLine="480" w:firstLineChars="200"/>
        <w:rPr>
          <w:sz w:val="24"/>
        </w:rPr>
      </w:pPr>
      <w:r>
        <w:rPr>
          <w:rFonts w:hint="eastAsia"/>
          <w:sz w:val="24"/>
        </w:rPr>
        <w:t>4）对合同工期的延误和延期进行审核确认，统筹分析各分项延期情况并合理处理</w:t>
      </w:r>
    </w:p>
    <w:p>
      <w:pPr>
        <w:tabs>
          <w:tab w:val="left" w:pos="-3060"/>
        </w:tabs>
        <w:snapToGrid w:val="0"/>
        <w:spacing w:line="360" w:lineRule="auto"/>
        <w:rPr>
          <w:b/>
          <w:sz w:val="24"/>
        </w:rPr>
      </w:pPr>
      <w:r>
        <w:rPr>
          <w:rFonts w:hint="eastAsia"/>
          <w:b/>
          <w:sz w:val="24"/>
        </w:rPr>
        <w:t>4</w:t>
      </w:r>
      <w:r>
        <w:rPr>
          <w:b/>
          <w:sz w:val="24"/>
        </w:rPr>
        <w:t>、项目投资控制</w:t>
      </w:r>
    </w:p>
    <w:p>
      <w:pPr>
        <w:tabs>
          <w:tab w:val="left" w:pos="-3060"/>
        </w:tabs>
        <w:snapToGrid w:val="0"/>
        <w:spacing w:line="360" w:lineRule="auto"/>
        <w:ind w:firstLine="480" w:firstLineChars="200"/>
        <w:rPr>
          <w:sz w:val="24"/>
        </w:rPr>
      </w:pPr>
      <w:r>
        <w:rPr>
          <w:sz w:val="24"/>
        </w:rPr>
        <w:t>1）通过对项目实施中的方案及设计的优化，对工程建设中不可预见性费用的开支使用情况进行技术性审核并提出意见，确保投资控制在合理、性价比高的范围内；</w:t>
      </w:r>
    </w:p>
    <w:p>
      <w:pPr>
        <w:tabs>
          <w:tab w:val="left" w:pos="-3060"/>
        </w:tabs>
        <w:snapToGrid w:val="0"/>
        <w:spacing w:line="360" w:lineRule="auto"/>
        <w:ind w:firstLine="480" w:firstLineChars="200"/>
        <w:rPr>
          <w:sz w:val="24"/>
        </w:rPr>
      </w:pPr>
      <w:r>
        <w:rPr>
          <w:sz w:val="24"/>
        </w:rPr>
        <w:t>2）按照</w:t>
      </w:r>
      <w:r>
        <w:rPr>
          <w:rFonts w:hint="eastAsia"/>
          <w:sz w:val="24"/>
        </w:rPr>
        <w:t>建设单位</w:t>
      </w:r>
      <w:r>
        <w:rPr>
          <w:sz w:val="24"/>
        </w:rPr>
        <w:t>的财务管理规定，协助</w:t>
      </w:r>
      <w:r>
        <w:rPr>
          <w:rFonts w:hint="eastAsia"/>
          <w:sz w:val="24"/>
        </w:rPr>
        <w:t>建设单位</w:t>
      </w:r>
      <w:r>
        <w:rPr>
          <w:sz w:val="24"/>
        </w:rPr>
        <w:t>做好项目阶段性资金结算及支付申请，保证</w:t>
      </w:r>
      <w:r>
        <w:rPr>
          <w:rFonts w:hint="eastAsia"/>
          <w:sz w:val="24"/>
        </w:rPr>
        <w:t>建设单位</w:t>
      </w:r>
      <w:r>
        <w:rPr>
          <w:sz w:val="24"/>
        </w:rPr>
        <w:t>及承建</w:t>
      </w:r>
      <w:r>
        <w:rPr>
          <w:rFonts w:hint="eastAsia"/>
          <w:sz w:val="24"/>
        </w:rPr>
        <w:t>单位</w:t>
      </w:r>
      <w:r>
        <w:rPr>
          <w:sz w:val="24"/>
        </w:rPr>
        <w:t>的利益并促使合同履行。</w:t>
      </w:r>
    </w:p>
    <w:p>
      <w:pPr>
        <w:tabs>
          <w:tab w:val="left" w:pos="-3060"/>
        </w:tabs>
        <w:snapToGrid w:val="0"/>
        <w:spacing w:line="360" w:lineRule="auto"/>
        <w:rPr>
          <w:b/>
          <w:sz w:val="24"/>
        </w:rPr>
      </w:pPr>
      <w:r>
        <w:rPr>
          <w:rFonts w:hint="eastAsia"/>
          <w:b/>
          <w:sz w:val="24"/>
        </w:rPr>
        <w:t>5</w:t>
      </w:r>
      <w:r>
        <w:rPr>
          <w:b/>
          <w:sz w:val="24"/>
        </w:rPr>
        <w:t>、项目变更控制</w:t>
      </w:r>
    </w:p>
    <w:p>
      <w:pPr>
        <w:tabs>
          <w:tab w:val="left" w:pos="-3060"/>
        </w:tabs>
        <w:snapToGrid w:val="0"/>
        <w:spacing w:line="360" w:lineRule="auto"/>
        <w:ind w:firstLine="480" w:firstLineChars="200"/>
        <w:rPr>
          <w:sz w:val="24"/>
        </w:rPr>
      </w:pPr>
      <w:r>
        <w:rPr>
          <w:sz w:val="24"/>
        </w:rPr>
        <w:t>1）制订项目管理过程中的变更管理流程及规范；</w:t>
      </w:r>
    </w:p>
    <w:p>
      <w:pPr>
        <w:tabs>
          <w:tab w:val="left" w:pos="-3060"/>
        </w:tabs>
        <w:snapToGrid w:val="0"/>
        <w:spacing w:line="360" w:lineRule="auto"/>
        <w:ind w:firstLine="480" w:firstLineChars="200"/>
        <w:rPr>
          <w:sz w:val="24"/>
        </w:rPr>
      </w:pPr>
      <w:r>
        <w:rPr>
          <w:sz w:val="24"/>
        </w:rPr>
        <w:t>2）收集并整理项目实施中因实际需求（如政策变动、用户使用便利性等方面）形成的变更需求并对变更必要性及工作量进行评估；</w:t>
      </w:r>
    </w:p>
    <w:p>
      <w:pPr>
        <w:tabs>
          <w:tab w:val="left" w:pos="-3060"/>
        </w:tabs>
        <w:snapToGrid w:val="0"/>
        <w:spacing w:line="360" w:lineRule="auto"/>
        <w:ind w:firstLine="480" w:firstLineChars="200"/>
        <w:rPr>
          <w:sz w:val="24"/>
        </w:rPr>
      </w:pPr>
      <w:r>
        <w:rPr>
          <w:sz w:val="24"/>
        </w:rPr>
        <w:t>3）审核并确认变更申请并向</w:t>
      </w:r>
      <w:r>
        <w:rPr>
          <w:rFonts w:hint="eastAsia"/>
          <w:sz w:val="24"/>
        </w:rPr>
        <w:t>建设单位</w:t>
      </w:r>
      <w:r>
        <w:rPr>
          <w:sz w:val="24"/>
        </w:rPr>
        <w:t>、</w:t>
      </w:r>
      <w:r>
        <w:rPr>
          <w:rFonts w:hint="eastAsia"/>
          <w:sz w:val="24"/>
        </w:rPr>
        <w:t>承建单位</w:t>
      </w:r>
      <w:r>
        <w:rPr>
          <w:sz w:val="24"/>
        </w:rPr>
        <w:t>给出书面明确意见；</w:t>
      </w:r>
    </w:p>
    <w:p>
      <w:pPr>
        <w:tabs>
          <w:tab w:val="left" w:pos="-3060"/>
        </w:tabs>
        <w:snapToGrid w:val="0"/>
        <w:spacing w:line="360" w:lineRule="auto"/>
        <w:ind w:firstLine="480" w:firstLineChars="200"/>
        <w:rPr>
          <w:sz w:val="24"/>
        </w:rPr>
      </w:pPr>
      <w:r>
        <w:rPr>
          <w:sz w:val="24"/>
        </w:rPr>
        <w:t>4）整理项目变更管理中的相关过程资料及文档。</w:t>
      </w:r>
    </w:p>
    <w:p>
      <w:pPr>
        <w:tabs>
          <w:tab w:val="left" w:pos="-3060"/>
        </w:tabs>
        <w:snapToGrid w:val="0"/>
        <w:spacing w:line="360" w:lineRule="auto"/>
        <w:rPr>
          <w:b/>
          <w:sz w:val="24"/>
        </w:rPr>
      </w:pPr>
      <w:r>
        <w:rPr>
          <w:rFonts w:hint="eastAsia"/>
          <w:b/>
          <w:sz w:val="24"/>
        </w:rPr>
        <w:t>6</w:t>
      </w:r>
      <w:r>
        <w:rPr>
          <w:b/>
          <w:sz w:val="24"/>
        </w:rPr>
        <w:t>、项目合同管理</w:t>
      </w:r>
    </w:p>
    <w:p>
      <w:pPr>
        <w:tabs>
          <w:tab w:val="left" w:pos="-3060"/>
        </w:tabs>
        <w:snapToGrid w:val="0"/>
        <w:spacing w:line="360" w:lineRule="auto"/>
        <w:ind w:firstLine="480" w:firstLineChars="200"/>
        <w:rPr>
          <w:sz w:val="24"/>
        </w:rPr>
      </w:pPr>
      <w:r>
        <w:rPr>
          <w:sz w:val="24"/>
        </w:rPr>
        <w:t>1）跟踪检查合同的执行情况，确保承建单位按时履约；</w:t>
      </w:r>
    </w:p>
    <w:p>
      <w:pPr>
        <w:tabs>
          <w:tab w:val="left" w:pos="-3060"/>
        </w:tabs>
        <w:snapToGrid w:val="0"/>
        <w:spacing w:line="360" w:lineRule="auto"/>
        <w:ind w:firstLine="480" w:firstLineChars="200"/>
        <w:rPr>
          <w:sz w:val="24"/>
        </w:rPr>
      </w:pPr>
      <w:r>
        <w:rPr>
          <w:sz w:val="24"/>
        </w:rPr>
        <w:t>2）对合同工期的延误和延期进行审核确认；</w:t>
      </w:r>
    </w:p>
    <w:p>
      <w:pPr>
        <w:tabs>
          <w:tab w:val="left" w:pos="-3060"/>
        </w:tabs>
        <w:snapToGrid w:val="0"/>
        <w:spacing w:line="360" w:lineRule="auto"/>
        <w:ind w:firstLine="480" w:firstLineChars="200"/>
        <w:rPr>
          <w:sz w:val="24"/>
        </w:rPr>
      </w:pPr>
      <w:r>
        <w:rPr>
          <w:sz w:val="24"/>
        </w:rPr>
        <w:t>3）对合同变更、索赔等事宜进行审核确认；</w:t>
      </w:r>
    </w:p>
    <w:p>
      <w:pPr>
        <w:tabs>
          <w:tab w:val="left" w:pos="-3060"/>
        </w:tabs>
        <w:snapToGrid w:val="0"/>
        <w:spacing w:line="360" w:lineRule="auto"/>
        <w:ind w:firstLine="480" w:firstLineChars="200"/>
        <w:rPr>
          <w:sz w:val="24"/>
        </w:rPr>
      </w:pPr>
      <w:r>
        <w:rPr>
          <w:sz w:val="24"/>
        </w:rPr>
        <w:t>4）根据合同约定，审核承建单位提交的支付申请，签发付款凭证。</w:t>
      </w:r>
    </w:p>
    <w:p>
      <w:pPr>
        <w:tabs>
          <w:tab w:val="left" w:pos="-3060"/>
        </w:tabs>
        <w:snapToGrid w:val="0"/>
        <w:spacing w:line="360" w:lineRule="auto"/>
        <w:rPr>
          <w:b/>
          <w:sz w:val="24"/>
        </w:rPr>
      </w:pPr>
      <w:r>
        <w:rPr>
          <w:rFonts w:hint="eastAsia"/>
          <w:b/>
          <w:sz w:val="24"/>
        </w:rPr>
        <w:t>7</w:t>
      </w:r>
      <w:r>
        <w:rPr>
          <w:b/>
          <w:sz w:val="24"/>
        </w:rPr>
        <w:t>、信息、项目文档管理</w:t>
      </w:r>
    </w:p>
    <w:p>
      <w:pPr>
        <w:tabs>
          <w:tab w:val="left" w:pos="-3060"/>
        </w:tabs>
        <w:snapToGrid w:val="0"/>
        <w:spacing w:line="360" w:lineRule="auto"/>
        <w:ind w:firstLine="480" w:firstLineChars="200"/>
        <w:rPr>
          <w:sz w:val="24"/>
        </w:rPr>
      </w:pPr>
      <w:r>
        <w:rPr>
          <w:sz w:val="24"/>
        </w:rPr>
        <w:t>1）做好项目监理日记及项目大事记；</w:t>
      </w:r>
    </w:p>
    <w:p>
      <w:pPr>
        <w:tabs>
          <w:tab w:val="left" w:pos="-3060"/>
        </w:tabs>
        <w:snapToGrid w:val="0"/>
        <w:spacing w:line="360" w:lineRule="auto"/>
        <w:ind w:firstLine="480" w:firstLineChars="200"/>
        <w:rPr>
          <w:sz w:val="24"/>
        </w:rPr>
      </w:pPr>
      <w:r>
        <w:rPr>
          <w:sz w:val="24"/>
        </w:rPr>
        <w:t>2）做好合同批复、技术建设方案、测试文档、验收报告等各类往来文件的审核和存档；</w:t>
      </w:r>
    </w:p>
    <w:p>
      <w:pPr>
        <w:tabs>
          <w:tab w:val="left" w:pos="-3060"/>
        </w:tabs>
        <w:snapToGrid w:val="0"/>
        <w:spacing w:line="360" w:lineRule="auto"/>
        <w:ind w:firstLine="480" w:firstLineChars="200"/>
        <w:rPr>
          <w:sz w:val="24"/>
        </w:rPr>
      </w:pPr>
      <w:r>
        <w:rPr>
          <w:sz w:val="24"/>
        </w:rPr>
        <w:t>3）做好项目协调会、技术专题会等各种会议纪要，并督促会议有关事项的执行；</w:t>
      </w:r>
    </w:p>
    <w:p>
      <w:pPr>
        <w:tabs>
          <w:tab w:val="left" w:pos="-3060"/>
        </w:tabs>
        <w:snapToGrid w:val="0"/>
        <w:spacing w:line="360" w:lineRule="auto"/>
        <w:ind w:firstLine="480" w:firstLineChars="200"/>
        <w:rPr>
          <w:sz w:val="24"/>
        </w:rPr>
      </w:pPr>
      <w:r>
        <w:rPr>
          <w:sz w:val="24"/>
        </w:rPr>
        <w:t>4）管理好实施期间的各类技术文档；</w:t>
      </w:r>
    </w:p>
    <w:p>
      <w:pPr>
        <w:tabs>
          <w:tab w:val="left" w:pos="-3060"/>
        </w:tabs>
        <w:snapToGrid w:val="0"/>
        <w:spacing w:line="360" w:lineRule="auto"/>
        <w:ind w:firstLine="480" w:firstLineChars="200"/>
        <w:rPr>
          <w:sz w:val="24"/>
        </w:rPr>
      </w:pPr>
      <w:r>
        <w:rPr>
          <w:sz w:val="24"/>
        </w:rPr>
        <w:t>5）做好项目周报并书面反馈用户单位；</w:t>
      </w:r>
    </w:p>
    <w:p>
      <w:pPr>
        <w:tabs>
          <w:tab w:val="left" w:pos="-3060"/>
        </w:tabs>
        <w:snapToGrid w:val="0"/>
        <w:spacing w:line="360" w:lineRule="auto"/>
        <w:ind w:firstLine="480" w:firstLineChars="200"/>
        <w:rPr>
          <w:sz w:val="24"/>
        </w:rPr>
      </w:pPr>
      <w:r>
        <w:rPr>
          <w:sz w:val="24"/>
        </w:rPr>
        <w:t>6）</w:t>
      </w:r>
      <w:r>
        <w:rPr>
          <w:rFonts w:hint="eastAsia" w:ascii="宋体" w:hAnsi="宋体" w:cs="宋体"/>
          <w:sz w:val="24"/>
        </w:rPr>
        <w:t>监理通知</w:t>
      </w:r>
      <w:r>
        <w:rPr>
          <w:sz w:val="24"/>
        </w:rPr>
        <w:t>；</w:t>
      </w:r>
    </w:p>
    <w:p>
      <w:pPr>
        <w:tabs>
          <w:tab w:val="left" w:pos="-3060"/>
        </w:tabs>
        <w:snapToGrid w:val="0"/>
        <w:spacing w:line="360" w:lineRule="auto"/>
        <w:ind w:firstLine="480" w:firstLineChars="200"/>
        <w:rPr>
          <w:sz w:val="24"/>
        </w:rPr>
      </w:pPr>
      <w:r>
        <w:rPr>
          <w:sz w:val="24"/>
        </w:rPr>
        <w:t>7）</w:t>
      </w:r>
      <w:r>
        <w:rPr>
          <w:rFonts w:hint="eastAsia" w:ascii="宋体" w:hAnsi="宋体" w:cs="宋体"/>
          <w:sz w:val="24"/>
        </w:rPr>
        <w:t>各种会议纪要</w:t>
      </w:r>
      <w:r>
        <w:rPr>
          <w:sz w:val="24"/>
        </w:rPr>
        <w:t>；</w:t>
      </w:r>
    </w:p>
    <w:p>
      <w:pPr>
        <w:tabs>
          <w:tab w:val="left" w:pos="-3060"/>
        </w:tabs>
        <w:snapToGrid w:val="0"/>
        <w:spacing w:line="360" w:lineRule="auto"/>
        <w:ind w:firstLine="480" w:firstLineChars="200"/>
        <w:rPr>
          <w:sz w:val="24"/>
        </w:rPr>
      </w:pPr>
      <w:r>
        <w:rPr>
          <w:sz w:val="24"/>
        </w:rPr>
        <w:t>8）阶段性项目总结；</w:t>
      </w:r>
    </w:p>
    <w:p>
      <w:pPr>
        <w:tabs>
          <w:tab w:val="left" w:pos="-3060"/>
        </w:tabs>
        <w:snapToGrid w:val="0"/>
        <w:spacing w:line="360" w:lineRule="auto"/>
        <w:ind w:firstLine="480" w:firstLineChars="200"/>
        <w:rPr>
          <w:sz w:val="24"/>
        </w:rPr>
      </w:pPr>
      <w:r>
        <w:rPr>
          <w:sz w:val="24"/>
        </w:rPr>
        <w:t>9）承建</w:t>
      </w:r>
      <w:r>
        <w:rPr>
          <w:rFonts w:hint="eastAsia"/>
          <w:sz w:val="24"/>
        </w:rPr>
        <w:t>单位</w:t>
      </w:r>
      <w:r>
        <w:rPr>
          <w:sz w:val="24"/>
        </w:rPr>
        <w:t>提交的技术文档。</w:t>
      </w:r>
    </w:p>
    <w:p>
      <w:pPr>
        <w:tabs>
          <w:tab w:val="left" w:pos="-3060"/>
        </w:tabs>
        <w:snapToGrid w:val="0"/>
        <w:spacing w:line="360" w:lineRule="auto"/>
        <w:rPr>
          <w:b/>
          <w:sz w:val="24"/>
        </w:rPr>
      </w:pPr>
      <w:r>
        <w:rPr>
          <w:rFonts w:hint="eastAsia"/>
          <w:b/>
          <w:sz w:val="24"/>
        </w:rPr>
        <w:t>8</w:t>
      </w:r>
      <w:r>
        <w:rPr>
          <w:b/>
          <w:sz w:val="24"/>
        </w:rPr>
        <w:t>、项目协调管理</w:t>
      </w:r>
    </w:p>
    <w:p>
      <w:pPr>
        <w:tabs>
          <w:tab w:val="left" w:pos="-3060"/>
        </w:tabs>
        <w:snapToGrid w:val="0"/>
        <w:spacing w:line="360" w:lineRule="auto"/>
        <w:ind w:firstLine="480" w:firstLineChars="200"/>
        <w:rPr>
          <w:sz w:val="24"/>
        </w:rPr>
      </w:pPr>
      <w:r>
        <w:rPr>
          <w:sz w:val="24"/>
        </w:rPr>
        <w:t>经</w:t>
      </w:r>
      <w:r>
        <w:rPr>
          <w:rFonts w:hint="eastAsia"/>
          <w:sz w:val="24"/>
        </w:rPr>
        <w:t>建设单位</w:t>
      </w:r>
      <w:r>
        <w:rPr>
          <w:sz w:val="24"/>
        </w:rPr>
        <w:t>委托，监理</w:t>
      </w:r>
      <w:r>
        <w:rPr>
          <w:rFonts w:hint="eastAsia"/>
          <w:sz w:val="24"/>
        </w:rPr>
        <w:t>单位</w:t>
      </w:r>
      <w:r>
        <w:rPr>
          <w:sz w:val="24"/>
        </w:rPr>
        <w:t>负责协调本项目所涉及的各承建单位之间的工作关系，并协调解决项目建设过程中的各类纠纷。监理</w:t>
      </w:r>
      <w:r>
        <w:rPr>
          <w:rFonts w:hint="eastAsia"/>
          <w:sz w:val="24"/>
        </w:rPr>
        <w:t>单位</w:t>
      </w:r>
      <w:r>
        <w:rPr>
          <w:sz w:val="24"/>
        </w:rPr>
        <w:t>应该通过必要的会议制度来实施协调工作，主要包括：</w:t>
      </w:r>
    </w:p>
    <w:p>
      <w:pPr>
        <w:tabs>
          <w:tab w:val="left" w:pos="-3060"/>
        </w:tabs>
        <w:snapToGrid w:val="0"/>
        <w:spacing w:line="360" w:lineRule="auto"/>
        <w:ind w:firstLine="480" w:firstLineChars="200"/>
        <w:rPr>
          <w:sz w:val="24"/>
        </w:rPr>
      </w:pPr>
      <w:r>
        <w:rPr>
          <w:sz w:val="24"/>
        </w:rPr>
        <w:t>1）现场会；</w:t>
      </w:r>
    </w:p>
    <w:p>
      <w:pPr>
        <w:tabs>
          <w:tab w:val="left" w:pos="-3060"/>
        </w:tabs>
        <w:snapToGrid w:val="0"/>
        <w:spacing w:line="360" w:lineRule="auto"/>
        <w:ind w:firstLine="480" w:firstLineChars="200"/>
        <w:rPr>
          <w:sz w:val="24"/>
        </w:rPr>
      </w:pPr>
      <w:r>
        <w:rPr>
          <w:sz w:val="24"/>
        </w:rPr>
        <w:t>2）监理交底会；</w:t>
      </w:r>
    </w:p>
    <w:p>
      <w:pPr>
        <w:tabs>
          <w:tab w:val="left" w:pos="-3060"/>
        </w:tabs>
        <w:snapToGrid w:val="0"/>
        <w:spacing w:line="360" w:lineRule="auto"/>
        <w:ind w:firstLine="480" w:firstLineChars="200"/>
        <w:rPr>
          <w:sz w:val="24"/>
        </w:rPr>
      </w:pPr>
      <w:r>
        <w:rPr>
          <w:sz w:val="24"/>
        </w:rPr>
        <w:t>3）定期例会；</w:t>
      </w:r>
    </w:p>
    <w:p>
      <w:pPr>
        <w:tabs>
          <w:tab w:val="left" w:pos="-3060"/>
        </w:tabs>
        <w:snapToGrid w:val="0"/>
        <w:spacing w:line="360" w:lineRule="auto"/>
        <w:ind w:firstLine="480" w:firstLineChars="200"/>
        <w:rPr>
          <w:sz w:val="24"/>
        </w:rPr>
      </w:pPr>
      <w:r>
        <w:rPr>
          <w:sz w:val="24"/>
        </w:rPr>
        <w:t>4）监理协调会；</w:t>
      </w:r>
    </w:p>
    <w:p>
      <w:pPr>
        <w:tabs>
          <w:tab w:val="left" w:pos="-3060"/>
        </w:tabs>
        <w:snapToGrid w:val="0"/>
        <w:spacing w:line="360" w:lineRule="auto"/>
        <w:ind w:firstLine="480" w:firstLineChars="200"/>
        <w:rPr>
          <w:sz w:val="24"/>
        </w:rPr>
      </w:pPr>
      <w:r>
        <w:rPr>
          <w:sz w:val="24"/>
        </w:rPr>
        <w:t>5）专题讨论会；</w:t>
      </w:r>
    </w:p>
    <w:p>
      <w:pPr>
        <w:tabs>
          <w:tab w:val="left" w:pos="-3060"/>
        </w:tabs>
        <w:snapToGrid w:val="0"/>
        <w:spacing w:line="360" w:lineRule="auto"/>
        <w:ind w:firstLine="480" w:firstLineChars="200"/>
        <w:rPr>
          <w:sz w:val="24"/>
        </w:rPr>
      </w:pPr>
      <w:r>
        <w:rPr>
          <w:sz w:val="24"/>
        </w:rPr>
        <w:t>6）专家论证会；</w:t>
      </w:r>
    </w:p>
    <w:p>
      <w:pPr>
        <w:tabs>
          <w:tab w:val="left" w:pos="-3060"/>
        </w:tabs>
        <w:snapToGrid w:val="0"/>
        <w:spacing w:line="360" w:lineRule="auto"/>
        <w:ind w:firstLine="480" w:firstLineChars="200"/>
        <w:rPr>
          <w:sz w:val="24"/>
        </w:rPr>
      </w:pPr>
      <w:r>
        <w:rPr>
          <w:sz w:val="24"/>
        </w:rPr>
        <w:t>7）阶段工作总结会；</w:t>
      </w:r>
    </w:p>
    <w:p>
      <w:pPr>
        <w:tabs>
          <w:tab w:val="left" w:pos="-3060"/>
        </w:tabs>
        <w:snapToGrid w:val="0"/>
        <w:spacing w:line="360" w:lineRule="auto"/>
        <w:ind w:firstLine="480" w:firstLineChars="200"/>
        <w:rPr>
          <w:sz w:val="24"/>
        </w:rPr>
      </w:pPr>
      <w:r>
        <w:rPr>
          <w:sz w:val="24"/>
        </w:rPr>
        <w:t>8）问题通报会；</w:t>
      </w:r>
    </w:p>
    <w:p>
      <w:pPr>
        <w:tabs>
          <w:tab w:val="left" w:pos="-3060"/>
        </w:tabs>
        <w:snapToGrid w:val="0"/>
        <w:spacing w:line="360" w:lineRule="auto"/>
        <w:ind w:firstLine="480" w:firstLineChars="200"/>
        <w:rPr>
          <w:sz w:val="24"/>
        </w:rPr>
      </w:pPr>
      <w:r>
        <w:rPr>
          <w:sz w:val="24"/>
        </w:rPr>
        <w:t>9）阶段及最终验收会。</w:t>
      </w:r>
    </w:p>
    <w:p>
      <w:pPr>
        <w:spacing w:line="360" w:lineRule="auto"/>
        <w:rPr>
          <w:color w:val="000000"/>
          <w:sz w:val="24"/>
        </w:rPr>
      </w:pPr>
      <w:r>
        <w:rPr>
          <w:color w:val="000000"/>
          <w:sz w:val="24"/>
        </w:rPr>
        <w:t>2.</w:t>
      </w:r>
      <w:r>
        <w:rPr>
          <w:rFonts w:hint="eastAsia"/>
          <w:color w:val="000000"/>
          <w:sz w:val="24"/>
        </w:rPr>
        <w:t>2</w:t>
      </w:r>
      <w:r>
        <w:rPr>
          <w:color w:val="000000"/>
          <w:sz w:val="24"/>
        </w:rPr>
        <w:t>主要服务要求</w:t>
      </w:r>
    </w:p>
    <w:p>
      <w:pPr>
        <w:spacing w:line="360" w:lineRule="auto"/>
        <w:ind w:firstLine="480" w:firstLineChars="200"/>
        <w:rPr>
          <w:color w:val="000000"/>
          <w:sz w:val="24"/>
          <w:lang w:val="zh-CN"/>
        </w:rPr>
      </w:pPr>
      <w:r>
        <w:rPr>
          <w:color w:val="000000"/>
          <w:sz w:val="24"/>
          <w:lang w:val="zh-CN"/>
        </w:rPr>
        <w:t>为确保项目顺利实施，</w:t>
      </w:r>
      <w:r>
        <w:rPr>
          <w:rFonts w:hint="eastAsia"/>
          <w:color w:val="000000"/>
          <w:sz w:val="24"/>
        </w:rPr>
        <w:t>监理单位</w:t>
      </w:r>
      <w:r>
        <w:rPr>
          <w:color w:val="000000"/>
          <w:sz w:val="24"/>
          <w:lang w:val="zh-CN"/>
        </w:rPr>
        <w:t>应做到如下要求：</w:t>
      </w:r>
    </w:p>
    <w:p>
      <w:pPr>
        <w:spacing w:line="360" w:lineRule="auto"/>
        <w:ind w:firstLine="480" w:firstLineChars="200"/>
        <w:rPr>
          <w:color w:val="000000"/>
          <w:sz w:val="24"/>
          <w:lang w:val="zh-CN"/>
        </w:rPr>
      </w:pPr>
      <w:r>
        <w:rPr>
          <w:color w:val="000000"/>
          <w:sz w:val="24"/>
          <w:lang w:val="zh-CN"/>
        </w:rPr>
        <w:t>（1）</w:t>
      </w:r>
      <w:r>
        <w:rPr>
          <w:rFonts w:hint="eastAsia"/>
          <w:color w:val="000000"/>
          <w:sz w:val="24"/>
        </w:rPr>
        <w:t>监理单位</w:t>
      </w:r>
      <w:r>
        <w:rPr>
          <w:color w:val="000000"/>
          <w:sz w:val="24"/>
          <w:lang w:val="zh-CN"/>
        </w:rPr>
        <w:t xml:space="preserve">必须承诺中标后项目工作组人员不变并保证到场工作； </w:t>
      </w:r>
    </w:p>
    <w:p>
      <w:pPr>
        <w:spacing w:line="360" w:lineRule="auto"/>
        <w:ind w:firstLine="480" w:firstLineChars="200"/>
        <w:rPr>
          <w:color w:val="000000"/>
          <w:sz w:val="24"/>
          <w:lang w:val="zh-CN"/>
        </w:rPr>
      </w:pPr>
      <w:r>
        <w:rPr>
          <w:color w:val="000000"/>
          <w:sz w:val="24"/>
          <w:lang w:val="zh-CN"/>
        </w:rPr>
        <w:t>（2）对总监理工程师到场率：整个项目过程中由</w:t>
      </w:r>
      <w:r>
        <w:rPr>
          <w:rFonts w:hint="eastAsia"/>
          <w:color w:val="000000"/>
          <w:sz w:val="24"/>
        </w:rPr>
        <w:t>建设单位</w:t>
      </w:r>
      <w:r>
        <w:rPr>
          <w:color w:val="000000"/>
          <w:sz w:val="24"/>
          <w:lang w:val="zh-CN"/>
        </w:rPr>
        <w:t>确认的重要项目节点必须到场。</w:t>
      </w:r>
    </w:p>
    <w:p>
      <w:pPr>
        <w:spacing w:line="360" w:lineRule="auto"/>
        <w:ind w:firstLine="480" w:firstLineChars="200"/>
        <w:rPr>
          <w:color w:val="000000"/>
          <w:sz w:val="24"/>
          <w:lang w:val="zh-CN"/>
        </w:rPr>
      </w:pPr>
      <w:r>
        <w:rPr>
          <w:color w:val="000000"/>
          <w:sz w:val="24"/>
          <w:lang w:val="zh-CN"/>
        </w:rPr>
        <w:t>（</w:t>
      </w:r>
      <w:r>
        <w:rPr>
          <w:color w:val="000000"/>
          <w:sz w:val="24"/>
        </w:rPr>
        <w:t>3</w:t>
      </w:r>
      <w:r>
        <w:rPr>
          <w:color w:val="000000"/>
          <w:sz w:val="24"/>
          <w:lang w:val="zh-CN"/>
        </w:rPr>
        <w:t>）监理工作人员在</w:t>
      </w:r>
      <w:r>
        <w:rPr>
          <w:rFonts w:hint="eastAsia"/>
          <w:color w:val="000000"/>
          <w:sz w:val="24"/>
        </w:rPr>
        <w:t>建设</w:t>
      </w:r>
      <w:r>
        <w:rPr>
          <w:color w:val="000000"/>
          <w:sz w:val="24"/>
          <w:lang w:val="zh-CN"/>
        </w:rPr>
        <w:t>单位工作时，应遵守</w:t>
      </w:r>
      <w:r>
        <w:rPr>
          <w:rFonts w:hint="eastAsia"/>
          <w:color w:val="000000"/>
          <w:sz w:val="24"/>
        </w:rPr>
        <w:t>建设单位</w:t>
      </w:r>
      <w:r>
        <w:rPr>
          <w:color w:val="000000"/>
          <w:sz w:val="24"/>
          <w:lang w:val="zh-CN"/>
        </w:rPr>
        <w:t>的相关规章和制度；</w:t>
      </w:r>
    </w:p>
    <w:p>
      <w:pPr>
        <w:spacing w:line="360" w:lineRule="auto"/>
        <w:ind w:firstLine="480" w:firstLineChars="200"/>
        <w:rPr>
          <w:sz w:val="24"/>
        </w:rPr>
      </w:pPr>
      <w:r>
        <w:rPr>
          <w:color w:val="000000"/>
          <w:sz w:val="24"/>
          <w:lang w:val="zh-CN"/>
        </w:rPr>
        <w:t>（</w:t>
      </w:r>
      <w:r>
        <w:rPr>
          <w:color w:val="000000"/>
          <w:sz w:val="24"/>
        </w:rPr>
        <w:t>4</w:t>
      </w:r>
      <w:r>
        <w:rPr>
          <w:color w:val="000000"/>
          <w:sz w:val="24"/>
          <w:lang w:val="zh-CN"/>
        </w:rPr>
        <w:t>）当更换总监理工程师、监理工程师时，应征得</w:t>
      </w:r>
      <w:r>
        <w:rPr>
          <w:rFonts w:hint="eastAsia"/>
          <w:color w:val="000000"/>
          <w:sz w:val="24"/>
        </w:rPr>
        <w:t>建设单位</w:t>
      </w:r>
      <w:r>
        <w:rPr>
          <w:color w:val="000000"/>
          <w:sz w:val="24"/>
          <w:lang w:val="zh-CN"/>
        </w:rPr>
        <w:t>同意，并书面通知</w:t>
      </w:r>
      <w:r>
        <w:rPr>
          <w:rFonts w:hint="eastAsia"/>
          <w:color w:val="000000"/>
          <w:sz w:val="24"/>
        </w:rPr>
        <w:t>建设单位</w:t>
      </w:r>
      <w:r>
        <w:rPr>
          <w:color w:val="000000"/>
          <w:sz w:val="24"/>
          <w:lang w:val="zh-CN"/>
        </w:rPr>
        <w:t>。</w:t>
      </w:r>
    </w:p>
    <w:p>
      <w:pPr>
        <w:snapToGrid w:val="0"/>
        <w:spacing w:line="360" w:lineRule="auto"/>
        <w:ind w:right="-94" w:rightChars="-45"/>
        <w:rPr>
          <w:b/>
          <w:color w:val="000000"/>
          <w:kern w:val="0"/>
          <w:sz w:val="24"/>
        </w:rPr>
      </w:pPr>
      <w:r>
        <w:rPr>
          <w:b/>
          <w:color w:val="000000"/>
          <w:kern w:val="0"/>
          <w:sz w:val="24"/>
        </w:rPr>
        <w:t xml:space="preserve"> </w:t>
      </w:r>
      <w:r>
        <w:rPr>
          <w:rFonts w:hint="eastAsia"/>
          <w:b/>
          <w:color w:val="000000"/>
          <w:kern w:val="0"/>
          <w:sz w:val="24"/>
        </w:rPr>
        <w:t>三、</w:t>
      </w:r>
      <w:r>
        <w:rPr>
          <w:b/>
          <w:color w:val="000000"/>
          <w:kern w:val="0"/>
          <w:sz w:val="24"/>
        </w:rPr>
        <w:t>监理机构人员配置要求</w:t>
      </w:r>
    </w:p>
    <w:p>
      <w:pPr>
        <w:tabs>
          <w:tab w:val="left" w:pos="-3060"/>
        </w:tabs>
        <w:snapToGrid w:val="0"/>
        <w:spacing w:line="360" w:lineRule="auto"/>
        <w:ind w:firstLine="480" w:firstLineChars="200"/>
        <w:rPr>
          <w:snapToGrid w:val="0"/>
          <w:color w:val="000000"/>
          <w:kern w:val="0"/>
          <w:sz w:val="24"/>
        </w:rPr>
      </w:pPr>
      <w:r>
        <w:rPr>
          <w:sz w:val="24"/>
        </w:rPr>
        <w:t>为保证项目顺利实施及良好的售后服务，确保实施中的信息安全，</w:t>
      </w:r>
      <w:r>
        <w:rPr>
          <w:rFonts w:hint="eastAsia"/>
          <w:sz w:val="24"/>
        </w:rPr>
        <w:t>监理单位</w:t>
      </w:r>
      <w:r>
        <w:rPr>
          <w:sz w:val="24"/>
        </w:rPr>
        <w:t>须有较强的监理服务队伍，针对本项目需要组成不少于3人以上专业监理团队（其中包括至少1名总监理工程师、1名总监理工程师代表、1名监理工程师），</w:t>
      </w:r>
      <w:r>
        <w:rPr>
          <w:snapToGrid w:val="0"/>
          <w:color w:val="000000"/>
          <w:kern w:val="0"/>
          <w:sz w:val="24"/>
        </w:rPr>
        <w:t>1名监理工程师按项目需至现场服务。</w:t>
      </w:r>
    </w:p>
    <w:p>
      <w:pPr>
        <w:tabs>
          <w:tab w:val="left" w:pos="-3060"/>
        </w:tabs>
        <w:adjustRightInd/>
        <w:snapToGrid w:val="0"/>
        <w:spacing w:line="360" w:lineRule="auto"/>
        <w:ind w:firstLine="480" w:firstLineChars="200"/>
        <w:rPr>
          <w:rFonts w:hint="eastAsia" w:ascii="宋体" w:hAnsi="宋体" w:cs="宋体"/>
          <w:snapToGrid w:val="0"/>
          <w:color w:val="000000"/>
          <w:kern w:val="0"/>
          <w:sz w:val="24"/>
          <w:lang w:val="zh-CN"/>
        </w:rPr>
      </w:pPr>
      <w:r>
        <w:rPr>
          <w:rFonts w:hint="eastAsia" w:ascii="宋体" w:hAnsi="宋体" w:cs="宋体"/>
          <w:snapToGrid w:val="0"/>
          <w:color w:val="000000"/>
          <w:kern w:val="0"/>
          <w:sz w:val="24"/>
          <w:lang w:val="zh-CN"/>
        </w:rPr>
        <w:t>本次项目任务重、责任大故拟派</w:t>
      </w:r>
      <w:r>
        <w:rPr>
          <w:rFonts w:hint="eastAsia" w:ascii="宋体" w:hAnsi="宋体" w:cs="宋体"/>
          <w:snapToGrid w:val="0"/>
          <w:color w:val="000000"/>
          <w:kern w:val="0"/>
          <w:sz w:val="24"/>
        </w:rPr>
        <w:t>总监理工程师须</w:t>
      </w:r>
      <w:r>
        <w:rPr>
          <w:rFonts w:hint="eastAsia" w:ascii="宋体" w:hAnsi="宋体" w:cs="宋体"/>
          <w:snapToGrid w:val="0"/>
          <w:color w:val="000000"/>
          <w:kern w:val="0"/>
          <w:sz w:val="24"/>
          <w:lang w:val="zh-CN"/>
        </w:rPr>
        <w:t>具有人力资源和社会保障部门颁发的信息系统监理师</w:t>
      </w:r>
      <w:r>
        <w:rPr>
          <w:rFonts w:hint="eastAsia" w:ascii="宋体" w:hAnsi="宋体" w:cs="宋体"/>
          <w:snapToGrid w:val="0"/>
          <w:color w:val="000000"/>
          <w:kern w:val="0"/>
          <w:sz w:val="24"/>
        </w:rPr>
        <w:t>、</w:t>
      </w:r>
      <w:r>
        <w:rPr>
          <w:rFonts w:hint="eastAsia" w:ascii="宋体" w:hAnsi="宋体" w:cs="宋体"/>
          <w:snapToGrid w:val="0"/>
          <w:color w:val="000000"/>
          <w:kern w:val="0"/>
          <w:sz w:val="24"/>
          <w:lang w:val="zh-CN"/>
        </w:rPr>
        <w:t>信息系统项目管理师、信息安全工程师、网络工程师、数据库系统工程师、信息系统管理工程师</w:t>
      </w:r>
      <w:r>
        <w:rPr>
          <w:rFonts w:hint="eastAsia" w:ascii="宋体" w:hAnsi="宋体" w:cs="宋体"/>
          <w:snapToGrid w:val="0"/>
          <w:color w:val="000000"/>
          <w:kern w:val="0"/>
          <w:sz w:val="24"/>
        </w:rPr>
        <w:t>等</w:t>
      </w:r>
      <w:r>
        <w:rPr>
          <w:rFonts w:hint="eastAsia" w:ascii="宋体" w:hAnsi="宋体" w:cs="宋体"/>
          <w:snapToGrid w:val="0"/>
          <w:color w:val="000000"/>
          <w:kern w:val="0"/>
          <w:sz w:val="24"/>
          <w:lang w:val="zh-CN"/>
        </w:rPr>
        <w:t>证书。</w:t>
      </w:r>
    </w:p>
    <w:p>
      <w:pPr>
        <w:tabs>
          <w:tab w:val="left" w:pos="-3060"/>
        </w:tabs>
        <w:adjustRightInd/>
        <w:snapToGrid w:val="0"/>
        <w:spacing w:line="360"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lang w:val="zh-CN"/>
        </w:rPr>
        <w:t>拟派总监代表</w:t>
      </w:r>
      <w:r>
        <w:rPr>
          <w:rFonts w:hint="eastAsia" w:ascii="宋体" w:hAnsi="宋体" w:cs="宋体"/>
          <w:snapToGrid w:val="0"/>
          <w:color w:val="000000"/>
          <w:kern w:val="0"/>
          <w:sz w:val="24"/>
        </w:rPr>
        <w:t>须</w:t>
      </w:r>
      <w:r>
        <w:rPr>
          <w:rFonts w:hint="eastAsia" w:ascii="宋体" w:hAnsi="宋体" w:cs="宋体"/>
          <w:snapToGrid w:val="0"/>
          <w:color w:val="000000"/>
          <w:kern w:val="0"/>
          <w:sz w:val="24"/>
          <w:lang w:val="zh-CN"/>
        </w:rPr>
        <w:t>具有人力资源和社会保障部门颁发的信息系统监理师</w:t>
      </w:r>
      <w:r>
        <w:rPr>
          <w:rFonts w:hint="eastAsia" w:ascii="宋体" w:hAnsi="宋体" w:cs="宋体"/>
          <w:snapToGrid w:val="0"/>
          <w:color w:val="000000"/>
          <w:kern w:val="0"/>
          <w:sz w:val="24"/>
        </w:rPr>
        <w:t>、</w:t>
      </w:r>
      <w:r>
        <w:rPr>
          <w:rFonts w:hint="eastAsia" w:ascii="宋体" w:hAnsi="宋体" w:cs="宋体"/>
          <w:snapToGrid w:val="0"/>
          <w:color w:val="000000"/>
          <w:kern w:val="0"/>
          <w:sz w:val="24"/>
          <w:lang w:val="zh-CN"/>
        </w:rPr>
        <w:t>信息系统项目管理师、信息系统管理工程师、系统集成项目管理工程师、网络工程师</w:t>
      </w:r>
      <w:r>
        <w:rPr>
          <w:rFonts w:hint="eastAsia" w:ascii="宋体" w:hAnsi="宋体" w:cs="宋体"/>
          <w:snapToGrid w:val="0"/>
          <w:color w:val="000000"/>
          <w:kern w:val="0"/>
          <w:sz w:val="24"/>
        </w:rPr>
        <w:t>等证书。</w:t>
      </w:r>
    </w:p>
    <w:p>
      <w:pPr>
        <w:tabs>
          <w:tab w:val="left" w:pos="-3060"/>
        </w:tabs>
        <w:adjustRightInd/>
        <w:snapToGrid w:val="0"/>
        <w:spacing w:line="360"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lang w:val="zh-CN"/>
        </w:rPr>
        <w:t>为了保证监理团队的专业水平，拟投入本项目的监理服务团队组成人员</w:t>
      </w:r>
      <w:r>
        <w:rPr>
          <w:rFonts w:hint="eastAsia" w:ascii="宋体" w:hAnsi="宋体" w:cs="宋体"/>
          <w:snapToGrid w:val="0"/>
          <w:color w:val="000000"/>
          <w:kern w:val="0"/>
          <w:sz w:val="24"/>
        </w:rPr>
        <w:t>须</w:t>
      </w:r>
      <w:r>
        <w:rPr>
          <w:rFonts w:hint="eastAsia" w:ascii="宋体" w:hAnsi="宋体" w:cs="宋体"/>
          <w:snapToGrid w:val="0"/>
          <w:color w:val="000000"/>
          <w:kern w:val="0"/>
          <w:sz w:val="24"/>
          <w:lang w:val="zh-CN"/>
        </w:rPr>
        <w:t>具有人力资源和社会保障部门颁发的信息系统监理师证书</w:t>
      </w:r>
      <w:r>
        <w:rPr>
          <w:rFonts w:hint="eastAsia" w:ascii="宋体" w:hAnsi="宋体" w:cs="宋体"/>
          <w:snapToGrid w:val="0"/>
          <w:color w:val="000000"/>
          <w:kern w:val="0"/>
          <w:sz w:val="24"/>
        </w:rPr>
        <w:t>的基础上，具有</w:t>
      </w:r>
      <w:r>
        <w:rPr>
          <w:rFonts w:hint="eastAsia" w:ascii="宋体" w:hAnsi="宋体" w:cs="宋体"/>
          <w:snapToGrid w:val="0"/>
          <w:color w:val="000000"/>
          <w:kern w:val="0"/>
          <w:sz w:val="24"/>
          <w:lang w:val="zh-CN"/>
        </w:rPr>
        <w:t>系统架构设计师、系统规划与管理师、数据库系统工程师、软件设计师、系统集成项目管理工程师、信息安全工程师、系统分析师、高级工程师职称</w:t>
      </w:r>
      <w:r>
        <w:rPr>
          <w:rFonts w:hint="eastAsia" w:ascii="宋体" w:hAnsi="宋体" w:cs="宋体"/>
          <w:snapToGrid w:val="0"/>
          <w:color w:val="000000"/>
          <w:kern w:val="0"/>
          <w:sz w:val="24"/>
        </w:rPr>
        <w:t>等</w:t>
      </w:r>
      <w:r>
        <w:rPr>
          <w:rFonts w:hint="eastAsia" w:ascii="宋体" w:hAnsi="宋体" w:cs="宋体"/>
          <w:snapToGrid w:val="0"/>
          <w:color w:val="000000"/>
          <w:kern w:val="0"/>
          <w:sz w:val="24"/>
          <w:lang w:val="zh-CN"/>
        </w:rPr>
        <w:t>证书。</w:t>
      </w:r>
    </w:p>
    <w:p>
      <w:pPr>
        <w:numPr>
          <w:ilvl w:val="0"/>
          <w:numId w:val="5"/>
        </w:numPr>
        <w:snapToGrid w:val="0"/>
        <w:spacing w:line="360" w:lineRule="auto"/>
        <w:ind w:right="-94" w:rightChars="-45"/>
        <w:rPr>
          <w:b/>
          <w:sz w:val="24"/>
        </w:rPr>
      </w:pPr>
      <w:r>
        <w:rPr>
          <w:rFonts w:hint="eastAsia"/>
          <w:b/>
          <w:sz w:val="24"/>
        </w:rPr>
        <w:t>其他要求：</w:t>
      </w:r>
    </w:p>
    <w:p>
      <w:pPr>
        <w:tabs>
          <w:tab w:val="left" w:pos="-3060"/>
        </w:tabs>
        <w:snapToGrid w:val="0"/>
        <w:spacing w:line="360" w:lineRule="auto"/>
        <w:ind w:firstLine="480" w:firstLineChars="200"/>
        <w:rPr>
          <w:sz w:val="24"/>
        </w:rPr>
      </w:pPr>
      <w:r>
        <w:rPr>
          <w:rFonts w:hint="eastAsia"/>
          <w:sz w:val="24"/>
        </w:rPr>
        <w:t>监理单位需提供具有信息系统安全等级保护三级及以上备案证的PC端和手机端的项目管理软件，并实现以下五大功能：</w:t>
      </w:r>
    </w:p>
    <w:p>
      <w:pPr>
        <w:tabs>
          <w:tab w:val="left" w:pos="-3060"/>
        </w:tabs>
        <w:snapToGrid w:val="0"/>
        <w:spacing w:line="360" w:lineRule="auto"/>
        <w:ind w:firstLine="480" w:firstLineChars="200"/>
        <w:rPr>
          <w:sz w:val="24"/>
        </w:rPr>
      </w:pPr>
      <w:bookmarkStart w:id="3" w:name="OLE_LINK2"/>
      <w:r>
        <w:rPr>
          <w:rFonts w:hint="eastAsia"/>
          <w:sz w:val="24"/>
        </w:rPr>
        <w:t>1）项目质量控制：对于系统集成部分，能为用户展示项目各分项完成情况，并能快捷生成最终完成情况的对照清单。</w:t>
      </w:r>
    </w:p>
    <w:p>
      <w:pPr>
        <w:tabs>
          <w:tab w:val="left" w:pos="-3060"/>
        </w:tabs>
        <w:snapToGrid w:val="0"/>
        <w:spacing w:line="360" w:lineRule="auto"/>
        <w:ind w:firstLine="480" w:firstLineChars="200"/>
        <w:rPr>
          <w:sz w:val="24"/>
        </w:rPr>
      </w:pPr>
      <w:r>
        <w:rPr>
          <w:rFonts w:hint="eastAsia"/>
          <w:sz w:val="24"/>
        </w:rPr>
        <w:t>2）项目进度控制：能设定并查看项目里程碑、进度，并能回溯项目进度延期及审批相关情况。</w:t>
      </w:r>
    </w:p>
    <w:p>
      <w:pPr>
        <w:tabs>
          <w:tab w:val="left" w:pos="-3060"/>
        </w:tabs>
        <w:snapToGrid w:val="0"/>
        <w:spacing w:line="360" w:lineRule="auto"/>
        <w:ind w:firstLine="480" w:firstLineChars="200"/>
        <w:rPr>
          <w:sz w:val="24"/>
        </w:rPr>
      </w:pPr>
      <w:r>
        <w:rPr>
          <w:rFonts w:hint="eastAsia"/>
          <w:sz w:val="24"/>
        </w:rPr>
        <w:t>3）项目合同管理：能设定明确的合同审核流程并能实时展现流转进度。并能对合同的主要信息进行展示。</w:t>
      </w:r>
    </w:p>
    <w:p>
      <w:pPr>
        <w:tabs>
          <w:tab w:val="left" w:pos="-3060"/>
        </w:tabs>
        <w:snapToGrid w:val="0"/>
        <w:spacing w:line="360" w:lineRule="auto"/>
        <w:ind w:firstLine="480" w:firstLineChars="200"/>
        <w:rPr>
          <w:sz w:val="24"/>
        </w:rPr>
      </w:pPr>
      <w:r>
        <w:rPr>
          <w:rFonts w:hint="eastAsia"/>
          <w:sz w:val="24"/>
        </w:rPr>
        <w:t>4）项目变更控制：能通过系统完成项目变更进行审批及流转，并能查看变更相关的附件材料。</w:t>
      </w:r>
    </w:p>
    <w:p>
      <w:pPr>
        <w:tabs>
          <w:tab w:val="left" w:pos="-3060"/>
        </w:tabs>
        <w:snapToGrid w:val="0"/>
        <w:spacing w:line="360" w:lineRule="auto"/>
        <w:ind w:firstLine="480" w:firstLineChars="200"/>
        <w:rPr>
          <w:sz w:val="24"/>
        </w:rPr>
      </w:pPr>
      <w:r>
        <w:rPr>
          <w:rFonts w:hint="eastAsia"/>
          <w:sz w:val="24"/>
        </w:rPr>
        <w:t>5）项目文档管理：能设定在不同阶段需要上传的文档周期性和必要性，并能对文档完成度和及时性情况进行展示。</w:t>
      </w:r>
    </w:p>
    <w:bookmarkEnd w:id="3"/>
    <w:p>
      <w:pPr>
        <w:snapToGrid w:val="0"/>
        <w:spacing w:line="360" w:lineRule="auto"/>
        <w:ind w:right="-94" w:rightChars="-45"/>
        <w:rPr>
          <w:color w:val="000000"/>
          <w:kern w:val="0"/>
          <w:sz w:val="24"/>
        </w:rPr>
      </w:pPr>
      <w:r>
        <w:rPr>
          <w:rFonts w:hint="eastAsia"/>
          <w:b/>
          <w:sz w:val="24"/>
        </w:rPr>
        <w:t>五</w:t>
      </w:r>
      <w:r>
        <w:rPr>
          <w:b/>
          <w:sz w:val="24"/>
        </w:rPr>
        <w:t>、</w:t>
      </w:r>
      <w:r>
        <w:rPr>
          <w:b/>
          <w:color w:val="000000"/>
          <w:kern w:val="0"/>
          <w:sz w:val="24"/>
        </w:rPr>
        <w:t>付款方式：</w:t>
      </w:r>
    </w:p>
    <w:p>
      <w:pPr>
        <w:tabs>
          <w:tab w:val="left" w:pos="-3060"/>
        </w:tabs>
        <w:snapToGrid w:val="0"/>
        <w:spacing w:line="360" w:lineRule="auto"/>
        <w:ind w:firstLine="480" w:firstLineChars="200"/>
        <w:rPr>
          <w:rFonts w:hint="eastAsia"/>
          <w:sz w:val="24"/>
        </w:rPr>
      </w:pPr>
      <w:r>
        <w:rPr>
          <w:rFonts w:hint="eastAsia"/>
          <w:sz w:val="24"/>
        </w:rPr>
        <w:t>本项目服务期为三年，采购价格为三年总价，项目中标后三年服务期合同一年一签，中标金额按三年平均拆分进行支付，每年合同支付方式为：</w:t>
      </w:r>
    </w:p>
    <w:p>
      <w:pPr>
        <w:tabs>
          <w:tab w:val="left" w:pos="-3060"/>
        </w:tabs>
        <w:snapToGrid w:val="0"/>
        <w:spacing w:line="360" w:lineRule="auto"/>
        <w:ind w:firstLine="480" w:firstLineChars="200"/>
        <w:rPr>
          <w:rFonts w:hint="eastAsia"/>
          <w:sz w:val="24"/>
        </w:rPr>
      </w:pPr>
      <w:r>
        <w:rPr>
          <w:rFonts w:hint="eastAsia"/>
          <w:sz w:val="24"/>
        </w:rPr>
        <w:t>1）第一年：当年项目监理合同签订后7个工作日内采购单位支付合同总额的70%；项目经试运行并通过验收后，采购单位在收到中标监理单位发票后10</w:t>
      </w:r>
      <w:r>
        <w:rPr>
          <w:rFonts w:hint="default"/>
          <w:sz w:val="24"/>
          <w:woUserID w:val="1"/>
        </w:rPr>
        <w:t>个工作日</w:t>
      </w:r>
      <w:r>
        <w:rPr>
          <w:rFonts w:hint="eastAsia"/>
          <w:sz w:val="24"/>
        </w:rPr>
        <w:t>内支付合同总额的25%；运维期满12个月且年度运维服务工作完并通过验收后，采购单位在收到中标监理单位发票后10</w:t>
      </w:r>
      <w:r>
        <w:rPr>
          <w:rFonts w:hint="default"/>
          <w:sz w:val="24"/>
          <w:woUserID w:val="1"/>
        </w:rPr>
        <w:t>个工作日</w:t>
      </w:r>
      <w:r>
        <w:rPr>
          <w:rFonts w:hint="eastAsia"/>
          <w:sz w:val="24"/>
        </w:rPr>
        <w:t>内最高支付合同总额的5%。</w:t>
      </w:r>
    </w:p>
    <w:p>
      <w:pPr>
        <w:tabs>
          <w:tab w:val="left" w:pos="-3060"/>
        </w:tabs>
        <w:snapToGrid w:val="0"/>
        <w:spacing w:line="360" w:lineRule="auto"/>
        <w:ind w:firstLine="480" w:firstLineChars="200"/>
        <w:rPr>
          <w:rFonts w:hint="eastAsia"/>
          <w:sz w:val="24"/>
        </w:rPr>
      </w:pPr>
      <w:r>
        <w:rPr>
          <w:rFonts w:hint="eastAsia"/>
          <w:sz w:val="24"/>
        </w:rPr>
        <w:t>2）第二年：当年监理合同签订后，采购单位在收到中标监理单位发票后7个工作日内支付合同总额的70%；半年度运维服务完成并验收通过后，采购单位在收到中标监理单位发票后10个工作日内最高支付合同总额的25%；运维期满12个月且年度运维服务工作完并通过验收后，采购单位在收到中标监理单位发票后10个工作日内最高支付合同总额的5%。</w:t>
      </w:r>
    </w:p>
    <w:p>
      <w:pPr>
        <w:tabs>
          <w:tab w:val="left" w:pos="-3060"/>
        </w:tabs>
        <w:snapToGrid w:val="0"/>
        <w:spacing w:line="360" w:lineRule="auto"/>
        <w:ind w:firstLine="480" w:firstLineChars="200"/>
        <w:rPr>
          <w:rFonts w:hint="eastAsia"/>
          <w:sz w:val="24"/>
        </w:rPr>
      </w:pPr>
      <w:r>
        <w:rPr>
          <w:rFonts w:hint="eastAsia"/>
          <w:sz w:val="24"/>
        </w:rPr>
        <w:t>3）第三年：当年监理合同签订后，采购单位在收到中标监理单位发票后7个工作日内支付合同总额的70%；半年度运维服务完成并验收通过后，采购单位依据运维服务考核结果在收到中标监理单位发票后10个工作日内最高支付合同总额的25%；运维期满12个月且年度运维服务工作完并通过验收后，采购单位在收到中标监理单位发票后10个工作日内最高支付合同总额的5%。</w:t>
      </w:r>
    </w:p>
    <w:p>
      <w:pPr>
        <w:spacing w:line="380" w:lineRule="exact"/>
        <w:jc w:val="left"/>
        <w:rPr>
          <w:rFonts w:hint="eastAsia" w:ascii="仿宋" w:hAnsi="仿宋" w:eastAsia="仿宋" w:cs="仿宋"/>
          <w:sz w:val="24"/>
          <w:shd w:val="clear" w:color="auto" w:fill="auto"/>
        </w:rPr>
      </w:pPr>
    </w:p>
    <w:bookmarkEnd w:id="0"/>
    <w:p>
      <w:pPr>
        <w:spacing w:line="380" w:lineRule="exact"/>
        <w:jc w:val="left"/>
        <w:rPr>
          <w:rFonts w:hint="eastAsia" w:ascii="仿宋" w:hAnsi="仿宋" w:eastAsia="仿宋" w:cs="仿宋"/>
          <w:b/>
          <w:sz w:val="28"/>
          <w:szCs w:val="28"/>
          <w:u w:val="none"/>
          <w:shd w:val="clear" w:color="auto" w:fill="auto"/>
        </w:rPr>
      </w:pPr>
    </w:p>
    <w:p>
      <w:pPr>
        <w:spacing w:line="380" w:lineRule="exact"/>
        <w:jc w:val="left"/>
        <w:rPr>
          <w:rFonts w:hint="eastAsia" w:ascii="仿宋" w:hAnsi="仿宋" w:eastAsia="仿宋" w:cs="仿宋"/>
          <w:sz w:val="24"/>
          <w:u w:val="none"/>
          <w:shd w:val="clear" w:color="auto" w:fill="auto"/>
        </w:rPr>
      </w:pPr>
      <w:r>
        <w:rPr>
          <w:rFonts w:hint="eastAsia" w:ascii="仿宋" w:hAnsi="仿宋" w:eastAsia="仿宋" w:cs="仿宋"/>
          <w:b/>
          <w:sz w:val="28"/>
          <w:szCs w:val="28"/>
          <w:u w:val="none"/>
          <w:shd w:val="clear" w:color="auto" w:fill="auto"/>
        </w:rPr>
        <w:t>三、合同订立安排</w:t>
      </w:r>
    </w:p>
    <w:p>
      <w:pPr>
        <w:spacing w:line="380" w:lineRule="exact"/>
        <w:jc w:val="left"/>
        <w:rPr>
          <w:rFonts w:hint="eastAsia" w:ascii="仿宋" w:hAnsi="仿宋" w:eastAsia="仿宋" w:cs="仿宋"/>
          <w:b/>
          <w:bCs/>
          <w:sz w:val="24"/>
          <w:u w:val="none"/>
          <w:shd w:val="clear" w:color="auto" w:fill="auto"/>
          <w:lang w:val="en-US" w:eastAsia="zh-CN"/>
        </w:rPr>
      </w:pPr>
      <w:r>
        <w:rPr>
          <w:rFonts w:hint="eastAsia" w:ascii="仿宋" w:hAnsi="仿宋" w:eastAsia="仿宋" w:cs="仿宋"/>
          <w:sz w:val="24"/>
          <w:u w:val="none"/>
          <w:shd w:val="clear" w:color="auto" w:fill="auto"/>
        </w:rPr>
        <w:t>（一）</w:t>
      </w:r>
      <w:r>
        <w:rPr>
          <w:rFonts w:hint="eastAsia" w:ascii="仿宋" w:hAnsi="仿宋" w:eastAsia="仿宋" w:cs="仿宋"/>
          <w:b/>
          <w:bCs/>
          <w:sz w:val="24"/>
          <w:u w:val="none"/>
          <w:shd w:val="clear" w:color="auto" w:fill="auto"/>
        </w:rPr>
        <w:t>采购项目预（概）算（元）：</w:t>
      </w:r>
      <w:r>
        <w:rPr>
          <w:rFonts w:hint="eastAsia" w:ascii="仿宋" w:hAnsi="仿宋" w:eastAsia="仿宋" w:cs="仿宋"/>
          <w:b/>
          <w:bCs/>
          <w:sz w:val="24"/>
          <w:u w:val="none"/>
          <w:shd w:val="clear" w:color="auto" w:fill="auto"/>
          <w:lang w:val="en-US" w:eastAsia="zh-CN"/>
        </w:rPr>
        <w:t xml:space="preserve">9000000  </w:t>
      </w:r>
    </w:p>
    <w:p>
      <w:pPr>
        <w:spacing w:line="380" w:lineRule="exact"/>
        <w:jc w:val="left"/>
        <w:rPr>
          <w:rFonts w:hint="default" w:ascii="仿宋" w:hAnsi="仿宋" w:eastAsia="仿宋" w:cs="仿宋"/>
          <w:sz w:val="24"/>
          <w:u w:val="none"/>
          <w:shd w:val="clear" w:color="auto" w:fill="auto"/>
          <w:lang w:val="en-US" w:eastAsia="zh-CN"/>
        </w:rPr>
      </w:pPr>
      <w:r>
        <w:rPr>
          <w:rFonts w:hint="eastAsia" w:ascii="仿宋" w:hAnsi="仿宋" w:eastAsia="仿宋" w:cs="仿宋"/>
          <w:b/>
          <w:bCs/>
          <w:sz w:val="24"/>
          <w:u w:val="none"/>
          <w:shd w:val="clear" w:color="auto" w:fill="auto"/>
          <w:lang w:val="en-US" w:eastAsia="zh-CN"/>
        </w:rPr>
        <w:t>标项一：882万元、标项二：18万元</w:t>
      </w:r>
    </w:p>
    <w:p>
      <w:pPr>
        <w:spacing w:line="380" w:lineRule="exact"/>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（二）拟开展采购活动的时间安排：202</w:t>
      </w:r>
      <w:r>
        <w:rPr>
          <w:rFonts w:hint="eastAsia" w:ascii="仿宋" w:hAnsi="仿宋" w:eastAsia="仿宋" w:cs="仿宋"/>
          <w:sz w:val="24"/>
          <w:u w:val="none"/>
          <w:shd w:val="clear" w:color="auto" w:fill="auto"/>
          <w:lang w:val="en-US" w:eastAsia="zh-CN"/>
        </w:rPr>
        <w:t>5</w:t>
      </w:r>
      <w:r>
        <w:rPr>
          <w:rFonts w:hint="eastAsia" w:ascii="仿宋" w:hAnsi="仿宋" w:eastAsia="仿宋" w:cs="仿宋"/>
          <w:sz w:val="24"/>
          <w:u w:val="none"/>
          <w:shd w:val="clear" w:color="auto" w:fill="auto"/>
        </w:rPr>
        <w:t>年</w:t>
      </w:r>
      <w:r>
        <w:rPr>
          <w:rFonts w:hint="eastAsia" w:ascii="仿宋" w:hAnsi="仿宋" w:eastAsia="仿宋" w:cs="仿宋"/>
          <w:sz w:val="24"/>
          <w:u w:val="none"/>
          <w:shd w:val="clear" w:color="auto" w:fill="auto"/>
          <w:lang w:val="en-US" w:eastAsia="zh-CN"/>
        </w:rPr>
        <w:t>3</w:t>
      </w:r>
      <w:r>
        <w:rPr>
          <w:rFonts w:hint="eastAsia" w:ascii="仿宋" w:hAnsi="仿宋" w:eastAsia="仿宋" w:cs="仿宋"/>
          <w:sz w:val="24"/>
          <w:u w:val="none"/>
          <w:shd w:val="clear" w:color="auto" w:fill="auto"/>
        </w:rPr>
        <w:t>月</w:t>
      </w:r>
    </w:p>
    <w:p>
      <w:pPr>
        <w:spacing w:line="380" w:lineRule="exact"/>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 xml:space="preserve">（三）采购组织形式：分散采购 </w:t>
      </w:r>
    </w:p>
    <w:p>
      <w:pPr>
        <w:spacing w:line="380" w:lineRule="exact"/>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（四）委托代理安排：采购代理机构</w:t>
      </w:r>
    </w:p>
    <w:p>
      <w:pPr>
        <w:spacing w:line="380" w:lineRule="exact"/>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（五）采购包划分：分</w:t>
      </w:r>
      <w:r>
        <w:rPr>
          <w:rFonts w:hint="eastAsia" w:ascii="仿宋" w:hAnsi="仿宋" w:eastAsia="仿宋" w:cs="仿宋"/>
          <w:sz w:val="24"/>
          <w:u w:val="none"/>
          <w:shd w:val="clear" w:color="auto" w:fill="auto"/>
          <w:lang w:val="en-US" w:eastAsia="zh-CN"/>
        </w:rPr>
        <w:t>2个</w:t>
      </w:r>
      <w:r>
        <w:rPr>
          <w:rFonts w:hint="eastAsia" w:ascii="仿宋" w:hAnsi="仿宋" w:eastAsia="仿宋" w:cs="仿宋"/>
          <w:sz w:val="24"/>
          <w:u w:val="none"/>
          <w:shd w:val="clear" w:color="auto" w:fill="auto"/>
        </w:rPr>
        <w:t xml:space="preserve">标项 </w:t>
      </w:r>
    </w:p>
    <w:p>
      <w:pPr>
        <w:spacing w:line="380" w:lineRule="exact"/>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（六）合同分包：不同意分包</w:t>
      </w:r>
    </w:p>
    <w:p>
      <w:pPr>
        <w:spacing w:line="380" w:lineRule="exact"/>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（七）供应商资格条件</w:t>
      </w:r>
    </w:p>
    <w:p>
      <w:pPr>
        <w:spacing w:line="380" w:lineRule="exact"/>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80" w:lineRule="exact"/>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 xml:space="preserve"> 2. 以联合体形式投标的，提供联合协议(本项目不接受联合体投标或者投标人不以联合体形式投标的，则不需要提供) ；</w:t>
      </w:r>
    </w:p>
    <w:p>
      <w:pPr>
        <w:spacing w:line="380" w:lineRule="exact"/>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3.落实政府采购政策需满足的资格要求：</w:t>
      </w:r>
    </w:p>
    <w:p>
      <w:pPr>
        <w:spacing w:line="380" w:lineRule="exact"/>
        <w:jc w:val="left"/>
        <w:rPr>
          <w:rFonts w:hint="eastAsia" w:ascii="仿宋" w:hAnsi="仿宋" w:eastAsia="仿宋" w:cs="仿宋"/>
          <w:sz w:val="24"/>
          <w:u w:val="none"/>
          <w:shd w:val="clear" w:color="auto" w:fill="auto"/>
          <w:lang w:eastAsia="zh-CN"/>
        </w:rPr>
      </w:pPr>
      <w:r>
        <w:rPr>
          <w:rFonts w:hint="eastAsia" w:ascii="仿宋" w:hAnsi="仿宋" w:eastAsia="仿宋" w:cs="仿宋"/>
          <w:sz w:val="24"/>
          <w:u w:val="none"/>
          <w:shd w:val="clear" w:color="auto" w:fill="auto"/>
        </w:rPr>
        <w:t>服务全部由符合政策要求的中小企业承接，提供中小企业声明函</w:t>
      </w:r>
      <w:r>
        <w:rPr>
          <w:rFonts w:hint="eastAsia" w:ascii="仿宋" w:hAnsi="仿宋" w:eastAsia="仿宋" w:cs="仿宋"/>
          <w:sz w:val="24"/>
          <w:u w:val="none"/>
          <w:shd w:val="clear" w:color="auto" w:fill="auto"/>
          <w:lang w:eastAsia="zh-CN"/>
        </w:rPr>
        <w:t>。</w:t>
      </w:r>
    </w:p>
    <w:p>
      <w:pPr>
        <w:spacing w:line="380" w:lineRule="exact"/>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4.本项目的特定资格要求：无；</w:t>
      </w:r>
    </w:p>
    <w:p>
      <w:pPr>
        <w:spacing w:line="380" w:lineRule="exact"/>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80" w:lineRule="exact"/>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（八）采购方式：公开招标</w:t>
      </w:r>
    </w:p>
    <w:p>
      <w:pPr>
        <w:spacing w:line="380" w:lineRule="exact"/>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（九）选择采购方式的理由：余财采(2023)1号文件精神。</w:t>
      </w:r>
    </w:p>
    <w:p>
      <w:pPr>
        <w:spacing w:line="380" w:lineRule="exact"/>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（十）竞争范围：公开发布</w:t>
      </w:r>
    </w:p>
    <w:p>
      <w:pPr>
        <w:spacing w:line="380" w:lineRule="exact"/>
        <w:rPr>
          <w:rFonts w:hint="eastAsia" w:ascii="仿宋" w:hAnsi="仿宋" w:eastAsia="仿宋" w:cs="仿宋"/>
          <w:sz w:val="24"/>
          <w:shd w:val="clear" w:color="auto" w:fill="auto"/>
        </w:rPr>
      </w:pPr>
      <w:r>
        <w:rPr>
          <w:rFonts w:hint="eastAsia" w:ascii="仿宋" w:hAnsi="仿宋" w:eastAsia="仿宋" w:cs="仿宋"/>
          <w:sz w:val="24"/>
          <w:u w:val="none"/>
          <w:shd w:val="clear" w:color="auto" w:fill="auto"/>
        </w:rPr>
        <w:t>（十一）评审规则：综合评分，评审规则选择理由：《中华人民共</w:t>
      </w:r>
      <w:r>
        <w:rPr>
          <w:rFonts w:hint="eastAsia" w:ascii="仿宋" w:hAnsi="仿宋" w:eastAsia="仿宋" w:cs="仿宋"/>
          <w:sz w:val="24"/>
          <w:shd w:val="clear" w:color="auto" w:fill="auto"/>
        </w:rPr>
        <w:t>和国政府采购法》。</w:t>
      </w:r>
    </w:p>
    <w:p>
      <w:pPr>
        <w:spacing w:line="380" w:lineRule="exact"/>
        <w:ind w:firstLine="140" w:firstLineChars="50"/>
        <w:rPr>
          <w:rFonts w:hint="eastAsia" w:ascii="仿宋" w:hAnsi="仿宋" w:eastAsia="仿宋" w:cs="仿宋"/>
          <w:sz w:val="24"/>
          <w:shd w:val="clear" w:color="auto" w:fill="auto"/>
        </w:rPr>
      </w:pPr>
      <w:r>
        <w:rPr>
          <w:rFonts w:hint="eastAsia" w:ascii="仿宋" w:hAnsi="仿宋" w:eastAsia="仿宋" w:cs="仿宋"/>
          <w:b/>
          <w:sz w:val="28"/>
          <w:szCs w:val="28"/>
          <w:shd w:val="clear" w:color="auto" w:fill="auto"/>
        </w:rPr>
        <w:t>二、合同管理安排</w:t>
      </w:r>
    </w:p>
    <w:p>
      <w:pPr>
        <w:spacing w:line="380" w:lineRule="exact"/>
        <w:jc w:val="left"/>
        <w:rPr>
          <w:rFonts w:hint="eastAsia" w:ascii="仿宋" w:hAnsi="仿宋" w:eastAsia="仿宋" w:cs="仿宋"/>
          <w:sz w:val="24"/>
          <w:u w:val="none"/>
          <w:shd w:val="clear" w:color="auto" w:fill="auto"/>
        </w:rPr>
      </w:pPr>
      <w:r>
        <w:rPr>
          <w:rFonts w:hint="eastAsia" w:ascii="仿宋" w:hAnsi="仿宋" w:eastAsia="仿宋" w:cs="仿宋"/>
          <w:sz w:val="24"/>
          <w:shd w:val="clear" w:color="auto" w:fill="auto"/>
        </w:rPr>
        <w:t>（一）合同类型：</w:t>
      </w:r>
      <w:r>
        <w:rPr>
          <w:rFonts w:hint="eastAsia" w:ascii="仿宋" w:hAnsi="仿宋" w:eastAsia="仿宋" w:cs="仿宋"/>
          <w:sz w:val="24"/>
        </w:rPr>
        <w:t>服务合同</w:t>
      </w:r>
      <w:r>
        <w:rPr>
          <w:rFonts w:hint="eastAsia" w:ascii="仿宋" w:hAnsi="仿宋" w:eastAsia="仿宋" w:cs="仿宋"/>
          <w:sz w:val="24"/>
          <w:u w:val="none"/>
          <w:shd w:val="clear" w:color="auto" w:fill="auto"/>
        </w:rPr>
        <w:t>，合同类型选择理由：</w:t>
      </w:r>
      <w:r>
        <w:rPr>
          <w:rFonts w:hint="eastAsia" w:ascii="仿宋" w:hAnsi="仿宋" w:eastAsia="仿宋" w:cs="仿宋"/>
          <w:sz w:val="24"/>
          <w:u w:val="single"/>
        </w:rPr>
        <w:t>本项目是服务项目</w:t>
      </w:r>
      <w:r>
        <w:rPr>
          <w:rFonts w:hint="eastAsia" w:ascii="仿宋" w:hAnsi="仿宋" w:eastAsia="仿宋" w:cs="仿宋"/>
          <w:sz w:val="24"/>
          <w:u w:val="none"/>
          <w:shd w:val="clear" w:color="auto" w:fill="auto"/>
        </w:rPr>
        <w:t>。</w:t>
      </w:r>
    </w:p>
    <w:p>
      <w:pPr>
        <w:spacing w:line="380" w:lineRule="exact"/>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（二）定价方式：</w:t>
      </w:r>
      <w:r>
        <w:rPr>
          <w:rFonts w:hint="eastAsia" w:ascii="仿宋" w:hAnsi="仿宋" w:eastAsia="仿宋" w:cs="仿宋"/>
          <w:sz w:val="24"/>
        </w:rPr>
        <w:t>固定</w:t>
      </w:r>
      <w:r>
        <w:rPr>
          <w:rFonts w:hint="eastAsia" w:ascii="仿宋" w:hAnsi="仿宋" w:eastAsia="仿宋" w:cs="仿宋"/>
          <w:sz w:val="24"/>
          <w:lang w:val="en-US" w:eastAsia="zh-CN"/>
        </w:rPr>
        <w:t>总价</w:t>
      </w:r>
    </w:p>
    <w:p>
      <w:pPr>
        <w:spacing w:line="380" w:lineRule="exact"/>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（三）合同文本的主要条款</w:t>
      </w:r>
    </w:p>
    <w:p>
      <w:pPr>
        <w:spacing w:line="380" w:lineRule="exact"/>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1.合同主要标的</w:t>
      </w:r>
    </w:p>
    <w:p>
      <w:pPr>
        <w:pStyle w:val="2"/>
        <w:rPr>
          <w:rFonts w:hint="eastAsia"/>
        </w:rPr>
      </w:pP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后台算力服务器及存储租赁服务项目标项一</w:t>
      </w:r>
    </w:p>
    <w:p>
      <w:pPr>
        <w:rPr>
          <w:rFonts w:hint="eastAsia" w:ascii="宋体" w:hAnsi="宋体" w:eastAsia="宋体" w:cs="宋体"/>
          <w:sz w:val="24"/>
          <w:szCs w:val="24"/>
          <w:lang w:val="en-US" w:eastAsia="zh-CN"/>
        </w:rPr>
      </w:pPr>
      <w:r>
        <w:rPr>
          <w:rFonts w:hint="eastAsia" w:ascii="宋体" w:hAnsi="宋体" w:eastAsia="宋体" w:cs="宋体"/>
          <w:b/>
          <w:color w:val="000000"/>
          <w:sz w:val="24"/>
          <w:szCs w:val="24"/>
          <w:highlight w:val="none"/>
          <w:lang w:val="en-US" w:eastAsia="zh-CN"/>
        </w:rPr>
        <w:t>预算金额</w:t>
      </w:r>
      <w:r>
        <w:rPr>
          <w:rFonts w:hint="eastAsia" w:ascii="宋体" w:hAnsi="宋体" w:cs="宋体"/>
          <w:b/>
          <w:color w:val="000000"/>
          <w:sz w:val="24"/>
          <w:szCs w:val="24"/>
          <w:highlight w:val="none"/>
          <w:lang w:val="en-US" w:eastAsia="zh-CN"/>
        </w:rPr>
        <w:t>882</w:t>
      </w:r>
      <w:r>
        <w:rPr>
          <w:rFonts w:hint="eastAsia" w:ascii="宋体" w:hAnsi="宋体" w:eastAsia="宋体" w:cs="宋体"/>
          <w:b/>
          <w:color w:val="000000"/>
          <w:sz w:val="24"/>
          <w:szCs w:val="24"/>
          <w:highlight w:val="none"/>
          <w:lang w:val="en-US" w:eastAsia="zh-CN"/>
        </w:rPr>
        <w:t>万</w:t>
      </w:r>
    </w:p>
    <w:p>
      <w:pPr>
        <w:snapToGrid w:val="0"/>
        <w:spacing w:line="360" w:lineRule="auto"/>
        <w:outlineLvl w:val="0"/>
        <w:rPr>
          <w:rFonts w:hint="eastAsia" w:ascii="仿宋" w:hAnsi="仿宋" w:eastAsia="仿宋" w:cs="仿宋"/>
          <w:b/>
          <w:bCs/>
          <w:sz w:val="24"/>
          <w:szCs w:val="24"/>
        </w:rPr>
      </w:pPr>
      <w:r>
        <w:rPr>
          <w:rFonts w:hint="eastAsia" w:ascii="仿宋" w:hAnsi="仿宋" w:eastAsia="仿宋" w:cs="仿宋"/>
          <w:b/>
          <w:bCs/>
          <w:sz w:val="24"/>
          <w:szCs w:val="24"/>
        </w:rPr>
        <w:t>一、 项目概述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为深入推进临平区社会治理感知体系建设，深入贯彻“统一整体规划、统一建设运维、统一平台共享、统一技术标准、统一监督管理”的“五统一”工作原则，进一步提升临平公安后台算力及存储能力，满足实战应用需求。结合临平实际，拟在原天网工程6000路存储基础上扩建12000路存储，实现视频监控存储总量达到18000路目标，并扩建不少于</w:t>
      </w:r>
      <w:r>
        <w:rPr>
          <w:rFonts w:hint="eastAsia" w:ascii="仿宋_GB2312" w:eastAsia="仿宋_GB2312"/>
          <w:sz w:val="24"/>
          <w:szCs w:val="24"/>
        </w:rPr>
        <w:t>68张国产GPU卡的智能解析算力。</w:t>
      </w:r>
      <w:r>
        <w:rPr>
          <w:rFonts w:hint="eastAsia" w:ascii="仿宋" w:hAnsi="仿宋" w:eastAsia="仿宋" w:cs="仿宋"/>
          <w:sz w:val="24"/>
          <w:szCs w:val="24"/>
        </w:rPr>
        <w:t>为确保达到以上需求，本项目通过购买服务的方式，对后端资源进行扩容建设，并匹配对应的云存储设备、智能解析设备、网络交换设备及配套的视频接入转发中心等基础设施，为视图智能应用建设提供基础，赋能临平公安数字实战警务实践。</w:t>
      </w:r>
    </w:p>
    <w:p>
      <w:pPr>
        <w:snapToGrid w:val="0"/>
        <w:spacing w:line="360" w:lineRule="auto"/>
        <w:outlineLvl w:val="0"/>
        <w:rPr>
          <w:rFonts w:hint="eastAsia" w:ascii="仿宋" w:hAnsi="仿宋" w:eastAsia="仿宋" w:cs="仿宋"/>
          <w:b/>
          <w:bCs/>
          <w:sz w:val="24"/>
          <w:szCs w:val="24"/>
        </w:rPr>
      </w:pPr>
      <w:r>
        <w:rPr>
          <w:rFonts w:hint="eastAsia" w:ascii="仿宋" w:hAnsi="仿宋" w:eastAsia="仿宋" w:cs="仿宋"/>
          <w:b/>
          <w:bCs/>
          <w:sz w:val="24"/>
          <w:szCs w:val="24"/>
        </w:rPr>
        <w:t>二、 总体要求</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本项目采用购买服务的方式为杭州市公安局临平区分局提供公安专网视图存储扩容服务及智能后端扩容服务，主要包括扩容云存储池、智能解析算力资源及相关配套基础设施内容。总体要求如下：</w:t>
      </w:r>
    </w:p>
    <w:p>
      <w:pPr>
        <w:numPr>
          <w:ilvl w:val="0"/>
          <w:numId w:val="1"/>
        </w:num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本项目中标单位在系统建设过程中所涉及的所有硬件产品（含辅材辅料）全部由中标单位根据采购要求自行完成产品选型和建设，所有硬件产品（含辅材辅料）的产权归中标单位所有，所有硬件产品（含辅材辅料）的维护、更新由中标单位负责。</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2.中标单位所提供的硬件产品（含辅材辅料）须存放在采购人指定的机房内。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3.中标单位应充分考虑采购人对图像和视频数据服务的高质量要求，确保合同期内能稳定提供高标准、高质量的图像和视频采集、处理服务，所有硬件、系统均需与临平区公安分局现有系统实现无缝对接。</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4.合同期内，如某些硬件产品水平无法满足采购需求，中标单位必须无条件并及时地进行更新与改造，由此产生的费用由中标单位自行承担。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5.中标单位提供所有硬件设备均需满足国产化要求。</w:t>
      </w:r>
    </w:p>
    <w:p>
      <w:pPr>
        <w:snapToGrid w:val="0"/>
        <w:spacing w:line="360" w:lineRule="auto"/>
        <w:outlineLvl w:val="0"/>
        <w:rPr>
          <w:rFonts w:hint="eastAsia" w:ascii="仿宋" w:hAnsi="仿宋" w:eastAsia="仿宋" w:cs="仿宋"/>
          <w:b/>
          <w:bCs/>
          <w:sz w:val="24"/>
          <w:szCs w:val="24"/>
        </w:rPr>
      </w:pPr>
      <w:r>
        <w:rPr>
          <w:rFonts w:hint="eastAsia" w:ascii="仿宋" w:hAnsi="仿宋" w:eastAsia="仿宋" w:cs="仿宋"/>
          <w:b/>
          <w:bCs/>
          <w:sz w:val="24"/>
          <w:szCs w:val="24"/>
        </w:rPr>
        <w:t>三、详细技术要求</w:t>
      </w:r>
    </w:p>
    <w:p>
      <w:pPr>
        <w:spacing w:line="360" w:lineRule="auto"/>
        <w:ind w:firstLine="480" w:firstLineChars="200"/>
        <w:rPr>
          <w:rFonts w:hint="eastAsia" w:ascii="仿宋_GB2312" w:eastAsia="仿宋_GB2312"/>
          <w:b/>
          <w:bCs/>
          <w:sz w:val="24"/>
          <w:szCs w:val="24"/>
        </w:rPr>
      </w:pPr>
      <w:r>
        <w:rPr>
          <w:rFonts w:hint="eastAsia" w:ascii="仿宋_GB2312" w:eastAsia="仿宋_GB2312"/>
          <w:sz w:val="24"/>
          <w:szCs w:val="24"/>
        </w:rPr>
        <w:t>1.扩容云存储存储池：按照新增12000路视频监控存储要求扩容临平区公安分局云存储存储池。在视频专网按照4M码流，存储30天的标准存储视频监控，提供至少16.875PB的存储空间；在公安网内，按照大小图存180天的标准，提供至少5.625PB的存储空间；即总计需提供至少22.5PB的存储空间。</w:t>
      </w:r>
    </w:p>
    <w:p>
      <w:pPr>
        <w:spacing w:line="360" w:lineRule="auto"/>
        <w:ind w:firstLine="480" w:firstLineChars="200"/>
        <w:rPr>
          <w:rFonts w:hint="eastAsia" w:ascii="仿宋_GB2312" w:eastAsia="仿宋_GB2312"/>
          <w:b/>
          <w:bCs/>
          <w:sz w:val="24"/>
          <w:szCs w:val="24"/>
        </w:rPr>
      </w:pPr>
      <w:r>
        <w:rPr>
          <w:rFonts w:hint="eastAsia" w:ascii="仿宋_GB2312" w:eastAsia="仿宋_GB2312"/>
          <w:sz w:val="24"/>
          <w:szCs w:val="24"/>
        </w:rPr>
        <w:t>2.扩容智能解析算力资源：本项目扩容的智能解析算力资源，将服务于公安实战，要求提供总计不少于68张国产GPU卡。</w:t>
      </w:r>
    </w:p>
    <w:p>
      <w:pPr>
        <w:spacing w:line="360" w:lineRule="auto"/>
        <w:ind w:firstLine="480" w:firstLineChars="200"/>
        <w:rPr>
          <w:rFonts w:hint="eastAsia" w:ascii="仿宋_GB2312" w:eastAsia="仿宋_GB2312"/>
          <w:b/>
          <w:bCs/>
          <w:sz w:val="24"/>
          <w:szCs w:val="24"/>
        </w:rPr>
      </w:pPr>
      <w:r>
        <w:rPr>
          <w:rFonts w:hint="eastAsia" w:ascii="仿宋_GB2312" w:eastAsia="仿宋_GB2312"/>
          <w:sz w:val="24"/>
          <w:szCs w:val="24"/>
        </w:rPr>
        <w:t>3.扩容配套视频接入转发中心基础设施：结合本项目业务需求，增加5台大数据服务器、4台摆渡服务器、3台数据自助分析节点、1台应用服务器、3台流媒体服务器以及对应的交换机、安全设备等，优化临平分局视频接入转发中心基础设施支撑配套。</w:t>
      </w:r>
    </w:p>
    <w:p>
      <w:pPr>
        <w:snapToGrid w:val="0"/>
        <w:spacing w:line="360" w:lineRule="auto"/>
        <w:outlineLvl w:val="0"/>
        <w:rPr>
          <w:rFonts w:hint="eastAsia" w:ascii="仿宋" w:hAnsi="仿宋" w:eastAsia="仿宋" w:cs="仿宋"/>
          <w:b/>
          <w:bCs/>
          <w:sz w:val="24"/>
          <w:szCs w:val="24"/>
        </w:rPr>
      </w:pPr>
      <w:r>
        <w:rPr>
          <w:rFonts w:hint="eastAsia" w:ascii="仿宋" w:hAnsi="仿宋" w:eastAsia="仿宋" w:cs="仿宋"/>
          <w:b/>
          <w:bCs/>
          <w:sz w:val="24"/>
          <w:szCs w:val="24"/>
        </w:rPr>
        <w:t>四、 服务要求</w:t>
      </w:r>
    </w:p>
    <w:p>
      <w:pPr>
        <w:spacing w:line="360" w:lineRule="auto"/>
        <w:ind w:firstLine="480" w:firstLineChars="200"/>
        <w:rPr>
          <w:rFonts w:hint="eastAsia" w:ascii="仿宋_GB2312" w:eastAsia="仿宋_GB2312"/>
          <w:b/>
          <w:bCs/>
          <w:sz w:val="24"/>
          <w:szCs w:val="24"/>
        </w:rPr>
      </w:pPr>
      <w:r>
        <w:rPr>
          <w:rFonts w:hint="eastAsia" w:ascii="仿宋_GB2312" w:eastAsia="仿宋_GB2312"/>
          <w:sz w:val="24"/>
          <w:szCs w:val="24"/>
        </w:rPr>
        <w:t>1.响应服务：中标单位在正式签订合同并进入试运行期起，须</w:t>
      </w:r>
      <w:r>
        <w:rPr>
          <w:rFonts w:hint="eastAsia" w:ascii="仿宋" w:hAnsi="仿宋" w:eastAsia="仿宋" w:cs="仿宋"/>
          <w:spacing w:val="-4"/>
          <w:sz w:val="24"/>
          <w:szCs w:val="24"/>
        </w:rPr>
        <w:t>提供7×24小时响应服务，确保设备7×24小时正常运行。如遇问题，中标单位须要在1小时内对故障进行排查修复。</w:t>
      </w:r>
    </w:p>
    <w:p>
      <w:pPr>
        <w:spacing w:line="360" w:lineRule="auto"/>
        <w:ind w:firstLine="464" w:firstLineChars="200"/>
        <w:rPr>
          <w:rFonts w:hint="eastAsia" w:ascii="仿宋" w:hAnsi="仿宋" w:eastAsia="仿宋" w:cs="仿宋"/>
          <w:b/>
          <w:bCs/>
          <w:spacing w:val="-4"/>
          <w:sz w:val="24"/>
          <w:szCs w:val="24"/>
        </w:rPr>
      </w:pPr>
      <w:r>
        <w:rPr>
          <w:rFonts w:hint="eastAsia" w:ascii="仿宋" w:hAnsi="仿宋" w:eastAsia="仿宋" w:cs="仿宋"/>
          <w:spacing w:val="-4"/>
          <w:sz w:val="24"/>
          <w:szCs w:val="24"/>
        </w:rPr>
        <w:t>2.巡检服务：中标单位需建立完善的巡检制度，通过巡检及时发现各类问题并及时进行整改修复，定期提交巡检报告。</w:t>
      </w:r>
    </w:p>
    <w:p>
      <w:pPr>
        <w:spacing w:line="360" w:lineRule="auto"/>
        <w:ind w:firstLine="464" w:firstLineChars="200"/>
        <w:rPr>
          <w:rFonts w:hint="eastAsia" w:ascii="仿宋" w:hAnsi="仿宋" w:eastAsia="仿宋" w:cs="仿宋"/>
          <w:b/>
          <w:bCs/>
          <w:spacing w:val="-4"/>
          <w:sz w:val="24"/>
          <w:szCs w:val="24"/>
        </w:rPr>
      </w:pPr>
      <w:r>
        <w:rPr>
          <w:rFonts w:hint="eastAsia" w:ascii="仿宋" w:hAnsi="仿宋" w:eastAsia="仿宋" w:cs="仿宋"/>
          <w:spacing w:val="-4"/>
          <w:sz w:val="24"/>
          <w:szCs w:val="24"/>
        </w:rPr>
        <w:t>3.技术服务：</w:t>
      </w:r>
      <w:r>
        <w:rPr>
          <w:rFonts w:hint="eastAsia" w:ascii="仿宋_GB2312" w:eastAsia="仿宋_GB2312"/>
          <w:sz w:val="24"/>
          <w:szCs w:val="24"/>
        </w:rPr>
        <w:t>中标单位须要提供包括但不限于存储配置、存储迁移、配套网络设备配置、软件平台适配等技术服务，确保在服务期内临平区公安分局视频、视图业务不因配套网络或存储故障而受影响。</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4.服务考核要求：</w:t>
      </w:r>
      <w:r>
        <w:rPr>
          <w:rFonts w:hint="eastAsia" w:ascii="仿宋" w:hAnsi="仿宋" w:eastAsia="仿宋" w:cs="仿宋"/>
          <w:spacing w:val="-4"/>
          <w:sz w:val="24"/>
          <w:szCs w:val="24"/>
        </w:rPr>
        <w:t>临平区公安分局</w:t>
      </w:r>
      <w:r>
        <w:rPr>
          <w:rFonts w:hint="eastAsia" w:ascii="仿宋_GB2312" w:eastAsia="仿宋_GB2312"/>
          <w:sz w:val="24"/>
          <w:szCs w:val="24"/>
        </w:rPr>
        <w:t>根据中标单位在项目期内提供的服务情况进行考核。</w:t>
      </w:r>
    </w:p>
    <w:p>
      <w:pPr>
        <w:spacing w:line="360" w:lineRule="auto"/>
        <w:ind w:firstLine="480" w:firstLineChars="200"/>
        <w:rPr>
          <w:rFonts w:hint="eastAsia"/>
        </w:rPr>
      </w:pPr>
      <w:r>
        <w:rPr>
          <w:rFonts w:hint="eastAsia" w:ascii="仿宋_GB2312" w:eastAsia="仿宋_GB2312"/>
          <w:sz w:val="24"/>
          <w:szCs w:val="24"/>
        </w:rPr>
        <w:t>4.1故障考核：因存储或配套的网络设备故障造成</w:t>
      </w:r>
      <w:r>
        <w:rPr>
          <w:rFonts w:hint="eastAsia" w:ascii="仿宋" w:hAnsi="仿宋" w:eastAsia="仿宋" w:cs="仿宋"/>
          <w:spacing w:val="-4"/>
          <w:sz w:val="24"/>
          <w:szCs w:val="24"/>
        </w:rPr>
        <w:t>临平区公安分局视频、视图业务中断，导致实战业务、考核受到影响的，每发生一起，扣除相应金额，</w:t>
      </w:r>
      <w:r>
        <w:rPr>
          <w:rFonts w:hint="eastAsia" w:ascii="仿宋_GB2312" w:eastAsia="仿宋_GB2312"/>
          <w:sz w:val="24"/>
          <w:szCs w:val="24"/>
        </w:rPr>
        <w:t>扣除金额应当从当年服务期费用中扣除。故障在一小时内修复的，每次扣除1万元；故障在24小时内修复的，每次扣除5万元；故障超过24小时仍未修复的，每次扣除10万元。</w:t>
      </w:r>
    </w:p>
    <w:p>
      <w:pPr>
        <w:spacing w:line="360" w:lineRule="auto"/>
        <w:ind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4.2安全考核：中标单位需确保全项目所有系统安全运行并确保信息安全，如发生相应安全问题的，则进行相应的安全问题处罚并依据相关法律移交司法机关。</w:t>
      </w:r>
    </w:p>
    <w:p>
      <w:pPr>
        <w:pStyle w:val="2"/>
        <w:spacing w:line="360" w:lineRule="auto"/>
        <w:ind w:firstLine="928" w:firstLineChars="400"/>
        <w:rPr>
          <w:rFonts w:hint="eastAsia" w:ascii="仿宋" w:hAnsi="仿宋" w:eastAsia="仿宋" w:cs="仿宋"/>
          <w:spacing w:val="-4"/>
          <w:szCs w:val="24"/>
        </w:rPr>
      </w:pPr>
      <w:r>
        <w:rPr>
          <w:rFonts w:hint="eastAsia" w:ascii="仿宋" w:hAnsi="仿宋" w:eastAsia="仿宋" w:cs="仿宋"/>
          <w:spacing w:val="-4"/>
          <w:szCs w:val="24"/>
        </w:rPr>
        <w:t>4.2.1 受到国家级安全问题通报的，出现1次，每次扣除当年服务期费用2万元。</w:t>
      </w:r>
    </w:p>
    <w:p>
      <w:pPr>
        <w:pStyle w:val="2"/>
        <w:spacing w:line="360" w:lineRule="auto"/>
        <w:ind w:firstLine="928" w:firstLineChars="400"/>
        <w:rPr>
          <w:rFonts w:hint="eastAsia" w:ascii="仿宋" w:hAnsi="仿宋" w:eastAsia="仿宋" w:cs="仿宋"/>
          <w:spacing w:val="-4"/>
          <w:szCs w:val="24"/>
        </w:rPr>
      </w:pPr>
      <w:r>
        <w:rPr>
          <w:rFonts w:hint="eastAsia" w:ascii="仿宋" w:hAnsi="仿宋" w:eastAsia="仿宋" w:cs="仿宋"/>
          <w:spacing w:val="-4"/>
          <w:szCs w:val="24"/>
        </w:rPr>
        <w:t>4.2.2 受到省级安全问题通报的，出现1次，每次扣除当年服务期费用1万元。</w:t>
      </w:r>
    </w:p>
    <w:p>
      <w:pPr>
        <w:pStyle w:val="2"/>
        <w:spacing w:line="360" w:lineRule="auto"/>
        <w:ind w:firstLine="928" w:firstLineChars="400"/>
        <w:rPr>
          <w:rFonts w:hint="eastAsia" w:ascii="仿宋" w:hAnsi="仿宋" w:eastAsia="仿宋" w:cs="仿宋"/>
          <w:spacing w:val="-4"/>
          <w:szCs w:val="24"/>
        </w:rPr>
      </w:pPr>
      <w:r>
        <w:rPr>
          <w:rFonts w:hint="eastAsia" w:ascii="仿宋" w:hAnsi="仿宋" w:eastAsia="仿宋" w:cs="仿宋"/>
          <w:spacing w:val="-4"/>
          <w:szCs w:val="24"/>
        </w:rPr>
        <w:t>4.2.3 受到市级安全问题通报的，出现1次，每次扣除当年服务期费用5000元。</w:t>
      </w:r>
    </w:p>
    <w:p>
      <w:pPr>
        <w:pStyle w:val="39"/>
        <w:spacing w:line="360" w:lineRule="auto"/>
        <w:ind w:firstLine="928" w:firstLineChars="400"/>
        <w:rPr>
          <w:rFonts w:hint="eastAsia" w:ascii="仿宋" w:hAnsi="仿宋" w:eastAsia="仿宋" w:cs="仿宋"/>
          <w:sz w:val="24"/>
          <w:szCs w:val="24"/>
        </w:rPr>
      </w:pPr>
      <w:r>
        <w:rPr>
          <w:rFonts w:hint="eastAsia" w:ascii="仿宋" w:hAnsi="仿宋" w:eastAsia="仿宋" w:cs="仿宋"/>
          <w:sz w:val="24"/>
          <w:szCs w:val="24"/>
        </w:rPr>
        <w:t>4.2.4 每次通报后，中标单位需及时解决并递交书面整改报告，运维服务期内累计通报超过2次的，扣除服务期费用4万元。</w:t>
      </w:r>
    </w:p>
    <w:p>
      <w:pPr>
        <w:spacing w:line="360" w:lineRule="auto"/>
        <w:ind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4.3 日常管理考核：</w:t>
      </w:r>
    </w:p>
    <w:p>
      <w:pPr>
        <w:pStyle w:val="39"/>
        <w:spacing w:line="360" w:lineRule="auto"/>
        <w:ind w:firstLine="928" w:firstLineChars="400"/>
        <w:rPr>
          <w:rFonts w:hint="eastAsia" w:ascii="仿宋" w:hAnsi="仿宋" w:eastAsia="仿宋" w:cs="仿宋"/>
          <w:sz w:val="24"/>
          <w:szCs w:val="24"/>
        </w:rPr>
      </w:pPr>
      <w:r>
        <w:rPr>
          <w:rFonts w:hint="eastAsia" w:ascii="仿宋" w:hAnsi="仿宋" w:eastAsia="仿宋" w:cs="仿宋"/>
          <w:sz w:val="24"/>
          <w:szCs w:val="24"/>
        </w:rPr>
        <w:t>4.3.1 中标单位需按要求按时按规产出并提交文档资料、工作台账、周期性报告等材料，未按规完成的每次扣除当年服务期费用5千元。</w:t>
      </w:r>
    </w:p>
    <w:p>
      <w:pPr>
        <w:pStyle w:val="39"/>
        <w:spacing w:line="360" w:lineRule="auto"/>
        <w:ind w:firstLine="928" w:firstLineChars="400"/>
        <w:rPr>
          <w:rFonts w:hint="eastAsia" w:ascii="仿宋" w:hAnsi="仿宋" w:eastAsia="仿宋" w:cs="仿宋"/>
          <w:sz w:val="24"/>
          <w:szCs w:val="24"/>
        </w:rPr>
      </w:pPr>
      <w:r>
        <w:rPr>
          <w:rFonts w:hint="eastAsia" w:ascii="仿宋" w:hAnsi="仿宋" w:eastAsia="仿宋" w:cs="仿宋"/>
          <w:sz w:val="24"/>
          <w:szCs w:val="24"/>
        </w:rPr>
        <w:t>4.3.2 中标单位违规服务导致发生社会媒体曝光、收到多方投诉情况，出现1次，每次扣除当年服务期费用5千元。</w:t>
      </w:r>
    </w:p>
    <w:p>
      <w:pPr>
        <w:pStyle w:val="2"/>
        <w:ind w:firstLine="696" w:firstLineChars="300"/>
        <w:rPr>
          <w:rFonts w:hint="eastAsia" w:ascii="仿宋" w:hAnsi="仿宋" w:eastAsia="仿宋" w:cs="仿宋"/>
          <w:spacing w:val="-4"/>
          <w:szCs w:val="24"/>
        </w:rPr>
      </w:pPr>
      <w:r>
        <w:rPr>
          <w:rFonts w:hint="eastAsia" w:ascii="仿宋" w:hAnsi="仿宋" w:eastAsia="仿宋" w:cs="仿宋"/>
          <w:spacing w:val="-4"/>
          <w:szCs w:val="24"/>
        </w:rPr>
        <w:t>4.4 服务期内因项目实际需要需进行服务考核内容新增、补充及修改的，可通过签署运维考核服务方案进行补充。</w:t>
      </w:r>
    </w:p>
    <w:p>
      <w:pPr>
        <w:spacing w:line="360" w:lineRule="auto"/>
        <w:rPr>
          <w:rFonts w:hint="eastAsia" w:ascii="仿宋_GB2312" w:eastAsia="仿宋_GB2312"/>
          <w:sz w:val="24"/>
          <w:szCs w:val="24"/>
        </w:rPr>
      </w:pPr>
    </w:p>
    <w:p>
      <w:pPr>
        <w:adjustRightInd w:val="0"/>
        <w:snapToGrid w:val="0"/>
        <w:spacing w:line="360" w:lineRule="auto"/>
        <w:outlineLvl w:val="0"/>
        <w:rPr>
          <w:rFonts w:hint="eastAsia" w:ascii="仿宋" w:hAnsi="仿宋" w:eastAsia="仿宋" w:cs="仿宋"/>
          <w:b/>
          <w:bCs/>
          <w:sz w:val="24"/>
          <w:szCs w:val="24"/>
        </w:rPr>
      </w:pPr>
      <w:r>
        <w:rPr>
          <w:rFonts w:hint="eastAsia" w:ascii="仿宋" w:hAnsi="仿宋" w:eastAsia="仿宋" w:cs="仿宋"/>
          <w:b/>
          <w:bCs/>
          <w:sz w:val="24"/>
          <w:szCs w:val="24"/>
        </w:rPr>
        <w:t>五、服务期、验收及资金支付要求</w:t>
      </w:r>
    </w:p>
    <w:p>
      <w:pPr>
        <w:spacing w:line="360" w:lineRule="auto"/>
        <w:ind w:firstLine="480" w:firstLineChars="200"/>
        <w:rPr>
          <w:rFonts w:hint="eastAsia" w:ascii="仿宋" w:hAnsi="仿宋" w:eastAsia="仿宋" w:cs="仿宋"/>
          <w:bCs/>
          <w:sz w:val="24"/>
          <w:szCs w:val="24"/>
        </w:rPr>
      </w:pPr>
      <w:r>
        <w:rPr>
          <w:rFonts w:hint="eastAsia" w:ascii="仿宋_GB2312" w:eastAsia="仿宋_GB2312"/>
          <w:sz w:val="24"/>
          <w:szCs w:val="24"/>
        </w:rPr>
        <w:t>1.建设要求：</w:t>
      </w:r>
      <w:r>
        <w:rPr>
          <w:rFonts w:hint="eastAsia" w:ascii="仿宋" w:hAnsi="仿宋" w:eastAsia="仿宋" w:cs="仿宋"/>
          <w:spacing w:val="-4"/>
          <w:sz w:val="24"/>
          <w:szCs w:val="24"/>
        </w:rPr>
        <w:t>第一年</w:t>
      </w:r>
      <w:r>
        <w:rPr>
          <w:rFonts w:hint="eastAsia" w:ascii="仿宋" w:hAnsi="仿宋" w:eastAsia="仿宋" w:cs="仿宋"/>
          <w:bCs/>
          <w:sz w:val="24"/>
          <w:szCs w:val="24"/>
        </w:rPr>
        <w:t>合同签订后的</w:t>
      </w:r>
      <w:r>
        <w:rPr>
          <w:rFonts w:hint="eastAsia" w:ascii="仿宋" w:hAnsi="仿宋" w:eastAsia="仿宋" w:cs="仿宋"/>
          <w:bCs/>
          <w:sz w:val="24"/>
          <w:szCs w:val="24"/>
          <w:u w:val="single"/>
        </w:rPr>
        <w:t>15</w:t>
      </w:r>
      <w:r>
        <w:rPr>
          <w:rFonts w:hint="eastAsia" w:ascii="仿宋" w:hAnsi="仿宋" w:eastAsia="仿宋" w:cs="仿宋"/>
          <w:bCs/>
          <w:sz w:val="24"/>
          <w:szCs w:val="24"/>
        </w:rPr>
        <w:t>天为项目建设期，中标单位须在该时间内完成所有存储及配套网络设备的接入和测试等工作，以及与对应视频、视图数据汇聚管理平台的对接工作，并不间段提供服务。</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2.服务期：项目服务期3年，中标单位分三年提供服务，每年签署一次合同，每份合同履约期12个月，次年合同需在上一年合同服务到期前10个工作日内完成签署。</w:t>
      </w:r>
    </w:p>
    <w:p>
      <w:pPr>
        <w:spacing w:line="360" w:lineRule="auto"/>
        <w:ind w:firstLine="480" w:firstLineChars="200"/>
        <w:rPr>
          <w:rFonts w:hint="eastAsia" w:ascii="仿宋_GB2312" w:eastAsia="仿宋_GB2312"/>
          <w:sz w:val="24"/>
          <w:szCs w:val="24"/>
        </w:rPr>
      </w:pPr>
      <w:r>
        <w:rPr>
          <w:rFonts w:hint="eastAsia" w:ascii="仿宋" w:hAnsi="仿宋" w:eastAsia="仿宋" w:cs="仿宋"/>
          <w:bCs/>
          <w:sz w:val="24"/>
          <w:szCs w:val="24"/>
        </w:rPr>
        <w:t>3.验收：合同签订后即进入</w:t>
      </w:r>
      <w:r>
        <w:rPr>
          <w:rFonts w:hint="eastAsia" w:ascii="仿宋" w:hAnsi="仿宋" w:eastAsia="仿宋" w:cs="仿宋"/>
          <w:bCs/>
          <w:sz w:val="24"/>
          <w:szCs w:val="24"/>
          <w:u w:val="single"/>
        </w:rPr>
        <w:t>15</w:t>
      </w:r>
      <w:r>
        <w:rPr>
          <w:rFonts w:hint="eastAsia" w:ascii="仿宋" w:hAnsi="仿宋" w:eastAsia="仿宋" w:cs="仿宋"/>
          <w:bCs/>
          <w:sz w:val="24"/>
          <w:szCs w:val="24"/>
        </w:rPr>
        <w:t>天的建设期，建设期满后进行初验，初验通过后进入</w:t>
      </w:r>
      <w:r>
        <w:rPr>
          <w:rFonts w:hint="eastAsia" w:ascii="仿宋" w:hAnsi="仿宋" w:eastAsia="仿宋" w:cs="仿宋"/>
          <w:bCs/>
          <w:sz w:val="24"/>
          <w:szCs w:val="24"/>
          <w:u w:val="single"/>
        </w:rPr>
        <w:t>1</w:t>
      </w:r>
      <w:r>
        <w:rPr>
          <w:rFonts w:hint="eastAsia" w:ascii="仿宋" w:hAnsi="仿宋" w:eastAsia="仿宋" w:cs="仿宋"/>
          <w:bCs/>
          <w:sz w:val="24"/>
          <w:szCs w:val="24"/>
        </w:rPr>
        <w:t>个月的试运行期，试运行期满后，由采购方自行组织或者委托采购代理机构开展项目验收并进入正式服务期，服务期每满12个月（不包含试运行期）组织一次年度运维服务验收，从第二年合同起，服务期每满6个月组织一次半年度运维服务验收，3年运维服务期内共组织3次年度运维服务终验及2次半年度运维服务验收。</w:t>
      </w:r>
    </w:p>
    <w:p>
      <w:pPr>
        <w:pStyle w:val="38"/>
        <w:adjustRightInd w:val="0"/>
        <w:snapToGrid w:val="0"/>
        <w:spacing w:after="0" w:line="360" w:lineRule="auto"/>
        <w:ind w:firstLine="480"/>
        <w:rPr>
          <w:rFonts w:hint="eastAsia" w:ascii="仿宋" w:hAnsi="仿宋" w:eastAsia="仿宋" w:cs="仿宋"/>
          <w:color w:val="000000"/>
          <w:szCs w:val="24"/>
          <w:lang w:eastAsia="zh-CN"/>
        </w:rPr>
      </w:pPr>
      <w:r>
        <w:rPr>
          <w:rFonts w:hint="eastAsia" w:ascii="仿宋_GB2312"/>
          <w:szCs w:val="24"/>
          <w:lang w:eastAsia="zh-CN"/>
        </w:rPr>
        <w:t>4.</w:t>
      </w:r>
      <w:r>
        <w:rPr>
          <w:rFonts w:hint="eastAsia" w:ascii="仿宋" w:hAnsi="仿宋" w:eastAsia="仿宋" w:cs="仿宋"/>
          <w:spacing w:val="-4"/>
          <w:szCs w:val="24"/>
          <w:lang w:eastAsia="zh-CN" w:bidi="ar-SA"/>
        </w:rPr>
        <w:t>资金支付：</w:t>
      </w:r>
      <w:r>
        <w:rPr>
          <w:rFonts w:hint="eastAsia" w:ascii="仿宋" w:hAnsi="仿宋" w:eastAsia="仿宋" w:cs="仿宋"/>
          <w:color w:val="000000"/>
          <w:szCs w:val="24"/>
          <w:lang w:eastAsia="zh-CN"/>
        </w:rPr>
        <w:t>本项目服务期为三年，采购价格为三年总价，项目中标后三年服务期合同一年一签，中标金额按三年平均拆分进行支付，每年合同支付方式为：</w:t>
      </w:r>
    </w:p>
    <w:p>
      <w:pPr>
        <w:spacing w:line="360" w:lineRule="auto"/>
        <w:ind w:firstLine="480" w:firstLineChars="200"/>
        <w:rPr>
          <w:rFonts w:hint="eastAsia" w:ascii="仿宋" w:hAnsi="仿宋" w:eastAsia="仿宋" w:cs="仿宋"/>
          <w:kern w:val="0"/>
          <w:sz w:val="24"/>
          <w:szCs w:val="24"/>
        </w:rPr>
      </w:pPr>
      <w:r>
        <w:rPr>
          <w:rFonts w:hint="eastAsia" w:ascii="仿宋_GB2312" w:eastAsia="仿宋_GB2312"/>
          <w:sz w:val="24"/>
          <w:szCs w:val="24"/>
        </w:rPr>
        <w:t>1）第一年：</w:t>
      </w:r>
      <w:r>
        <w:rPr>
          <w:rFonts w:hint="eastAsia" w:ascii="仿宋" w:hAnsi="仿宋" w:eastAsia="仿宋" w:cs="仿宋"/>
          <w:color w:val="000000"/>
          <w:sz w:val="24"/>
          <w:szCs w:val="24"/>
        </w:rPr>
        <w:t>合同签订后，</w:t>
      </w:r>
      <w:r>
        <w:rPr>
          <w:rFonts w:hint="eastAsia" w:ascii="仿宋" w:hAnsi="仿宋" w:eastAsia="仿宋" w:cs="仿宋"/>
          <w:kern w:val="0"/>
          <w:sz w:val="24"/>
          <w:szCs w:val="24"/>
        </w:rPr>
        <w:t>采购单位在收到中标单位发票后30天内支付合同总额的70%</w:t>
      </w:r>
      <w:r>
        <w:rPr>
          <w:rFonts w:hint="eastAsia" w:ascii="仿宋" w:hAnsi="仿宋" w:eastAsia="仿宋" w:cs="仿宋"/>
          <w:color w:val="000000"/>
          <w:sz w:val="24"/>
          <w:szCs w:val="24"/>
        </w:rPr>
        <w:t>；项目经试运行并通过验收后，采购</w:t>
      </w:r>
      <w:r>
        <w:rPr>
          <w:rFonts w:hint="eastAsia" w:ascii="仿宋" w:hAnsi="仿宋" w:eastAsia="仿宋" w:cs="仿宋"/>
          <w:kern w:val="0"/>
          <w:sz w:val="24"/>
          <w:szCs w:val="24"/>
        </w:rPr>
        <w:t>单位在收到中标单位发票后30天内支付合同总额的25%；</w:t>
      </w:r>
      <w:r>
        <w:rPr>
          <w:rFonts w:hint="eastAsia" w:ascii="仿宋" w:hAnsi="仿宋" w:eastAsia="仿宋" w:cs="仿宋"/>
          <w:color w:val="000000"/>
          <w:sz w:val="24"/>
          <w:szCs w:val="24"/>
        </w:rPr>
        <w:t>运维期满12个月且年度运维服务工作完并通过验收，</w:t>
      </w:r>
      <w:r>
        <w:rPr>
          <w:rFonts w:hint="eastAsia" w:ascii="仿宋" w:hAnsi="仿宋" w:eastAsia="仿宋" w:cs="仿宋"/>
          <w:kern w:val="0"/>
          <w:sz w:val="24"/>
          <w:szCs w:val="24"/>
        </w:rPr>
        <w:t>采购单位依据运维服务考核结果在收到中标单位发票后30天内最高支付合同总额的5%。</w:t>
      </w:r>
    </w:p>
    <w:p>
      <w:pPr>
        <w:spacing w:line="360" w:lineRule="auto"/>
        <w:ind w:firstLine="480" w:firstLineChars="200"/>
        <w:rPr>
          <w:rFonts w:hint="eastAsia" w:ascii="仿宋_GB2312" w:eastAsia="仿宋_GB2312"/>
          <w:sz w:val="24"/>
          <w:szCs w:val="24"/>
        </w:rPr>
      </w:pPr>
      <w:r>
        <w:rPr>
          <w:rFonts w:hint="eastAsia" w:ascii="仿宋" w:hAnsi="仿宋" w:eastAsia="仿宋" w:cs="仿宋"/>
          <w:kern w:val="0"/>
          <w:sz w:val="24"/>
          <w:szCs w:val="24"/>
        </w:rPr>
        <w:t>2）第二年：</w:t>
      </w:r>
      <w:r>
        <w:rPr>
          <w:rFonts w:hint="eastAsia" w:ascii="仿宋" w:hAnsi="仿宋" w:eastAsia="仿宋" w:cs="仿宋"/>
          <w:color w:val="000000"/>
          <w:sz w:val="24"/>
          <w:szCs w:val="24"/>
        </w:rPr>
        <w:t>合同签订后，</w:t>
      </w:r>
      <w:r>
        <w:rPr>
          <w:rFonts w:hint="eastAsia" w:ascii="仿宋" w:hAnsi="仿宋" w:eastAsia="仿宋" w:cs="仿宋"/>
          <w:kern w:val="0"/>
          <w:sz w:val="24"/>
          <w:szCs w:val="24"/>
        </w:rPr>
        <w:t>采购单位在收到中标单位发票后30天内支付合同总额的70%</w:t>
      </w:r>
      <w:r>
        <w:rPr>
          <w:rFonts w:hint="eastAsia" w:ascii="仿宋" w:hAnsi="仿宋" w:eastAsia="仿宋" w:cs="仿宋"/>
          <w:color w:val="000000"/>
          <w:sz w:val="24"/>
          <w:szCs w:val="24"/>
        </w:rPr>
        <w:t>；半年度运维服务完成并验收通过后，</w:t>
      </w:r>
      <w:r>
        <w:rPr>
          <w:rFonts w:hint="eastAsia" w:ascii="仿宋" w:hAnsi="仿宋" w:eastAsia="仿宋" w:cs="仿宋"/>
          <w:kern w:val="0"/>
          <w:sz w:val="24"/>
          <w:szCs w:val="24"/>
        </w:rPr>
        <w:t>采购单位依据运维服务考核结果在收到中标单位发票后30天内最高支付合同总额的25%</w:t>
      </w:r>
      <w:r>
        <w:rPr>
          <w:rFonts w:hint="eastAsia" w:ascii="仿宋" w:hAnsi="仿宋" w:eastAsia="仿宋" w:cs="仿宋"/>
          <w:color w:val="000000"/>
          <w:sz w:val="24"/>
          <w:szCs w:val="24"/>
        </w:rPr>
        <w:t>；运维期满12个月且年度运维服务工作完并通过验收，</w:t>
      </w:r>
      <w:r>
        <w:rPr>
          <w:rFonts w:hint="eastAsia" w:ascii="仿宋" w:hAnsi="仿宋" w:eastAsia="仿宋" w:cs="仿宋"/>
          <w:kern w:val="0"/>
          <w:sz w:val="24"/>
          <w:szCs w:val="24"/>
        </w:rPr>
        <w:t>采购单位依据运维服务考核结果在收到中标单位发票后30天内最高支付合同总额的5%。</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3）第三年：</w:t>
      </w:r>
      <w:r>
        <w:rPr>
          <w:rFonts w:hint="eastAsia" w:ascii="仿宋" w:hAnsi="仿宋" w:eastAsia="仿宋" w:cs="仿宋"/>
          <w:color w:val="000000"/>
          <w:sz w:val="24"/>
          <w:szCs w:val="24"/>
        </w:rPr>
        <w:t>合同签订后，</w:t>
      </w:r>
      <w:r>
        <w:rPr>
          <w:rFonts w:hint="eastAsia" w:ascii="仿宋" w:hAnsi="仿宋" w:eastAsia="仿宋" w:cs="仿宋"/>
          <w:kern w:val="0"/>
          <w:sz w:val="24"/>
          <w:szCs w:val="24"/>
        </w:rPr>
        <w:t>采购单位在收到中标单位发票后30天内支付合同总额的70%</w:t>
      </w:r>
      <w:r>
        <w:rPr>
          <w:rFonts w:hint="eastAsia" w:ascii="仿宋" w:hAnsi="仿宋" w:eastAsia="仿宋" w:cs="仿宋"/>
          <w:color w:val="000000"/>
          <w:sz w:val="24"/>
          <w:szCs w:val="24"/>
        </w:rPr>
        <w:t>；半年度运维服务完成并验收通过后，</w:t>
      </w:r>
      <w:r>
        <w:rPr>
          <w:rFonts w:hint="eastAsia" w:ascii="仿宋" w:hAnsi="仿宋" w:eastAsia="仿宋" w:cs="仿宋"/>
          <w:kern w:val="0"/>
          <w:sz w:val="24"/>
          <w:szCs w:val="24"/>
        </w:rPr>
        <w:t>采购单位依据运维服务考核结果在收到中标单位发票后30天内最高支付合同总额的25%</w:t>
      </w:r>
      <w:r>
        <w:rPr>
          <w:rFonts w:hint="eastAsia" w:ascii="仿宋" w:hAnsi="仿宋" w:eastAsia="仿宋" w:cs="仿宋"/>
          <w:color w:val="000000"/>
          <w:sz w:val="24"/>
          <w:szCs w:val="24"/>
        </w:rPr>
        <w:t>；运维期满12个月且年度运维服务工作完并通过验收，</w:t>
      </w:r>
      <w:r>
        <w:rPr>
          <w:rFonts w:hint="eastAsia" w:ascii="仿宋" w:hAnsi="仿宋" w:eastAsia="仿宋" w:cs="仿宋"/>
          <w:kern w:val="0"/>
          <w:sz w:val="24"/>
          <w:szCs w:val="24"/>
        </w:rPr>
        <w:t>采购单位依据运维服务考核结果在收到中标单位发票后30天内最高支付合同总额的5%。</w:t>
      </w:r>
    </w:p>
    <w:p>
      <w:pPr>
        <w:numPr>
          <w:ilvl w:val="255"/>
          <w:numId w:val="0"/>
        </w:numPr>
        <w:adjustRightInd w:val="0"/>
        <w:snapToGrid w:val="0"/>
        <w:spacing w:line="360" w:lineRule="auto"/>
        <w:outlineLvl w:val="0"/>
        <w:rPr>
          <w:rFonts w:hint="eastAsia" w:ascii="仿宋" w:hAnsi="仿宋" w:eastAsia="仿宋" w:cs="仿宋"/>
          <w:b/>
          <w:bCs/>
          <w:sz w:val="24"/>
          <w:szCs w:val="24"/>
        </w:rPr>
      </w:pPr>
      <w:r>
        <w:rPr>
          <w:rFonts w:hint="eastAsia" w:ascii="仿宋" w:hAnsi="仿宋" w:eastAsia="仿宋" w:cs="仿宋"/>
          <w:b/>
          <w:bCs/>
          <w:sz w:val="24"/>
          <w:szCs w:val="24"/>
        </w:rPr>
        <w:t>六、履约保证金</w:t>
      </w:r>
    </w:p>
    <w:p>
      <w:pPr>
        <w:pStyle w:val="2"/>
        <w:ind w:firstLine="0" w:firstLineChars="0"/>
        <w:rPr>
          <w:rFonts w:hint="eastAsia"/>
        </w:rPr>
      </w:pPr>
      <w:r>
        <w:rPr>
          <w:rFonts w:hint="eastAsia" w:ascii="仿宋" w:hAnsi="仿宋" w:eastAsia="仿宋" w:cs="仿宋"/>
        </w:rPr>
        <w:t>中标单位</w:t>
      </w:r>
      <w:r>
        <w:rPr>
          <w:rFonts w:hint="eastAsia" w:ascii="仿宋" w:hAnsi="仿宋" w:eastAsia="仿宋" w:cs="仿宋"/>
          <w:u w:val="single"/>
        </w:rPr>
        <w:t xml:space="preserve">  否   </w:t>
      </w:r>
      <w:r>
        <w:rPr>
          <w:rFonts w:hint="eastAsia" w:ascii="仿宋" w:hAnsi="仿宋" w:eastAsia="仿宋" w:cs="仿宋"/>
        </w:rPr>
        <w:t>（是/否）需要支付履约保证金。</w:t>
      </w:r>
    </w:p>
    <w:p>
      <w:pPr>
        <w:adjustRightInd w:val="0"/>
        <w:snapToGrid w:val="0"/>
        <w:spacing w:line="360" w:lineRule="auto"/>
        <w:outlineLvl w:val="0"/>
        <w:rPr>
          <w:rFonts w:hint="eastAsia" w:ascii="仿宋" w:hAnsi="仿宋" w:eastAsia="仿宋" w:cs="仿宋"/>
          <w:b/>
          <w:bCs/>
          <w:sz w:val="24"/>
          <w:szCs w:val="24"/>
        </w:rPr>
      </w:pPr>
      <w:r>
        <w:rPr>
          <w:rFonts w:hint="eastAsia" w:ascii="仿宋" w:hAnsi="仿宋" w:eastAsia="仿宋" w:cs="仿宋"/>
          <w:b/>
          <w:bCs/>
          <w:sz w:val="24"/>
          <w:szCs w:val="24"/>
        </w:rPr>
        <w:t>七、其他要求</w:t>
      </w:r>
    </w:p>
    <w:p>
      <w:pPr>
        <w:spacing w:line="360" w:lineRule="auto"/>
        <w:ind w:firstLine="480" w:firstLineChars="200"/>
        <w:rPr>
          <w:rFonts w:hint="eastAsia" w:ascii="仿宋" w:hAnsi="仿宋" w:eastAsia="仿宋" w:cs="仿宋"/>
          <w:color w:val="000000"/>
          <w:sz w:val="24"/>
          <w:szCs w:val="24"/>
        </w:rPr>
      </w:pPr>
      <w:r>
        <w:rPr>
          <w:rFonts w:hint="eastAsia" w:ascii="仿宋_GB2312" w:eastAsia="仿宋_GB2312"/>
          <w:sz w:val="24"/>
          <w:szCs w:val="24"/>
        </w:rPr>
        <w:t>1.</w:t>
      </w:r>
      <w:r>
        <w:rPr>
          <w:rFonts w:hint="eastAsia" w:ascii="仿宋" w:hAnsi="仿宋" w:eastAsia="仿宋" w:cs="仿宋"/>
          <w:color w:val="000000"/>
          <w:sz w:val="24"/>
          <w:szCs w:val="24"/>
        </w:rPr>
        <w:t>保密服务：采购人对中标单位及工作人员开展常态化安全保密教育，组织签订安全保密承诺书，明确具体安全管理内容、安全保密义务和责任；中标单位及工作人员违反安全管理要求，构成违法犯罪的，采购人将及时报送本级政府采购和市场监督管理部门，提请列入政府采购严重违法失信行为记录名单、市场监督管理严重失信名单，并追究相关责任。</w:t>
      </w:r>
    </w:p>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系统安全性要求：合同服务期限内，中标单位应当采取必要的、合理的措施，确保承租系统的安全，保障系统产生的视频、图像以及其他数据的安全性，确保公民隐私以及国家利益不受侵犯。另外，中标单位必须加强服务团队的安全教育和责任意识，维护采购人合法权益。</w:t>
      </w:r>
    </w:p>
    <w:p>
      <w:pPr>
        <w:ind w:firstLine="480" w:firstLineChars="200"/>
        <w:rPr>
          <w:rFonts w:hint="eastAsia" w:ascii="黑体" w:hAnsi="黑体" w:eastAsia="黑体"/>
          <w:sz w:val="24"/>
          <w:szCs w:val="24"/>
        </w:rPr>
      </w:pPr>
    </w:p>
    <w:tbl>
      <w:tblPr>
        <w:tblStyle w:val="16"/>
        <w:tblW w:w="8837" w:type="dxa"/>
        <w:jc w:val="center"/>
        <w:tblInd w:w="0" w:type="dxa"/>
        <w:tblLayout w:type="fixed"/>
        <w:tblCellMar>
          <w:top w:w="0" w:type="dxa"/>
          <w:left w:w="108" w:type="dxa"/>
          <w:bottom w:w="0" w:type="dxa"/>
          <w:right w:w="108" w:type="dxa"/>
        </w:tblCellMar>
      </w:tblPr>
      <w:tblGrid>
        <w:gridCol w:w="523"/>
        <w:gridCol w:w="806"/>
        <w:gridCol w:w="5948"/>
        <w:gridCol w:w="771"/>
        <w:gridCol w:w="789"/>
      </w:tblGrid>
      <w:tr>
        <w:tblPrEx>
          <w:tblLayout w:type="fixed"/>
          <w:tblCellMar>
            <w:top w:w="0" w:type="dxa"/>
            <w:left w:w="108" w:type="dxa"/>
            <w:bottom w:w="0" w:type="dxa"/>
            <w:right w:w="108" w:type="dxa"/>
          </w:tblCellMar>
        </w:tblPrEx>
        <w:trPr>
          <w:trHeight w:val="31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b/>
                <w:bCs/>
                <w:color w:val="000000"/>
                <w:kern w:val="0"/>
                <w:sz w:val="24"/>
                <w:szCs w:val="24"/>
              </w:rPr>
            </w:pPr>
            <w:r>
              <w:rPr>
                <w:rFonts w:hint="eastAsia" w:ascii="宋体" w:hAnsi="宋体" w:eastAsia="宋体"/>
                <w:b/>
                <w:bCs/>
                <w:color w:val="000000"/>
                <w:kern w:val="0"/>
                <w:sz w:val="24"/>
                <w:szCs w:val="24"/>
              </w:rPr>
              <w:t>序号</w:t>
            </w:r>
          </w:p>
        </w:tc>
        <w:tc>
          <w:tcPr>
            <w:tcW w:w="806" w:type="dxa"/>
            <w:tcBorders>
              <w:top w:val="single" w:color="auto" w:sz="4" w:space="0"/>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b/>
                <w:bCs/>
                <w:color w:val="000000"/>
                <w:kern w:val="0"/>
                <w:sz w:val="24"/>
                <w:szCs w:val="24"/>
              </w:rPr>
            </w:pPr>
            <w:r>
              <w:rPr>
                <w:rFonts w:hint="eastAsia" w:ascii="宋体" w:hAnsi="宋体" w:eastAsia="宋体"/>
                <w:b/>
                <w:bCs/>
                <w:color w:val="000000"/>
                <w:kern w:val="0"/>
                <w:sz w:val="24"/>
                <w:szCs w:val="24"/>
              </w:rPr>
              <w:t>产品名称</w:t>
            </w:r>
          </w:p>
        </w:tc>
        <w:tc>
          <w:tcPr>
            <w:tcW w:w="5948" w:type="dxa"/>
            <w:tcBorders>
              <w:top w:val="single" w:color="auto" w:sz="4" w:space="0"/>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b/>
                <w:bCs/>
                <w:color w:val="000000"/>
                <w:kern w:val="0"/>
                <w:sz w:val="24"/>
                <w:szCs w:val="24"/>
              </w:rPr>
            </w:pPr>
            <w:r>
              <w:rPr>
                <w:rFonts w:hint="eastAsia" w:ascii="宋体" w:hAnsi="宋体" w:eastAsia="宋体"/>
                <w:b/>
                <w:bCs/>
                <w:color w:val="000000"/>
                <w:kern w:val="0"/>
                <w:sz w:val="24"/>
                <w:szCs w:val="24"/>
              </w:rPr>
              <w:t>技术规格及指标要求</w:t>
            </w:r>
          </w:p>
        </w:tc>
        <w:tc>
          <w:tcPr>
            <w:tcW w:w="771" w:type="dxa"/>
            <w:tcBorders>
              <w:top w:val="single" w:color="auto" w:sz="4" w:space="0"/>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b/>
                <w:bCs/>
                <w:color w:val="000000"/>
                <w:kern w:val="0"/>
                <w:sz w:val="24"/>
                <w:szCs w:val="24"/>
              </w:rPr>
            </w:pPr>
            <w:r>
              <w:rPr>
                <w:rFonts w:hint="eastAsia" w:ascii="宋体" w:hAnsi="宋体" w:eastAsia="宋体"/>
                <w:b/>
                <w:bCs/>
                <w:color w:val="000000"/>
                <w:kern w:val="0"/>
                <w:sz w:val="24"/>
                <w:szCs w:val="24"/>
              </w:rPr>
              <w:t>数量</w:t>
            </w:r>
          </w:p>
        </w:tc>
        <w:tc>
          <w:tcPr>
            <w:tcW w:w="789" w:type="dxa"/>
            <w:tcBorders>
              <w:top w:val="single" w:color="auto" w:sz="4" w:space="0"/>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b/>
                <w:bCs/>
                <w:color w:val="000000"/>
                <w:kern w:val="0"/>
                <w:sz w:val="24"/>
                <w:szCs w:val="24"/>
              </w:rPr>
            </w:pPr>
            <w:r>
              <w:rPr>
                <w:rFonts w:hint="eastAsia" w:ascii="宋体" w:hAnsi="宋体" w:eastAsia="宋体"/>
                <w:b/>
                <w:bCs/>
                <w:color w:val="000000"/>
                <w:kern w:val="0"/>
                <w:sz w:val="24"/>
                <w:szCs w:val="24"/>
              </w:rPr>
              <w:t>单位</w:t>
            </w:r>
          </w:p>
        </w:tc>
      </w:tr>
      <w:tr>
        <w:tblPrEx>
          <w:tblLayout w:type="fixed"/>
          <w:tblCellMar>
            <w:top w:w="0" w:type="dxa"/>
            <w:left w:w="108" w:type="dxa"/>
            <w:bottom w:w="0" w:type="dxa"/>
            <w:right w:w="108" w:type="dxa"/>
          </w:tblCellMar>
        </w:tblPrEx>
        <w:trPr>
          <w:trHeight w:val="31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b/>
                <w:bCs/>
                <w:color w:val="000000"/>
                <w:kern w:val="0"/>
                <w:sz w:val="24"/>
                <w:szCs w:val="24"/>
              </w:rPr>
            </w:pPr>
            <w:r>
              <w:rPr>
                <w:rFonts w:hint="eastAsia" w:ascii="宋体" w:hAnsi="宋体" w:eastAsia="宋体"/>
                <w:b/>
                <w:bCs/>
                <w:color w:val="000000"/>
                <w:kern w:val="0"/>
                <w:sz w:val="24"/>
                <w:szCs w:val="24"/>
              </w:rPr>
              <w:t>一</w:t>
            </w:r>
          </w:p>
        </w:tc>
        <w:tc>
          <w:tcPr>
            <w:tcW w:w="8314"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25" w:lineRule="atLeast"/>
              <w:jc w:val="left"/>
              <w:rPr>
                <w:rFonts w:hint="eastAsia" w:ascii="宋体" w:hAnsi="宋体" w:eastAsia="宋体"/>
                <w:b/>
                <w:bCs/>
                <w:color w:val="000000"/>
                <w:kern w:val="0"/>
                <w:sz w:val="24"/>
                <w:szCs w:val="24"/>
              </w:rPr>
            </w:pPr>
            <w:r>
              <w:rPr>
                <w:rFonts w:hint="eastAsia" w:ascii="宋体" w:hAnsi="宋体" w:eastAsia="宋体"/>
                <w:b/>
                <w:bCs/>
                <w:color w:val="000000"/>
                <w:kern w:val="0"/>
                <w:sz w:val="24"/>
                <w:szCs w:val="24"/>
              </w:rPr>
              <w:t>扩容云存储存储池</w:t>
            </w:r>
          </w:p>
        </w:tc>
      </w:tr>
      <w:tr>
        <w:tblPrEx>
          <w:tblLayout w:type="fixed"/>
          <w:tblCellMar>
            <w:top w:w="0" w:type="dxa"/>
            <w:left w:w="108" w:type="dxa"/>
            <w:bottom w:w="0" w:type="dxa"/>
            <w:right w:w="108" w:type="dxa"/>
          </w:tblCellMar>
        </w:tblPrEx>
        <w:trPr>
          <w:trHeight w:val="598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2"/>
              </w:numPr>
              <w:spacing w:line="25" w:lineRule="atLeast"/>
              <w:jc w:val="center"/>
              <w:rPr>
                <w:rFonts w:hint="eastAsia" w:ascii="宋体" w:hAnsi="宋体" w:eastAsia="宋体"/>
                <w:color w:val="000000"/>
                <w:kern w:val="0"/>
                <w:sz w:val="24"/>
                <w:szCs w:val="24"/>
              </w:rPr>
            </w:pPr>
          </w:p>
        </w:tc>
        <w:tc>
          <w:tcPr>
            <w:tcW w:w="806"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云存储节点</w:t>
            </w:r>
          </w:p>
        </w:tc>
        <w:tc>
          <w:tcPr>
            <w:tcW w:w="5948" w:type="dxa"/>
            <w:tcBorders>
              <w:top w:val="nil"/>
              <w:left w:val="nil"/>
              <w:bottom w:val="single" w:color="auto" w:sz="4" w:space="0"/>
              <w:right w:val="single" w:color="auto" w:sz="4" w:space="0"/>
            </w:tcBorders>
            <w:shd w:val="clear" w:color="auto" w:fill="auto"/>
          </w:tcPr>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4U机架式36盘位网络存储设备</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内置不少于2颗64位多核国产处理器，不少于1块240G SSD,2块960G SSD；不少于64GB内存；</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不少于2个千兆数据网口，2个万兆光口，1个千兆管理口；</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支持视频流、图片流直存</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支持ONVIF、GB/T 28181、RTSP等标准协议</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采用非对称分布式架构，集群化部署，对外提供唯一IP的存储服务</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支持纠删码数据保护技术，具备设备级和磁盘级容错模式，保障数据不丢失、系统业务不中断</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★支持手动、自动对智能事件关联的多个录像片段设置录像标签。支持标签与其关联的录像片段同生命周期管理；支持通过按标签内容查询、回放、下载录像片段数据；支持对标签关联的录像片段进行锁定、备份</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支持云存储节点在线无缝扩容，容量和性能线性增长（需要公安部检测报告证明并加盖原厂公章）</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支持按照24/36/48等盘位、不同性能、不同CPU架构的存储节点混合组网，当出现磁盘或节点故障时，系统可根据CPU利用率、节点连接数、节点吞吐量、节点综合负载等策略提供最优重构速度，最高重构速度可达4TB/h（需要公安部检测报告证明并加盖原厂公章）</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支持视频检索功能，按照监控点编号、录像类型、时间组合等条件查询</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支持视频回放功能：正序/倒序回放、定位回放、高倍速回放、关键帧回放等功能</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支持图形化页面对图片数据进行处理，包括图片预览、压缩、裁剪、旋转、缩放、格式转换、马赛克、归一化及打文字水印，并支持通过图形化页面下载处理成功的图片数据（需要公安部检测报告证明并加盖原厂公章）</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★内置不少于36块16T硬盘</w:t>
            </w:r>
          </w:p>
        </w:tc>
        <w:tc>
          <w:tcPr>
            <w:tcW w:w="771"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40</w:t>
            </w:r>
          </w:p>
        </w:tc>
        <w:tc>
          <w:tcPr>
            <w:tcW w:w="789"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台</w:t>
            </w:r>
          </w:p>
        </w:tc>
      </w:tr>
      <w:tr>
        <w:tblPrEx>
          <w:tblLayout w:type="fixed"/>
          <w:tblCellMar>
            <w:top w:w="0" w:type="dxa"/>
            <w:left w:w="108" w:type="dxa"/>
            <w:bottom w:w="0" w:type="dxa"/>
            <w:right w:w="108" w:type="dxa"/>
          </w:tblCellMar>
        </w:tblPrEx>
        <w:trPr>
          <w:trHeight w:val="358"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b/>
                <w:bCs/>
                <w:color w:val="000000"/>
                <w:kern w:val="0"/>
                <w:sz w:val="24"/>
                <w:szCs w:val="24"/>
              </w:rPr>
            </w:pPr>
            <w:r>
              <w:rPr>
                <w:rFonts w:hint="eastAsia" w:ascii="宋体" w:hAnsi="宋体" w:eastAsia="宋体"/>
                <w:b/>
                <w:bCs/>
                <w:color w:val="000000"/>
                <w:kern w:val="0"/>
                <w:sz w:val="24"/>
                <w:szCs w:val="24"/>
              </w:rPr>
              <w:t>二</w:t>
            </w:r>
          </w:p>
        </w:tc>
        <w:tc>
          <w:tcPr>
            <w:tcW w:w="8314"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25" w:lineRule="atLeast"/>
              <w:jc w:val="left"/>
              <w:rPr>
                <w:rFonts w:hint="eastAsia" w:ascii="宋体" w:hAnsi="宋体" w:eastAsia="宋体"/>
                <w:b/>
                <w:bCs/>
                <w:color w:val="000000"/>
                <w:kern w:val="0"/>
                <w:sz w:val="24"/>
                <w:szCs w:val="24"/>
              </w:rPr>
            </w:pPr>
            <w:r>
              <w:rPr>
                <w:rFonts w:hint="eastAsia" w:ascii="宋体" w:hAnsi="宋体" w:eastAsia="宋体"/>
                <w:b/>
                <w:bCs/>
                <w:color w:val="000000"/>
                <w:kern w:val="0"/>
                <w:sz w:val="24"/>
                <w:szCs w:val="24"/>
              </w:rPr>
              <w:t>扩容智能解析算力资源</w:t>
            </w:r>
          </w:p>
        </w:tc>
      </w:tr>
      <w:tr>
        <w:tblPrEx>
          <w:tblLayout w:type="fixed"/>
          <w:tblCellMar>
            <w:top w:w="0" w:type="dxa"/>
            <w:left w:w="108" w:type="dxa"/>
            <w:bottom w:w="0" w:type="dxa"/>
            <w:right w:w="108" w:type="dxa"/>
          </w:tblCellMar>
        </w:tblPrEx>
        <w:trPr>
          <w:trHeight w:val="270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3"/>
              </w:numPr>
              <w:spacing w:line="25" w:lineRule="atLeast"/>
              <w:jc w:val="center"/>
              <w:rPr>
                <w:rFonts w:hint="eastAsia" w:ascii="宋体" w:hAnsi="宋体" w:eastAsia="宋体"/>
                <w:color w:val="000000"/>
                <w:kern w:val="0"/>
                <w:sz w:val="24"/>
                <w:szCs w:val="24"/>
              </w:rPr>
            </w:pPr>
          </w:p>
        </w:tc>
        <w:tc>
          <w:tcPr>
            <w:tcW w:w="806"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推理服务器</w:t>
            </w:r>
          </w:p>
        </w:tc>
        <w:tc>
          <w:tcPr>
            <w:tcW w:w="5948" w:type="dxa"/>
            <w:tcBorders>
              <w:top w:val="nil"/>
              <w:left w:val="nil"/>
              <w:bottom w:val="single" w:color="auto" w:sz="4" w:space="0"/>
              <w:right w:val="single" w:color="auto" w:sz="4" w:space="0"/>
            </w:tcBorders>
            <w:shd w:val="clear" w:color="auto" w:fill="auto"/>
            <w:vAlign w:val="center"/>
          </w:tcPr>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19英寸2U机架式标准机箱</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★处理器不少于2颗国产Hygon高性能C86架构处理器，核数≥32核，主频≥2.0GHz；</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内存不少于256G DDR4；硬盘不少于1块480G SSD硬盘</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★GPU卡不少于6张国产加速卡；</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网口不少于2个千兆自适应网络接口，不少于2个万兆光口，标配1个IPMI RJ45管理接口；OCP专用扩展槽位，采用标准OPC 3.0模块，可选支持1G、10G、25G网络</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PCI E扩展槽：最大可支持11个PCIe 3.0扩展插槽，其中8个标准PCIe插槽、1个阵列卡专用插槽和2个OCP专用插槽</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电源：标配1600W（1+1）冗余电源；</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其它端口：不少于5个USB 3.0接口；</w:t>
            </w:r>
          </w:p>
        </w:tc>
        <w:tc>
          <w:tcPr>
            <w:tcW w:w="771"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8</w:t>
            </w:r>
          </w:p>
        </w:tc>
        <w:tc>
          <w:tcPr>
            <w:tcW w:w="789"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台</w:t>
            </w:r>
          </w:p>
        </w:tc>
      </w:tr>
      <w:tr>
        <w:tblPrEx>
          <w:tblLayout w:type="fixed"/>
          <w:tblCellMar>
            <w:top w:w="0" w:type="dxa"/>
            <w:left w:w="108" w:type="dxa"/>
            <w:bottom w:w="0" w:type="dxa"/>
            <w:right w:w="108" w:type="dxa"/>
          </w:tblCellMar>
        </w:tblPrEx>
        <w:trPr>
          <w:trHeight w:val="699"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3"/>
              </w:numPr>
              <w:spacing w:line="25" w:lineRule="atLeast"/>
              <w:jc w:val="center"/>
              <w:rPr>
                <w:rFonts w:hint="eastAsia" w:ascii="宋体" w:hAnsi="宋体" w:eastAsia="宋体"/>
                <w:color w:val="000000"/>
                <w:kern w:val="0"/>
                <w:sz w:val="24"/>
                <w:szCs w:val="24"/>
              </w:rPr>
            </w:pPr>
          </w:p>
        </w:tc>
        <w:tc>
          <w:tcPr>
            <w:tcW w:w="806"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比对服务器</w:t>
            </w:r>
          </w:p>
        </w:tc>
        <w:tc>
          <w:tcPr>
            <w:tcW w:w="5948" w:type="dxa"/>
            <w:tcBorders>
              <w:top w:val="nil"/>
              <w:left w:val="nil"/>
              <w:bottom w:val="single" w:color="auto" w:sz="4" w:space="0"/>
              <w:right w:val="single" w:color="auto" w:sz="4" w:space="0"/>
            </w:tcBorders>
            <w:shd w:val="clear" w:color="auto" w:fill="auto"/>
            <w:vAlign w:val="center"/>
          </w:tcPr>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19英寸2U机架式标准机箱</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★处理器不少于2颗国产Hygon高性能C86架构处理器，核数≥32核，主频≥2.0GHz；</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内存不少于512G DDR4;硬盘不少于1块240G SSD硬盘；</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★GPU卡不少于4张国产加速卡；</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不少于2个万兆光口</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电源：1200W(1+1)；</w:t>
            </w:r>
          </w:p>
        </w:tc>
        <w:tc>
          <w:tcPr>
            <w:tcW w:w="771"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1</w:t>
            </w:r>
          </w:p>
        </w:tc>
        <w:tc>
          <w:tcPr>
            <w:tcW w:w="789"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台</w:t>
            </w:r>
          </w:p>
        </w:tc>
      </w:tr>
      <w:tr>
        <w:tblPrEx>
          <w:tblLayout w:type="fixed"/>
          <w:tblCellMar>
            <w:top w:w="0" w:type="dxa"/>
            <w:left w:w="108" w:type="dxa"/>
            <w:bottom w:w="0" w:type="dxa"/>
            <w:right w:w="108" w:type="dxa"/>
          </w:tblCellMar>
        </w:tblPrEx>
        <w:trPr>
          <w:trHeight w:val="84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3"/>
              </w:numPr>
              <w:spacing w:line="25" w:lineRule="atLeast"/>
              <w:jc w:val="center"/>
              <w:rPr>
                <w:rFonts w:hint="eastAsia" w:ascii="宋体" w:hAnsi="宋体" w:eastAsia="宋体"/>
                <w:color w:val="000000"/>
                <w:kern w:val="0"/>
                <w:sz w:val="24"/>
                <w:szCs w:val="24"/>
              </w:rPr>
            </w:pPr>
          </w:p>
        </w:tc>
        <w:tc>
          <w:tcPr>
            <w:tcW w:w="806"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搜图服务器</w:t>
            </w:r>
          </w:p>
        </w:tc>
        <w:tc>
          <w:tcPr>
            <w:tcW w:w="5948" w:type="dxa"/>
            <w:tcBorders>
              <w:top w:val="nil"/>
              <w:left w:val="nil"/>
              <w:bottom w:val="single" w:color="auto" w:sz="4" w:space="0"/>
              <w:right w:val="single" w:color="auto" w:sz="4" w:space="0"/>
            </w:tcBorders>
            <w:shd w:val="clear" w:color="auto" w:fill="auto"/>
          </w:tcPr>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19英寸2U机架式标准机箱</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★配置不少于2颗国产Hygon高性能C86架构处理器，核数不低于24核，主频不低于2.2GHz；</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内存不少于768G DDR4；最大支持扩展至32根DDR4内存，最大可扩展至2TB内存</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硬盘不少于1*240G SSD，不少于4*960G SSD（RAID 0），不少于1*4T SATA硬盘；</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★独显&amp;GPU扩展：配置不少于8张国产加速卡；</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网口：不少于2个千兆自适应网络接口，不少于1个IPMI RJ45管理接口；OCP专用扩展槽位，采用标准OPC 3.0模块，可选支持1G、10G、25G网络</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电源：配置1200W(1+1)冗余电源；可选800W，1200W 或1600W CRPS高效冗余电源</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其它端口：2个VGA接口（1个前置VGA、1个后置VGA），5个USB 3.0接口（2个位于机箱前部、2个位于机箱后部、1个位于机箱内部）</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支持人脸、人体、车辆、非机动车以图搜图应用</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人脸抓拍库单卡最大容量：3亿/单卡，并发性能：10个/秒</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人体抓拍库单卡最大容量：3亿/单卡，并发性能：10个/秒</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车辆抓拍库单卡最大容量：3亿/单卡，并发性能：10个/秒</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非机动车抓拍库单卡最大容量：3亿/单卡，并发性能：10个/秒</w:t>
            </w:r>
          </w:p>
        </w:tc>
        <w:tc>
          <w:tcPr>
            <w:tcW w:w="771"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2</w:t>
            </w:r>
          </w:p>
        </w:tc>
        <w:tc>
          <w:tcPr>
            <w:tcW w:w="789"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台</w:t>
            </w:r>
          </w:p>
        </w:tc>
      </w:tr>
      <w:tr>
        <w:tblPrEx>
          <w:tblLayout w:type="fixed"/>
          <w:tblCellMar>
            <w:top w:w="0" w:type="dxa"/>
            <w:left w:w="108" w:type="dxa"/>
            <w:bottom w:w="0" w:type="dxa"/>
            <w:right w:w="108" w:type="dxa"/>
          </w:tblCellMar>
        </w:tblPrEx>
        <w:trPr>
          <w:trHeight w:val="39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b/>
                <w:bCs/>
                <w:color w:val="000000"/>
                <w:kern w:val="0"/>
                <w:sz w:val="24"/>
                <w:szCs w:val="24"/>
              </w:rPr>
            </w:pPr>
            <w:r>
              <w:rPr>
                <w:rFonts w:hint="eastAsia" w:ascii="宋体" w:hAnsi="宋体" w:eastAsia="宋体"/>
                <w:b/>
                <w:bCs/>
                <w:color w:val="000000"/>
                <w:kern w:val="0"/>
                <w:sz w:val="24"/>
                <w:szCs w:val="24"/>
              </w:rPr>
              <w:t>三</w:t>
            </w:r>
          </w:p>
        </w:tc>
        <w:tc>
          <w:tcPr>
            <w:tcW w:w="8314"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25" w:lineRule="atLeast"/>
              <w:jc w:val="left"/>
              <w:rPr>
                <w:rFonts w:hint="eastAsia" w:ascii="宋体" w:hAnsi="宋体" w:eastAsia="宋体"/>
                <w:b/>
                <w:bCs/>
                <w:color w:val="000000"/>
                <w:kern w:val="0"/>
                <w:sz w:val="24"/>
                <w:szCs w:val="24"/>
              </w:rPr>
            </w:pPr>
            <w:r>
              <w:rPr>
                <w:rFonts w:hint="eastAsia" w:ascii="宋体" w:hAnsi="宋体" w:eastAsia="宋体"/>
                <w:b/>
                <w:bCs/>
                <w:color w:val="000000"/>
                <w:kern w:val="0"/>
                <w:sz w:val="24"/>
                <w:szCs w:val="24"/>
              </w:rPr>
              <w:t>扩容配套视频接入转发中心基础设施</w:t>
            </w:r>
          </w:p>
        </w:tc>
      </w:tr>
      <w:tr>
        <w:tblPrEx>
          <w:tblLayout w:type="fixed"/>
          <w:tblCellMar>
            <w:top w:w="0" w:type="dxa"/>
            <w:left w:w="108" w:type="dxa"/>
            <w:bottom w:w="0" w:type="dxa"/>
            <w:right w:w="108" w:type="dxa"/>
          </w:tblCellMar>
        </w:tblPrEx>
        <w:trPr>
          <w:trHeight w:val="184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4"/>
              </w:numPr>
              <w:spacing w:line="25" w:lineRule="atLeast"/>
              <w:jc w:val="center"/>
              <w:rPr>
                <w:rFonts w:hint="eastAsia" w:ascii="宋体" w:hAnsi="宋体" w:eastAsia="宋体"/>
                <w:color w:val="000000"/>
                <w:kern w:val="0"/>
                <w:sz w:val="24"/>
                <w:szCs w:val="24"/>
              </w:rPr>
            </w:pPr>
          </w:p>
        </w:tc>
        <w:tc>
          <w:tcPr>
            <w:tcW w:w="806"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大数据服务器</w:t>
            </w:r>
          </w:p>
        </w:tc>
        <w:tc>
          <w:tcPr>
            <w:tcW w:w="5948" w:type="dxa"/>
            <w:tcBorders>
              <w:top w:val="nil"/>
              <w:left w:val="nil"/>
              <w:bottom w:val="single" w:color="auto" w:sz="4" w:space="0"/>
              <w:right w:val="single" w:color="auto" w:sz="4" w:space="0"/>
            </w:tcBorders>
            <w:shd w:val="clear" w:color="auto" w:fill="auto"/>
          </w:tcPr>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2U双路标准机架式服务器</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★CPU不少于2颗国产Hygon高性能C86架构处理器,不少于24核</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内存不低于512GB DDR4</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硬盘不少于2块600G SAS，不少于6块960G SSD，不少于6块8T SATA；</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RAID：硬盘组RAID_4G(1个)</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外部接口不少于2个万兆光口，不少于2个千兆电口；不少于4个USB；</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电源模块：高效能800W铂金1+1 CRPS冗余电源</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散热模块：最大4个热插拔冗余风扇</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功耗模块：AC:200-240V 50Hz</w:t>
            </w:r>
          </w:p>
        </w:tc>
        <w:tc>
          <w:tcPr>
            <w:tcW w:w="771"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5</w:t>
            </w:r>
          </w:p>
        </w:tc>
        <w:tc>
          <w:tcPr>
            <w:tcW w:w="789"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台</w:t>
            </w:r>
          </w:p>
        </w:tc>
      </w:tr>
      <w:tr>
        <w:tblPrEx>
          <w:tblLayout w:type="fixed"/>
          <w:tblCellMar>
            <w:top w:w="0" w:type="dxa"/>
            <w:left w:w="108" w:type="dxa"/>
            <w:bottom w:w="0" w:type="dxa"/>
            <w:right w:w="108" w:type="dxa"/>
          </w:tblCellMar>
        </w:tblPrEx>
        <w:trPr>
          <w:trHeight w:val="208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4"/>
              </w:numPr>
              <w:spacing w:line="25" w:lineRule="atLeast"/>
              <w:jc w:val="center"/>
              <w:rPr>
                <w:rFonts w:hint="eastAsia" w:ascii="宋体" w:hAnsi="宋体" w:eastAsia="宋体"/>
                <w:color w:val="000000"/>
                <w:kern w:val="0"/>
                <w:sz w:val="24"/>
                <w:szCs w:val="24"/>
              </w:rPr>
            </w:pPr>
          </w:p>
        </w:tc>
        <w:tc>
          <w:tcPr>
            <w:tcW w:w="806"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摆渡服务器</w:t>
            </w:r>
          </w:p>
        </w:tc>
        <w:tc>
          <w:tcPr>
            <w:tcW w:w="5948" w:type="dxa"/>
            <w:tcBorders>
              <w:top w:val="nil"/>
              <w:left w:val="nil"/>
              <w:bottom w:val="single" w:color="auto" w:sz="4" w:space="0"/>
              <w:right w:val="single" w:color="auto" w:sz="4" w:space="0"/>
            </w:tcBorders>
            <w:shd w:val="clear" w:color="auto" w:fill="auto"/>
            <w:vAlign w:val="center"/>
          </w:tcPr>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2U双路标准机架式服务器</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★CPU：配置不少于1颗国产Hygon高性能C86架构处理器；</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内存不少于256G DDR4，内存插槽不少于16根</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硬盘不少于12块960G SSD；</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网口不少于2个千兆电口，不少于2个万兆光口，支持选配10GbE、25GbE SFP+等多种网络接口</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其他接口：不少于1个千兆RJ-45管理接口，不少于4个USB 接口</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电源：配置800W（1+1）高效CRPS冗余白金电源</w:t>
            </w:r>
          </w:p>
        </w:tc>
        <w:tc>
          <w:tcPr>
            <w:tcW w:w="771"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4</w:t>
            </w:r>
          </w:p>
        </w:tc>
        <w:tc>
          <w:tcPr>
            <w:tcW w:w="789"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台</w:t>
            </w:r>
          </w:p>
        </w:tc>
      </w:tr>
      <w:tr>
        <w:tblPrEx>
          <w:tblLayout w:type="fixed"/>
          <w:tblCellMar>
            <w:top w:w="0" w:type="dxa"/>
            <w:left w:w="108" w:type="dxa"/>
            <w:bottom w:w="0" w:type="dxa"/>
            <w:right w:w="108" w:type="dxa"/>
          </w:tblCellMar>
        </w:tblPrEx>
        <w:trPr>
          <w:trHeight w:val="9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4"/>
              </w:numPr>
              <w:spacing w:line="25" w:lineRule="atLeast"/>
              <w:jc w:val="center"/>
              <w:rPr>
                <w:rFonts w:hint="eastAsia" w:ascii="宋体" w:hAnsi="宋体" w:eastAsia="宋体"/>
                <w:color w:val="000000"/>
                <w:kern w:val="0"/>
                <w:sz w:val="24"/>
                <w:szCs w:val="24"/>
              </w:rPr>
            </w:pPr>
          </w:p>
        </w:tc>
        <w:tc>
          <w:tcPr>
            <w:tcW w:w="806"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数据自助分析节点</w:t>
            </w:r>
          </w:p>
        </w:tc>
        <w:tc>
          <w:tcPr>
            <w:tcW w:w="5948" w:type="dxa"/>
            <w:tcBorders>
              <w:top w:val="nil"/>
              <w:left w:val="nil"/>
              <w:bottom w:val="single" w:color="auto" w:sz="4" w:space="0"/>
              <w:right w:val="single" w:color="auto" w:sz="4" w:space="0"/>
            </w:tcBorders>
            <w:shd w:val="clear" w:color="auto" w:fill="auto"/>
          </w:tcPr>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2U单路标准机架式服务器</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★CPU不少于1颗国产Hygon高性能C86架构处理器，单处理器物理核心数≥16核，主频≥2.5 GHz，末级缓存容量≥32 MB，线程数≥32线程，热设计功耗≥135 W，支持内存的最高速率≥3200 MHz，通道数≥4，位宽≥64；</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内存不少于128G DDR4；不少于2块480G SSD硬盘,不少于2块4T 7.2K SATA硬盘；</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网口不少于2个千兆电口；</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其他接口：不少于1个千兆RJ-45管理接口，不少于4个USB 3.0接口；</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电源：配置550W（1+1）高效铂金CRPS冗余电源</w:t>
            </w:r>
          </w:p>
        </w:tc>
        <w:tc>
          <w:tcPr>
            <w:tcW w:w="771"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3</w:t>
            </w:r>
          </w:p>
        </w:tc>
        <w:tc>
          <w:tcPr>
            <w:tcW w:w="789"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台</w:t>
            </w:r>
          </w:p>
        </w:tc>
      </w:tr>
      <w:tr>
        <w:tblPrEx>
          <w:tblLayout w:type="fixed"/>
          <w:tblCellMar>
            <w:top w:w="0" w:type="dxa"/>
            <w:left w:w="108" w:type="dxa"/>
            <w:bottom w:w="0" w:type="dxa"/>
            <w:right w:w="108" w:type="dxa"/>
          </w:tblCellMar>
        </w:tblPrEx>
        <w:trPr>
          <w:trHeight w:val="53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4"/>
              </w:numPr>
              <w:spacing w:line="25" w:lineRule="atLeast"/>
              <w:jc w:val="center"/>
              <w:rPr>
                <w:rFonts w:hint="eastAsia" w:ascii="宋体" w:hAnsi="宋体" w:eastAsia="宋体"/>
                <w:color w:val="000000"/>
                <w:kern w:val="0"/>
                <w:sz w:val="24"/>
                <w:szCs w:val="24"/>
              </w:rPr>
            </w:pPr>
          </w:p>
        </w:tc>
        <w:tc>
          <w:tcPr>
            <w:tcW w:w="806"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应用服务器</w:t>
            </w:r>
          </w:p>
        </w:tc>
        <w:tc>
          <w:tcPr>
            <w:tcW w:w="5948" w:type="dxa"/>
            <w:tcBorders>
              <w:top w:val="nil"/>
              <w:left w:val="nil"/>
              <w:bottom w:val="single" w:color="auto" w:sz="4" w:space="0"/>
              <w:right w:val="single" w:color="auto" w:sz="4" w:space="0"/>
            </w:tcBorders>
            <w:shd w:val="clear" w:color="auto" w:fill="auto"/>
          </w:tcPr>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2U单路标准机架式服务器</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★CPU不少于1颗国产Hygon高性能C86架构处理器，单处理器物理核心数≥32核，主频≥2.2 GHz，为实现设备高校利用，CPU支持超线程技术和睿频技术</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内存不少于256G DDR4；不少于2块240G SSD硬盘,不少于2块8T 7.2K SATA硬盘；</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网口不少于2个千兆电口，不少于2个千兆电口；支持选配10GbE、25GbE SFP+等多种网络接口；</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其他接口：不少于1个千兆RJ-45管理接口，不少于4个USB 3.0接口；</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电源：配置550W（1+1）高效铂金CRPS冗余电源</w:t>
            </w:r>
          </w:p>
        </w:tc>
        <w:tc>
          <w:tcPr>
            <w:tcW w:w="771"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1</w:t>
            </w:r>
          </w:p>
        </w:tc>
        <w:tc>
          <w:tcPr>
            <w:tcW w:w="789"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台</w:t>
            </w:r>
          </w:p>
        </w:tc>
      </w:tr>
      <w:tr>
        <w:tblPrEx>
          <w:tblLayout w:type="fixed"/>
          <w:tblCellMar>
            <w:top w:w="0" w:type="dxa"/>
            <w:left w:w="108" w:type="dxa"/>
            <w:bottom w:w="0" w:type="dxa"/>
            <w:right w:w="108" w:type="dxa"/>
          </w:tblCellMar>
        </w:tblPrEx>
        <w:trPr>
          <w:trHeight w:val="212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4"/>
              </w:numPr>
              <w:spacing w:line="25" w:lineRule="atLeast"/>
              <w:jc w:val="center"/>
              <w:rPr>
                <w:rFonts w:hint="eastAsia" w:ascii="宋体" w:hAnsi="宋体" w:eastAsia="宋体"/>
                <w:color w:val="000000"/>
                <w:kern w:val="0"/>
                <w:sz w:val="24"/>
                <w:szCs w:val="24"/>
              </w:rPr>
            </w:pPr>
          </w:p>
        </w:tc>
        <w:tc>
          <w:tcPr>
            <w:tcW w:w="806"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流媒体服务器</w:t>
            </w:r>
          </w:p>
        </w:tc>
        <w:tc>
          <w:tcPr>
            <w:tcW w:w="5948" w:type="dxa"/>
            <w:tcBorders>
              <w:top w:val="nil"/>
              <w:left w:val="nil"/>
              <w:bottom w:val="single" w:color="auto" w:sz="4" w:space="0"/>
              <w:right w:val="single" w:color="auto" w:sz="4" w:space="0"/>
            </w:tcBorders>
            <w:shd w:val="clear" w:color="auto" w:fill="auto"/>
          </w:tcPr>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2U单路标准机架式服务器</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★CPU不少于1颗国产Hygon高性能C86架构处理器，单处理器物理核心数≥16核，主频≥2.5 GHz，末级缓存容量≥32 MB，线程数≥32线程，热设计功耗≥135 W，支持内存的最高速率≥3200 MHz，通道数≥4，位宽≥64；</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内存不少于64G DDR4；硬盘不少于4块600G 10K SAS硬盘；</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网口不少于2个千兆电口，不少于2个万兆光口；</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其他接口不少于1个千兆RJ-45管理接口，不少于4个USB 3.0接口；</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电源：配置550W（1+1）高效铂金CRPS冗余电源</w:t>
            </w:r>
          </w:p>
        </w:tc>
        <w:tc>
          <w:tcPr>
            <w:tcW w:w="771"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3</w:t>
            </w:r>
          </w:p>
        </w:tc>
        <w:tc>
          <w:tcPr>
            <w:tcW w:w="789"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台</w:t>
            </w:r>
          </w:p>
        </w:tc>
      </w:tr>
      <w:tr>
        <w:tblPrEx>
          <w:tblLayout w:type="fixed"/>
          <w:tblCellMar>
            <w:top w:w="0" w:type="dxa"/>
            <w:left w:w="108" w:type="dxa"/>
            <w:bottom w:w="0" w:type="dxa"/>
            <w:right w:w="108" w:type="dxa"/>
          </w:tblCellMar>
        </w:tblPrEx>
        <w:trPr>
          <w:trHeight w:val="31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4"/>
              </w:numPr>
              <w:spacing w:line="25" w:lineRule="atLeast"/>
              <w:jc w:val="center"/>
              <w:rPr>
                <w:rFonts w:hint="eastAsia" w:ascii="宋体" w:hAnsi="宋体" w:eastAsia="宋体"/>
                <w:color w:val="000000"/>
                <w:kern w:val="0"/>
                <w:sz w:val="24"/>
                <w:szCs w:val="24"/>
              </w:rPr>
            </w:pPr>
          </w:p>
        </w:tc>
        <w:tc>
          <w:tcPr>
            <w:tcW w:w="806"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高可靠性网络安全隔离与信息单向导入设备</w:t>
            </w:r>
          </w:p>
        </w:tc>
        <w:tc>
          <w:tcPr>
            <w:tcW w:w="5948" w:type="dxa"/>
            <w:tcBorders>
              <w:top w:val="nil"/>
              <w:left w:val="nil"/>
              <w:bottom w:val="single" w:color="auto" w:sz="4" w:space="0"/>
              <w:right w:val="single" w:color="auto" w:sz="4" w:space="0"/>
            </w:tcBorders>
            <w:shd w:val="clear" w:color="auto" w:fill="auto"/>
            <w:noWrap/>
            <w:vAlign w:val="bottom"/>
          </w:tcPr>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采用2+1硬件结构，具备两套独立主机系统内网机和外网机，两套独立主机系统之间采用自主研制的无回馈光单向隔离硬件进行连接。产品为国内自主研发，内部采用基于单光纤结构无反馈单向数据传输的专利技术，光单向传输机制基于自主研发的单向传输卡实现（提供证明文件并加盖公章）。</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2、设备内外网独立主机系统之间，采用完全自主设计和研制的无回馈光单向通讯部件，外网机的无回馈光单向部件仅使用光通讯模块的发射器（严禁使用光接收器部分），内网机的无回馈光单向部件仅使用光通讯模块的接收器（严禁使用光发射器部分）。</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3、设备外网机和内网机之间，仅使用单根光纤连接，不存在逆向的内网机到外网机的物理通道；设备外网机和内网机之间，采用专用光单向传输专用协议（非网络协议），不存在逆向的内网机到外网机的物理通道。</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4、采用高可靠自校验、自纠错算法，在现有稳定光单向传输基础上进一步提升无回馈光单向传输的可靠性，能够满足实际应用需要，确保单向导入数据的完整性。</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5、支持文件、数据流等方式导入，能够与相关应用无缝衔接主要支持如下方式数据单向导入：主动获取和推送方式，专用客户端方式导入，数据流单向导入方式。</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6、设备能够在外网机识别判断导入数据格式、内容等信息，格式过滤和内容检查，实现对导入数据的细颗粒度控制，并能够实现相关安全策略配置，精确限定导入数据的格式和内容。能够依据需求内嵌国家保密安全部门认可的密级标志检查功能，实现数据密标检查和控制。</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7、设备能够采用专用客户端、专用API接口、IP地址、数字证书等方式，准确判断数据源和目的服务器，构造从真正数据源到目的的可信导入通道。</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8、设备作为内外网之间唯一物理通道，采用专用无回馈单向硬件和专用协议，完全阻断所有网络协议连接，仅支持纯数据的导入，阻断网络攻击。</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9、具备完善的设备系统日志、操作日志、运行日志、运行状态信息，具备完整的安全审计。</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10、自定义服务支持：能够依据实际需求提供用户自定义应用的开发和支持。</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11、支持双机热备、多链路冗余和负载均衡。</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12、支持复杂内外网导入方式：包括一对一、一对多、多对一和多对多，支持数据分类重新归并等灵活内外网数据对应关系。</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13、8个10/100/1000M以太网络接口，4个万兆光纤接口，2个CONSOLE口。</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14、支持TCP/IP网络（包括Windows，Unix/Linux等）。</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15、支持多种形式数据单向导入，包括文件、数据流等。</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16、自主研制的无回馈光单向硬件设备。</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17、内部采用自定义专有单向传输协议。</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18、系统吞吐率(1000M接口)：≥8000Mbps。</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19、光单向通讯隔离部件内部数据吞吐率：30Gbps。</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平均无故障时间：≥60000小时，冗余电源。</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资质：</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1、产品为国内自主研发，提供软件著作权证书复印件并加盖公章。</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2、提供投标产品在国家保密科技测评中心通过检测的《检测报告》复印件并加盖公章等（至少三个以上省部级项目）。</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3、产品获得由国家信息安全测评中心颁发的EAL3+证书，提供证明材料复印件并加盖公章。</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4、产品原厂商具有可信变域防护的关键技术，提供复印件并加盖公章。</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5、产品厂商参与过安全隔离与信息交换系统的国家产品标准制定，提供复印件并加盖公章。</w:t>
            </w:r>
          </w:p>
        </w:tc>
        <w:tc>
          <w:tcPr>
            <w:tcW w:w="771"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1</w:t>
            </w:r>
          </w:p>
        </w:tc>
        <w:tc>
          <w:tcPr>
            <w:tcW w:w="789"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套</w:t>
            </w:r>
          </w:p>
        </w:tc>
      </w:tr>
      <w:tr>
        <w:tblPrEx>
          <w:tblLayout w:type="fixed"/>
          <w:tblCellMar>
            <w:top w:w="0" w:type="dxa"/>
            <w:left w:w="108" w:type="dxa"/>
            <w:bottom w:w="0" w:type="dxa"/>
            <w:right w:w="108" w:type="dxa"/>
          </w:tblCellMar>
        </w:tblPrEx>
        <w:trPr>
          <w:trHeight w:val="56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4"/>
              </w:numPr>
              <w:spacing w:line="25" w:lineRule="atLeast"/>
              <w:jc w:val="center"/>
              <w:rPr>
                <w:rFonts w:hint="eastAsia" w:ascii="宋体" w:hAnsi="宋体" w:eastAsia="宋体"/>
                <w:color w:val="000000"/>
                <w:kern w:val="0"/>
                <w:sz w:val="24"/>
                <w:szCs w:val="24"/>
              </w:rPr>
            </w:pPr>
          </w:p>
        </w:tc>
        <w:tc>
          <w:tcPr>
            <w:tcW w:w="806"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导入服务器系统 V1.0</w:t>
            </w:r>
          </w:p>
        </w:tc>
        <w:tc>
          <w:tcPr>
            <w:tcW w:w="5948" w:type="dxa"/>
            <w:tcBorders>
              <w:top w:val="nil"/>
              <w:left w:val="nil"/>
              <w:bottom w:val="single" w:color="auto" w:sz="4" w:space="0"/>
              <w:right w:val="single" w:color="auto" w:sz="4" w:space="0"/>
            </w:tcBorders>
            <w:shd w:val="clear" w:color="auto" w:fill="auto"/>
            <w:noWrap/>
            <w:vAlign w:val="bottom"/>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 xml:space="preserve"> 1.设备包含导入服务器和导入前置机各一台，采用标准2U机架式。</w:t>
            </w:r>
          </w:p>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2. 设备接口：4个千兆电口，4个万兆光纤接口。</w:t>
            </w:r>
          </w:p>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3.系统吞吐率(1000M接口)：≥8000Mbps。</w:t>
            </w:r>
          </w:p>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4.光单向通讯隔离部件内部数据吞吐率：30Gbps，平均无故障时间：≥60000小时。</w:t>
            </w:r>
          </w:p>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5. 支持主动访问、身份鉴别等多种安全模式；支持多种文件传输协议，包括可定制的非标准通讯协议；支持内容过滤、断点续传及优先级策略设置。</w:t>
            </w:r>
          </w:p>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6.产品为国内自主研发，产品使用光单向传输领域专利技术进行数据传输，光单向传输机制基于自主研发的单向传输卡实现，（提供专利证明文件并加盖公章）。</w:t>
            </w:r>
          </w:p>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7.采用高可靠自校验、自纠错算法，在现有稳定光单向传输基础上进一步提升无回馈光单向传输的可靠性，能够满足实际应用需要，确保单向导入数据的完整性。</w:t>
            </w:r>
          </w:p>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8.支持文件、数据流等方式导入，能够与相关应用无缝衔接主要支持如下方式数据单向导入：主动获取和推送方式，专用客户端方式导入，数据流单向导入方式。</w:t>
            </w:r>
          </w:p>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9.以满足GB17859-1999中第三级（安全标记级）要求的国产安全操作系统为基础，构造可信的设备操作系统安全内核、最小特权原则、操作系统可信启动、应用模块可信加载、重要信息完整性保护，提供第三方检测报告复印件并加盖公章。</w:t>
            </w:r>
          </w:p>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10.提供投标产品在国家保密科技测评中心通过检测的《检测报告》复印件并加盖公章等（至少三个以上省部级项目）。</w:t>
            </w:r>
          </w:p>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11.产品厂商参与过安全隔离与信息交换系统的国家产品标准制定，提供复印件并加盖公章。</w:t>
            </w:r>
          </w:p>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12.投标厂商必须同时入围公安部边界接入平台安全产品名单中隔离网闸；接入平台厂商入围；提供复印件并加盖公章。</w:t>
            </w:r>
          </w:p>
        </w:tc>
        <w:tc>
          <w:tcPr>
            <w:tcW w:w="771"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1</w:t>
            </w:r>
          </w:p>
        </w:tc>
        <w:tc>
          <w:tcPr>
            <w:tcW w:w="789"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台</w:t>
            </w:r>
          </w:p>
        </w:tc>
      </w:tr>
      <w:tr>
        <w:tblPrEx>
          <w:tblLayout w:type="fixed"/>
          <w:tblCellMar>
            <w:top w:w="0" w:type="dxa"/>
            <w:left w:w="108" w:type="dxa"/>
            <w:bottom w:w="0" w:type="dxa"/>
            <w:right w:w="108" w:type="dxa"/>
          </w:tblCellMar>
        </w:tblPrEx>
        <w:trPr>
          <w:trHeight w:val="1444"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4"/>
              </w:numPr>
              <w:spacing w:line="25" w:lineRule="atLeast"/>
              <w:jc w:val="center"/>
              <w:rPr>
                <w:rFonts w:hint="eastAsia" w:ascii="宋体" w:hAnsi="宋体" w:eastAsia="宋体"/>
                <w:color w:val="000000"/>
                <w:kern w:val="0"/>
                <w:sz w:val="24"/>
                <w:szCs w:val="24"/>
              </w:rPr>
            </w:pPr>
          </w:p>
        </w:tc>
        <w:tc>
          <w:tcPr>
            <w:tcW w:w="806"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导入前置机系统 V1.0</w:t>
            </w:r>
          </w:p>
        </w:tc>
        <w:tc>
          <w:tcPr>
            <w:tcW w:w="5948" w:type="dxa"/>
            <w:tcBorders>
              <w:top w:val="nil"/>
              <w:left w:val="nil"/>
              <w:bottom w:val="single" w:color="auto" w:sz="4" w:space="0"/>
              <w:right w:val="single" w:color="auto" w:sz="4" w:space="0"/>
            </w:tcBorders>
            <w:shd w:val="clear" w:color="auto" w:fill="auto"/>
            <w:noWrap/>
            <w:vAlign w:val="bottom"/>
          </w:tcPr>
          <w:p>
            <w:pPr>
              <w:widowControl/>
              <w:spacing w:line="25" w:lineRule="atLeast"/>
              <w:jc w:val="center"/>
              <w:rPr>
                <w:rFonts w:hint="eastAsia"/>
              </w:rPr>
            </w:pPr>
            <w:r>
              <w:rPr>
                <w:rFonts w:hint="eastAsia"/>
              </w:rPr>
              <w:t>1.设备包含导入服务器和导入前置机各一台，采用标准2U机架式。</w:t>
            </w:r>
          </w:p>
          <w:p>
            <w:pPr>
              <w:widowControl/>
              <w:spacing w:line="25" w:lineRule="atLeast"/>
              <w:jc w:val="center"/>
              <w:rPr>
                <w:rFonts w:hint="eastAsia"/>
              </w:rPr>
            </w:pPr>
            <w:r>
              <w:rPr>
                <w:rFonts w:hint="eastAsia"/>
              </w:rPr>
              <w:t>2. 设备接口：4个千兆电口，4个万兆光纤接口。</w:t>
            </w:r>
          </w:p>
          <w:p>
            <w:pPr>
              <w:widowControl/>
              <w:spacing w:line="25" w:lineRule="atLeast"/>
              <w:jc w:val="center"/>
              <w:rPr>
                <w:rFonts w:hint="eastAsia"/>
              </w:rPr>
            </w:pPr>
            <w:r>
              <w:rPr>
                <w:rFonts w:hint="eastAsia"/>
              </w:rPr>
              <w:t>3.系统吞吐率(1000M接口)：≥8000Mbps。</w:t>
            </w:r>
          </w:p>
          <w:p>
            <w:pPr>
              <w:widowControl/>
              <w:spacing w:line="25" w:lineRule="atLeast"/>
              <w:jc w:val="center"/>
              <w:rPr>
                <w:rFonts w:hint="eastAsia"/>
              </w:rPr>
            </w:pPr>
            <w:r>
              <w:rPr>
                <w:rFonts w:hint="eastAsia"/>
              </w:rPr>
              <w:t>4.光单向通讯隔离部件内部数据吞吐率：30Gbps，平均无故障时间：≥60000小时。</w:t>
            </w:r>
          </w:p>
          <w:p>
            <w:pPr>
              <w:widowControl/>
              <w:spacing w:line="25" w:lineRule="atLeast"/>
              <w:jc w:val="center"/>
              <w:rPr>
                <w:rFonts w:hint="eastAsia"/>
              </w:rPr>
            </w:pPr>
            <w:r>
              <w:rPr>
                <w:rFonts w:hint="eastAsia"/>
              </w:rPr>
              <w:t>5. 支持主动访问、身份鉴别等多种安全模式；支持多种文件传输协议，包括可定制的非标准通讯协议；支持内容过滤、断点续传及优先级策略设置。</w:t>
            </w:r>
          </w:p>
          <w:p>
            <w:pPr>
              <w:widowControl/>
              <w:spacing w:line="25" w:lineRule="atLeast"/>
              <w:jc w:val="center"/>
              <w:rPr>
                <w:rFonts w:hint="eastAsia"/>
              </w:rPr>
            </w:pPr>
            <w:r>
              <w:rPr>
                <w:rFonts w:hint="eastAsia"/>
              </w:rPr>
              <w:t>6.产品为国内自主研发，产品使用光单向传输领域专利技术进行数据传输，光单向传输机制基于自主研发的单向传输卡实现，（提供专利证明文件并加盖公章）。</w:t>
            </w:r>
          </w:p>
          <w:p>
            <w:pPr>
              <w:widowControl/>
              <w:spacing w:line="25" w:lineRule="atLeast"/>
              <w:jc w:val="center"/>
              <w:rPr>
                <w:rFonts w:hint="eastAsia"/>
              </w:rPr>
            </w:pPr>
            <w:r>
              <w:rPr>
                <w:rFonts w:hint="eastAsia"/>
              </w:rPr>
              <w:t>7.采用高可靠自校验、自纠错算法，在现有稳定光单向传输基础上进一步提升无回馈光单向传输的可靠性，能够满足实际应用需要，确保单向导入数据的完整性。</w:t>
            </w:r>
          </w:p>
          <w:p>
            <w:pPr>
              <w:widowControl/>
              <w:spacing w:line="25" w:lineRule="atLeast"/>
              <w:jc w:val="center"/>
              <w:rPr>
                <w:rFonts w:hint="eastAsia"/>
              </w:rPr>
            </w:pPr>
            <w:r>
              <w:rPr>
                <w:rFonts w:hint="eastAsia"/>
              </w:rPr>
              <w:t>8.支持文件、数据流等方式导入，能够与相关应用无缝衔接主要支持如下方式数据单向导入：主动获取和推送方式，专用客户端方式导入，数据流单向导入方式。</w:t>
            </w:r>
          </w:p>
          <w:p>
            <w:pPr>
              <w:widowControl/>
              <w:spacing w:line="25" w:lineRule="atLeast"/>
              <w:jc w:val="center"/>
              <w:rPr>
                <w:rFonts w:hint="eastAsia"/>
              </w:rPr>
            </w:pPr>
            <w:r>
              <w:rPr>
                <w:rFonts w:hint="eastAsia"/>
              </w:rPr>
              <w:t>9.以满足GB17859-1999中第三级（安全标记级）要求的国产安全操作系统为基础，构造可信的设备操作系统安全内核、最小特权原则、操作系统可信启动、应用模块可信加载、重要信息完整性保护，提供第三方检测报告复印件并加盖公章。</w:t>
            </w:r>
          </w:p>
          <w:p>
            <w:pPr>
              <w:widowControl/>
              <w:spacing w:line="25" w:lineRule="atLeast"/>
              <w:jc w:val="center"/>
              <w:rPr>
                <w:rFonts w:hint="eastAsia"/>
              </w:rPr>
            </w:pPr>
            <w:r>
              <w:rPr>
                <w:rFonts w:hint="eastAsia"/>
              </w:rPr>
              <w:t>10.提供投标产品在国家保密科技测评中心通过检测的《检测报告》复印件并加盖公章等（至少三个以上省部级项目）。</w:t>
            </w:r>
          </w:p>
          <w:p>
            <w:pPr>
              <w:widowControl/>
              <w:spacing w:line="25" w:lineRule="atLeast"/>
              <w:jc w:val="center"/>
              <w:rPr>
                <w:rFonts w:hint="eastAsia"/>
              </w:rPr>
            </w:pPr>
            <w:r>
              <w:rPr>
                <w:rFonts w:hint="eastAsia"/>
              </w:rPr>
              <w:t>11.产品厂商参与过安全隔离与信息交换系统的国家产品标准制定，提供复印件并加盖公章。</w:t>
            </w:r>
          </w:p>
          <w:p>
            <w:pPr>
              <w:widowControl/>
              <w:spacing w:line="25" w:lineRule="atLeast"/>
              <w:jc w:val="center"/>
              <w:rPr>
                <w:rFonts w:hint="eastAsia" w:ascii="宋体" w:hAnsi="宋体" w:eastAsia="宋体"/>
                <w:color w:val="000000"/>
                <w:kern w:val="0"/>
                <w:sz w:val="24"/>
                <w:szCs w:val="24"/>
              </w:rPr>
            </w:pPr>
            <w:r>
              <w:rPr>
                <w:rFonts w:hint="eastAsia"/>
              </w:rPr>
              <w:t>12.投标厂商必须同时入围公安部边界接入平台安全产品名单中隔离网闸；接入平台厂商入围；提供复印件并加盖公章。</w:t>
            </w:r>
          </w:p>
        </w:tc>
        <w:tc>
          <w:tcPr>
            <w:tcW w:w="771"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1</w:t>
            </w:r>
          </w:p>
        </w:tc>
        <w:tc>
          <w:tcPr>
            <w:tcW w:w="789"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台</w:t>
            </w:r>
          </w:p>
        </w:tc>
      </w:tr>
      <w:tr>
        <w:tblPrEx>
          <w:tblLayout w:type="fixed"/>
          <w:tblCellMar>
            <w:top w:w="0" w:type="dxa"/>
            <w:left w:w="108" w:type="dxa"/>
            <w:bottom w:w="0" w:type="dxa"/>
            <w:right w:w="108" w:type="dxa"/>
          </w:tblCellMar>
        </w:tblPrEx>
        <w:trPr>
          <w:trHeight w:val="31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4"/>
              </w:numPr>
              <w:spacing w:line="25" w:lineRule="atLeast"/>
              <w:jc w:val="center"/>
              <w:rPr>
                <w:rFonts w:hint="eastAsia" w:ascii="宋体" w:hAnsi="宋体" w:eastAsia="宋体"/>
                <w:color w:val="000000"/>
                <w:kern w:val="0"/>
                <w:sz w:val="24"/>
                <w:szCs w:val="24"/>
              </w:rPr>
            </w:pPr>
          </w:p>
        </w:tc>
        <w:tc>
          <w:tcPr>
            <w:tcW w:w="806" w:type="dxa"/>
            <w:tcBorders>
              <w:top w:val="nil"/>
              <w:left w:val="nil"/>
              <w:bottom w:val="single" w:color="auto" w:sz="4" w:space="0"/>
              <w:right w:val="single" w:color="auto" w:sz="4" w:space="0"/>
            </w:tcBorders>
            <w:shd w:val="clear" w:color="auto" w:fill="auto"/>
            <w:vAlign w:val="center"/>
          </w:tcPr>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48口万兆交换机</w:t>
            </w:r>
          </w:p>
        </w:tc>
        <w:tc>
          <w:tcPr>
            <w:tcW w:w="5948" w:type="dxa"/>
            <w:tcBorders>
              <w:top w:val="nil"/>
              <w:left w:val="nil"/>
              <w:bottom w:val="single" w:color="auto" w:sz="4" w:space="0"/>
              <w:right w:val="single" w:color="auto" w:sz="4" w:space="0"/>
            </w:tcBorders>
            <w:shd w:val="clear" w:color="auto" w:fill="auto"/>
            <w:noWrap/>
            <w:vAlign w:val="bottom"/>
          </w:tcPr>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1、国产化：采用国产化核心芯片</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2、性能指标：交换容量≥4.8Tbps，包转发率≥2000Mpps，如存在双参数，以较小值为准</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3、端口配置：≥2个QSPF+光端口，≥4个QSPF28光端口，≥48个万兆光端口</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4、冗余电源风扇：配置冗余电源，冗余风扇</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5、路由协议：支持BFD/BGP/IS-IS/OSPF/RIP/静态路由</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6、IPv6：支持RIPng、BGP4+、IS-ISv6协议；支持IPv6策略路；支持DHCPv6功能、IPv6 portal功能、IPv6管理功能；</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7、支持SNMP V1/V2/V3、Telnet、RMON、SSH功能；</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8、TAP分流功能：支持增加时间戳及以太网头；</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9、支持Telemetry（GRPC）可视化；</w:t>
            </w:r>
          </w:p>
        </w:tc>
        <w:tc>
          <w:tcPr>
            <w:tcW w:w="771"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2</w:t>
            </w:r>
          </w:p>
        </w:tc>
        <w:tc>
          <w:tcPr>
            <w:tcW w:w="789"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台</w:t>
            </w:r>
          </w:p>
        </w:tc>
      </w:tr>
      <w:tr>
        <w:tblPrEx>
          <w:tblLayout w:type="fixed"/>
          <w:tblCellMar>
            <w:top w:w="0" w:type="dxa"/>
            <w:left w:w="108" w:type="dxa"/>
            <w:bottom w:w="0" w:type="dxa"/>
            <w:right w:w="108" w:type="dxa"/>
          </w:tblCellMar>
        </w:tblPrEx>
        <w:trPr>
          <w:trHeight w:val="3735"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4"/>
              </w:numPr>
              <w:spacing w:line="25" w:lineRule="atLeast"/>
              <w:jc w:val="center"/>
              <w:rPr>
                <w:rFonts w:hint="eastAsia" w:ascii="宋体" w:hAnsi="宋体" w:eastAsia="宋体"/>
                <w:color w:val="000000"/>
                <w:kern w:val="0"/>
                <w:sz w:val="24"/>
                <w:szCs w:val="24"/>
              </w:rPr>
            </w:pPr>
          </w:p>
        </w:tc>
        <w:tc>
          <w:tcPr>
            <w:tcW w:w="806"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48口万兆交换机</w:t>
            </w:r>
          </w:p>
        </w:tc>
        <w:tc>
          <w:tcPr>
            <w:tcW w:w="5948" w:type="dxa"/>
            <w:tcBorders>
              <w:top w:val="nil"/>
              <w:left w:val="nil"/>
              <w:bottom w:val="single" w:color="auto" w:sz="4" w:space="0"/>
              <w:right w:val="single" w:color="auto" w:sz="4" w:space="0"/>
            </w:tcBorders>
            <w:shd w:val="clear" w:color="auto" w:fill="auto"/>
            <w:noWrap/>
            <w:vAlign w:val="bottom"/>
          </w:tcPr>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1、国产化：采用国产化核心芯片</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2、性能指标：交换容量≥4.8Tbps，包转发率≥2000Mpps，如存在双参数，以较小值为准</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3、端口配置：≥2个QSPF+光端口，≥4个QSPF28光端口，≥48个万兆光端口</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4、冗余电源风扇：配置冗余电源，冗余风扇</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5、路由协议：支持BFD/BGP/IS-IS/OSPF/RIP/静态路由</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6、IPv6：支持RIPng、BGP4+、IS-ISv6协议；支持IPv6策略路；支持DHCPv6功能、IPv6 portal功能、IPv6管理功能；</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7、支持SNMP V1/V2/V3、Telnet、RMON、SSH功能；</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8、TAP分流功能：支持增加时间戳及以太网头；</w:t>
            </w:r>
          </w:p>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9、支持Telemetry（GRPC）可视化；</w:t>
            </w:r>
          </w:p>
        </w:tc>
        <w:tc>
          <w:tcPr>
            <w:tcW w:w="771"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3</w:t>
            </w:r>
          </w:p>
        </w:tc>
        <w:tc>
          <w:tcPr>
            <w:tcW w:w="789"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台</w:t>
            </w:r>
          </w:p>
        </w:tc>
      </w:tr>
      <w:tr>
        <w:tblPrEx>
          <w:tblLayout w:type="fixed"/>
          <w:tblCellMar>
            <w:top w:w="0" w:type="dxa"/>
            <w:left w:w="108" w:type="dxa"/>
            <w:bottom w:w="0" w:type="dxa"/>
            <w:right w:w="108" w:type="dxa"/>
          </w:tblCellMar>
        </w:tblPrEx>
        <w:trPr>
          <w:trHeight w:val="302"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4"/>
              </w:numPr>
              <w:spacing w:line="25" w:lineRule="atLeast"/>
              <w:jc w:val="center"/>
              <w:rPr>
                <w:rFonts w:hint="eastAsia" w:ascii="宋体" w:hAnsi="宋体" w:eastAsia="宋体"/>
                <w:color w:val="000000"/>
                <w:kern w:val="0"/>
                <w:sz w:val="24"/>
                <w:szCs w:val="24"/>
              </w:rPr>
            </w:pPr>
          </w:p>
        </w:tc>
        <w:tc>
          <w:tcPr>
            <w:tcW w:w="806"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万兆多模光模块</w:t>
            </w:r>
          </w:p>
        </w:tc>
        <w:tc>
          <w:tcPr>
            <w:tcW w:w="5948"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SFP+ 万兆模块(850nm,300m,LC)</w:t>
            </w:r>
          </w:p>
        </w:tc>
        <w:tc>
          <w:tcPr>
            <w:tcW w:w="771"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192</w:t>
            </w:r>
          </w:p>
        </w:tc>
        <w:tc>
          <w:tcPr>
            <w:tcW w:w="789"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块</w:t>
            </w:r>
          </w:p>
        </w:tc>
      </w:tr>
      <w:tr>
        <w:tblPrEx>
          <w:tblLayout w:type="fixed"/>
          <w:tblCellMar>
            <w:top w:w="0" w:type="dxa"/>
            <w:left w:w="108" w:type="dxa"/>
            <w:bottom w:w="0" w:type="dxa"/>
            <w:right w:w="108" w:type="dxa"/>
          </w:tblCellMar>
        </w:tblPrEx>
        <w:trPr>
          <w:trHeight w:val="31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4"/>
              </w:numPr>
              <w:spacing w:line="25" w:lineRule="atLeast"/>
              <w:jc w:val="center"/>
              <w:rPr>
                <w:rFonts w:hint="eastAsia" w:ascii="宋体" w:hAnsi="宋体" w:eastAsia="宋体"/>
                <w:color w:val="000000"/>
                <w:kern w:val="0"/>
                <w:sz w:val="24"/>
                <w:szCs w:val="24"/>
              </w:rPr>
            </w:pPr>
          </w:p>
        </w:tc>
        <w:tc>
          <w:tcPr>
            <w:tcW w:w="806"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千兆交换机</w:t>
            </w:r>
          </w:p>
        </w:tc>
        <w:tc>
          <w:tcPr>
            <w:tcW w:w="5948" w:type="dxa"/>
            <w:tcBorders>
              <w:top w:val="nil"/>
              <w:left w:val="nil"/>
              <w:bottom w:val="single" w:color="auto" w:sz="4" w:space="0"/>
              <w:right w:val="single" w:color="auto" w:sz="4" w:space="0"/>
            </w:tcBorders>
            <w:shd w:val="clear" w:color="auto" w:fill="auto"/>
            <w:noWrap/>
            <w:vAlign w:val="bottom"/>
          </w:tcPr>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1、国产化：采用国产化核心芯片</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2、性能指标：交换容量≥1.3Tbps，包转发率≥280Mpps，如存在双参数，以较小值为准</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3、端口配置：配置千兆电口≥28（含4个 Combo口），≥8个万兆SFP+光口</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4、冗余电源风扇：冗余风扇，冗余电源</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5、IP路由：支持静态路由，RIP，RIPng，OSPF等价路由，VRRP/VRRPv3</w:t>
            </w:r>
          </w:p>
          <w:p>
            <w:pPr>
              <w:widowControl/>
              <w:spacing w:line="25" w:lineRule="atLeast"/>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6、流量调度：支持集群或堆叠技术，实现单一界面管理多台设备</w:t>
            </w:r>
          </w:p>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7、管理和监控：支持端口镜像/流镜像</w:t>
            </w:r>
          </w:p>
        </w:tc>
        <w:tc>
          <w:tcPr>
            <w:tcW w:w="771"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1</w:t>
            </w:r>
          </w:p>
        </w:tc>
        <w:tc>
          <w:tcPr>
            <w:tcW w:w="789"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台</w:t>
            </w:r>
          </w:p>
        </w:tc>
      </w:tr>
      <w:tr>
        <w:tblPrEx>
          <w:tblLayout w:type="fixed"/>
        </w:tblPrEx>
        <w:trPr>
          <w:trHeight w:val="31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4"/>
              </w:numPr>
              <w:spacing w:line="25" w:lineRule="atLeast"/>
              <w:jc w:val="center"/>
              <w:rPr>
                <w:rFonts w:hint="eastAsia" w:ascii="宋体" w:hAnsi="宋体" w:eastAsia="宋体"/>
                <w:color w:val="000000"/>
                <w:kern w:val="0"/>
                <w:sz w:val="24"/>
                <w:szCs w:val="24"/>
              </w:rPr>
            </w:pPr>
          </w:p>
        </w:tc>
        <w:tc>
          <w:tcPr>
            <w:tcW w:w="806"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LSUM1CGS8QSSH0</w:t>
            </w:r>
          </w:p>
        </w:tc>
        <w:tc>
          <w:tcPr>
            <w:tcW w:w="5948"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textAlignment w:val="center"/>
              <w:rPr>
                <w:rFonts w:hint="eastAsia" w:ascii="宋体" w:hAnsi="宋体" w:eastAsia="宋体"/>
                <w:color w:val="000000"/>
                <w:kern w:val="0"/>
                <w:sz w:val="24"/>
                <w:szCs w:val="24"/>
              </w:rPr>
            </w:pPr>
            <w:r>
              <w:rPr>
                <w:rFonts w:hint="eastAsia" w:cs="等线"/>
                <w:color w:val="000000"/>
                <w:kern w:val="0"/>
                <w:sz w:val="24"/>
                <w:szCs w:val="24"/>
              </w:rPr>
              <w:t>H3C S10500 8端口100G以太网光接口(QSFP28)+8端口40G/4端口100G以太网光接口模块(QSFP28)(SH)</w:t>
            </w:r>
          </w:p>
        </w:tc>
        <w:tc>
          <w:tcPr>
            <w:tcW w:w="771"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2</w:t>
            </w:r>
          </w:p>
        </w:tc>
        <w:tc>
          <w:tcPr>
            <w:tcW w:w="789"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台</w:t>
            </w:r>
          </w:p>
        </w:tc>
      </w:tr>
      <w:tr>
        <w:tblPrEx>
          <w:tblLayout w:type="fixed"/>
          <w:tblCellMar>
            <w:top w:w="0" w:type="dxa"/>
            <w:left w:w="108" w:type="dxa"/>
            <w:bottom w:w="0" w:type="dxa"/>
            <w:right w:w="108" w:type="dxa"/>
          </w:tblCellMar>
        </w:tblPrEx>
        <w:trPr>
          <w:trHeight w:val="56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4"/>
              </w:numPr>
              <w:spacing w:line="25" w:lineRule="atLeast"/>
              <w:jc w:val="center"/>
              <w:rPr>
                <w:rFonts w:hint="eastAsia" w:ascii="宋体" w:hAnsi="宋体" w:eastAsia="宋体"/>
                <w:color w:val="000000"/>
                <w:kern w:val="0"/>
                <w:sz w:val="24"/>
                <w:szCs w:val="24"/>
              </w:rPr>
            </w:pPr>
          </w:p>
        </w:tc>
        <w:tc>
          <w:tcPr>
            <w:tcW w:w="806"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QSFP-40G-LR4-WDM1300</w:t>
            </w:r>
          </w:p>
        </w:tc>
        <w:tc>
          <w:tcPr>
            <w:tcW w:w="5948"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textAlignment w:val="center"/>
              <w:rPr>
                <w:rFonts w:hint="eastAsia" w:ascii="宋体" w:hAnsi="宋体" w:eastAsia="宋体"/>
                <w:color w:val="000000"/>
                <w:kern w:val="0"/>
                <w:sz w:val="24"/>
                <w:szCs w:val="24"/>
              </w:rPr>
            </w:pPr>
            <w:r>
              <w:rPr>
                <w:rFonts w:hint="eastAsia" w:cs="等线"/>
                <w:color w:val="000000"/>
                <w:kern w:val="0"/>
                <w:sz w:val="24"/>
                <w:szCs w:val="24"/>
              </w:rPr>
              <w:t>QSFP+ 40G光模块(1310nm,10km,LR4,LC)</w:t>
            </w:r>
          </w:p>
        </w:tc>
        <w:tc>
          <w:tcPr>
            <w:tcW w:w="771"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4</w:t>
            </w:r>
          </w:p>
        </w:tc>
        <w:tc>
          <w:tcPr>
            <w:tcW w:w="789"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台</w:t>
            </w:r>
          </w:p>
        </w:tc>
      </w:tr>
      <w:tr>
        <w:tblPrEx>
          <w:tblLayout w:type="fixed"/>
          <w:tblCellMar>
            <w:top w:w="0" w:type="dxa"/>
            <w:left w:w="108" w:type="dxa"/>
            <w:bottom w:w="0" w:type="dxa"/>
            <w:right w:w="108" w:type="dxa"/>
          </w:tblCellMar>
        </w:tblPrEx>
        <w:trPr>
          <w:trHeight w:val="56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4"/>
              </w:numPr>
              <w:spacing w:line="25" w:lineRule="atLeast"/>
              <w:jc w:val="center"/>
              <w:rPr>
                <w:rFonts w:hint="eastAsia" w:ascii="宋体" w:hAnsi="宋体" w:eastAsia="宋体"/>
                <w:color w:val="000000"/>
                <w:kern w:val="0"/>
                <w:sz w:val="24"/>
                <w:szCs w:val="24"/>
              </w:rPr>
            </w:pPr>
          </w:p>
        </w:tc>
        <w:tc>
          <w:tcPr>
            <w:tcW w:w="806"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QSFP-100G-SWDM4-MM850</w:t>
            </w:r>
          </w:p>
        </w:tc>
        <w:tc>
          <w:tcPr>
            <w:tcW w:w="5948"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textAlignment w:val="center"/>
              <w:rPr>
                <w:rFonts w:hint="eastAsia" w:ascii="宋体" w:hAnsi="宋体" w:eastAsia="宋体"/>
                <w:color w:val="000000"/>
                <w:kern w:val="0"/>
                <w:sz w:val="24"/>
                <w:szCs w:val="24"/>
              </w:rPr>
            </w:pPr>
            <w:r>
              <w:rPr>
                <w:rFonts w:hint="eastAsia" w:cs="等线"/>
                <w:color w:val="000000"/>
                <w:kern w:val="0"/>
                <w:sz w:val="24"/>
                <w:szCs w:val="24"/>
              </w:rPr>
              <w:t>100G QSFP28光模块-(850nm,100m OM4,SWDM4,LC)</w:t>
            </w:r>
          </w:p>
        </w:tc>
        <w:tc>
          <w:tcPr>
            <w:tcW w:w="771"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4</w:t>
            </w:r>
          </w:p>
        </w:tc>
        <w:tc>
          <w:tcPr>
            <w:tcW w:w="789"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台</w:t>
            </w:r>
          </w:p>
        </w:tc>
      </w:tr>
      <w:tr>
        <w:tblPrEx>
          <w:tblLayout w:type="fixed"/>
        </w:tblPrEx>
        <w:trPr>
          <w:trHeight w:val="56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4"/>
              </w:numPr>
              <w:spacing w:line="25" w:lineRule="atLeast"/>
              <w:jc w:val="center"/>
              <w:rPr>
                <w:rFonts w:hint="eastAsia" w:ascii="宋体" w:hAnsi="宋体" w:eastAsia="宋体"/>
                <w:color w:val="000000"/>
                <w:kern w:val="0"/>
                <w:sz w:val="24"/>
                <w:szCs w:val="24"/>
              </w:rPr>
            </w:pPr>
          </w:p>
        </w:tc>
        <w:tc>
          <w:tcPr>
            <w:tcW w:w="806"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QSFP-100G-LR4-WDM1300</w:t>
            </w:r>
          </w:p>
        </w:tc>
        <w:tc>
          <w:tcPr>
            <w:tcW w:w="5948"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textAlignment w:val="center"/>
              <w:rPr>
                <w:rFonts w:hint="eastAsia" w:ascii="宋体" w:hAnsi="宋体" w:eastAsia="宋体"/>
                <w:color w:val="000000"/>
                <w:kern w:val="0"/>
                <w:sz w:val="24"/>
                <w:szCs w:val="24"/>
              </w:rPr>
            </w:pPr>
            <w:r>
              <w:rPr>
                <w:rFonts w:hint="eastAsia" w:cs="等线"/>
                <w:color w:val="000000"/>
                <w:kern w:val="0"/>
                <w:sz w:val="24"/>
                <w:szCs w:val="24"/>
              </w:rPr>
              <w:t>100G QSFP28光模块(1310nm,10km,LR4,WDM,LC)</w:t>
            </w:r>
          </w:p>
        </w:tc>
        <w:tc>
          <w:tcPr>
            <w:tcW w:w="771"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2</w:t>
            </w:r>
          </w:p>
        </w:tc>
        <w:tc>
          <w:tcPr>
            <w:tcW w:w="789"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台</w:t>
            </w:r>
          </w:p>
        </w:tc>
      </w:tr>
      <w:tr>
        <w:tblPrEx>
          <w:tblLayout w:type="fixed"/>
          <w:tblCellMar>
            <w:top w:w="0" w:type="dxa"/>
            <w:left w:w="108" w:type="dxa"/>
            <w:bottom w:w="0" w:type="dxa"/>
            <w:right w:w="108" w:type="dxa"/>
          </w:tblCellMar>
        </w:tblPrEx>
        <w:trPr>
          <w:trHeight w:val="31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4"/>
              </w:numPr>
              <w:spacing w:line="25" w:lineRule="atLeast"/>
              <w:jc w:val="center"/>
              <w:rPr>
                <w:rFonts w:hint="eastAsia" w:ascii="宋体" w:hAnsi="宋体" w:eastAsia="宋体"/>
                <w:color w:val="000000"/>
                <w:kern w:val="0"/>
                <w:sz w:val="24"/>
                <w:szCs w:val="24"/>
              </w:rPr>
            </w:pPr>
          </w:p>
        </w:tc>
        <w:tc>
          <w:tcPr>
            <w:tcW w:w="806"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系统调试</w:t>
            </w:r>
          </w:p>
        </w:tc>
        <w:tc>
          <w:tcPr>
            <w:tcW w:w="5948" w:type="dxa"/>
            <w:tcBorders>
              <w:top w:val="nil"/>
              <w:left w:val="nil"/>
              <w:bottom w:val="single" w:color="auto" w:sz="4" w:space="0"/>
              <w:right w:val="single" w:color="auto" w:sz="4" w:space="0"/>
            </w:tcBorders>
            <w:shd w:val="clear" w:color="auto" w:fill="auto"/>
            <w:noWrap/>
            <w:vAlign w:val="bottom"/>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包含：运输、安装上架、调试等</w:t>
            </w:r>
          </w:p>
        </w:tc>
        <w:tc>
          <w:tcPr>
            <w:tcW w:w="771"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1</w:t>
            </w:r>
          </w:p>
        </w:tc>
        <w:tc>
          <w:tcPr>
            <w:tcW w:w="789" w:type="dxa"/>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项</w:t>
            </w:r>
          </w:p>
        </w:tc>
      </w:tr>
      <w:tr>
        <w:tblPrEx>
          <w:tblLayout w:type="fixed"/>
          <w:tblCellMar>
            <w:top w:w="0" w:type="dxa"/>
            <w:left w:w="108" w:type="dxa"/>
            <w:bottom w:w="0" w:type="dxa"/>
            <w:right w:w="108" w:type="dxa"/>
          </w:tblCellMar>
        </w:tblPrEx>
        <w:trPr>
          <w:trHeight w:val="310" w:hRule="atLeast"/>
          <w:jc w:val="center"/>
        </w:trPr>
        <w:tc>
          <w:tcPr>
            <w:tcW w:w="523"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4"/>
              </w:numPr>
              <w:spacing w:line="25" w:lineRule="atLeast"/>
              <w:jc w:val="center"/>
              <w:rPr>
                <w:rFonts w:hint="eastAsia" w:ascii="宋体" w:hAnsi="宋体" w:eastAsia="宋体"/>
                <w:color w:val="000000"/>
                <w:kern w:val="0"/>
                <w:sz w:val="24"/>
                <w:szCs w:val="24"/>
              </w:rPr>
            </w:pPr>
          </w:p>
        </w:tc>
        <w:tc>
          <w:tcPr>
            <w:tcW w:w="806"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人员保障</w:t>
            </w:r>
          </w:p>
        </w:tc>
        <w:tc>
          <w:tcPr>
            <w:tcW w:w="5948" w:type="dxa"/>
            <w:tcBorders>
              <w:top w:val="nil"/>
              <w:left w:val="nil"/>
              <w:bottom w:val="single" w:color="auto" w:sz="4" w:space="0"/>
              <w:right w:val="single" w:color="auto" w:sz="4" w:space="0"/>
            </w:tcBorders>
            <w:shd w:val="clear" w:color="auto" w:fill="auto"/>
            <w:noWrap/>
            <w:vAlign w:val="bottom"/>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提供7*24小时响应运维服务，定期提交巡检报告</w:t>
            </w: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spacing w:line="25" w:lineRule="atLeast"/>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项</w:t>
            </w:r>
          </w:p>
        </w:tc>
      </w:tr>
    </w:tbl>
    <w:p>
      <w:pPr>
        <w:pStyle w:val="4"/>
        <w:rPr>
          <w:rFonts w:hint="eastAsia"/>
          <w:lang w:eastAsia="zh-CN"/>
        </w:rPr>
      </w:pPr>
    </w:p>
    <w:p>
      <w:pPr>
        <w:spacing w:line="360" w:lineRule="auto"/>
        <w:jc w:val="both"/>
        <w:outlineLvl w:val="0"/>
        <w:rPr>
          <w:rFonts w:hint="eastAsia" w:ascii="宋体" w:hAnsi="宋体" w:eastAsia="宋体" w:cs="宋体"/>
          <w:b/>
          <w:color w:val="000000"/>
          <w:sz w:val="24"/>
          <w:szCs w:val="24"/>
          <w:lang w:val="en-US" w:eastAsia="zh-CN"/>
        </w:rPr>
      </w:pPr>
      <w:r>
        <w:rPr>
          <w:rFonts w:hint="eastAsia" w:ascii="宋体" w:hAnsi="宋体" w:cs="宋体"/>
          <w:b/>
          <w:color w:val="000000"/>
          <w:sz w:val="24"/>
          <w:szCs w:val="24"/>
          <w:lang w:eastAsia="zh-CN"/>
        </w:rPr>
        <w:t>后台算力服务器及存储租赁服务项目</w:t>
      </w:r>
      <w:r>
        <w:rPr>
          <w:rFonts w:hint="eastAsia" w:ascii="宋体" w:hAnsi="宋体" w:eastAsia="宋体" w:cs="宋体"/>
          <w:b/>
          <w:color w:val="000000"/>
          <w:sz w:val="24"/>
          <w:szCs w:val="24"/>
          <w:lang w:val="en-US" w:eastAsia="zh-CN"/>
        </w:rPr>
        <w:t>标项二</w:t>
      </w:r>
    </w:p>
    <w:p>
      <w:pPr>
        <w:pStyle w:val="4"/>
        <w:rPr>
          <w:rFonts w:hint="eastAsia" w:ascii="宋体" w:hAnsi="宋体" w:eastAsia="宋体" w:cs="宋体"/>
          <w:sz w:val="24"/>
          <w:szCs w:val="24"/>
          <w:lang w:val="en-US" w:eastAsia="zh-CN"/>
        </w:rPr>
      </w:pPr>
      <w:r>
        <w:rPr>
          <w:rFonts w:hint="eastAsia" w:ascii="宋体" w:hAnsi="宋体" w:eastAsia="宋体" w:cs="宋体"/>
          <w:b/>
          <w:color w:val="000000"/>
          <w:sz w:val="24"/>
          <w:szCs w:val="24"/>
          <w:lang w:val="en-US" w:eastAsia="zh-CN"/>
        </w:rPr>
        <w:t>预算18万</w:t>
      </w:r>
    </w:p>
    <w:p>
      <w:pPr>
        <w:pStyle w:val="37"/>
        <w:spacing w:line="360" w:lineRule="auto"/>
        <w:ind w:firstLine="0" w:firstLineChars="0"/>
        <w:rPr>
          <w:b/>
          <w:color w:val="000000"/>
          <w:sz w:val="24"/>
        </w:rPr>
      </w:pPr>
      <w:r>
        <w:rPr>
          <w:rFonts w:hint="eastAsia"/>
          <w:b/>
          <w:color w:val="000000"/>
          <w:sz w:val="24"/>
        </w:rPr>
        <w:t>一、</w:t>
      </w:r>
      <w:r>
        <w:rPr>
          <w:b/>
          <w:color w:val="000000"/>
          <w:sz w:val="24"/>
        </w:rPr>
        <w:t>项目概况及建设内容</w:t>
      </w:r>
    </w:p>
    <w:p>
      <w:pPr>
        <w:spacing w:before="156" w:beforeLines="50" w:after="156" w:afterLines="50" w:line="360" w:lineRule="auto"/>
        <w:ind w:firstLine="480" w:firstLineChars="200"/>
        <w:rPr>
          <w:sz w:val="24"/>
        </w:rPr>
      </w:pPr>
      <w:r>
        <w:rPr>
          <w:rFonts w:hint="eastAsia"/>
          <w:sz w:val="24"/>
        </w:rPr>
        <w:t>为进一步提升临平公安后台算力及存储能力，满足实战应用需求。结合临平实际，拟在原天网工程6000路存储基础上扩建12000路存储，实现视频监控存储总量达到18000路目标，并扩建不少于68张国产GPU卡的智能解析算力。为确保达到以上需求，本项目通过购买服务的方式，对后端资源进行扩容建设，并匹配对应的云存储设备、智能解析设备、网络交换设备及配套的视频接入转发中心等基础设施，为视图智能应用建设提供基础，赋能临平公安数字实战警务实践。。</w:t>
      </w:r>
    </w:p>
    <w:p>
      <w:pPr>
        <w:spacing w:before="156" w:beforeLines="50" w:after="156" w:afterLines="50" w:line="360" w:lineRule="auto"/>
        <w:ind w:firstLine="480" w:firstLineChars="200"/>
        <w:rPr>
          <w:sz w:val="24"/>
        </w:rPr>
      </w:pPr>
      <w:r>
        <w:rPr>
          <w:rFonts w:hint="eastAsia"/>
          <w:sz w:val="24"/>
        </w:rPr>
        <w:t>本项目采用租赁方式为杭州市公安局临平区分局提供公安专网视图存储扩容服务及智能后端扩容服务，主要包括扩容云存储池扩容智能解析算力资源及相关配套基础设施内容。</w:t>
      </w:r>
    </w:p>
    <w:p>
      <w:pPr>
        <w:spacing w:before="156" w:beforeLines="50" w:after="156" w:afterLines="50" w:line="360" w:lineRule="auto"/>
        <w:ind w:firstLine="480" w:firstLineChars="200"/>
        <w:rPr>
          <w:sz w:val="24"/>
        </w:rPr>
      </w:pPr>
      <w:r>
        <w:rPr>
          <w:rFonts w:hint="eastAsia"/>
          <w:sz w:val="24"/>
        </w:rPr>
        <w:t>1.扩容云存储存储池</w:t>
      </w:r>
    </w:p>
    <w:p>
      <w:pPr>
        <w:spacing w:before="156" w:beforeLines="50" w:after="156" w:afterLines="50" w:line="360" w:lineRule="auto"/>
        <w:ind w:firstLine="480" w:firstLineChars="200"/>
        <w:rPr>
          <w:sz w:val="24"/>
        </w:rPr>
      </w:pPr>
      <w:r>
        <w:rPr>
          <w:rFonts w:hint="eastAsia"/>
          <w:sz w:val="24"/>
        </w:rPr>
        <w:t>在分局扩容12000路视频监控的要求下，扩容云存储存储池。在视频专网按照4M码流，存储30天的标准存储视频监控，提供至少16.875PB的存储空间；在公安网内，按照大小图存180天的标准，提供至少5.625PB的存储空间；即总计需提供至少22.5PB的存储空间。</w:t>
      </w:r>
    </w:p>
    <w:p>
      <w:pPr>
        <w:spacing w:before="156" w:beforeLines="50" w:after="156" w:afterLines="50" w:line="360" w:lineRule="auto"/>
        <w:ind w:firstLine="480" w:firstLineChars="200"/>
        <w:rPr>
          <w:sz w:val="24"/>
        </w:rPr>
      </w:pPr>
      <w:r>
        <w:rPr>
          <w:rFonts w:hint="eastAsia"/>
          <w:sz w:val="24"/>
        </w:rPr>
        <w:t>2.扩容智能解析算力资源</w:t>
      </w:r>
    </w:p>
    <w:p>
      <w:pPr>
        <w:spacing w:before="156" w:beforeLines="50" w:after="156" w:afterLines="50" w:line="360" w:lineRule="auto"/>
        <w:ind w:firstLine="480" w:firstLineChars="200"/>
        <w:rPr>
          <w:sz w:val="24"/>
        </w:rPr>
      </w:pPr>
      <w:r>
        <w:rPr>
          <w:rFonts w:hint="eastAsia"/>
          <w:sz w:val="24"/>
        </w:rPr>
        <w:t>本项目扩容的智能解析算力资源，将服务于公安实战，要求提供总计不少于68张国产GPU卡。</w:t>
      </w:r>
    </w:p>
    <w:p>
      <w:pPr>
        <w:spacing w:before="156" w:beforeLines="50" w:after="156" w:afterLines="50" w:line="360" w:lineRule="auto"/>
        <w:ind w:firstLine="480" w:firstLineChars="200"/>
        <w:rPr>
          <w:sz w:val="24"/>
        </w:rPr>
      </w:pPr>
      <w:r>
        <w:rPr>
          <w:rFonts w:hint="eastAsia"/>
          <w:sz w:val="24"/>
        </w:rPr>
        <w:t>3．扩容配套视频接入转发中心基础设施</w:t>
      </w:r>
    </w:p>
    <w:p>
      <w:pPr>
        <w:spacing w:before="156" w:beforeLines="50" w:after="156" w:afterLines="50" w:line="360" w:lineRule="auto"/>
        <w:ind w:firstLine="480" w:firstLineChars="200"/>
        <w:rPr>
          <w:sz w:val="24"/>
        </w:rPr>
      </w:pPr>
      <w:r>
        <w:rPr>
          <w:rFonts w:hint="eastAsia"/>
          <w:sz w:val="24"/>
        </w:rPr>
        <w:t>结合本项目业务需求，增加5台大数据服务器、4台摆渡服务器、3台数据自助分析节点、1台应用服务器、3台流媒体服务器以及对应的交换机、安全设备等，优化临平分局视频接入转发中心基础设施支撑配套。</w:t>
      </w:r>
    </w:p>
    <w:p>
      <w:pPr>
        <w:spacing w:before="156" w:beforeLines="50" w:after="156" w:afterLines="50" w:line="360" w:lineRule="auto"/>
        <w:ind w:firstLine="480" w:firstLineChars="200"/>
        <w:rPr>
          <w:sz w:val="24"/>
        </w:rPr>
      </w:pPr>
      <w:r>
        <w:rPr>
          <w:rFonts w:hint="eastAsia"/>
          <w:sz w:val="24"/>
        </w:rPr>
        <w:t>监理</w:t>
      </w:r>
      <w:r>
        <w:rPr>
          <w:sz w:val="24"/>
        </w:rPr>
        <w:t>服务期：</w:t>
      </w:r>
      <w:r>
        <w:rPr>
          <w:rFonts w:hint="eastAsia"/>
          <w:sz w:val="24"/>
        </w:rPr>
        <w:t>自合同签订生效之日起，至</w:t>
      </w:r>
      <w:r>
        <w:rPr>
          <w:rFonts w:hint="eastAsia" w:ascii="宋体" w:hAnsi="宋体"/>
          <w:sz w:val="24"/>
        </w:rPr>
        <w:t>所监理项目建设通过验收（终验）时止。</w:t>
      </w:r>
    </w:p>
    <w:p>
      <w:pPr>
        <w:pageBreakBefore/>
        <w:spacing w:line="360" w:lineRule="auto"/>
        <w:rPr>
          <w:b/>
          <w:color w:val="000000"/>
          <w:sz w:val="24"/>
        </w:rPr>
      </w:pPr>
      <w:r>
        <w:rPr>
          <w:rFonts w:hint="eastAsia"/>
          <w:b/>
          <w:color w:val="000000"/>
          <w:sz w:val="24"/>
        </w:rPr>
        <w:t>二、</w:t>
      </w:r>
      <w:r>
        <w:rPr>
          <w:b/>
          <w:color w:val="000000"/>
          <w:sz w:val="24"/>
        </w:rPr>
        <w:t>监理服务内容</w:t>
      </w:r>
    </w:p>
    <w:p>
      <w:pPr>
        <w:spacing w:before="156" w:beforeLines="50" w:after="156" w:afterLines="50" w:line="360" w:lineRule="auto"/>
        <w:ind w:firstLine="480" w:firstLineChars="200"/>
        <w:rPr>
          <w:sz w:val="24"/>
        </w:rPr>
      </w:pPr>
      <w:r>
        <w:rPr>
          <w:sz w:val="24"/>
        </w:rPr>
        <w:t>根据项目建设目标和要求，遵循国家、省信息系统项目建设和监理的标准和规范，按照“四控、三管、一协调”的原则，对照项目建设合同和用户需求，为项目提供全过程监理。具体包括：制订监理规划；确保项目质量、进度和投资计划的顺利实施；做好项目建设进度跟踪控制，督促项目顺利进行；做好项目有关文档的起草、管理和归档等工作，确保项目规范实施；协调项目涉及的各承建单位之间的工作关系；针对项目建设情况，提出合理化的改进建议，协助项目建设内容“按期、保质、高效、节约”完成；协助项目验收等服务工作</w:t>
      </w:r>
      <w:r>
        <w:rPr>
          <w:rFonts w:hint="eastAsia"/>
          <w:sz w:val="24"/>
        </w:rPr>
        <w:t>；协助、配合项目审计工作。</w:t>
      </w:r>
    </w:p>
    <w:p>
      <w:pPr>
        <w:spacing w:line="360" w:lineRule="auto"/>
        <w:ind w:firstLine="480" w:firstLineChars="200"/>
        <w:rPr>
          <w:sz w:val="24"/>
          <w:szCs w:val="32"/>
        </w:rPr>
      </w:pPr>
      <w:r>
        <w:rPr>
          <w:rFonts w:hint="eastAsia"/>
          <w:sz w:val="24"/>
          <w:szCs w:val="32"/>
        </w:rPr>
        <w:t>注：本项目采购服务的供应商将提供全过程监理服务，以下文档中，提供全过程监理服务的供应商，简称为“监理单位”；采购全过程监理服务的单位，简称为“建设单位”；项目实施单位，简称为“承建单位”。</w:t>
      </w:r>
    </w:p>
    <w:p>
      <w:pPr>
        <w:spacing w:before="156" w:beforeLines="50" w:after="156" w:afterLines="50" w:line="360" w:lineRule="auto"/>
        <w:ind w:firstLine="480" w:firstLineChars="200"/>
        <w:rPr>
          <w:sz w:val="24"/>
        </w:rPr>
      </w:pPr>
      <w:r>
        <w:rPr>
          <w:rFonts w:hint="eastAsia"/>
          <w:sz w:val="24"/>
        </w:rPr>
        <w:t>2.1</w:t>
      </w:r>
      <w:r>
        <w:rPr>
          <w:sz w:val="24"/>
        </w:rPr>
        <w:t>主要监理内容</w:t>
      </w:r>
    </w:p>
    <w:p>
      <w:pPr>
        <w:spacing w:line="360" w:lineRule="auto"/>
        <w:rPr>
          <w:b/>
          <w:sz w:val="24"/>
        </w:rPr>
      </w:pPr>
      <w:r>
        <w:rPr>
          <w:rFonts w:hint="eastAsia"/>
          <w:b/>
          <w:sz w:val="24"/>
        </w:rPr>
        <w:t>1</w:t>
      </w:r>
      <w:r>
        <w:rPr>
          <w:b/>
          <w:sz w:val="24"/>
        </w:rPr>
        <w:t>、项目组织及技术总体方案的把关</w:t>
      </w:r>
    </w:p>
    <w:p>
      <w:pPr>
        <w:tabs>
          <w:tab w:val="left" w:pos="-3060"/>
        </w:tabs>
        <w:snapToGrid w:val="0"/>
        <w:spacing w:line="360" w:lineRule="auto"/>
        <w:ind w:firstLine="480" w:firstLineChars="200"/>
        <w:rPr>
          <w:sz w:val="24"/>
        </w:rPr>
      </w:pPr>
      <w:r>
        <w:rPr>
          <w:sz w:val="24"/>
        </w:rPr>
        <w:t>1）参与项目需求、招标文件等制订和审核；</w:t>
      </w:r>
    </w:p>
    <w:p>
      <w:pPr>
        <w:tabs>
          <w:tab w:val="left" w:pos="-3060"/>
        </w:tabs>
        <w:snapToGrid w:val="0"/>
        <w:spacing w:line="360" w:lineRule="auto"/>
        <w:ind w:firstLine="480" w:firstLineChars="200"/>
        <w:rPr>
          <w:sz w:val="24"/>
        </w:rPr>
      </w:pPr>
      <w:r>
        <w:rPr>
          <w:sz w:val="24"/>
        </w:rPr>
        <w:t>2）参与项目施工合同的洽商和签订工作；</w:t>
      </w:r>
    </w:p>
    <w:p>
      <w:pPr>
        <w:tabs>
          <w:tab w:val="left" w:pos="-3060"/>
        </w:tabs>
        <w:snapToGrid w:val="0"/>
        <w:spacing w:line="360" w:lineRule="auto"/>
        <w:ind w:firstLine="480" w:firstLineChars="200"/>
        <w:rPr>
          <w:sz w:val="24"/>
        </w:rPr>
      </w:pPr>
      <w:r>
        <w:rPr>
          <w:sz w:val="24"/>
        </w:rPr>
        <w:t>3）审核</w:t>
      </w:r>
      <w:r>
        <w:rPr>
          <w:rFonts w:hint="eastAsia"/>
          <w:sz w:val="24"/>
        </w:rPr>
        <w:t>和</w:t>
      </w:r>
      <w:r>
        <w:rPr>
          <w:sz w:val="24"/>
        </w:rPr>
        <w:t>确认承建单位的总体设计方案（深化设计方案）；</w:t>
      </w:r>
    </w:p>
    <w:p>
      <w:pPr>
        <w:tabs>
          <w:tab w:val="left" w:pos="-3060"/>
        </w:tabs>
        <w:snapToGrid w:val="0"/>
        <w:spacing w:line="360" w:lineRule="auto"/>
        <w:ind w:firstLine="480" w:firstLineChars="200"/>
        <w:rPr>
          <w:sz w:val="24"/>
        </w:rPr>
      </w:pPr>
      <w:r>
        <w:rPr>
          <w:sz w:val="24"/>
        </w:rPr>
        <w:t>4）审核</w:t>
      </w:r>
      <w:r>
        <w:rPr>
          <w:rFonts w:hint="eastAsia"/>
          <w:sz w:val="24"/>
        </w:rPr>
        <w:t>和</w:t>
      </w:r>
      <w:r>
        <w:rPr>
          <w:sz w:val="24"/>
        </w:rPr>
        <w:t>确认项目建设过程中的各种关键技术方案；</w:t>
      </w:r>
    </w:p>
    <w:p>
      <w:pPr>
        <w:tabs>
          <w:tab w:val="left" w:pos="-3060"/>
        </w:tabs>
        <w:snapToGrid w:val="0"/>
        <w:spacing w:line="360" w:lineRule="auto"/>
        <w:ind w:firstLine="480" w:firstLineChars="200"/>
        <w:rPr>
          <w:sz w:val="24"/>
        </w:rPr>
      </w:pPr>
      <w:r>
        <w:rPr>
          <w:sz w:val="24"/>
        </w:rPr>
        <w:t>5）审核</w:t>
      </w:r>
      <w:r>
        <w:rPr>
          <w:rFonts w:hint="eastAsia"/>
          <w:sz w:val="24"/>
        </w:rPr>
        <w:t>和</w:t>
      </w:r>
      <w:r>
        <w:rPr>
          <w:sz w:val="24"/>
        </w:rPr>
        <w:t>确认承建单位的实施方案、《项目计划》等；</w:t>
      </w:r>
    </w:p>
    <w:p>
      <w:pPr>
        <w:tabs>
          <w:tab w:val="left" w:pos="-3060"/>
        </w:tabs>
        <w:snapToGrid w:val="0"/>
        <w:spacing w:line="360" w:lineRule="auto"/>
        <w:ind w:firstLine="480" w:firstLineChars="200"/>
        <w:rPr>
          <w:sz w:val="24"/>
        </w:rPr>
      </w:pPr>
      <w:r>
        <w:rPr>
          <w:sz w:val="24"/>
        </w:rPr>
        <w:t>6）审核</w:t>
      </w:r>
      <w:r>
        <w:rPr>
          <w:rFonts w:hint="eastAsia"/>
          <w:sz w:val="24"/>
        </w:rPr>
        <w:t>和</w:t>
      </w:r>
      <w:r>
        <w:rPr>
          <w:sz w:val="24"/>
        </w:rPr>
        <w:t>确认承建单位的项目质量保证计划、质量控制体系（含质量控制的关键性节点）；</w:t>
      </w:r>
    </w:p>
    <w:p>
      <w:pPr>
        <w:tabs>
          <w:tab w:val="left" w:pos="-3060"/>
        </w:tabs>
        <w:snapToGrid w:val="0"/>
        <w:spacing w:line="360" w:lineRule="auto"/>
        <w:ind w:firstLine="480" w:firstLineChars="200"/>
        <w:rPr>
          <w:sz w:val="24"/>
        </w:rPr>
      </w:pPr>
      <w:r>
        <w:rPr>
          <w:rFonts w:hint="eastAsia"/>
          <w:sz w:val="24"/>
        </w:rPr>
        <w:t>7</w:t>
      </w:r>
      <w:r>
        <w:rPr>
          <w:sz w:val="24"/>
        </w:rPr>
        <w:t>）审核</w:t>
      </w:r>
      <w:r>
        <w:rPr>
          <w:rFonts w:hint="eastAsia"/>
          <w:sz w:val="24"/>
        </w:rPr>
        <w:t>和</w:t>
      </w:r>
      <w:r>
        <w:rPr>
          <w:sz w:val="24"/>
        </w:rPr>
        <w:t>确认承建单位的系统测试、培训和试运行计划；</w:t>
      </w:r>
    </w:p>
    <w:p>
      <w:pPr>
        <w:tabs>
          <w:tab w:val="left" w:pos="-3060"/>
        </w:tabs>
        <w:snapToGrid w:val="0"/>
        <w:spacing w:line="360" w:lineRule="auto"/>
        <w:ind w:firstLine="480" w:firstLineChars="200"/>
        <w:rPr>
          <w:sz w:val="24"/>
        </w:rPr>
      </w:pPr>
      <w:r>
        <w:rPr>
          <w:rFonts w:hint="eastAsia"/>
          <w:sz w:val="24"/>
        </w:rPr>
        <w:t>8</w:t>
      </w:r>
      <w:r>
        <w:rPr>
          <w:sz w:val="24"/>
        </w:rPr>
        <w:t>）审核</w:t>
      </w:r>
      <w:r>
        <w:rPr>
          <w:rFonts w:hint="eastAsia"/>
          <w:sz w:val="24"/>
        </w:rPr>
        <w:t>和</w:t>
      </w:r>
      <w:r>
        <w:rPr>
          <w:sz w:val="24"/>
        </w:rPr>
        <w:t>确认承建单位的项目进度计划和进度控制节点。</w:t>
      </w:r>
    </w:p>
    <w:p>
      <w:pPr>
        <w:spacing w:line="360" w:lineRule="auto"/>
        <w:rPr>
          <w:b/>
          <w:sz w:val="24"/>
        </w:rPr>
      </w:pPr>
      <w:r>
        <w:rPr>
          <w:rFonts w:hint="eastAsia"/>
          <w:b/>
          <w:sz w:val="24"/>
        </w:rPr>
        <w:t>2</w:t>
      </w:r>
      <w:r>
        <w:rPr>
          <w:b/>
          <w:sz w:val="24"/>
        </w:rPr>
        <w:t>、项目质量控制</w:t>
      </w:r>
    </w:p>
    <w:p>
      <w:pPr>
        <w:tabs>
          <w:tab w:val="left" w:pos="-3060"/>
        </w:tabs>
        <w:snapToGrid w:val="0"/>
        <w:spacing w:line="360" w:lineRule="auto"/>
        <w:rPr>
          <w:sz w:val="24"/>
        </w:rPr>
      </w:pPr>
      <w:r>
        <w:rPr>
          <w:sz w:val="24"/>
        </w:rPr>
        <w:t>（1）系统集成质量的控制</w:t>
      </w:r>
    </w:p>
    <w:p>
      <w:pPr>
        <w:tabs>
          <w:tab w:val="left" w:pos="-3060"/>
        </w:tabs>
        <w:snapToGrid w:val="0"/>
        <w:spacing w:line="360" w:lineRule="auto"/>
        <w:ind w:firstLine="480" w:firstLineChars="200"/>
        <w:rPr>
          <w:sz w:val="24"/>
        </w:rPr>
      </w:pPr>
      <w:r>
        <w:rPr>
          <w:sz w:val="24"/>
        </w:rPr>
        <w:t xml:space="preserve">1）系统集成方案的审核和确认； </w:t>
      </w:r>
    </w:p>
    <w:p>
      <w:pPr>
        <w:tabs>
          <w:tab w:val="left" w:pos="-3060"/>
        </w:tabs>
        <w:snapToGrid w:val="0"/>
        <w:spacing w:line="360" w:lineRule="auto"/>
        <w:ind w:firstLine="480" w:firstLineChars="200"/>
        <w:rPr>
          <w:sz w:val="24"/>
        </w:rPr>
      </w:pPr>
      <w:r>
        <w:rPr>
          <w:sz w:val="24"/>
        </w:rPr>
        <w:t>2）审核关键设备、系统软件选型方案，</w:t>
      </w:r>
      <w:r>
        <w:rPr>
          <w:rFonts w:hint="eastAsia"/>
          <w:sz w:val="24"/>
        </w:rPr>
        <w:t>协助承建单位和建设单位进行选型</w:t>
      </w:r>
      <w:r>
        <w:rPr>
          <w:sz w:val="24"/>
        </w:rPr>
        <w:t>；</w:t>
      </w:r>
    </w:p>
    <w:p>
      <w:pPr>
        <w:tabs>
          <w:tab w:val="left" w:pos="-3060"/>
        </w:tabs>
        <w:snapToGrid w:val="0"/>
        <w:spacing w:line="360" w:lineRule="auto"/>
        <w:ind w:firstLine="480" w:firstLineChars="200"/>
        <w:rPr>
          <w:sz w:val="24"/>
        </w:rPr>
      </w:pPr>
      <w:r>
        <w:rPr>
          <w:rFonts w:hint="eastAsia"/>
          <w:sz w:val="24"/>
        </w:rPr>
        <w:t>3</w:t>
      </w:r>
      <w:r>
        <w:rPr>
          <w:sz w:val="24"/>
        </w:rPr>
        <w:t>）对采购的硬件设备的质量进行检验、测试和验收；</w:t>
      </w:r>
    </w:p>
    <w:p>
      <w:pPr>
        <w:tabs>
          <w:tab w:val="left" w:pos="-3060"/>
        </w:tabs>
        <w:snapToGrid w:val="0"/>
        <w:spacing w:line="360" w:lineRule="auto"/>
        <w:ind w:firstLine="480" w:firstLineChars="200"/>
        <w:rPr>
          <w:sz w:val="24"/>
        </w:rPr>
      </w:pPr>
      <w:r>
        <w:rPr>
          <w:rFonts w:hint="eastAsia"/>
          <w:sz w:val="24"/>
        </w:rPr>
        <w:t>4</w:t>
      </w:r>
      <w:r>
        <w:rPr>
          <w:sz w:val="24"/>
        </w:rPr>
        <w:t>）对设备安装、系统软件的安装调试进行验收；</w:t>
      </w:r>
    </w:p>
    <w:p>
      <w:pPr>
        <w:tabs>
          <w:tab w:val="left" w:pos="-3060"/>
        </w:tabs>
        <w:snapToGrid w:val="0"/>
        <w:spacing w:line="360" w:lineRule="auto"/>
        <w:ind w:firstLine="480" w:firstLineChars="200"/>
        <w:rPr>
          <w:sz w:val="24"/>
        </w:rPr>
      </w:pPr>
      <w:r>
        <w:rPr>
          <w:rFonts w:hint="eastAsia"/>
          <w:sz w:val="24"/>
        </w:rPr>
        <w:t>5</w:t>
      </w:r>
      <w:r>
        <w:rPr>
          <w:sz w:val="24"/>
        </w:rPr>
        <w:t>）对系统集成进行总体验收。</w:t>
      </w:r>
    </w:p>
    <w:p>
      <w:pPr>
        <w:tabs>
          <w:tab w:val="left" w:pos="-3060"/>
        </w:tabs>
        <w:snapToGrid w:val="0"/>
        <w:spacing w:line="360" w:lineRule="auto"/>
        <w:rPr>
          <w:sz w:val="24"/>
        </w:rPr>
      </w:pPr>
      <w:r>
        <w:rPr>
          <w:sz w:val="24"/>
        </w:rPr>
        <w:t>（</w:t>
      </w:r>
      <w:r>
        <w:rPr>
          <w:rFonts w:hint="eastAsia"/>
          <w:sz w:val="24"/>
        </w:rPr>
        <w:t>2</w:t>
      </w:r>
      <w:r>
        <w:rPr>
          <w:sz w:val="24"/>
        </w:rPr>
        <w:t>）系统应用培训的质量控制</w:t>
      </w:r>
    </w:p>
    <w:p>
      <w:pPr>
        <w:tabs>
          <w:tab w:val="left" w:pos="-3060"/>
        </w:tabs>
        <w:snapToGrid w:val="0"/>
        <w:spacing w:line="360" w:lineRule="auto"/>
        <w:ind w:firstLine="480" w:firstLineChars="200"/>
        <w:rPr>
          <w:sz w:val="24"/>
        </w:rPr>
      </w:pPr>
      <w:r>
        <w:rPr>
          <w:sz w:val="24"/>
        </w:rPr>
        <w:t>1）审核确认承建单位的培训计划；</w:t>
      </w:r>
    </w:p>
    <w:p>
      <w:pPr>
        <w:tabs>
          <w:tab w:val="left" w:pos="-3060"/>
        </w:tabs>
        <w:snapToGrid w:val="0"/>
        <w:spacing w:line="360" w:lineRule="auto"/>
        <w:ind w:firstLine="480" w:firstLineChars="200"/>
        <w:rPr>
          <w:sz w:val="24"/>
        </w:rPr>
      </w:pPr>
      <w:r>
        <w:rPr>
          <w:sz w:val="24"/>
        </w:rPr>
        <w:t>2）监督承建单位实施及培训计划，并征求</w:t>
      </w:r>
      <w:r>
        <w:rPr>
          <w:rFonts w:hint="eastAsia"/>
          <w:sz w:val="24"/>
        </w:rPr>
        <w:t>建设单位</w:t>
      </w:r>
      <w:r>
        <w:rPr>
          <w:sz w:val="24"/>
        </w:rPr>
        <w:t>的意见反馈，协助组织各类培训会；</w:t>
      </w:r>
    </w:p>
    <w:p>
      <w:pPr>
        <w:tabs>
          <w:tab w:val="left" w:pos="-3060"/>
        </w:tabs>
        <w:snapToGrid w:val="0"/>
        <w:spacing w:line="360" w:lineRule="auto"/>
        <w:ind w:firstLine="480" w:firstLineChars="200"/>
        <w:rPr>
          <w:sz w:val="24"/>
        </w:rPr>
      </w:pPr>
      <w:r>
        <w:rPr>
          <w:sz w:val="24"/>
        </w:rPr>
        <w:t>3）审核确认承建单位的培训总结报告。</w:t>
      </w:r>
    </w:p>
    <w:p>
      <w:pPr>
        <w:spacing w:line="360" w:lineRule="auto"/>
        <w:rPr>
          <w:b/>
          <w:sz w:val="24"/>
        </w:rPr>
      </w:pPr>
      <w:r>
        <w:rPr>
          <w:rFonts w:hint="eastAsia"/>
          <w:b/>
          <w:sz w:val="24"/>
        </w:rPr>
        <w:t>3</w:t>
      </w:r>
      <w:r>
        <w:rPr>
          <w:b/>
          <w:sz w:val="24"/>
        </w:rPr>
        <w:t>、项目进度控制</w:t>
      </w:r>
    </w:p>
    <w:p>
      <w:pPr>
        <w:tabs>
          <w:tab w:val="left" w:pos="-3060"/>
        </w:tabs>
        <w:snapToGrid w:val="0"/>
        <w:spacing w:line="360" w:lineRule="auto"/>
        <w:ind w:firstLine="480" w:firstLineChars="200"/>
        <w:rPr>
          <w:sz w:val="24"/>
        </w:rPr>
      </w:pPr>
      <w:r>
        <w:rPr>
          <w:sz w:val="24"/>
        </w:rPr>
        <w:t>1）审核承建单位的进度分解计划，确认分解计划可以保证总体计划目标；</w:t>
      </w:r>
    </w:p>
    <w:p>
      <w:pPr>
        <w:tabs>
          <w:tab w:val="left" w:pos="-3060"/>
        </w:tabs>
        <w:snapToGrid w:val="0"/>
        <w:spacing w:line="360" w:lineRule="auto"/>
        <w:ind w:firstLine="480" w:firstLineChars="200"/>
        <w:rPr>
          <w:sz w:val="24"/>
        </w:rPr>
      </w:pPr>
      <w:r>
        <w:rPr>
          <w:sz w:val="24"/>
        </w:rPr>
        <w:t>2）对项目实施进度进行实时跟踪，并要求承建单位（对进度计划进行动态调整，以确保项目的阶段和总体进度目标的实现；</w:t>
      </w:r>
    </w:p>
    <w:p>
      <w:pPr>
        <w:tabs>
          <w:tab w:val="left" w:pos="-3060"/>
        </w:tabs>
        <w:snapToGrid w:val="0"/>
        <w:spacing w:line="360" w:lineRule="auto"/>
        <w:ind w:firstLine="480" w:firstLineChars="200"/>
        <w:rPr>
          <w:sz w:val="24"/>
        </w:rPr>
      </w:pPr>
      <w:r>
        <w:rPr>
          <w:sz w:val="24"/>
        </w:rPr>
        <w:t>3）当工期目标发生偏离时，应及时指出，并提出对策和建议，同时督促承建单位尽快采取措施。</w:t>
      </w:r>
    </w:p>
    <w:p>
      <w:pPr>
        <w:tabs>
          <w:tab w:val="left" w:pos="-3060"/>
        </w:tabs>
        <w:snapToGrid w:val="0"/>
        <w:spacing w:line="360" w:lineRule="auto"/>
        <w:ind w:firstLine="480" w:firstLineChars="200"/>
        <w:rPr>
          <w:sz w:val="24"/>
        </w:rPr>
      </w:pPr>
      <w:r>
        <w:rPr>
          <w:rFonts w:hint="eastAsia"/>
          <w:sz w:val="24"/>
        </w:rPr>
        <w:t>4）对合同工期的延误和延期进行审核确认，统筹分析各分项延期情况并合理处理</w:t>
      </w:r>
    </w:p>
    <w:p>
      <w:pPr>
        <w:tabs>
          <w:tab w:val="left" w:pos="-3060"/>
        </w:tabs>
        <w:snapToGrid w:val="0"/>
        <w:spacing w:line="360" w:lineRule="auto"/>
        <w:rPr>
          <w:b/>
          <w:sz w:val="24"/>
        </w:rPr>
      </w:pPr>
      <w:r>
        <w:rPr>
          <w:rFonts w:hint="eastAsia"/>
          <w:b/>
          <w:sz w:val="24"/>
        </w:rPr>
        <w:t>4</w:t>
      </w:r>
      <w:r>
        <w:rPr>
          <w:b/>
          <w:sz w:val="24"/>
        </w:rPr>
        <w:t>、项目投资控制</w:t>
      </w:r>
    </w:p>
    <w:p>
      <w:pPr>
        <w:tabs>
          <w:tab w:val="left" w:pos="-3060"/>
        </w:tabs>
        <w:snapToGrid w:val="0"/>
        <w:spacing w:line="360" w:lineRule="auto"/>
        <w:ind w:firstLine="480" w:firstLineChars="200"/>
        <w:rPr>
          <w:sz w:val="24"/>
        </w:rPr>
      </w:pPr>
      <w:r>
        <w:rPr>
          <w:sz w:val="24"/>
        </w:rPr>
        <w:t>1）通过对项目实施中的方案及设计的优化，对工程建设中不可预见性费用的开支使用情况进行技术性审核并提出意见，确保投资控制在合理、性价比高的范围内；</w:t>
      </w:r>
    </w:p>
    <w:p>
      <w:pPr>
        <w:tabs>
          <w:tab w:val="left" w:pos="-3060"/>
        </w:tabs>
        <w:snapToGrid w:val="0"/>
        <w:spacing w:line="360" w:lineRule="auto"/>
        <w:ind w:firstLine="480" w:firstLineChars="200"/>
        <w:rPr>
          <w:sz w:val="24"/>
        </w:rPr>
      </w:pPr>
      <w:r>
        <w:rPr>
          <w:sz w:val="24"/>
        </w:rPr>
        <w:t>2）按照</w:t>
      </w:r>
      <w:r>
        <w:rPr>
          <w:rFonts w:hint="eastAsia"/>
          <w:sz w:val="24"/>
        </w:rPr>
        <w:t>建设单位</w:t>
      </w:r>
      <w:r>
        <w:rPr>
          <w:sz w:val="24"/>
        </w:rPr>
        <w:t>的财务管理规定，协助</w:t>
      </w:r>
      <w:r>
        <w:rPr>
          <w:rFonts w:hint="eastAsia"/>
          <w:sz w:val="24"/>
        </w:rPr>
        <w:t>建设单位</w:t>
      </w:r>
      <w:r>
        <w:rPr>
          <w:sz w:val="24"/>
        </w:rPr>
        <w:t>做好项目阶段性资金结算及支付申请，保证</w:t>
      </w:r>
      <w:r>
        <w:rPr>
          <w:rFonts w:hint="eastAsia"/>
          <w:sz w:val="24"/>
        </w:rPr>
        <w:t>建设单位</w:t>
      </w:r>
      <w:r>
        <w:rPr>
          <w:sz w:val="24"/>
        </w:rPr>
        <w:t>及承建</w:t>
      </w:r>
      <w:r>
        <w:rPr>
          <w:rFonts w:hint="eastAsia"/>
          <w:sz w:val="24"/>
        </w:rPr>
        <w:t>单位</w:t>
      </w:r>
      <w:r>
        <w:rPr>
          <w:sz w:val="24"/>
        </w:rPr>
        <w:t>的利益并促使合同履行。</w:t>
      </w:r>
    </w:p>
    <w:p>
      <w:pPr>
        <w:tabs>
          <w:tab w:val="left" w:pos="-3060"/>
        </w:tabs>
        <w:snapToGrid w:val="0"/>
        <w:spacing w:line="360" w:lineRule="auto"/>
        <w:rPr>
          <w:b/>
          <w:sz w:val="24"/>
        </w:rPr>
      </w:pPr>
      <w:r>
        <w:rPr>
          <w:rFonts w:hint="eastAsia"/>
          <w:b/>
          <w:sz w:val="24"/>
        </w:rPr>
        <w:t>5</w:t>
      </w:r>
      <w:r>
        <w:rPr>
          <w:b/>
          <w:sz w:val="24"/>
        </w:rPr>
        <w:t>、项目变更控制</w:t>
      </w:r>
    </w:p>
    <w:p>
      <w:pPr>
        <w:tabs>
          <w:tab w:val="left" w:pos="-3060"/>
        </w:tabs>
        <w:snapToGrid w:val="0"/>
        <w:spacing w:line="360" w:lineRule="auto"/>
        <w:ind w:firstLine="480" w:firstLineChars="200"/>
        <w:rPr>
          <w:sz w:val="24"/>
        </w:rPr>
      </w:pPr>
      <w:r>
        <w:rPr>
          <w:sz w:val="24"/>
        </w:rPr>
        <w:t>1）制订项目管理过程中的变更管理流程及规范；</w:t>
      </w:r>
    </w:p>
    <w:p>
      <w:pPr>
        <w:tabs>
          <w:tab w:val="left" w:pos="-3060"/>
        </w:tabs>
        <w:snapToGrid w:val="0"/>
        <w:spacing w:line="360" w:lineRule="auto"/>
        <w:ind w:firstLine="480" w:firstLineChars="200"/>
        <w:rPr>
          <w:sz w:val="24"/>
        </w:rPr>
      </w:pPr>
      <w:r>
        <w:rPr>
          <w:sz w:val="24"/>
        </w:rPr>
        <w:t>2）收集并整理项目实施中因实际需求（如政策变动、用户使用便利性等方面）形成的变更需求并对变更必要性及工作量进行评估；</w:t>
      </w:r>
    </w:p>
    <w:p>
      <w:pPr>
        <w:tabs>
          <w:tab w:val="left" w:pos="-3060"/>
        </w:tabs>
        <w:snapToGrid w:val="0"/>
        <w:spacing w:line="360" w:lineRule="auto"/>
        <w:ind w:firstLine="480" w:firstLineChars="200"/>
        <w:rPr>
          <w:sz w:val="24"/>
        </w:rPr>
      </w:pPr>
      <w:r>
        <w:rPr>
          <w:sz w:val="24"/>
        </w:rPr>
        <w:t>3）审核并确认变更申请并向</w:t>
      </w:r>
      <w:r>
        <w:rPr>
          <w:rFonts w:hint="eastAsia"/>
          <w:sz w:val="24"/>
        </w:rPr>
        <w:t>建设单位</w:t>
      </w:r>
      <w:r>
        <w:rPr>
          <w:sz w:val="24"/>
        </w:rPr>
        <w:t>、</w:t>
      </w:r>
      <w:r>
        <w:rPr>
          <w:rFonts w:hint="eastAsia"/>
          <w:sz w:val="24"/>
        </w:rPr>
        <w:t>承建单位</w:t>
      </w:r>
      <w:r>
        <w:rPr>
          <w:sz w:val="24"/>
        </w:rPr>
        <w:t>给出书面明确意见；</w:t>
      </w:r>
    </w:p>
    <w:p>
      <w:pPr>
        <w:tabs>
          <w:tab w:val="left" w:pos="-3060"/>
        </w:tabs>
        <w:snapToGrid w:val="0"/>
        <w:spacing w:line="360" w:lineRule="auto"/>
        <w:ind w:firstLine="480" w:firstLineChars="200"/>
        <w:rPr>
          <w:sz w:val="24"/>
        </w:rPr>
      </w:pPr>
      <w:r>
        <w:rPr>
          <w:sz w:val="24"/>
        </w:rPr>
        <w:t>4）整理项目变更管理中的相关过程资料及文档。</w:t>
      </w:r>
    </w:p>
    <w:p>
      <w:pPr>
        <w:tabs>
          <w:tab w:val="left" w:pos="-3060"/>
        </w:tabs>
        <w:snapToGrid w:val="0"/>
        <w:spacing w:line="360" w:lineRule="auto"/>
        <w:rPr>
          <w:b/>
          <w:sz w:val="24"/>
        </w:rPr>
      </w:pPr>
      <w:r>
        <w:rPr>
          <w:rFonts w:hint="eastAsia"/>
          <w:b/>
          <w:sz w:val="24"/>
        </w:rPr>
        <w:t>6</w:t>
      </w:r>
      <w:r>
        <w:rPr>
          <w:b/>
          <w:sz w:val="24"/>
        </w:rPr>
        <w:t>、项目合同管理</w:t>
      </w:r>
    </w:p>
    <w:p>
      <w:pPr>
        <w:tabs>
          <w:tab w:val="left" w:pos="-3060"/>
        </w:tabs>
        <w:snapToGrid w:val="0"/>
        <w:spacing w:line="360" w:lineRule="auto"/>
        <w:ind w:firstLine="480" w:firstLineChars="200"/>
        <w:rPr>
          <w:sz w:val="24"/>
        </w:rPr>
      </w:pPr>
      <w:r>
        <w:rPr>
          <w:sz w:val="24"/>
        </w:rPr>
        <w:t>1）跟踪检查合同的执行情况，确保承建单位按时履约；</w:t>
      </w:r>
    </w:p>
    <w:p>
      <w:pPr>
        <w:tabs>
          <w:tab w:val="left" w:pos="-3060"/>
        </w:tabs>
        <w:snapToGrid w:val="0"/>
        <w:spacing w:line="360" w:lineRule="auto"/>
        <w:ind w:firstLine="480" w:firstLineChars="200"/>
        <w:rPr>
          <w:sz w:val="24"/>
        </w:rPr>
      </w:pPr>
      <w:r>
        <w:rPr>
          <w:sz w:val="24"/>
        </w:rPr>
        <w:t>2）对合同工期的延误和延期进行审核确认；</w:t>
      </w:r>
    </w:p>
    <w:p>
      <w:pPr>
        <w:tabs>
          <w:tab w:val="left" w:pos="-3060"/>
        </w:tabs>
        <w:snapToGrid w:val="0"/>
        <w:spacing w:line="360" w:lineRule="auto"/>
        <w:ind w:firstLine="480" w:firstLineChars="200"/>
        <w:rPr>
          <w:sz w:val="24"/>
        </w:rPr>
      </w:pPr>
      <w:r>
        <w:rPr>
          <w:sz w:val="24"/>
        </w:rPr>
        <w:t>3）对合同变更、索赔等事宜进行审核确认；</w:t>
      </w:r>
    </w:p>
    <w:p>
      <w:pPr>
        <w:tabs>
          <w:tab w:val="left" w:pos="-3060"/>
        </w:tabs>
        <w:snapToGrid w:val="0"/>
        <w:spacing w:line="360" w:lineRule="auto"/>
        <w:ind w:firstLine="480" w:firstLineChars="200"/>
        <w:rPr>
          <w:sz w:val="24"/>
        </w:rPr>
      </w:pPr>
      <w:r>
        <w:rPr>
          <w:sz w:val="24"/>
        </w:rPr>
        <w:t>4）根据合同约定，审核承建单位提交的支付申请，签发付款凭证。</w:t>
      </w:r>
    </w:p>
    <w:p>
      <w:pPr>
        <w:tabs>
          <w:tab w:val="left" w:pos="-3060"/>
        </w:tabs>
        <w:snapToGrid w:val="0"/>
        <w:spacing w:line="360" w:lineRule="auto"/>
        <w:rPr>
          <w:b/>
          <w:sz w:val="24"/>
        </w:rPr>
      </w:pPr>
      <w:r>
        <w:rPr>
          <w:rFonts w:hint="eastAsia"/>
          <w:b/>
          <w:sz w:val="24"/>
        </w:rPr>
        <w:t>7</w:t>
      </w:r>
      <w:r>
        <w:rPr>
          <w:b/>
          <w:sz w:val="24"/>
        </w:rPr>
        <w:t>、信息、项目文档管理</w:t>
      </w:r>
    </w:p>
    <w:p>
      <w:pPr>
        <w:tabs>
          <w:tab w:val="left" w:pos="-3060"/>
        </w:tabs>
        <w:snapToGrid w:val="0"/>
        <w:spacing w:line="360" w:lineRule="auto"/>
        <w:ind w:firstLine="480" w:firstLineChars="200"/>
        <w:rPr>
          <w:sz w:val="24"/>
        </w:rPr>
      </w:pPr>
      <w:r>
        <w:rPr>
          <w:sz w:val="24"/>
        </w:rPr>
        <w:t>1）做好项目监理日记及项目大事记；</w:t>
      </w:r>
    </w:p>
    <w:p>
      <w:pPr>
        <w:tabs>
          <w:tab w:val="left" w:pos="-3060"/>
        </w:tabs>
        <w:snapToGrid w:val="0"/>
        <w:spacing w:line="360" w:lineRule="auto"/>
        <w:ind w:firstLine="480" w:firstLineChars="200"/>
        <w:rPr>
          <w:sz w:val="24"/>
        </w:rPr>
      </w:pPr>
      <w:r>
        <w:rPr>
          <w:sz w:val="24"/>
        </w:rPr>
        <w:t>2）做好合同批复、技术建设方案、测试文档、验收报告等各类往来文件的审核和存档；</w:t>
      </w:r>
    </w:p>
    <w:p>
      <w:pPr>
        <w:tabs>
          <w:tab w:val="left" w:pos="-3060"/>
        </w:tabs>
        <w:snapToGrid w:val="0"/>
        <w:spacing w:line="360" w:lineRule="auto"/>
        <w:ind w:firstLine="480" w:firstLineChars="200"/>
        <w:rPr>
          <w:sz w:val="24"/>
        </w:rPr>
      </w:pPr>
      <w:r>
        <w:rPr>
          <w:sz w:val="24"/>
        </w:rPr>
        <w:t>3）做好项目协调会、技术专题会等各种会议纪要，并督促会议有关事项的执行；</w:t>
      </w:r>
    </w:p>
    <w:p>
      <w:pPr>
        <w:tabs>
          <w:tab w:val="left" w:pos="-3060"/>
        </w:tabs>
        <w:snapToGrid w:val="0"/>
        <w:spacing w:line="360" w:lineRule="auto"/>
        <w:ind w:firstLine="480" w:firstLineChars="200"/>
        <w:rPr>
          <w:sz w:val="24"/>
        </w:rPr>
      </w:pPr>
      <w:r>
        <w:rPr>
          <w:sz w:val="24"/>
        </w:rPr>
        <w:t>4）管理好实施期间的各类技术文档；</w:t>
      </w:r>
    </w:p>
    <w:p>
      <w:pPr>
        <w:tabs>
          <w:tab w:val="left" w:pos="-3060"/>
        </w:tabs>
        <w:snapToGrid w:val="0"/>
        <w:spacing w:line="360" w:lineRule="auto"/>
        <w:ind w:firstLine="480" w:firstLineChars="200"/>
        <w:rPr>
          <w:sz w:val="24"/>
        </w:rPr>
      </w:pPr>
      <w:r>
        <w:rPr>
          <w:sz w:val="24"/>
        </w:rPr>
        <w:t>5）做好项目周报并书面反馈用户单位；</w:t>
      </w:r>
    </w:p>
    <w:p>
      <w:pPr>
        <w:tabs>
          <w:tab w:val="left" w:pos="-3060"/>
        </w:tabs>
        <w:snapToGrid w:val="0"/>
        <w:spacing w:line="360" w:lineRule="auto"/>
        <w:ind w:firstLine="480" w:firstLineChars="200"/>
        <w:rPr>
          <w:sz w:val="24"/>
        </w:rPr>
      </w:pPr>
      <w:r>
        <w:rPr>
          <w:sz w:val="24"/>
        </w:rPr>
        <w:t>6）</w:t>
      </w:r>
      <w:r>
        <w:rPr>
          <w:rFonts w:hint="eastAsia" w:ascii="宋体" w:hAnsi="宋体" w:cs="宋体"/>
          <w:sz w:val="24"/>
        </w:rPr>
        <w:t>监理通知</w:t>
      </w:r>
      <w:r>
        <w:rPr>
          <w:sz w:val="24"/>
        </w:rPr>
        <w:t>；</w:t>
      </w:r>
    </w:p>
    <w:p>
      <w:pPr>
        <w:tabs>
          <w:tab w:val="left" w:pos="-3060"/>
        </w:tabs>
        <w:snapToGrid w:val="0"/>
        <w:spacing w:line="360" w:lineRule="auto"/>
        <w:ind w:firstLine="480" w:firstLineChars="200"/>
        <w:rPr>
          <w:sz w:val="24"/>
        </w:rPr>
      </w:pPr>
      <w:r>
        <w:rPr>
          <w:sz w:val="24"/>
        </w:rPr>
        <w:t>7）</w:t>
      </w:r>
      <w:r>
        <w:rPr>
          <w:rFonts w:hint="eastAsia" w:ascii="宋体" w:hAnsi="宋体" w:cs="宋体"/>
          <w:sz w:val="24"/>
        </w:rPr>
        <w:t>各种会议纪要</w:t>
      </w:r>
      <w:r>
        <w:rPr>
          <w:sz w:val="24"/>
        </w:rPr>
        <w:t>；</w:t>
      </w:r>
    </w:p>
    <w:p>
      <w:pPr>
        <w:tabs>
          <w:tab w:val="left" w:pos="-3060"/>
        </w:tabs>
        <w:snapToGrid w:val="0"/>
        <w:spacing w:line="360" w:lineRule="auto"/>
        <w:ind w:firstLine="480" w:firstLineChars="200"/>
        <w:rPr>
          <w:sz w:val="24"/>
        </w:rPr>
      </w:pPr>
      <w:r>
        <w:rPr>
          <w:sz w:val="24"/>
        </w:rPr>
        <w:t>8）阶段性项目总结；</w:t>
      </w:r>
    </w:p>
    <w:p>
      <w:pPr>
        <w:tabs>
          <w:tab w:val="left" w:pos="-3060"/>
        </w:tabs>
        <w:snapToGrid w:val="0"/>
        <w:spacing w:line="360" w:lineRule="auto"/>
        <w:ind w:firstLine="480" w:firstLineChars="200"/>
        <w:rPr>
          <w:sz w:val="24"/>
        </w:rPr>
      </w:pPr>
      <w:r>
        <w:rPr>
          <w:sz w:val="24"/>
        </w:rPr>
        <w:t>9）承建</w:t>
      </w:r>
      <w:r>
        <w:rPr>
          <w:rFonts w:hint="eastAsia"/>
          <w:sz w:val="24"/>
        </w:rPr>
        <w:t>单位</w:t>
      </w:r>
      <w:r>
        <w:rPr>
          <w:sz w:val="24"/>
        </w:rPr>
        <w:t>提交的技术文档。</w:t>
      </w:r>
    </w:p>
    <w:p>
      <w:pPr>
        <w:tabs>
          <w:tab w:val="left" w:pos="-3060"/>
        </w:tabs>
        <w:snapToGrid w:val="0"/>
        <w:spacing w:line="360" w:lineRule="auto"/>
        <w:rPr>
          <w:b/>
          <w:sz w:val="24"/>
        </w:rPr>
      </w:pPr>
      <w:r>
        <w:rPr>
          <w:rFonts w:hint="eastAsia"/>
          <w:b/>
          <w:sz w:val="24"/>
        </w:rPr>
        <w:t>8</w:t>
      </w:r>
      <w:r>
        <w:rPr>
          <w:b/>
          <w:sz w:val="24"/>
        </w:rPr>
        <w:t>、项目协调管理</w:t>
      </w:r>
    </w:p>
    <w:p>
      <w:pPr>
        <w:tabs>
          <w:tab w:val="left" w:pos="-3060"/>
        </w:tabs>
        <w:snapToGrid w:val="0"/>
        <w:spacing w:line="360" w:lineRule="auto"/>
        <w:ind w:firstLine="480" w:firstLineChars="200"/>
        <w:rPr>
          <w:sz w:val="24"/>
        </w:rPr>
      </w:pPr>
      <w:r>
        <w:rPr>
          <w:sz w:val="24"/>
        </w:rPr>
        <w:t>经</w:t>
      </w:r>
      <w:r>
        <w:rPr>
          <w:rFonts w:hint="eastAsia"/>
          <w:sz w:val="24"/>
        </w:rPr>
        <w:t>建设单位</w:t>
      </w:r>
      <w:r>
        <w:rPr>
          <w:sz w:val="24"/>
        </w:rPr>
        <w:t>委托，监理</w:t>
      </w:r>
      <w:r>
        <w:rPr>
          <w:rFonts w:hint="eastAsia"/>
          <w:sz w:val="24"/>
        </w:rPr>
        <w:t>单位</w:t>
      </w:r>
      <w:r>
        <w:rPr>
          <w:sz w:val="24"/>
        </w:rPr>
        <w:t>负责协调本项目所涉及的各承建单位之间的工作关系，并协调解决项目建设过程中的各类纠纷。监理</w:t>
      </w:r>
      <w:r>
        <w:rPr>
          <w:rFonts w:hint="eastAsia"/>
          <w:sz w:val="24"/>
        </w:rPr>
        <w:t>单位</w:t>
      </w:r>
      <w:r>
        <w:rPr>
          <w:sz w:val="24"/>
        </w:rPr>
        <w:t>应该通过必要的会议制度来实施协调工作，主要包括：</w:t>
      </w:r>
    </w:p>
    <w:p>
      <w:pPr>
        <w:tabs>
          <w:tab w:val="left" w:pos="-3060"/>
        </w:tabs>
        <w:snapToGrid w:val="0"/>
        <w:spacing w:line="360" w:lineRule="auto"/>
        <w:ind w:firstLine="480" w:firstLineChars="200"/>
        <w:rPr>
          <w:sz w:val="24"/>
        </w:rPr>
      </w:pPr>
      <w:r>
        <w:rPr>
          <w:sz w:val="24"/>
        </w:rPr>
        <w:t>1）现场会；</w:t>
      </w:r>
    </w:p>
    <w:p>
      <w:pPr>
        <w:tabs>
          <w:tab w:val="left" w:pos="-3060"/>
        </w:tabs>
        <w:snapToGrid w:val="0"/>
        <w:spacing w:line="360" w:lineRule="auto"/>
        <w:ind w:firstLine="480" w:firstLineChars="200"/>
        <w:rPr>
          <w:sz w:val="24"/>
        </w:rPr>
      </w:pPr>
      <w:r>
        <w:rPr>
          <w:sz w:val="24"/>
        </w:rPr>
        <w:t>2）监理交底会；</w:t>
      </w:r>
    </w:p>
    <w:p>
      <w:pPr>
        <w:tabs>
          <w:tab w:val="left" w:pos="-3060"/>
        </w:tabs>
        <w:snapToGrid w:val="0"/>
        <w:spacing w:line="360" w:lineRule="auto"/>
        <w:ind w:firstLine="480" w:firstLineChars="200"/>
        <w:rPr>
          <w:sz w:val="24"/>
        </w:rPr>
      </w:pPr>
      <w:r>
        <w:rPr>
          <w:sz w:val="24"/>
        </w:rPr>
        <w:t>3）定期例会；</w:t>
      </w:r>
    </w:p>
    <w:p>
      <w:pPr>
        <w:tabs>
          <w:tab w:val="left" w:pos="-3060"/>
        </w:tabs>
        <w:snapToGrid w:val="0"/>
        <w:spacing w:line="360" w:lineRule="auto"/>
        <w:ind w:firstLine="480" w:firstLineChars="200"/>
        <w:rPr>
          <w:sz w:val="24"/>
        </w:rPr>
      </w:pPr>
      <w:r>
        <w:rPr>
          <w:sz w:val="24"/>
        </w:rPr>
        <w:t>4）监理协调会；</w:t>
      </w:r>
    </w:p>
    <w:p>
      <w:pPr>
        <w:tabs>
          <w:tab w:val="left" w:pos="-3060"/>
        </w:tabs>
        <w:snapToGrid w:val="0"/>
        <w:spacing w:line="360" w:lineRule="auto"/>
        <w:ind w:firstLine="480" w:firstLineChars="200"/>
        <w:rPr>
          <w:sz w:val="24"/>
        </w:rPr>
      </w:pPr>
      <w:r>
        <w:rPr>
          <w:sz w:val="24"/>
        </w:rPr>
        <w:t>5）专题讨论会；</w:t>
      </w:r>
    </w:p>
    <w:p>
      <w:pPr>
        <w:tabs>
          <w:tab w:val="left" w:pos="-3060"/>
        </w:tabs>
        <w:snapToGrid w:val="0"/>
        <w:spacing w:line="360" w:lineRule="auto"/>
        <w:ind w:firstLine="480" w:firstLineChars="200"/>
        <w:rPr>
          <w:sz w:val="24"/>
        </w:rPr>
      </w:pPr>
      <w:r>
        <w:rPr>
          <w:sz w:val="24"/>
        </w:rPr>
        <w:t>6）专家论证会；</w:t>
      </w:r>
    </w:p>
    <w:p>
      <w:pPr>
        <w:tabs>
          <w:tab w:val="left" w:pos="-3060"/>
        </w:tabs>
        <w:snapToGrid w:val="0"/>
        <w:spacing w:line="360" w:lineRule="auto"/>
        <w:ind w:firstLine="480" w:firstLineChars="200"/>
        <w:rPr>
          <w:sz w:val="24"/>
        </w:rPr>
      </w:pPr>
      <w:r>
        <w:rPr>
          <w:sz w:val="24"/>
        </w:rPr>
        <w:t>7）阶段工作总结会；</w:t>
      </w:r>
    </w:p>
    <w:p>
      <w:pPr>
        <w:tabs>
          <w:tab w:val="left" w:pos="-3060"/>
        </w:tabs>
        <w:snapToGrid w:val="0"/>
        <w:spacing w:line="360" w:lineRule="auto"/>
        <w:ind w:firstLine="480" w:firstLineChars="200"/>
        <w:rPr>
          <w:sz w:val="24"/>
        </w:rPr>
      </w:pPr>
      <w:r>
        <w:rPr>
          <w:sz w:val="24"/>
        </w:rPr>
        <w:t>8）问题通报会；</w:t>
      </w:r>
    </w:p>
    <w:p>
      <w:pPr>
        <w:tabs>
          <w:tab w:val="left" w:pos="-3060"/>
        </w:tabs>
        <w:snapToGrid w:val="0"/>
        <w:spacing w:line="360" w:lineRule="auto"/>
        <w:ind w:firstLine="480" w:firstLineChars="200"/>
        <w:rPr>
          <w:sz w:val="24"/>
        </w:rPr>
      </w:pPr>
      <w:r>
        <w:rPr>
          <w:sz w:val="24"/>
        </w:rPr>
        <w:t>9）阶段及最终验收会。</w:t>
      </w:r>
    </w:p>
    <w:p>
      <w:pPr>
        <w:spacing w:line="360" w:lineRule="auto"/>
        <w:rPr>
          <w:color w:val="000000"/>
          <w:sz w:val="24"/>
        </w:rPr>
      </w:pPr>
      <w:r>
        <w:rPr>
          <w:color w:val="000000"/>
          <w:sz w:val="24"/>
        </w:rPr>
        <w:t>2.</w:t>
      </w:r>
      <w:r>
        <w:rPr>
          <w:rFonts w:hint="eastAsia"/>
          <w:color w:val="000000"/>
          <w:sz w:val="24"/>
        </w:rPr>
        <w:t>2</w:t>
      </w:r>
      <w:r>
        <w:rPr>
          <w:color w:val="000000"/>
          <w:sz w:val="24"/>
        </w:rPr>
        <w:t>主要服务要求</w:t>
      </w:r>
    </w:p>
    <w:p>
      <w:pPr>
        <w:spacing w:line="360" w:lineRule="auto"/>
        <w:ind w:firstLine="480" w:firstLineChars="200"/>
        <w:rPr>
          <w:color w:val="000000"/>
          <w:sz w:val="24"/>
          <w:lang w:val="zh-CN"/>
        </w:rPr>
      </w:pPr>
      <w:r>
        <w:rPr>
          <w:color w:val="000000"/>
          <w:sz w:val="24"/>
          <w:lang w:val="zh-CN"/>
        </w:rPr>
        <w:t>为确保项目顺利实施，</w:t>
      </w:r>
      <w:r>
        <w:rPr>
          <w:rFonts w:hint="eastAsia"/>
          <w:color w:val="000000"/>
          <w:sz w:val="24"/>
        </w:rPr>
        <w:t>监理单位</w:t>
      </w:r>
      <w:r>
        <w:rPr>
          <w:color w:val="000000"/>
          <w:sz w:val="24"/>
          <w:lang w:val="zh-CN"/>
        </w:rPr>
        <w:t>应做到如下要求：</w:t>
      </w:r>
    </w:p>
    <w:p>
      <w:pPr>
        <w:spacing w:line="360" w:lineRule="auto"/>
        <w:ind w:firstLine="480" w:firstLineChars="200"/>
        <w:rPr>
          <w:color w:val="000000"/>
          <w:sz w:val="24"/>
          <w:lang w:val="zh-CN"/>
        </w:rPr>
      </w:pPr>
      <w:r>
        <w:rPr>
          <w:color w:val="000000"/>
          <w:sz w:val="24"/>
          <w:lang w:val="zh-CN"/>
        </w:rPr>
        <w:t>（1）</w:t>
      </w:r>
      <w:r>
        <w:rPr>
          <w:rFonts w:hint="eastAsia"/>
          <w:color w:val="000000"/>
          <w:sz w:val="24"/>
        </w:rPr>
        <w:t>监理单位</w:t>
      </w:r>
      <w:r>
        <w:rPr>
          <w:color w:val="000000"/>
          <w:sz w:val="24"/>
          <w:lang w:val="zh-CN"/>
        </w:rPr>
        <w:t xml:space="preserve">必须承诺中标后项目工作组人员不变并保证到场工作； </w:t>
      </w:r>
    </w:p>
    <w:p>
      <w:pPr>
        <w:spacing w:line="360" w:lineRule="auto"/>
        <w:ind w:firstLine="480" w:firstLineChars="200"/>
        <w:rPr>
          <w:color w:val="000000"/>
          <w:sz w:val="24"/>
          <w:lang w:val="zh-CN"/>
        </w:rPr>
      </w:pPr>
      <w:r>
        <w:rPr>
          <w:color w:val="000000"/>
          <w:sz w:val="24"/>
          <w:lang w:val="zh-CN"/>
        </w:rPr>
        <w:t>（2）对总监理工程师到场率：整个项目过程中由</w:t>
      </w:r>
      <w:r>
        <w:rPr>
          <w:rFonts w:hint="eastAsia"/>
          <w:color w:val="000000"/>
          <w:sz w:val="24"/>
        </w:rPr>
        <w:t>建设单位</w:t>
      </w:r>
      <w:r>
        <w:rPr>
          <w:color w:val="000000"/>
          <w:sz w:val="24"/>
          <w:lang w:val="zh-CN"/>
        </w:rPr>
        <w:t>确认的重要项目节点必须到场。</w:t>
      </w:r>
    </w:p>
    <w:p>
      <w:pPr>
        <w:spacing w:line="360" w:lineRule="auto"/>
        <w:ind w:firstLine="480" w:firstLineChars="200"/>
        <w:rPr>
          <w:color w:val="000000"/>
          <w:sz w:val="24"/>
          <w:lang w:val="zh-CN"/>
        </w:rPr>
      </w:pPr>
      <w:r>
        <w:rPr>
          <w:color w:val="000000"/>
          <w:sz w:val="24"/>
          <w:lang w:val="zh-CN"/>
        </w:rPr>
        <w:t>（</w:t>
      </w:r>
      <w:r>
        <w:rPr>
          <w:color w:val="000000"/>
          <w:sz w:val="24"/>
        </w:rPr>
        <w:t>3</w:t>
      </w:r>
      <w:r>
        <w:rPr>
          <w:color w:val="000000"/>
          <w:sz w:val="24"/>
          <w:lang w:val="zh-CN"/>
        </w:rPr>
        <w:t>）监理工作人员在</w:t>
      </w:r>
      <w:r>
        <w:rPr>
          <w:rFonts w:hint="eastAsia"/>
          <w:color w:val="000000"/>
          <w:sz w:val="24"/>
        </w:rPr>
        <w:t>建设</w:t>
      </w:r>
      <w:r>
        <w:rPr>
          <w:color w:val="000000"/>
          <w:sz w:val="24"/>
          <w:lang w:val="zh-CN"/>
        </w:rPr>
        <w:t>单位工作时，应遵守</w:t>
      </w:r>
      <w:r>
        <w:rPr>
          <w:rFonts w:hint="eastAsia"/>
          <w:color w:val="000000"/>
          <w:sz w:val="24"/>
        </w:rPr>
        <w:t>建设单位</w:t>
      </w:r>
      <w:r>
        <w:rPr>
          <w:color w:val="000000"/>
          <w:sz w:val="24"/>
          <w:lang w:val="zh-CN"/>
        </w:rPr>
        <w:t>的相关规章和制度；</w:t>
      </w:r>
    </w:p>
    <w:p>
      <w:pPr>
        <w:spacing w:line="360" w:lineRule="auto"/>
        <w:ind w:firstLine="480" w:firstLineChars="200"/>
        <w:rPr>
          <w:sz w:val="24"/>
        </w:rPr>
      </w:pPr>
      <w:r>
        <w:rPr>
          <w:color w:val="000000"/>
          <w:sz w:val="24"/>
          <w:lang w:val="zh-CN"/>
        </w:rPr>
        <w:t>（</w:t>
      </w:r>
      <w:r>
        <w:rPr>
          <w:color w:val="000000"/>
          <w:sz w:val="24"/>
        </w:rPr>
        <w:t>4</w:t>
      </w:r>
      <w:r>
        <w:rPr>
          <w:color w:val="000000"/>
          <w:sz w:val="24"/>
          <w:lang w:val="zh-CN"/>
        </w:rPr>
        <w:t>）当更换总监理工程师、监理工程师时，应征得</w:t>
      </w:r>
      <w:r>
        <w:rPr>
          <w:rFonts w:hint="eastAsia"/>
          <w:color w:val="000000"/>
          <w:sz w:val="24"/>
        </w:rPr>
        <w:t>建设单位</w:t>
      </w:r>
      <w:r>
        <w:rPr>
          <w:color w:val="000000"/>
          <w:sz w:val="24"/>
          <w:lang w:val="zh-CN"/>
        </w:rPr>
        <w:t>同意，并书面通知</w:t>
      </w:r>
      <w:r>
        <w:rPr>
          <w:rFonts w:hint="eastAsia"/>
          <w:color w:val="000000"/>
          <w:sz w:val="24"/>
        </w:rPr>
        <w:t>建设单位</w:t>
      </w:r>
      <w:r>
        <w:rPr>
          <w:color w:val="000000"/>
          <w:sz w:val="24"/>
          <w:lang w:val="zh-CN"/>
        </w:rPr>
        <w:t>。</w:t>
      </w:r>
    </w:p>
    <w:p>
      <w:pPr>
        <w:snapToGrid w:val="0"/>
        <w:spacing w:line="360" w:lineRule="auto"/>
        <w:ind w:right="-94" w:rightChars="-45"/>
        <w:rPr>
          <w:b/>
          <w:color w:val="000000"/>
          <w:kern w:val="0"/>
          <w:sz w:val="24"/>
        </w:rPr>
      </w:pPr>
      <w:r>
        <w:rPr>
          <w:b/>
          <w:color w:val="000000"/>
          <w:kern w:val="0"/>
          <w:sz w:val="24"/>
        </w:rPr>
        <w:t xml:space="preserve"> </w:t>
      </w:r>
      <w:r>
        <w:rPr>
          <w:rFonts w:hint="eastAsia"/>
          <w:b/>
          <w:color w:val="000000"/>
          <w:kern w:val="0"/>
          <w:sz w:val="24"/>
        </w:rPr>
        <w:t>三、</w:t>
      </w:r>
      <w:r>
        <w:rPr>
          <w:b/>
          <w:color w:val="000000"/>
          <w:kern w:val="0"/>
          <w:sz w:val="24"/>
        </w:rPr>
        <w:t>监理机构人员配置要求</w:t>
      </w:r>
    </w:p>
    <w:p>
      <w:pPr>
        <w:tabs>
          <w:tab w:val="left" w:pos="-3060"/>
        </w:tabs>
        <w:snapToGrid w:val="0"/>
        <w:spacing w:line="360" w:lineRule="auto"/>
        <w:ind w:firstLine="480" w:firstLineChars="200"/>
        <w:rPr>
          <w:snapToGrid w:val="0"/>
          <w:color w:val="000000"/>
          <w:kern w:val="0"/>
          <w:sz w:val="24"/>
        </w:rPr>
      </w:pPr>
      <w:r>
        <w:rPr>
          <w:sz w:val="24"/>
        </w:rPr>
        <w:t>为保证项目顺利实施及良好的售后服务，确保实施中的信息安全，</w:t>
      </w:r>
      <w:r>
        <w:rPr>
          <w:rFonts w:hint="eastAsia"/>
          <w:sz w:val="24"/>
        </w:rPr>
        <w:t>监理单位</w:t>
      </w:r>
      <w:r>
        <w:rPr>
          <w:sz w:val="24"/>
        </w:rPr>
        <w:t>须有较强的监理服务队伍，针对本项目需要组成不少于3人以上专业监理团队（其中包括至少1名总监理工程师、1名总监理工程师代表、1名监理工程师），</w:t>
      </w:r>
      <w:r>
        <w:rPr>
          <w:snapToGrid w:val="0"/>
          <w:color w:val="000000"/>
          <w:kern w:val="0"/>
          <w:sz w:val="24"/>
        </w:rPr>
        <w:t>1名监理工程师按项目需至现场服务。</w:t>
      </w:r>
    </w:p>
    <w:p>
      <w:pPr>
        <w:tabs>
          <w:tab w:val="left" w:pos="-3060"/>
        </w:tabs>
        <w:adjustRightInd/>
        <w:snapToGrid w:val="0"/>
        <w:spacing w:line="360" w:lineRule="auto"/>
        <w:ind w:firstLine="480" w:firstLineChars="200"/>
        <w:rPr>
          <w:rFonts w:hint="eastAsia" w:ascii="宋体" w:hAnsi="宋体" w:cs="宋体"/>
          <w:snapToGrid w:val="0"/>
          <w:color w:val="000000"/>
          <w:kern w:val="0"/>
          <w:sz w:val="24"/>
          <w:lang w:val="zh-CN"/>
        </w:rPr>
      </w:pPr>
      <w:r>
        <w:rPr>
          <w:rFonts w:hint="eastAsia" w:ascii="宋体" w:hAnsi="宋体" w:cs="宋体"/>
          <w:snapToGrid w:val="0"/>
          <w:color w:val="000000"/>
          <w:kern w:val="0"/>
          <w:sz w:val="24"/>
          <w:lang w:val="zh-CN"/>
        </w:rPr>
        <w:t>本次项目任务重、责任大故拟派</w:t>
      </w:r>
      <w:r>
        <w:rPr>
          <w:rFonts w:hint="eastAsia" w:ascii="宋体" w:hAnsi="宋体" w:cs="宋体"/>
          <w:snapToGrid w:val="0"/>
          <w:color w:val="000000"/>
          <w:kern w:val="0"/>
          <w:sz w:val="24"/>
        </w:rPr>
        <w:t>总监理工程师须</w:t>
      </w:r>
      <w:r>
        <w:rPr>
          <w:rFonts w:hint="eastAsia" w:ascii="宋体" w:hAnsi="宋体" w:cs="宋体"/>
          <w:snapToGrid w:val="0"/>
          <w:color w:val="000000"/>
          <w:kern w:val="0"/>
          <w:sz w:val="24"/>
          <w:lang w:val="zh-CN"/>
        </w:rPr>
        <w:t>具有人力资源和社会保障部门颁发的信息系统监理师</w:t>
      </w:r>
      <w:r>
        <w:rPr>
          <w:rFonts w:hint="eastAsia" w:ascii="宋体" w:hAnsi="宋体" w:cs="宋体"/>
          <w:snapToGrid w:val="0"/>
          <w:color w:val="000000"/>
          <w:kern w:val="0"/>
          <w:sz w:val="24"/>
        </w:rPr>
        <w:t>、</w:t>
      </w:r>
      <w:r>
        <w:rPr>
          <w:rFonts w:hint="eastAsia" w:ascii="宋体" w:hAnsi="宋体" w:cs="宋体"/>
          <w:snapToGrid w:val="0"/>
          <w:color w:val="000000"/>
          <w:kern w:val="0"/>
          <w:sz w:val="24"/>
          <w:lang w:val="zh-CN"/>
        </w:rPr>
        <w:t>信息系统项目管理师、信息安全工程师、网络工程师、数据库系统工程师、信息系统管理工程师</w:t>
      </w:r>
      <w:r>
        <w:rPr>
          <w:rFonts w:hint="eastAsia" w:ascii="宋体" w:hAnsi="宋体" w:cs="宋体"/>
          <w:snapToGrid w:val="0"/>
          <w:color w:val="000000"/>
          <w:kern w:val="0"/>
          <w:sz w:val="24"/>
        </w:rPr>
        <w:t>等</w:t>
      </w:r>
      <w:r>
        <w:rPr>
          <w:rFonts w:hint="eastAsia" w:ascii="宋体" w:hAnsi="宋体" w:cs="宋体"/>
          <w:snapToGrid w:val="0"/>
          <w:color w:val="000000"/>
          <w:kern w:val="0"/>
          <w:sz w:val="24"/>
          <w:lang w:val="zh-CN"/>
        </w:rPr>
        <w:t>证书。</w:t>
      </w:r>
    </w:p>
    <w:p>
      <w:pPr>
        <w:tabs>
          <w:tab w:val="left" w:pos="-3060"/>
        </w:tabs>
        <w:adjustRightInd/>
        <w:snapToGrid w:val="0"/>
        <w:spacing w:line="360"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lang w:val="zh-CN"/>
        </w:rPr>
        <w:t>拟派总监代表</w:t>
      </w:r>
      <w:r>
        <w:rPr>
          <w:rFonts w:hint="eastAsia" w:ascii="宋体" w:hAnsi="宋体" w:cs="宋体"/>
          <w:snapToGrid w:val="0"/>
          <w:color w:val="000000"/>
          <w:kern w:val="0"/>
          <w:sz w:val="24"/>
        </w:rPr>
        <w:t>须</w:t>
      </w:r>
      <w:r>
        <w:rPr>
          <w:rFonts w:hint="eastAsia" w:ascii="宋体" w:hAnsi="宋体" w:cs="宋体"/>
          <w:snapToGrid w:val="0"/>
          <w:color w:val="000000"/>
          <w:kern w:val="0"/>
          <w:sz w:val="24"/>
          <w:lang w:val="zh-CN"/>
        </w:rPr>
        <w:t>具有人力资源和社会保障部门颁发的信息系统监理师</w:t>
      </w:r>
      <w:r>
        <w:rPr>
          <w:rFonts w:hint="eastAsia" w:ascii="宋体" w:hAnsi="宋体" w:cs="宋体"/>
          <w:snapToGrid w:val="0"/>
          <w:color w:val="000000"/>
          <w:kern w:val="0"/>
          <w:sz w:val="24"/>
        </w:rPr>
        <w:t>、</w:t>
      </w:r>
      <w:r>
        <w:rPr>
          <w:rFonts w:hint="eastAsia" w:ascii="宋体" w:hAnsi="宋体" w:cs="宋体"/>
          <w:snapToGrid w:val="0"/>
          <w:color w:val="000000"/>
          <w:kern w:val="0"/>
          <w:sz w:val="24"/>
          <w:lang w:val="zh-CN"/>
        </w:rPr>
        <w:t>信息系统项目管理师、信息系统管理工程师、系统集成项目管理工程师、网络工程师</w:t>
      </w:r>
      <w:r>
        <w:rPr>
          <w:rFonts w:hint="eastAsia" w:ascii="宋体" w:hAnsi="宋体" w:cs="宋体"/>
          <w:snapToGrid w:val="0"/>
          <w:color w:val="000000"/>
          <w:kern w:val="0"/>
          <w:sz w:val="24"/>
        </w:rPr>
        <w:t>等证书。</w:t>
      </w:r>
    </w:p>
    <w:p>
      <w:pPr>
        <w:tabs>
          <w:tab w:val="left" w:pos="-3060"/>
        </w:tabs>
        <w:adjustRightInd/>
        <w:snapToGrid w:val="0"/>
        <w:spacing w:line="360"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lang w:val="zh-CN"/>
        </w:rPr>
        <w:t>为了保证监理团队的专业水平，拟投入本项目的监理服务团队组成人员</w:t>
      </w:r>
      <w:r>
        <w:rPr>
          <w:rFonts w:hint="eastAsia" w:ascii="宋体" w:hAnsi="宋体" w:cs="宋体"/>
          <w:snapToGrid w:val="0"/>
          <w:color w:val="000000"/>
          <w:kern w:val="0"/>
          <w:sz w:val="24"/>
        </w:rPr>
        <w:t>须</w:t>
      </w:r>
      <w:r>
        <w:rPr>
          <w:rFonts w:hint="eastAsia" w:ascii="宋体" w:hAnsi="宋体" w:cs="宋体"/>
          <w:snapToGrid w:val="0"/>
          <w:color w:val="000000"/>
          <w:kern w:val="0"/>
          <w:sz w:val="24"/>
          <w:lang w:val="zh-CN"/>
        </w:rPr>
        <w:t>具有人力资源和社会保障部门颁发的信息系统监理师证书</w:t>
      </w:r>
      <w:r>
        <w:rPr>
          <w:rFonts w:hint="eastAsia" w:ascii="宋体" w:hAnsi="宋体" w:cs="宋体"/>
          <w:snapToGrid w:val="0"/>
          <w:color w:val="000000"/>
          <w:kern w:val="0"/>
          <w:sz w:val="24"/>
        </w:rPr>
        <w:t>的基础上，具有</w:t>
      </w:r>
      <w:r>
        <w:rPr>
          <w:rFonts w:hint="eastAsia" w:ascii="宋体" w:hAnsi="宋体" w:cs="宋体"/>
          <w:snapToGrid w:val="0"/>
          <w:color w:val="000000"/>
          <w:kern w:val="0"/>
          <w:sz w:val="24"/>
          <w:lang w:val="zh-CN"/>
        </w:rPr>
        <w:t>系统架构设计师、系统规划与管理师、数据库系统工程师、软件设计师、系统集成项目管理工程师、信息安全工程师、系统分析师、高级工程师职称</w:t>
      </w:r>
      <w:r>
        <w:rPr>
          <w:rFonts w:hint="eastAsia" w:ascii="宋体" w:hAnsi="宋体" w:cs="宋体"/>
          <w:snapToGrid w:val="0"/>
          <w:color w:val="000000"/>
          <w:kern w:val="0"/>
          <w:sz w:val="24"/>
        </w:rPr>
        <w:t>等</w:t>
      </w:r>
      <w:r>
        <w:rPr>
          <w:rFonts w:hint="eastAsia" w:ascii="宋体" w:hAnsi="宋体" w:cs="宋体"/>
          <w:snapToGrid w:val="0"/>
          <w:color w:val="000000"/>
          <w:kern w:val="0"/>
          <w:sz w:val="24"/>
          <w:lang w:val="zh-CN"/>
        </w:rPr>
        <w:t>证书。</w:t>
      </w:r>
    </w:p>
    <w:p>
      <w:pPr>
        <w:numPr>
          <w:ilvl w:val="0"/>
          <w:numId w:val="5"/>
        </w:numPr>
        <w:snapToGrid w:val="0"/>
        <w:spacing w:line="360" w:lineRule="auto"/>
        <w:ind w:right="-94" w:rightChars="-45"/>
        <w:rPr>
          <w:b/>
          <w:sz w:val="24"/>
        </w:rPr>
      </w:pPr>
      <w:r>
        <w:rPr>
          <w:rFonts w:hint="eastAsia"/>
          <w:b/>
          <w:sz w:val="24"/>
        </w:rPr>
        <w:t>其他要求：</w:t>
      </w:r>
    </w:p>
    <w:p>
      <w:pPr>
        <w:tabs>
          <w:tab w:val="left" w:pos="-3060"/>
        </w:tabs>
        <w:snapToGrid w:val="0"/>
        <w:spacing w:line="360" w:lineRule="auto"/>
        <w:ind w:firstLine="480" w:firstLineChars="200"/>
        <w:rPr>
          <w:sz w:val="24"/>
        </w:rPr>
      </w:pPr>
      <w:r>
        <w:rPr>
          <w:rFonts w:hint="eastAsia"/>
          <w:sz w:val="24"/>
        </w:rPr>
        <w:t>监理单位需提供具有信息系统安全等级保护三级及以上备案证的PC端和手机端的项目管理软件，并实现以下五大功能：</w:t>
      </w:r>
    </w:p>
    <w:p>
      <w:pPr>
        <w:tabs>
          <w:tab w:val="left" w:pos="-3060"/>
        </w:tabs>
        <w:snapToGrid w:val="0"/>
        <w:spacing w:line="360" w:lineRule="auto"/>
        <w:ind w:firstLine="480" w:firstLineChars="200"/>
        <w:rPr>
          <w:sz w:val="24"/>
        </w:rPr>
      </w:pPr>
      <w:r>
        <w:rPr>
          <w:rFonts w:hint="eastAsia"/>
          <w:sz w:val="24"/>
        </w:rPr>
        <w:t>1）项目质量控制：对于系统集成部分，能为用户展示项目各分项完成情况，并能快捷生成最终完成情况的对照清单。</w:t>
      </w:r>
    </w:p>
    <w:p>
      <w:pPr>
        <w:tabs>
          <w:tab w:val="left" w:pos="-3060"/>
        </w:tabs>
        <w:snapToGrid w:val="0"/>
        <w:spacing w:line="360" w:lineRule="auto"/>
        <w:ind w:firstLine="480" w:firstLineChars="200"/>
        <w:rPr>
          <w:sz w:val="24"/>
        </w:rPr>
      </w:pPr>
      <w:r>
        <w:rPr>
          <w:rFonts w:hint="eastAsia"/>
          <w:sz w:val="24"/>
        </w:rPr>
        <w:t>2）项目进度控制：能设定并查看项目里程碑、进度，并能回溯项目进度延期及审批相关情况。</w:t>
      </w:r>
    </w:p>
    <w:p>
      <w:pPr>
        <w:tabs>
          <w:tab w:val="left" w:pos="-3060"/>
        </w:tabs>
        <w:snapToGrid w:val="0"/>
        <w:spacing w:line="360" w:lineRule="auto"/>
        <w:ind w:firstLine="480" w:firstLineChars="200"/>
        <w:rPr>
          <w:sz w:val="24"/>
        </w:rPr>
      </w:pPr>
      <w:r>
        <w:rPr>
          <w:rFonts w:hint="eastAsia"/>
          <w:sz w:val="24"/>
        </w:rPr>
        <w:t>3）项目合同管理：能设定明确的合同审核流程并能实时展现流转进度。并能对合同的主要信息进行展示。</w:t>
      </w:r>
    </w:p>
    <w:p>
      <w:pPr>
        <w:tabs>
          <w:tab w:val="left" w:pos="-3060"/>
        </w:tabs>
        <w:snapToGrid w:val="0"/>
        <w:spacing w:line="360" w:lineRule="auto"/>
        <w:ind w:firstLine="480" w:firstLineChars="200"/>
        <w:rPr>
          <w:sz w:val="24"/>
        </w:rPr>
      </w:pPr>
      <w:r>
        <w:rPr>
          <w:rFonts w:hint="eastAsia"/>
          <w:sz w:val="24"/>
        </w:rPr>
        <w:t>4）项目变更控制：能通过系统完成项目变更进行审批及流转，并能查看变更相关的附件材料。</w:t>
      </w:r>
    </w:p>
    <w:p>
      <w:pPr>
        <w:tabs>
          <w:tab w:val="left" w:pos="-3060"/>
        </w:tabs>
        <w:snapToGrid w:val="0"/>
        <w:spacing w:line="360" w:lineRule="auto"/>
        <w:ind w:firstLine="480" w:firstLineChars="200"/>
        <w:rPr>
          <w:sz w:val="24"/>
        </w:rPr>
      </w:pPr>
      <w:r>
        <w:rPr>
          <w:rFonts w:hint="eastAsia"/>
          <w:sz w:val="24"/>
        </w:rPr>
        <w:t>5）项目文档管理：能设定在不同阶段需要上传的文档周期性和必要性，并能对文档完成度和及时性情况进行展示。</w:t>
      </w:r>
    </w:p>
    <w:p>
      <w:pPr>
        <w:snapToGrid w:val="0"/>
        <w:spacing w:line="360" w:lineRule="auto"/>
        <w:ind w:right="-94" w:rightChars="-45"/>
        <w:rPr>
          <w:color w:val="000000"/>
          <w:kern w:val="0"/>
          <w:sz w:val="24"/>
        </w:rPr>
      </w:pPr>
      <w:r>
        <w:rPr>
          <w:rFonts w:hint="eastAsia"/>
          <w:b/>
          <w:sz w:val="24"/>
        </w:rPr>
        <w:t>五</w:t>
      </w:r>
      <w:r>
        <w:rPr>
          <w:b/>
          <w:sz w:val="24"/>
        </w:rPr>
        <w:t>、</w:t>
      </w:r>
      <w:r>
        <w:rPr>
          <w:b/>
          <w:color w:val="000000"/>
          <w:kern w:val="0"/>
          <w:sz w:val="24"/>
        </w:rPr>
        <w:t>付款方式：</w:t>
      </w:r>
    </w:p>
    <w:p>
      <w:pPr>
        <w:tabs>
          <w:tab w:val="left" w:pos="-3060"/>
        </w:tabs>
        <w:snapToGrid w:val="0"/>
        <w:spacing w:line="360" w:lineRule="auto"/>
        <w:ind w:firstLine="480" w:firstLineChars="200"/>
        <w:rPr>
          <w:rFonts w:hint="eastAsia"/>
          <w:sz w:val="24"/>
        </w:rPr>
      </w:pPr>
      <w:r>
        <w:rPr>
          <w:rFonts w:hint="eastAsia"/>
          <w:sz w:val="24"/>
        </w:rPr>
        <w:t>本项目服务期为三年，采购价格为三年总价，项目中标后三年服务期合同一年一签，中标金额按三年平均拆分进行支付，每年合同支付方式为：</w:t>
      </w:r>
    </w:p>
    <w:p>
      <w:pPr>
        <w:tabs>
          <w:tab w:val="left" w:pos="-3060"/>
        </w:tabs>
        <w:snapToGrid w:val="0"/>
        <w:spacing w:line="360" w:lineRule="auto"/>
        <w:ind w:firstLine="480" w:firstLineChars="200"/>
        <w:rPr>
          <w:rFonts w:hint="eastAsia"/>
          <w:sz w:val="24"/>
        </w:rPr>
      </w:pPr>
      <w:r>
        <w:rPr>
          <w:rFonts w:hint="eastAsia"/>
          <w:sz w:val="24"/>
        </w:rPr>
        <w:t>1）第一年：当年项目监理合同签订后7个工作日内采购单位支付合同总额的70%；项目经试运行并通过验收后，采购单位在收到中标监理单位发票后10</w:t>
      </w:r>
      <w:r>
        <w:rPr>
          <w:rFonts w:hint="default"/>
          <w:sz w:val="24"/>
          <w:woUserID w:val="1"/>
        </w:rPr>
        <w:t>个工作日</w:t>
      </w:r>
      <w:r>
        <w:rPr>
          <w:rFonts w:hint="eastAsia"/>
          <w:sz w:val="24"/>
        </w:rPr>
        <w:t>内支付合同总额的25%；运维期满12个月且年度运维服务工作完并通过验收后，采购单位在收到中标监理单位发票后10</w:t>
      </w:r>
      <w:r>
        <w:rPr>
          <w:rFonts w:hint="default"/>
          <w:sz w:val="24"/>
          <w:woUserID w:val="1"/>
        </w:rPr>
        <w:t>个工作日</w:t>
      </w:r>
      <w:bookmarkStart w:id="18" w:name="_GoBack"/>
      <w:bookmarkEnd w:id="18"/>
      <w:r>
        <w:rPr>
          <w:rFonts w:hint="eastAsia"/>
          <w:sz w:val="24"/>
        </w:rPr>
        <w:t>内最高支付合同总额的5%。</w:t>
      </w:r>
    </w:p>
    <w:p>
      <w:pPr>
        <w:tabs>
          <w:tab w:val="left" w:pos="-3060"/>
        </w:tabs>
        <w:snapToGrid w:val="0"/>
        <w:spacing w:line="360" w:lineRule="auto"/>
        <w:ind w:firstLine="480" w:firstLineChars="200"/>
        <w:rPr>
          <w:rFonts w:hint="eastAsia"/>
          <w:sz w:val="24"/>
        </w:rPr>
      </w:pPr>
      <w:r>
        <w:rPr>
          <w:rFonts w:hint="eastAsia"/>
          <w:sz w:val="24"/>
        </w:rPr>
        <w:t>2）第二年：当年监理合同签订后，采购单位在收到中标监理单位发票后7个工作日内支付合同总额的70%；半年度运维服务完成并验收通过后，采购单位在收到中标监理单位发票后10个工作日内最高支付合同总额的25%；运维期满12个月且年度运维服务工作完并通过验收后，采购单位在收到中标监理单位发票后10个工作日内最高支付合同总额的5%。</w:t>
      </w:r>
    </w:p>
    <w:p>
      <w:pPr>
        <w:tabs>
          <w:tab w:val="left" w:pos="-3060"/>
        </w:tabs>
        <w:snapToGrid w:val="0"/>
        <w:spacing w:line="360" w:lineRule="auto"/>
        <w:ind w:firstLine="480" w:firstLineChars="200"/>
        <w:rPr>
          <w:rFonts w:hint="eastAsia"/>
          <w:sz w:val="24"/>
        </w:rPr>
      </w:pPr>
      <w:r>
        <w:rPr>
          <w:rFonts w:hint="eastAsia"/>
          <w:sz w:val="24"/>
        </w:rPr>
        <w:t>3）第三年：当年监理合同签订后，采购单位在收到中标监理单位发票后7个工作日内支付合同总额的70%；半年度运维服务完成并验收通过后，采购单位依据运维服务考核结果在收到中标监理单位发票后10个工作日内最高支付合同总额的25%；运维期满12个月且年度运维服务工作完并通过验收后，采购单位在收到中标监理单位发票后10个工作日内最高支付合同总额的5%。</w:t>
      </w:r>
    </w:p>
    <w:p>
      <w:pPr>
        <w:rPr>
          <w:rFonts w:hint="eastAsia"/>
        </w:rPr>
      </w:pPr>
    </w:p>
    <w:p>
      <w:pPr>
        <w:spacing w:line="380" w:lineRule="exact"/>
        <w:ind w:firstLine="480" w:firstLineChars="200"/>
        <w:jc w:val="left"/>
        <w:rPr>
          <w:rFonts w:hint="eastAsia" w:ascii="仿宋" w:hAnsi="仿宋" w:eastAsia="仿宋" w:cs="仿宋"/>
          <w:iCs/>
          <w:sz w:val="24"/>
          <w:u w:val="none"/>
          <w:shd w:val="clear" w:color="auto" w:fill="auto"/>
        </w:rPr>
      </w:pPr>
      <w:r>
        <w:rPr>
          <w:rFonts w:hint="eastAsia" w:ascii="仿宋" w:hAnsi="仿宋" w:eastAsia="仿宋" w:cs="仿宋"/>
          <w:iCs/>
          <w:sz w:val="24"/>
          <w:u w:val="none"/>
          <w:shd w:val="clear" w:color="auto" w:fill="auto"/>
        </w:rPr>
        <w:t>2.履行时间（期限）：合同期</w:t>
      </w:r>
      <w:r>
        <w:rPr>
          <w:rFonts w:hint="eastAsia" w:ascii="仿宋" w:hAnsi="仿宋" w:eastAsia="仿宋" w:cs="仿宋"/>
          <w:iCs/>
          <w:sz w:val="24"/>
          <w:u w:val="none"/>
          <w:shd w:val="clear" w:color="auto" w:fill="auto"/>
          <w:lang w:val="en-US" w:eastAsia="zh-CN"/>
        </w:rPr>
        <w:t>三</w:t>
      </w:r>
      <w:r>
        <w:rPr>
          <w:rFonts w:hint="eastAsia" w:ascii="仿宋" w:hAnsi="仿宋" w:eastAsia="仿宋" w:cs="仿宋"/>
          <w:iCs/>
          <w:sz w:val="24"/>
          <w:u w:val="none"/>
          <w:shd w:val="clear" w:color="auto" w:fill="auto"/>
        </w:rPr>
        <w:t>年（具体时间以收到招标人通知为准）</w:t>
      </w:r>
      <w:r>
        <w:rPr>
          <w:rFonts w:hint="eastAsia" w:ascii="宋体" w:hAnsi="宋体" w:eastAsia="宋体" w:cs="宋体"/>
          <w:color w:val="auto"/>
          <w:sz w:val="24"/>
          <w:szCs w:val="24"/>
          <w:lang w:eastAsia="zh-CN"/>
        </w:rPr>
        <w:t>。</w:t>
      </w:r>
    </w:p>
    <w:p>
      <w:pPr>
        <w:spacing w:line="380" w:lineRule="exact"/>
        <w:ind w:firstLine="480" w:firstLineChars="200"/>
        <w:jc w:val="left"/>
        <w:rPr>
          <w:rFonts w:hint="eastAsia" w:ascii="仿宋" w:hAnsi="仿宋" w:eastAsia="仿宋" w:cs="仿宋"/>
          <w:iCs/>
          <w:sz w:val="24"/>
          <w:u w:val="none"/>
          <w:shd w:val="clear" w:color="auto" w:fill="auto"/>
        </w:rPr>
      </w:pPr>
      <w:r>
        <w:rPr>
          <w:rFonts w:hint="eastAsia" w:ascii="仿宋" w:hAnsi="仿宋" w:eastAsia="仿宋" w:cs="仿宋"/>
          <w:iCs/>
          <w:sz w:val="24"/>
          <w:u w:val="none"/>
          <w:shd w:val="clear" w:color="auto" w:fill="auto"/>
        </w:rPr>
        <w:t>3.履约地点和方式：</w:t>
      </w:r>
      <w:r>
        <w:rPr>
          <w:rFonts w:hint="eastAsia" w:ascii="仿宋" w:hAnsi="仿宋" w:eastAsia="仿宋" w:cs="仿宋"/>
          <w:sz w:val="24"/>
          <w:u w:val="none"/>
          <w:shd w:val="clear" w:color="auto" w:fill="auto"/>
        </w:rPr>
        <w:t>甲方指定地点</w:t>
      </w:r>
    </w:p>
    <w:p>
      <w:pPr>
        <w:spacing w:line="380" w:lineRule="exact"/>
        <w:ind w:firstLine="480" w:firstLineChars="200"/>
        <w:jc w:val="left"/>
        <w:rPr>
          <w:rFonts w:hint="eastAsia" w:ascii="仿宋" w:hAnsi="仿宋" w:eastAsia="仿宋" w:cs="仿宋"/>
          <w:iCs/>
          <w:sz w:val="24"/>
          <w:u w:val="none"/>
          <w:shd w:val="clear" w:color="auto" w:fill="auto"/>
        </w:rPr>
      </w:pPr>
      <w:r>
        <w:rPr>
          <w:rFonts w:hint="eastAsia" w:ascii="仿宋" w:hAnsi="仿宋" w:eastAsia="仿宋" w:cs="仿宋"/>
          <w:iCs/>
          <w:sz w:val="24"/>
          <w:u w:val="none"/>
          <w:shd w:val="clear" w:color="auto" w:fill="auto"/>
        </w:rPr>
        <w:t xml:space="preserve">4.包装方式：  无                          </w:t>
      </w:r>
    </w:p>
    <w:p>
      <w:pPr>
        <w:spacing w:line="380" w:lineRule="exact"/>
        <w:ind w:firstLine="480" w:firstLineChars="200"/>
        <w:jc w:val="left"/>
        <w:rPr>
          <w:rFonts w:hint="eastAsia" w:ascii="仿宋" w:hAnsi="仿宋" w:eastAsia="仿宋" w:cs="仿宋"/>
          <w:iCs/>
          <w:sz w:val="24"/>
          <w:u w:val="none"/>
          <w:shd w:val="clear" w:color="auto" w:fill="auto"/>
        </w:rPr>
      </w:pPr>
      <w:r>
        <w:rPr>
          <w:rFonts w:hint="eastAsia" w:ascii="仿宋" w:hAnsi="仿宋" w:eastAsia="仿宋" w:cs="仿宋"/>
          <w:iCs/>
          <w:sz w:val="24"/>
          <w:u w:val="none"/>
          <w:shd w:val="clear" w:color="auto" w:fill="auto"/>
        </w:rPr>
        <w:t>5.价款或者报酬：本项目概算</w:t>
      </w:r>
      <w:r>
        <w:rPr>
          <w:rFonts w:hint="eastAsia" w:ascii="仿宋" w:hAnsi="仿宋" w:eastAsia="仿宋" w:cs="仿宋"/>
          <w:iCs/>
          <w:sz w:val="24"/>
          <w:u w:val="none"/>
          <w:shd w:val="clear" w:color="auto" w:fill="auto"/>
          <w:lang w:val="en-US" w:eastAsia="zh-CN"/>
        </w:rPr>
        <w:t>900</w:t>
      </w:r>
      <w:r>
        <w:rPr>
          <w:rFonts w:hint="eastAsia" w:ascii="仿宋" w:hAnsi="仿宋" w:eastAsia="仿宋" w:cs="仿宋"/>
          <w:iCs/>
          <w:sz w:val="24"/>
          <w:u w:val="none"/>
          <w:shd w:val="clear" w:color="auto" w:fill="auto"/>
        </w:rPr>
        <w:t>万元。</w:t>
      </w:r>
    </w:p>
    <w:p>
      <w:pPr>
        <w:spacing w:line="380" w:lineRule="exact"/>
        <w:ind w:firstLine="480" w:firstLineChars="200"/>
        <w:jc w:val="left"/>
        <w:rPr>
          <w:rFonts w:hint="eastAsia" w:ascii="仿宋" w:hAnsi="仿宋" w:eastAsia="仿宋" w:cs="仿宋"/>
          <w:iCs/>
          <w:sz w:val="24"/>
          <w:u w:val="none"/>
          <w:shd w:val="clear" w:color="auto" w:fill="auto"/>
        </w:rPr>
      </w:pPr>
      <w:r>
        <w:rPr>
          <w:rFonts w:hint="eastAsia" w:ascii="仿宋" w:hAnsi="仿宋" w:eastAsia="仿宋" w:cs="仿宋"/>
          <w:iCs/>
          <w:sz w:val="24"/>
          <w:u w:val="none"/>
          <w:shd w:val="clear" w:color="auto" w:fill="auto"/>
        </w:rPr>
        <w:t>6.考核要求和付款进度安排</w:t>
      </w:r>
    </w:p>
    <w:p>
      <w:pPr>
        <w:widowControl/>
        <w:snapToGrid w:val="0"/>
        <w:spacing w:line="360" w:lineRule="auto"/>
        <w:ind w:firstLine="480" w:firstLineChars="200"/>
        <w:jc w:val="left"/>
        <w:rPr>
          <w:rFonts w:ascii="仿宋" w:hAnsi="仿宋" w:eastAsia="仿宋" w:cs="仿宋"/>
          <w:color w:val="000000"/>
          <w:sz w:val="24"/>
          <w:lang w:bidi="en-US"/>
        </w:rPr>
      </w:pPr>
      <w:r>
        <w:rPr>
          <w:rFonts w:hint="eastAsia" w:ascii="仿宋" w:hAnsi="仿宋" w:eastAsia="仿宋" w:cs="仿宋"/>
          <w:color w:val="000000"/>
          <w:sz w:val="24"/>
          <w:lang w:bidi="en-US"/>
        </w:rPr>
        <w:t>本项目服务期为三年，采购价格为三年总价，项目中标后三年服务期合同一年一签，中标金额按三年平均拆分进行支付，每年合同支付方式为：</w:t>
      </w:r>
    </w:p>
    <w:p>
      <w:pPr>
        <w:spacing w:line="360" w:lineRule="auto"/>
        <w:ind w:firstLine="480" w:firstLineChars="200"/>
        <w:rPr>
          <w:rFonts w:hint="eastAsia" w:ascii="仿宋" w:hAnsi="仿宋" w:eastAsia="仿宋" w:cs="仿宋"/>
          <w:kern w:val="0"/>
          <w:sz w:val="24"/>
          <w:szCs w:val="24"/>
        </w:rPr>
      </w:pPr>
      <w:r>
        <w:rPr>
          <w:rFonts w:hint="eastAsia" w:ascii="仿宋_GB2312" w:eastAsia="仿宋_GB2312"/>
          <w:sz w:val="24"/>
          <w:szCs w:val="24"/>
        </w:rPr>
        <w:t>1）第一年：</w:t>
      </w:r>
      <w:r>
        <w:rPr>
          <w:rFonts w:hint="eastAsia" w:ascii="仿宋" w:hAnsi="仿宋" w:eastAsia="仿宋" w:cs="仿宋"/>
          <w:color w:val="000000"/>
          <w:sz w:val="24"/>
          <w:szCs w:val="24"/>
        </w:rPr>
        <w:t>合同签订后，</w:t>
      </w:r>
      <w:r>
        <w:rPr>
          <w:rFonts w:hint="eastAsia" w:ascii="仿宋" w:hAnsi="仿宋" w:eastAsia="仿宋" w:cs="仿宋"/>
          <w:kern w:val="0"/>
          <w:sz w:val="24"/>
          <w:szCs w:val="24"/>
        </w:rPr>
        <w:t>采购单位在收到中标单位发票后30天内支付合同总额的70%</w:t>
      </w:r>
      <w:r>
        <w:rPr>
          <w:rFonts w:hint="eastAsia" w:ascii="仿宋" w:hAnsi="仿宋" w:eastAsia="仿宋" w:cs="仿宋"/>
          <w:color w:val="000000"/>
          <w:sz w:val="24"/>
          <w:szCs w:val="24"/>
        </w:rPr>
        <w:t>；项目经试运行并通过验收后，采购</w:t>
      </w:r>
      <w:r>
        <w:rPr>
          <w:rFonts w:hint="eastAsia" w:ascii="仿宋" w:hAnsi="仿宋" w:eastAsia="仿宋" w:cs="仿宋"/>
          <w:kern w:val="0"/>
          <w:sz w:val="24"/>
          <w:szCs w:val="24"/>
        </w:rPr>
        <w:t>单位在收到中标单位发票后30天内支付合同总额的25%；</w:t>
      </w:r>
      <w:r>
        <w:rPr>
          <w:rFonts w:hint="eastAsia" w:ascii="仿宋" w:hAnsi="仿宋" w:eastAsia="仿宋" w:cs="仿宋"/>
          <w:color w:val="000000"/>
          <w:sz w:val="24"/>
          <w:szCs w:val="24"/>
        </w:rPr>
        <w:t>运维期满12个月且年度运维服务工作完并通过验收，</w:t>
      </w:r>
      <w:r>
        <w:rPr>
          <w:rFonts w:hint="eastAsia" w:ascii="仿宋" w:hAnsi="仿宋" w:eastAsia="仿宋" w:cs="仿宋"/>
          <w:kern w:val="0"/>
          <w:sz w:val="24"/>
          <w:szCs w:val="24"/>
        </w:rPr>
        <w:t>采购单位依据运维服务考核结果在收到中标单位发票后30天内最高支付合同总额的5%。</w:t>
      </w:r>
    </w:p>
    <w:p>
      <w:pPr>
        <w:spacing w:line="360" w:lineRule="auto"/>
        <w:ind w:firstLine="480" w:firstLineChars="200"/>
        <w:rPr>
          <w:rFonts w:hint="eastAsia" w:ascii="仿宋_GB2312" w:eastAsia="仿宋_GB2312"/>
          <w:sz w:val="24"/>
          <w:szCs w:val="24"/>
        </w:rPr>
      </w:pPr>
      <w:r>
        <w:rPr>
          <w:rFonts w:hint="eastAsia" w:ascii="仿宋" w:hAnsi="仿宋" w:eastAsia="仿宋" w:cs="仿宋"/>
          <w:kern w:val="0"/>
          <w:sz w:val="24"/>
          <w:szCs w:val="24"/>
        </w:rPr>
        <w:t>2）第二年：</w:t>
      </w:r>
      <w:r>
        <w:rPr>
          <w:rFonts w:hint="eastAsia" w:ascii="仿宋" w:hAnsi="仿宋" w:eastAsia="仿宋" w:cs="仿宋"/>
          <w:color w:val="000000"/>
          <w:sz w:val="24"/>
          <w:szCs w:val="24"/>
        </w:rPr>
        <w:t>合同签订后，</w:t>
      </w:r>
      <w:r>
        <w:rPr>
          <w:rFonts w:hint="eastAsia" w:ascii="仿宋" w:hAnsi="仿宋" w:eastAsia="仿宋" w:cs="仿宋"/>
          <w:kern w:val="0"/>
          <w:sz w:val="24"/>
          <w:szCs w:val="24"/>
        </w:rPr>
        <w:t>采购单位在收到中标单位发票后30天内支付合同总额的70%</w:t>
      </w:r>
      <w:r>
        <w:rPr>
          <w:rFonts w:hint="eastAsia" w:ascii="仿宋" w:hAnsi="仿宋" w:eastAsia="仿宋" w:cs="仿宋"/>
          <w:color w:val="000000"/>
          <w:sz w:val="24"/>
          <w:szCs w:val="24"/>
        </w:rPr>
        <w:t>；半年度运维服务完成并验收通过后，</w:t>
      </w:r>
      <w:r>
        <w:rPr>
          <w:rFonts w:hint="eastAsia" w:ascii="仿宋" w:hAnsi="仿宋" w:eastAsia="仿宋" w:cs="仿宋"/>
          <w:kern w:val="0"/>
          <w:sz w:val="24"/>
          <w:szCs w:val="24"/>
        </w:rPr>
        <w:t>采购单位依据运维服务考核结果在收到中标单位发票后30天内最高支付合同总额的25%</w:t>
      </w:r>
      <w:r>
        <w:rPr>
          <w:rFonts w:hint="eastAsia" w:ascii="仿宋" w:hAnsi="仿宋" w:eastAsia="仿宋" w:cs="仿宋"/>
          <w:color w:val="000000"/>
          <w:sz w:val="24"/>
          <w:szCs w:val="24"/>
        </w:rPr>
        <w:t>；运维期满12个月且年度运维服务工作完并通过验收，</w:t>
      </w:r>
      <w:r>
        <w:rPr>
          <w:rFonts w:hint="eastAsia" w:ascii="仿宋" w:hAnsi="仿宋" w:eastAsia="仿宋" w:cs="仿宋"/>
          <w:kern w:val="0"/>
          <w:sz w:val="24"/>
          <w:szCs w:val="24"/>
        </w:rPr>
        <w:t>采购单位依据运维服务考核结果在收到中标单位发票后30天内最高支付合同总额的5%。</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3）第三年：</w:t>
      </w:r>
      <w:r>
        <w:rPr>
          <w:rFonts w:hint="eastAsia" w:ascii="仿宋" w:hAnsi="仿宋" w:eastAsia="仿宋" w:cs="仿宋"/>
          <w:color w:val="000000"/>
          <w:sz w:val="24"/>
          <w:szCs w:val="24"/>
        </w:rPr>
        <w:t>合同签订后，</w:t>
      </w:r>
      <w:r>
        <w:rPr>
          <w:rFonts w:hint="eastAsia" w:ascii="仿宋" w:hAnsi="仿宋" w:eastAsia="仿宋" w:cs="仿宋"/>
          <w:kern w:val="0"/>
          <w:sz w:val="24"/>
          <w:szCs w:val="24"/>
        </w:rPr>
        <w:t>采购单位在收到中标单位发票后30天内支付合同总额的70%</w:t>
      </w:r>
      <w:r>
        <w:rPr>
          <w:rFonts w:hint="eastAsia" w:ascii="仿宋" w:hAnsi="仿宋" w:eastAsia="仿宋" w:cs="仿宋"/>
          <w:color w:val="000000"/>
          <w:sz w:val="24"/>
          <w:szCs w:val="24"/>
        </w:rPr>
        <w:t>；半年度运维服务完成并验收通过后，</w:t>
      </w:r>
      <w:r>
        <w:rPr>
          <w:rFonts w:hint="eastAsia" w:ascii="仿宋" w:hAnsi="仿宋" w:eastAsia="仿宋" w:cs="仿宋"/>
          <w:kern w:val="0"/>
          <w:sz w:val="24"/>
          <w:szCs w:val="24"/>
        </w:rPr>
        <w:t>采购单位依据运维服务考核结果在收到中标单位发票后30天内最高支付合同总额的25%</w:t>
      </w:r>
      <w:r>
        <w:rPr>
          <w:rFonts w:hint="eastAsia" w:ascii="仿宋" w:hAnsi="仿宋" w:eastAsia="仿宋" w:cs="仿宋"/>
          <w:color w:val="000000"/>
          <w:sz w:val="24"/>
          <w:szCs w:val="24"/>
        </w:rPr>
        <w:t>；运维期满12个月且年度运维服务工作完并通过验收，</w:t>
      </w:r>
      <w:r>
        <w:rPr>
          <w:rFonts w:hint="eastAsia" w:ascii="仿宋" w:hAnsi="仿宋" w:eastAsia="仿宋" w:cs="仿宋"/>
          <w:kern w:val="0"/>
          <w:sz w:val="24"/>
          <w:szCs w:val="24"/>
        </w:rPr>
        <w:t>采购单位依据运维服务考核结果在收到中标单位发票后30天内最高支付合同总额的5%。</w:t>
      </w:r>
    </w:p>
    <w:p>
      <w:pPr>
        <w:spacing w:line="380" w:lineRule="exact"/>
        <w:ind w:firstLine="480" w:firstLineChars="200"/>
        <w:jc w:val="left"/>
        <w:rPr>
          <w:rFonts w:hint="eastAsia" w:ascii="仿宋" w:hAnsi="仿宋" w:eastAsia="仿宋" w:cs="仿宋"/>
          <w:iCs/>
          <w:sz w:val="24"/>
          <w:u w:val="none"/>
          <w:shd w:val="clear" w:color="auto" w:fill="auto"/>
        </w:rPr>
      </w:pPr>
      <w:r>
        <w:rPr>
          <w:rFonts w:hint="eastAsia" w:ascii="仿宋" w:hAnsi="仿宋" w:eastAsia="仿宋" w:cs="仿宋"/>
          <w:iCs/>
          <w:sz w:val="24"/>
          <w:shd w:val="clear" w:color="auto" w:fill="auto"/>
          <w:lang w:val="en-US" w:eastAsia="zh-CN"/>
        </w:rPr>
        <w:t>7</w:t>
      </w:r>
      <w:r>
        <w:rPr>
          <w:rFonts w:hint="eastAsia" w:ascii="仿宋" w:hAnsi="仿宋" w:eastAsia="仿宋" w:cs="仿宋"/>
          <w:iCs/>
          <w:sz w:val="24"/>
          <w:shd w:val="clear" w:color="auto" w:fill="auto"/>
        </w:rPr>
        <w:t>.</w:t>
      </w:r>
      <w:r>
        <w:rPr>
          <w:rFonts w:hint="eastAsia" w:ascii="仿宋" w:hAnsi="仿宋" w:eastAsia="仿宋" w:cs="仿宋"/>
          <w:iCs/>
          <w:sz w:val="24"/>
          <w:u w:val="none"/>
          <w:shd w:val="clear" w:color="auto" w:fill="auto"/>
        </w:rPr>
        <w:t>资金支付方式：</w:t>
      </w:r>
      <w:r>
        <w:rPr>
          <w:rFonts w:hint="eastAsia" w:ascii="仿宋" w:hAnsi="仿宋" w:eastAsia="仿宋" w:cs="仿宋"/>
          <w:kern w:val="0"/>
          <w:sz w:val="24"/>
          <w:u w:val="none"/>
          <w:shd w:val="clear" w:color="auto" w:fill="auto"/>
        </w:rPr>
        <w:t>分期付款</w:t>
      </w:r>
      <w:r>
        <w:rPr>
          <w:rFonts w:hint="eastAsia" w:ascii="仿宋" w:hAnsi="仿宋" w:eastAsia="仿宋" w:cs="仿宋"/>
          <w:iCs/>
          <w:sz w:val="24"/>
          <w:u w:val="none"/>
          <w:shd w:val="clear" w:color="auto" w:fill="auto"/>
        </w:rPr>
        <w:t>.</w:t>
      </w:r>
    </w:p>
    <w:p>
      <w:pPr>
        <w:spacing w:line="380" w:lineRule="exact"/>
        <w:ind w:firstLine="480" w:firstLineChars="200"/>
        <w:jc w:val="left"/>
        <w:rPr>
          <w:rFonts w:hint="eastAsia" w:ascii="仿宋" w:hAnsi="仿宋" w:eastAsia="仿宋" w:cs="仿宋"/>
          <w:sz w:val="24"/>
          <w:u w:val="none"/>
          <w:shd w:val="clear" w:color="auto" w:fill="auto"/>
        </w:rPr>
      </w:pPr>
      <w:r>
        <w:rPr>
          <w:rFonts w:hint="eastAsia" w:ascii="仿宋" w:hAnsi="仿宋" w:eastAsia="仿宋" w:cs="仿宋"/>
          <w:iCs/>
          <w:sz w:val="24"/>
          <w:u w:val="none"/>
          <w:shd w:val="clear" w:color="auto" w:fill="auto"/>
          <w:lang w:val="en-US" w:eastAsia="zh-CN"/>
        </w:rPr>
        <w:t>8</w:t>
      </w:r>
      <w:r>
        <w:rPr>
          <w:rFonts w:hint="eastAsia" w:ascii="仿宋" w:hAnsi="仿宋" w:eastAsia="仿宋" w:cs="仿宋"/>
          <w:iCs/>
          <w:sz w:val="24"/>
          <w:u w:val="none"/>
          <w:shd w:val="clear" w:color="auto" w:fill="auto"/>
        </w:rPr>
        <w:t>.验收、交付标准和方法：</w:t>
      </w:r>
      <w:r>
        <w:rPr>
          <w:rFonts w:hint="eastAsia" w:ascii="仿宋" w:hAnsi="仿宋" w:eastAsia="仿宋" w:cs="仿宋"/>
          <w:sz w:val="24"/>
          <w:u w:val="single"/>
        </w:rPr>
        <w:t>按采购文件中的考核细则由采购人自行验收。</w:t>
      </w:r>
    </w:p>
    <w:p>
      <w:pPr>
        <w:spacing w:line="380" w:lineRule="exact"/>
        <w:ind w:firstLine="480" w:firstLineChars="200"/>
        <w:jc w:val="left"/>
        <w:rPr>
          <w:rFonts w:hint="default" w:ascii="仿宋" w:hAnsi="仿宋" w:eastAsia="仿宋" w:cs="仿宋"/>
          <w:sz w:val="24"/>
          <w:u w:val="none"/>
          <w:shd w:val="clear" w:color="auto" w:fill="auto"/>
          <w:lang w:val="en-US" w:eastAsia="zh-CN"/>
        </w:rPr>
      </w:pPr>
      <w:r>
        <w:rPr>
          <w:rFonts w:hint="eastAsia" w:ascii="仿宋" w:hAnsi="仿宋" w:eastAsia="仿宋" w:cs="仿宋"/>
          <w:iCs/>
          <w:sz w:val="24"/>
          <w:u w:val="none"/>
          <w:shd w:val="clear" w:color="auto" w:fill="auto"/>
          <w:lang w:val="en-US" w:eastAsia="zh-CN"/>
        </w:rPr>
        <w:t>9</w:t>
      </w:r>
      <w:r>
        <w:rPr>
          <w:rFonts w:hint="eastAsia" w:ascii="仿宋" w:hAnsi="仿宋" w:eastAsia="仿宋" w:cs="仿宋"/>
          <w:iCs/>
          <w:sz w:val="24"/>
          <w:u w:val="none"/>
          <w:shd w:val="clear" w:color="auto" w:fill="auto"/>
        </w:rPr>
        <w:t>.质量保修范围和保修期：</w:t>
      </w:r>
      <w:r>
        <w:rPr>
          <w:rFonts w:hint="eastAsia" w:ascii="仿宋" w:hAnsi="仿宋" w:eastAsia="仿宋" w:cs="仿宋"/>
          <w:sz w:val="24"/>
          <w:u w:val="single"/>
        </w:rPr>
        <w:t>无</w:t>
      </w:r>
    </w:p>
    <w:p>
      <w:pPr>
        <w:spacing w:line="380" w:lineRule="exact"/>
        <w:ind w:firstLine="480" w:firstLineChars="200"/>
        <w:jc w:val="left"/>
        <w:rPr>
          <w:rFonts w:hint="eastAsia" w:ascii="仿宋" w:hAnsi="仿宋" w:eastAsia="仿宋" w:cs="仿宋"/>
          <w:iCs/>
          <w:sz w:val="24"/>
          <w:u w:val="none"/>
          <w:shd w:val="clear" w:color="auto" w:fill="auto"/>
          <w:lang w:eastAsia="zh-CN"/>
        </w:rPr>
      </w:pPr>
      <w:r>
        <w:rPr>
          <w:rFonts w:hint="eastAsia" w:ascii="仿宋" w:hAnsi="仿宋" w:eastAsia="仿宋" w:cs="仿宋"/>
          <w:iCs/>
          <w:sz w:val="24"/>
          <w:u w:val="none"/>
          <w:shd w:val="clear" w:color="auto" w:fill="auto"/>
          <w:lang w:val="en-US" w:eastAsia="zh-CN"/>
        </w:rPr>
        <w:t>10</w:t>
      </w:r>
      <w:r>
        <w:rPr>
          <w:rFonts w:hint="eastAsia" w:ascii="仿宋" w:hAnsi="仿宋" w:eastAsia="仿宋" w:cs="仿宋"/>
          <w:iCs/>
          <w:sz w:val="24"/>
          <w:u w:val="none"/>
          <w:shd w:val="clear" w:color="auto" w:fill="auto"/>
        </w:rPr>
        <w:t>.知识产权归属、处理方式：</w:t>
      </w:r>
      <w:r>
        <w:rPr>
          <w:rFonts w:hint="eastAsia" w:ascii="仿宋" w:hAnsi="仿宋" w:eastAsia="仿宋" w:cs="仿宋"/>
          <w:sz w:val="24"/>
          <w:u w:val="single"/>
        </w:rPr>
        <w:t>本项目不涉及</w:t>
      </w:r>
    </w:p>
    <w:p>
      <w:pPr>
        <w:spacing w:line="380" w:lineRule="exact"/>
        <w:ind w:firstLine="480" w:firstLineChars="200"/>
        <w:jc w:val="left"/>
        <w:rPr>
          <w:rFonts w:hint="eastAsia" w:ascii="仿宋" w:hAnsi="仿宋" w:eastAsia="仿宋" w:cs="仿宋"/>
          <w:iCs/>
          <w:sz w:val="24"/>
          <w:u w:val="none"/>
          <w:shd w:val="clear" w:color="auto" w:fill="auto"/>
        </w:rPr>
      </w:pPr>
      <w:r>
        <w:rPr>
          <w:rFonts w:hint="eastAsia" w:ascii="仿宋" w:hAnsi="仿宋" w:eastAsia="仿宋" w:cs="仿宋"/>
          <w:iCs/>
          <w:sz w:val="24"/>
          <w:u w:val="none"/>
          <w:shd w:val="clear" w:color="auto" w:fill="auto"/>
        </w:rPr>
        <w:t>1</w:t>
      </w:r>
      <w:r>
        <w:rPr>
          <w:rFonts w:hint="eastAsia" w:ascii="仿宋" w:hAnsi="仿宋" w:eastAsia="仿宋" w:cs="仿宋"/>
          <w:iCs/>
          <w:sz w:val="24"/>
          <w:u w:val="none"/>
          <w:shd w:val="clear" w:color="auto" w:fill="auto"/>
          <w:lang w:val="en-US" w:eastAsia="zh-CN"/>
        </w:rPr>
        <w:t>1</w:t>
      </w:r>
      <w:r>
        <w:rPr>
          <w:rFonts w:hint="eastAsia" w:ascii="仿宋" w:hAnsi="仿宋" w:eastAsia="仿宋" w:cs="仿宋"/>
          <w:iCs/>
          <w:sz w:val="24"/>
          <w:u w:val="none"/>
          <w:shd w:val="clear" w:color="auto" w:fill="auto"/>
        </w:rPr>
        <w:t>.成本补偿、风险分担约定</w:t>
      </w:r>
    </w:p>
    <w:p>
      <w:pPr>
        <w:spacing w:line="380" w:lineRule="exact"/>
        <w:ind w:firstLine="480" w:firstLineChars="200"/>
        <w:jc w:val="left"/>
        <w:rPr>
          <w:rFonts w:hint="eastAsia" w:ascii="仿宋" w:hAnsi="仿宋" w:eastAsia="仿宋" w:cs="仿宋"/>
          <w:sz w:val="24"/>
          <w:u w:val="none"/>
          <w:shd w:val="clear" w:color="auto" w:fill="auto"/>
        </w:rPr>
      </w:pPr>
      <w:r>
        <w:rPr>
          <w:rFonts w:hint="eastAsia" w:ascii="仿宋" w:hAnsi="仿宋" w:eastAsia="仿宋" w:cs="仿宋"/>
          <w:sz w:val="24"/>
          <w:u w:val="single"/>
        </w:rPr>
        <w:t>签约双方任一方由于不可抗力事故的影响而不能执行合同时，履行合同的期限应予以延长。不可抗力事故系指甲乙双方在缔结合同时所不能预见的，并且它的发生及其后果无法避免和无法克服的事故</w:t>
      </w:r>
      <w:r>
        <w:rPr>
          <w:rFonts w:hint="eastAsia" w:ascii="仿宋" w:hAnsi="仿宋" w:eastAsia="仿宋" w:cs="仿宋"/>
          <w:sz w:val="24"/>
          <w:u w:val="none"/>
          <w:shd w:val="clear" w:color="auto" w:fill="auto"/>
        </w:rPr>
        <w:t>。</w:t>
      </w:r>
    </w:p>
    <w:p>
      <w:pPr>
        <w:tabs>
          <w:tab w:val="left" w:pos="312"/>
        </w:tabs>
        <w:spacing w:line="380" w:lineRule="exact"/>
        <w:ind w:firstLine="480" w:firstLineChars="200"/>
        <w:rPr>
          <w:rFonts w:hint="eastAsia" w:ascii="仿宋" w:hAnsi="仿宋" w:eastAsia="仿宋" w:cs="仿宋"/>
          <w:iCs/>
          <w:sz w:val="24"/>
          <w:u w:val="none"/>
          <w:shd w:val="clear" w:color="auto" w:fill="auto"/>
        </w:rPr>
      </w:pPr>
      <w:r>
        <w:rPr>
          <w:rFonts w:hint="eastAsia" w:ascii="仿宋" w:hAnsi="仿宋" w:eastAsia="仿宋" w:cs="仿宋"/>
          <w:iCs/>
          <w:sz w:val="24"/>
          <w:u w:val="none"/>
          <w:shd w:val="clear" w:color="auto" w:fill="auto"/>
        </w:rPr>
        <w:t>1</w:t>
      </w:r>
      <w:r>
        <w:rPr>
          <w:rFonts w:hint="eastAsia" w:ascii="仿宋" w:hAnsi="仿宋" w:eastAsia="仿宋" w:cs="仿宋"/>
          <w:iCs/>
          <w:sz w:val="24"/>
          <w:u w:val="none"/>
          <w:shd w:val="clear" w:color="auto" w:fill="auto"/>
          <w:lang w:val="en-US" w:eastAsia="zh-CN"/>
        </w:rPr>
        <w:t>2</w:t>
      </w:r>
      <w:r>
        <w:rPr>
          <w:rFonts w:hint="eastAsia" w:ascii="仿宋" w:hAnsi="仿宋" w:eastAsia="仿宋" w:cs="仿宋"/>
          <w:iCs/>
          <w:sz w:val="24"/>
          <w:u w:val="none"/>
          <w:shd w:val="clear" w:color="auto" w:fill="auto"/>
        </w:rPr>
        <w:t>.违约责任与解决争议的方法：</w:t>
      </w:r>
    </w:p>
    <w:p>
      <w:pPr>
        <w:spacing w:line="380" w:lineRule="exact"/>
        <w:ind w:firstLine="480" w:firstLineChars="200"/>
        <w:jc w:val="left"/>
        <w:rPr>
          <w:rFonts w:hint="eastAsia" w:ascii="仿宋" w:hAnsi="仿宋" w:eastAsia="仿宋" w:cs="仿宋"/>
          <w:iCs/>
          <w:sz w:val="24"/>
          <w:u w:val="none"/>
          <w:shd w:val="clear" w:color="auto" w:fill="auto"/>
        </w:rPr>
      </w:pPr>
      <w:r>
        <w:rPr>
          <w:rFonts w:hint="eastAsia" w:ascii="仿宋" w:hAnsi="仿宋" w:eastAsia="仿宋" w:cs="仿宋"/>
          <w:iCs/>
          <w:sz w:val="24"/>
          <w:u w:val="none"/>
          <w:shd w:val="clear" w:color="auto" w:fill="auto"/>
        </w:rPr>
        <w:t>1.8.1 除不可抗力外，如果乙方没有按照本合同约定的期限、地点和方式交付服务成果或者实施服务，那么甲方可要求乙方支付违约金，迟延履行违约金按每迟延履行一日的应提供而未提供服务价格的0.05 %计算，最高限额为本合同总价的  20   %；迟延履行的违约金计算数额达到前述最高限额之日起，甲方有权在要求乙方支付违约金的同时，书面通知乙方解除本合同；</w:t>
      </w:r>
    </w:p>
    <w:p>
      <w:pPr>
        <w:spacing w:line="380" w:lineRule="exact"/>
        <w:ind w:firstLine="480" w:firstLineChars="200"/>
        <w:jc w:val="left"/>
        <w:rPr>
          <w:rFonts w:hint="eastAsia" w:ascii="仿宋" w:hAnsi="仿宋" w:eastAsia="仿宋" w:cs="仿宋"/>
          <w:iCs/>
          <w:sz w:val="24"/>
          <w:u w:val="none"/>
          <w:shd w:val="clear" w:color="auto" w:fill="auto"/>
          <w:lang w:val="en-US"/>
        </w:rPr>
      </w:pPr>
      <w:r>
        <w:rPr>
          <w:rFonts w:hint="eastAsia" w:ascii="仿宋" w:hAnsi="仿宋" w:eastAsia="仿宋" w:cs="仿宋"/>
          <w:iCs/>
          <w:sz w:val="24"/>
          <w:u w:val="none"/>
          <w:shd w:val="clear" w:color="auto" w:fill="auto"/>
          <w:lang w:val="en-US"/>
        </w:rPr>
        <w:t>1.8.2服务中涉及的货物，除不可抗力外，如果乙方没有按照本合同约定的期限、地点和方式交付货物，那么甲方可要求乙方支付违约金，违约金按每迟延交付货物一日的应交付而未交付货物价格的  0.05（可根据情况修改）   %计算，最高限额为本合同总价的  20  %；迟延交付货物的违约金计算数额达到前述最高限额之日起，甲方有权在要求乙方支付违约金的同时，书面通知乙方解除本合同；</w:t>
      </w:r>
    </w:p>
    <w:p>
      <w:pPr>
        <w:spacing w:line="380" w:lineRule="exact"/>
        <w:ind w:firstLine="480" w:firstLineChars="200"/>
        <w:jc w:val="left"/>
        <w:rPr>
          <w:rFonts w:hint="eastAsia" w:ascii="仿宋" w:hAnsi="仿宋" w:eastAsia="仿宋" w:cs="仿宋"/>
          <w:iCs/>
          <w:sz w:val="24"/>
          <w:u w:val="none"/>
          <w:shd w:val="clear" w:color="auto" w:fill="auto"/>
        </w:rPr>
      </w:pPr>
      <w:r>
        <w:rPr>
          <w:rFonts w:hint="eastAsia" w:ascii="仿宋" w:hAnsi="仿宋" w:eastAsia="仿宋" w:cs="仿宋"/>
          <w:iCs/>
          <w:sz w:val="24"/>
          <w:u w:val="none"/>
          <w:shd w:val="clear" w:color="auto" w:fill="auto"/>
        </w:rPr>
        <w:t>1.8.3除不可抗力外，如果甲方没有按照本合同约定的付款方式付款，那么乙方可要求甲方支付违约金，违约金按每迟延付款一日的应付而未付款的   0.05   %计算，最高限额为本合同总价的   20（可根据情况修改）   %；迟延付款的违约金计算数额达到前述最高限额之日起，乙方有权在要求甲方支付违约金的同时，书面通知甲方解除本合同；</w:t>
      </w:r>
    </w:p>
    <w:p>
      <w:pPr>
        <w:spacing w:line="380" w:lineRule="exact"/>
        <w:ind w:firstLine="480" w:firstLineChars="200"/>
        <w:jc w:val="left"/>
        <w:rPr>
          <w:rFonts w:hint="eastAsia" w:ascii="仿宋" w:hAnsi="仿宋" w:eastAsia="仿宋" w:cs="仿宋"/>
          <w:iCs/>
          <w:sz w:val="24"/>
          <w:u w:val="none"/>
          <w:shd w:val="clear" w:color="auto" w:fill="auto"/>
        </w:rPr>
      </w:pPr>
      <w:bookmarkStart w:id="4" w:name="_Toc9497"/>
      <w:bookmarkStart w:id="5" w:name="_Toc18683"/>
      <w:bookmarkStart w:id="6" w:name="_Toc26807"/>
      <w:bookmarkStart w:id="7" w:name="_Toc32454"/>
      <w:bookmarkStart w:id="8" w:name="_Toc30329"/>
      <w:r>
        <w:rPr>
          <w:rFonts w:hint="eastAsia" w:ascii="仿宋" w:hAnsi="仿宋" w:eastAsia="仿宋" w:cs="仿宋"/>
          <w:iCs/>
          <w:sz w:val="24"/>
          <w:u w:val="none"/>
          <w:shd w:val="clear" w:color="auto" w:fill="auto"/>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80" w:lineRule="exact"/>
        <w:ind w:firstLine="480" w:firstLineChars="200"/>
        <w:jc w:val="left"/>
        <w:rPr>
          <w:rFonts w:hint="eastAsia" w:ascii="仿宋" w:hAnsi="仿宋" w:eastAsia="仿宋" w:cs="仿宋"/>
          <w:iCs/>
          <w:sz w:val="24"/>
          <w:u w:val="none"/>
          <w:shd w:val="clear" w:color="auto" w:fill="auto"/>
        </w:rPr>
      </w:pPr>
      <w:r>
        <w:rPr>
          <w:rFonts w:hint="eastAsia" w:ascii="仿宋" w:hAnsi="仿宋" w:eastAsia="仿宋" w:cs="仿宋"/>
          <w:iCs/>
          <w:sz w:val="24"/>
          <w:u w:val="none"/>
          <w:shd w:val="clear" w:color="auto" w:fill="auto"/>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80" w:lineRule="exact"/>
        <w:ind w:firstLine="480" w:firstLineChars="200"/>
        <w:jc w:val="left"/>
        <w:rPr>
          <w:rFonts w:hint="eastAsia" w:ascii="仿宋" w:hAnsi="仿宋" w:eastAsia="仿宋" w:cs="仿宋"/>
          <w:iCs/>
          <w:sz w:val="24"/>
          <w:u w:val="none"/>
          <w:shd w:val="clear" w:color="auto" w:fill="auto"/>
        </w:rPr>
      </w:pPr>
      <w:r>
        <w:rPr>
          <w:rFonts w:hint="eastAsia" w:ascii="仿宋" w:hAnsi="仿宋" w:eastAsia="仿宋" w:cs="仿宋"/>
          <w:iCs/>
          <w:sz w:val="24"/>
          <w:u w:val="none"/>
          <w:shd w:val="clear" w:color="auto" w:fill="auto"/>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380" w:lineRule="exact"/>
        <w:ind w:firstLine="480" w:firstLineChars="200"/>
        <w:jc w:val="left"/>
        <w:rPr>
          <w:rFonts w:hint="eastAsia" w:ascii="仿宋" w:hAnsi="仿宋" w:eastAsia="仿宋" w:cs="仿宋"/>
          <w:iCs/>
          <w:sz w:val="24"/>
          <w:u w:val="none"/>
          <w:shd w:val="clear" w:color="auto" w:fill="auto"/>
        </w:rPr>
      </w:pPr>
      <w:r>
        <w:rPr>
          <w:rFonts w:hint="eastAsia" w:ascii="仿宋" w:hAnsi="仿宋" w:eastAsia="仿宋" w:cs="仿宋"/>
          <w:iCs/>
          <w:sz w:val="24"/>
          <w:u w:val="none"/>
          <w:shd w:val="clear" w:color="auto" w:fill="auto"/>
        </w:rPr>
        <w:t>1.8.7违约责任合同专用条款另有约定的，从其约定。</w:t>
      </w:r>
    </w:p>
    <w:bookmarkEnd w:id="4"/>
    <w:bookmarkEnd w:id="5"/>
    <w:bookmarkEnd w:id="6"/>
    <w:bookmarkEnd w:id="7"/>
    <w:bookmarkEnd w:id="8"/>
    <w:p>
      <w:pPr>
        <w:spacing w:line="380" w:lineRule="exact"/>
        <w:ind w:firstLine="480" w:firstLineChars="200"/>
        <w:jc w:val="left"/>
        <w:rPr>
          <w:rFonts w:hint="eastAsia" w:ascii="仿宋" w:hAnsi="仿宋" w:eastAsia="仿宋" w:cs="仿宋"/>
          <w:iCs/>
          <w:sz w:val="24"/>
          <w:u w:val="none"/>
          <w:shd w:val="clear" w:color="auto" w:fill="auto"/>
        </w:rPr>
      </w:pPr>
      <w:r>
        <w:rPr>
          <w:rFonts w:hint="eastAsia" w:ascii="仿宋" w:hAnsi="仿宋" w:eastAsia="仿宋" w:cs="仿宋"/>
          <w:iCs/>
          <w:sz w:val="24"/>
          <w:u w:val="none"/>
          <w:shd w:val="clear" w:color="auto" w:fill="auto"/>
        </w:rPr>
        <w:t>1</w:t>
      </w:r>
      <w:r>
        <w:rPr>
          <w:rFonts w:hint="eastAsia" w:ascii="仿宋" w:hAnsi="仿宋" w:eastAsia="仿宋" w:cs="仿宋"/>
          <w:iCs/>
          <w:sz w:val="24"/>
          <w:u w:val="none"/>
          <w:shd w:val="clear" w:color="auto" w:fill="auto"/>
          <w:lang w:val="en-US" w:eastAsia="zh-CN"/>
        </w:rPr>
        <w:t>3</w:t>
      </w:r>
      <w:r>
        <w:rPr>
          <w:rFonts w:hint="eastAsia" w:ascii="仿宋" w:hAnsi="仿宋" w:eastAsia="仿宋" w:cs="仿宋"/>
          <w:iCs/>
          <w:sz w:val="24"/>
          <w:u w:val="none"/>
          <w:shd w:val="clear" w:color="auto" w:fill="auto"/>
        </w:rPr>
        <w:t>.其他条款</w:t>
      </w:r>
    </w:p>
    <w:p>
      <w:pPr>
        <w:autoSpaceDE w:val="0"/>
        <w:autoSpaceDN w:val="0"/>
        <w:snapToGrid w:val="0"/>
        <w:spacing w:line="380" w:lineRule="exact"/>
        <w:jc w:val="left"/>
        <w:rPr>
          <w:rFonts w:hint="eastAsia" w:ascii="仿宋" w:hAnsi="仿宋" w:eastAsia="仿宋" w:cs="仿宋"/>
          <w:sz w:val="24"/>
          <w:u w:val="none"/>
          <w:shd w:val="clear" w:color="auto" w:fill="auto"/>
        </w:rPr>
      </w:pPr>
      <w:r>
        <w:rPr>
          <w:rFonts w:hint="eastAsia" w:ascii="仿宋" w:hAnsi="仿宋" w:eastAsia="仿宋" w:cs="仿宋"/>
          <w:kern w:val="0"/>
          <w:sz w:val="24"/>
          <w:u w:val="none"/>
          <w:shd w:val="clear" w:color="auto" w:fill="auto"/>
          <w:lang w:val="zh-CN"/>
        </w:rPr>
        <w:t>（</w:t>
      </w:r>
      <w:r>
        <w:rPr>
          <w:rFonts w:hint="eastAsia" w:ascii="仿宋" w:hAnsi="仿宋" w:eastAsia="仿宋" w:cs="仿宋"/>
          <w:kern w:val="0"/>
          <w:sz w:val="24"/>
          <w:u w:val="none"/>
          <w:shd w:val="clear" w:color="auto" w:fill="auto"/>
        </w:rPr>
        <w:t>1</w:t>
      </w:r>
      <w:r>
        <w:rPr>
          <w:rFonts w:hint="eastAsia" w:ascii="仿宋" w:hAnsi="仿宋" w:eastAsia="仿宋" w:cs="仿宋"/>
          <w:kern w:val="0"/>
          <w:sz w:val="24"/>
          <w:u w:val="none"/>
          <w:shd w:val="clear" w:color="auto" w:fill="auto"/>
          <w:lang w:val="zh-CN"/>
        </w:rPr>
        <w:t>）协商处理</w:t>
      </w:r>
      <w:r>
        <w:rPr>
          <w:rFonts w:hint="eastAsia" w:ascii="仿宋" w:hAnsi="仿宋" w:eastAsia="仿宋" w:cs="仿宋"/>
          <w:sz w:val="24"/>
          <w:u w:val="none"/>
          <w:shd w:val="clear" w:color="auto" w:fill="auto"/>
        </w:rPr>
        <w:t>。</w:t>
      </w:r>
    </w:p>
    <w:p>
      <w:pPr>
        <w:autoSpaceDE w:val="0"/>
        <w:autoSpaceDN w:val="0"/>
        <w:snapToGrid w:val="0"/>
        <w:spacing w:line="380" w:lineRule="exact"/>
        <w:jc w:val="left"/>
        <w:rPr>
          <w:rFonts w:hint="eastAsia" w:ascii="仿宋" w:hAnsi="仿宋" w:eastAsia="仿宋" w:cs="仿宋"/>
          <w:sz w:val="24"/>
          <w:u w:val="none"/>
          <w:shd w:val="clear" w:color="auto" w:fill="auto"/>
        </w:rPr>
      </w:pPr>
      <w:r>
        <w:rPr>
          <w:rFonts w:hint="eastAsia" w:ascii="仿宋" w:hAnsi="仿宋" w:eastAsia="仿宋" w:cs="仿宋"/>
          <w:b/>
          <w:sz w:val="28"/>
          <w:szCs w:val="28"/>
          <w:u w:val="none"/>
          <w:shd w:val="clear" w:color="auto" w:fill="auto"/>
        </w:rPr>
        <w:t>三、履约验收方案</w:t>
      </w:r>
    </w:p>
    <w:p>
      <w:pPr>
        <w:spacing w:line="380" w:lineRule="exact"/>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（一）履约验收主体</w:t>
      </w:r>
    </w:p>
    <w:p>
      <w:pPr>
        <w:spacing w:line="380" w:lineRule="exact"/>
        <w:ind w:left="420" w:leftChars="200"/>
        <w:jc w:val="left"/>
        <w:rPr>
          <w:rFonts w:hint="eastAsia" w:ascii="仿宋" w:hAnsi="仿宋" w:eastAsia="仿宋" w:cs="仿宋"/>
          <w:sz w:val="24"/>
          <w:u w:val="none"/>
          <w:shd w:val="clear" w:color="auto" w:fill="auto"/>
          <w:lang w:eastAsia="zh-CN"/>
        </w:rPr>
      </w:pPr>
      <w:r>
        <w:rPr>
          <w:rFonts w:hint="eastAsia" w:ascii="仿宋" w:hAnsi="仿宋" w:eastAsia="仿宋" w:cs="仿宋"/>
          <w:sz w:val="24"/>
          <w:u w:val="none"/>
          <w:shd w:val="clear" w:color="auto" w:fill="auto"/>
        </w:rPr>
        <w:t>1.采购单位：</w:t>
      </w:r>
      <w:r>
        <w:rPr>
          <w:rFonts w:hint="eastAsia" w:ascii="仿宋" w:hAnsi="仿宋" w:eastAsia="仿宋" w:cs="仿宋"/>
          <w:sz w:val="24"/>
          <w:u w:val="none"/>
          <w:shd w:val="clear" w:color="auto" w:fill="auto"/>
          <w:lang w:eastAsia="zh-CN"/>
        </w:rPr>
        <w:t>杭州市公安局临平区分局</w:t>
      </w:r>
    </w:p>
    <w:p>
      <w:pPr>
        <w:spacing w:line="380" w:lineRule="exact"/>
        <w:ind w:left="420" w:leftChars="200"/>
        <w:jc w:val="left"/>
        <w:rPr>
          <w:rFonts w:hint="eastAsia" w:ascii="仿宋" w:hAnsi="仿宋" w:eastAsia="仿宋" w:cs="仿宋"/>
          <w:sz w:val="24"/>
          <w:u w:val="none"/>
          <w:shd w:val="clear" w:color="auto" w:fill="auto"/>
          <w:lang w:val="en-US" w:eastAsia="zh-CN"/>
        </w:rPr>
      </w:pPr>
      <w:r>
        <w:rPr>
          <w:rFonts w:hint="eastAsia" w:ascii="仿宋" w:hAnsi="仿宋" w:eastAsia="仿宋" w:cs="仿宋"/>
          <w:sz w:val="24"/>
          <w:u w:val="none"/>
          <w:shd w:val="clear" w:color="auto" w:fill="auto"/>
        </w:rPr>
        <w:t>2.是否选择代理机构：</w:t>
      </w:r>
      <w:r>
        <w:rPr>
          <w:rFonts w:hint="eastAsia" w:ascii="仿宋" w:hAnsi="仿宋" w:eastAsia="仿宋" w:cs="仿宋"/>
          <w:sz w:val="24"/>
        </w:rPr>
        <w:t>否（自行验收）</w:t>
      </w:r>
    </w:p>
    <w:p>
      <w:pPr>
        <w:spacing w:line="380" w:lineRule="exact"/>
        <w:ind w:left="420" w:leftChars="200"/>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3.是否邀请本项目的其他供应商：否</w:t>
      </w:r>
    </w:p>
    <w:p>
      <w:pPr>
        <w:spacing w:line="380" w:lineRule="exact"/>
        <w:ind w:left="420" w:leftChars="200"/>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4.是否邀请专家：否</w:t>
      </w:r>
    </w:p>
    <w:p>
      <w:pPr>
        <w:spacing w:line="380" w:lineRule="exact"/>
        <w:ind w:left="420" w:leftChars="200"/>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5.是否邀请服务对象：是</w:t>
      </w:r>
    </w:p>
    <w:p>
      <w:pPr>
        <w:spacing w:line="380" w:lineRule="exact"/>
        <w:ind w:left="420" w:leftChars="200"/>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6.其他：无</w:t>
      </w:r>
    </w:p>
    <w:p>
      <w:pPr>
        <w:spacing w:line="380" w:lineRule="exact"/>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（二）履约验收时间：</w:t>
      </w:r>
      <w:r>
        <w:rPr>
          <w:rFonts w:hint="eastAsia" w:ascii="仿宋" w:hAnsi="仿宋" w:eastAsia="仿宋" w:cs="仿宋"/>
          <w:sz w:val="24"/>
          <w:u w:val="none"/>
          <w:shd w:val="clear" w:color="auto" w:fill="auto"/>
          <w:lang w:val="en-US" w:eastAsia="zh-CN"/>
        </w:rPr>
        <w:t>协商处理</w:t>
      </w:r>
      <w:r>
        <w:rPr>
          <w:rFonts w:hint="eastAsia" w:ascii="仿宋" w:hAnsi="仿宋" w:eastAsia="仿宋" w:cs="仿宋"/>
          <w:sz w:val="24"/>
          <w:u w:val="none"/>
          <w:shd w:val="clear" w:color="auto" w:fill="auto"/>
        </w:rPr>
        <w:t>。</w:t>
      </w:r>
    </w:p>
    <w:p>
      <w:pPr>
        <w:spacing w:line="380" w:lineRule="exact"/>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（三）履约验收方式：一般程序</w:t>
      </w:r>
    </w:p>
    <w:p>
      <w:pPr>
        <w:spacing w:line="380" w:lineRule="exact"/>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（四）履约验收程序：由采购人自行组织验收小组成员，采用定期检查和不定期抽查相结合方式，对服务内容进行逐项评分。</w:t>
      </w:r>
    </w:p>
    <w:p>
      <w:pPr>
        <w:spacing w:line="380" w:lineRule="exact"/>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（五）履约验收内容</w:t>
      </w:r>
    </w:p>
    <w:p>
      <w:pPr>
        <w:spacing w:line="380" w:lineRule="exact"/>
        <w:ind w:firstLine="480" w:firstLineChars="200"/>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 xml:space="preserve">1.按照文件要求。 </w:t>
      </w:r>
    </w:p>
    <w:p>
      <w:pPr>
        <w:spacing w:line="380" w:lineRule="exact"/>
        <w:ind w:firstLine="480" w:firstLineChars="200"/>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2.按照文件要求。</w:t>
      </w:r>
    </w:p>
    <w:p>
      <w:pPr>
        <w:spacing w:line="380" w:lineRule="exact"/>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（六）履约验收标准</w:t>
      </w:r>
    </w:p>
    <w:p>
      <w:pPr>
        <w:spacing w:line="380" w:lineRule="exact"/>
        <w:ind w:firstLine="240" w:firstLineChars="100"/>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(1)满足所有采购需求及响应文件承诺；(2)拟投服务团队人员全部到位，与响应文件人员信息清单一致；(3)项目验收资料齐全；(4)年度考核。</w:t>
      </w:r>
    </w:p>
    <w:p>
      <w:pPr>
        <w:spacing w:line="380" w:lineRule="exact"/>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（七）履约验收其他事项</w:t>
      </w:r>
    </w:p>
    <w:p>
      <w:pPr>
        <w:spacing w:line="380" w:lineRule="exact"/>
        <w:ind w:firstLine="240" w:firstLineChars="100"/>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1）甲方在乙方提供相关服务的过程中，有权不定期对服务内容和质量进行考核。乙方提供相关服务过程中有违反合同约定、不达约定标准情况的，甲方有权要求乙方限期整改，乙方未按甲方要求整改的，甲方有权拒绝验收，乙方应承担相应的违约责任。 （2）乙方服务成果未通过甲方验收，甲方有权要求乙方进行整改，相关费用（包括但不限于重新组织验收等费用）由乙方承担；如乙方未在甲方要求期限内整改或整改后仍不合格或已经无法整改的，甲方有权要求乙方承担相应的违约责任。</w:t>
      </w:r>
    </w:p>
    <w:p>
      <w:pPr>
        <w:spacing w:line="380" w:lineRule="exact"/>
        <w:ind w:firstLine="549" w:firstLineChars="196"/>
        <w:jc w:val="left"/>
        <w:rPr>
          <w:rFonts w:hint="eastAsia" w:ascii="仿宋" w:hAnsi="仿宋" w:eastAsia="仿宋" w:cs="仿宋"/>
          <w:sz w:val="24"/>
          <w:u w:val="none"/>
          <w:shd w:val="clear" w:color="auto" w:fill="auto"/>
        </w:rPr>
      </w:pPr>
      <w:r>
        <w:rPr>
          <w:rFonts w:hint="eastAsia" w:ascii="仿宋" w:hAnsi="仿宋" w:eastAsia="仿宋" w:cs="仿宋"/>
          <w:b/>
          <w:sz w:val="28"/>
          <w:szCs w:val="28"/>
          <w:u w:val="none"/>
          <w:shd w:val="clear" w:color="auto" w:fill="auto"/>
        </w:rPr>
        <w:t>四、风险控制措施和替代方案</w:t>
      </w:r>
    </w:p>
    <w:p>
      <w:pPr>
        <w:spacing w:line="380" w:lineRule="exact"/>
        <w:ind w:firstLine="420"/>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该采购项目按照《政府采购需求管理办法》第二十五条规定，是否需要组织风险判断、提出处置措施和替代方案：是</w:t>
      </w:r>
    </w:p>
    <w:p>
      <w:pPr>
        <w:spacing w:line="380" w:lineRule="exact"/>
        <w:jc w:val="left"/>
        <w:outlineLvl w:val="1"/>
        <w:rPr>
          <w:rFonts w:hint="eastAsia" w:ascii="仿宋" w:hAnsi="仿宋" w:eastAsia="仿宋" w:cs="仿宋"/>
          <w:sz w:val="24"/>
          <w:u w:val="none"/>
          <w:shd w:val="clear" w:color="auto" w:fill="auto"/>
        </w:rPr>
      </w:pPr>
      <w:bookmarkStart w:id="9" w:name="_Toc29357"/>
      <w:r>
        <w:rPr>
          <w:rFonts w:hint="eastAsia" w:ascii="仿宋" w:hAnsi="仿宋" w:eastAsia="仿宋" w:cs="仿宋"/>
          <w:sz w:val="24"/>
          <w:u w:val="none"/>
          <w:shd w:val="clear" w:color="auto" w:fill="auto"/>
        </w:rPr>
        <w:t>（一）国家政策变化应对措施</w:t>
      </w:r>
      <w:bookmarkEnd w:id="9"/>
      <w:r>
        <w:rPr>
          <w:rFonts w:hint="eastAsia" w:ascii="仿宋" w:hAnsi="仿宋" w:eastAsia="仿宋" w:cs="仿宋"/>
          <w:sz w:val="24"/>
          <w:u w:val="none"/>
          <w:shd w:val="clear" w:color="auto" w:fill="auto"/>
        </w:rPr>
        <w:t xml:space="preserve">：如遇到国家政策发生变化，根据新的政策进行采购需求调整。 </w:t>
      </w:r>
    </w:p>
    <w:p>
      <w:pPr>
        <w:spacing w:line="380" w:lineRule="exact"/>
        <w:jc w:val="left"/>
        <w:outlineLvl w:val="1"/>
        <w:rPr>
          <w:rFonts w:hint="eastAsia" w:ascii="仿宋" w:hAnsi="仿宋" w:eastAsia="仿宋" w:cs="仿宋"/>
          <w:sz w:val="24"/>
          <w:u w:val="none"/>
          <w:shd w:val="clear" w:color="auto" w:fill="auto"/>
        </w:rPr>
      </w:pPr>
      <w:bookmarkStart w:id="10" w:name="_Toc516"/>
      <w:r>
        <w:rPr>
          <w:rFonts w:hint="eastAsia" w:ascii="仿宋" w:hAnsi="仿宋" w:eastAsia="仿宋" w:cs="仿宋"/>
          <w:sz w:val="24"/>
          <w:u w:val="none"/>
          <w:shd w:val="clear" w:color="auto" w:fill="auto"/>
        </w:rPr>
        <w:t>（二）实施环境变化应对措施</w:t>
      </w:r>
      <w:bookmarkEnd w:id="10"/>
      <w:r>
        <w:rPr>
          <w:rFonts w:hint="eastAsia" w:ascii="仿宋" w:hAnsi="仿宋" w:eastAsia="仿宋" w:cs="仿宋"/>
          <w:sz w:val="24"/>
          <w:u w:val="none"/>
          <w:shd w:val="clear" w:color="auto" w:fill="auto"/>
        </w:rPr>
        <w:t xml:space="preserve">：如遇到实施环境发生变化，根据新的实施环境进行采购需求调整。 </w:t>
      </w:r>
    </w:p>
    <w:p>
      <w:pPr>
        <w:spacing w:line="380" w:lineRule="exact"/>
        <w:jc w:val="left"/>
        <w:outlineLvl w:val="1"/>
        <w:rPr>
          <w:rFonts w:hint="eastAsia" w:ascii="仿宋" w:hAnsi="仿宋" w:eastAsia="仿宋" w:cs="仿宋"/>
          <w:sz w:val="24"/>
          <w:u w:val="none"/>
          <w:shd w:val="clear" w:color="auto" w:fill="auto"/>
        </w:rPr>
      </w:pPr>
      <w:bookmarkStart w:id="11" w:name="_Toc9608"/>
      <w:r>
        <w:rPr>
          <w:rFonts w:hint="eastAsia" w:ascii="仿宋" w:hAnsi="仿宋" w:eastAsia="仿宋" w:cs="仿宋"/>
          <w:sz w:val="24"/>
          <w:u w:val="none"/>
          <w:shd w:val="clear" w:color="auto" w:fill="auto"/>
        </w:rPr>
        <w:t>（三）重大技术变化应对措施</w:t>
      </w:r>
      <w:bookmarkEnd w:id="11"/>
      <w:r>
        <w:rPr>
          <w:rFonts w:hint="eastAsia" w:ascii="仿宋" w:hAnsi="仿宋" w:eastAsia="仿宋" w:cs="仿宋"/>
          <w:sz w:val="24"/>
          <w:u w:val="none"/>
          <w:shd w:val="clear" w:color="auto" w:fill="auto"/>
        </w:rPr>
        <w:t xml:space="preserve">：如遇到重大技术变化，根据变化情况进行适当调整。 </w:t>
      </w:r>
    </w:p>
    <w:p>
      <w:pPr>
        <w:spacing w:line="380" w:lineRule="exact"/>
        <w:jc w:val="left"/>
        <w:outlineLvl w:val="1"/>
        <w:rPr>
          <w:rFonts w:hint="eastAsia" w:ascii="仿宋" w:hAnsi="仿宋" w:eastAsia="仿宋" w:cs="仿宋"/>
          <w:sz w:val="24"/>
          <w:u w:val="none"/>
          <w:shd w:val="clear" w:color="auto" w:fill="auto"/>
        </w:rPr>
      </w:pPr>
      <w:bookmarkStart w:id="12" w:name="_Toc1490"/>
      <w:r>
        <w:rPr>
          <w:rFonts w:hint="eastAsia" w:ascii="仿宋" w:hAnsi="仿宋" w:eastAsia="仿宋" w:cs="仿宋"/>
          <w:sz w:val="24"/>
          <w:u w:val="none"/>
          <w:shd w:val="clear" w:color="auto" w:fill="auto"/>
        </w:rPr>
        <w:t>（四）预算项目调整应对措施</w:t>
      </w:r>
      <w:bookmarkEnd w:id="12"/>
      <w:r>
        <w:rPr>
          <w:rFonts w:hint="eastAsia" w:ascii="仿宋" w:hAnsi="仿宋" w:eastAsia="仿宋" w:cs="仿宋"/>
          <w:sz w:val="24"/>
          <w:u w:val="none"/>
          <w:shd w:val="clear" w:color="auto" w:fill="auto"/>
        </w:rPr>
        <w:t xml:space="preserve">：根据调整后的项目预算更新采购需求。 </w:t>
      </w:r>
    </w:p>
    <w:p>
      <w:pPr>
        <w:spacing w:line="380" w:lineRule="exact"/>
        <w:jc w:val="left"/>
        <w:outlineLvl w:val="1"/>
        <w:rPr>
          <w:rFonts w:hint="eastAsia" w:ascii="仿宋" w:hAnsi="仿宋" w:eastAsia="仿宋" w:cs="仿宋"/>
          <w:sz w:val="24"/>
          <w:u w:val="none"/>
          <w:shd w:val="clear" w:color="auto" w:fill="auto"/>
        </w:rPr>
      </w:pPr>
      <w:bookmarkStart w:id="13" w:name="_Toc1573"/>
      <w:r>
        <w:rPr>
          <w:rFonts w:hint="eastAsia" w:ascii="仿宋" w:hAnsi="仿宋" w:eastAsia="仿宋" w:cs="仿宋"/>
          <w:sz w:val="24"/>
          <w:u w:val="none"/>
          <w:shd w:val="clear" w:color="auto" w:fill="auto"/>
        </w:rPr>
        <w:t>（五）因质疑投诉影响采购进度应对措施</w:t>
      </w:r>
      <w:bookmarkEnd w:id="13"/>
      <w:r>
        <w:rPr>
          <w:rFonts w:hint="eastAsia" w:ascii="仿宋" w:hAnsi="仿宋" w:eastAsia="仿宋" w:cs="仿宋"/>
          <w:sz w:val="24"/>
          <w:u w:val="none"/>
          <w:shd w:val="clear" w:color="auto" w:fill="auto"/>
        </w:rPr>
        <w:t xml:space="preserve">：如必要，采用其他采购方式进行采购。 </w:t>
      </w:r>
    </w:p>
    <w:p>
      <w:pPr>
        <w:spacing w:line="380" w:lineRule="exact"/>
        <w:jc w:val="left"/>
        <w:outlineLvl w:val="1"/>
        <w:rPr>
          <w:rFonts w:hint="eastAsia" w:ascii="仿宋" w:hAnsi="仿宋" w:eastAsia="仿宋" w:cs="仿宋"/>
          <w:sz w:val="24"/>
          <w:u w:val="none"/>
          <w:shd w:val="clear" w:color="auto" w:fill="auto"/>
        </w:rPr>
      </w:pPr>
      <w:bookmarkStart w:id="14" w:name="_Toc23686"/>
      <w:r>
        <w:rPr>
          <w:rFonts w:hint="eastAsia" w:ascii="仿宋" w:hAnsi="仿宋" w:eastAsia="仿宋" w:cs="仿宋"/>
          <w:sz w:val="24"/>
          <w:u w:val="none"/>
          <w:shd w:val="clear" w:color="auto" w:fill="auto"/>
        </w:rPr>
        <w:t>（六）采购失败应对措施</w:t>
      </w:r>
      <w:bookmarkEnd w:id="14"/>
      <w:r>
        <w:rPr>
          <w:rFonts w:hint="eastAsia" w:ascii="仿宋" w:hAnsi="仿宋" w:eastAsia="仿宋" w:cs="仿宋"/>
          <w:sz w:val="24"/>
          <w:u w:val="none"/>
          <w:shd w:val="clear" w:color="auto" w:fill="auto"/>
        </w:rPr>
        <w:t>：调查取证和重新组织专家复审、认证，重新启动采购程序。</w:t>
      </w:r>
    </w:p>
    <w:p>
      <w:pPr>
        <w:spacing w:line="380" w:lineRule="exact"/>
        <w:jc w:val="left"/>
        <w:outlineLvl w:val="1"/>
        <w:rPr>
          <w:rFonts w:hint="eastAsia" w:ascii="仿宋" w:hAnsi="仿宋" w:eastAsia="仿宋" w:cs="仿宋"/>
          <w:sz w:val="24"/>
          <w:u w:val="none"/>
          <w:shd w:val="clear" w:color="auto" w:fill="auto"/>
        </w:rPr>
      </w:pPr>
      <w:bookmarkStart w:id="15" w:name="_Toc25221"/>
      <w:r>
        <w:rPr>
          <w:rFonts w:hint="eastAsia" w:ascii="仿宋" w:hAnsi="仿宋" w:eastAsia="仿宋" w:cs="仿宋"/>
          <w:sz w:val="24"/>
          <w:u w:val="none"/>
          <w:shd w:val="clear" w:color="auto" w:fill="auto"/>
        </w:rPr>
        <w:t>（七）不按规定签订或者履行合同应对措施</w:t>
      </w:r>
      <w:bookmarkEnd w:id="15"/>
      <w:r>
        <w:rPr>
          <w:rFonts w:hint="eastAsia" w:ascii="仿宋" w:hAnsi="仿宋" w:eastAsia="仿宋" w:cs="仿宋"/>
          <w:sz w:val="24"/>
          <w:u w:val="none"/>
          <w:shd w:val="clear" w:color="auto" w:fill="auto"/>
        </w:rPr>
        <w:t>：要求承担继续履行、采取补救措施或者赔偿损失等违约责任 。</w:t>
      </w:r>
    </w:p>
    <w:p>
      <w:pPr>
        <w:spacing w:line="380" w:lineRule="exact"/>
        <w:jc w:val="left"/>
        <w:outlineLvl w:val="1"/>
        <w:rPr>
          <w:rFonts w:hint="eastAsia" w:ascii="仿宋" w:hAnsi="仿宋" w:eastAsia="仿宋" w:cs="仿宋"/>
          <w:sz w:val="24"/>
          <w:u w:val="none"/>
          <w:shd w:val="clear" w:color="auto" w:fill="auto"/>
        </w:rPr>
      </w:pPr>
      <w:bookmarkStart w:id="16" w:name="_Toc18321"/>
      <w:r>
        <w:rPr>
          <w:rFonts w:hint="eastAsia" w:ascii="仿宋" w:hAnsi="仿宋" w:eastAsia="仿宋" w:cs="仿宋"/>
          <w:sz w:val="24"/>
          <w:u w:val="none"/>
          <w:shd w:val="clear" w:color="auto" w:fill="auto"/>
        </w:rPr>
        <w:t>（八）出现损害国家利益和社会公共利益情形应对措施</w:t>
      </w:r>
      <w:bookmarkEnd w:id="16"/>
      <w:r>
        <w:rPr>
          <w:rFonts w:hint="eastAsia" w:ascii="仿宋" w:hAnsi="仿宋" w:eastAsia="仿宋" w:cs="仿宋"/>
          <w:sz w:val="24"/>
          <w:u w:val="none"/>
          <w:shd w:val="clear" w:color="auto" w:fill="auto"/>
        </w:rPr>
        <w:t xml:space="preserve">：变更、解除合同。 </w:t>
      </w:r>
    </w:p>
    <w:p>
      <w:pPr>
        <w:spacing w:line="380" w:lineRule="exact"/>
        <w:jc w:val="left"/>
        <w:outlineLvl w:val="1"/>
        <w:rPr>
          <w:rFonts w:hint="eastAsia" w:ascii="仿宋" w:hAnsi="仿宋" w:eastAsia="仿宋" w:cs="仿宋"/>
          <w:sz w:val="24"/>
          <w:u w:val="none"/>
          <w:shd w:val="clear" w:color="auto" w:fill="auto"/>
        </w:rPr>
      </w:pPr>
      <w:bookmarkStart w:id="17" w:name="_Toc15359"/>
      <w:r>
        <w:rPr>
          <w:rFonts w:hint="eastAsia" w:ascii="仿宋" w:hAnsi="仿宋" w:eastAsia="仿宋" w:cs="仿宋"/>
          <w:sz w:val="24"/>
          <w:u w:val="none"/>
          <w:shd w:val="clear" w:color="auto" w:fill="auto"/>
        </w:rPr>
        <w:t>（九）其他采购和合同履行过程的风险及应对措施</w:t>
      </w:r>
      <w:bookmarkEnd w:id="17"/>
      <w:r>
        <w:rPr>
          <w:rFonts w:hint="eastAsia" w:ascii="仿宋" w:hAnsi="仿宋" w:eastAsia="仿宋" w:cs="仿宋"/>
          <w:sz w:val="24"/>
          <w:u w:val="none"/>
          <w:shd w:val="clear" w:color="auto" w:fill="auto"/>
        </w:rPr>
        <w:t>：无</w:t>
      </w:r>
    </w:p>
    <w:p>
      <w:pPr>
        <w:spacing w:line="360" w:lineRule="auto"/>
        <w:jc w:val="both"/>
        <w:rPr>
          <w:rFonts w:hint="eastAsia" w:ascii="仿宋" w:hAnsi="仿宋" w:eastAsia="仿宋" w:cs="仿宋"/>
          <w:sz w:val="24"/>
          <w:u w:val="none"/>
          <w:shd w:val="clear" w:color="auto" w:fill="auto"/>
        </w:rPr>
      </w:pPr>
    </w:p>
    <w:sectPr>
      <w:footerReference r:id="rId3" w:type="default"/>
      <w:footerReference r:id="rId4" w:type="even"/>
      <w:pgSz w:w="11906" w:h="16838"/>
      <w:pgMar w:top="1474" w:right="1021" w:bottom="1474" w:left="1021"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altName w:val="汉仪书宋二KW"/>
    <w:panose1 w:val="02010600030101010101"/>
    <w:charset w:val="50"/>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FangSong_GB2312">
    <w:altName w:val="汉仪仿宋KW"/>
    <w:panose1 w:val="02010609060101010101"/>
    <w:charset w:val="86"/>
    <w:family w:val="modern"/>
    <w:pitch w:val="default"/>
    <w:sig w:usb0="00000000" w:usb1="00000000" w:usb2="00000016" w:usb3="00000000" w:csb0="00040001" w:csb1="00000000"/>
  </w:font>
  <w:font w:name="仿宋">
    <w:altName w:val="汉仪仿宋KW"/>
    <w:panose1 w:val="02010609060101010101"/>
    <w:charset w:val="86"/>
    <w:family w:val="auto"/>
    <w:pitch w:val="default"/>
    <w:sig w:usb0="00000000" w:usb1="00000000" w:usb2="00000016" w:usb3="00000000" w:csb0="00040001" w:csb1="00000000"/>
  </w:font>
  <w:font w:name="Cambria">
    <w:altName w:val="Georgia"/>
    <w:panose1 w:val="02040503050406030204"/>
    <w:charset w:val="00"/>
    <w:family w:val="roman"/>
    <w:pitch w:val="default"/>
    <w:sig w:usb0="00000000" w:usb1="00000000" w:usb2="02000000" w:usb3="00000000" w:csb0="2000019F" w:csb1="00000000"/>
  </w:font>
  <w:font w:name="楷体_GB2312">
    <w:altName w:val="汉仪楷体KW"/>
    <w:panose1 w:val="02010609030101010101"/>
    <w:charset w:val="86"/>
    <w:family w:val="modern"/>
    <w:pitch w:val="default"/>
    <w:sig w:usb0="00000000" w:usb1="00000000" w:usb2="00000010" w:usb3="00000000" w:csb0="00040000" w:csb1="00000000"/>
  </w:font>
  <w:font w:name="Lucida Sans">
    <w:altName w:val="DejaVu Sans"/>
    <w:panose1 w:val="020B0602030504020204"/>
    <w:charset w:val="00"/>
    <w:family w:val="swiss"/>
    <w:pitch w:val="default"/>
    <w:sig w:usb0="00000000" w:usb1="00000000" w:usb2="00000000" w:usb3="00000000" w:csb0="20000001" w:csb1="00000000"/>
  </w:font>
  <w:font w:name="仿宋_GB2312">
    <w:altName w:val="汉仪仿宋KW"/>
    <w:panose1 w:val="02010609030101010101"/>
    <w:charset w:val="86"/>
    <w:family w:val="auto"/>
    <w:pitch w:val="default"/>
    <w:sig w:usb0="00000000" w:usb1="00000000" w:usb2="00000000" w:usb3="00000000" w:csb0="00040000" w:csb1="00000000"/>
  </w:font>
  <w:font w:name="等线">
    <w:altName w:val="汉仪中等线KW"/>
    <w:panose1 w:val="02010600030101010101"/>
    <w:charset w:val="86"/>
    <w:family w:val="auto"/>
    <w:pitch w:val="default"/>
    <w:sig w:usb0="00000000" w:usb1="00000000" w:usb2="00000016" w:usb3="00000000" w:csb0="0004000F" w:csb1="00000000"/>
  </w:font>
  <w:font w:name="汉仪仿宋KW">
    <w:panose1 w:val="00020600040101010101"/>
    <w:charset w:val="86"/>
    <w:family w:val="auto"/>
    <w:pitch w:val="default"/>
    <w:sig w:usb0="A00002BF" w:usb1="18EF7CFA" w:usb2="00000016" w:usb3="00000000" w:csb0="00040000" w:csb1="00000000"/>
  </w:font>
  <w:font w:name="Georgia">
    <w:panose1 w:val="02040502050405020303"/>
    <w:charset w:val="00"/>
    <w:family w:val="auto"/>
    <w:pitch w:val="default"/>
    <w:sig w:usb0="00000287" w:usb1="00000000" w:usb2="00000000" w:usb3="00000000" w:csb0="2000009F" w:csb1="00000000"/>
  </w:font>
  <w:font w:name="汉仪楷体KW">
    <w:panose1 w:val="00020600040101010101"/>
    <w:charset w:val="86"/>
    <w:family w:val="auto"/>
    <w:pitch w:val="default"/>
    <w:sig w:usb0="A00002BF" w:usb1="18EF7CFA" w:usb2="00000016" w:usb3="00000000" w:csb0="00040000" w:csb1="00000000"/>
  </w:font>
  <w:font w:name="DejaVu Sans">
    <w:panose1 w:val="020B0603030804020204"/>
    <w:charset w:val="00"/>
    <w:family w:val="auto"/>
    <w:pitch w:val="default"/>
    <w:sig w:usb0="E7006EFF" w:usb1="D200FDFF" w:usb2="0A246029" w:usb3="0400200C" w:csb0="600001FF" w:csb1="DFFF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6</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decimal"/>
      <w:suff w:val="nothing"/>
      <w:lvlText w:val="%1."/>
      <w:lvlJc w:val="left"/>
      <w:pPr>
        <w:ind w:left="425" w:hanging="425"/>
      </w:pPr>
      <w:rPr>
        <w:rFonts w:hint="default"/>
      </w:rPr>
    </w:lvl>
  </w:abstractNum>
  <w:abstractNum w:abstractNumId="1">
    <w:nsid w:val="00000003"/>
    <w:multiLevelType w:val="singleLevel"/>
    <w:tmpl w:val="00000003"/>
    <w:lvl w:ilvl="0" w:tentative="0">
      <w:start w:val="1"/>
      <w:numFmt w:val="decimal"/>
      <w:lvlText w:val="%1."/>
      <w:lvlJc w:val="left"/>
      <w:pPr>
        <w:tabs>
          <w:tab w:val="left" w:pos="312"/>
        </w:tabs>
      </w:pPr>
    </w:lvl>
  </w:abstractNum>
  <w:abstractNum w:abstractNumId="2">
    <w:nsid w:val="00000004"/>
    <w:multiLevelType w:val="singleLevel"/>
    <w:tmpl w:val="00000004"/>
    <w:lvl w:ilvl="0" w:tentative="0">
      <w:start w:val="1"/>
      <w:numFmt w:val="decimal"/>
      <w:suff w:val="nothing"/>
      <w:lvlText w:val="%1."/>
      <w:lvlJc w:val="left"/>
      <w:pPr>
        <w:ind w:left="425" w:hanging="425"/>
      </w:pPr>
      <w:rPr>
        <w:rFonts w:hint="default"/>
      </w:rPr>
    </w:lvl>
  </w:abstractNum>
  <w:abstractNum w:abstractNumId="3">
    <w:nsid w:val="0053208E"/>
    <w:multiLevelType w:val="singleLevel"/>
    <w:tmpl w:val="0053208E"/>
    <w:lvl w:ilvl="0" w:tentative="0">
      <w:start w:val="1"/>
      <w:numFmt w:val="decimal"/>
      <w:suff w:val="nothing"/>
      <w:lvlText w:val="%1."/>
      <w:lvlJc w:val="left"/>
      <w:pPr>
        <w:ind w:left="425" w:hanging="425"/>
      </w:pPr>
      <w:rPr>
        <w:rFonts w:hint="default"/>
      </w:rPr>
    </w:lvl>
  </w:abstractNum>
  <w:abstractNum w:abstractNumId="4">
    <w:nsid w:val="2D663E0C"/>
    <w:multiLevelType w:val="singleLevel"/>
    <w:tmpl w:val="2D663E0C"/>
    <w:lvl w:ilvl="0" w:tentative="0">
      <w:start w:val="4"/>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ZDAxZDRiNDFlNzhiNTMzYmMyZGQ5OGUxZGUwZWIifQ=="/>
  </w:docVars>
  <w:rsids>
    <w:rsidRoot w:val="006F0877"/>
    <w:rsid w:val="00021224"/>
    <w:rsid w:val="00023563"/>
    <w:rsid w:val="000311FD"/>
    <w:rsid w:val="00057361"/>
    <w:rsid w:val="00064381"/>
    <w:rsid w:val="00073752"/>
    <w:rsid w:val="000918DD"/>
    <w:rsid w:val="00092F4E"/>
    <w:rsid w:val="000B031B"/>
    <w:rsid w:val="000C0F74"/>
    <w:rsid w:val="000C3D7C"/>
    <w:rsid w:val="000C6507"/>
    <w:rsid w:val="000D0C5A"/>
    <w:rsid w:val="000F58B1"/>
    <w:rsid w:val="001002B5"/>
    <w:rsid w:val="001300DC"/>
    <w:rsid w:val="001444DD"/>
    <w:rsid w:val="001540ED"/>
    <w:rsid w:val="00154DF5"/>
    <w:rsid w:val="00165E0F"/>
    <w:rsid w:val="00171DEE"/>
    <w:rsid w:val="001737EA"/>
    <w:rsid w:val="00175816"/>
    <w:rsid w:val="0017709A"/>
    <w:rsid w:val="0018642F"/>
    <w:rsid w:val="00186E20"/>
    <w:rsid w:val="00192DB8"/>
    <w:rsid w:val="001965E5"/>
    <w:rsid w:val="00196A3F"/>
    <w:rsid w:val="001A0D54"/>
    <w:rsid w:val="001A4CEB"/>
    <w:rsid w:val="001A6F93"/>
    <w:rsid w:val="001B401F"/>
    <w:rsid w:val="001C5914"/>
    <w:rsid w:val="001D2C73"/>
    <w:rsid w:val="001D73CE"/>
    <w:rsid w:val="001E2EB2"/>
    <w:rsid w:val="001E59BD"/>
    <w:rsid w:val="001F0BAE"/>
    <w:rsid w:val="0021449A"/>
    <w:rsid w:val="0024056D"/>
    <w:rsid w:val="0025079B"/>
    <w:rsid w:val="00251D5B"/>
    <w:rsid w:val="00265E4D"/>
    <w:rsid w:val="0026741D"/>
    <w:rsid w:val="002678A2"/>
    <w:rsid w:val="00280777"/>
    <w:rsid w:val="00286A83"/>
    <w:rsid w:val="00286AAF"/>
    <w:rsid w:val="00295E38"/>
    <w:rsid w:val="002964A8"/>
    <w:rsid w:val="002C4305"/>
    <w:rsid w:val="002E3751"/>
    <w:rsid w:val="00321278"/>
    <w:rsid w:val="00322903"/>
    <w:rsid w:val="00331CDE"/>
    <w:rsid w:val="00340773"/>
    <w:rsid w:val="003507DB"/>
    <w:rsid w:val="00383D66"/>
    <w:rsid w:val="0039420F"/>
    <w:rsid w:val="003A0DDF"/>
    <w:rsid w:val="003C77ED"/>
    <w:rsid w:val="003D0FAE"/>
    <w:rsid w:val="003F603E"/>
    <w:rsid w:val="003F6DB7"/>
    <w:rsid w:val="00402F07"/>
    <w:rsid w:val="0040525A"/>
    <w:rsid w:val="00405CAF"/>
    <w:rsid w:val="004066EE"/>
    <w:rsid w:val="004141FE"/>
    <w:rsid w:val="00427428"/>
    <w:rsid w:val="00433722"/>
    <w:rsid w:val="00455A44"/>
    <w:rsid w:val="0046019E"/>
    <w:rsid w:val="00461256"/>
    <w:rsid w:val="00473949"/>
    <w:rsid w:val="004956AF"/>
    <w:rsid w:val="004978DB"/>
    <w:rsid w:val="004A0291"/>
    <w:rsid w:val="004B0115"/>
    <w:rsid w:val="004D4146"/>
    <w:rsid w:val="004D4E89"/>
    <w:rsid w:val="004E1E58"/>
    <w:rsid w:val="004F655B"/>
    <w:rsid w:val="00500DBC"/>
    <w:rsid w:val="00504F13"/>
    <w:rsid w:val="0050595D"/>
    <w:rsid w:val="00506D54"/>
    <w:rsid w:val="00530C6F"/>
    <w:rsid w:val="00537974"/>
    <w:rsid w:val="005408BD"/>
    <w:rsid w:val="00552A9C"/>
    <w:rsid w:val="005545EC"/>
    <w:rsid w:val="00561A6F"/>
    <w:rsid w:val="00596B1E"/>
    <w:rsid w:val="005B1E45"/>
    <w:rsid w:val="005C009E"/>
    <w:rsid w:val="005C0A71"/>
    <w:rsid w:val="005C0CCF"/>
    <w:rsid w:val="005F622B"/>
    <w:rsid w:val="005F65BD"/>
    <w:rsid w:val="00601EDD"/>
    <w:rsid w:val="00607AAD"/>
    <w:rsid w:val="006100E1"/>
    <w:rsid w:val="00626E7E"/>
    <w:rsid w:val="00653D4D"/>
    <w:rsid w:val="006678D9"/>
    <w:rsid w:val="00674484"/>
    <w:rsid w:val="00680752"/>
    <w:rsid w:val="0068268F"/>
    <w:rsid w:val="00687581"/>
    <w:rsid w:val="00692769"/>
    <w:rsid w:val="006A72B1"/>
    <w:rsid w:val="006C6381"/>
    <w:rsid w:val="006D049B"/>
    <w:rsid w:val="006D7DD7"/>
    <w:rsid w:val="006E6DC5"/>
    <w:rsid w:val="006F0877"/>
    <w:rsid w:val="00721F76"/>
    <w:rsid w:val="00725D7C"/>
    <w:rsid w:val="00730F60"/>
    <w:rsid w:val="00765A2F"/>
    <w:rsid w:val="00773C97"/>
    <w:rsid w:val="007B2CBB"/>
    <w:rsid w:val="007D4985"/>
    <w:rsid w:val="007F38B3"/>
    <w:rsid w:val="007F58C3"/>
    <w:rsid w:val="008020B2"/>
    <w:rsid w:val="0080466B"/>
    <w:rsid w:val="00812139"/>
    <w:rsid w:val="00814F5F"/>
    <w:rsid w:val="00823618"/>
    <w:rsid w:val="00840D73"/>
    <w:rsid w:val="008648F3"/>
    <w:rsid w:val="0087065E"/>
    <w:rsid w:val="00880915"/>
    <w:rsid w:val="00891EF2"/>
    <w:rsid w:val="0089598D"/>
    <w:rsid w:val="00896E24"/>
    <w:rsid w:val="008C58C5"/>
    <w:rsid w:val="008D4243"/>
    <w:rsid w:val="008E73BC"/>
    <w:rsid w:val="008F199C"/>
    <w:rsid w:val="008F4E3B"/>
    <w:rsid w:val="0090340B"/>
    <w:rsid w:val="00917BE6"/>
    <w:rsid w:val="0092280E"/>
    <w:rsid w:val="00924EB1"/>
    <w:rsid w:val="0092766B"/>
    <w:rsid w:val="00927AE6"/>
    <w:rsid w:val="00932CFC"/>
    <w:rsid w:val="00943163"/>
    <w:rsid w:val="00945456"/>
    <w:rsid w:val="00962109"/>
    <w:rsid w:val="00970BA3"/>
    <w:rsid w:val="00975ECD"/>
    <w:rsid w:val="00987C9E"/>
    <w:rsid w:val="00994A11"/>
    <w:rsid w:val="009A09E5"/>
    <w:rsid w:val="009A172D"/>
    <w:rsid w:val="009B1B0C"/>
    <w:rsid w:val="009C7390"/>
    <w:rsid w:val="009D0BEE"/>
    <w:rsid w:val="00A02CC7"/>
    <w:rsid w:val="00A0645D"/>
    <w:rsid w:val="00A21567"/>
    <w:rsid w:val="00A279BF"/>
    <w:rsid w:val="00A55C7D"/>
    <w:rsid w:val="00A63E98"/>
    <w:rsid w:val="00A71836"/>
    <w:rsid w:val="00A7297B"/>
    <w:rsid w:val="00A8253E"/>
    <w:rsid w:val="00A855A9"/>
    <w:rsid w:val="00A91983"/>
    <w:rsid w:val="00AA13CF"/>
    <w:rsid w:val="00AA50E3"/>
    <w:rsid w:val="00AD55D5"/>
    <w:rsid w:val="00AE7539"/>
    <w:rsid w:val="00AF280F"/>
    <w:rsid w:val="00AF3EC7"/>
    <w:rsid w:val="00AF6CC0"/>
    <w:rsid w:val="00AF71DD"/>
    <w:rsid w:val="00B20E34"/>
    <w:rsid w:val="00B517EC"/>
    <w:rsid w:val="00B532F2"/>
    <w:rsid w:val="00B736F8"/>
    <w:rsid w:val="00B779AD"/>
    <w:rsid w:val="00BB4B73"/>
    <w:rsid w:val="00BC14DA"/>
    <w:rsid w:val="00BE63D2"/>
    <w:rsid w:val="00C0392D"/>
    <w:rsid w:val="00C3480C"/>
    <w:rsid w:val="00C43ED0"/>
    <w:rsid w:val="00C5094F"/>
    <w:rsid w:val="00C55461"/>
    <w:rsid w:val="00C728F5"/>
    <w:rsid w:val="00C97E24"/>
    <w:rsid w:val="00CB2D28"/>
    <w:rsid w:val="00CB6081"/>
    <w:rsid w:val="00CB7952"/>
    <w:rsid w:val="00CC274B"/>
    <w:rsid w:val="00CD2D8D"/>
    <w:rsid w:val="00CF4EA2"/>
    <w:rsid w:val="00D15600"/>
    <w:rsid w:val="00D3294B"/>
    <w:rsid w:val="00D35879"/>
    <w:rsid w:val="00D373A6"/>
    <w:rsid w:val="00D41BDD"/>
    <w:rsid w:val="00D55150"/>
    <w:rsid w:val="00D6434D"/>
    <w:rsid w:val="00D84530"/>
    <w:rsid w:val="00DC08EA"/>
    <w:rsid w:val="00DC40DF"/>
    <w:rsid w:val="00DD464D"/>
    <w:rsid w:val="00DD4C65"/>
    <w:rsid w:val="00DD7DD1"/>
    <w:rsid w:val="00DD7EA2"/>
    <w:rsid w:val="00DF4B7B"/>
    <w:rsid w:val="00E20034"/>
    <w:rsid w:val="00E35B6F"/>
    <w:rsid w:val="00E36214"/>
    <w:rsid w:val="00E44747"/>
    <w:rsid w:val="00E608EB"/>
    <w:rsid w:val="00E62F47"/>
    <w:rsid w:val="00E717AA"/>
    <w:rsid w:val="00E725FF"/>
    <w:rsid w:val="00E74279"/>
    <w:rsid w:val="00EA02D2"/>
    <w:rsid w:val="00EB34AE"/>
    <w:rsid w:val="00EC2D15"/>
    <w:rsid w:val="00EE281D"/>
    <w:rsid w:val="00F32EBD"/>
    <w:rsid w:val="00F37314"/>
    <w:rsid w:val="00F44140"/>
    <w:rsid w:val="00F53627"/>
    <w:rsid w:val="00F5458A"/>
    <w:rsid w:val="00F560D0"/>
    <w:rsid w:val="00F61373"/>
    <w:rsid w:val="00F75DE4"/>
    <w:rsid w:val="00F80F1F"/>
    <w:rsid w:val="00F97CF8"/>
    <w:rsid w:val="00FA2D23"/>
    <w:rsid w:val="00FA681C"/>
    <w:rsid w:val="00FA7052"/>
    <w:rsid w:val="00FC3796"/>
    <w:rsid w:val="00FC4248"/>
    <w:rsid w:val="00FE2C0D"/>
    <w:rsid w:val="00FE46D0"/>
    <w:rsid w:val="00FF6893"/>
    <w:rsid w:val="04152D65"/>
    <w:rsid w:val="078E1545"/>
    <w:rsid w:val="0ACB174A"/>
    <w:rsid w:val="0B3D1CA7"/>
    <w:rsid w:val="0DB25F8E"/>
    <w:rsid w:val="0E8A0CB9"/>
    <w:rsid w:val="0FBC7598"/>
    <w:rsid w:val="0FDF6DE2"/>
    <w:rsid w:val="0FFAA126"/>
    <w:rsid w:val="10A822F1"/>
    <w:rsid w:val="118D4E3D"/>
    <w:rsid w:val="1425053C"/>
    <w:rsid w:val="15854271"/>
    <w:rsid w:val="16605320"/>
    <w:rsid w:val="1A2825FA"/>
    <w:rsid w:val="1BC929EE"/>
    <w:rsid w:val="1C7B60E4"/>
    <w:rsid w:val="1CE41EDC"/>
    <w:rsid w:val="1FBF5987"/>
    <w:rsid w:val="20790017"/>
    <w:rsid w:val="22F17100"/>
    <w:rsid w:val="2398757C"/>
    <w:rsid w:val="23C07C74"/>
    <w:rsid w:val="27897DAC"/>
    <w:rsid w:val="2A7D31A4"/>
    <w:rsid w:val="2BAC62BA"/>
    <w:rsid w:val="2CFDEC3D"/>
    <w:rsid w:val="2F40115F"/>
    <w:rsid w:val="2FF78ACD"/>
    <w:rsid w:val="314B1576"/>
    <w:rsid w:val="3192385D"/>
    <w:rsid w:val="32036760"/>
    <w:rsid w:val="32277FA7"/>
    <w:rsid w:val="33FE167D"/>
    <w:rsid w:val="395D7169"/>
    <w:rsid w:val="3FFFE3D5"/>
    <w:rsid w:val="42DD4EB7"/>
    <w:rsid w:val="45F74324"/>
    <w:rsid w:val="460C5619"/>
    <w:rsid w:val="4A5D63EA"/>
    <w:rsid w:val="4D091A84"/>
    <w:rsid w:val="4ED3001A"/>
    <w:rsid w:val="4F391364"/>
    <w:rsid w:val="4FB77C3C"/>
    <w:rsid w:val="529B35D7"/>
    <w:rsid w:val="53B3698A"/>
    <w:rsid w:val="54F86A48"/>
    <w:rsid w:val="57711FE2"/>
    <w:rsid w:val="5BBF1A8D"/>
    <w:rsid w:val="5D9F79E0"/>
    <w:rsid w:val="5DBFE6CB"/>
    <w:rsid w:val="5E5C655C"/>
    <w:rsid w:val="5EFB6B15"/>
    <w:rsid w:val="5F5DEEF0"/>
    <w:rsid w:val="5F7B0613"/>
    <w:rsid w:val="63590027"/>
    <w:rsid w:val="64753ABE"/>
    <w:rsid w:val="665D0E73"/>
    <w:rsid w:val="67F5AD5B"/>
    <w:rsid w:val="6AFA59F3"/>
    <w:rsid w:val="6BC749A9"/>
    <w:rsid w:val="6BFFC72E"/>
    <w:rsid w:val="6C7FD9C9"/>
    <w:rsid w:val="6DEC3D19"/>
    <w:rsid w:val="6FC9F4BB"/>
    <w:rsid w:val="6FEF5868"/>
    <w:rsid w:val="71641E18"/>
    <w:rsid w:val="738D3104"/>
    <w:rsid w:val="748922FB"/>
    <w:rsid w:val="74BFF378"/>
    <w:rsid w:val="750B7047"/>
    <w:rsid w:val="75FB23CF"/>
    <w:rsid w:val="7747C58A"/>
    <w:rsid w:val="7775E090"/>
    <w:rsid w:val="77FDC161"/>
    <w:rsid w:val="788A7D09"/>
    <w:rsid w:val="78AA04B1"/>
    <w:rsid w:val="79427A90"/>
    <w:rsid w:val="79F006D6"/>
    <w:rsid w:val="7A7F1594"/>
    <w:rsid w:val="7BEA5002"/>
    <w:rsid w:val="7BF55B1A"/>
    <w:rsid w:val="7CF3DF71"/>
    <w:rsid w:val="7CF76844"/>
    <w:rsid w:val="7D500D30"/>
    <w:rsid w:val="7D5E0878"/>
    <w:rsid w:val="7DBBA619"/>
    <w:rsid w:val="7DFF8764"/>
    <w:rsid w:val="7E774BE7"/>
    <w:rsid w:val="7EFD2AA6"/>
    <w:rsid w:val="7FFF23F9"/>
    <w:rsid w:val="8DAF712B"/>
    <w:rsid w:val="8DFD7E3C"/>
    <w:rsid w:val="8FF68B1A"/>
    <w:rsid w:val="9BE7792B"/>
    <w:rsid w:val="9EDCEB3E"/>
    <w:rsid w:val="ABFD0AD8"/>
    <w:rsid w:val="AF230823"/>
    <w:rsid w:val="AFF76641"/>
    <w:rsid w:val="BF5FE6FA"/>
    <w:rsid w:val="BF7FCB72"/>
    <w:rsid w:val="BFCBECE1"/>
    <w:rsid w:val="BFDF593B"/>
    <w:rsid w:val="C7FF0A76"/>
    <w:rsid w:val="CFDD797F"/>
    <w:rsid w:val="D78F1D07"/>
    <w:rsid w:val="D7ADD1FB"/>
    <w:rsid w:val="D7F1A469"/>
    <w:rsid w:val="DEDF7BEB"/>
    <w:rsid w:val="DF4F7E4B"/>
    <w:rsid w:val="DFDE6D44"/>
    <w:rsid w:val="E3FF6071"/>
    <w:rsid w:val="E6D70A22"/>
    <w:rsid w:val="E6E64C1F"/>
    <w:rsid w:val="E7B92E4B"/>
    <w:rsid w:val="EA66F35A"/>
    <w:rsid w:val="EEFBD0D8"/>
    <w:rsid w:val="EF8E1714"/>
    <w:rsid w:val="EFAB0267"/>
    <w:rsid w:val="EFBFA9A5"/>
    <w:rsid w:val="F5DF5092"/>
    <w:rsid w:val="F677CB77"/>
    <w:rsid w:val="F7FFC0E2"/>
    <w:rsid w:val="FAF78EC6"/>
    <w:rsid w:val="FB6E436B"/>
    <w:rsid w:val="FBEE60A5"/>
    <w:rsid w:val="FD5FE2C3"/>
    <w:rsid w:val="FD7FE3EB"/>
    <w:rsid w:val="FDE732DF"/>
    <w:rsid w:val="FDFD932C"/>
    <w:rsid w:val="FE9F133B"/>
    <w:rsid w:val="FEEE081C"/>
    <w:rsid w:val="FEFDFE82"/>
    <w:rsid w:val="FF6F38E2"/>
    <w:rsid w:val="FF8D0D1C"/>
    <w:rsid w:val="FFA31837"/>
    <w:rsid w:val="FFA7FD1E"/>
    <w:rsid w:val="FFAA6C34"/>
    <w:rsid w:val="FFAC12CF"/>
    <w:rsid w:val="FFBF1ABA"/>
    <w:rsid w:val="FFCF78C5"/>
    <w:rsid w:val="FFDB1096"/>
    <w:rsid w:val="FFEFB19B"/>
    <w:rsid w:val="FFEFF2D9"/>
    <w:rsid w:val="FFF2D8D2"/>
    <w:rsid w:val="FFFB57C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qFormat="1" w:unhideWhenUsed="0" w:uiPriority="99" w:name="toc 3"/>
    <w:lsdException w:uiPriority="39" w:name="toc 4" w:locked="1"/>
    <w:lsdException w:uiPriority="39" w:name="toc 5" w:locked="1"/>
    <w:lsdException w:qFormat="1" w:unhideWhenUsed="0" w:uiPriority="0" w:semiHidden="0" w:name="toc 6" w:locked="1"/>
    <w:lsdException w:uiPriority="39" w:name="toc 7" w:locked="1"/>
    <w:lsdException w:uiPriority="39" w:name="toc 8" w:locked="1"/>
    <w:lsdException w:uiPriority="39" w:name="toc 9" w:locked="1"/>
    <w:lsdException w:qFormat="1" w:unhideWhenUsed="0" w:uiPriority="99"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0" w:semiHidden="0" w:name="Body Text" w:locked="1"/>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link w:val="24"/>
    <w:qFormat/>
    <w:uiPriority w:val="99"/>
    <w:pPr>
      <w:keepNext/>
      <w:keepLines/>
      <w:tabs>
        <w:tab w:val="left" w:pos="432"/>
      </w:tabs>
      <w:spacing w:line="360" w:lineRule="auto"/>
      <w:ind w:left="432" w:hanging="432"/>
      <w:jc w:val="left"/>
      <w:outlineLvl w:val="1"/>
    </w:pPr>
    <w:rPr>
      <w:rFonts w:ascii="FangSong_GB2312" w:hAnsi="仿宋" w:eastAsia="Times New Roman" w:cs="FangSong_GB2312"/>
      <w:b/>
      <w:bCs/>
      <w:sz w:val="32"/>
      <w:szCs w:val="32"/>
      <w:lang w:val="zh-CN"/>
    </w:rPr>
  </w:style>
  <w:style w:type="character" w:default="1" w:styleId="18">
    <w:name w:val="Default Paragraph Font"/>
    <w:semiHidden/>
    <w:qFormat/>
    <w:uiPriority w:val="99"/>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next w:val="3"/>
    <w:link w:val="25"/>
    <w:qFormat/>
    <w:locked/>
    <w:uiPriority w:val="99"/>
    <w:pPr>
      <w:spacing w:line="480" w:lineRule="exact"/>
      <w:ind w:firstLine="480" w:firstLineChars="200"/>
    </w:pPr>
    <w:rPr>
      <w:rFonts w:ascii="宋体" w:hAnsi="宋体" w:cs="宋体"/>
      <w:sz w:val="24"/>
    </w:rPr>
  </w:style>
  <w:style w:type="paragraph" w:customStyle="1" w:styleId="3">
    <w:name w:val="正文文本首行缩进 21"/>
    <w:basedOn w:val="2"/>
    <w:qFormat/>
    <w:uiPriority w:val="0"/>
    <w:pPr>
      <w:spacing w:line="200" w:lineRule="atLeast"/>
      <w:ind w:firstLine="420"/>
    </w:pPr>
    <w:rPr>
      <w:rFonts w:hAnsi="Courier New" w:eastAsia="宋体" w:cs="Times New Roman"/>
      <w:spacing w:val="-4"/>
      <w:sz w:val="18"/>
    </w:rPr>
  </w:style>
  <w:style w:type="paragraph" w:styleId="5">
    <w:name w:val="Normal Indent"/>
    <w:basedOn w:val="1"/>
    <w:qFormat/>
    <w:locked/>
    <w:uiPriority w:val="99"/>
    <w:pPr>
      <w:widowControl/>
      <w:snapToGrid w:val="0"/>
      <w:spacing w:line="480" w:lineRule="exact"/>
      <w:ind w:firstLine="567"/>
    </w:pPr>
    <w:rPr>
      <w:rFonts w:ascii="宋体"/>
      <w:color w:val="000000"/>
      <w:kern w:val="28"/>
      <w:sz w:val="28"/>
      <w:szCs w:val="20"/>
    </w:rPr>
  </w:style>
  <w:style w:type="paragraph" w:styleId="6">
    <w:name w:val="Body Text"/>
    <w:basedOn w:val="1"/>
    <w:next w:val="7"/>
    <w:qFormat/>
    <w:locked/>
    <w:uiPriority w:val="0"/>
    <w:pPr>
      <w:autoSpaceDE w:val="0"/>
      <w:autoSpaceDN w:val="0"/>
      <w:spacing w:line="360" w:lineRule="auto"/>
    </w:pPr>
    <w:rPr>
      <w:rFonts w:ascii="宋体" w:hAnsi="Arial" w:cs="Arial"/>
      <w:snapToGrid w:val="0"/>
      <w:sz w:val="24"/>
      <w:szCs w:val="21"/>
      <w:lang w:val="zh-CN"/>
    </w:rPr>
  </w:style>
  <w:style w:type="paragraph" w:styleId="7">
    <w:name w:val="Body Text First Indent"/>
    <w:basedOn w:val="6"/>
    <w:next w:val="8"/>
    <w:qFormat/>
    <w:locked/>
    <w:uiPriority w:val="0"/>
    <w:pPr>
      <w:ind w:firstLine="420"/>
    </w:pPr>
    <w:rPr>
      <w:rFonts w:hAnsi="Calibri" w:cs="Times New Roman"/>
      <w:snapToGrid/>
      <w:szCs w:val="20"/>
    </w:rPr>
  </w:style>
  <w:style w:type="paragraph" w:styleId="8">
    <w:name w:val="toc 6"/>
    <w:basedOn w:val="1"/>
    <w:next w:val="1"/>
    <w:qFormat/>
    <w:locked/>
    <w:uiPriority w:val="0"/>
    <w:pPr>
      <w:ind w:left="2100" w:leftChars="1000"/>
    </w:pPr>
  </w:style>
  <w:style w:type="paragraph" w:styleId="9">
    <w:name w:val="toc 3"/>
    <w:basedOn w:val="1"/>
    <w:next w:val="1"/>
    <w:semiHidden/>
    <w:qFormat/>
    <w:uiPriority w:val="99"/>
    <w:pPr>
      <w:tabs>
        <w:tab w:val="right" w:leader="dot" w:pos="8268"/>
      </w:tabs>
      <w:spacing w:line="460" w:lineRule="exact"/>
      <w:ind w:left="840" w:leftChars="400" w:firstLine="482"/>
    </w:pPr>
    <w:rPr>
      <w:rFonts w:ascii="宋体" w:hAnsi="宋体" w:cs="宋体"/>
    </w:rPr>
  </w:style>
  <w:style w:type="paragraph" w:styleId="10">
    <w:name w:val="Date"/>
    <w:basedOn w:val="1"/>
    <w:next w:val="1"/>
    <w:link w:val="26"/>
    <w:qFormat/>
    <w:uiPriority w:val="99"/>
    <w:pPr>
      <w:ind w:left="100" w:leftChars="2500"/>
    </w:pPr>
  </w:style>
  <w:style w:type="paragraph" w:styleId="11">
    <w:name w:val="Balloon Text"/>
    <w:basedOn w:val="1"/>
    <w:link w:val="27"/>
    <w:semiHidden/>
    <w:qFormat/>
    <w:uiPriority w:val="99"/>
    <w:rPr>
      <w:sz w:val="18"/>
      <w:szCs w:val="18"/>
    </w:rPr>
  </w:style>
  <w:style w:type="paragraph" w:styleId="12">
    <w:name w:val="footer"/>
    <w:basedOn w:val="1"/>
    <w:link w:val="28"/>
    <w:qFormat/>
    <w:uiPriority w:val="99"/>
    <w:pPr>
      <w:tabs>
        <w:tab w:val="center" w:pos="4153"/>
        <w:tab w:val="right" w:pos="8306"/>
      </w:tabs>
      <w:snapToGrid w:val="0"/>
      <w:jc w:val="left"/>
    </w:pPr>
    <w:rPr>
      <w:sz w:val="18"/>
      <w:szCs w:val="18"/>
    </w:rPr>
  </w:style>
  <w:style w:type="paragraph" w:styleId="13">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semiHidden/>
    <w:qFormat/>
    <w:locked/>
    <w:uiPriority w:val="99"/>
    <w:pPr>
      <w:spacing w:beforeAutospacing="1" w:afterAutospacing="1"/>
      <w:jc w:val="left"/>
    </w:pPr>
    <w:rPr>
      <w:kern w:val="0"/>
      <w:sz w:val="24"/>
    </w:rPr>
  </w:style>
  <w:style w:type="paragraph" w:styleId="15">
    <w:name w:val="Body Text First Indent 2"/>
    <w:basedOn w:val="2"/>
    <w:next w:val="1"/>
    <w:link w:val="30"/>
    <w:qFormat/>
    <w:locked/>
    <w:uiPriority w:val="99"/>
    <w:pPr>
      <w:spacing w:after="120" w:line="240" w:lineRule="auto"/>
      <w:ind w:left="420" w:leftChars="200" w:firstLine="210"/>
    </w:pPr>
    <w:rPr>
      <w:sz w:val="21"/>
      <w:szCs w:val="21"/>
    </w:rPr>
  </w:style>
  <w:style w:type="table" w:styleId="17">
    <w:name w:val="Table Grid"/>
    <w:basedOn w:val="16"/>
    <w:qFormat/>
    <w:uiPriority w:val="99"/>
    <w:rPr>
      <w:rFonts w:ascii="Calibri" w:hAnsi="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9">
    <w:name w:val="page number"/>
    <w:basedOn w:val="18"/>
    <w:qFormat/>
    <w:uiPriority w:val="99"/>
    <w:rPr>
      <w:rFonts w:cs="Times New Roman"/>
    </w:rPr>
  </w:style>
  <w:style w:type="paragraph" w:customStyle="1" w:styleId="20">
    <w:name w:val="正文文本首行缩进 2"/>
    <w:basedOn w:val="21"/>
    <w:qFormat/>
    <w:uiPriority w:val="99"/>
    <w:pPr>
      <w:tabs>
        <w:tab w:val="right" w:leader="dot" w:pos="8268"/>
      </w:tabs>
      <w:spacing w:line="200" w:lineRule="atLeast"/>
      <w:ind w:firstLine="420"/>
    </w:pPr>
    <w:rPr>
      <w:rFonts w:ascii="宋体" w:cs="宋体"/>
      <w:spacing w:val="-4"/>
      <w:sz w:val="18"/>
      <w:szCs w:val="18"/>
    </w:rPr>
  </w:style>
  <w:style w:type="paragraph" w:customStyle="1" w:styleId="21">
    <w:name w:val="正文缩进1"/>
    <w:basedOn w:val="22"/>
    <w:next w:val="20"/>
    <w:qFormat/>
    <w:uiPriority w:val="99"/>
    <w:pPr>
      <w:tabs>
        <w:tab w:val="right" w:leader="dot" w:pos="8268"/>
      </w:tabs>
      <w:autoSpaceDE w:val="0"/>
      <w:autoSpaceDN w:val="0"/>
      <w:snapToGrid w:val="0"/>
      <w:spacing w:after="120" w:line="360" w:lineRule="auto"/>
      <w:ind w:left="420" w:leftChars="200"/>
    </w:pPr>
  </w:style>
  <w:style w:type="paragraph" w:customStyle="1" w:styleId="22">
    <w:name w:val="正文1"/>
    <w:basedOn w:val="9"/>
    <w:next w:val="23"/>
    <w:qFormat/>
    <w:uiPriority w:val="99"/>
    <w:pPr>
      <w:ind w:left="0" w:leftChars="0" w:firstLine="480" w:firstLineChars="200"/>
    </w:pPr>
    <w:rPr>
      <w:rFonts w:ascii="FangSong_GB2312" w:hAnsi="Courier New" w:eastAsia="Times New Roman" w:cs="FangSong_GB2312"/>
      <w:kern w:val="28"/>
      <w:sz w:val="24"/>
    </w:rPr>
  </w:style>
  <w:style w:type="paragraph" w:customStyle="1" w:styleId="23">
    <w:name w:val="标题 21"/>
    <w:basedOn w:val="22"/>
    <w:next w:val="22"/>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character" w:customStyle="1" w:styleId="24">
    <w:name w:val="Heading 2 Char"/>
    <w:basedOn w:val="18"/>
    <w:link w:val="4"/>
    <w:semiHidden/>
    <w:qFormat/>
    <w:locked/>
    <w:uiPriority w:val="99"/>
    <w:rPr>
      <w:rFonts w:ascii="Cambria" w:hAnsi="Cambria" w:eastAsia="宋体" w:cs="Times New Roman"/>
      <w:b/>
      <w:bCs/>
      <w:sz w:val="32"/>
      <w:szCs w:val="32"/>
    </w:rPr>
  </w:style>
  <w:style w:type="character" w:customStyle="1" w:styleId="25">
    <w:name w:val="Body Text Indent Char"/>
    <w:basedOn w:val="18"/>
    <w:link w:val="2"/>
    <w:semiHidden/>
    <w:qFormat/>
    <w:locked/>
    <w:uiPriority w:val="99"/>
    <w:rPr>
      <w:rFonts w:cs="Times New Roman"/>
      <w:sz w:val="24"/>
      <w:szCs w:val="24"/>
    </w:rPr>
  </w:style>
  <w:style w:type="character" w:customStyle="1" w:styleId="26">
    <w:name w:val="Date Char"/>
    <w:basedOn w:val="18"/>
    <w:link w:val="10"/>
    <w:semiHidden/>
    <w:qFormat/>
    <w:locked/>
    <w:uiPriority w:val="99"/>
    <w:rPr>
      <w:rFonts w:cs="Times New Roman"/>
      <w:sz w:val="24"/>
      <w:szCs w:val="24"/>
    </w:rPr>
  </w:style>
  <w:style w:type="character" w:customStyle="1" w:styleId="27">
    <w:name w:val="Balloon Text Char"/>
    <w:basedOn w:val="18"/>
    <w:link w:val="11"/>
    <w:semiHidden/>
    <w:qFormat/>
    <w:locked/>
    <w:uiPriority w:val="99"/>
    <w:rPr>
      <w:rFonts w:cs="Times New Roman"/>
      <w:sz w:val="2"/>
    </w:rPr>
  </w:style>
  <w:style w:type="character" w:customStyle="1" w:styleId="28">
    <w:name w:val="Footer Char"/>
    <w:basedOn w:val="18"/>
    <w:link w:val="12"/>
    <w:qFormat/>
    <w:locked/>
    <w:uiPriority w:val="99"/>
    <w:rPr>
      <w:rFonts w:cs="Times New Roman"/>
      <w:kern w:val="2"/>
      <w:sz w:val="18"/>
    </w:rPr>
  </w:style>
  <w:style w:type="character" w:customStyle="1" w:styleId="29">
    <w:name w:val="Header Char"/>
    <w:basedOn w:val="18"/>
    <w:link w:val="13"/>
    <w:semiHidden/>
    <w:qFormat/>
    <w:locked/>
    <w:uiPriority w:val="99"/>
    <w:rPr>
      <w:rFonts w:cs="Times New Roman"/>
      <w:sz w:val="18"/>
      <w:szCs w:val="18"/>
    </w:rPr>
  </w:style>
  <w:style w:type="character" w:customStyle="1" w:styleId="30">
    <w:name w:val="Body Text First Indent 2 Char"/>
    <w:basedOn w:val="25"/>
    <w:link w:val="15"/>
    <w:semiHidden/>
    <w:qFormat/>
    <w:locked/>
    <w:uiPriority w:val="99"/>
  </w:style>
  <w:style w:type="character" w:customStyle="1" w:styleId="31">
    <w:name w:val="页脚 Char"/>
    <w:qFormat/>
    <w:uiPriority w:val="99"/>
    <w:rPr>
      <w:rFonts w:eastAsia="Times New Roman"/>
      <w:sz w:val="21"/>
    </w:rPr>
  </w:style>
  <w:style w:type="character" w:customStyle="1" w:styleId="32">
    <w:name w:val="15"/>
    <w:basedOn w:val="18"/>
    <w:qFormat/>
    <w:uiPriority w:val="99"/>
    <w:rPr>
      <w:rFonts w:ascii="Times New Roman" w:hAnsi="Times New Roman" w:eastAsia="宋体" w:cs="Times New Roman"/>
      <w:color w:val="000000"/>
      <w:spacing w:val="0"/>
      <w:sz w:val="21"/>
      <w:szCs w:val="21"/>
    </w:rPr>
  </w:style>
  <w:style w:type="paragraph" w:customStyle="1" w:styleId="33">
    <w:name w:val="无间隔1"/>
    <w:qFormat/>
    <w:uiPriority w:val="1"/>
    <w:rPr>
      <w:rFonts w:ascii="Times New Roman" w:hAnsi="Times New Roman" w:eastAsia="宋体" w:cs="Times New Roman"/>
      <w:sz w:val="22"/>
      <w:szCs w:val="22"/>
      <w:lang w:val="en-US" w:eastAsia="zh-CN" w:bidi="ar-SA"/>
    </w:rPr>
  </w:style>
  <w:style w:type="character" w:customStyle="1" w:styleId="34">
    <w:name w:val="NormalCharacter"/>
    <w:link w:val="35"/>
    <w:semiHidden/>
    <w:qFormat/>
    <w:uiPriority w:val="0"/>
  </w:style>
  <w:style w:type="paragraph" w:customStyle="1" w:styleId="35">
    <w:name w:val="UserStyle_26"/>
    <w:basedOn w:val="1"/>
    <w:link w:val="34"/>
    <w:qFormat/>
    <w:uiPriority w:val="0"/>
    <w:pPr>
      <w:jc w:val="both"/>
      <w:textAlignment w:val="baseline"/>
    </w:pPr>
  </w:style>
  <w:style w:type="paragraph" w:customStyle="1" w:styleId="36">
    <w:name w:val="[Normal]"/>
    <w:qFormat/>
    <w:uiPriority w:val="0"/>
    <w:rPr>
      <w:rFonts w:ascii="宋体" w:hAnsi="宋体" w:eastAsia="宋体" w:cs="Times New Roman"/>
      <w:sz w:val="24"/>
      <w:szCs w:val="22"/>
      <w:lang w:val="zh-CN" w:eastAsia="zh-CN" w:bidi="ar-SA"/>
    </w:rPr>
  </w:style>
  <w:style w:type="paragraph" w:styleId="37">
    <w:name w:val="List Paragraph"/>
    <w:basedOn w:val="1"/>
    <w:qFormat/>
    <w:uiPriority w:val="34"/>
    <w:pPr>
      <w:spacing w:line="360" w:lineRule="auto"/>
      <w:ind w:firstLine="200" w:firstLineChars="200"/>
    </w:pPr>
    <w:rPr>
      <w:rFonts w:eastAsia="楷体_GB2312" w:cs="Lucida Sans"/>
      <w:sz w:val="24"/>
    </w:rPr>
  </w:style>
  <w:style w:type="paragraph" w:customStyle="1" w:styleId="38">
    <w:name w:val="GW-正文"/>
    <w:qFormat/>
    <w:uiPriority w:val="0"/>
    <w:pPr>
      <w:spacing w:after="200" w:line="300" w:lineRule="auto"/>
      <w:ind w:firstLine="200" w:firstLineChars="200"/>
    </w:pPr>
    <w:rPr>
      <w:rFonts w:ascii="Times New Roman" w:hAnsi="Times New Roman" w:eastAsia="仿宋_GB2312" w:cs="Times New Roman"/>
      <w:kern w:val="2"/>
      <w:sz w:val="24"/>
      <w:szCs w:val="22"/>
      <w:lang w:val="en-US" w:eastAsia="en-US" w:bidi="en-US"/>
    </w:rPr>
  </w:style>
  <w:style w:type="paragraph" w:customStyle="1" w:styleId="39">
    <w:name w:val="正文文本首行缩进 22"/>
    <w:basedOn w:val="2"/>
    <w:qFormat/>
    <w:uiPriority w:val="0"/>
    <w:pPr>
      <w:spacing w:line="200" w:lineRule="atLeast"/>
      <w:ind w:firstLine="420"/>
    </w:pPr>
    <w:rPr>
      <w:rFonts w:hAnsi="Courier New" w:eastAsia="宋体" w:cs="Times New Roman"/>
      <w:spacing w:val="-4"/>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MC SYSTEM</Company>
  <Pages>40</Pages>
  <Words>1895</Words>
  <Characters>2095</Characters>
  <Lines>0</Lines>
  <Paragraphs>0</Paragraphs>
  <TotalTime>2</TotalTime>
  <ScaleCrop>false</ScaleCrop>
  <LinksUpToDate>false</LinksUpToDate>
  <CharactersWithSpaces>2209</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2021-09-08T22:10:00Z</dcterms:created>
  <dc:creator>MC SYSTEM</dc:creator>
  <cp:lastModifiedBy>你的男孩J_J</cp:lastModifiedBy>
  <cp:lastPrinted>2021-07-26T09:17:00Z</cp:lastPrinted>
  <dcterms:modified xsi:type="dcterms:W3CDTF">2025-02-17T16:24:22Z</dcterms:modified>
  <dc:title>厦财采〔2021〕9号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1590722C4C09472994BCB5C32649B1FC_13</vt:lpwstr>
  </property>
  <property fmtid="{D5CDD505-2E9C-101B-9397-08002B2CF9AE}" pid="4" name="KSOTemplateDocerSaveRecord">
    <vt:lpwstr>eyJoZGlkIjoiZTUwZDAxZDRiNDFlNzhiNTMzYmMyZGQ5OGUxZGUwZWIiLCJ1c2VySWQiOiI1MzQ0MjE2OTMifQ==</vt:lpwstr>
  </property>
</Properties>
</file>