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1EB11">
      <w:pPr>
        <w:widowControl/>
        <w:adjustRightInd w:val="0"/>
        <w:jc w:val="cente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仓前街道余杭区“五经普”资料开发应用工作</w:t>
      </w:r>
    </w:p>
    <w:p w14:paraId="4D98BB57">
      <w:pPr>
        <w:widowControl/>
        <w:adjustRightInd w:val="0"/>
        <w:jc w:val="center"/>
        <w:rPr>
          <w:rFonts w:hint="eastAsia" w:ascii="仿宋" w:hAnsi="仿宋" w:eastAsia="仿宋" w:cs="仿宋"/>
          <w:color w:val="auto"/>
          <w:kern w:val="0"/>
          <w:sz w:val="24"/>
        </w:rPr>
      </w:pPr>
      <w:r>
        <w:rPr>
          <w:rFonts w:hint="eastAsia" w:ascii="仿宋" w:hAnsi="仿宋" w:eastAsia="仿宋" w:cs="仿宋"/>
          <w:b/>
          <w:bCs/>
          <w:color w:val="auto"/>
          <w:sz w:val="28"/>
          <w:szCs w:val="28"/>
        </w:rPr>
        <w:t>竞争性谈判公告</w:t>
      </w:r>
    </w:p>
    <w:p w14:paraId="20D37641">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根据我</w:t>
      </w:r>
      <w:r>
        <w:rPr>
          <w:rFonts w:hint="eastAsia" w:ascii="仿宋" w:hAnsi="仿宋" w:eastAsia="仿宋" w:cs="仿宋"/>
          <w:color w:val="auto"/>
          <w:kern w:val="0"/>
          <w:sz w:val="24"/>
          <w:lang w:val="en-US" w:eastAsia="zh-CN"/>
        </w:rPr>
        <w:t>街道</w:t>
      </w:r>
      <w:r>
        <w:rPr>
          <w:rFonts w:hint="eastAsia" w:ascii="仿宋" w:hAnsi="仿宋" w:eastAsia="仿宋" w:cs="仿宋"/>
          <w:color w:val="auto"/>
          <w:kern w:val="0"/>
          <w:sz w:val="24"/>
        </w:rPr>
        <w:t>需求，拟以综合评分方式选择一家</w:t>
      </w:r>
      <w:r>
        <w:rPr>
          <w:rFonts w:hint="eastAsia" w:ascii="仿宋" w:hAnsi="仿宋" w:eastAsia="仿宋" w:cs="仿宋"/>
          <w:color w:val="auto"/>
          <w:kern w:val="0"/>
          <w:sz w:val="24"/>
          <w:szCs w:val="24"/>
          <w:lang w:val="en-US" w:eastAsia="zh-CN"/>
        </w:rPr>
        <w:t>关于余杭区“五经普”资料开发应用工作</w:t>
      </w:r>
      <w:r>
        <w:rPr>
          <w:rFonts w:hint="eastAsia" w:ascii="仿宋" w:hAnsi="仿宋" w:eastAsia="仿宋" w:cs="仿宋"/>
          <w:color w:val="auto"/>
          <w:kern w:val="0"/>
          <w:sz w:val="24"/>
        </w:rPr>
        <w:t>的服务单位，请有意向参与的公司</w:t>
      </w:r>
      <w:r>
        <w:rPr>
          <w:rFonts w:hint="eastAsia" w:ascii="仿宋" w:hAnsi="仿宋" w:eastAsia="仿宋" w:cs="仿宋"/>
          <w:color w:val="auto"/>
          <w:kern w:val="0"/>
          <w:sz w:val="24"/>
          <w:lang w:val="en-US" w:eastAsia="zh-CN"/>
        </w:rPr>
        <w:t>进行响应</w:t>
      </w:r>
      <w:r>
        <w:rPr>
          <w:rFonts w:hint="eastAsia" w:ascii="仿宋" w:hAnsi="仿宋" w:eastAsia="仿宋" w:cs="仿宋"/>
          <w:color w:val="auto"/>
          <w:kern w:val="0"/>
          <w:sz w:val="24"/>
        </w:rPr>
        <w:t>。</w:t>
      </w:r>
    </w:p>
    <w:p w14:paraId="7C054DEE">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一、项目简介</w:t>
      </w:r>
    </w:p>
    <w:p w14:paraId="0E8080A1">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1.项目名称：</w:t>
      </w:r>
      <w:r>
        <w:rPr>
          <w:rFonts w:hint="eastAsia" w:ascii="仿宋" w:hAnsi="仿宋" w:eastAsia="仿宋" w:cs="仿宋"/>
          <w:color w:val="auto"/>
          <w:kern w:val="0"/>
          <w:sz w:val="24"/>
          <w:lang w:val="en-US" w:eastAsia="zh-CN"/>
        </w:rPr>
        <w:t>余杭区“五经普”资料开发应用工作</w:t>
      </w:r>
    </w:p>
    <w:p w14:paraId="529A4365">
      <w:pPr>
        <w:widowControl/>
        <w:adjustRightInd w:val="0"/>
        <w:spacing w:line="400" w:lineRule="exact"/>
        <w:ind w:firstLine="560"/>
        <w:jc w:val="left"/>
        <w:rPr>
          <w:rFonts w:hint="default" w:ascii="仿宋" w:hAnsi="仿宋" w:eastAsia="仿宋" w:cs="仿宋"/>
          <w:color w:val="auto"/>
          <w:kern w:val="0"/>
          <w:sz w:val="24"/>
          <w:lang w:val="en-US" w:eastAsia="zh-CN"/>
        </w:rPr>
      </w:pPr>
      <w:r>
        <w:rPr>
          <w:rFonts w:hint="eastAsia" w:ascii="仿宋" w:hAnsi="仿宋" w:eastAsia="仿宋" w:cs="仿宋"/>
          <w:color w:val="auto"/>
          <w:kern w:val="0"/>
          <w:sz w:val="24"/>
        </w:rPr>
        <w:t>2.项目编号</w:t>
      </w:r>
      <w:r>
        <w:rPr>
          <w:rFonts w:hint="eastAsia" w:ascii="仿宋" w:hAnsi="仿宋" w:eastAsia="仿宋" w:cs="仿宋"/>
          <w:color w:val="auto"/>
          <w:kern w:val="0"/>
          <w:sz w:val="24"/>
          <w:lang w:eastAsia="zh-CN"/>
        </w:rPr>
        <w:t>：ZJWL-202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eastAsia="zh-CN"/>
        </w:rPr>
        <w:t>-0</w:t>
      </w:r>
      <w:r>
        <w:rPr>
          <w:rFonts w:hint="eastAsia" w:ascii="仿宋" w:hAnsi="仿宋" w:eastAsia="仿宋" w:cs="仿宋"/>
          <w:color w:val="auto"/>
          <w:kern w:val="0"/>
          <w:sz w:val="24"/>
          <w:lang w:val="en-US" w:eastAsia="zh-CN"/>
        </w:rPr>
        <w:t>10</w:t>
      </w:r>
    </w:p>
    <w:p w14:paraId="4D59593B">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3.项目限价：</w:t>
      </w:r>
      <w:r>
        <w:rPr>
          <w:rFonts w:hint="eastAsia" w:ascii="仿宋" w:hAnsi="仿宋" w:eastAsia="仿宋" w:cs="仿宋"/>
          <w:color w:val="auto"/>
          <w:kern w:val="0"/>
          <w:sz w:val="24"/>
          <w:lang w:val="en-US" w:eastAsia="zh-CN"/>
        </w:rPr>
        <w:t>最高不得超过15万元，本项目报价为响应报价，高于上述限价作无效响应处理。</w:t>
      </w:r>
    </w:p>
    <w:p w14:paraId="5EB0E119">
      <w:pPr>
        <w:widowControl/>
        <w:adjustRightInd w:val="0"/>
        <w:spacing w:line="400" w:lineRule="exact"/>
        <w:ind w:firstLine="0"/>
        <w:jc w:val="left"/>
        <w:rPr>
          <w:rFonts w:hint="eastAsia" w:ascii="仿宋" w:hAnsi="仿宋" w:eastAsia="仿宋" w:cs="仿宋"/>
          <w:color w:val="auto"/>
          <w:kern w:val="0"/>
          <w:sz w:val="24"/>
        </w:rPr>
      </w:pPr>
      <w:r>
        <w:rPr>
          <w:rFonts w:hint="eastAsia" w:ascii="仿宋" w:hAnsi="仿宋" w:eastAsia="仿宋" w:cs="仿宋"/>
          <w:i w:val="0"/>
          <w:caps w:val="0"/>
          <w:color w:val="auto"/>
          <w:spacing w:val="0"/>
          <w:kern w:val="0"/>
          <w:sz w:val="24"/>
          <w:szCs w:val="24"/>
          <w:shd w:val="clear"/>
          <w:lang w:val="en-US" w:eastAsia="zh-CN"/>
        </w:rPr>
        <w:t xml:space="preserve">    </w:t>
      </w:r>
      <w:r>
        <w:rPr>
          <w:rFonts w:hint="eastAsia" w:ascii="仿宋" w:hAnsi="仿宋" w:eastAsia="仿宋" w:cs="仿宋"/>
          <w:color w:val="auto"/>
          <w:kern w:val="0"/>
          <w:sz w:val="24"/>
        </w:rPr>
        <w:t>4.采购内容</w:t>
      </w:r>
      <w:r>
        <w:rPr>
          <w:rFonts w:hint="eastAsia" w:ascii="仿宋" w:hAnsi="仿宋" w:eastAsia="仿宋" w:cs="仿宋"/>
          <w:color w:val="auto"/>
          <w:kern w:val="0"/>
          <w:sz w:val="24"/>
          <w:lang w:val="en-US" w:eastAsia="zh-CN"/>
        </w:rPr>
        <w:t>：仓前街道</w:t>
      </w:r>
      <w:r>
        <w:rPr>
          <w:rFonts w:hint="eastAsia" w:ascii="仿宋" w:hAnsi="仿宋" w:eastAsia="仿宋" w:cs="仿宋"/>
          <w:color w:val="auto"/>
          <w:kern w:val="0"/>
          <w:sz w:val="24"/>
          <w:szCs w:val="24"/>
          <w:lang w:val="en-US" w:eastAsia="zh-CN"/>
        </w:rPr>
        <w:t>余杭区“五经普”资料开发应用工作</w:t>
      </w:r>
      <w:r>
        <w:rPr>
          <w:rFonts w:hint="eastAsia" w:ascii="仿宋" w:hAnsi="仿宋" w:eastAsia="仿宋" w:cs="仿宋"/>
          <w:color w:val="auto"/>
          <w:kern w:val="0"/>
          <w:sz w:val="24"/>
        </w:rPr>
        <w:t>，具体内容及主要要求等详见 “采购需求”。</w:t>
      </w:r>
    </w:p>
    <w:p w14:paraId="6140C2EF">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二、供应商资格要求</w:t>
      </w:r>
    </w:p>
    <w:p w14:paraId="620E3A00">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rPr>
        <w:t>具备《中华人民共和国政府采购法》第二十二条规定的条件；</w:t>
      </w:r>
    </w:p>
    <w:p w14:paraId="6064E22A">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2、</w:t>
      </w:r>
      <w:r>
        <w:rPr>
          <w:rFonts w:hint="eastAsia" w:ascii="仿宋" w:hAnsi="仿宋" w:eastAsia="仿宋" w:cs="仿宋"/>
          <w:i w:val="0"/>
          <w:iCs w:val="0"/>
          <w:caps w:val="0"/>
          <w:color w:val="auto"/>
          <w:spacing w:val="0"/>
          <w:kern w:val="0"/>
          <w:sz w:val="24"/>
          <w:szCs w:val="24"/>
          <w:shd w:val="clear" w:fill="FFFFFF"/>
        </w:rPr>
        <w:t>未被“信用中国”（www.creditchina.gov.cn）、中国政府采购网（www.ccgp.gov.cn）列入失信被执行人、重大税收违法案件当事人名单、政府采购严重违法失信行为记录名单；</w:t>
      </w:r>
    </w:p>
    <w:p w14:paraId="3F65FB66">
      <w:pPr>
        <w:widowControl/>
        <w:adjustRightInd w:val="0"/>
        <w:spacing w:line="400" w:lineRule="exact"/>
        <w:ind w:firstLine="480" w:firstLineChars="200"/>
        <w:jc w:val="left"/>
        <w:rPr>
          <w:rFonts w:hint="eastAsia" w:ascii="仿宋" w:hAnsi="仿宋" w:eastAsia="仿宋" w:cs="仿宋"/>
          <w:i w:val="0"/>
          <w:color w:val="auto"/>
          <w:kern w:val="0"/>
          <w:sz w:val="24"/>
          <w:lang w:val="en-US" w:eastAsia="zh-CN"/>
        </w:rPr>
      </w:pPr>
      <w:r>
        <w:rPr>
          <w:rFonts w:hint="eastAsia" w:ascii="仿宋" w:hAnsi="仿宋" w:eastAsia="仿宋" w:cs="仿宋"/>
          <w:color w:val="auto"/>
          <w:kern w:val="0"/>
          <w:sz w:val="24"/>
          <w:lang w:val="en-US" w:eastAsia="zh-CN"/>
        </w:rPr>
        <w:t>3、</w:t>
      </w:r>
      <w:r>
        <w:rPr>
          <w:rFonts w:hint="eastAsia" w:ascii="仿宋" w:hAnsi="仿宋" w:eastAsia="仿宋" w:cs="仿宋"/>
          <w:b w:val="0"/>
          <w:i w:val="0"/>
          <w:iCs w:val="0"/>
          <w:caps w:val="0"/>
          <w:color w:val="auto"/>
          <w:spacing w:val="0"/>
          <w:kern w:val="0"/>
          <w:sz w:val="24"/>
          <w:szCs w:val="24"/>
          <w:shd w:val="clear" w:fill="FFFFFF"/>
        </w:rPr>
        <w:t>本项目不接受联合体</w:t>
      </w:r>
      <w:r>
        <w:rPr>
          <w:rFonts w:hint="eastAsia" w:ascii="仿宋" w:hAnsi="仿宋" w:eastAsia="仿宋" w:cs="仿宋"/>
          <w:b w:val="0"/>
          <w:i w:val="0"/>
          <w:iCs w:val="0"/>
          <w:caps w:val="0"/>
          <w:color w:val="auto"/>
          <w:spacing w:val="0"/>
          <w:kern w:val="0"/>
          <w:sz w:val="24"/>
          <w:szCs w:val="24"/>
          <w:shd w:val="clear" w:fill="FFFFFF"/>
          <w:lang w:val="en-US" w:eastAsia="zh-CN"/>
        </w:rPr>
        <w:t>参加</w:t>
      </w:r>
      <w:r>
        <w:rPr>
          <w:rFonts w:hint="eastAsia" w:ascii="仿宋" w:hAnsi="仿宋" w:eastAsia="仿宋" w:cs="仿宋"/>
          <w:b w:val="0"/>
          <w:i w:val="0"/>
          <w:iCs w:val="0"/>
          <w:caps w:val="0"/>
          <w:color w:val="auto"/>
          <w:spacing w:val="0"/>
          <w:kern w:val="0"/>
          <w:sz w:val="24"/>
          <w:szCs w:val="24"/>
          <w:shd w:val="clear" w:fill="FFFFFF"/>
        </w:rPr>
        <w:t>。</w:t>
      </w:r>
    </w:p>
    <w:p w14:paraId="204068C6">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三、</w:t>
      </w:r>
      <w:r>
        <w:rPr>
          <w:rFonts w:hint="eastAsia" w:ascii="仿宋" w:hAnsi="仿宋" w:eastAsia="仿宋" w:cs="仿宋"/>
          <w:b/>
          <w:color w:val="auto"/>
          <w:kern w:val="0"/>
          <w:sz w:val="24"/>
          <w:lang w:eastAsia="zh-CN"/>
        </w:rPr>
        <w:t>评审</w:t>
      </w:r>
      <w:r>
        <w:rPr>
          <w:rFonts w:hint="eastAsia" w:ascii="仿宋" w:hAnsi="仿宋" w:eastAsia="仿宋" w:cs="仿宋"/>
          <w:b/>
          <w:color w:val="auto"/>
          <w:kern w:val="0"/>
          <w:sz w:val="24"/>
        </w:rPr>
        <w:t>办法：综合评分法，综合得分最高的为</w:t>
      </w:r>
      <w:r>
        <w:rPr>
          <w:rFonts w:hint="eastAsia" w:ascii="仿宋" w:hAnsi="仿宋" w:eastAsia="仿宋" w:cs="仿宋"/>
          <w:b/>
          <w:color w:val="auto"/>
          <w:kern w:val="0"/>
          <w:sz w:val="24"/>
          <w:lang w:eastAsia="zh-CN"/>
        </w:rPr>
        <w:t>成交供应商候选人</w:t>
      </w:r>
      <w:r>
        <w:rPr>
          <w:rFonts w:hint="eastAsia" w:ascii="仿宋" w:hAnsi="仿宋" w:eastAsia="仿宋" w:cs="仿宋"/>
          <w:b/>
          <w:color w:val="auto"/>
          <w:kern w:val="0"/>
          <w:sz w:val="24"/>
        </w:rPr>
        <w:t>。</w:t>
      </w:r>
    </w:p>
    <w:p w14:paraId="048BFFF9">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评分细则如下：</w:t>
      </w: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309"/>
        <w:gridCol w:w="6327"/>
        <w:gridCol w:w="987"/>
      </w:tblGrid>
      <w:tr w14:paraId="75AE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54" w:type="dxa"/>
            <w:vAlign w:val="center"/>
          </w:tcPr>
          <w:p w14:paraId="76E554D7">
            <w:pPr>
              <w:spacing w:line="320" w:lineRule="exact"/>
              <w:jc w:val="center"/>
              <w:rPr>
                <w:rFonts w:hint="eastAsia" w:ascii="仿宋" w:hAnsi="仿宋" w:eastAsia="仿宋" w:cs="仿宋"/>
                <w:b/>
                <w:sz w:val="24"/>
                <w:szCs w:val="24"/>
              </w:rPr>
            </w:pPr>
            <w:r>
              <w:rPr>
                <w:rFonts w:hint="eastAsia" w:ascii="仿宋" w:hAnsi="仿宋" w:eastAsia="仿宋" w:cs="仿宋"/>
                <w:b/>
                <w:kern w:val="0"/>
                <w:sz w:val="24"/>
                <w:szCs w:val="24"/>
              </w:rPr>
              <w:t xml:space="preserve">序号 </w:t>
            </w:r>
          </w:p>
        </w:tc>
        <w:tc>
          <w:tcPr>
            <w:tcW w:w="7636" w:type="dxa"/>
            <w:gridSpan w:val="2"/>
            <w:vAlign w:val="center"/>
          </w:tcPr>
          <w:p w14:paraId="43A885D9">
            <w:pPr>
              <w:spacing w:line="320" w:lineRule="exact"/>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评分内容</w:t>
            </w:r>
          </w:p>
        </w:tc>
        <w:tc>
          <w:tcPr>
            <w:tcW w:w="987" w:type="dxa"/>
            <w:vAlign w:val="center"/>
          </w:tcPr>
          <w:p w14:paraId="7911C392">
            <w:pPr>
              <w:spacing w:line="320" w:lineRule="exact"/>
              <w:jc w:val="center"/>
              <w:rPr>
                <w:rFonts w:hint="eastAsia" w:ascii="仿宋" w:hAnsi="仿宋" w:eastAsia="仿宋" w:cs="仿宋"/>
                <w:b/>
                <w:sz w:val="24"/>
                <w:szCs w:val="24"/>
              </w:rPr>
            </w:pPr>
            <w:r>
              <w:rPr>
                <w:rFonts w:hint="eastAsia" w:ascii="仿宋" w:hAnsi="仿宋" w:eastAsia="仿宋" w:cs="仿宋"/>
                <w:b/>
                <w:kern w:val="0"/>
                <w:sz w:val="24"/>
                <w:szCs w:val="24"/>
              </w:rPr>
              <w:t>分值</w:t>
            </w:r>
          </w:p>
        </w:tc>
      </w:tr>
      <w:tr w14:paraId="2E91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4" w:type="dxa"/>
            <w:vAlign w:val="center"/>
          </w:tcPr>
          <w:p w14:paraId="2B1CB8CE">
            <w:pPr>
              <w:autoSpaceDE w:val="0"/>
              <w:autoSpaceDN w:val="0"/>
              <w:adjustRightInd w:val="0"/>
              <w:spacing w:line="32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1309" w:type="dxa"/>
            <w:vAlign w:val="center"/>
          </w:tcPr>
          <w:p w14:paraId="65901FCC">
            <w:pPr>
              <w:spacing w:line="300" w:lineRule="exact"/>
              <w:rPr>
                <w:rFonts w:hint="eastAsia" w:ascii="仿宋" w:hAnsi="仿宋" w:eastAsia="仿宋" w:cs="仿宋"/>
                <w:sz w:val="24"/>
                <w:szCs w:val="24"/>
              </w:rPr>
            </w:pPr>
            <w:r>
              <w:rPr>
                <w:rFonts w:hint="eastAsia" w:ascii="仿宋" w:hAnsi="仿宋" w:eastAsia="仿宋" w:cs="仿宋"/>
                <w:sz w:val="24"/>
                <w:szCs w:val="24"/>
              </w:rPr>
              <w:t>投标人的</w:t>
            </w:r>
          </w:p>
          <w:p w14:paraId="02E99A3C">
            <w:pPr>
              <w:spacing w:line="300" w:lineRule="exact"/>
              <w:rPr>
                <w:rFonts w:hint="eastAsia" w:ascii="仿宋" w:hAnsi="仿宋" w:eastAsia="仿宋" w:cs="仿宋"/>
                <w:bCs/>
                <w:kern w:val="0"/>
                <w:sz w:val="24"/>
                <w:szCs w:val="24"/>
              </w:rPr>
            </w:pPr>
            <w:r>
              <w:rPr>
                <w:rFonts w:hint="eastAsia" w:ascii="仿宋" w:hAnsi="仿宋" w:eastAsia="仿宋" w:cs="仿宋"/>
                <w:sz w:val="24"/>
                <w:szCs w:val="24"/>
              </w:rPr>
              <w:t>基本情况</w:t>
            </w:r>
          </w:p>
        </w:tc>
        <w:tc>
          <w:tcPr>
            <w:tcW w:w="6327" w:type="dxa"/>
            <w:vAlign w:val="center"/>
          </w:tcPr>
          <w:p w14:paraId="5587AA6F">
            <w:pPr>
              <w:autoSpaceDE w:val="0"/>
              <w:autoSpaceDN w:val="0"/>
              <w:adjustRightInd w:val="0"/>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企业基本情况：</w:t>
            </w:r>
          </w:p>
          <w:p w14:paraId="10F506DC">
            <w:pPr>
              <w:autoSpaceDE w:val="0"/>
              <w:autoSpaceDN w:val="0"/>
              <w:adjustRightInd w:val="0"/>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各项能够保证项目质量、服务能力等综合实力较强、信誉良好，各项制度完善、健全的：得</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分；</w:t>
            </w:r>
          </w:p>
          <w:p w14:paraId="0E5689B7">
            <w:pPr>
              <w:autoSpaceDE w:val="0"/>
              <w:autoSpaceDN w:val="0"/>
              <w:adjustRightInd w:val="0"/>
              <w:spacing w:line="32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各项能够保证项目质量、服务能力等综合实力一般、信誉较好，各项制度基本完善的：得</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分；</w:t>
            </w:r>
          </w:p>
          <w:p w14:paraId="0074D852">
            <w:pPr>
              <w:spacing w:line="320" w:lineRule="exact"/>
              <w:rPr>
                <w:rFonts w:hint="eastAsia" w:ascii="仿宋" w:hAnsi="仿宋" w:eastAsia="仿宋" w:cs="仿宋"/>
                <w:sz w:val="24"/>
                <w:szCs w:val="24"/>
              </w:rPr>
            </w:pPr>
            <w:r>
              <w:rPr>
                <w:rFonts w:hint="eastAsia" w:ascii="仿宋" w:hAnsi="仿宋" w:eastAsia="仿宋" w:cs="仿宋"/>
                <w:kern w:val="0"/>
                <w:sz w:val="24"/>
                <w:szCs w:val="24"/>
              </w:rPr>
              <w:t>各项能够保证项目质量等综合实力较差、信誉一般，各项制度不完善的得</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r>
              <w:rPr>
                <w:rFonts w:hint="eastAsia" w:ascii="仿宋" w:hAnsi="仿宋" w:eastAsia="仿宋" w:cs="仿宋"/>
                <w:sz w:val="24"/>
                <w:szCs w:val="24"/>
              </w:rPr>
              <w:t>;未提供的不得分。</w:t>
            </w:r>
          </w:p>
        </w:tc>
        <w:tc>
          <w:tcPr>
            <w:tcW w:w="987" w:type="dxa"/>
            <w:vAlign w:val="center"/>
          </w:tcPr>
          <w:p w14:paraId="17543212">
            <w:pPr>
              <w:autoSpaceDE w:val="0"/>
              <w:autoSpaceDN w:val="0"/>
              <w:adjustRightInd w:val="0"/>
              <w:spacing w:line="32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0-</w:t>
            </w:r>
            <w:r>
              <w:rPr>
                <w:rFonts w:hint="eastAsia" w:ascii="仿宋" w:hAnsi="仿宋" w:eastAsia="仿宋" w:cs="仿宋"/>
                <w:bCs/>
                <w:kern w:val="0"/>
                <w:sz w:val="24"/>
                <w:szCs w:val="24"/>
                <w:lang w:val="en-US" w:eastAsia="zh-CN"/>
              </w:rPr>
              <w:t>10</w:t>
            </w:r>
            <w:r>
              <w:rPr>
                <w:rFonts w:hint="eastAsia" w:ascii="仿宋" w:hAnsi="仿宋" w:eastAsia="仿宋" w:cs="仿宋"/>
                <w:bCs/>
                <w:kern w:val="0"/>
                <w:sz w:val="24"/>
                <w:szCs w:val="24"/>
              </w:rPr>
              <w:t>分</w:t>
            </w:r>
          </w:p>
        </w:tc>
      </w:tr>
      <w:tr w14:paraId="1F84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4" w:type="dxa"/>
            <w:vAlign w:val="center"/>
          </w:tcPr>
          <w:p w14:paraId="1C03F93D">
            <w:pPr>
              <w:autoSpaceDE w:val="0"/>
              <w:autoSpaceDN w:val="0"/>
              <w:adjustRightInd w:val="0"/>
              <w:spacing w:line="32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w:t>
            </w:r>
          </w:p>
        </w:tc>
        <w:tc>
          <w:tcPr>
            <w:tcW w:w="1309" w:type="dxa"/>
            <w:vAlign w:val="center"/>
          </w:tcPr>
          <w:p w14:paraId="16DFE186">
            <w:pPr>
              <w:spacing w:line="30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类似业绩</w:t>
            </w:r>
          </w:p>
        </w:tc>
        <w:tc>
          <w:tcPr>
            <w:tcW w:w="6327" w:type="dxa"/>
            <w:vAlign w:val="center"/>
          </w:tcPr>
          <w:p w14:paraId="203F5AE4">
            <w:pPr>
              <w:pStyle w:val="13"/>
              <w:spacing w:before="0" w:beforeAutospacing="0" w:after="0" w:afterAutospacing="0" w:line="320" w:lineRule="exact"/>
              <w:rPr>
                <w:rFonts w:hint="eastAsia" w:ascii="仿宋" w:hAnsi="仿宋" w:eastAsia="仿宋" w:cs="仿宋"/>
                <w:sz w:val="24"/>
                <w:szCs w:val="24"/>
              </w:rPr>
            </w:pPr>
            <w:r>
              <w:rPr>
                <w:rFonts w:hint="eastAsia" w:ascii="仿宋" w:hAnsi="仿宋" w:eastAsia="仿宋" w:cs="仿宋"/>
                <w:sz w:val="24"/>
                <w:szCs w:val="24"/>
              </w:rPr>
              <w:t>投标人近三年已完成类似项目业绩；每提供1项类似项目有效业绩的得2分，本项最多得10分；有效业绩的认定标准详见投标人须知前附表具体要求。</w:t>
            </w:r>
          </w:p>
        </w:tc>
        <w:tc>
          <w:tcPr>
            <w:tcW w:w="987" w:type="dxa"/>
            <w:vAlign w:val="center"/>
          </w:tcPr>
          <w:p w14:paraId="2F4184E0">
            <w:pPr>
              <w:autoSpaceDE w:val="0"/>
              <w:autoSpaceDN w:val="0"/>
              <w:adjustRightInd w:val="0"/>
              <w:spacing w:line="320" w:lineRule="exact"/>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0-1</w:t>
            </w:r>
            <w:r>
              <w:rPr>
                <w:rFonts w:hint="eastAsia" w:ascii="仿宋" w:hAnsi="仿宋" w:eastAsia="仿宋" w:cs="仿宋"/>
                <w:bCs/>
                <w:kern w:val="0"/>
                <w:sz w:val="24"/>
                <w:szCs w:val="24"/>
                <w:lang w:val="en-US" w:eastAsia="zh-CN"/>
              </w:rPr>
              <w:t>0分</w:t>
            </w:r>
          </w:p>
        </w:tc>
      </w:tr>
      <w:tr w14:paraId="27C0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54" w:type="dxa"/>
            <w:vAlign w:val="center"/>
          </w:tcPr>
          <w:p w14:paraId="7BF74A8A">
            <w:pPr>
              <w:autoSpaceDE w:val="0"/>
              <w:autoSpaceDN w:val="0"/>
              <w:adjustRightInd w:val="0"/>
              <w:spacing w:line="32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3</w:t>
            </w:r>
          </w:p>
        </w:tc>
        <w:tc>
          <w:tcPr>
            <w:tcW w:w="1309" w:type="dxa"/>
            <w:vAlign w:val="center"/>
          </w:tcPr>
          <w:p w14:paraId="0EEC2047">
            <w:pPr>
              <w:autoSpaceDE w:val="0"/>
              <w:autoSpaceDN w:val="0"/>
              <w:adjustRightInd w:val="0"/>
              <w:spacing w:line="30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服务方案</w:t>
            </w:r>
          </w:p>
        </w:tc>
        <w:tc>
          <w:tcPr>
            <w:tcW w:w="6327" w:type="dxa"/>
            <w:vAlign w:val="center"/>
          </w:tcPr>
          <w:p w14:paraId="07FA9B56">
            <w:pPr>
              <w:pStyle w:val="13"/>
              <w:spacing w:before="0" w:beforeAutospacing="0" w:after="0" w:afterAutospacing="0" w:line="320" w:lineRule="exact"/>
              <w:rPr>
                <w:rFonts w:hint="eastAsia" w:ascii="仿宋" w:hAnsi="仿宋" w:eastAsia="仿宋" w:cs="仿宋"/>
                <w:sz w:val="24"/>
                <w:szCs w:val="24"/>
              </w:rPr>
            </w:pPr>
            <w:r>
              <w:rPr>
                <w:rFonts w:hint="eastAsia" w:ascii="仿宋" w:hAnsi="仿宋" w:eastAsia="仿宋" w:cs="仿宋"/>
                <w:sz w:val="24"/>
                <w:szCs w:val="24"/>
              </w:rPr>
              <w:t>服务方案:根据响应人提供的项目服务方案进行打分，方案全面且完整的得30分;方案基本全面或者基本完整的得20分;实施方案欠缺的得10分;未提供的不得分。</w:t>
            </w:r>
          </w:p>
        </w:tc>
        <w:tc>
          <w:tcPr>
            <w:tcW w:w="987" w:type="dxa"/>
            <w:vAlign w:val="center"/>
          </w:tcPr>
          <w:p w14:paraId="115B77CE">
            <w:pPr>
              <w:autoSpaceDE w:val="0"/>
              <w:autoSpaceDN w:val="0"/>
              <w:adjustRightInd w:val="0"/>
              <w:spacing w:line="320" w:lineRule="exact"/>
              <w:jc w:val="center"/>
              <w:rPr>
                <w:rFonts w:hint="eastAsia" w:ascii="仿宋" w:hAnsi="仿宋" w:eastAsia="仿宋" w:cs="仿宋"/>
                <w:bCs/>
                <w:kern w:val="0"/>
                <w:sz w:val="24"/>
                <w:szCs w:val="24"/>
              </w:rPr>
            </w:pPr>
          </w:p>
          <w:p w14:paraId="4DAC3DFF">
            <w:pPr>
              <w:autoSpaceDE w:val="0"/>
              <w:autoSpaceDN w:val="0"/>
              <w:adjustRightInd w:val="0"/>
              <w:spacing w:line="32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0-</w:t>
            </w:r>
            <w:r>
              <w:rPr>
                <w:rFonts w:hint="eastAsia" w:ascii="仿宋" w:hAnsi="仿宋" w:eastAsia="仿宋" w:cs="仿宋"/>
                <w:bCs/>
                <w:kern w:val="0"/>
                <w:sz w:val="24"/>
                <w:szCs w:val="24"/>
                <w:lang w:val="en-US" w:eastAsia="zh-CN"/>
              </w:rPr>
              <w:t>30</w:t>
            </w:r>
            <w:r>
              <w:rPr>
                <w:rFonts w:hint="eastAsia" w:ascii="仿宋" w:hAnsi="仿宋" w:eastAsia="仿宋" w:cs="仿宋"/>
                <w:bCs/>
                <w:kern w:val="0"/>
                <w:sz w:val="24"/>
                <w:szCs w:val="24"/>
              </w:rPr>
              <w:t>分</w:t>
            </w:r>
          </w:p>
          <w:p w14:paraId="7C4DD49B">
            <w:pPr>
              <w:spacing w:line="320" w:lineRule="exact"/>
              <w:jc w:val="center"/>
              <w:rPr>
                <w:rFonts w:hint="eastAsia" w:ascii="仿宋" w:hAnsi="仿宋" w:eastAsia="仿宋" w:cs="仿宋"/>
                <w:sz w:val="24"/>
                <w:szCs w:val="24"/>
              </w:rPr>
            </w:pPr>
          </w:p>
        </w:tc>
      </w:tr>
      <w:tr w14:paraId="5C1E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54" w:type="dxa"/>
            <w:vAlign w:val="center"/>
          </w:tcPr>
          <w:p w14:paraId="6D587482">
            <w:pPr>
              <w:autoSpaceDE w:val="0"/>
              <w:autoSpaceDN w:val="0"/>
              <w:adjustRightInd w:val="0"/>
              <w:spacing w:line="320" w:lineRule="exact"/>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4</w:t>
            </w:r>
          </w:p>
        </w:tc>
        <w:tc>
          <w:tcPr>
            <w:tcW w:w="1309" w:type="dxa"/>
            <w:vAlign w:val="center"/>
          </w:tcPr>
          <w:p w14:paraId="62025FE0">
            <w:pPr>
              <w:autoSpaceDE w:val="0"/>
              <w:autoSpaceDN w:val="0"/>
              <w:adjustRightInd w:val="0"/>
              <w:spacing w:line="300" w:lineRule="exact"/>
              <w:jc w:val="center"/>
              <w:rPr>
                <w:rFonts w:hint="eastAsia" w:ascii="仿宋" w:hAnsi="仿宋" w:eastAsia="仿宋" w:cs="仿宋"/>
                <w:bCs/>
                <w:kern w:val="0"/>
                <w:sz w:val="24"/>
                <w:szCs w:val="24"/>
              </w:rPr>
            </w:pPr>
            <w:r>
              <w:rPr>
                <w:rFonts w:hint="eastAsia" w:ascii="仿宋" w:hAnsi="仿宋" w:eastAsia="仿宋" w:cs="仿宋"/>
                <w:sz w:val="24"/>
                <w:szCs w:val="24"/>
                <w:lang w:eastAsia="zh-CN"/>
              </w:rPr>
              <w:t>服务响应能力</w:t>
            </w:r>
          </w:p>
        </w:tc>
        <w:tc>
          <w:tcPr>
            <w:tcW w:w="6327" w:type="dxa"/>
            <w:vAlign w:val="center"/>
          </w:tcPr>
          <w:p w14:paraId="3B5216C8">
            <w:pPr>
              <w:pStyle w:val="13"/>
              <w:tabs>
                <w:tab w:val="left" w:pos="2307"/>
              </w:tabs>
              <w:spacing w:before="0" w:beforeAutospacing="0" w:after="0" w:afterAutospacing="0" w:line="32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服务响应能力:根据响应人提供的的项目服务响应能力进行打分。服务响应能力强的得</w:t>
            </w:r>
            <w:r>
              <w:rPr>
                <w:rFonts w:hint="eastAsia" w:ascii="仿宋" w:hAnsi="仿宋" w:eastAsia="仿宋" w:cs="仿宋"/>
                <w:sz w:val="24"/>
                <w:szCs w:val="24"/>
                <w:lang w:val="en-US" w:eastAsia="zh-CN"/>
              </w:rPr>
              <w:t>10</w:t>
            </w:r>
            <w:r>
              <w:rPr>
                <w:rFonts w:hint="eastAsia" w:ascii="仿宋" w:hAnsi="仿宋" w:eastAsia="仿宋" w:cs="仿宋"/>
                <w:sz w:val="24"/>
                <w:szCs w:val="24"/>
                <w:lang w:eastAsia="zh-CN"/>
              </w:rPr>
              <w:t>分;较强的得</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分;一般的得</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分;未提供的不得分。</w:t>
            </w:r>
          </w:p>
        </w:tc>
        <w:tc>
          <w:tcPr>
            <w:tcW w:w="987" w:type="dxa"/>
            <w:vAlign w:val="center"/>
          </w:tcPr>
          <w:p w14:paraId="4E2E7E3C">
            <w:pPr>
              <w:spacing w:line="3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0-10分</w:t>
            </w:r>
          </w:p>
        </w:tc>
      </w:tr>
      <w:tr w14:paraId="228A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654" w:type="dxa"/>
            <w:vAlign w:val="center"/>
          </w:tcPr>
          <w:p w14:paraId="123E1F2E">
            <w:pPr>
              <w:autoSpaceDE w:val="0"/>
              <w:autoSpaceDN w:val="0"/>
              <w:adjustRightInd w:val="0"/>
              <w:spacing w:line="320" w:lineRule="exact"/>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5</w:t>
            </w:r>
          </w:p>
        </w:tc>
        <w:tc>
          <w:tcPr>
            <w:tcW w:w="1309" w:type="dxa"/>
            <w:vAlign w:val="center"/>
          </w:tcPr>
          <w:p w14:paraId="74F00FFB">
            <w:pPr>
              <w:autoSpaceDE w:val="0"/>
              <w:autoSpaceDN w:val="0"/>
              <w:adjustRightInd w:val="0"/>
              <w:spacing w:line="30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安全保密</w:t>
            </w:r>
          </w:p>
          <w:p w14:paraId="1D426874">
            <w:pPr>
              <w:autoSpaceDE w:val="0"/>
              <w:autoSpaceDN w:val="0"/>
              <w:adjustRightInd w:val="0"/>
              <w:spacing w:line="30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制度</w:t>
            </w:r>
          </w:p>
        </w:tc>
        <w:tc>
          <w:tcPr>
            <w:tcW w:w="6327" w:type="dxa"/>
            <w:vAlign w:val="center"/>
          </w:tcPr>
          <w:p w14:paraId="5D103CE6">
            <w:pPr>
              <w:autoSpaceDE w:val="0"/>
              <w:autoSpaceDN w:val="0"/>
              <w:adjustRightInd w:val="0"/>
              <w:spacing w:line="320" w:lineRule="exact"/>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根据投标人投标文件中提供的安全保密制度，由评委进行综合评审。包括但不限于档案资料的安全保密制度和项目执行过程中的保密制度，针对档案资料或相关信息泄漏时指定的惩处措施是否得当、是否能达到预警效果等。制度具有计划性、针对性、可操作性，内容完整详实，满足或优于项目需求的得</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分</w:t>
            </w:r>
            <w:r>
              <w:rPr>
                <w:rFonts w:hint="eastAsia" w:ascii="仿宋" w:hAnsi="仿宋" w:eastAsia="仿宋" w:cs="仿宋"/>
                <w:kern w:val="0"/>
                <w:sz w:val="24"/>
                <w:szCs w:val="24"/>
                <w:lang w:eastAsia="zh-CN"/>
              </w:rPr>
              <w:t>。</w:t>
            </w:r>
          </w:p>
        </w:tc>
        <w:tc>
          <w:tcPr>
            <w:tcW w:w="987" w:type="dxa"/>
            <w:vAlign w:val="center"/>
          </w:tcPr>
          <w:p w14:paraId="1D95EBB0">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14:paraId="3635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4" w:type="dxa"/>
            <w:vAlign w:val="center"/>
          </w:tcPr>
          <w:p w14:paraId="0995851C">
            <w:pPr>
              <w:autoSpaceDE w:val="0"/>
              <w:autoSpaceDN w:val="0"/>
              <w:adjustRightInd w:val="0"/>
              <w:spacing w:line="320" w:lineRule="exact"/>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6</w:t>
            </w:r>
          </w:p>
        </w:tc>
        <w:tc>
          <w:tcPr>
            <w:tcW w:w="1309" w:type="dxa"/>
            <w:vAlign w:val="center"/>
          </w:tcPr>
          <w:p w14:paraId="5560B730">
            <w:pPr>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价格部分</w:t>
            </w:r>
          </w:p>
        </w:tc>
        <w:tc>
          <w:tcPr>
            <w:tcW w:w="6327" w:type="dxa"/>
            <w:vAlign w:val="center"/>
          </w:tcPr>
          <w:p w14:paraId="776A51EA">
            <w:pPr>
              <w:widowControl/>
              <w:snapToGrid w:val="0"/>
              <w:spacing w:line="320" w:lineRule="exact"/>
              <w:jc w:val="left"/>
              <w:rPr>
                <w:rFonts w:hint="eastAsia" w:ascii="仿宋" w:hAnsi="仿宋" w:eastAsia="仿宋" w:cs="仿宋"/>
                <w:sz w:val="24"/>
                <w:szCs w:val="24"/>
              </w:rPr>
            </w:pPr>
            <w:r>
              <w:rPr>
                <w:rFonts w:hint="eastAsia" w:ascii="仿宋" w:hAnsi="仿宋" w:eastAsia="仿宋" w:cs="仿宋"/>
                <w:sz w:val="24"/>
                <w:szCs w:val="24"/>
              </w:rPr>
              <w:t>满足招标公告要求且投标价格最低的得30(如最低投标价格出现相同的，则均得满分)，满足招标公告要求且投标价格第二低的得27分，以此类推。本项最低分0分。超过项目上限不得分，并取消中标资格。(0-30分)</w:t>
            </w:r>
          </w:p>
        </w:tc>
        <w:tc>
          <w:tcPr>
            <w:tcW w:w="987" w:type="dxa"/>
            <w:vAlign w:val="center"/>
          </w:tcPr>
          <w:p w14:paraId="6E958BAA">
            <w:pPr>
              <w:snapToGrid w:val="0"/>
              <w:spacing w:line="320" w:lineRule="exact"/>
              <w:rPr>
                <w:rFonts w:hint="eastAsia"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r>
      <w:tr w14:paraId="522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54" w:type="dxa"/>
            <w:vAlign w:val="center"/>
          </w:tcPr>
          <w:p w14:paraId="064558A4">
            <w:pPr>
              <w:autoSpaceDE w:val="0"/>
              <w:autoSpaceDN w:val="0"/>
              <w:adjustRightInd w:val="0"/>
              <w:spacing w:line="320" w:lineRule="exact"/>
              <w:jc w:val="center"/>
              <w:rPr>
                <w:rFonts w:hint="eastAsia" w:ascii="仿宋" w:hAnsi="仿宋" w:eastAsia="仿宋" w:cs="仿宋"/>
                <w:bCs/>
                <w:kern w:val="0"/>
                <w:sz w:val="24"/>
                <w:szCs w:val="24"/>
              </w:rPr>
            </w:pPr>
          </w:p>
        </w:tc>
        <w:tc>
          <w:tcPr>
            <w:tcW w:w="1309" w:type="dxa"/>
            <w:vAlign w:val="center"/>
          </w:tcPr>
          <w:p w14:paraId="760740E3">
            <w:pPr>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合计</w:t>
            </w:r>
          </w:p>
        </w:tc>
        <w:tc>
          <w:tcPr>
            <w:tcW w:w="7314" w:type="dxa"/>
            <w:gridSpan w:val="2"/>
            <w:vAlign w:val="center"/>
          </w:tcPr>
          <w:p w14:paraId="13D5E69C">
            <w:pPr>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100分</w:t>
            </w:r>
          </w:p>
        </w:tc>
      </w:tr>
    </w:tbl>
    <w:p w14:paraId="032B35B5">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四、服务质量、时间及地点</w:t>
      </w:r>
    </w:p>
    <w:p w14:paraId="47073A3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1.服务地点及服务时间：</w:t>
      </w:r>
    </w:p>
    <w:p w14:paraId="694DAF5F">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服务地点：余杭区</w:t>
      </w:r>
      <w:r>
        <w:rPr>
          <w:rFonts w:hint="eastAsia" w:ascii="仿宋" w:hAnsi="仿宋" w:eastAsia="仿宋" w:cs="仿宋"/>
          <w:color w:val="auto"/>
          <w:kern w:val="0"/>
          <w:sz w:val="24"/>
          <w:lang w:val="en-US" w:eastAsia="zh-CN"/>
        </w:rPr>
        <w:t>仓前街道</w:t>
      </w:r>
      <w:r>
        <w:rPr>
          <w:rFonts w:hint="eastAsia" w:ascii="仿宋" w:hAnsi="仿宋" w:eastAsia="仿宋" w:cs="仿宋"/>
          <w:color w:val="auto"/>
          <w:kern w:val="0"/>
          <w:sz w:val="24"/>
        </w:rPr>
        <w:t>；</w:t>
      </w:r>
    </w:p>
    <w:p w14:paraId="041AB442">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服务时间：自合同签订之日起三个月</w:t>
      </w:r>
      <w:r>
        <w:rPr>
          <w:rFonts w:hint="eastAsia" w:ascii="仿宋" w:hAnsi="仿宋" w:eastAsia="仿宋" w:cs="仿宋"/>
          <w:color w:val="auto"/>
          <w:kern w:val="0"/>
          <w:sz w:val="24"/>
          <w:lang w:eastAsia="zh-CN"/>
        </w:rPr>
        <w:t>；</w:t>
      </w:r>
    </w:p>
    <w:p w14:paraId="604E9102">
      <w:pPr>
        <w:widowControl/>
        <w:numPr>
          <w:ilvl w:val="-1"/>
          <w:numId w:val="0"/>
        </w:numPr>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服务质量要求：符合相关规定要求及采购人要求。</w:t>
      </w:r>
    </w:p>
    <w:p w14:paraId="610CA68C">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五、付款方式</w:t>
      </w:r>
    </w:p>
    <w:p w14:paraId="370A1816">
      <w:pPr>
        <w:widowControl/>
        <w:adjustRightInd w:val="0"/>
        <w:spacing w:line="400" w:lineRule="exact"/>
        <w:ind w:firstLine="560" w:firstLineChars="0"/>
        <w:jc w:val="left"/>
        <w:rPr>
          <w:rFonts w:hint="eastAsia" w:ascii="仿宋" w:hAnsi="仿宋" w:eastAsia="仿宋" w:cs="仿宋"/>
          <w:color w:val="auto"/>
          <w:kern w:val="0"/>
          <w:sz w:val="24"/>
        </w:rPr>
      </w:pPr>
      <w:r>
        <w:rPr>
          <w:rFonts w:hint="eastAsia" w:ascii="仿宋" w:hAnsi="仿宋" w:eastAsia="仿宋" w:cs="仿宋"/>
          <w:color w:val="auto"/>
          <w:kern w:val="0"/>
          <w:sz w:val="24"/>
        </w:rPr>
        <w:t>具体以合同</w:t>
      </w:r>
      <w:r>
        <w:rPr>
          <w:rFonts w:hint="eastAsia" w:ascii="仿宋" w:hAnsi="仿宋" w:eastAsia="仿宋" w:cs="仿宋"/>
          <w:color w:val="auto"/>
          <w:kern w:val="0"/>
          <w:sz w:val="24"/>
          <w:lang w:val="en-US" w:eastAsia="zh-CN"/>
        </w:rPr>
        <w:t>签订</w:t>
      </w:r>
      <w:r>
        <w:rPr>
          <w:rFonts w:hint="eastAsia" w:ascii="仿宋" w:hAnsi="仿宋" w:eastAsia="仿宋" w:cs="仿宋"/>
          <w:color w:val="auto"/>
          <w:kern w:val="0"/>
          <w:sz w:val="24"/>
        </w:rPr>
        <w:t>为准。</w:t>
      </w:r>
    </w:p>
    <w:p w14:paraId="5F3F4A45">
      <w:pPr>
        <w:widowControl/>
        <w:adjustRightInd w:val="0"/>
        <w:spacing w:line="400" w:lineRule="exact"/>
        <w:jc w:val="left"/>
        <w:rPr>
          <w:rFonts w:hint="eastAsia" w:ascii="仿宋" w:hAnsi="仿宋" w:eastAsia="仿宋" w:cs="仿宋"/>
          <w:b/>
          <w:color w:val="auto"/>
          <w:kern w:val="0"/>
          <w:sz w:val="24"/>
          <w:lang w:eastAsia="zh-CN"/>
        </w:rPr>
      </w:pPr>
      <w:r>
        <w:rPr>
          <w:rFonts w:hint="eastAsia" w:ascii="仿宋" w:hAnsi="仿宋" w:eastAsia="仿宋" w:cs="仿宋"/>
          <w:b/>
          <w:color w:val="auto"/>
          <w:kern w:val="0"/>
          <w:sz w:val="24"/>
        </w:rPr>
        <w:t>六、</w:t>
      </w:r>
      <w:r>
        <w:rPr>
          <w:rFonts w:hint="eastAsia" w:ascii="仿宋" w:hAnsi="仿宋" w:eastAsia="仿宋" w:cs="仿宋"/>
          <w:b/>
          <w:color w:val="auto"/>
          <w:kern w:val="0"/>
          <w:sz w:val="24"/>
          <w:lang w:eastAsia="zh-CN"/>
        </w:rPr>
        <w:t>响应文件</w:t>
      </w:r>
    </w:p>
    <w:p w14:paraId="41CD921E">
      <w:pPr>
        <w:widowControl/>
        <w:adjustRightInd w:val="0"/>
        <w:spacing w:line="400" w:lineRule="exact"/>
        <w:ind w:firstLine="56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rPr>
        <w:t>1. 供应商应按</w:t>
      </w:r>
      <w:r>
        <w:rPr>
          <w:rFonts w:hint="eastAsia" w:ascii="仿宋" w:hAnsi="仿宋" w:eastAsia="仿宋" w:cs="仿宋"/>
          <w:color w:val="auto"/>
          <w:kern w:val="0"/>
          <w:sz w:val="24"/>
          <w:lang w:eastAsia="zh-CN"/>
        </w:rPr>
        <w:t>竞争性谈判公告</w:t>
      </w:r>
      <w:r>
        <w:rPr>
          <w:rFonts w:hint="eastAsia" w:ascii="仿宋" w:hAnsi="仿宋" w:eastAsia="仿宋" w:cs="仿宋"/>
          <w:color w:val="auto"/>
          <w:kern w:val="0"/>
          <w:sz w:val="24"/>
        </w:rPr>
        <w:t>的要求与格式编写</w:t>
      </w:r>
      <w:r>
        <w:rPr>
          <w:rFonts w:hint="eastAsia" w:ascii="仿宋" w:hAnsi="仿宋" w:eastAsia="仿宋" w:cs="仿宋"/>
          <w:color w:val="auto"/>
          <w:kern w:val="0"/>
          <w:sz w:val="22"/>
          <w:szCs w:val="22"/>
          <w:lang w:eastAsia="zh-CN"/>
        </w:rPr>
        <w:t>响应</w:t>
      </w:r>
      <w:r>
        <w:rPr>
          <w:rFonts w:hint="eastAsia" w:ascii="仿宋" w:hAnsi="仿宋" w:eastAsia="仿宋" w:cs="仿宋"/>
          <w:color w:val="auto"/>
          <w:kern w:val="0"/>
          <w:sz w:val="22"/>
          <w:szCs w:val="22"/>
          <w:highlight w:val="none"/>
          <w:lang w:eastAsia="zh-CN"/>
        </w:rPr>
        <w:t>文件</w:t>
      </w:r>
      <w:r>
        <w:rPr>
          <w:rFonts w:hint="eastAsia" w:ascii="仿宋" w:hAnsi="仿宋" w:eastAsia="仿宋" w:cs="仿宋"/>
          <w:color w:val="auto"/>
          <w:kern w:val="0"/>
          <w:sz w:val="24"/>
          <w:highlight w:val="none"/>
        </w:rPr>
        <w:t>，</w:t>
      </w:r>
      <w:r>
        <w:rPr>
          <w:rFonts w:hint="eastAsia" w:ascii="仿宋" w:hAnsi="仿宋" w:eastAsia="仿宋" w:cs="仿宋"/>
          <w:color w:val="auto"/>
          <w:kern w:val="0"/>
          <w:sz w:val="22"/>
          <w:szCs w:val="22"/>
          <w:highlight w:val="none"/>
          <w:lang w:eastAsia="zh-CN"/>
        </w:rPr>
        <w:t>响应文件</w:t>
      </w:r>
      <w:r>
        <w:rPr>
          <w:rFonts w:hint="eastAsia" w:ascii="仿宋" w:hAnsi="仿宋" w:eastAsia="仿宋" w:cs="仿宋"/>
          <w:color w:val="auto"/>
          <w:kern w:val="0"/>
          <w:sz w:val="24"/>
          <w:highlight w:val="none"/>
        </w:rPr>
        <w:t>一式两份，其中一份应标明“正本”，另一份应标明“副本”，如果正本与副本不一致时，则以正本为准；</w:t>
      </w:r>
    </w:p>
    <w:p w14:paraId="1177B198">
      <w:pPr>
        <w:widowControl/>
        <w:adjustRightInd w:val="0"/>
        <w:spacing w:line="400" w:lineRule="exact"/>
        <w:ind w:left="802" w:leftChars="342" w:hanging="84" w:hangingChars="35"/>
        <w:jc w:val="left"/>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2.供应商须将</w:t>
      </w:r>
      <w:r>
        <w:rPr>
          <w:rFonts w:hint="eastAsia" w:ascii="仿宋" w:hAnsi="仿宋" w:eastAsia="仿宋" w:cs="仿宋"/>
          <w:color w:val="auto"/>
          <w:kern w:val="0"/>
          <w:sz w:val="22"/>
          <w:szCs w:val="22"/>
          <w:highlight w:val="none"/>
          <w:lang w:eastAsia="zh-CN"/>
        </w:rPr>
        <w:t>响应文件</w:t>
      </w:r>
      <w:r>
        <w:rPr>
          <w:rFonts w:hint="eastAsia" w:ascii="仿宋" w:hAnsi="仿宋" w:eastAsia="仿宋" w:cs="仿宋"/>
          <w:color w:val="auto"/>
          <w:kern w:val="0"/>
          <w:sz w:val="24"/>
          <w:highlight w:val="none"/>
        </w:rPr>
        <w:t>密封并在封口处加盖单位公章（骑缝章），在</w:t>
      </w:r>
      <w:r>
        <w:rPr>
          <w:rFonts w:hint="eastAsia" w:ascii="仿宋" w:hAnsi="仿宋" w:eastAsia="仿宋" w:cs="仿宋"/>
          <w:color w:val="auto"/>
          <w:kern w:val="0"/>
          <w:sz w:val="24"/>
          <w:highlight w:val="yellow"/>
        </w:rPr>
        <w:t>202</w:t>
      </w:r>
      <w:r>
        <w:rPr>
          <w:rFonts w:hint="eastAsia" w:ascii="仿宋" w:hAnsi="仿宋" w:eastAsia="仿宋" w:cs="仿宋"/>
          <w:color w:val="auto"/>
          <w:kern w:val="0"/>
          <w:sz w:val="24"/>
          <w:highlight w:val="yellow"/>
          <w:lang w:val="en-US" w:eastAsia="zh-CN"/>
        </w:rPr>
        <w:t>5</w:t>
      </w:r>
      <w:r>
        <w:rPr>
          <w:rFonts w:hint="eastAsia" w:ascii="仿宋" w:hAnsi="仿宋" w:eastAsia="仿宋" w:cs="仿宋"/>
          <w:color w:val="auto"/>
          <w:kern w:val="0"/>
          <w:sz w:val="24"/>
          <w:highlight w:val="yellow"/>
        </w:rPr>
        <w:t>年</w:t>
      </w:r>
      <w:r>
        <w:rPr>
          <w:rFonts w:hint="eastAsia" w:ascii="仿宋" w:hAnsi="仿宋" w:eastAsia="仿宋" w:cs="仿宋"/>
          <w:color w:val="auto"/>
          <w:kern w:val="0"/>
          <w:sz w:val="24"/>
          <w:highlight w:val="yellow"/>
          <w:lang w:val="en-US" w:eastAsia="zh-CN"/>
        </w:rPr>
        <w:t xml:space="preserve">  </w:t>
      </w:r>
      <w:r>
        <w:rPr>
          <w:rFonts w:hint="eastAsia" w:ascii="仿宋" w:hAnsi="仿宋" w:eastAsia="仿宋" w:cs="仿宋"/>
          <w:color w:val="auto"/>
          <w:kern w:val="0"/>
          <w:sz w:val="24"/>
          <w:highlight w:val="yellow"/>
        </w:rPr>
        <w:t>月</w:t>
      </w:r>
      <w:r>
        <w:rPr>
          <w:rFonts w:hint="eastAsia" w:ascii="仿宋" w:hAnsi="仿宋" w:eastAsia="仿宋" w:cs="仿宋"/>
          <w:color w:val="auto"/>
          <w:kern w:val="0"/>
          <w:sz w:val="24"/>
          <w:highlight w:val="yellow"/>
          <w:lang w:val="en-US" w:eastAsia="zh-CN"/>
        </w:rPr>
        <w:t xml:space="preserve"> </w:t>
      </w:r>
      <w:r>
        <w:rPr>
          <w:rFonts w:hint="eastAsia" w:ascii="仿宋" w:hAnsi="仿宋" w:eastAsia="仿宋" w:cs="仿宋"/>
          <w:color w:val="auto"/>
          <w:kern w:val="0"/>
          <w:sz w:val="24"/>
          <w:highlight w:val="yellow"/>
        </w:rPr>
        <w:t>日</w:t>
      </w:r>
      <w:r>
        <w:rPr>
          <w:rFonts w:hint="eastAsia" w:ascii="仿宋" w:hAnsi="仿宋" w:eastAsia="仿宋" w:cs="仿宋"/>
          <w:color w:val="auto"/>
          <w:kern w:val="0"/>
          <w:sz w:val="24"/>
          <w:highlight w:val="yellow"/>
          <w:lang w:val="en-US" w:eastAsia="zh-CN"/>
        </w:rPr>
        <w:t xml:space="preserve">  </w:t>
      </w:r>
      <w:r>
        <w:rPr>
          <w:rFonts w:hint="eastAsia" w:ascii="仿宋" w:hAnsi="仿宋" w:eastAsia="仿宋" w:cs="仿宋"/>
          <w:color w:val="auto"/>
          <w:kern w:val="0"/>
          <w:sz w:val="24"/>
          <w:highlight w:val="yellow"/>
        </w:rPr>
        <w:t>点</w:t>
      </w:r>
      <w:r>
        <w:rPr>
          <w:rFonts w:hint="eastAsia" w:ascii="仿宋" w:hAnsi="仿宋" w:eastAsia="仿宋" w:cs="仿宋"/>
          <w:color w:val="auto"/>
          <w:kern w:val="0"/>
          <w:sz w:val="24"/>
          <w:highlight w:val="yellow"/>
          <w:lang w:val="en-US" w:eastAsia="zh-CN"/>
        </w:rPr>
        <w:t>00</w:t>
      </w:r>
      <w:r>
        <w:rPr>
          <w:rFonts w:hint="eastAsia" w:ascii="仿宋" w:hAnsi="仿宋" w:eastAsia="仿宋" w:cs="仿宋"/>
          <w:color w:val="auto"/>
          <w:kern w:val="0"/>
          <w:sz w:val="24"/>
          <w:highlight w:val="yellow"/>
        </w:rPr>
        <w:t>分</w:t>
      </w:r>
      <w:r>
        <w:rPr>
          <w:rFonts w:hint="eastAsia" w:ascii="仿宋" w:hAnsi="仿宋" w:eastAsia="仿宋" w:cs="仿宋"/>
          <w:color w:val="auto"/>
          <w:kern w:val="0"/>
          <w:sz w:val="24"/>
          <w:highlight w:val="none"/>
        </w:rPr>
        <w:t>前递交到余杭区仓前街道乐富海邦园14幢一楼党群与便民服务中心。</w:t>
      </w:r>
      <w:r>
        <w:rPr>
          <w:rFonts w:hint="eastAsia" w:ascii="仿宋" w:hAnsi="仿宋" w:eastAsia="仿宋" w:cs="仿宋"/>
          <w:b/>
          <w:bCs/>
          <w:color w:val="auto"/>
          <w:kern w:val="0"/>
          <w:sz w:val="24"/>
          <w:highlight w:val="none"/>
        </w:rPr>
        <w:t>递交</w:t>
      </w:r>
      <w:r>
        <w:rPr>
          <w:rFonts w:hint="eastAsia" w:ascii="仿宋" w:hAnsi="仿宋" w:eastAsia="仿宋" w:cs="仿宋"/>
          <w:b/>
          <w:bCs/>
          <w:color w:val="auto"/>
          <w:kern w:val="0"/>
          <w:sz w:val="22"/>
          <w:szCs w:val="22"/>
          <w:highlight w:val="none"/>
          <w:lang w:eastAsia="zh-CN"/>
        </w:rPr>
        <w:t>响应文件</w:t>
      </w:r>
      <w:r>
        <w:rPr>
          <w:rFonts w:hint="eastAsia" w:ascii="仿宋" w:hAnsi="仿宋" w:eastAsia="仿宋" w:cs="仿宋"/>
          <w:b/>
          <w:bCs/>
          <w:color w:val="auto"/>
          <w:kern w:val="0"/>
          <w:sz w:val="24"/>
          <w:highlight w:val="none"/>
        </w:rPr>
        <w:t>时需单独递交一份营业执照复印件加盖公章</w:t>
      </w:r>
      <w:r>
        <w:rPr>
          <w:rFonts w:hint="eastAsia" w:ascii="仿宋" w:hAnsi="仿宋" w:eastAsia="仿宋" w:cs="仿宋"/>
          <w:b/>
          <w:bCs/>
          <w:color w:val="auto"/>
          <w:kern w:val="0"/>
          <w:sz w:val="24"/>
          <w:highlight w:val="none"/>
          <w:lang w:eastAsia="zh-CN"/>
        </w:rPr>
        <w:t>，</w:t>
      </w:r>
      <w:r>
        <w:rPr>
          <w:rFonts w:hint="eastAsia" w:ascii="仿宋" w:hAnsi="仿宋" w:eastAsia="仿宋" w:cs="仿宋"/>
          <w:b/>
          <w:bCs/>
          <w:color w:val="auto"/>
          <w:kern w:val="0"/>
          <w:sz w:val="24"/>
          <w:highlight w:val="none"/>
          <w:lang w:val="en-US" w:eastAsia="zh-CN"/>
        </w:rPr>
        <w:t>否则不予以接收响应文件。</w:t>
      </w:r>
    </w:p>
    <w:p w14:paraId="70270361">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3.以</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签收时间为准，</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逾期送达或者未送达指定地点的，将不予接受。</w:t>
      </w:r>
    </w:p>
    <w:p w14:paraId="6357EE80">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4.</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的组成（建议按下列顺序装订）</w:t>
      </w:r>
    </w:p>
    <w:p w14:paraId="1B279176">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(1)报价函</w:t>
      </w:r>
      <w:r>
        <w:rPr>
          <w:rFonts w:hint="eastAsia" w:ascii="仿宋" w:hAnsi="仿宋" w:eastAsia="仿宋" w:cs="仿宋"/>
          <w:color w:val="auto"/>
          <w:kern w:val="0"/>
          <w:sz w:val="24"/>
        </w:rPr>
        <w:t>（格式附后）</w:t>
      </w:r>
    </w:p>
    <w:p w14:paraId="32859357">
      <w:pPr>
        <w:tabs>
          <w:tab w:val="left" w:pos="420"/>
          <w:tab w:val="left" w:pos="4680"/>
        </w:tabs>
        <w:spacing w:line="40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(2)</w:t>
      </w:r>
      <w:r>
        <w:rPr>
          <w:rFonts w:hint="eastAsia" w:ascii="仿宋" w:hAnsi="仿宋" w:eastAsia="仿宋" w:cs="仿宋"/>
          <w:color w:val="auto"/>
          <w:kern w:val="0"/>
          <w:sz w:val="24"/>
        </w:rPr>
        <w:t>供应商资格要求中的相关证明材料复印件加盖公章（如营业执照等）</w:t>
      </w:r>
    </w:p>
    <w:p w14:paraId="6E47F9ED">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kern w:val="0"/>
          <w:sz w:val="24"/>
        </w:rPr>
        <w:t>3</w:t>
      </w:r>
      <w:r>
        <w:rPr>
          <w:rFonts w:hint="eastAsia" w:ascii="仿宋" w:hAnsi="仿宋" w:eastAsia="仿宋" w:cs="仿宋"/>
          <w:color w:val="auto"/>
          <w:kern w:val="0"/>
          <w:sz w:val="24"/>
          <w:szCs w:val="24"/>
        </w:rPr>
        <w:t>)公司实力相关证明材料复印件加盖公章</w:t>
      </w:r>
    </w:p>
    <w:p w14:paraId="107D87E3">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 授权委托书及被委托人身份证复印件加盖公章</w:t>
      </w:r>
    </w:p>
    <w:p w14:paraId="415A51F8">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(5) 服务方案</w:t>
      </w:r>
      <w:bookmarkStart w:id="0" w:name="_GoBack"/>
      <w:bookmarkEnd w:id="0"/>
    </w:p>
    <w:p w14:paraId="4D4EE57D">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(6)服务期限及售后承诺</w:t>
      </w:r>
    </w:p>
    <w:p w14:paraId="2928C06E">
      <w:pPr>
        <w:tabs>
          <w:tab w:val="left" w:pos="420"/>
          <w:tab w:val="left" w:pos="4680"/>
        </w:tabs>
        <w:spacing w:line="40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（7）采购文件要求供应商提供的或供应商认为需要提供的其他内容</w:t>
      </w:r>
    </w:p>
    <w:p w14:paraId="2ECDCCD3">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七、成交办法</w:t>
      </w:r>
    </w:p>
    <w:p w14:paraId="2CF3E70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1.成立采购小组</w:t>
      </w:r>
    </w:p>
    <w:p w14:paraId="46C1392C">
      <w:pPr>
        <w:widowControl/>
        <w:adjustRightInd w:val="0"/>
        <w:spacing w:line="400" w:lineRule="exact"/>
        <w:ind w:firstLine="56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评标小组由三人以上单数的采购人代表、评标专家组成。</w:t>
      </w:r>
    </w:p>
    <w:p w14:paraId="42B8F75D">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2.确定成交供应商</w:t>
      </w:r>
    </w:p>
    <w:p w14:paraId="4CCE62AB">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lang w:eastAsia="zh-CN"/>
        </w:rPr>
        <w:t>评审</w:t>
      </w:r>
      <w:r>
        <w:rPr>
          <w:rFonts w:hint="eastAsia" w:ascii="仿宋" w:hAnsi="仿宋" w:eastAsia="仿宋" w:cs="仿宋"/>
          <w:color w:val="auto"/>
          <w:kern w:val="0"/>
          <w:sz w:val="24"/>
        </w:rPr>
        <w:t>小组独立开展工作，开启所有</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评审</w:t>
      </w:r>
      <w:r>
        <w:rPr>
          <w:rFonts w:hint="eastAsia" w:ascii="仿宋" w:hAnsi="仿宋" w:eastAsia="仿宋" w:cs="仿宋"/>
          <w:color w:val="auto"/>
          <w:kern w:val="0"/>
          <w:sz w:val="24"/>
        </w:rPr>
        <w:t>小组根据评比办法确定</w:t>
      </w:r>
      <w:r>
        <w:rPr>
          <w:rFonts w:hint="eastAsia" w:ascii="仿宋" w:hAnsi="仿宋" w:eastAsia="仿宋" w:cs="仿宋"/>
          <w:color w:val="auto"/>
          <w:kern w:val="0"/>
          <w:sz w:val="24"/>
          <w:lang w:eastAsia="zh-CN"/>
        </w:rPr>
        <w:t>成交供应商候选人</w:t>
      </w:r>
      <w:r>
        <w:rPr>
          <w:rFonts w:hint="eastAsia" w:ascii="仿宋" w:hAnsi="仿宋" w:eastAsia="仿宋" w:cs="仿宋"/>
          <w:color w:val="auto"/>
          <w:kern w:val="0"/>
          <w:sz w:val="24"/>
        </w:rPr>
        <w:t>并出具书面采购报告书。报价经</w:t>
      </w:r>
      <w:r>
        <w:rPr>
          <w:rFonts w:hint="eastAsia" w:ascii="仿宋" w:hAnsi="仿宋" w:eastAsia="仿宋" w:cs="仿宋"/>
          <w:color w:val="auto"/>
          <w:kern w:val="0"/>
          <w:sz w:val="24"/>
          <w:lang w:eastAsia="zh-CN"/>
        </w:rPr>
        <w:t>评审</w:t>
      </w:r>
      <w:r>
        <w:rPr>
          <w:rFonts w:hint="eastAsia" w:ascii="仿宋" w:hAnsi="仿宋" w:eastAsia="仿宋" w:cs="仿宋"/>
          <w:color w:val="auto"/>
          <w:kern w:val="0"/>
          <w:sz w:val="24"/>
        </w:rPr>
        <w:t>小组确认，该报价即为双方签约的合同价，</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作为合同的组情形之一的，按无效报价处理：</w:t>
      </w:r>
    </w:p>
    <w:p w14:paraId="282D878B">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eastAsia="zh-CN"/>
        </w:rPr>
        <w:t>响应文件</w:t>
      </w:r>
      <w:r>
        <w:rPr>
          <w:rFonts w:hint="eastAsia" w:ascii="仿宋" w:hAnsi="仿宋" w:eastAsia="仿宋" w:cs="仿宋"/>
          <w:color w:val="auto"/>
          <w:kern w:val="0"/>
          <w:sz w:val="24"/>
        </w:rPr>
        <w:t>未按规定的格式填写，内容不全或关键字迹模糊、无法辨认的；</w:t>
      </w:r>
    </w:p>
    <w:p w14:paraId="1D6631B3">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(2)未实质性响应“采购要求”的；</w:t>
      </w:r>
    </w:p>
    <w:p w14:paraId="26A962D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(3)报价超过最高限价的；</w:t>
      </w:r>
    </w:p>
    <w:p w14:paraId="33169247">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(4)未响应本</w:t>
      </w:r>
      <w:r>
        <w:rPr>
          <w:rFonts w:hint="eastAsia" w:ascii="仿宋" w:hAnsi="仿宋" w:eastAsia="仿宋" w:cs="仿宋"/>
          <w:color w:val="auto"/>
          <w:kern w:val="0"/>
          <w:sz w:val="24"/>
          <w:lang w:eastAsia="zh-CN"/>
        </w:rPr>
        <w:t>竞争性谈判公告</w:t>
      </w:r>
      <w:r>
        <w:rPr>
          <w:rFonts w:hint="eastAsia" w:ascii="仿宋" w:hAnsi="仿宋" w:eastAsia="仿宋" w:cs="仿宋"/>
          <w:color w:val="auto"/>
          <w:kern w:val="0"/>
          <w:sz w:val="24"/>
        </w:rPr>
        <w:t>其他实质性规定的。</w:t>
      </w:r>
    </w:p>
    <w:p w14:paraId="2204FE34">
      <w:pPr>
        <w:widowControl/>
        <w:adjustRightInd w:val="0"/>
        <w:spacing w:line="400" w:lineRule="exact"/>
        <w:jc w:val="left"/>
        <w:rPr>
          <w:rFonts w:hint="eastAsia" w:ascii="仿宋" w:hAnsi="仿宋" w:eastAsia="仿宋" w:cs="仿宋"/>
          <w:color w:val="auto"/>
          <w:kern w:val="0"/>
          <w:sz w:val="24"/>
        </w:rPr>
      </w:pPr>
      <w:r>
        <w:rPr>
          <w:rFonts w:hint="eastAsia" w:ascii="仿宋" w:hAnsi="仿宋" w:eastAsia="仿宋" w:cs="仿宋"/>
          <w:b/>
          <w:color w:val="auto"/>
          <w:kern w:val="0"/>
          <w:sz w:val="24"/>
        </w:rPr>
        <w:t>八</w:t>
      </w:r>
      <w:r>
        <w:rPr>
          <w:rFonts w:hint="eastAsia" w:ascii="仿宋" w:hAnsi="仿宋" w:eastAsia="仿宋" w:cs="仿宋"/>
          <w:b/>
          <w:color w:val="auto"/>
          <w:kern w:val="0"/>
          <w:sz w:val="24"/>
          <w:lang w:eastAsia="zh-CN"/>
        </w:rPr>
        <w:t>、</w:t>
      </w:r>
      <w:r>
        <w:rPr>
          <w:rFonts w:hint="eastAsia" w:ascii="仿宋" w:hAnsi="仿宋" w:eastAsia="仿宋" w:cs="仿宋"/>
          <w:b/>
          <w:color w:val="auto"/>
          <w:kern w:val="0"/>
          <w:sz w:val="24"/>
        </w:rPr>
        <w:t>签订合同</w:t>
      </w:r>
    </w:p>
    <w:p w14:paraId="6A9777F3">
      <w:pPr>
        <w:widowControl/>
        <w:adjustRightInd w:val="0"/>
        <w:spacing w:line="400" w:lineRule="exact"/>
        <w:ind w:firstLine="560"/>
        <w:jc w:val="left"/>
        <w:rPr>
          <w:rFonts w:hint="eastAsia" w:ascii="仿宋" w:hAnsi="仿宋" w:eastAsia="仿宋" w:cs="仿宋"/>
          <w:color w:val="auto"/>
          <w:kern w:val="0"/>
          <w:sz w:val="24"/>
        </w:rPr>
      </w:pPr>
      <w:r>
        <w:rPr>
          <w:rFonts w:hint="eastAsia" w:ascii="仿宋" w:hAnsi="仿宋" w:eastAsia="仿宋" w:cs="仿宋"/>
          <w:color w:val="auto"/>
          <w:kern w:val="0"/>
          <w:sz w:val="24"/>
        </w:rPr>
        <w:t>成交供应商在收到成交通知后5个工作日内签订合同。若成交供应商未在规定时间内签订合同或不按规定履约，采购人有权取消其成交资格，排名第二的供应商递补为成交供应商。同时采购人可保留重新采购的权利。</w:t>
      </w:r>
    </w:p>
    <w:p w14:paraId="0F7E6DE7">
      <w:pPr>
        <w:widowControl/>
        <w:adjustRightInd w:val="0"/>
        <w:spacing w:line="400" w:lineRule="exact"/>
        <w:jc w:val="left"/>
        <w:rPr>
          <w:rFonts w:hint="eastAsia" w:ascii="仿宋" w:hAnsi="仿宋" w:eastAsia="仿宋" w:cs="仿宋"/>
          <w:color w:val="auto"/>
          <w:kern w:val="0"/>
          <w:sz w:val="24"/>
        </w:rPr>
      </w:pPr>
      <w:r>
        <w:rPr>
          <w:rFonts w:hint="eastAsia" w:ascii="仿宋" w:hAnsi="仿宋" w:eastAsia="仿宋" w:cs="仿宋"/>
          <w:b/>
          <w:color w:val="auto"/>
          <w:kern w:val="0"/>
          <w:sz w:val="24"/>
        </w:rPr>
        <w:t>九、其他</w:t>
      </w:r>
    </w:p>
    <w:p w14:paraId="7A324425">
      <w:pPr>
        <w:widowControl/>
        <w:adjustRightInd w:val="0"/>
        <w:spacing w:line="400" w:lineRule="exact"/>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本项目的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代理费用由中标单位支付，代理费用为</w:t>
      </w:r>
      <w:r>
        <w:rPr>
          <w:rFonts w:hint="eastAsia" w:ascii="仿宋" w:hAnsi="仿宋" w:eastAsia="仿宋" w:cs="仿宋"/>
          <w:color w:val="auto"/>
          <w:sz w:val="24"/>
          <w:lang w:val="en-US" w:eastAsia="zh-CN"/>
        </w:rPr>
        <w:t>2000</w:t>
      </w:r>
      <w:r>
        <w:rPr>
          <w:rFonts w:hint="eastAsia" w:ascii="仿宋" w:hAnsi="仿宋" w:eastAsia="仿宋" w:cs="仿宋"/>
          <w:color w:val="auto"/>
          <w:sz w:val="24"/>
        </w:rPr>
        <w:t>元直接支付给采购代理单位，</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人在报价时应综合考虑该笔费用，但不单列进</w:t>
      </w:r>
      <w:r>
        <w:rPr>
          <w:rFonts w:hint="eastAsia" w:ascii="仿宋" w:hAnsi="仿宋" w:eastAsia="仿宋" w:cs="仿宋"/>
          <w:color w:val="auto"/>
          <w:sz w:val="24"/>
          <w:lang w:val="en-US" w:eastAsia="zh-CN"/>
        </w:rPr>
        <w:t>响应</w:t>
      </w:r>
      <w:r>
        <w:rPr>
          <w:rFonts w:hint="eastAsia" w:ascii="仿宋" w:hAnsi="仿宋" w:eastAsia="仿宋" w:cs="仿宋"/>
          <w:color w:val="auto"/>
          <w:sz w:val="24"/>
        </w:rPr>
        <w:t>总价</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成交供应商</w:t>
      </w:r>
      <w:r>
        <w:rPr>
          <w:rFonts w:hint="eastAsia" w:ascii="仿宋" w:hAnsi="仿宋" w:eastAsia="仿宋" w:cs="仿宋"/>
          <w:color w:val="auto"/>
          <w:kern w:val="0"/>
          <w:sz w:val="24"/>
        </w:rPr>
        <w:t>在领取中标通知书前需支付</w:t>
      </w:r>
      <w:r>
        <w:rPr>
          <w:rFonts w:hint="eastAsia" w:ascii="仿宋" w:hAnsi="仿宋" w:eastAsia="仿宋" w:cs="仿宋"/>
          <w:color w:val="auto"/>
          <w:kern w:val="0"/>
          <w:sz w:val="24"/>
          <w:lang w:val="en-US" w:eastAsia="zh-CN"/>
        </w:rPr>
        <w:t>采购</w:t>
      </w:r>
      <w:r>
        <w:rPr>
          <w:rFonts w:hint="eastAsia" w:ascii="仿宋" w:hAnsi="仿宋" w:eastAsia="仿宋" w:cs="仿宋"/>
          <w:color w:val="auto"/>
          <w:kern w:val="0"/>
          <w:sz w:val="24"/>
        </w:rPr>
        <w:t>代理费。</w:t>
      </w:r>
    </w:p>
    <w:p w14:paraId="47A32C3D">
      <w:pPr>
        <w:widowControl/>
        <w:adjustRightInd w:val="0"/>
        <w:spacing w:line="400" w:lineRule="exact"/>
        <w:jc w:val="left"/>
        <w:rPr>
          <w:rFonts w:hint="eastAsia" w:ascii="仿宋" w:hAnsi="仿宋" w:eastAsia="仿宋" w:cs="仿宋"/>
          <w:b/>
          <w:color w:val="auto"/>
          <w:kern w:val="0"/>
          <w:sz w:val="24"/>
        </w:rPr>
      </w:pPr>
      <w:r>
        <w:rPr>
          <w:rFonts w:hint="eastAsia" w:ascii="仿宋" w:hAnsi="仿宋" w:eastAsia="仿宋" w:cs="仿宋"/>
          <w:b/>
          <w:color w:val="auto"/>
          <w:kern w:val="0"/>
          <w:sz w:val="24"/>
        </w:rPr>
        <w:t>十、联系方式</w:t>
      </w:r>
    </w:p>
    <w:p w14:paraId="541B27D8">
      <w:pPr>
        <w:widowControl/>
        <w:adjustRightInd w:val="0"/>
        <w:spacing w:line="400" w:lineRule="exact"/>
        <w:ind w:firstLine="56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rPr>
        <w:t>采购人：</w:t>
      </w:r>
      <w:r>
        <w:rPr>
          <w:rFonts w:hint="eastAsia" w:ascii="仿宋" w:hAnsi="仿宋" w:eastAsia="仿宋" w:cs="仿宋"/>
          <w:b w:val="0"/>
          <w:bCs w:val="0"/>
          <w:i w:val="0"/>
          <w:iCs w:val="0"/>
          <w:caps w:val="0"/>
          <w:color w:val="auto"/>
          <w:spacing w:val="0"/>
          <w:kern w:val="0"/>
          <w:sz w:val="24"/>
          <w:szCs w:val="24"/>
          <w:shd w:val="clear"/>
        </w:rPr>
        <w:t>杭州市余杭区</w:t>
      </w:r>
      <w:r>
        <w:rPr>
          <w:rFonts w:hint="eastAsia" w:ascii="仿宋" w:hAnsi="仿宋" w:eastAsia="仿宋" w:cs="仿宋"/>
          <w:b w:val="0"/>
          <w:bCs w:val="0"/>
          <w:i w:val="0"/>
          <w:iCs w:val="0"/>
          <w:caps w:val="0"/>
          <w:color w:val="auto"/>
          <w:spacing w:val="0"/>
          <w:kern w:val="0"/>
          <w:sz w:val="24"/>
          <w:szCs w:val="24"/>
          <w:shd w:val="clear"/>
          <w:lang w:val="en-US" w:eastAsia="zh-CN"/>
        </w:rPr>
        <w:t>人民政府</w:t>
      </w:r>
      <w:r>
        <w:rPr>
          <w:rFonts w:hint="eastAsia" w:ascii="仿宋" w:hAnsi="仿宋" w:eastAsia="仿宋" w:cs="仿宋"/>
          <w:b w:val="0"/>
          <w:bCs w:val="0"/>
          <w:i w:val="0"/>
          <w:iCs w:val="0"/>
          <w:caps w:val="0"/>
          <w:color w:val="auto"/>
          <w:spacing w:val="0"/>
          <w:kern w:val="0"/>
          <w:sz w:val="24"/>
          <w:szCs w:val="24"/>
          <w:shd w:val="clear"/>
        </w:rPr>
        <w:t>仓前街道</w:t>
      </w:r>
      <w:r>
        <w:rPr>
          <w:rFonts w:hint="eastAsia" w:ascii="仿宋" w:hAnsi="仿宋" w:eastAsia="仿宋" w:cs="仿宋"/>
          <w:b w:val="0"/>
          <w:bCs w:val="0"/>
          <w:i w:val="0"/>
          <w:iCs w:val="0"/>
          <w:caps w:val="0"/>
          <w:color w:val="auto"/>
          <w:spacing w:val="0"/>
          <w:kern w:val="0"/>
          <w:sz w:val="24"/>
          <w:szCs w:val="24"/>
          <w:shd w:val="clear"/>
          <w:lang w:val="en-US" w:eastAsia="zh-CN"/>
        </w:rPr>
        <w:t>办事处</w:t>
      </w:r>
    </w:p>
    <w:p w14:paraId="3FF2015F">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联系人：高燕</w:t>
      </w:r>
    </w:p>
    <w:p w14:paraId="0701F50C">
      <w:pPr>
        <w:widowControl/>
        <w:adjustRightInd w:val="0"/>
        <w:spacing w:line="400" w:lineRule="exact"/>
        <w:ind w:firstLine="56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联系电话：13777843248</w:t>
      </w:r>
      <w:r>
        <w:rPr>
          <w:rFonts w:hint="eastAsia" w:ascii="仿宋" w:hAnsi="仿宋" w:eastAsia="仿宋" w:cs="仿宋"/>
          <w:color w:val="auto"/>
          <w:kern w:val="0"/>
          <w:sz w:val="24"/>
          <w:lang w:val="en-US" w:eastAsia="zh-CN"/>
        </w:rPr>
        <w:t xml:space="preserve">  </w:t>
      </w:r>
    </w:p>
    <w:p w14:paraId="46AAD83F">
      <w:pPr>
        <w:widowControl/>
        <w:adjustRightInd w:val="0"/>
        <w:spacing w:line="400" w:lineRule="exact"/>
        <w:jc w:val="left"/>
        <w:rPr>
          <w:rFonts w:hint="eastAsia" w:ascii="仿宋" w:hAnsi="仿宋" w:eastAsia="仿宋" w:cs="仿宋"/>
          <w:b w:val="0"/>
          <w:bCs w:val="0"/>
          <w:i w:val="0"/>
          <w:iCs w:val="0"/>
          <w:caps w:val="0"/>
          <w:color w:val="auto"/>
          <w:spacing w:val="0"/>
          <w:kern w:val="0"/>
          <w:sz w:val="24"/>
          <w:szCs w:val="24"/>
          <w:shd w:val="clear"/>
        </w:rPr>
      </w:pPr>
    </w:p>
    <w:p w14:paraId="0A4B84E1">
      <w:pPr>
        <w:widowControl/>
        <w:adjustRightInd w:val="0"/>
        <w:spacing w:line="400" w:lineRule="exact"/>
        <w:jc w:val="right"/>
        <w:rPr>
          <w:rFonts w:hint="eastAsia" w:ascii="仿宋" w:hAnsi="仿宋" w:eastAsia="仿宋" w:cs="仿宋"/>
          <w:color w:val="auto"/>
          <w:kern w:val="0"/>
          <w:sz w:val="24"/>
          <w:highlight w:val="none"/>
          <w:lang w:eastAsia="zh-CN"/>
        </w:rPr>
      </w:pPr>
      <w:r>
        <w:rPr>
          <w:rFonts w:hint="eastAsia" w:ascii="仿宋" w:hAnsi="仿宋" w:eastAsia="仿宋" w:cs="仿宋"/>
          <w:b w:val="0"/>
          <w:bCs w:val="0"/>
          <w:i w:val="0"/>
          <w:iCs w:val="0"/>
          <w:caps w:val="0"/>
          <w:color w:val="auto"/>
          <w:spacing w:val="0"/>
          <w:kern w:val="0"/>
          <w:sz w:val="24"/>
          <w:szCs w:val="24"/>
          <w:shd w:val="clear"/>
        </w:rPr>
        <w:t>杭州市余杭区</w:t>
      </w:r>
      <w:r>
        <w:rPr>
          <w:rFonts w:hint="eastAsia" w:ascii="仿宋" w:hAnsi="仿宋" w:eastAsia="仿宋" w:cs="仿宋"/>
          <w:b w:val="0"/>
          <w:bCs w:val="0"/>
          <w:i w:val="0"/>
          <w:iCs w:val="0"/>
          <w:caps w:val="0"/>
          <w:color w:val="auto"/>
          <w:spacing w:val="0"/>
          <w:kern w:val="0"/>
          <w:sz w:val="24"/>
          <w:szCs w:val="24"/>
          <w:shd w:val="clear"/>
          <w:lang w:val="en-US" w:eastAsia="zh-CN"/>
        </w:rPr>
        <w:t>人民</w:t>
      </w:r>
      <w:r>
        <w:rPr>
          <w:rFonts w:hint="eastAsia" w:ascii="仿宋" w:hAnsi="仿宋" w:eastAsia="仿宋" w:cs="仿宋"/>
          <w:b w:val="0"/>
          <w:bCs w:val="0"/>
          <w:i w:val="0"/>
          <w:iCs w:val="0"/>
          <w:caps w:val="0"/>
          <w:color w:val="auto"/>
          <w:spacing w:val="0"/>
          <w:kern w:val="0"/>
          <w:sz w:val="24"/>
          <w:szCs w:val="24"/>
          <w:highlight w:val="none"/>
          <w:shd w:val="clear"/>
          <w:lang w:val="en-US" w:eastAsia="zh-CN"/>
        </w:rPr>
        <w:t>政府</w:t>
      </w:r>
      <w:r>
        <w:rPr>
          <w:rFonts w:hint="eastAsia" w:ascii="仿宋" w:hAnsi="仿宋" w:eastAsia="仿宋" w:cs="仿宋"/>
          <w:b w:val="0"/>
          <w:bCs w:val="0"/>
          <w:i w:val="0"/>
          <w:iCs w:val="0"/>
          <w:caps w:val="0"/>
          <w:color w:val="auto"/>
          <w:spacing w:val="0"/>
          <w:kern w:val="0"/>
          <w:sz w:val="24"/>
          <w:szCs w:val="24"/>
          <w:highlight w:val="none"/>
          <w:shd w:val="clear"/>
        </w:rPr>
        <w:t>仓前街道</w:t>
      </w:r>
      <w:r>
        <w:rPr>
          <w:rFonts w:hint="eastAsia" w:ascii="仿宋" w:hAnsi="仿宋" w:eastAsia="仿宋" w:cs="仿宋"/>
          <w:b w:val="0"/>
          <w:bCs w:val="0"/>
          <w:i w:val="0"/>
          <w:iCs w:val="0"/>
          <w:caps w:val="0"/>
          <w:color w:val="auto"/>
          <w:spacing w:val="0"/>
          <w:kern w:val="0"/>
          <w:sz w:val="24"/>
          <w:szCs w:val="24"/>
          <w:highlight w:val="none"/>
          <w:shd w:val="clear"/>
          <w:lang w:val="en-US" w:eastAsia="zh-CN"/>
        </w:rPr>
        <w:t>办事处</w:t>
      </w:r>
    </w:p>
    <w:p w14:paraId="6C25B268">
      <w:pPr>
        <w:widowControl/>
        <w:adjustRightInd w:val="0"/>
        <w:jc w:val="right"/>
        <w:rPr>
          <w:rFonts w:hint="eastAsia" w:ascii="仿宋" w:hAnsi="仿宋" w:eastAsia="仿宋" w:cs="仿宋"/>
          <w:b/>
          <w:color w:val="auto"/>
          <w:kern w:val="0"/>
          <w:sz w:val="24"/>
        </w:rPr>
      </w:pPr>
      <w:r>
        <w:rPr>
          <w:rFonts w:hint="eastAsia" w:ascii="仿宋" w:hAnsi="仿宋" w:eastAsia="仿宋" w:cs="仿宋"/>
          <w:color w:val="auto"/>
          <w:kern w:val="0"/>
          <w:sz w:val="24"/>
          <w:highlight w:val="yellow"/>
          <w:lang w:val="en-US" w:eastAsia="zh-CN"/>
        </w:rPr>
        <w:t>2025年5月  日</w:t>
      </w:r>
      <w:r>
        <w:rPr>
          <w:rFonts w:hint="eastAsia" w:ascii="仿宋" w:hAnsi="仿宋" w:eastAsia="仿宋" w:cs="仿宋"/>
          <w:b/>
          <w:color w:val="auto"/>
          <w:kern w:val="0"/>
          <w:sz w:val="24"/>
        </w:rPr>
        <w:br w:type="page"/>
      </w:r>
    </w:p>
    <w:p w14:paraId="2C89D314">
      <w:pPr>
        <w:widowControl/>
        <w:adjustRightInd w:val="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第二章  采购需求</w:t>
      </w:r>
    </w:p>
    <w:p w14:paraId="248AEAA5">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一、项目背景</w:t>
      </w:r>
    </w:p>
    <w:p w14:paraId="0E68D206">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为深度分析杭州市余杭区仓前街道办事处第五次经济普查数据，对街道本次普查成果转化为有效服务，研究方案提出的研究目标明确且符合课题开展预期目的；研究思路清晰、内容具体、重点突出；研究方法科学，技术路线合理；研究基础扎实、力量较强；研究经费预算合理。</w:t>
      </w:r>
    </w:p>
    <w:p w14:paraId="7EAA7727">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333333"/>
          <w:spacing w:val="0"/>
          <w:sz w:val="24"/>
          <w:szCs w:val="24"/>
          <w:lang w:val="en-US" w:eastAsia="zh-CN"/>
        </w:rPr>
      </w:pPr>
    </w:p>
    <w:p w14:paraId="358D601F">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二、服务要求</w:t>
      </w:r>
    </w:p>
    <w:p w14:paraId="2953AE5D">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right="0" w:rightChars="0" w:firstLine="480" w:firstLineChars="200"/>
        <w:jc w:val="both"/>
        <w:textAlignment w:val="auto"/>
        <w:rPr>
          <w:rFonts w:hint="eastAsia"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lang w:val="en-US" w:eastAsia="zh-CN"/>
        </w:rPr>
        <w:t xml:space="preserve">1、工作内容及要求：利用杭州市余杭区仓前街道办事处第五次经济普查数据，对街道规模以上企业就业人员工资状况进行研究，多维度解读，将本次普查成果转化为有效服务，满足党政领导、有关部门和社会各界了解形势，制定相关政策、规划和决策等方面的需要。  </w:t>
      </w:r>
    </w:p>
    <w:p w14:paraId="32E3B78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rPr>
        <w:t>　　</w:t>
      </w:r>
      <w:r>
        <w:rPr>
          <w:rFonts w:hint="eastAsia" w:ascii="仿宋" w:hAnsi="仿宋" w:eastAsia="仿宋" w:cs="仿宋"/>
          <w:i w:val="0"/>
          <w:iCs w:val="0"/>
          <w:caps w:val="0"/>
          <w:color w:val="333333"/>
          <w:spacing w:val="0"/>
          <w:sz w:val="24"/>
          <w:szCs w:val="24"/>
          <w:shd w:val="clear" w:fill="FFFFFF"/>
          <w:lang w:val="en-US" w:eastAsia="zh-CN"/>
        </w:rPr>
        <w:t>2、</w:t>
      </w:r>
      <w:r>
        <w:rPr>
          <w:rFonts w:hint="eastAsia" w:ascii="仿宋" w:hAnsi="仿宋" w:eastAsia="仿宋" w:cs="仿宋"/>
          <w:i w:val="0"/>
          <w:iCs w:val="0"/>
          <w:caps w:val="0"/>
          <w:color w:val="333333"/>
          <w:spacing w:val="0"/>
          <w:sz w:val="24"/>
          <w:szCs w:val="24"/>
          <w:shd w:val="clear" w:fill="FFFFFF"/>
        </w:rPr>
        <w:t>研究团队须符合保密、回避等相关要求，且5年内不能作为课题成果转化应用的承接单位。</w:t>
      </w:r>
    </w:p>
    <w:p w14:paraId="77AB068F">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i w:val="0"/>
          <w:iCs w:val="0"/>
          <w:caps w:val="0"/>
          <w:color w:val="333333"/>
          <w:spacing w:val="0"/>
          <w:kern w:val="0"/>
          <w:sz w:val="24"/>
          <w:szCs w:val="24"/>
          <w:lang w:val="en-US" w:eastAsia="zh-CN" w:bidi="ar"/>
        </w:rPr>
        <w:t>三、服务期：自合同签订之日起三个月。</w:t>
      </w:r>
    </w:p>
    <w:p w14:paraId="1E4DD810">
      <w:pPr>
        <w:pStyle w:val="5"/>
        <w:rPr>
          <w:rFonts w:hint="default" w:eastAsia="宋体"/>
          <w:i w:val="0"/>
          <w:iCs/>
          <w:lang w:val="en-US" w:eastAsia="zh-CN"/>
        </w:rPr>
      </w:pPr>
    </w:p>
    <w:p w14:paraId="32437639">
      <w:pPr>
        <w:jc w:val="center"/>
        <w:rPr>
          <w:rFonts w:hint="eastAsia" w:ascii="仿宋" w:hAnsi="仿宋" w:eastAsia="仿宋" w:cs="仿宋"/>
          <w:color w:val="auto"/>
          <w:kern w:val="0"/>
          <w:sz w:val="24"/>
        </w:rPr>
      </w:pPr>
    </w:p>
    <w:p w14:paraId="500B1F08">
      <w:pPr>
        <w:widowControl/>
        <w:snapToGrid w:val="0"/>
        <w:jc w:val="center"/>
        <w:rPr>
          <w:rFonts w:hint="eastAsia" w:ascii="仿宋" w:hAnsi="仿宋" w:eastAsia="仿宋" w:cs="仿宋"/>
          <w:color w:val="auto"/>
          <w:sz w:val="24"/>
          <w:szCs w:val="24"/>
        </w:rPr>
      </w:pPr>
    </w:p>
    <w:p w14:paraId="3BB1CA5A">
      <w:pPr>
        <w:widowControl/>
        <w:snapToGrid w:val="0"/>
        <w:jc w:val="center"/>
        <w:rPr>
          <w:rFonts w:hint="eastAsia" w:ascii="仿宋" w:hAnsi="仿宋" w:eastAsia="仿宋" w:cs="仿宋"/>
          <w:sz w:val="24"/>
          <w:szCs w:val="24"/>
        </w:rPr>
      </w:pPr>
      <w:r>
        <w:rPr>
          <w:rFonts w:hint="eastAsia" w:ascii="仿宋" w:hAnsi="仿宋" w:eastAsia="仿宋" w:cs="仿宋"/>
          <w:sz w:val="24"/>
          <w:szCs w:val="24"/>
          <w:lang w:val="en-US" w:eastAsia="zh-CN"/>
        </w:rPr>
        <w:t>扫描查看报价函、授权委托书等格式</w:t>
      </w:r>
    </w:p>
    <w:p w14:paraId="7D5D70D5">
      <w:pPr>
        <w:widowControl/>
        <w:snapToGrid w:val="0"/>
        <w:jc w:val="center"/>
        <w:rPr>
          <w:rFonts w:hint="eastAsia" w:ascii="仿宋" w:hAnsi="仿宋" w:eastAsia="仿宋" w:cs="仿宋"/>
        </w:rPr>
      </w:pPr>
    </w:p>
    <w:p w14:paraId="4683BE32">
      <w:pPr>
        <w:widowControl/>
        <w:snapToGrid w:val="0"/>
        <w:jc w:val="center"/>
      </w:pPr>
      <w:r>
        <w:drawing>
          <wp:inline distT="0" distB="0" distL="114300" distR="114300">
            <wp:extent cx="2552700" cy="251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52700" cy="2514600"/>
                    </a:xfrm>
                    <a:prstGeom prst="rect">
                      <a:avLst/>
                    </a:prstGeom>
                    <a:noFill/>
                    <a:ln>
                      <a:noFill/>
                    </a:ln>
                  </pic:spPr>
                </pic:pic>
              </a:graphicData>
            </a:graphic>
          </wp:inline>
        </w:drawing>
      </w:r>
    </w:p>
    <w:p w14:paraId="796DD17C">
      <w:pPr>
        <w:widowControl/>
        <w:snapToGrid w:val="0"/>
        <w:jc w:val="center"/>
        <w:rPr>
          <w:rFonts w:hint="eastAsia"/>
          <w:lang w:eastAsia="zh-CN"/>
        </w:rPr>
      </w:pPr>
    </w:p>
    <w:p w14:paraId="63D01124">
      <w:pPr>
        <w:widowControl/>
        <w:snapToGrid w:val="0"/>
        <w:jc w:val="center"/>
        <w:rPr>
          <w:rFonts w:hint="eastAsia"/>
          <w:lang w:eastAsia="zh-CN"/>
        </w:rPr>
      </w:pPr>
    </w:p>
    <w:p w14:paraId="21C805CD">
      <w:pPr>
        <w:widowControl/>
        <w:snapToGrid w:val="0"/>
        <w:jc w:val="both"/>
        <w:rPr>
          <w:rFonts w:hint="eastAsia"/>
          <w:lang w:eastAsia="zh-CN"/>
        </w:rPr>
      </w:pPr>
    </w:p>
    <w:sectPr>
      <w:pgSz w:w="11906" w:h="16838"/>
      <w:pgMar w:top="1418" w:right="1588" w:bottom="113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C3490"/>
    <w:rsid w:val="11054383"/>
    <w:rsid w:val="118C41A0"/>
    <w:rsid w:val="34DA7C9D"/>
    <w:rsid w:val="3E19298B"/>
    <w:rsid w:val="5EF92E6A"/>
    <w:rsid w:val="65F231A8"/>
    <w:rsid w:val="66F216C3"/>
    <w:rsid w:val="696F2A56"/>
    <w:rsid w:val="78F12C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6"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6"/>
    <w:pPr>
      <w:keepNext/>
      <w:spacing w:before="240" w:after="60"/>
      <w:outlineLvl w:val="1"/>
    </w:pPr>
    <w:rPr>
      <w:rFonts w:ascii="Arial" w:hAnsi="Arial"/>
      <w:b/>
      <w:i/>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style>
  <w:style w:type="paragraph" w:styleId="3">
    <w:name w:val="Body Text"/>
    <w:basedOn w:val="1"/>
    <w:next w:val="4"/>
    <w:qFormat/>
    <w:uiPriority w:val="99"/>
  </w:style>
  <w:style w:type="paragraph" w:customStyle="1" w:styleId="4">
    <w:name w:val="Default"/>
    <w:next w:val="1"/>
    <w:qFormat/>
    <w:uiPriority w:val="0"/>
    <w:pPr>
      <w:widowControl w:val="0"/>
      <w:tabs>
        <w:tab w:val="left" w:pos="924"/>
      </w:tabs>
      <w:autoSpaceDE w:val="0"/>
      <w:autoSpaceDN w:val="0"/>
      <w:adjustRightInd w:val="0"/>
    </w:pPr>
    <w:rPr>
      <w:rFonts w:ascii="Arial" w:hAnsi="Arial" w:eastAsia="宋体" w:cs="Arial"/>
      <w:color w:val="000000"/>
      <w:sz w:val="24"/>
      <w:szCs w:val="24"/>
      <w:lang w:val="en-US" w:eastAsia="zh-CN" w:bidi="ar-SA"/>
    </w:rPr>
  </w:style>
  <w:style w:type="paragraph" w:styleId="6">
    <w:name w:val="annotation text"/>
    <w:basedOn w:val="1"/>
    <w:semiHidden/>
    <w:unhideWhenUsed/>
    <w:qFormat/>
    <w:uiPriority w:val="0"/>
    <w:pPr>
      <w:jc w:val="left"/>
    </w:pPr>
  </w:style>
  <w:style w:type="paragraph" w:styleId="7">
    <w:name w:val="Body Text Indent"/>
    <w:basedOn w:val="1"/>
    <w:next w:val="8"/>
    <w:qFormat/>
    <w:uiPriority w:val="0"/>
    <w:pPr>
      <w:ind w:firstLine="645"/>
    </w:pPr>
    <w:rPr>
      <w:sz w:val="28"/>
    </w:rPr>
  </w:style>
  <w:style w:type="paragraph" w:customStyle="1" w:styleId="8">
    <w:name w:val="正文文本首行缩进 2"/>
    <w:basedOn w:val="7"/>
    <w:qFormat/>
    <w:uiPriority w:val="99"/>
    <w:pPr>
      <w:spacing w:line="200" w:lineRule="atLeast"/>
      <w:ind w:firstLine="420"/>
    </w:pPr>
    <w:rPr>
      <w:rFonts w:ascii="宋体" w:hAnsi="Courier New"/>
      <w:spacing w:val="-4"/>
      <w:sz w:val="18"/>
    </w:rPr>
  </w:style>
  <w:style w:type="paragraph" w:styleId="9">
    <w:name w:val="Plain Text"/>
    <w:next w:val="1"/>
    <w:link w:val="21"/>
    <w:qFormat/>
    <w:uiPriority w:val="0"/>
    <w:pPr>
      <w:widowControl w:val="0"/>
      <w:spacing w:line="360" w:lineRule="auto"/>
      <w:ind w:firstLine="200" w:firstLineChars="200"/>
      <w:jc w:val="both"/>
    </w:pPr>
    <w:rPr>
      <w:rFonts w:ascii="宋体" w:hAnsi="Times New Roman" w:eastAsia="宋体" w:cs="Times New Roman"/>
      <w:sz w:val="24"/>
      <w:lang w:val="en-US" w:eastAsia="zh-CN" w:bidi="ar-SA"/>
    </w:rPr>
  </w:style>
  <w:style w:type="paragraph" w:styleId="10">
    <w:name w:val="footer"/>
    <w:basedOn w:val="1"/>
    <w:link w:val="20"/>
    <w:unhideWhenUsed/>
    <w:qFormat/>
    <w:uiPriority w:val="99"/>
    <w:pPr>
      <w:tabs>
        <w:tab w:val="center" w:pos="4153"/>
        <w:tab w:val="right" w:pos="8306"/>
      </w:tabs>
      <w:snapToGrid w:val="0"/>
      <w:jc w:val="left"/>
    </w:pPr>
    <w:rPr>
      <w:rFonts w:ascii="Calibri" w:hAnsi="Calibri" w:cs="黑体"/>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12">
    <w:name w:val="toc 1"/>
    <w:basedOn w:val="1"/>
    <w:next w:val="1"/>
    <w:qFormat/>
    <w:uiPriority w:val="0"/>
    <w:pPr>
      <w:widowControl/>
      <w:spacing w:after="100" w:line="259" w:lineRule="auto"/>
      <w:jc w:val="left"/>
    </w:pPr>
    <w:rPr>
      <w:rFonts w:ascii="等线" w:eastAsia="等线"/>
      <w:kern w:val="0"/>
      <w:sz w:val="22"/>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spacing w:line="200" w:lineRule="atLeast"/>
      <w:ind w:firstLine="420"/>
    </w:pPr>
    <w:rPr>
      <w:rFonts w:ascii="宋体" w:hAnsi="Courier New"/>
      <w:spacing w:val="-4"/>
      <w:sz w:val="18"/>
      <w:szCs w:val="20"/>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Char1"/>
    <w:basedOn w:val="1"/>
    <w:qFormat/>
    <w:uiPriority w:val="0"/>
    <w:rPr>
      <w:rFonts w:ascii="仿宋_GB2312" w:eastAsia="仿宋_GB2312"/>
      <w:b/>
      <w:sz w:val="32"/>
      <w:szCs w:val="32"/>
    </w:rPr>
  </w:style>
  <w:style w:type="character" w:customStyle="1" w:styleId="19">
    <w:name w:val="页眉 Char"/>
    <w:basedOn w:val="17"/>
    <w:link w:val="11"/>
    <w:semiHidden/>
    <w:qFormat/>
    <w:uiPriority w:val="99"/>
    <w:rPr>
      <w:sz w:val="18"/>
      <w:szCs w:val="18"/>
    </w:rPr>
  </w:style>
  <w:style w:type="character" w:customStyle="1" w:styleId="20">
    <w:name w:val="页脚 Char"/>
    <w:basedOn w:val="17"/>
    <w:link w:val="10"/>
    <w:semiHidden/>
    <w:qFormat/>
    <w:uiPriority w:val="99"/>
    <w:rPr>
      <w:sz w:val="18"/>
      <w:szCs w:val="18"/>
    </w:rPr>
  </w:style>
  <w:style w:type="character" w:customStyle="1" w:styleId="21">
    <w:name w:val="纯文本 Char"/>
    <w:basedOn w:val="17"/>
    <w:link w:val="9"/>
    <w:qFormat/>
    <w:uiPriority w:val="0"/>
    <w:rPr>
      <w:rFonts w:ascii="宋体" w:hAnsi="Times New Roman" w:eastAsia="宋体" w:cs="Times New Roman"/>
      <w:kern w:val="0"/>
      <w:sz w:val="24"/>
      <w:szCs w:val="20"/>
      <w:lang w:val="en-US" w:eastAsia="zh-CN"/>
    </w:rPr>
  </w:style>
  <w:style w:type="character" w:customStyle="1" w:styleId="22">
    <w:name w:val="font1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2260</Words>
  <Characters>2394</Characters>
  <Lines>19</Lines>
  <Paragraphs>5</Paragraphs>
  <TotalTime>6</TotalTime>
  <ScaleCrop>false</ScaleCrop>
  <LinksUpToDate>false</LinksUpToDate>
  <CharactersWithSpaces>2418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2018-08-20T11:03:00Z</dcterms:created>
  <dc:creator>微软用户</dc:creator>
  <cp:lastModifiedBy>V</cp:lastModifiedBy>
  <cp:lastPrinted>2021-12-23T15:03:00Z</cp:lastPrinted>
  <dcterms:modified xsi:type="dcterms:W3CDTF">2025-05-16T03:34:37Z</dcterms:modified>
  <dc:title>仓前街道政府采购竞争性谈判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46736B862C3647579419EF2AA84CAC26_13</vt:lpwstr>
  </property>
  <property fmtid="{D5CDD505-2E9C-101B-9397-08002B2CF9AE}" pid="4" name="KSOTemplateDocerSaveRecord">
    <vt:lpwstr>eyJoZGlkIjoiMDY1YWExYzhjZTE2MDUwYmU1Yjk5MTIxOTM5ZWZmOGIiLCJ1c2VySWQiOiI2Njg2MDgzNTMifQ==</vt:lpwstr>
  </property>
</Properties>
</file>