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B202">
      <w:pPr>
        <w:spacing w:line="360" w:lineRule="auto"/>
        <w:jc w:val="center"/>
        <w:rPr>
          <w:rFonts w:ascii="方正小标宋简体" w:hAnsi="方正小标宋简体" w:eastAsia="方正小标宋简体" w:cs="宋体"/>
          <w:sz w:val="44"/>
          <w:szCs w:val="44"/>
          <w:u w:val="single"/>
        </w:rPr>
      </w:pPr>
      <w:bookmarkStart w:id="0" w:name="_Toc20384570"/>
      <w:r>
        <w:rPr>
          <w:rFonts w:ascii="黑体" w:hAnsi="黑体" w:eastAsia="黑体" w:cs="宋体"/>
          <w:sz w:val="32"/>
          <w:szCs w:val="32"/>
        </w:rPr>
        <w:t xml:space="preserve"> </w:t>
      </w:r>
    </w:p>
    <w:p w14:paraId="3CF0DBF1">
      <w:pPr>
        <w:spacing w:line="360" w:lineRule="auto"/>
        <w:rPr>
          <w:rFonts w:ascii="方正小标宋简体" w:hAnsi="方正小标宋简体" w:eastAsia="方正小标宋简体" w:cs="宋体"/>
          <w:sz w:val="48"/>
          <w:szCs w:val="48"/>
        </w:rPr>
      </w:pPr>
    </w:p>
    <w:p w14:paraId="031EBC46">
      <w:pPr>
        <w:spacing w:line="360" w:lineRule="auto"/>
        <w:ind w:firstLine="840" w:firstLineChars="150"/>
        <w:rPr>
          <w:rFonts w:hint="eastAsia" w:ascii="仿宋" w:hAnsi="仿宋" w:eastAsia="仿宋" w:cs="仿宋"/>
          <w:b w:val="0"/>
          <w:bCs w:val="0"/>
          <w:sz w:val="56"/>
          <w:szCs w:val="56"/>
        </w:rPr>
      </w:pPr>
      <w:r>
        <w:rPr>
          <w:rFonts w:hint="eastAsia" w:ascii="仿宋" w:hAnsi="仿宋" w:eastAsia="仿宋" w:cs="仿宋"/>
          <w:b w:val="0"/>
          <w:bCs w:val="0"/>
          <w:sz w:val="56"/>
          <w:szCs w:val="56"/>
        </w:rPr>
        <w:t>杭州市政府采购项目采购需求</w:t>
      </w:r>
    </w:p>
    <w:p w14:paraId="4FB8C83A">
      <w:pPr>
        <w:spacing w:line="360" w:lineRule="auto"/>
        <w:rPr>
          <w:rFonts w:hint="eastAsia" w:ascii="仿宋" w:hAnsi="仿宋" w:eastAsia="仿宋" w:cs="仿宋"/>
          <w:b w:val="0"/>
          <w:bCs w:val="0"/>
          <w:sz w:val="36"/>
          <w:szCs w:val="36"/>
        </w:rPr>
      </w:pPr>
    </w:p>
    <w:p w14:paraId="420E28B8">
      <w:pPr>
        <w:spacing w:line="360" w:lineRule="auto"/>
        <w:ind w:firstLine="1920" w:firstLineChars="600"/>
        <w:rPr>
          <w:rFonts w:hint="eastAsia" w:ascii="仿宋" w:hAnsi="仿宋" w:eastAsia="仿宋" w:cs="仿宋"/>
          <w:b w:val="0"/>
          <w:bCs w:val="0"/>
          <w:sz w:val="32"/>
          <w:szCs w:val="32"/>
        </w:rPr>
      </w:pPr>
      <w:r>
        <w:rPr>
          <w:rFonts w:hint="eastAsia" w:ascii="仿宋" w:hAnsi="仿宋" w:eastAsia="仿宋" w:cs="仿宋"/>
          <w:b w:val="0"/>
          <w:bCs w:val="0"/>
          <w:sz w:val="32"/>
          <w:szCs w:val="32"/>
        </w:rPr>
        <w:t>项目编号：</w:t>
      </w:r>
      <w:r>
        <w:rPr>
          <w:rFonts w:hint="eastAsia" w:ascii="仿宋" w:hAnsi="仿宋" w:eastAsia="仿宋" w:cs="仿宋"/>
          <w:b w:val="0"/>
          <w:bCs w:val="0"/>
          <w:sz w:val="32"/>
          <w:szCs w:val="32"/>
          <w:u w:val="single"/>
        </w:rPr>
        <w:t xml:space="preserve"> </w:t>
      </w:r>
      <w:r>
        <w:rPr>
          <w:rFonts w:hint="eastAsia" w:ascii="仿宋" w:hAnsi="仿宋" w:eastAsia="仿宋" w:cs="仿宋"/>
          <w:b w:val="0"/>
          <w:bCs w:val="0"/>
          <w:sz w:val="32"/>
          <w:szCs w:val="32"/>
          <w:u w:val="single"/>
          <w:lang w:val="en-US" w:eastAsia="zh-CN"/>
        </w:rPr>
        <w:t xml:space="preserve">       /           </w:t>
      </w:r>
      <w:r>
        <w:rPr>
          <w:rFonts w:hint="eastAsia" w:ascii="仿宋" w:hAnsi="仿宋" w:eastAsia="仿宋" w:cs="仿宋"/>
          <w:b w:val="0"/>
          <w:bCs w:val="0"/>
          <w:sz w:val="32"/>
          <w:szCs w:val="32"/>
          <w:u w:val="single"/>
        </w:rPr>
        <w:t xml:space="preserve"> </w:t>
      </w:r>
    </w:p>
    <w:p w14:paraId="000E17BF">
      <w:pPr>
        <w:spacing w:line="360" w:lineRule="auto"/>
        <w:rPr>
          <w:rFonts w:hint="eastAsia" w:ascii="仿宋" w:hAnsi="仿宋" w:eastAsia="仿宋" w:cs="仿宋"/>
          <w:b w:val="0"/>
          <w:bCs w:val="0"/>
          <w:sz w:val="48"/>
          <w:szCs w:val="48"/>
        </w:rPr>
      </w:pPr>
    </w:p>
    <w:p w14:paraId="5FCFEA77">
      <w:pPr>
        <w:spacing w:line="360" w:lineRule="auto"/>
        <w:rPr>
          <w:rFonts w:hint="eastAsia" w:ascii="仿宋" w:hAnsi="仿宋" w:eastAsia="仿宋" w:cs="仿宋"/>
          <w:b w:val="0"/>
          <w:bCs w:val="0"/>
          <w:sz w:val="48"/>
          <w:szCs w:val="48"/>
        </w:rPr>
      </w:pPr>
    </w:p>
    <w:p w14:paraId="01DEB15E">
      <w:pPr>
        <w:spacing w:line="360" w:lineRule="auto"/>
        <w:rPr>
          <w:rFonts w:hint="eastAsia" w:ascii="仿宋" w:hAnsi="仿宋" w:eastAsia="仿宋" w:cs="仿宋"/>
          <w:b w:val="0"/>
          <w:bCs w:val="0"/>
          <w:sz w:val="48"/>
          <w:szCs w:val="48"/>
        </w:rPr>
      </w:pPr>
    </w:p>
    <w:p w14:paraId="484A6385">
      <w:pPr>
        <w:pStyle w:val="7"/>
        <w:rPr>
          <w:rFonts w:hint="eastAsia" w:ascii="仿宋" w:hAnsi="仿宋" w:eastAsia="仿宋" w:cs="仿宋"/>
          <w:b w:val="0"/>
          <w:bCs w:val="0"/>
          <w:sz w:val="28"/>
          <w:szCs w:val="28"/>
        </w:rPr>
      </w:pPr>
    </w:p>
    <w:p w14:paraId="59B91365">
      <w:pPr>
        <w:pStyle w:val="8"/>
        <w:ind w:firstLine="344"/>
        <w:rPr>
          <w:rFonts w:hint="eastAsia" w:ascii="仿宋" w:hAnsi="仿宋" w:eastAsia="仿宋" w:cs="仿宋"/>
          <w:b w:val="0"/>
          <w:bCs w:val="0"/>
          <w:sz w:val="20"/>
          <w:szCs w:val="28"/>
        </w:rPr>
      </w:pPr>
    </w:p>
    <w:p w14:paraId="7CD0D981">
      <w:pPr>
        <w:pStyle w:val="8"/>
        <w:ind w:firstLine="344"/>
        <w:rPr>
          <w:rFonts w:hint="eastAsia" w:ascii="仿宋" w:hAnsi="仿宋" w:eastAsia="仿宋" w:cs="仿宋"/>
          <w:b w:val="0"/>
          <w:bCs w:val="0"/>
          <w:sz w:val="20"/>
          <w:szCs w:val="28"/>
        </w:rPr>
      </w:pPr>
    </w:p>
    <w:p w14:paraId="2C582099">
      <w:pPr>
        <w:pStyle w:val="8"/>
        <w:ind w:firstLine="344"/>
        <w:rPr>
          <w:rFonts w:hint="eastAsia" w:ascii="仿宋" w:hAnsi="仿宋" w:eastAsia="仿宋" w:cs="仿宋"/>
          <w:b w:val="0"/>
          <w:bCs w:val="0"/>
          <w:sz w:val="20"/>
          <w:szCs w:val="28"/>
        </w:rPr>
      </w:pPr>
    </w:p>
    <w:p w14:paraId="4D61C812">
      <w:pPr>
        <w:pStyle w:val="8"/>
        <w:ind w:firstLine="344"/>
        <w:rPr>
          <w:rFonts w:hint="eastAsia" w:ascii="仿宋" w:hAnsi="仿宋" w:eastAsia="仿宋" w:cs="仿宋"/>
          <w:b w:val="0"/>
          <w:bCs w:val="0"/>
          <w:sz w:val="20"/>
          <w:szCs w:val="28"/>
        </w:rPr>
      </w:pPr>
    </w:p>
    <w:p w14:paraId="63740145">
      <w:pPr>
        <w:pStyle w:val="8"/>
        <w:ind w:firstLine="344"/>
        <w:rPr>
          <w:rFonts w:hint="eastAsia" w:ascii="仿宋" w:hAnsi="仿宋" w:eastAsia="仿宋" w:cs="仿宋"/>
          <w:b w:val="0"/>
          <w:bCs w:val="0"/>
          <w:sz w:val="20"/>
          <w:szCs w:val="28"/>
        </w:rPr>
      </w:pPr>
    </w:p>
    <w:p w14:paraId="31943CBA">
      <w:pPr>
        <w:spacing w:line="360" w:lineRule="auto"/>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采购单位：</w:t>
      </w:r>
      <w:r>
        <w:rPr>
          <w:rFonts w:hint="eastAsia" w:ascii="仿宋" w:hAnsi="仿宋" w:eastAsia="仿宋" w:cs="仿宋"/>
          <w:b w:val="0"/>
          <w:bCs w:val="0"/>
          <w:sz w:val="32"/>
          <w:szCs w:val="32"/>
          <w:u w:val="single"/>
          <w:lang w:eastAsia="zh-CN"/>
        </w:rPr>
        <w:t>杭州市临平区综合行政执法局</w:t>
      </w:r>
    </w:p>
    <w:p w14:paraId="555B2A3D">
      <w:pPr>
        <w:spacing w:line="360" w:lineRule="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项目名称：</w:t>
      </w:r>
      <w:r>
        <w:rPr>
          <w:rFonts w:hint="eastAsia" w:ascii="仿宋" w:hAnsi="仿宋" w:eastAsia="仿宋" w:cs="仿宋"/>
          <w:b w:val="0"/>
          <w:bCs w:val="0"/>
          <w:sz w:val="32"/>
          <w:szCs w:val="32"/>
          <w:u w:val="single"/>
          <w:lang w:val="en-US" w:eastAsia="zh-CN"/>
        </w:rPr>
        <w:t>艺尚小镇城市管理综合提升项目</w:t>
      </w:r>
      <w:r>
        <w:rPr>
          <w:rFonts w:hint="eastAsia" w:ascii="仿宋" w:hAnsi="仿宋" w:eastAsia="仿宋" w:cs="仿宋"/>
          <w:b w:val="0"/>
          <w:bCs w:val="0"/>
          <w:sz w:val="32"/>
          <w:szCs w:val="32"/>
          <w:u w:val="single"/>
        </w:rPr>
        <w:t xml:space="preserve"> </w:t>
      </w:r>
    </w:p>
    <w:p w14:paraId="5F386288">
      <w:pPr>
        <w:spacing w:line="360" w:lineRule="auto"/>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编制单位：</w:t>
      </w:r>
      <w:r>
        <w:rPr>
          <w:rFonts w:hint="eastAsia" w:ascii="仿宋" w:hAnsi="仿宋" w:eastAsia="仿宋" w:cs="仿宋"/>
          <w:b w:val="0"/>
          <w:bCs w:val="0"/>
          <w:sz w:val="32"/>
          <w:szCs w:val="32"/>
          <w:u w:val="single"/>
          <w:lang w:eastAsia="zh-CN"/>
        </w:rPr>
        <w:t>杭州市临平区综合行政执法局</w:t>
      </w:r>
    </w:p>
    <w:p w14:paraId="33FCA421">
      <w:pPr>
        <w:spacing w:line="360" w:lineRule="auto"/>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编制时间：</w:t>
      </w:r>
      <w:r>
        <w:rPr>
          <w:rFonts w:hint="eastAsia" w:ascii="仿宋" w:hAnsi="仿宋" w:eastAsia="仿宋" w:cs="仿宋"/>
          <w:b w:val="0"/>
          <w:bCs w:val="0"/>
          <w:sz w:val="32"/>
          <w:szCs w:val="32"/>
          <w:u w:val="single"/>
        </w:rPr>
        <w:t xml:space="preserve"> 202</w:t>
      </w:r>
      <w:r>
        <w:rPr>
          <w:rFonts w:hint="eastAsia" w:ascii="仿宋" w:hAnsi="仿宋" w:eastAsia="仿宋" w:cs="仿宋"/>
          <w:b w:val="0"/>
          <w:bCs w:val="0"/>
          <w:sz w:val="32"/>
          <w:szCs w:val="32"/>
          <w:u w:val="single"/>
          <w:lang w:val="en-US" w:eastAsia="zh-CN"/>
        </w:rPr>
        <w:t>5</w:t>
      </w:r>
      <w:r>
        <w:rPr>
          <w:rFonts w:hint="eastAsia" w:ascii="仿宋" w:hAnsi="仿宋" w:eastAsia="仿宋" w:cs="仿宋"/>
          <w:b w:val="0"/>
          <w:bCs w:val="0"/>
          <w:sz w:val="32"/>
          <w:szCs w:val="32"/>
          <w:u w:val="single"/>
        </w:rPr>
        <w:t>年</w:t>
      </w:r>
      <w:r>
        <w:rPr>
          <w:rFonts w:hint="eastAsia" w:ascii="仿宋" w:hAnsi="仿宋" w:eastAsia="仿宋" w:cs="仿宋"/>
          <w:b w:val="0"/>
          <w:bCs w:val="0"/>
          <w:sz w:val="32"/>
          <w:szCs w:val="32"/>
          <w:u w:val="single"/>
          <w:lang w:val="en-US" w:eastAsia="zh-CN"/>
        </w:rPr>
        <w:t>3</w:t>
      </w:r>
      <w:r>
        <w:rPr>
          <w:rFonts w:hint="eastAsia" w:ascii="仿宋" w:hAnsi="仿宋" w:eastAsia="仿宋" w:cs="仿宋"/>
          <w:b w:val="0"/>
          <w:bCs w:val="0"/>
          <w:sz w:val="32"/>
          <w:szCs w:val="32"/>
          <w:u w:val="single"/>
        </w:rPr>
        <w:t>月</w:t>
      </w:r>
      <w:r>
        <w:rPr>
          <w:rFonts w:hint="eastAsia" w:ascii="仿宋" w:hAnsi="仿宋" w:eastAsia="仿宋" w:cs="仿宋"/>
          <w:b w:val="0"/>
          <w:bCs w:val="0"/>
          <w:sz w:val="32"/>
          <w:szCs w:val="32"/>
          <w:u w:val="single"/>
          <w:lang w:val="en-US" w:eastAsia="zh-CN"/>
        </w:rPr>
        <w:t xml:space="preserve">  18 </w:t>
      </w:r>
      <w:r>
        <w:rPr>
          <w:rFonts w:hint="eastAsia" w:ascii="仿宋" w:hAnsi="仿宋" w:eastAsia="仿宋" w:cs="仿宋"/>
          <w:b w:val="0"/>
          <w:bCs w:val="0"/>
          <w:sz w:val="32"/>
          <w:szCs w:val="32"/>
          <w:u w:val="single"/>
        </w:rPr>
        <w:t>日</w:t>
      </w:r>
    </w:p>
    <w:p w14:paraId="7A4AD4DD">
      <w:pPr>
        <w:spacing w:line="420" w:lineRule="exact"/>
        <w:rPr>
          <w:rFonts w:hint="eastAsia" w:ascii="仿宋" w:hAnsi="仿宋" w:eastAsia="仿宋" w:cs="仿宋"/>
          <w:b w:val="0"/>
          <w:bCs w:val="0"/>
          <w:sz w:val="28"/>
          <w:szCs w:val="28"/>
        </w:rPr>
      </w:pPr>
      <w:r>
        <w:rPr>
          <w:rFonts w:hint="eastAsia" w:ascii="仿宋" w:hAnsi="仿宋" w:eastAsia="仿宋" w:cs="仿宋"/>
          <w:b w:val="0"/>
          <w:bCs w:val="0"/>
          <w:sz w:val="36"/>
          <w:szCs w:val="36"/>
        </w:rPr>
        <w:br w:type="page"/>
      </w:r>
      <w:r>
        <w:rPr>
          <w:rFonts w:hint="eastAsia" w:ascii="仿宋" w:hAnsi="仿宋" w:eastAsia="仿宋" w:cs="仿宋"/>
          <w:b w:val="0"/>
          <w:bCs w:val="0"/>
          <w:sz w:val="28"/>
          <w:szCs w:val="28"/>
        </w:rPr>
        <w:t>一、需求调查情况</w:t>
      </w:r>
    </w:p>
    <w:p w14:paraId="1D5CD1AD">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（一）本项目是否需要开展需求调查：</w:t>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 xml:space="preserve">是  </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否</w:t>
      </w:r>
    </w:p>
    <w:p w14:paraId="64F7CDD7">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（二）本项目是否属于可以不再重复开展需求调查情形：</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 xml:space="preserve">是  </w:t>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否</w:t>
      </w:r>
    </w:p>
    <w:p w14:paraId="25B46B3A">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（三）需求调查方式:</w:t>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 xml:space="preserve">咨询 </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 xml:space="preserve">论证 </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 xml:space="preserve">问卷调查 </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其他方式（</w:t>
      </w:r>
      <w:r>
        <w:rPr>
          <w:rFonts w:hint="eastAsia" w:ascii="仿宋" w:hAnsi="仿宋" w:eastAsia="仿宋" w:cs="仿宋"/>
          <w:b w:val="0"/>
          <w:bCs w:val="0"/>
          <w:sz w:val="22"/>
          <w:szCs w:val="22"/>
          <w:u w:val="single"/>
        </w:rPr>
        <w:t xml:space="preserve">            </w:t>
      </w:r>
      <w:r>
        <w:rPr>
          <w:rFonts w:hint="eastAsia" w:ascii="仿宋" w:hAnsi="仿宋" w:eastAsia="仿宋" w:cs="仿宋"/>
          <w:b w:val="0"/>
          <w:bCs w:val="0"/>
          <w:sz w:val="22"/>
          <w:szCs w:val="22"/>
        </w:rPr>
        <w:t>）                        （四）需求调查对象：</w:t>
      </w:r>
      <w:r>
        <w:rPr>
          <w:rFonts w:hint="eastAsia" w:ascii="仿宋" w:hAnsi="仿宋" w:eastAsia="仿宋" w:cs="仿宋"/>
          <w:b w:val="0"/>
          <w:bCs w:val="0"/>
          <w:sz w:val="22"/>
          <w:szCs w:val="22"/>
          <w:u w:val="single"/>
        </w:rPr>
        <w:t xml:space="preserve"> </w:t>
      </w:r>
      <w:r>
        <w:rPr>
          <w:rFonts w:hint="eastAsia" w:ascii="仿宋" w:hAnsi="仿宋" w:eastAsia="仿宋" w:cs="仿宋"/>
          <w:b w:val="0"/>
          <w:bCs w:val="0"/>
          <w:sz w:val="22"/>
          <w:szCs w:val="22"/>
          <w:u w:val="single"/>
          <w:lang w:val="en-US" w:eastAsia="zh-CN"/>
        </w:rPr>
        <w:t>潜在供应商及有关专家</w:t>
      </w:r>
      <w:r>
        <w:rPr>
          <w:rFonts w:hint="eastAsia" w:ascii="仿宋" w:hAnsi="仿宋" w:eastAsia="仿宋" w:cs="仿宋"/>
          <w:b w:val="0"/>
          <w:bCs w:val="0"/>
          <w:sz w:val="22"/>
          <w:szCs w:val="22"/>
          <w:u w:val="single"/>
        </w:rPr>
        <w:t xml:space="preserve"> </w:t>
      </w:r>
    </w:p>
    <w:p w14:paraId="6379029B">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（五）需求调查结果</w:t>
      </w:r>
    </w:p>
    <w:p w14:paraId="4F8C895B">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1.相关产业发展情况:</w:t>
      </w:r>
      <w:r>
        <w:rPr>
          <w:rFonts w:hint="eastAsia" w:ascii="仿宋" w:hAnsi="仿宋" w:eastAsia="仿宋" w:cs="仿宋"/>
          <w:b w:val="0"/>
          <w:bCs w:val="0"/>
          <w:sz w:val="22"/>
          <w:szCs w:val="22"/>
          <w:u w:val="single"/>
        </w:rPr>
        <w:t xml:space="preserve">随着“靓城行动”持续开展，辖区城市管理区域外重点区域交通序化日常管理问题凸显，社会秩序日趋复杂，给城市管理区域外重点区域综合治理带来了巨大挑战，以现有管理力量已无法满足区域外管理要求。对此，为进一步缓解城市管理区域外重点区域管理压力，有效维护城市管理区域外重点区域管理秩序，提升管理水平与品质。 </w:t>
      </w:r>
    </w:p>
    <w:p w14:paraId="54674C09">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2.市场供给情况：</w:t>
      </w:r>
      <w:r>
        <w:rPr>
          <w:rFonts w:hint="eastAsia" w:ascii="仿宋" w:hAnsi="仿宋" w:eastAsia="仿宋" w:cs="仿宋"/>
          <w:b w:val="0"/>
          <w:bCs w:val="0"/>
          <w:sz w:val="22"/>
          <w:szCs w:val="22"/>
          <w:u w:val="single"/>
        </w:rPr>
        <w:t xml:space="preserve">市场竞争充分，供给量充足，能够满足采购的需求。 </w:t>
      </w:r>
    </w:p>
    <w:p w14:paraId="5CCFFC92">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3.同类采购项目历史成交信息情况:</w:t>
      </w:r>
      <w:r>
        <w:rPr>
          <w:rFonts w:hint="eastAsia" w:ascii="仿宋" w:hAnsi="仿宋" w:eastAsia="仿宋" w:cs="仿宋"/>
          <w:b w:val="0"/>
          <w:bCs w:val="0"/>
          <w:sz w:val="22"/>
          <w:szCs w:val="22"/>
          <w:u w:val="single"/>
        </w:rPr>
        <w:t>（1）五常街道110联动响应队伍服务外包项目，预算金额4200000.00元，最终成交金额4190000.00元；（2）2023年闲林街道重点任务及重点场所安保服务，预算金额6400000.00元，最终成交金额6330000.00元；（3）崇贤街道保障重大活动和会议的安全服务项目，标项一预算金额5450000.00元，最终成交金额5442600.00元；标项二预算金额4620000.00元，最终成交金额4608000.00元；标项三预算金额3470000.00元，最终成交金额3450000.00元：标项四预算金额2310000.00元，最终成交金额2306000.00元；（4）临平街道综合安全管理服务项目，预算金额8800000.00元，最终成交金额8780000.00元。</w:t>
      </w:r>
    </w:p>
    <w:p w14:paraId="4F90E474">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4.可能涉及的运行维护、升级更新、备品备件、耗材等后续采购情况：</w:t>
      </w:r>
      <w:r>
        <w:rPr>
          <w:rFonts w:hint="eastAsia" w:ascii="仿宋" w:hAnsi="仿宋" w:eastAsia="仿宋" w:cs="仿宋"/>
          <w:b w:val="0"/>
          <w:bCs w:val="0"/>
          <w:sz w:val="22"/>
          <w:szCs w:val="22"/>
          <w:u w:val="single"/>
        </w:rPr>
        <w:t>无。</w:t>
      </w:r>
    </w:p>
    <w:p w14:paraId="2B8CA43A">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5.其他相关情况：</w:t>
      </w:r>
      <w:r>
        <w:rPr>
          <w:rFonts w:hint="eastAsia" w:ascii="仿宋" w:hAnsi="仿宋" w:eastAsia="仿宋" w:cs="仿宋"/>
          <w:b w:val="0"/>
          <w:bCs w:val="0"/>
          <w:sz w:val="22"/>
          <w:szCs w:val="22"/>
          <w:u w:val="single"/>
        </w:rPr>
        <w:t>无。</w:t>
      </w:r>
    </w:p>
    <w:p w14:paraId="4062F672">
      <w:pPr>
        <w:spacing w:line="42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二、采购需求内容</w:t>
      </w:r>
    </w:p>
    <w:p w14:paraId="3CC5C4B2">
      <w:pPr>
        <w:spacing w:line="420" w:lineRule="exact"/>
        <w:ind w:firstLine="440" w:firstLine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（一）项目概况:</w:t>
      </w:r>
      <w:r>
        <w:rPr>
          <w:rFonts w:hint="eastAsia" w:ascii="仿宋" w:hAnsi="仿宋" w:eastAsia="仿宋" w:cs="仿宋"/>
          <w:b w:val="0"/>
          <w:bCs w:val="0"/>
          <w:sz w:val="22"/>
          <w:szCs w:val="22"/>
          <w:u w:val="single"/>
          <w:lang w:val="en-US" w:eastAsia="zh-CN"/>
        </w:rPr>
        <w:t>结合街道辖区管理范围</w:t>
      </w:r>
      <w:r>
        <w:rPr>
          <w:rFonts w:hint="eastAsia" w:ascii="仿宋" w:hAnsi="仿宋" w:eastAsia="仿宋" w:cs="仿宋"/>
          <w:b w:val="0"/>
          <w:bCs w:val="0"/>
          <w:sz w:val="22"/>
          <w:szCs w:val="22"/>
          <w:u w:val="single"/>
          <w:lang w:eastAsia="zh-CN"/>
        </w:rPr>
        <w:t>，</w:t>
      </w:r>
      <w:r>
        <w:rPr>
          <w:rFonts w:hint="eastAsia" w:ascii="仿宋" w:hAnsi="仿宋" w:eastAsia="仿宋" w:cs="仿宋"/>
          <w:b w:val="0"/>
          <w:bCs w:val="0"/>
          <w:sz w:val="22"/>
          <w:szCs w:val="22"/>
          <w:u w:val="single"/>
          <w:lang w:val="en-US" w:eastAsia="zh-CN"/>
        </w:rPr>
        <w:t>拟需可满足管理需要的综合管理人员若干，服务时限为三年</w:t>
      </w:r>
      <w:r>
        <w:rPr>
          <w:rFonts w:hint="eastAsia" w:ascii="仿宋" w:hAnsi="仿宋" w:eastAsia="仿宋" w:cs="仿宋"/>
          <w:b w:val="0"/>
          <w:bCs w:val="0"/>
          <w:sz w:val="22"/>
          <w:szCs w:val="22"/>
          <w:u w:val="single"/>
        </w:rPr>
        <w:t xml:space="preserve">。 </w:t>
      </w:r>
    </w:p>
    <w:p w14:paraId="077C7036">
      <w:pPr>
        <w:spacing w:line="420" w:lineRule="exact"/>
        <w:ind w:firstLine="440" w:firstLine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（二）预算金额（元）：</w:t>
      </w:r>
      <w:r>
        <w:rPr>
          <w:rFonts w:hint="eastAsia" w:ascii="仿宋" w:hAnsi="仿宋" w:eastAsia="仿宋" w:cs="仿宋"/>
          <w:b w:val="0"/>
          <w:bCs w:val="0"/>
          <w:sz w:val="22"/>
          <w:szCs w:val="22"/>
          <w:u w:val="single"/>
          <w:lang w:val="en-US" w:eastAsia="zh-CN"/>
        </w:rPr>
        <w:t>18000000</w:t>
      </w:r>
      <w:r>
        <w:rPr>
          <w:rFonts w:hint="eastAsia" w:ascii="仿宋" w:hAnsi="仿宋" w:eastAsia="仿宋" w:cs="仿宋"/>
          <w:b w:val="0"/>
          <w:bCs w:val="0"/>
          <w:sz w:val="22"/>
          <w:szCs w:val="22"/>
          <w:u w:val="single"/>
        </w:rPr>
        <w:t>元。</w:t>
      </w:r>
    </w:p>
    <w:p w14:paraId="470194BE">
      <w:pPr>
        <w:spacing w:line="420" w:lineRule="exact"/>
        <w:ind w:firstLine="440" w:firstLine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（三）需满足的政府采购政策目标和具体支持对象:</w:t>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扶持中小企业.</w:t>
      </w:r>
    </w:p>
    <w:p w14:paraId="7860CD50">
      <w:pPr>
        <w:spacing w:line="420" w:lineRule="exact"/>
        <w:ind w:firstLine="440" w:firstLine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（四）采购标的是否进口产品：国产</w:t>
      </w:r>
    </w:p>
    <w:p w14:paraId="247F0303">
      <w:pPr>
        <w:spacing w:line="420" w:lineRule="exact"/>
        <w:ind w:firstLine="440" w:firstLine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（五）拟采购标的的技术要求</w:t>
      </w:r>
    </w:p>
    <w:p w14:paraId="7D5474E3">
      <w:pPr>
        <w:spacing w:line="420" w:lineRule="exact"/>
        <w:ind w:firstLine="440" w:firstLineChars="200"/>
        <w:jc w:val="left"/>
        <w:rPr>
          <w:rFonts w:hint="eastAsia" w:ascii="仿宋" w:hAnsi="仿宋" w:eastAsia="仿宋" w:cs="仿宋"/>
          <w:b w:val="0"/>
          <w:bCs w:val="0"/>
          <w:sz w:val="22"/>
          <w:szCs w:val="22"/>
        </w:rPr>
      </w:pPr>
    </w:p>
    <w:p w14:paraId="124BA3CD">
      <w:pPr>
        <w:spacing w:line="420" w:lineRule="exact"/>
        <w:ind w:firstLine="440" w:firstLineChars="200"/>
        <w:jc w:val="left"/>
        <w:rPr>
          <w:rFonts w:hint="eastAsia" w:ascii="仿宋" w:hAnsi="仿宋" w:eastAsia="仿宋" w:cs="仿宋"/>
          <w:b w:val="0"/>
          <w:bCs w:val="0"/>
          <w:sz w:val="22"/>
          <w:szCs w:val="22"/>
        </w:rPr>
      </w:pPr>
    </w:p>
    <w:p w14:paraId="0EBFBBF4">
      <w:pPr>
        <w:pStyle w:val="19"/>
        <w:rPr>
          <w:rFonts w:hint="eastAsia" w:ascii="仿宋" w:hAnsi="仿宋" w:eastAsia="仿宋" w:cs="仿宋"/>
          <w:b w:val="0"/>
          <w:bCs w:val="0"/>
          <w:sz w:val="22"/>
          <w:szCs w:val="22"/>
        </w:rPr>
      </w:pPr>
    </w:p>
    <w:p w14:paraId="11BD76DD">
      <w:pPr>
        <w:pStyle w:val="19"/>
        <w:rPr>
          <w:rFonts w:hint="eastAsia" w:ascii="仿宋" w:hAnsi="仿宋" w:eastAsia="仿宋" w:cs="仿宋"/>
          <w:b w:val="0"/>
          <w:bCs w:val="0"/>
          <w:sz w:val="22"/>
          <w:szCs w:val="22"/>
        </w:rPr>
      </w:pPr>
    </w:p>
    <w:p w14:paraId="2A5AE432">
      <w:pPr>
        <w:pStyle w:val="19"/>
        <w:rPr>
          <w:rFonts w:hint="eastAsia" w:ascii="仿宋" w:hAnsi="仿宋" w:eastAsia="仿宋" w:cs="仿宋"/>
          <w:b w:val="0"/>
          <w:bCs w:val="0"/>
          <w:sz w:val="22"/>
          <w:szCs w:val="22"/>
        </w:rPr>
      </w:pPr>
    </w:p>
    <w:p w14:paraId="0C27A133">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拟采购标的（1）</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6FE739D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5AD734DF">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标的内容1</w:t>
            </w:r>
          </w:p>
        </w:tc>
        <w:tc>
          <w:tcPr>
            <w:tcW w:w="6804" w:type="dxa"/>
            <w:gridSpan w:val="3"/>
            <w:vAlign w:val="center"/>
          </w:tcPr>
          <w:p w14:paraId="1D835CC9">
            <w:pPr>
              <w:spacing w:line="420" w:lineRule="exact"/>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eastAsia="zh-CN"/>
              </w:rPr>
              <w:t>艺尚小镇城市管理综合提升项目</w:t>
            </w:r>
          </w:p>
        </w:tc>
      </w:tr>
      <w:tr w14:paraId="493CB1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264B6EDA">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数量</w:t>
            </w:r>
          </w:p>
        </w:tc>
        <w:tc>
          <w:tcPr>
            <w:tcW w:w="2409" w:type="dxa"/>
            <w:vAlign w:val="center"/>
          </w:tcPr>
          <w:p w14:paraId="21B16480">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1</w:t>
            </w:r>
          </w:p>
        </w:tc>
        <w:tc>
          <w:tcPr>
            <w:tcW w:w="1360" w:type="dxa"/>
            <w:vAlign w:val="center"/>
          </w:tcPr>
          <w:p w14:paraId="5C92A306">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单位</w:t>
            </w:r>
          </w:p>
        </w:tc>
        <w:tc>
          <w:tcPr>
            <w:tcW w:w="3035" w:type="dxa"/>
            <w:vAlign w:val="center"/>
          </w:tcPr>
          <w:p w14:paraId="57D59683">
            <w:pPr>
              <w:spacing w:line="420" w:lineRule="exact"/>
              <w:jc w:val="center"/>
              <w:rPr>
                <w:rFonts w:hint="eastAsia" w:ascii="仿宋" w:hAnsi="仿宋" w:eastAsia="仿宋" w:cs="仿宋"/>
                <w:b w:val="0"/>
                <w:bCs w:val="0"/>
                <w:color w:val="FF0000"/>
                <w:sz w:val="22"/>
                <w:szCs w:val="22"/>
                <w:lang w:eastAsia="zh-CN"/>
              </w:rPr>
            </w:pPr>
            <w:r>
              <w:rPr>
                <w:rFonts w:hint="eastAsia" w:ascii="仿宋" w:hAnsi="仿宋" w:eastAsia="仿宋" w:cs="仿宋"/>
                <w:b w:val="0"/>
                <w:bCs w:val="0"/>
                <w:sz w:val="22"/>
                <w:szCs w:val="22"/>
                <w:lang w:val="en-US" w:eastAsia="zh-CN"/>
              </w:rPr>
              <w:t>年</w:t>
            </w:r>
          </w:p>
        </w:tc>
      </w:tr>
      <w:tr w14:paraId="57976C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432CBD15">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功能和质量</w:t>
            </w:r>
          </w:p>
          <w:p w14:paraId="5317D9EE">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要求</w:t>
            </w:r>
          </w:p>
        </w:tc>
        <w:tc>
          <w:tcPr>
            <w:tcW w:w="6804" w:type="dxa"/>
            <w:gridSpan w:val="3"/>
            <w:vAlign w:val="top"/>
          </w:tcPr>
          <w:p w14:paraId="4A44005F">
            <w:pPr>
              <w:snapToGrid w:val="0"/>
              <w:spacing w:line="500" w:lineRule="exact"/>
              <w:rPr>
                <w:rFonts w:hint="eastAsia" w:ascii="仿宋" w:hAnsi="仿宋" w:eastAsia="仿宋" w:cs="仿宋"/>
                <w:b w:val="0"/>
                <w:bCs w:val="0"/>
                <w:color w:val="FF0000"/>
                <w:sz w:val="22"/>
                <w:szCs w:val="22"/>
              </w:rPr>
            </w:pPr>
            <w:r>
              <w:rPr>
                <w:rFonts w:hint="eastAsia" w:ascii="仿宋" w:hAnsi="仿宋" w:eastAsia="仿宋" w:cs="仿宋"/>
                <w:color w:val="auto"/>
                <w:sz w:val="24"/>
                <w:szCs w:val="24"/>
                <w:highlight w:val="none"/>
                <w:lang w:val="en-US" w:eastAsia="zh-CN"/>
              </w:rPr>
              <w:t>以艺尚小镇3.22平方公里为管理核心，提升区域内日常街面序化管控标准，同时涵盖辖区内重要活动保障、应急抢险及其他服务保障工作。</w:t>
            </w:r>
          </w:p>
        </w:tc>
      </w:tr>
    </w:tbl>
    <w:p w14:paraId="7EC95882">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2.履行时间（期限）：</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sz w:val="22"/>
          <w:szCs w:val="22"/>
          <w:u w:val="single"/>
          <w:lang w:val="en-US" w:eastAsia="zh-CN"/>
        </w:rPr>
        <w:t>自合同约定之日起3年</w:t>
      </w:r>
      <w:r>
        <w:rPr>
          <w:rFonts w:hint="eastAsia" w:ascii="仿宋" w:hAnsi="仿宋" w:eastAsia="仿宋" w:cs="仿宋"/>
          <w:b w:val="0"/>
          <w:bCs w:val="0"/>
          <w:iCs/>
          <w:sz w:val="22"/>
          <w:szCs w:val="22"/>
          <w:u w:val="single"/>
        </w:rPr>
        <w:t>。</w:t>
      </w:r>
    </w:p>
    <w:p w14:paraId="69380ECB">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3.履约地点和方式：</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u w:val="single"/>
          <w:lang w:eastAsia="zh-CN"/>
        </w:rPr>
        <w:t>临平区艺尚小镇</w:t>
      </w:r>
      <w:r>
        <w:rPr>
          <w:rFonts w:hint="eastAsia" w:ascii="仿宋" w:hAnsi="仿宋" w:eastAsia="仿宋" w:cs="仿宋"/>
          <w:b w:val="0"/>
          <w:bCs w:val="0"/>
          <w:iCs/>
          <w:sz w:val="22"/>
          <w:szCs w:val="22"/>
          <w:u w:val="single"/>
        </w:rPr>
        <w:t xml:space="preserve"> 。        </w:t>
      </w:r>
    </w:p>
    <w:p w14:paraId="29597FE7">
      <w:pPr>
        <w:spacing w:line="420" w:lineRule="exact"/>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 xml:space="preserve">4.包装方式：  </w:t>
      </w:r>
      <w:r>
        <w:rPr>
          <w:rFonts w:hint="eastAsia" w:ascii="仿宋" w:hAnsi="仿宋" w:eastAsia="仿宋" w:cs="仿宋"/>
          <w:b w:val="0"/>
          <w:bCs w:val="0"/>
          <w:iCs/>
          <w:sz w:val="22"/>
          <w:szCs w:val="22"/>
          <w:u w:val="single"/>
        </w:rPr>
        <w:t xml:space="preserve">   无  。</w:t>
      </w:r>
      <w:r>
        <w:rPr>
          <w:rFonts w:hint="eastAsia" w:ascii="仿宋" w:hAnsi="仿宋" w:eastAsia="仿宋" w:cs="仿宋"/>
          <w:b w:val="0"/>
          <w:bCs w:val="0"/>
          <w:iCs/>
          <w:sz w:val="22"/>
          <w:szCs w:val="22"/>
        </w:rPr>
        <w:t xml:space="preserve">                  </w:t>
      </w:r>
    </w:p>
    <w:p w14:paraId="143B140C">
      <w:pPr>
        <w:snapToGrid w:val="0"/>
        <w:spacing w:line="50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iCs/>
          <w:sz w:val="22"/>
          <w:szCs w:val="22"/>
        </w:rPr>
        <w:t>5.价款或者报酬：</w:t>
      </w:r>
      <w:r>
        <w:rPr>
          <w:rFonts w:hint="eastAsia" w:ascii="仿宋" w:hAnsi="仿宋" w:eastAsia="仿宋" w:cs="仿宋"/>
          <w:b w:val="0"/>
          <w:bCs w:val="0"/>
          <w:color w:val="auto"/>
          <w:sz w:val="22"/>
          <w:szCs w:val="22"/>
        </w:rPr>
        <w:t>依据中标单价按实结算。</w:t>
      </w:r>
    </w:p>
    <w:p w14:paraId="415B34B2">
      <w:pPr>
        <w:snapToGrid w:val="0"/>
        <w:spacing w:line="50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sz w:val="22"/>
          <w:szCs w:val="22"/>
        </w:rPr>
        <w:t>6.考核要求和付款进度安排</w:t>
      </w:r>
    </w:p>
    <w:tbl>
      <w:tblPr>
        <w:tblStyle w:val="15"/>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4227"/>
        <w:gridCol w:w="2911"/>
      </w:tblGrid>
      <w:tr w14:paraId="4D5985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7E5F64D8">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4227" w:type="dxa"/>
            <w:vAlign w:val="center"/>
          </w:tcPr>
          <w:p w14:paraId="77BC6BF2">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付款比例（%）</w:t>
            </w:r>
          </w:p>
        </w:tc>
        <w:tc>
          <w:tcPr>
            <w:tcW w:w="2911" w:type="dxa"/>
            <w:vAlign w:val="center"/>
          </w:tcPr>
          <w:p w14:paraId="7E8D05CD">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r>
      <w:tr w14:paraId="3F3437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4A7A879C">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227" w:type="dxa"/>
            <w:vAlign w:val="top"/>
          </w:tcPr>
          <w:p w14:paraId="52E1EDBE">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每一年为一个周期，每期支付合同金额的1/3，约为33.33%</w:t>
            </w:r>
          </w:p>
        </w:tc>
        <w:tc>
          <w:tcPr>
            <w:tcW w:w="2911" w:type="dxa"/>
            <w:vAlign w:val="top"/>
          </w:tcPr>
          <w:p w14:paraId="141EF03A">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转账</w:t>
            </w:r>
          </w:p>
        </w:tc>
      </w:tr>
    </w:tbl>
    <w:p w14:paraId="405C6481">
      <w:pPr>
        <w:snapToGrid w:val="0"/>
        <w:spacing w:line="500" w:lineRule="exact"/>
        <w:ind w:firstLine="440" w:firstLineChars="200"/>
        <w:rPr>
          <w:rFonts w:hint="eastAsia" w:ascii="仿宋" w:hAnsi="仿宋" w:eastAsia="仿宋" w:cs="仿宋"/>
          <w:b w:val="0"/>
          <w:bCs w:val="0"/>
          <w:sz w:val="22"/>
          <w:szCs w:val="22"/>
        </w:rPr>
      </w:pPr>
    </w:p>
    <w:p w14:paraId="04543C99">
      <w:pPr>
        <w:spacing w:line="420" w:lineRule="exact"/>
        <w:ind w:firstLine="220" w:firstLineChars="100"/>
        <w:jc w:val="left"/>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7</w:t>
      </w:r>
      <w:r>
        <w:rPr>
          <w:rFonts w:hint="eastAsia" w:ascii="仿宋" w:hAnsi="仿宋" w:eastAsia="仿宋" w:cs="仿宋"/>
          <w:b w:val="0"/>
          <w:bCs w:val="0"/>
          <w:sz w:val="22"/>
          <w:szCs w:val="22"/>
        </w:rPr>
        <w:t>.售后服务要求：</w:t>
      </w:r>
      <w:r>
        <w:rPr>
          <w:rFonts w:hint="eastAsia" w:ascii="仿宋" w:hAnsi="仿宋" w:eastAsia="仿宋" w:cs="仿宋"/>
          <w:b w:val="0"/>
          <w:bCs w:val="0"/>
          <w:sz w:val="22"/>
          <w:szCs w:val="22"/>
          <w:u w:val="single"/>
        </w:rPr>
        <w:t>无 。</w:t>
      </w:r>
    </w:p>
    <w:p w14:paraId="19A0B315">
      <w:pPr>
        <w:spacing w:line="420" w:lineRule="exact"/>
        <w:ind w:left="210" w:leftChars="100"/>
        <w:jc w:val="left"/>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8</w:t>
      </w:r>
      <w:r>
        <w:rPr>
          <w:rFonts w:hint="eastAsia" w:ascii="仿宋" w:hAnsi="仿宋" w:eastAsia="仿宋" w:cs="仿宋"/>
          <w:b w:val="0"/>
          <w:bCs w:val="0"/>
          <w:sz w:val="22"/>
          <w:szCs w:val="22"/>
        </w:rPr>
        <w:t>.其他商务要求（包装和运输、保险）：对本项目的所有保安人员购买雇主责任险。</w:t>
      </w:r>
    </w:p>
    <w:p w14:paraId="33766D42">
      <w:pPr>
        <w:spacing w:line="420" w:lineRule="exact"/>
        <w:ind w:left="210" w:leftChars="1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六</w:t>
      </w:r>
      <w:r>
        <w:rPr>
          <w:rFonts w:hint="eastAsia" w:ascii="仿宋" w:hAnsi="仿宋" w:eastAsia="仿宋" w:cs="仿宋"/>
          <w:b w:val="0"/>
          <w:bCs w:val="0"/>
          <w:sz w:val="22"/>
          <w:szCs w:val="22"/>
        </w:rPr>
        <w:t>）采购项目的其他要求：无。</w:t>
      </w:r>
      <w:bookmarkEnd w:id="0"/>
    </w:p>
    <w:p w14:paraId="4B4573E3">
      <w:pPr>
        <w:spacing w:line="420" w:lineRule="exact"/>
        <w:ind w:firstLine="140" w:firstLineChars="50"/>
        <w:jc w:val="left"/>
        <w:rPr>
          <w:rFonts w:hint="eastAsia" w:ascii="仿宋" w:hAnsi="仿宋" w:eastAsia="仿宋" w:cs="仿宋"/>
          <w:b w:val="0"/>
          <w:bCs w:val="0"/>
          <w:sz w:val="22"/>
          <w:szCs w:val="22"/>
        </w:rPr>
      </w:pPr>
      <w:r>
        <w:rPr>
          <w:rFonts w:hint="eastAsia" w:ascii="仿宋" w:hAnsi="仿宋" w:eastAsia="仿宋" w:cs="仿宋"/>
          <w:b w:val="0"/>
          <w:bCs w:val="0"/>
          <w:sz w:val="28"/>
          <w:szCs w:val="28"/>
        </w:rPr>
        <w:t>三、合同订立安排</w:t>
      </w:r>
    </w:p>
    <w:p w14:paraId="7CAD9128">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（一）采购项目预（概）算（元）：</w:t>
      </w:r>
      <w:r>
        <w:rPr>
          <w:rFonts w:hint="eastAsia" w:ascii="仿宋" w:hAnsi="仿宋" w:eastAsia="仿宋" w:cs="仿宋"/>
          <w:b w:val="0"/>
          <w:bCs w:val="0"/>
          <w:sz w:val="22"/>
          <w:szCs w:val="22"/>
          <w:u w:val="single"/>
          <w:lang w:val="en-US" w:eastAsia="zh-CN"/>
        </w:rPr>
        <w:t>18000000</w:t>
      </w:r>
      <w:r>
        <w:rPr>
          <w:rFonts w:hint="eastAsia" w:ascii="仿宋" w:hAnsi="仿宋" w:eastAsia="仿宋" w:cs="仿宋"/>
          <w:b w:val="0"/>
          <w:bCs w:val="0"/>
          <w:sz w:val="22"/>
          <w:szCs w:val="22"/>
          <w:u w:val="single"/>
        </w:rPr>
        <w:t xml:space="preserve">   </w:t>
      </w:r>
      <w:r>
        <w:rPr>
          <w:rFonts w:hint="eastAsia" w:ascii="仿宋" w:hAnsi="仿宋" w:eastAsia="仿宋" w:cs="仿宋"/>
          <w:b w:val="0"/>
          <w:bCs w:val="0"/>
          <w:sz w:val="22"/>
          <w:szCs w:val="22"/>
        </w:rPr>
        <w:t>，最高限价（元）：</w:t>
      </w:r>
      <w:r>
        <w:rPr>
          <w:rFonts w:hint="eastAsia" w:ascii="仿宋" w:hAnsi="仿宋" w:eastAsia="仿宋" w:cs="仿宋"/>
          <w:b w:val="0"/>
          <w:bCs w:val="0"/>
          <w:sz w:val="22"/>
          <w:szCs w:val="22"/>
          <w:u w:val="single"/>
          <w:lang w:val="en-US" w:eastAsia="zh-CN"/>
        </w:rPr>
        <w:t>18000000</w:t>
      </w:r>
      <w:r>
        <w:rPr>
          <w:rFonts w:hint="eastAsia" w:ascii="仿宋" w:hAnsi="仿宋" w:eastAsia="仿宋" w:cs="仿宋"/>
          <w:b w:val="0"/>
          <w:bCs w:val="0"/>
          <w:sz w:val="22"/>
          <w:szCs w:val="22"/>
          <w:u w:val="single"/>
        </w:rPr>
        <w:t xml:space="preserve">   </w:t>
      </w:r>
    </w:p>
    <w:p w14:paraId="6642DF85">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（二）开展采购活动的时间安排：</w:t>
      </w:r>
      <w:r>
        <w:rPr>
          <w:rFonts w:hint="eastAsia" w:ascii="仿宋" w:hAnsi="仿宋" w:eastAsia="仿宋" w:cs="仿宋"/>
          <w:b w:val="0"/>
          <w:bCs w:val="0"/>
          <w:sz w:val="22"/>
          <w:szCs w:val="22"/>
          <w:u w:val="single"/>
        </w:rPr>
        <w:t xml:space="preserve">  202</w:t>
      </w:r>
      <w:r>
        <w:rPr>
          <w:rFonts w:hint="eastAsia" w:ascii="仿宋" w:hAnsi="仿宋" w:eastAsia="仿宋" w:cs="仿宋"/>
          <w:b w:val="0"/>
          <w:bCs w:val="0"/>
          <w:sz w:val="22"/>
          <w:szCs w:val="22"/>
          <w:u w:val="single"/>
          <w:lang w:val="en-US" w:eastAsia="zh-CN"/>
        </w:rPr>
        <w:t>5</w:t>
      </w:r>
      <w:r>
        <w:rPr>
          <w:rFonts w:hint="eastAsia" w:ascii="仿宋" w:hAnsi="仿宋" w:eastAsia="仿宋" w:cs="仿宋"/>
          <w:b w:val="0"/>
          <w:bCs w:val="0"/>
          <w:sz w:val="22"/>
          <w:szCs w:val="22"/>
          <w:u w:val="single"/>
        </w:rPr>
        <w:t>年</w:t>
      </w:r>
      <w:r>
        <w:rPr>
          <w:rFonts w:hint="eastAsia" w:ascii="仿宋" w:hAnsi="仿宋" w:eastAsia="仿宋" w:cs="仿宋"/>
          <w:b w:val="0"/>
          <w:bCs w:val="0"/>
          <w:sz w:val="22"/>
          <w:szCs w:val="22"/>
          <w:u w:val="single"/>
          <w:lang w:val="en-US" w:eastAsia="zh-CN"/>
        </w:rPr>
        <w:t>3</w:t>
      </w:r>
      <w:r>
        <w:rPr>
          <w:rFonts w:hint="eastAsia" w:ascii="仿宋" w:hAnsi="仿宋" w:eastAsia="仿宋" w:cs="仿宋"/>
          <w:b w:val="0"/>
          <w:bCs w:val="0"/>
          <w:sz w:val="22"/>
          <w:szCs w:val="22"/>
          <w:u w:val="single"/>
        </w:rPr>
        <w:t xml:space="preserve">月       </w:t>
      </w:r>
    </w:p>
    <w:p w14:paraId="57EAC038">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 xml:space="preserve">（三）采购组织形式：分散采购 </w:t>
      </w:r>
    </w:p>
    <w:p w14:paraId="601C4B1C">
      <w:pPr>
        <w:spacing w:line="420" w:lineRule="exact"/>
        <w:jc w:val="left"/>
        <w:rPr>
          <w:rFonts w:hint="eastAsia" w:ascii="仿宋" w:hAnsi="仿宋" w:eastAsia="仿宋" w:cs="仿宋"/>
          <w:b w:val="0"/>
          <w:bCs w:val="0"/>
          <w:sz w:val="22"/>
          <w:szCs w:val="21"/>
        </w:rPr>
      </w:pPr>
      <w:r>
        <w:rPr>
          <w:rFonts w:hint="eastAsia" w:ascii="仿宋" w:hAnsi="仿宋" w:eastAsia="仿宋" w:cs="仿宋"/>
          <w:b w:val="0"/>
          <w:bCs w:val="0"/>
          <w:sz w:val="22"/>
          <w:szCs w:val="22"/>
        </w:rPr>
        <w:t>（四）委托代理安排:采购代理机构</w:t>
      </w:r>
      <w:r>
        <w:rPr>
          <w:rFonts w:hint="eastAsia" w:ascii="仿宋" w:hAnsi="仿宋" w:eastAsia="仿宋" w:cs="仿宋"/>
          <w:b w:val="0"/>
          <w:bCs w:val="0"/>
          <w:sz w:val="22"/>
          <w:szCs w:val="22"/>
        </w:rPr>
        <w:tab/>
      </w:r>
    </w:p>
    <w:p w14:paraId="37722B4B">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（五）采购包划分：</w:t>
      </w:r>
      <w:r>
        <w:rPr>
          <w:rFonts w:hint="eastAsia" w:ascii="仿宋" w:hAnsi="仿宋" w:eastAsia="仿宋" w:cs="仿宋"/>
          <w:b w:val="0"/>
          <w:bCs w:val="0"/>
          <w:sz w:val="22"/>
          <w:szCs w:val="22"/>
        </w:rPr>
        <w:tab/>
      </w:r>
      <w:r>
        <w:rPr>
          <w:rFonts w:hint="eastAsia" w:ascii="仿宋" w:hAnsi="仿宋" w:eastAsia="仿宋" w:cs="仿宋"/>
          <w:b w:val="0"/>
          <w:bCs w:val="0"/>
          <w:sz w:val="22"/>
          <w:szCs w:val="22"/>
        </w:rPr>
        <w:t xml:space="preserve">不分标项 </w:t>
      </w:r>
    </w:p>
    <w:p w14:paraId="2C37A853">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（六）合同分包：</w:t>
      </w:r>
      <w:r>
        <w:rPr>
          <w:rFonts w:hint="eastAsia" w:ascii="仿宋" w:hAnsi="仿宋" w:eastAsia="仿宋" w:cs="仿宋"/>
          <w:b w:val="0"/>
          <w:bCs w:val="0"/>
          <w:sz w:val="22"/>
          <w:szCs w:val="22"/>
        </w:rPr>
        <w:tab/>
      </w:r>
      <w:r>
        <w:rPr>
          <w:rFonts w:hint="eastAsia" w:ascii="仿宋" w:hAnsi="仿宋" w:eastAsia="仿宋" w:cs="仿宋"/>
          <w:b w:val="0"/>
          <w:bCs w:val="0"/>
          <w:sz w:val="22"/>
          <w:szCs w:val="22"/>
        </w:rPr>
        <w:t>不允许分包</w:t>
      </w:r>
    </w:p>
    <w:p w14:paraId="43627136">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（七）供应商资格条件</w:t>
      </w:r>
    </w:p>
    <w:p w14:paraId="4C25CA30">
      <w:pPr>
        <w:spacing w:line="420" w:lineRule="exact"/>
        <w:ind w:firstLine="220" w:firstLineChars="100"/>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u w:val="single"/>
        </w:rPr>
        <w:t>1.满足《中华人民共和国政府采购法》第二十二条规定；未被“信用中国” （www.creditchina.gov.cn)、中国政府采购网（www.ccgp.gov.cn）列入失信被执行人、重大税收违法案件当事人名单、政府采购严重违法失信行为记录名单；</w:t>
      </w:r>
    </w:p>
    <w:p w14:paraId="083E01C5">
      <w:pPr>
        <w:spacing w:line="360" w:lineRule="auto"/>
        <w:ind w:firstLine="480" w:firstLineChars="200"/>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2.以联合体形式投标的，提供联合协议； </w:t>
      </w:r>
    </w:p>
    <w:p w14:paraId="2CAF2F07">
      <w:pPr>
        <w:spacing w:line="360" w:lineRule="auto"/>
        <w:ind w:firstLine="480" w:firstLineChars="200"/>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3.落实政府采购政策需满足的资格要求：无。 </w:t>
      </w:r>
    </w:p>
    <w:p w14:paraId="44172415">
      <w:pPr>
        <w:spacing w:line="360" w:lineRule="auto"/>
        <w:ind w:firstLine="480" w:firstLineChars="200"/>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4.本项目的特定资格要求：无。 </w:t>
      </w:r>
    </w:p>
    <w:p w14:paraId="6BEC32E8">
      <w:pPr>
        <w:spacing w:line="360" w:lineRule="auto"/>
        <w:ind w:firstLine="480" w:firstLineChars="200"/>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5.单位负责人为同一人或者存在直接控股、管理关系的不同供应商，不得参 </w:t>
      </w:r>
    </w:p>
    <w:p w14:paraId="496728FE">
      <w:pPr>
        <w:spacing w:line="360" w:lineRule="auto"/>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加同一合同项下的政府采购活动；为采购项目提供整体设计、规范编制或者项目 </w:t>
      </w:r>
    </w:p>
    <w:p w14:paraId="72277234">
      <w:pPr>
        <w:spacing w:line="360" w:lineRule="auto"/>
        <w:jc w:val="left"/>
        <w:rPr>
          <w:rFonts w:hint="eastAsia" w:ascii="仿宋" w:hAnsi="仿宋" w:eastAsia="仿宋" w:cs="仿宋"/>
          <w:b w:val="0"/>
          <w:bCs w:val="0"/>
          <w:sz w:val="24"/>
          <w:szCs w:val="24"/>
          <w:u w:val="single"/>
        </w:rPr>
      </w:pPr>
      <w:r>
        <w:rPr>
          <w:rFonts w:hint="eastAsia" w:ascii="仿宋" w:hAnsi="仿宋" w:eastAsia="仿宋" w:cs="仿宋"/>
          <w:b w:val="0"/>
          <w:bCs w:val="0"/>
          <w:sz w:val="24"/>
          <w:szCs w:val="24"/>
          <w:u w:val="single"/>
        </w:rPr>
        <w:t>管理、监理、检测等服务后不得再参加该采购项目的其他采购活动。</w:t>
      </w:r>
    </w:p>
    <w:p w14:paraId="2E6D5414">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（八）采购方式：公开招标</w:t>
      </w:r>
    </w:p>
    <w:p w14:paraId="25DECA79">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（九）选择采购方式的理由</w:t>
      </w:r>
      <w:r>
        <w:rPr>
          <w:rFonts w:hint="eastAsia" w:ascii="仿宋" w:hAnsi="仿宋" w:eastAsia="仿宋" w:cs="仿宋"/>
          <w:b w:val="0"/>
          <w:bCs w:val="0"/>
          <w:sz w:val="22"/>
          <w:szCs w:val="22"/>
          <w:u w:val="single"/>
        </w:rPr>
        <w:t>：</w:t>
      </w:r>
      <w:r>
        <w:rPr>
          <w:rFonts w:hint="eastAsia" w:ascii="仿宋" w:hAnsi="仿宋" w:eastAsia="仿宋" w:cs="仿宋"/>
          <w:b w:val="0"/>
          <w:bCs w:val="0"/>
          <w:sz w:val="24"/>
          <w:szCs w:val="24"/>
          <w:u w:val="single"/>
        </w:rPr>
        <w:t>根据《财政部关于开展政府采购意向公开工作的通知》（财库〔2020〕10号）等有关规定。</w:t>
      </w:r>
      <w:r>
        <w:rPr>
          <w:rFonts w:hint="eastAsia" w:ascii="仿宋" w:hAnsi="仿宋" w:eastAsia="仿宋" w:cs="仿宋"/>
          <w:b w:val="0"/>
          <w:bCs w:val="0"/>
          <w:sz w:val="22"/>
          <w:szCs w:val="22"/>
          <w:u w:val="single"/>
        </w:rPr>
        <w:t xml:space="preserve"> </w:t>
      </w:r>
    </w:p>
    <w:p w14:paraId="4BF5CB68">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（十）竞争范围：公开发布</w:t>
      </w:r>
      <w:r>
        <w:rPr>
          <w:rFonts w:hint="eastAsia" w:ascii="仿宋" w:hAnsi="仿宋" w:eastAsia="仿宋" w:cs="仿宋"/>
          <w:b w:val="0"/>
          <w:bCs w:val="0"/>
          <w:sz w:val="22"/>
          <w:szCs w:val="22"/>
        </w:rPr>
        <w:tab/>
      </w:r>
      <w:r>
        <w:rPr>
          <w:rFonts w:hint="eastAsia" w:ascii="仿宋" w:hAnsi="仿宋" w:eastAsia="仿宋" w:cs="仿宋"/>
          <w:b w:val="0"/>
          <w:bCs w:val="0"/>
          <w:sz w:val="22"/>
          <w:szCs w:val="22"/>
        </w:rPr>
        <w:tab/>
      </w:r>
    </w:p>
    <w:p w14:paraId="35DDE582">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（十一）评审规则：综合评分,评审规则选择理由：《</w:t>
      </w:r>
      <w:r>
        <w:rPr>
          <w:rFonts w:hint="eastAsia" w:ascii="仿宋" w:hAnsi="仿宋" w:eastAsia="仿宋" w:cs="仿宋"/>
          <w:b w:val="0"/>
          <w:bCs w:val="0"/>
          <w:sz w:val="22"/>
          <w:szCs w:val="22"/>
          <w:u w:val="single"/>
        </w:rPr>
        <w:t>中华人民共和国政府采购法》。</w:t>
      </w:r>
    </w:p>
    <w:p w14:paraId="172F3870">
      <w:pPr>
        <w:spacing w:line="420" w:lineRule="exact"/>
        <w:ind w:firstLine="140" w:firstLineChars="5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四、合同管理安排</w:t>
      </w:r>
    </w:p>
    <w:p w14:paraId="29AB9688">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（一）合同类型：服务合同，合同类型选择理由：</w:t>
      </w:r>
      <w:r>
        <w:rPr>
          <w:rFonts w:hint="eastAsia" w:ascii="仿宋" w:hAnsi="仿宋" w:eastAsia="仿宋" w:cs="仿宋"/>
          <w:b w:val="0"/>
          <w:bCs w:val="0"/>
          <w:sz w:val="22"/>
          <w:szCs w:val="22"/>
          <w:u w:val="single"/>
        </w:rPr>
        <w:t xml:space="preserve"> 本项目为服务项目 。</w:t>
      </w:r>
    </w:p>
    <w:p w14:paraId="01B171B0">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（二）定价方式</w:t>
      </w:r>
      <w:r>
        <w:rPr>
          <w:rFonts w:hint="eastAsia" w:ascii="仿宋" w:hAnsi="仿宋" w:eastAsia="仿宋" w:cs="仿宋"/>
          <w:b w:val="0"/>
          <w:bCs w:val="0"/>
          <w:sz w:val="22"/>
          <w:szCs w:val="22"/>
          <w:u w:val="single"/>
        </w:rPr>
        <w:t>：固定单价，</w:t>
      </w:r>
      <w:r>
        <w:rPr>
          <w:rFonts w:hint="eastAsia" w:ascii="仿宋" w:hAnsi="仿宋" w:eastAsia="仿宋" w:cs="仿宋"/>
          <w:b w:val="0"/>
          <w:bCs w:val="0"/>
          <w:sz w:val="22"/>
          <w:szCs w:val="22"/>
        </w:rPr>
        <w:t>定价方式选择理由：</w:t>
      </w:r>
      <w:r>
        <w:rPr>
          <w:rFonts w:hint="eastAsia" w:ascii="仿宋" w:hAnsi="仿宋" w:eastAsia="仿宋" w:cs="仿宋"/>
          <w:b w:val="0"/>
          <w:bCs w:val="0"/>
          <w:sz w:val="22"/>
          <w:szCs w:val="22"/>
          <w:u w:val="single"/>
        </w:rPr>
        <w:t xml:space="preserve"> 从项目采购实际出发 。</w:t>
      </w:r>
    </w:p>
    <w:p w14:paraId="517E0F47">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（三）合同文本的主要条款</w:t>
      </w:r>
    </w:p>
    <w:p w14:paraId="3D7B4DC1">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1.合同主要标的</w:t>
      </w:r>
    </w:p>
    <w:tbl>
      <w:tblPr>
        <w:tblStyle w:val="15"/>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00EA5F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03EE1BF5">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标的内容1</w:t>
            </w:r>
          </w:p>
        </w:tc>
        <w:tc>
          <w:tcPr>
            <w:tcW w:w="6804" w:type="dxa"/>
            <w:gridSpan w:val="3"/>
            <w:vAlign w:val="center"/>
          </w:tcPr>
          <w:p w14:paraId="1F4E8F33">
            <w:pPr>
              <w:spacing w:line="420" w:lineRule="exact"/>
              <w:rPr>
                <w:rFonts w:hint="eastAsia" w:ascii="仿宋" w:hAnsi="仿宋" w:eastAsia="仿宋" w:cs="仿宋"/>
                <w:b w:val="0"/>
                <w:bCs w:val="0"/>
                <w:sz w:val="22"/>
                <w:szCs w:val="22"/>
                <w:lang w:eastAsia="zh-CN"/>
              </w:rPr>
            </w:pPr>
            <w:r>
              <w:rPr>
                <w:rFonts w:hint="eastAsia" w:ascii="仿宋" w:hAnsi="仿宋" w:eastAsia="仿宋" w:cs="仿宋"/>
                <w:b w:val="0"/>
                <w:bCs w:val="0"/>
                <w:sz w:val="22"/>
                <w:szCs w:val="22"/>
                <w:lang w:eastAsia="zh-CN"/>
              </w:rPr>
              <w:t>艺尚小镇城市管理综合提升项目</w:t>
            </w:r>
          </w:p>
        </w:tc>
      </w:tr>
      <w:tr w14:paraId="32FA36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05823744">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数量</w:t>
            </w:r>
          </w:p>
        </w:tc>
        <w:tc>
          <w:tcPr>
            <w:tcW w:w="2409" w:type="dxa"/>
            <w:vAlign w:val="center"/>
          </w:tcPr>
          <w:p w14:paraId="49179210">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1</w:t>
            </w:r>
          </w:p>
        </w:tc>
        <w:tc>
          <w:tcPr>
            <w:tcW w:w="1360" w:type="dxa"/>
            <w:vAlign w:val="center"/>
          </w:tcPr>
          <w:p w14:paraId="57E37B8F">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单位</w:t>
            </w:r>
          </w:p>
        </w:tc>
        <w:tc>
          <w:tcPr>
            <w:tcW w:w="3035" w:type="dxa"/>
            <w:vAlign w:val="center"/>
          </w:tcPr>
          <w:p w14:paraId="0AD551E2">
            <w:pPr>
              <w:spacing w:line="420" w:lineRule="exact"/>
              <w:jc w:val="center"/>
              <w:rPr>
                <w:rFonts w:hint="eastAsia" w:ascii="仿宋" w:hAnsi="仿宋" w:eastAsia="仿宋" w:cs="仿宋"/>
                <w:b w:val="0"/>
                <w:bCs w:val="0"/>
                <w:color w:val="FF0000"/>
                <w:sz w:val="22"/>
                <w:szCs w:val="22"/>
              </w:rPr>
            </w:pPr>
            <w:r>
              <w:rPr>
                <w:rFonts w:hint="eastAsia" w:ascii="仿宋" w:hAnsi="仿宋" w:eastAsia="仿宋" w:cs="仿宋"/>
                <w:b w:val="0"/>
                <w:bCs w:val="0"/>
                <w:sz w:val="22"/>
                <w:szCs w:val="22"/>
              </w:rPr>
              <w:t>批</w:t>
            </w:r>
          </w:p>
        </w:tc>
      </w:tr>
      <w:tr w14:paraId="448A94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19EF841E">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功能和质量</w:t>
            </w:r>
          </w:p>
          <w:p w14:paraId="579720DD">
            <w:pPr>
              <w:spacing w:line="42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rPr>
              <w:t>要求</w:t>
            </w:r>
          </w:p>
        </w:tc>
        <w:tc>
          <w:tcPr>
            <w:tcW w:w="6804" w:type="dxa"/>
            <w:gridSpan w:val="3"/>
            <w:vAlign w:val="top"/>
          </w:tcPr>
          <w:p w14:paraId="3C6E931B">
            <w:pPr>
              <w:snapToGrid w:val="0"/>
              <w:spacing w:line="500" w:lineRule="exact"/>
              <w:ind w:firstLine="480" w:firstLineChars="200"/>
              <w:rPr>
                <w:rFonts w:hint="eastAsia" w:ascii="仿宋" w:hAnsi="仿宋" w:eastAsia="仿宋" w:cs="仿宋"/>
                <w:b w:val="0"/>
                <w:bCs w:val="0"/>
                <w:color w:val="FF0000"/>
                <w:sz w:val="22"/>
                <w:szCs w:val="22"/>
              </w:rPr>
            </w:pPr>
            <w:r>
              <w:rPr>
                <w:rFonts w:hint="eastAsia" w:ascii="仿宋" w:hAnsi="仿宋" w:eastAsia="仿宋" w:cs="仿宋"/>
                <w:color w:val="auto"/>
                <w:sz w:val="24"/>
                <w:szCs w:val="24"/>
                <w:highlight w:val="none"/>
                <w:lang w:val="en-US" w:eastAsia="zh-CN"/>
              </w:rPr>
              <w:t>以艺尚小镇3.22平方公里为管理核心，提升区域内日常街面序化管控标准，同时涵盖辖区内重要活动保障、应急抢险及其他服务保障工作。</w:t>
            </w:r>
          </w:p>
        </w:tc>
      </w:tr>
    </w:tbl>
    <w:p w14:paraId="61D99F23">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2.履行时间（期限）：</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sz w:val="22"/>
          <w:szCs w:val="22"/>
          <w:u w:val="single"/>
          <w:lang w:val="en-US" w:eastAsia="zh-CN"/>
        </w:rPr>
        <w:t>自合同约定之日起3年</w:t>
      </w:r>
      <w:r>
        <w:rPr>
          <w:rFonts w:hint="eastAsia" w:ascii="仿宋" w:hAnsi="仿宋" w:eastAsia="仿宋" w:cs="仿宋"/>
          <w:b w:val="0"/>
          <w:bCs w:val="0"/>
          <w:iCs/>
          <w:sz w:val="22"/>
          <w:szCs w:val="22"/>
          <w:u w:val="single"/>
        </w:rPr>
        <w:t>。</w:t>
      </w:r>
    </w:p>
    <w:p w14:paraId="3DE75DFF">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3.履约地点和方式：</w:t>
      </w:r>
      <w:r>
        <w:rPr>
          <w:rFonts w:hint="eastAsia" w:ascii="仿宋" w:hAnsi="仿宋" w:eastAsia="仿宋" w:cs="仿宋"/>
          <w:b w:val="0"/>
          <w:bCs w:val="0"/>
          <w:iCs/>
          <w:sz w:val="22"/>
          <w:szCs w:val="22"/>
          <w:u w:val="single"/>
        </w:rPr>
        <w:t xml:space="preserve">    </w:t>
      </w:r>
      <w:r>
        <w:rPr>
          <w:rFonts w:hint="eastAsia" w:ascii="仿宋" w:hAnsi="仿宋" w:eastAsia="仿宋" w:cs="仿宋"/>
          <w:b w:val="0"/>
          <w:bCs w:val="0"/>
          <w:iCs/>
          <w:sz w:val="22"/>
          <w:szCs w:val="22"/>
          <w:u w:val="single"/>
          <w:lang w:eastAsia="zh-CN"/>
        </w:rPr>
        <w:t>临平区艺尚小镇</w:t>
      </w:r>
      <w:r>
        <w:rPr>
          <w:rFonts w:hint="eastAsia" w:ascii="仿宋" w:hAnsi="仿宋" w:eastAsia="仿宋" w:cs="仿宋"/>
          <w:b w:val="0"/>
          <w:bCs w:val="0"/>
          <w:iCs/>
          <w:sz w:val="22"/>
          <w:szCs w:val="22"/>
          <w:u w:val="single"/>
        </w:rPr>
        <w:t xml:space="preserve"> 。        </w:t>
      </w:r>
    </w:p>
    <w:p w14:paraId="370C1018">
      <w:pPr>
        <w:spacing w:line="420" w:lineRule="exact"/>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 xml:space="preserve">4.包装方式：  </w:t>
      </w:r>
      <w:r>
        <w:rPr>
          <w:rFonts w:hint="eastAsia" w:ascii="仿宋" w:hAnsi="仿宋" w:eastAsia="仿宋" w:cs="仿宋"/>
          <w:b w:val="0"/>
          <w:bCs w:val="0"/>
          <w:iCs/>
          <w:sz w:val="22"/>
          <w:szCs w:val="22"/>
          <w:u w:val="single"/>
        </w:rPr>
        <w:t xml:space="preserve">   无  。</w:t>
      </w:r>
      <w:r>
        <w:rPr>
          <w:rFonts w:hint="eastAsia" w:ascii="仿宋" w:hAnsi="仿宋" w:eastAsia="仿宋" w:cs="仿宋"/>
          <w:b w:val="0"/>
          <w:bCs w:val="0"/>
          <w:iCs/>
          <w:sz w:val="22"/>
          <w:szCs w:val="22"/>
        </w:rPr>
        <w:t xml:space="preserve">                  </w:t>
      </w:r>
    </w:p>
    <w:p w14:paraId="18CB99F3">
      <w:pPr>
        <w:snapToGrid w:val="0"/>
        <w:spacing w:line="50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iCs/>
          <w:sz w:val="22"/>
          <w:szCs w:val="22"/>
        </w:rPr>
        <w:t>5.价款或者报酬：</w:t>
      </w:r>
      <w:r>
        <w:rPr>
          <w:rFonts w:hint="eastAsia" w:ascii="仿宋" w:hAnsi="仿宋" w:eastAsia="仿宋" w:cs="仿宋"/>
          <w:b w:val="0"/>
          <w:bCs w:val="0"/>
          <w:color w:val="auto"/>
          <w:sz w:val="22"/>
          <w:szCs w:val="22"/>
        </w:rPr>
        <w:t>依据中标单价按实结算。</w:t>
      </w:r>
    </w:p>
    <w:p w14:paraId="39CBCB2C">
      <w:pPr>
        <w:snapToGrid w:val="0"/>
        <w:spacing w:line="50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sz w:val="22"/>
          <w:szCs w:val="22"/>
        </w:rPr>
        <w:t>6.考核要求和付款进度安排</w:t>
      </w:r>
    </w:p>
    <w:tbl>
      <w:tblPr>
        <w:tblStyle w:val="15"/>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4227"/>
        <w:gridCol w:w="2911"/>
      </w:tblGrid>
      <w:tr w14:paraId="44618B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7690B701">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4227" w:type="dxa"/>
            <w:vAlign w:val="center"/>
          </w:tcPr>
          <w:p w14:paraId="37EF3D26">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付款比例（%）</w:t>
            </w:r>
          </w:p>
        </w:tc>
        <w:tc>
          <w:tcPr>
            <w:tcW w:w="2911" w:type="dxa"/>
            <w:vAlign w:val="center"/>
          </w:tcPr>
          <w:p w14:paraId="7944857F">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r>
      <w:tr w14:paraId="5F92A8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3C8E903C">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227" w:type="dxa"/>
            <w:vAlign w:val="top"/>
          </w:tcPr>
          <w:p w14:paraId="62BDABF4">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每一年为一个周期，每期支付合同金额的1/3，约为33.33%</w:t>
            </w:r>
          </w:p>
        </w:tc>
        <w:tc>
          <w:tcPr>
            <w:tcW w:w="2911" w:type="dxa"/>
            <w:vAlign w:val="top"/>
          </w:tcPr>
          <w:p w14:paraId="3DF3FC85">
            <w:pPr>
              <w:snapToGrid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转账</w:t>
            </w:r>
          </w:p>
        </w:tc>
      </w:tr>
    </w:tbl>
    <w:p w14:paraId="02C501CA">
      <w:pPr>
        <w:pStyle w:val="4"/>
        <w:rPr>
          <w:rFonts w:hint="eastAsia"/>
        </w:rPr>
      </w:pPr>
    </w:p>
    <w:p w14:paraId="6A6D2566">
      <w:pPr>
        <w:spacing w:line="360" w:lineRule="auto"/>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7.资金支付方式：</w:t>
      </w:r>
      <w:r>
        <w:rPr>
          <w:rFonts w:hint="eastAsia" w:ascii="仿宋" w:hAnsi="仿宋" w:eastAsia="仿宋" w:cs="仿宋"/>
          <w:b w:val="0"/>
          <w:bCs w:val="0"/>
          <w:iCs/>
          <w:sz w:val="22"/>
          <w:szCs w:val="22"/>
          <w:u w:val="single"/>
        </w:rPr>
        <w:t>分期支付方式.</w:t>
      </w:r>
    </w:p>
    <w:p w14:paraId="51F883E4">
      <w:pPr>
        <w:spacing w:line="420" w:lineRule="exact"/>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8.验收、交付标准和方法：</w:t>
      </w:r>
      <w:r>
        <w:rPr>
          <w:rFonts w:hint="eastAsia" w:ascii="仿宋" w:hAnsi="仿宋" w:eastAsia="仿宋" w:cs="仿宋"/>
          <w:b w:val="0"/>
          <w:bCs w:val="0"/>
          <w:sz w:val="22"/>
          <w:szCs w:val="22"/>
          <w:u w:val="single"/>
        </w:rPr>
        <w:t xml:space="preserve">由采购人自行组织验收小组进行验收 。 </w:t>
      </w:r>
    </w:p>
    <w:p w14:paraId="0A7917DF">
      <w:pPr>
        <w:spacing w:line="420" w:lineRule="exact"/>
        <w:ind w:firstLine="440" w:firstLineChars="200"/>
        <w:jc w:val="left"/>
        <w:rPr>
          <w:rFonts w:hint="eastAsia" w:ascii="仿宋" w:hAnsi="仿宋" w:eastAsia="仿宋" w:cs="仿宋"/>
          <w:b w:val="0"/>
          <w:bCs w:val="0"/>
          <w:sz w:val="22"/>
          <w:szCs w:val="22"/>
          <w:u w:val="single"/>
        </w:rPr>
      </w:pPr>
      <w:r>
        <w:rPr>
          <w:rFonts w:hint="eastAsia" w:ascii="仿宋" w:hAnsi="仿宋" w:eastAsia="仿宋" w:cs="仿宋"/>
          <w:b w:val="0"/>
          <w:bCs w:val="0"/>
          <w:iCs/>
          <w:sz w:val="22"/>
          <w:szCs w:val="22"/>
        </w:rPr>
        <w:t>9.质量保修范围和保修期：</w:t>
      </w:r>
      <w:r>
        <w:rPr>
          <w:rFonts w:hint="eastAsia" w:ascii="仿宋" w:hAnsi="仿宋" w:eastAsia="仿宋" w:cs="仿宋"/>
          <w:b w:val="0"/>
          <w:bCs w:val="0"/>
          <w:sz w:val="22"/>
          <w:szCs w:val="22"/>
          <w:u w:val="single"/>
        </w:rPr>
        <w:t xml:space="preserve">   无 。</w:t>
      </w:r>
    </w:p>
    <w:p w14:paraId="21339ABE">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10.知识产权归属、处理方式：</w:t>
      </w:r>
      <w:r>
        <w:rPr>
          <w:rFonts w:hint="eastAsia" w:ascii="仿宋" w:hAnsi="仿宋" w:eastAsia="仿宋" w:cs="仿宋"/>
          <w:b w:val="0"/>
          <w:bCs w:val="0"/>
          <w:iCs/>
          <w:sz w:val="22"/>
          <w:szCs w:val="22"/>
          <w:u w:val="single"/>
        </w:rPr>
        <w:t xml:space="preserve">    无 。               </w:t>
      </w:r>
    </w:p>
    <w:p w14:paraId="5A6DEE94">
      <w:pPr>
        <w:spacing w:line="420" w:lineRule="exact"/>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11.成本补偿、风险分担约定</w:t>
      </w:r>
    </w:p>
    <w:p w14:paraId="6F19951B">
      <w:pPr>
        <w:spacing w:line="420" w:lineRule="exact"/>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 xml:space="preserve">   </w:t>
      </w:r>
      <w:r>
        <w:rPr>
          <w:rFonts w:hint="eastAsia" w:ascii="仿宋" w:hAnsi="仿宋" w:eastAsia="仿宋" w:cs="仿宋"/>
          <w:b w:val="0"/>
          <w:bCs w:val="0"/>
          <w:sz w:val="22"/>
          <w:szCs w:val="22"/>
          <w:u w:val="single"/>
        </w:rPr>
        <w:t>不可抗力一旦发生，证明文件由法律规定部门签署，并由采购人、投标人协商合同逾期履行和继续履行的方法，在此情况下，任何一方不能要求损失赔偿 。</w:t>
      </w:r>
    </w:p>
    <w:p w14:paraId="24DA2612">
      <w:pPr>
        <w:spacing w:line="420" w:lineRule="exact"/>
        <w:ind w:firstLine="440" w:firstLineChars="200"/>
        <w:jc w:val="left"/>
        <w:rPr>
          <w:rFonts w:hint="eastAsia" w:ascii="仿宋" w:hAnsi="仿宋" w:eastAsia="仿宋" w:cs="仿宋"/>
          <w:b w:val="0"/>
          <w:bCs w:val="0"/>
          <w:iCs/>
          <w:sz w:val="22"/>
          <w:szCs w:val="22"/>
          <w:u w:val="single"/>
        </w:rPr>
      </w:pPr>
      <w:r>
        <w:rPr>
          <w:rFonts w:hint="eastAsia" w:ascii="仿宋" w:hAnsi="仿宋" w:eastAsia="仿宋" w:cs="仿宋"/>
          <w:b w:val="0"/>
          <w:bCs w:val="0"/>
          <w:iCs/>
          <w:sz w:val="22"/>
          <w:szCs w:val="22"/>
        </w:rPr>
        <w:t>12.违约责任与解决争议的方法：</w:t>
      </w:r>
      <w:r>
        <w:rPr>
          <w:rFonts w:hint="eastAsia" w:ascii="仿宋" w:hAnsi="仿宋" w:eastAsia="仿宋" w:cs="仿宋"/>
          <w:b w:val="0"/>
          <w:bCs w:val="0"/>
          <w:iCs/>
          <w:sz w:val="22"/>
          <w:szCs w:val="22"/>
          <w:u w:val="single"/>
        </w:rPr>
        <w:t xml:space="preserve">（1）投标人应完全按照采购人招标文件的要求和投标人投标文件及相关文件承诺完成本项目，因投标人自身财务、技术、人力等原因导致项目风险的，应承担全部责任。（2）采购人有权依据有关法律法规、政府管理的相关职能规定，对本项目进行监督和检查，有权要求投标人按照监督检查情况制定相应措施并加以整改。采购人不因行使该监督和检查权而承担任何责任，也不因此减轻或免除投标人根据合同约定或相关法律法规规定应承担的任何义务或责任。 </w:t>
      </w:r>
    </w:p>
    <w:p w14:paraId="4F47F213">
      <w:pPr>
        <w:spacing w:line="420" w:lineRule="exact"/>
        <w:ind w:firstLine="440" w:firstLineChars="20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13.其他条款：</w:t>
      </w:r>
      <w:r>
        <w:rPr>
          <w:rFonts w:hint="eastAsia" w:ascii="仿宋" w:hAnsi="仿宋" w:eastAsia="仿宋" w:cs="仿宋"/>
          <w:b w:val="0"/>
          <w:bCs w:val="0"/>
          <w:sz w:val="22"/>
          <w:szCs w:val="22"/>
          <w:u w:val="single"/>
        </w:rPr>
        <w:t>采购人在职权范围内保证投标人的正常服务不受干扰，保证投标人的员工按规定正常进入服务区域开展工作。</w:t>
      </w:r>
    </w:p>
    <w:p w14:paraId="6FFB04F9">
      <w:pPr>
        <w:spacing w:beforeLines="100" w:line="42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五、履约验收方案</w:t>
      </w:r>
    </w:p>
    <w:p w14:paraId="606958A6">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（一）履约验收主体</w:t>
      </w:r>
    </w:p>
    <w:p w14:paraId="066C30A9">
      <w:pPr>
        <w:spacing w:line="420" w:lineRule="exact"/>
        <w:ind w:left="420" w:leftChars="200"/>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1.采购单位：</w:t>
      </w:r>
      <w:r>
        <w:rPr>
          <w:rFonts w:hint="eastAsia" w:ascii="仿宋" w:hAnsi="仿宋" w:eastAsia="仿宋" w:cs="仿宋"/>
          <w:b w:val="0"/>
          <w:bCs w:val="0"/>
          <w:sz w:val="22"/>
          <w:szCs w:val="22"/>
          <w:u w:val="single"/>
          <w:lang w:eastAsia="zh-CN"/>
        </w:rPr>
        <w:t>杭州市临平区综合行政执法局</w:t>
      </w:r>
      <w:r>
        <w:rPr>
          <w:rFonts w:hint="eastAsia" w:ascii="仿宋" w:hAnsi="仿宋" w:eastAsia="仿宋" w:cs="仿宋"/>
          <w:b w:val="0"/>
          <w:bCs w:val="0"/>
          <w:sz w:val="22"/>
          <w:szCs w:val="22"/>
          <w:u w:val="single"/>
        </w:rPr>
        <w:t xml:space="preserve">    </w:t>
      </w:r>
    </w:p>
    <w:p w14:paraId="714931CB">
      <w:pPr>
        <w:spacing w:line="420" w:lineRule="exact"/>
        <w:ind w:left="420" w:leftChars="200"/>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2.是否选择代理机构：否（自行验收）</w:t>
      </w:r>
    </w:p>
    <w:p w14:paraId="58ABCC42">
      <w:pPr>
        <w:spacing w:line="420" w:lineRule="exact"/>
        <w:ind w:left="420" w:leftChars="200"/>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3.是否邀请本项目的其他供应商：</w:t>
      </w:r>
      <w:r>
        <w:rPr>
          <w:rFonts w:hint="eastAsia" w:ascii="仿宋" w:hAnsi="仿宋" w:eastAsia="仿宋" w:cs="仿宋"/>
          <w:b w:val="0"/>
          <w:bCs w:val="0"/>
          <w:sz w:val="22"/>
          <w:szCs w:val="22"/>
        </w:rPr>
        <w:tab/>
      </w:r>
      <w:r>
        <w:rPr>
          <w:rFonts w:hint="eastAsia" w:ascii="仿宋" w:hAnsi="仿宋" w:eastAsia="仿宋" w:cs="仿宋"/>
          <w:b w:val="0"/>
          <w:bCs w:val="0"/>
          <w:sz w:val="22"/>
          <w:szCs w:val="22"/>
        </w:rPr>
        <w:t>否</w:t>
      </w:r>
    </w:p>
    <w:p w14:paraId="23CC1097">
      <w:pPr>
        <w:spacing w:line="420" w:lineRule="exact"/>
        <w:ind w:left="420" w:left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4.是否邀请专家：</w:t>
      </w:r>
      <w:r>
        <w:rPr>
          <w:rFonts w:hint="eastAsia" w:ascii="仿宋" w:hAnsi="仿宋" w:eastAsia="仿宋" w:cs="仿宋"/>
          <w:b w:val="0"/>
          <w:bCs w:val="0"/>
          <w:sz w:val="22"/>
          <w:szCs w:val="22"/>
        </w:rPr>
        <w:tab/>
      </w:r>
      <w:r>
        <w:rPr>
          <w:rFonts w:hint="eastAsia" w:ascii="仿宋" w:hAnsi="仿宋" w:eastAsia="仿宋" w:cs="仿宋"/>
          <w:b w:val="0"/>
          <w:bCs w:val="0"/>
          <w:sz w:val="22"/>
          <w:szCs w:val="22"/>
        </w:rPr>
        <w:t>否</w:t>
      </w:r>
    </w:p>
    <w:p w14:paraId="10F5AB67">
      <w:pPr>
        <w:spacing w:line="420" w:lineRule="exact"/>
        <w:ind w:left="420" w:leftChars="20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5.是否邀请服务对象：</w:t>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是</w:t>
      </w:r>
      <w:r>
        <w:rPr>
          <w:rFonts w:hint="eastAsia" w:ascii="仿宋" w:hAnsi="仿宋" w:eastAsia="仿宋" w:cs="仿宋"/>
          <w:b w:val="0"/>
          <w:bCs w:val="0"/>
          <w:sz w:val="22"/>
          <w:szCs w:val="22"/>
        </w:rPr>
        <w:tab/>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否</w:t>
      </w:r>
    </w:p>
    <w:p w14:paraId="119E12A0">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6.其他：</w:t>
      </w:r>
      <w:r>
        <w:rPr>
          <w:rFonts w:hint="eastAsia" w:ascii="仿宋" w:hAnsi="仿宋" w:eastAsia="仿宋" w:cs="仿宋"/>
          <w:b w:val="0"/>
          <w:bCs w:val="0"/>
          <w:sz w:val="22"/>
          <w:szCs w:val="22"/>
          <w:u w:val="single"/>
        </w:rPr>
        <w:t>无。</w:t>
      </w:r>
    </w:p>
    <w:p w14:paraId="42B7603A">
      <w:pPr>
        <w:spacing w:line="420" w:lineRule="exact"/>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（二）履约验收时间：</w:t>
      </w:r>
      <w:r>
        <w:rPr>
          <w:rFonts w:hint="eastAsia" w:ascii="仿宋" w:hAnsi="仿宋" w:eastAsia="仿宋" w:cs="仿宋"/>
          <w:b w:val="0"/>
          <w:bCs w:val="0"/>
          <w:color w:val="FF0000"/>
          <w:sz w:val="22"/>
          <w:szCs w:val="22"/>
          <w:u w:val="single"/>
        </w:rPr>
        <w:t xml:space="preserve"> </w:t>
      </w:r>
      <w:r>
        <w:rPr>
          <w:rFonts w:hint="eastAsia" w:ascii="仿宋" w:hAnsi="仿宋" w:eastAsia="仿宋" w:cs="仿宋"/>
          <w:b w:val="0"/>
          <w:bCs w:val="0"/>
          <w:sz w:val="22"/>
          <w:szCs w:val="22"/>
          <w:u w:val="single"/>
        </w:rPr>
        <w:t xml:space="preserve">  </w:t>
      </w:r>
      <w:r>
        <w:rPr>
          <w:rFonts w:hint="eastAsia" w:ascii="仿宋" w:hAnsi="仿宋" w:eastAsia="仿宋" w:cs="仿宋"/>
          <w:b w:val="0"/>
          <w:bCs w:val="0"/>
          <w:sz w:val="22"/>
          <w:szCs w:val="22"/>
          <w:u w:val="single"/>
          <w:lang w:val="en-US" w:eastAsia="zh-CN"/>
        </w:rPr>
        <w:t>合同期满后十个工作日内</w:t>
      </w:r>
      <w:r>
        <w:rPr>
          <w:rFonts w:hint="eastAsia" w:ascii="仿宋" w:hAnsi="仿宋" w:eastAsia="仿宋" w:cs="仿宋"/>
          <w:b w:val="0"/>
          <w:bCs w:val="0"/>
          <w:sz w:val="22"/>
          <w:szCs w:val="22"/>
          <w:u w:val="single"/>
        </w:rPr>
        <w:t xml:space="preserve"> </w:t>
      </w:r>
    </w:p>
    <w:p w14:paraId="7F37C9CA">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（三）履约验收方式：</w:t>
      </w:r>
      <w:r>
        <w:rPr>
          <w:rFonts w:hint="eastAsia" w:ascii="仿宋" w:hAnsi="仿宋" w:eastAsia="仿宋" w:cs="仿宋"/>
          <w:b w:val="0"/>
          <w:bCs w:val="0"/>
          <w:sz w:val="22"/>
          <w:szCs w:val="22"/>
        </w:rPr>
        <w:tab/>
      </w:r>
      <w:r>
        <w:rPr>
          <w:rFonts w:hint="eastAsia" w:ascii="仿宋" w:hAnsi="仿宋" w:eastAsia="仿宋" w:cs="仿宋"/>
          <w:b w:val="0"/>
          <w:bCs w:val="0"/>
          <w:sz w:val="22"/>
          <w:szCs w:val="22"/>
        </w:rPr>
        <w:t>一般程序</w:t>
      </w:r>
    </w:p>
    <w:p w14:paraId="18F3DF73">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（四）履约验收程序：</w:t>
      </w:r>
      <w:r>
        <w:rPr>
          <w:rFonts w:hint="eastAsia" w:ascii="仿宋" w:hAnsi="仿宋" w:eastAsia="仿宋" w:cs="仿宋"/>
          <w:b w:val="0"/>
          <w:bCs w:val="0"/>
          <w:sz w:val="22"/>
          <w:szCs w:val="22"/>
        </w:rPr>
        <w:tab/>
      </w:r>
      <w:r>
        <w:rPr>
          <w:rFonts w:hint="eastAsia" w:ascii="仿宋" w:hAnsi="仿宋" w:eastAsia="仿宋" w:cs="仿宋"/>
          <w:b w:val="0"/>
          <w:bCs w:val="0"/>
          <w:sz w:val="22"/>
          <w:szCs w:val="22"/>
        </w:rPr>
        <w:t>分期验收</w:t>
      </w:r>
    </w:p>
    <w:p w14:paraId="2146AC86">
      <w:pPr>
        <w:snapToGrid w:val="0"/>
        <w:spacing w:line="500" w:lineRule="exact"/>
        <w:ind w:firstLine="440" w:firstLineChars="200"/>
        <w:rPr>
          <w:rFonts w:hint="eastAsia" w:ascii="仿宋" w:hAnsi="仿宋" w:eastAsia="仿宋" w:cs="仿宋"/>
          <w:b w:val="0"/>
          <w:bCs w:val="0"/>
          <w:sz w:val="22"/>
          <w:szCs w:val="22"/>
        </w:rPr>
      </w:pPr>
      <w:r>
        <w:rPr>
          <w:rFonts w:hint="eastAsia" w:ascii="仿宋" w:hAnsi="仿宋" w:eastAsia="仿宋" w:cs="仿宋"/>
          <w:b w:val="0"/>
          <w:bCs w:val="0"/>
          <w:sz w:val="22"/>
          <w:szCs w:val="22"/>
        </w:rPr>
        <w:t>（五）履约验收内容</w:t>
      </w:r>
    </w:p>
    <w:p w14:paraId="12BECFF4">
      <w:pPr>
        <w:spacing w:line="420" w:lineRule="exact"/>
        <w:ind w:firstLine="42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1.技术履约内容：</w:t>
      </w:r>
      <w:r>
        <w:rPr>
          <w:rFonts w:hint="eastAsia" w:ascii="仿宋" w:hAnsi="仿宋" w:eastAsia="仿宋" w:cs="仿宋"/>
          <w:b w:val="0"/>
          <w:bCs w:val="0"/>
          <w:sz w:val="22"/>
          <w:szCs w:val="22"/>
          <w:u w:val="single"/>
        </w:rPr>
        <w:t xml:space="preserve">乙方应按采购文件采购需求、投标文件承诺服务事项、合同约定的相关事项进行履约，并达到采购人验收合格标准。 </w:t>
      </w:r>
    </w:p>
    <w:p w14:paraId="4F8A6A24">
      <w:pPr>
        <w:spacing w:line="420" w:lineRule="exact"/>
        <w:ind w:firstLine="420"/>
        <w:jc w:val="left"/>
        <w:rPr>
          <w:rFonts w:hint="eastAsia" w:ascii="仿宋" w:hAnsi="仿宋" w:eastAsia="仿宋" w:cs="仿宋"/>
          <w:b w:val="0"/>
          <w:bCs w:val="0"/>
          <w:iCs/>
          <w:sz w:val="22"/>
          <w:szCs w:val="22"/>
        </w:rPr>
      </w:pPr>
      <w:r>
        <w:rPr>
          <w:rFonts w:hint="eastAsia" w:ascii="仿宋" w:hAnsi="仿宋" w:eastAsia="仿宋" w:cs="仿宋"/>
          <w:b w:val="0"/>
          <w:bCs w:val="0"/>
          <w:iCs/>
          <w:sz w:val="22"/>
          <w:szCs w:val="22"/>
        </w:rPr>
        <w:t>2.商务履约内容：</w:t>
      </w:r>
      <w:r>
        <w:rPr>
          <w:rFonts w:hint="eastAsia" w:ascii="仿宋" w:hAnsi="仿宋" w:eastAsia="仿宋" w:cs="仿宋"/>
          <w:b w:val="0"/>
          <w:bCs w:val="0"/>
          <w:sz w:val="22"/>
          <w:szCs w:val="22"/>
          <w:u w:val="single"/>
        </w:rPr>
        <w:t xml:space="preserve">服务期限、合同价格、服务人员及相应的服务装备和工具配备均按合同约定履行。 </w:t>
      </w:r>
    </w:p>
    <w:p w14:paraId="206683CA">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（六）履约验收标准：</w:t>
      </w:r>
      <w:r>
        <w:rPr>
          <w:rFonts w:hint="eastAsia" w:ascii="仿宋" w:hAnsi="仿宋" w:eastAsia="仿宋" w:cs="仿宋"/>
          <w:b w:val="0"/>
          <w:bCs w:val="0"/>
          <w:sz w:val="22"/>
          <w:szCs w:val="22"/>
          <w:u w:val="single"/>
        </w:rPr>
        <w:t xml:space="preserve">按照采购文件中明确的考核要求验收。 </w:t>
      </w:r>
    </w:p>
    <w:p w14:paraId="4D83F06A">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（七）履约验收其他事项：</w:t>
      </w:r>
      <w:r>
        <w:rPr>
          <w:rFonts w:hint="eastAsia" w:ascii="仿宋" w:hAnsi="仿宋" w:eastAsia="仿宋" w:cs="仿宋"/>
          <w:b w:val="0"/>
          <w:bCs w:val="0"/>
          <w:sz w:val="22"/>
          <w:szCs w:val="22"/>
          <w:u w:val="single"/>
        </w:rPr>
        <w:t xml:space="preserve">验收合格的项目，采购人将根据采购合同的约定及时向供应商支付采购资金、退还履约保证金。验收不合格的项目，采购人将依法及时处理。采购合同的履行、违约责任和解决争议的方式等适用《中华人民共和国民法典》。                                                       </w:t>
      </w:r>
    </w:p>
    <w:p w14:paraId="181D1C33">
      <w:pPr>
        <w:spacing w:beforeLines="100" w:line="42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六、风险控制措施和替代方案</w:t>
      </w:r>
    </w:p>
    <w:p w14:paraId="4DBBFAC6">
      <w:pPr>
        <w:spacing w:line="420" w:lineRule="exact"/>
        <w:ind w:firstLine="42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该采购项目按照《政府采购需求管理办法》第二十五条规定，是否需要组织风险判断、提出处置措施和替代方案：</w:t>
      </w:r>
      <w:r>
        <w:rPr>
          <w:rFonts w:hint="eastAsia" w:ascii="仿宋" w:hAnsi="仿宋" w:eastAsia="仿宋" w:cs="仿宋"/>
          <w:b w:val="0"/>
          <w:bCs w:val="0"/>
          <w:sz w:val="22"/>
          <w:szCs w:val="22"/>
        </w:rPr>
        <w:tab/>
      </w:r>
      <w:r>
        <w:rPr>
          <w:rFonts w:hint="eastAsia" w:ascii="仿宋" w:hAnsi="仿宋" w:eastAsia="仿宋" w:cs="仿宋"/>
          <w:b w:val="0"/>
          <w:bCs w:val="0"/>
          <w:sz w:val="22"/>
          <w:szCs w:val="21"/>
        </w:rPr>
        <w:sym w:font="Wingdings 2" w:char="F052"/>
      </w:r>
      <w:r>
        <w:rPr>
          <w:rFonts w:hint="eastAsia" w:ascii="仿宋" w:hAnsi="仿宋" w:eastAsia="仿宋" w:cs="仿宋"/>
          <w:b w:val="0"/>
          <w:bCs w:val="0"/>
          <w:sz w:val="22"/>
          <w:szCs w:val="22"/>
        </w:rPr>
        <w:t>是</w:t>
      </w:r>
      <w:r>
        <w:rPr>
          <w:rFonts w:hint="eastAsia" w:ascii="仿宋" w:hAnsi="仿宋" w:eastAsia="仿宋" w:cs="仿宋"/>
          <w:b w:val="0"/>
          <w:bCs w:val="0"/>
          <w:sz w:val="22"/>
          <w:szCs w:val="22"/>
        </w:rPr>
        <w:tab/>
      </w:r>
      <w:r>
        <w:rPr>
          <w:rFonts w:hint="eastAsia" w:ascii="仿宋" w:hAnsi="仿宋" w:eastAsia="仿宋" w:cs="仿宋"/>
          <w:b w:val="0"/>
          <w:bCs w:val="0"/>
          <w:sz w:val="22"/>
          <w:szCs w:val="21"/>
        </w:rPr>
        <w:sym w:font="Wingdings 2" w:char="F0A3"/>
      </w:r>
      <w:r>
        <w:rPr>
          <w:rFonts w:hint="eastAsia" w:ascii="仿宋" w:hAnsi="仿宋" w:eastAsia="仿宋" w:cs="仿宋"/>
          <w:b w:val="0"/>
          <w:bCs w:val="0"/>
          <w:sz w:val="22"/>
          <w:szCs w:val="22"/>
        </w:rPr>
        <w:t>否</w:t>
      </w:r>
    </w:p>
    <w:p w14:paraId="4B503465">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（一）国家政策变化应对措施：</w:t>
      </w:r>
      <w:r>
        <w:rPr>
          <w:rFonts w:hint="eastAsia" w:ascii="仿宋" w:hAnsi="仿宋" w:eastAsia="仿宋" w:cs="仿宋"/>
          <w:b w:val="0"/>
          <w:bCs w:val="0"/>
          <w:sz w:val="22"/>
          <w:szCs w:val="22"/>
          <w:u w:val="single"/>
        </w:rPr>
        <w:t xml:space="preserve">采购人有权根据国家政策或法律法规的变动等非采购人可控因素，对本项目的需求标准、质量要求、合同总价等作出相应变更或者取消项目或者重新组织项目招标，均不视为采购人违约。采购人有权对需求进行修改。 </w:t>
      </w:r>
    </w:p>
    <w:p w14:paraId="22DC2D59">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（二）实施环境变化应对措施：</w:t>
      </w:r>
      <w:r>
        <w:rPr>
          <w:rFonts w:hint="eastAsia" w:ascii="仿宋" w:hAnsi="仿宋" w:eastAsia="仿宋" w:cs="仿宋"/>
          <w:b w:val="0"/>
          <w:bCs w:val="0"/>
          <w:sz w:val="22"/>
          <w:szCs w:val="22"/>
          <w:u w:val="single"/>
        </w:rPr>
        <w:t xml:space="preserve">采购人有权根据实施环境变化等非采购人可控因素，对本项目的需求标准、质量要求、合同总价等作出相应变更或者取消项目或者重新组织项目招标，均不视为采购人违约。采购人有权对需求进行修改。 </w:t>
      </w:r>
    </w:p>
    <w:p w14:paraId="12901E12">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（三）重大技术变化应对措施：</w:t>
      </w:r>
      <w:r>
        <w:rPr>
          <w:rFonts w:hint="eastAsia" w:ascii="仿宋" w:hAnsi="仿宋" w:eastAsia="仿宋" w:cs="仿宋"/>
          <w:b w:val="0"/>
          <w:bCs w:val="0"/>
          <w:sz w:val="22"/>
          <w:szCs w:val="22"/>
          <w:u w:val="single"/>
        </w:rPr>
        <w:t xml:space="preserve">采购人有权根据重大技术变化等非采购人可控因素，对本项目的需求标准、质量要求、合同总价等作出相应变更或者取消项目或者重新组织项目招标，均不视为采购人违约。采购人有权对需求进行修改。 </w:t>
      </w:r>
    </w:p>
    <w:p w14:paraId="40AF6B6B">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（四）预算项目调整应对措施：</w:t>
      </w:r>
      <w:r>
        <w:rPr>
          <w:rFonts w:hint="eastAsia" w:ascii="仿宋" w:hAnsi="仿宋" w:eastAsia="仿宋" w:cs="仿宋"/>
          <w:b w:val="0"/>
          <w:bCs w:val="0"/>
          <w:sz w:val="22"/>
          <w:szCs w:val="22"/>
          <w:u w:val="single"/>
        </w:rPr>
        <w:t xml:space="preserve">采购人有权根据预算项目调整等非采购人可控因素，对本项目的需求标准、质量要求、合同总价等作出相应变更或者取消项目或者重新组织项目招标，均不视为采购人违约。采购人有权 对需求进行修改。 </w:t>
      </w:r>
    </w:p>
    <w:p w14:paraId="15949420">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（五）因质疑投诉影响采购进度应对措施：</w:t>
      </w:r>
      <w:r>
        <w:rPr>
          <w:rFonts w:hint="eastAsia" w:ascii="仿宋" w:hAnsi="仿宋" w:eastAsia="仿宋" w:cs="仿宋"/>
          <w:b w:val="0"/>
          <w:bCs w:val="0"/>
          <w:sz w:val="22"/>
          <w:szCs w:val="22"/>
          <w:u w:val="single"/>
        </w:rPr>
        <w:t>依法制订采购需求，正确编制采购文件，从源头上减少质疑投诉；及时处理质疑，加强从质疑收件、调查核实、组织专家论证、向有关行业主管部门求证、与质疑供应商沟通协调、与职能部门会商等各环节工作，确保顺利处理质疑、有效减少投诉；质疑属实的，及时修改采购文件中的不合法、不合规条款后继续组织采购活动。</w:t>
      </w:r>
    </w:p>
    <w:p w14:paraId="79FC054E">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（六）采购失败应对措施：</w:t>
      </w:r>
      <w:r>
        <w:rPr>
          <w:rFonts w:hint="eastAsia" w:ascii="仿宋" w:hAnsi="仿宋" w:eastAsia="仿宋" w:cs="仿宋"/>
          <w:b w:val="0"/>
          <w:bCs w:val="0"/>
          <w:sz w:val="22"/>
          <w:szCs w:val="22"/>
          <w:u w:val="single"/>
        </w:rPr>
        <w:t>分析采购失败原因，及时调整招标策略；改变招标方式；修改招标文件。</w:t>
      </w:r>
    </w:p>
    <w:p w14:paraId="79C0A980">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（七）不按规定签订或者履行合同应对措施：</w:t>
      </w:r>
      <w:r>
        <w:rPr>
          <w:rFonts w:hint="eastAsia" w:ascii="仿宋" w:hAnsi="仿宋" w:eastAsia="仿宋" w:cs="仿宋"/>
          <w:b w:val="0"/>
          <w:bCs w:val="0"/>
          <w:sz w:val="22"/>
          <w:szCs w:val="22"/>
          <w:u w:val="single"/>
        </w:rPr>
        <w:t>具体详见第四部分合同管理安排中的违约责任。</w:t>
      </w:r>
    </w:p>
    <w:p w14:paraId="4C326F65">
      <w:pPr>
        <w:spacing w:line="420" w:lineRule="exact"/>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（八）出现损害国家利益和社会公共利益情形应对措施：</w:t>
      </w:r>
      <w:r>
        <w:rPr>
          <w:rFonts w:hint="eastAsia" w:ascii="仿宋" w:hAnsi="仿宋" w:eastAsia="仿宋" w:cs="仿宋"/>
          <w:b w:val="0"/>
          <w:bCs w:val="0"/>
          <w:sz w:val="22"/>
          <w:szCs w:val="22"/>
          <w:u w:val="single"/>
        </w:rPr>
        <w:t>一旦出现政府采购合同继续履行将损害国家利益和社会公共利益的情况，采购人和投标人双方都有义务变更、中止或者终止合同。有过错的一方应当承担赔偿责任，双方都有过错的，各自承担相应的责任。</w:t>
      </w:r>
    </w:p>
    <w:p w14:paraId="22E72B7E">
      <w:pPr>
        <w:spacing w:line="420" w:lineRule="exact"/>
        <w:jc w:val="left"/>
        <w:rPr>
          <w:rFonts w:hint="eastAsia" w:ascii="仿宋" w:hAnsi="仿宋" w:eastAsia="仿宋" w:cs="仿宋"/>
          <w:b w:val="0"/>
          <w:bCs w:val="0"/>
          <w:sz w:val="22"/>
          <w:szCs w:val="22"/>
          <w:u w:val="single"/>
        </w:rPr>
      </w:pPr>
      <w:r>
        <w:rPr>
          <w:rFonts w:hint="eastAsia" w:ascii="仿宋" w:hAnsi="仿宋" w:eastAsia="仿宋" w:cs="仿宋"/>
          <w:b w:val="0"/>
          <w:bCs w:val="0"/>
          <w:sz w:val="22"/>
          <w:szCs w:val="22"/>
        </w:rPr>
        <w:t>（九）其他采购和合同履行过程的风险及应对措施：</w:t>
      </w:r>
      <w:r>
        <w:rPr>
          <w:rFonts w:hint="eastAsia" w:ascii="仿宋" w:hAnsi="仿宋" w:eastAsia="仿宋" w:cs="仿宋"/>
          <w:b w:val="0"/>
          <w:bCs w:val="0"/>
          <w:sz w:val="22"/>
          <w:szCs w:val="22"/>
          <w:u w:val="single"/>
        </w:rPr>
        <w:t>无。</w:t>
      </w:r>
    </w:p>
    <w:p w14:paraId="7B6DAAF9">
      <w:pPr>
        <w:spacing w:line="360" w:lineRule="auto"/>
        <w:jc w:val="left"/>
        <w:rPr>
          <w:rFonts w:hint="eastAsia" w:ascii="仿宋" w:hAnsi="仿宋" w:eastAsia="仿宋" w:cs="仿宋"/>
          <w:b w:val="0"/>
          <w:bCs w:val="0"/>
          <w:sz w:val="36"/>
          <w:szCs w:val="36"/>
        </w:rPr>
      </w:pPr>
    </w:p>
    <w:p w14:paraId="013C5B8B">
      <w:pPr>
        <w:spacing w:line="360" w:lineRule="auto"/>
        <w:jc w:val="left"/>
        <w:rPr>
          <w:rFonts w:hint="eastAsia" w:ascii="仿宋" w:hAnsi="仿宋" w:eastAsia="仿宋" w:cs="仿宋"/>
          <w:b w:val="0"/>
          <w:bCs w:val="0"/>
          <w:sz w:val="36"/>
          <w:szCs w:val="36"/>
        </w:rPr>
      </w:pPr>
    </w:p>
    <w:p w14:paraId="374CDF9C">
      <w:pPr>
        <w:pStyle w:val="19"/>
        <w:rPr>
          <w:rFonts w:hint="eastAsia" w:ascii="仿宋" w:hAnsi="仿宋" w:eastAsia="仿宋" w:cs="仿宋"/>
          <w:b w:val="0"/>
          <w:bCs w:val="0"/>
          <w:sz w:val="36"/>
          <w:szCs w:val="36"/>
        </w:rPr>
      </w:pPr>
    </w:p>
    <w:p w14:paraId="34F1D0A0">
      <w:pPr>
        <w:pStyle w:val="19"/>
        <w:rPr>
          <w:rFonts w:hint="eastAsia" w:ascii="仿宋" w:hAnsi="仿宋" w:eastAsia="仿宋" w:cs="仿宋"/>
          <w:b w:val="0"/>
          <w:bCs w:val="0"/>
          <w:sz w:val="36"/>
          <w:szCs w:val="36"/>
        </w:rPr>
      </w:pPr>
    </w:p>
    <w:p w14:paraId="64681F7A">
      <w:pPr>
        <w:pStyle w:val="19"/>
        <w:rPr>
          <w:rFonts w:hint="eastAsia" w:ascii="仿宋" w:hAnsi="仿宋" w:eastAsia="仿宋" w:cs="仿宋"/>
          <w:b w:val="0"/>
          <w:bCs w:val="0"/>
          <w:sz w:val="36"/>
          <w:szCs w:val="36"/>
        </w:rPr>
      </w:pPr>
    </w:p>
    <w:p w14:paraId="6BB53646">
      <w:pPr>
        <w:pStyle w:val="19"/>
        <w:rPr>
          <w:rFonts w:hint="eastAsia" w:ascii="仿宋" w:hAnsi="仿宋" w:eastAsia="仿宋" w:cs="仿宋"/>
          <w:b w:val="0"/>
          <w:bCs w:val="0"/>
          <w:sz w:val="36"/>
          <w:szCs w:val="36"/>
        </w:rPr>
      </w:pPr>
    </w:p>
    <w:p w14:paraId="773AF472">
      <w:pPr>
        <w:pStyle w:val="19"/>
        <w:rPr>
          <w:rFonts w:hint="eastAsia" w:ascii="仿宋" w:hAnsi="仿宋" w:eastAsia="仿宋" w:cs="仿宋"/>
          <w:b w:val="0"/>
          <w:bCs w:val="0"/>
          <w:sz w:val="36"/>
          <w:szCs w:val="36"/>
        </w:rPr>
      </w:pPr>
    </w:p>
    <w:p w14:paraId="444795B2">
      <w:pPr>
        <w:pStyle w:val="19"/>
        <w:rPr>
          <w:rFonts w:hint="eastAsia" w:ascii="仿宋" w:hAnsi="仿宋" w:eastAsia="仿宋" w:cs="仿宋"/>
          <w:b w:val="0"/>
          <w:bCs w:val="0"/>
          <w:sz w:val="36"/>
          <w:szCs w:val="36"/>
        </w:rPr>
      </w:pPr>
    </w:p>
    <w:p w14:paraId="6A8ABA6F">
      <w:pPr>
        <w:pStyle w:val="19"/>
        <w:rPr>
          <w:rFonts w:hint="eastAsia" w:ascii="仿宋" w:hAnsi="仿宋" w:eastAsia="仿宋" w:cs="仿宋"/>
          <w:b w:val="0"/>
          <w:bCs w:val="0"/>
          <w:sz w:val="36"/>
          <w:szCs w:val="36"/>
        </w:rPr>
      </w:pPr>
    </w:p>
    <w:p w14:paraId="188E07D3">
      <w:pPr>
        <w:pStyle w:val="19"/>
        <w:rPr>
          <w:rFonts w:hint="eastAsia" w:ascii="仿宋" w:hAnsi="仿宋" w:eastAsia="仿宋" w:cs="仿宋"/>
          <w:b w:val="0"/>
          <w:bCs w:val="0"/>
          <w:sz w:val="36"/>
          <w:szCs w:val="36"/>
        </w:rPr>
      </w:pPr>
    </w:p>
    <w:p w14:paraId="1A682184">
      <w:pPr>
        <w:pStyle w:val="19"/>
        <w:rPr>
          <w:rFonts w:hint="eastAsia" w:ascii="仿宋" w:hAnsi="仿宋" w:eastAsia="仿宋" w:cs="仿宋"/>
          <w:b w:val="0"/>
          <w:bCs w:val="0"/>
          <w:sz w:val="36"/>
          <w:szCs w:val="36"/>
        </w:rPr>
      </w:pPr>
    </w:p>
    <w:p w14:paraId="6DCD5F03">
      <w:pPr>
        <w:pStyle w:val="19"/>
        <w:rPr>
          <w:rFonts w:hint="eastAsia" w:ascii="仿宋" w:hAnsi="仿宋" w:eastAsia="仿宋" w:cs="仿宋"/>
          <w:b w:val="0"/>
          <w:bCs w:val="0"/>
          <w:sz w:val="36"/>
          <w:szCs w:val="36"/>
        </w:rPr>
      </w:pPr>
    </w:p>
    <w:p w14:paraId="778DD097">
      <w:pPr>
        <w:pStyle w:val="19"/>
        <w:rPr>
          <w:rFonts w:hint="eastAsia" w:ascii="仿宋" w:hAnsi="仿宋" w:eastAsia="仿宋" w:cs="仿宋"/>
          <w:b w:val="0"/>
          <w:bCs w:val="0"/>
          <w:sz w:val="36"/>
          <w:szCs w:val="36"/>
        </w:rPr>
      </w:pPr>
    </w:p>
    <w:p w14:paraId="4F86A3D7">
      <w:pPr>
        <w:pStyle w:val="19"/>
        <w:rPr>
          <w:rFonts w:hint="eastAsia" w:ascii="仿宋" w:hAnsi="仿宋" w:eastAsia="仿宋" w:cs="仿宋"/>
          <w:b w:val="0"/>
          <w:bCs w:val="0"/>
          <w:sz w:val="36"/>
          <w:szCs w:val="36"/>
        </w:rPr>
      </w:pPr>
    </w:p>
    <w:p w14:paraId="06BCD0B6">
      <w:pPr>
        <w:pStyle w:val="19"/>
        <w:rPr>
          <w:rFonts w:hint="eastAsia" w:ascii="仿宋" w:hAnsi="仿宋" w:eastAsia="仿宋" w:cs="仿宋"/>
          <w:b w:val="0"/>
          <w:bCs w:val="0"/>
          <w:sz w:val="36"/>
          <w:szCs w:val="36"/>
        </w:rPr>
      </w:pPr>
    </w:p>
    <w:p w14:paraId="60A32BC8">
      <w:pPr>
        <w:pStyle w:val="19"/>
        <w:rPr>
          <w:rFonts w:hint="eastAsia" w:ascii="仿宋" w:hAnsi="仿宋" w:eastAsia="仿宋" w:cs="仿宋"/>
          <w:b w:val="0"/>
          <w:bCs w:val="0"/>
          <w:sz w:val="36"/>
          <w:szCs w:val="36"/>
        </w:rPr>
      </w:pPr>
    </w:p>
    <w:p w14:paraId="3261BC9B">
      <w:pPr>
        <w:pStyle w:val="19"/>
        <w:rPr>
          <w:rFonts w:hint="eastAsia" w:ascii="仿宋" w:hAnsi="仿宋" w:eastAsia="仿宋" w:cs="仿宋"/>
          <w:b w:val="0"/>
          <w:bCs w:val="0"/>
          <w:sz w:val="36"/>
          <w:szCs w:val="36"/>
        </w:rPr>
      </w:pPr>
    </w:p>
    <w:p w14:paraId="4CC44A2F">
      <w:pPr>
        <w:pStyle w:val="19"/>
        <w:rPr>
          <w:rFonts w:hint="eastAsia" w:ascii="仿宋" w:hAnsi="仿宋" w:eastAsia="仿宋" w:cs="仿宋"/>
          <w:b w:val="0"/>
          <w:bCs w:val="0"/>
          <w:sz w:val="36"/>
          <w:szCs w:val="36"/>
        </w:rPr>
      </w:pPr>
    </w:p>
    <w:p w14:paraId="6A0DED8A">
      <w:pPr>
        <w:pStyle w:val="19"/>
        <w:rPr>
          <w:rFonts w:hint="eastAsia" w:ascii="仿宋" w:hAnsi="仿宋" w:eastAsia="仿宋" w:cs="仿宋"/>
          <w:b w:val="0"/>
          <w:bCs w:val="0"/>
          <w:sz w:val="36"/>
          <w:szCs w:val="36"/>
        </w:rPr>
      </w:pPr>
    </w:p>
    <w:p w14:paraId="45716175">
      <w:pPr>
        <w:pStyle w:val="19"/>
        <w:rPr>
          <w:rFonts w:hint="eastAsia" w:ascii="仿宋" w:hAnsi="仿宋" w:eastAsia="仿宋" w:cs="仿宋"/>
          <w:b w:val="0"/>
          <w:bCs w:val="0"/>
          <w:sz w:val="36"/>
          <w:szCs w:val="36"/>
        </w:rPr>
      </w:pPr>
    </w:p>
    <w:p w14:paraId="6BDFDDAA">
      <w:pPr>
        <w:spacing w:line="360" w:lineRule="auto"/>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附件：</w:t>
      </w:r>
    </w:p>
    <w:p w14:paraId="08D8F911">
      <w:pPr>
        <w:pStyle w:val="3"/>
        <w:spacing w:line="500" w:lineRule="exact"/>
        <w:ind w:firstLine="720" w:firstLineChars="200"/>
        <w:jc w:val="center"/>
        <w:rPr>
          <w:rFonts w:hint="eastAsia" w:ascii="仿宋" w:hAnsi="仿宋" w:eastAsia="仿宋" w:cs="仿宋"/>
          <w:b w:val="0"/>
          <w:bCs w:val="0"/>
          <w:kern w:val="0"/>
          <w:sz w:val="36"/>
          <w:szCs w:val="36"/>
        </w:rPr>
      </w:pPr>
      <w:r>
        <w:rPr>
          <w:rFonts w:hint="eastAsia" w:ascii="仿宋" w:hAnsi="仿宋" w:eastAsia="仿宋" w:cs="仿宋"/>
          <w:b w:val="0"/>
          <w:bCs w:val="0"/>
          <w:sz w:val="36"/>
          <w:szCs w:val="36"/>
          <w:lang w:eastAsia="zh-CN"/>
        </w:rPr>
        <w:t>艺尚小镇城市管理综合提升项目</w:t>
      </w:r>
      <w:r>
        <w:rPr>
          <w:rFonts w:hint="eastAsia" w:ascii="仿宋" w:hAnsi="仿宋" w:eastAsia="仿宋" w:cs="仿宋"/>
          <w:b w:val="0"/>
          <w:bCs w:val="0"/>
          <w:sz w:val="36"/>
          <w:szCs w:val="36"/>
          <w:lang w:val="en-US" w:eastAsia="zh-CN"/>
        </w:rPr>
        <w:t>考核标准</w:t>
      </w:r>
    </w:p>
    <w:p w14:paraId="6ECAD613">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548" w:firstLineChars="196"/>
        <w:jc w:val="center"/>
        <w:outlineLvl w:val="1"/>
        <w:rPr>
          <w:rFonts w:hint="eastAsia" w:ascii="仿宋" w:hAnsi="仿宋" w:eastAsia="仿宋" w:cs="仿宋"/>
          <w:b w:val="0"/>
          <w:bCs w:val="0"/>
          <w:color w:val="auto"/>
          <w:sz w:val="28"/>
          <w:szCs w:val="28"/>
          <w:highlight w:val="none"/>
          <w:lang w:eastAsia="zh-CN"/>
        </w:rPr>
      </w:pPr>
    </w:p>
    <w:tbl>
      <w:tblPr>
        <w:tblStyle w:val="15"/>
        <w:tblW w:w="9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763"/>
        <w:gridCol w:w="5782"/>
        <w:gridCol w:w="600"/>
        <w:gridCol w:w="592"/>
        <w:gridCol w:w="630"/>
        <w:gridCol w:w="543"/>
      </w:tblGrid>
      <w:tr w14:paraId="44AC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591" w:type="dxa"/>
            <w:gridSpan w:val="7"/>
            <w:tcBorders>
              <w:top w:val="single" w:color="000000" w:sz="4" w:space="0"/>
              <w:left w:val="single" w:color="000000" w:sz="4" w:space="0"/>
              <w:bottom w:val="single" w:color="000000" w:sz="4" w:space="0"/>
              <w:right w:val="single" w:color="000000" w:sz="4" w:space="0"/>
            </w:tcBorders>
            <w:vAlign w:val="center"/>
          </w:tcPr>
          <w:p w14:paraId="507CFF28">
            <w:pPr>
              <w:widowControl/>
              <w:spacing w:line="360" w:lineRule="auto"/>
              <w:jc w:val="center"/>
              <w:textAlignment w:val="center"/>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szCs w:val="24"/>
                <w:highlight w:val="none"/>
                <w:lang w:val="en-US"/>
              </w:rPr>
              <w:t>考核细则</w:t>
            </w:r>
          </w:p>
        </w:tc>
      </w:tr>
      <w:tr w14:paraId="3440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81" w:type="dxa"/>
            <w:tcBorders>
              <w:top w:val="single" w:color="000000" w:sz="4" w:space="0"/>
              <w:left w:val="single" w:color="000000" w:sz="4" w:space="0"/>
              <w:bottom w:val="single" w:color="auto" w:sz="4" w:space="0"/>
              <w:right w:val="single" w:color="000000" w:sz="4" w:space="0"/>
            </w:tcBorders>
            <w:vAlign w:val="center"/>
          </w:tcPr>
          <w:p w14:paraId="2B9C06AA">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序号</w:t>
            </w:r>
          </w:p>
        </w:tc>
        <w:tc>
          <w:tcPr>
            <w:tcW w:w="763" w:type="dxa"/>
            <w:tcBorders>
              <w:top w:val="single" w:color="000000" w:sz="4" w:space="0"/>
              <w:left w:val="single" w:color="000000" w:sz="4" w:space="0"/>
              <w:bottom w:val="single" w:color="auto" w:sz="4" w:space="0"/>
              <w:right w:val="single" w:color="000000" w:sz="4" w:space="0"/>
            </w:tcBorders>
            <w:vAlign w:val="center"/>
          </w:tcPr>
          <w:p w14:paraId="7F241992">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项目</w:t>
            </w:r>
          </w:p>
        </w:tc>
        <w:tc>
          <w:tcPr>
            <w:tcW w:w="5782" w:type="dxa"/>
            <w:tcBorders>
              <w:top w:val="single" w:color="000000" w:sz="4" w:space="0"/>
              <w:left w:val="single" w:color="000000" w:sz="4" w:space="0"/>
              <w:bottom w:val="single" w:color="auto" w:sz="4" w:space="0"/>
              <w:right w:val="single" w:color="000000" w:sz="4" w:space="0"/>
            </w:tcBorders>
            <w:vAlign w:val="center"/>
          </w:tcPr>
          <w:p w14:paraId="1466F9EA">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考核内容</w:t>
            </w:r>
          </w:p>
        </w:tc>
        <w:tc>
          <w:tcPr>
            <w:tcW w:w="600" w:type="dxa"/>
            <w:tcBorders>
              <w:top w:val="single" w:color="000000" w:sz="4" w:space="0"/>
              <w:left w:val="single" w:color="000000" w:sz="4" w:space="0"/>
              <w:bottom w:val="single" w:color="auto" w:sz="4" w:space="0"/>
              <w:right w:val="single" w:color="000000" w:sz="4" w:space="0"/>
            </w:tcBorders>
            <w:vAlign w:val="center"/>
          </w:tcPr>
          <w:p w14:paraId="471D915A">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扣分内容</w:t>
            </w:r>
          </w:p>
        </w:tc>
        <w:tc>
          <w:tcPr>
            <w:tcW w:w="592" w:type="dxa"/>
            <w:tcBorders>
              <w:top w:val="single" w:color="000000" w:sz="4" w:space="0"/>
              <w:left w:val="single" w:color="000000" w:sz="4" w:space="0"/>
              <w:bottom w:val="single" w:color="auto" w:sz="4" w:space="0"/>
              <w:right w:val="single" w:color="000000" w:sz="4" w:space="0"/>
            </w:tcBorders>
            <w:vAlign w:val="center"/>
          </w:tcPr>
          <w:p w14:paraId="1A059453">
            <w:pPr>
              <w:widowControl/>
              <w:spacing w:line="360" w:lineRule="auto"/>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扣分</w:t>
            </w:r>
          </w:p>
        </w:tc>
        <w:tc>
          <w:tcPr>
            <w:tcW w:w="630" w:type="dxa"/>
            <w:tcBorders>
              <w:top w:val="single" w:color="000000" w:sz="4" w:space="0"/>
              <w:left w:val="single" w:color="000000" w:sz="4" w:space="0"/>
              <w:bottom w:val="single" w:color="auto" w:sz="4" w:space="0"/>
              <w:right w:val="single" w:color="000000" w:sz="4" w:space="0"/>
            </w:tcBorders>
            <w:vAlign w:val="center"/>
          </w:tcPr>
          <w:p w14:paraId="137A2E50">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考评人员</w:t>
            </w:r>
          </w:p>
        </w:tc>
        <w:tc>
          <w:tcPr>
            <w:tcW w:w="543" w:type="dxa"/>
            <w:tcBorders>
              <w:top w:val="single" w:color="000000" w:sz="4" w:space="0"/>
              <w:left w:val="single" w:color="000000" w:sz="4" w:space="0"/>
              <w:bottom w:val="single" w:color="auto" w:sz="4" w:space="0"/>
              <w:right w:val="single" w:color="000000" w:sz="4" w:space="0"/>
            </w:tcBorders>
            <w:vAlign w:val="center"/>
          </w:tcPr>
          <w:p w14:paraId="234D8049">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rPr>
              <w:t>备注</w:t>
            </w:r>
          </w:p>
        </w:tc>
      </w:tr>
      <w:tr w14:paraId="400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81" w:type="dxa"/>
            <w:vMerge w:val="restart"/>
            <w:tcBorders>
              <w:top w:val="single" w:color="auto" w:sz="4" w:space="0"/>
              <w:left w:val="single" w:color="auto" w:sz="4" w:space="0"/>
              <w:right w:val="single" w:color="auto" w:sz="4" w:space="0"/>
            </w:tcBorders>
            <w:vAlign w:val="center"/>
          </w:tcPr>
          <w:p w14:paraId="4CA07A2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1</w:t>
            </w:r>
          </w:p>
        </w:tc>
        <w:tc>
          <w:tcPr>
            <w:tcW w:w="763" w:type="dxa"/>
            <w:vMerge w:val="restart"/>
            <w:tcBorders>
              <w:top w:val="single" w:color="auto" w:sz="4" w:space="0"/>
              <w:left w:val="single" w:color="auto" w:sz="4" w:space="0"/>
              <w:right w:val="single" w:color="auto" w:sz="4" w:space="0"/>
            </w:tcBorders>
            <w:vAlign w:val="center"/>
          </w:tcPr>
          <w:p w14:paraId="7B9258C4">
            <w:pPr>
              <w:widowControl/>
              <w:spacing w:line="36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到岗率</w:t>
            </w:r>
          </w:p>
        </w:tc>
        <w:tc>
          <w:tcPr>
            <w:tcW w:w="5782" w:type="dxa"/>
            <w:tcBorders>
              <w:top w:val="single" w:color="auto" w:sz="4" w:space="0"/>
              <w:left w:val="single" w:color="auto" w:sz="4" w:space="0"/>
              <w:bottom w:val="single" w:color="auto" w:sz="4" w:space="0"/>
              <w:right w:val="single" w:color="auto" w:sz="4" w:space="0"/>
            </w:tcBorders>
            <w:vAlign w:val="center"/>
          </w:tcPr>
          <w:p w14:paraId="26606FDE">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每季度考勤</w:t>
            </w:r>
            <w:r>
              <w:rPr>
                <w:rFonts w:hint="eastAsia" w:ascii="仿宋" w:hAnsi="仿宋" w:eastAsia="仿宋" w:cs="仿宋"/>
                <w:color w:val="auto"/>
                <w:sz w:val="24"/>
                <w:szCs w:val="24"/>
                <w:highlight w:val="none"/>
              </w:rPr>
              <w:t>上班</w:t>
            </w:r>
            <w:r>
              <w:rPr>
                <w:rFonts w:hint="eastAsia" w:ascii="仿宋" w:hAnsi="仿宋" w:eastAsia="仿宋" w:cs="仿宋"/>
                <w:color w:val="auto"/>
                <w:sz w:val="24"/>
                <w:szCs w:val="24"/>
                <w:highlight w:val="none"/>
                <w:lang w:val="en-US" w:eastAsia="zh-CN"/>
              </w:rPr>
              <w:t>到位率</w:t>
            </w:r>
            <w:r>
              <w:rPr>
                <w:rFonts w:hint="eastAsia" w:ascii="仿宋" w:hAnsi="仿宋" w:eastAsia="仿宋" w:cs="仿宋"/>
                <w:color w:val="auto"/>
                <w:sz w:val="24"/>
                <w:szCs w:val="24"/>
                <w:highlight w:val="none"/>
              </w:rPr>
              <w:t>:迟到、早退的，扣</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分/次;脱岗的扣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6AE5CD80">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028A6298">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59E7CEC0">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9BA00AF">
            <w:pPr>
              <w:spacing w:line="360" w:lineRule="auto"/>
              <w:jc w:val="both"/>
              <w:rPr>
                <w:rFonts w:hint="eastAsia" w:ascii="仿宋" w:hAnsi="仿宋" w:eastAsia="仿宋" w:cs="仿宋"/>
                <w:color w:val="auto"/>
                <w:sz w:val="24"/>
                <w:szCs w:val="24"/>
                <w:highlight w:val="none"/>
              </w:rPr>
            </w:pPr>
          </w:p>
        </w:tc>
      </w:tr>
      <w:tr w14:paraId="4AF9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81" w:type="dxa"/>
            <w:vMerge w:val="continue"/>
            <w:tcBorders>
              <w:left w:val="single" w:color="auto" w:sz="4" w:space="0"/>
              <w:bottom w:val="single" w:color="auto" w:sz="4" w:space="0"/>
              <w:right w:val="single" w:color="auto" w:sz="4" w:space="0"/>
            </w:tcBorders>
            <w:vAlign w:val="center"/>
          </w:tcPr>
          <w:p w14:paraId="09252FB0">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763" w:type="dxa"/>
            <w:vMerge w:val="continue"/>
            <w:tcBorders>
              <w:left w:val="single" w:color="auto" w:sz="4" w:space="0"/>
              <w:bottom w:val="single" w:color="auto" w:sz="4" w:space="0"/>
              <w:right w:val="single" w:color="auto" w:sz="4" w:space="0"/>
            </w:tcBorders>
            <w:vAlign w:val="center"/>
          </w:tcPr>
          <w:p w14:paraId="04954E6F">
            <w:pPr>
              <w:widowControl/>
              <w:spacing w:line="360" w:lineRule="auto"/>
              <w:ind w:firstLine="240" w:firstLineChars="100"/>
              <w:textAlignment w:val="center"/>
              <w:rPr>
                <w:rFonts w:hint="eastAsia" w:ascii="仿宋" w:hAnsi="仿宋" w:eastAsia="仿宋" w:cs="仿宋"/>
                <w:color w:val="auto"/>
                <w:sz w:val="24"/>
                <w:szCs w:val="24"/>
                <w:highlight w:val="none"/>
                <w:lang w:val="en-US"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14:paraId="77529E05">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相关服务团队人员稳定性，人员变更不宜超过每季度20%，人员变更率在20%-40%扣1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人员变更率在40%-60%扣2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人员变更率在60%-80%扣3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人员变更率在80%-100%扣4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人员变更率=更换服务人员/当季度服务人员</w:t>
            </w:r>
            <w:r>
              <w:rPr>
                <w:rFonts w:hint="eastAsia" w:ascii="仿宋" w:hAnsi="仿宋" w:eastAsia="仿宋" w:cs="仿宋"/>
                <w:color w:val="auto"/>
                <w:sz w:val="24"/>
                <w:szCs w:val="24"/>
                <w:highlight w:val="none"/>
                <w:lang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14:paraId="58FB6B03">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73E88648">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CBCE4D5">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1C13BC9E">
            <w:pPr>
              <w:spacing w:line="360" w:lineRule="auto"/>
              <w:jc w:val="both"/>
              <w:rPr>
                <w:rFonts w:hint="eastAsia" w:ascii="仿宋" w:hAnsi="仿宋" w:eastAsia="仿宋" w:cs="仿宋"/>
                <w:color w:val="auto"/>
                <w:sz w:val="24"/>
                <w:szCs w:val="24"/>
                <w:highlight w:val="none"/>
              </w:rPr>
            </w:pPr>
          </w:p>
        </w:tc>
      </w:tr>
      <w:tr w14:paraId="1EDC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81" w:type="dxa"/>
            <w:vMerge w:val="restart"/>
            <w:tcBorders>
              <w:top w:val="single" w:color="auto" w:sz="4" w:space="0"/>
              <w:left w:val="single" w:color="auto" w:sz="4" w:space="0"/>
              <w:right w:val="single" w:color="auto" w:sz="4" w:space="0"/>
            </w:tcBorders>
            <w:vAlign w:val="center"/>
          </w:tcPr>
          <w:p w14:paraId="33B70682">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63" w:type="dxa"/>
            <w:vMerge w:val="restart"/>
            <w:tcBorders>
              <w:top w:val="single" w:color="auto" w:sz="4" w:space="0"/>
              <w:left w:val="single" w:color="auto" w:sz="4" w:space="0"/>
              <w:right w:val="single" w:color="auto" w:sz="4" w:space="0"/>
            </w:tcBorders>
            <w:vAlign w:val="center"/>
          </w:tcPr>
          <w:p w14:paraId="69B26173">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风险管控</w:t>
            </w:r>
          </w:p>
        </w:tc>
        <w:tc>
          <w:tcPr>
            <w:tcW w:w="5782" w:type="dxa"/>
            <w:tcBorders>
              <w:top w:val="single" w:color="auto" w:sz="4" w:space="0"/>
              <w:left w:val="single" w:color="auto" w:sz="4" w:space="0"/>
              <w:bottom w:val="single" w:color="auto" w:sz="4" w:space="0"/>
              <w:right w:val="single" w:color="auto" w:sz="4" w:space="0"/>
            </w:tcBorders>
            <w:vAlign w:val="center"/>
          </w:tcPr>
          <w:p w14:paraId="6FE6972D">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队员对自己巡逻、管理区域、路段不熟悉，不了解消火栓地点并不能熟练使用消防器材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47409565">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6D1E0521">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2F85BB82">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7EF2D74">
            <w:pPr>
              <w:spacing w:line="360" w:lineRule="auto"/>
              <w:jc w:val="both"/>
              <w:rPr>
                <w:rFonts w:hint="eastAsia" w:ascii="仿宋" w:hAnsi="仿宋" w:eastAsia="仿宋" w:cs="仿宋"/>
                <w:color w:val="auto"/>
                <w:sz w:val="24"/>
                <w:szCs w:val="24"/>
                <w:highlight w:val="none"/>
              </w:rPr>
            </w:pPr>
          </w:p>
        </w:tc>
      </w:tr>
      <w:tr w14:paraId="7AE1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1" w:type="dxa"/>
            <w:vMerge w:val="continue"/>
            <w:tcBorders>
              <w:left w:val="single" w:color="auto" w:sz="4" w:space="0"/>
              <w:right w:val="single" w:color="auto" w:sz="4" w:space="0"/>
            </w:tcBorders>
            <w:vAlign w:val="center"/>
          </w:tcPr>
          <w:p w14:paraId="6D75994B">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148D13BC">
            <w:pPr>
              <w:widowControl/>
              <w:spacing w:line="360" w:lineRule="auto"/>
              <w:textAlignment w:val="center"/>
              <w:rPr>
                <w:rFonts w:hint="eastAsia" w:ascii="仿宋" w:hAnsi="仿宋" w:eastAsia="仿宋" w:cs="仿宋"/>
                <w:color w:val="auto"/>
                <w:sz w:val="24"/>
                <w:szCs w:val="24"/>
                <w:highlight w:val="none"/>
              </w:rPr>
            </w:pPr>
          </w:p>
        </w:tc>
        <w:tc>
          <w:tcPr>
            <w:tcW w:w="5782" w:type="dxa"/>
            <w:tcBorders>
              <w:top w:val="single" w:color="auto" w:sz="4" w:space="0"/>
              <w:left w:val="single" w:color="auto" w:sz="4" w:space="0"/>
              <w:bottom w:val="single" w:color="auto" w:sz="4" w:space="0"/>
              <w:right w:val="single" w:color="auto" w:sz="4" w:space="0"/>
            </w:tcBorders>
            <w:vAlign w:val="center"/>
          </w:tcPr>
          <w:p w14:paraId="0F7C7003">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遇险情未及时上报，未采取措施制止灾害扩大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62E7E85E">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155C7DBD">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539FB8C5">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0304683E">
            <w:pPr>
              <w:spacing w:line="360" w:lineRule="auto"/>
              <w:jc w:val="both"/>
              <w:rPr>
                <w:rFonts w:hint="eastAsia" w:ascii="仿宋" w:hAnsi="仿宋" w:eastAsia="仿宋" w:cs="仿宋"/>
                <w:color w:val="auto"/>
                <w:sz w:val="24"/>
                <w:szCs w:val="24"/>
                <w:highlight w:val="none"/>
              </w:rPr>
            </w:pPr>
          </w:p>
        </w:tc>
      </w:tr>
      <w:tr w14:paraId="549B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1" w:type="dxa"/>
            <w:vMerge w:val="continue"/>
            <w:tcBorders>
              <w:left w:val="single" w:color="auto" w:sz="4" w:space="0"/>
              <w:right w:val="single" w:color="auto" w:sz="4" w:space="0"/>
            </w:tcBorders>
            <w:vAlign w:val="center"/>
          </w:tcPr>
          <w:p w14:paraId="632BB210">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0EE87C3A">
            <w:pPr>
              <w:widowControl/>
              <w:spacing w:line="360" w:lineRule="auto"/>
              <w:textAlignment w:val="center"/>
              <w:rPr>
                <w:rFonts w:hint="eastAsia" w:ascii="仿宋" w:hAnsi="仿宋" w:eastAsia="仿宋" w:cs="仿宋"/>
                <w:color w:val="auto"/>
                <w:sz w:val="24"/>
                <w:szCs w:val="24"/>
                <w:highlight w:val="none"/>
              </w:rPr>
            </w:pPr>
          </w:p>
        </w:tc>
        <w:tc>
          <w:tcPr>
            <w:tcW w:w="5782" w:type="dxa"/>
            <w:tcBorders>
              <w:top w:val="single" w:color="auto" w:sz="4" w:space="0"/>
              <w:left w:val="single" w:color="auto" w:sz="4" w:space="0"/>
              <w:bottom w:val="single" w:color="auto" w:sz="4" w:space="0"/>
              <w:right w:val="single" w:color="auto" w:sz="4" w:space="0"/>
            </w:tcBorders>
            <w:vAlign w:val="center"/>
          </w:tcPr>
          <w:p w14:paraId="5E12E789">
            <w:pPr>
              <w:widowControl/>
              <w:spacing w:line="360" w:lineRule="auto"/>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队员</w:t>
            </w:r>
            <w:r>
              <w:rPr>
                <w:rFonts w:hint="eastAsia" w:ascii="仿宋" w:hAnsi="仿宋" w:eastAsia="仿宋" w:cs="仿宋"/>
                <w:color w:val="auto"/>
                <w:sz w:val="24"/>
                <w:szCs w:val="24"/>
                <w:highlight w:val="none"/>
                <w:lang w:val="en-US" w:eastAsia="zh-CN"/>
              </w:rPr>
              <w:t>因工作引发社会或网络负面舆情的，</w:t>
            </w:r>
            <w:r>
              <w:rPr>
                <w:rFonts w:hint="eastAsia" w:ascii="仿宋" w:hAnsi="仿宋" w:eastAsia="仿宋" w:cs="仿宋"/>
                <w:color w:val="auto"/>
                <w:sz w:val="24"/>
                <w:szCs w:val="24"/>
                <w:highlight w:val="none"/>
                <w:lang w:val="en-US"/>
              </w:rPr>
              <w:t>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分/次，</w:t>
            </w:r>
            <w:r>
              <w:rPr>
                <w:rFonts w:hint="eastAsia" w:ascii="仿宋" w:hAnsi="仿宋" w:eastAsia="仿宋" w:cs="仿宋"/>
                <w:color w:val="auto"/>
                <w:sz w:val="24"/>
                <w:szCs w:val="24"/>
                <w:highlight w:val="none"/>
                <w:lang w:val="en-US" w:eastAsia="zh-CN"/>
              </w:rPr>
              <w:t>相关人员</w:t>
            </w:r>
            <w:r>
              <w:rPr>
                <w:rFonts w:hint="eastAsia" w:ascii="仿宋" w:hAnsi="仿宋" w:eastAsia="仿宋" w:cs="仿宋"/>
                <w:color w:val="auto"/>
                <w:sz w:val="24"/>
                <w:szCs w:val="24"/>
                <w:highlight w:val="none"/>
                <w:lang w:val="en-US"/>
              </w:rPr>
              <w:t>一律予以</w:t>
            </w:r>
            <w:r>
              <w:rPr>
                <w:rFonts w:hint="eastAsia" w:ascii="仿宋" w:hAnsi="仿宋" w:eastAsia="仿宋" w:cs="仿宋"/>
                <w:color w:val="auto"/>
                <w:sz w:val="24"/>
                <w:szCs w:val="24"/>
                <w:highlight w:val="none"/>
                <w:lang w:val="en-US" w:eastAsia="zh-CN"/>
              </w:rPr>
              <w:t>替换</w:t>
            </w:r>
            <w:r>
              <w:rPr>
                <w:rFonts w:hint="eastAsia" w:ascii="仿宋" w:hAnsi="仿宋" w:eastAsia="仿宋" w:cs="仿宋"/>
                <w:color w:val="auto"/>
                <w:sz w:val="24"/>
                <w:szCs w:val="24"/>
                <w:highlight w:val="none"/>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14:paraId="6DC1E2C6">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6E5CE7BE">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30863582">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5F3DCAF8">
            <w:pPr>
              <w:spacing w:line="360" w:lineRule="auto"/>
              <w:jc w:val="both"/>
              <w:rPr>
                <w:rFonts w:hint="eastAsia" w:ascii="仿宋" w:hAnsi="仿宋" w:eastAsia="仿宋" w:cs="仿宋"/>
                <w:color w:val="auto"/>
                <w:sz w:val="24"/>
                <w:szCs w:val="24"/>
                <w:highlight w:val="none"/>
              </w:rPr>
            </w:pPr>
          </w:p>
        </w:tc>
      </w:tr>
      <w:tr w14:paraId="5BCE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81" w:type="dxa"/>
            <w:vMerge w:val="continue"/>
            <w:tcBorders>
              <w:left w:val="single" w:color="auto" w:sz="4" w:space="0"/>
              <w:right w:val="single" w:color="auto" w:sz="4" w:space="0"/>
            </w:tcBorders>
            <w:vAlign w:val="center"/>
          </w:tcPr>
          <w:p w14:paraId="7D7B5E8D">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6F40C793">
            <w:pPr>
              <w:widowControl/>
              <w:spacing w:line="360" w:lineRule="auto"/>
              <w:textAlignment w:val="center"/>
              <w:rPr>
                <w:rFonts w:hint="eastAsia" w:ascii="仿宋" w:hAnsi="仿宋" w:eastAsia="仿宋" w:cs="仿宋"/>
                <w:color w:val="auto"/>
                <w:sz w:val="24"/>
                <w:szCs w:val="24"/>
                <w:highlight w:val="none"/>
              </w:rPr>
            </w:pPr>
          </w:p>
        </w:tc>
        <w:tc>
          <w:tcPr>
            <w:tcW w:w="5782" w:type="dxa"/>
            <w:tcBorders>
              <w:top w:val="single" w:color="auto" w:sz="4" w:space="0"/>
              <w:left w:val="single" w:color="auto" w:sz="4" w:space="0"/>
              <w:bottom w:val="single" w:color="auto" w:sz="4" w:space="0"/>
              <w:right w:val="single" w:color="auto" w:sz="4" w:space="0"/>
            </w:tcBorders>
            <w:vAlign w:val="center"/>
          </w:tcPr>
          <w:p w14:paraId="128E6EF6">
            <w:pPr>
              <w:widowControl/>
              <w:spacing w:line="360" w:lineRule="auto"/>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工作期间被游客投诉且被确认为事实的</w:t>
            </w:r>
            <w:r>
              <w:rPr>
                <w:rFonts w:hint="eastAsia" w:ascii="仿宋" w:hAnsi="仿宋" w:eastAsia="仿宋" w:cs="仿宋"/>
                <w:color w:val="auto"/>
                <w:sz w:val="24"/>
                <w:szCs w:val="24"/>
                <w:highlight w:val="none"/>
              </w:rPr>
              <w:t>(即有理投诉)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en-US"/>
              </w:rPr>
              <w:t>分/次，</w:t>
            </w:r>
            <w:r>
              <w:rPr>
                <w:rFonts w:hint="eastAsia" w:ascii="仿宋" w:hAnsi="仿宋" w:eastAsia="仿宋" w:cs="仿宋"/>
                <w:color w:val="auto"/>
                <w:sz w:val="24"/>
                <w:szCs w:val="24"/>
                <w:highlight w:val="none"/>
                <w:lang w:val="en-US" w:eastAsia="zh-CN"/>
              </w:rPr>
              <w:t>情节恶劣的相关人员</w:t>
            </w:r>
            <w:r>
              <w:rPr>
                <w:rFonts w:hint="eastAsia" w:ascii="仿宋" w:hAnsi="仿宋" w:eastAsia="仿宋" w:cs="仿宋"/>
                <w:color w:val="auto"/>
                <w:sz w:val="24"/>
                <w:szCs w:val="24"/>
                <w:highlight w:val="none"/>
                <w:lang w:val="en-US"/>
              </w:rPr>
              <w:t>一律予以</w:t>
            </w:r>
            <w:r>
              <w:rPr>
                <w:rFonts w:hint="eastAsia" w:ascii="仿宋" w:hAnsi="仿宋" w:eastAsia="仿宋" w:cs="仿宋"/>
                <w:color w:val="auto"/>
                <w:sz w:val="24"/>
                <w:szCs w:val="24"/>
                <w:highlight w:val="none"/>
                <w:lang w:val="en-US" w:eastAsia="zh-CN"/>
              </w:rPr>
              <w:t>替换</w:t>
            </w:r>
            <w:r>
              <w:rPr>
                <w:rFonts w:hint="eastAsia" w:ascii="仿宋" w:hAnsi="仿宋" w:eastAsia="仿宋" w:cs="仿宋"/>
                <w:color w:val="auto"/>
                <w:sz w:val="24"/>
                <w:szCs w:val="24"/>
                <w:highlight w:val="none"/>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14:paraId="59E68DA8">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4681BC7B">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22E78F1">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332723A">
            <w:pPr>
              <w:spacing w:line="360" w:lineRule="auto"/>
              <w:jc w:val="both"/>
              <w:rPr>
                <w:rFonts w:hint="eastAsia" w:ascii="仿宋" w:hAnsi="仿宋" w:eastAsia="仿宋" w:cs="仿宋"/>
                <w:color w:val="auto"/>
                <w:sz w:val="24"/>
                <w:szCs w:val="24"/>
                <w:highlight w:val="none"/>
              </w:rPr>
            </w:pPr>
          </w:p>
        </w:tc>
      </w:tr>
      <w:tr w14:paraId="704C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81" w:type="dxa"/>
            <w:vMerge w:val="continue"/>
            <w:tcBorders>
              <w:left w:val="single" w:color="auto" w:sz="4" w:space="0"/>
              <w:bottom w:val="single" w:color="auto" w:sz="4" w:space="0"/>
              <w:right w:val="single" w:color="auto" w:sz="4" w:space="0"/>
            </w:tcBorders>
            <w:vAlign w:val="center"/>
          </w:tcPr>
          <w:p w14:paraId="136650D7">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bottom w:val="single" w:color="auto" w:sz="4" w:space="0"/>
              <w:right w:val="single" w:color="auto" w:sz="4" w:space="0"/>
            </w:tcBorders>
            <w:vAlign w:val="center"/>
          </w:tcPr>
          <w:p w14:paraId="17895D0C">
            <w:pPr>
              <w:widowControl/>
              <w:spacing w:line="360" w:lineRule="auto"/>
              <w:textAlignment w:val="center"/>
              <w:rPr>
                <w:rFonts w:hint="eastAsia" w:ascii="仿宋" w:hAnsi="仿宋" w:eastAsia="仿宋" w:cs="仿宋"/>
                <w:color w:val="auto"/>
                <w:sz w:val="24"/>
                <w:szCs w:val="24"/>
                <w:highlight w:val="none"/>
              </w:rPr>
            </w:pPr>
          </w:p>
        </w:tc>
        <w:tc>
          <w:tcPr>
            <w:tcW w:w="5782" w:type="dxa"/>
            <w:tcBorders>
              <w:top w:val="single" w:color="auto" w:sz="4" w:space="0"/>
              <w:left w:val="single" w:color="auto" w:sz="4" w:space="0"/>
              <w:bottom w:val="single" w:color="auto" w:sz="4" w:space="0"/>
              <w:right w:val="single" w:color="auto" w:sz="4" w:space="0"/>
            </w:tcBorders>
            <w:vAlign w:val="center"/>
          </w:tcPr>
          <w:p w14:paraId="6170F6A9">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在巡逻过程中，遇有正在实施的不法侵害行为时，未迅速制止和报警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情节恶劣的相关人员</w:t>
            </w:r>
            <w:r>
              <w:rPr>
                <w:rFonts w:hint="eastAsia" w:ascii="仿宋" w:hAnsi="仿宋" w:eastAsia="仿宋" w:cs="仿宋"/>
                <w:color w:val="auto"/>
                <w:sz w:val="24"/>
                <w:szCs w:val="24"/>
                <w:highlight w:val="none"/>
                <w:lang w:val="en-US"/>
              </w:rPr>
              <w:t>一律予以</w:t>
            </w:r>
            <w:r>
              <w:rPr>
                <w:rFonts w:hint="eastAsia" w:ascii="仿宋" w:hAnsi="仿宋" w:eastAsia="仿宋" w:cs="仿宋"/>
                <w:color w:val="auto"/>
                <w:sz w:val="24"/>
                <w:szCs w:val="24"/>
                <w:highlight w:val="none"/>
                <w:lang w:val="en-US" w:eastAsia="zh-CN"/>
              </w:rPr>
              <w:t>替换</w:t>
            </w:r>
            <w:r>
              <w:rPr>
                <w:rFonts w:hint="eastAsia" w:ascii="仿宋" w:hAnsi="仿宋" w:eastAsia="仿宋" w:cs="仿宋"/>
                <w:color w:val="auto"/>
                <w:sz w:val="24"/>
                <w:szCs w:val="24"/>
                <w:highlight w:val="none"/>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14:paraId="18FA963E">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3D2E8432">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CB38F74">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5F41797E">
            <w:pPr>
              <w:spacing w:line="360" w:lineRule="auto"/>
              <w:jc w:val="both"/>
              <w:rPr>
                <w:rFonts w:hint="eastAsia" w:ascii="仿宋" w:hAnsi="仿宋" w:eastAsia="仿宋" w:cs="仿宋"/>
                <w:color w:val="auto"/>
                <w:sz w:val="24"/>
                <w:szCs w:val="24"/>
                <w:highlight w:val="none"/>
              </w:rPr>
            </w:pPr>
          </w:p>
        </w:tc>
      </w:tr>
      <w:tr w14:paraId="1D39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681" w:type="dxa"/>
            <w:vMerge w:val="restart"/>
            <w:tcBorders>
              <w:top w:val="single" w:color="auto" w:sz="4" w:space="0"/>
              <w:left w:val="single" w:color="auto" w:sz="4" w:space="0"/>
              <w:right w:val="single" w:color="auto" w:sz="4" w:space="0"/>
            </w:tcBorders>
            <w:vAlign w:val="center"/>
          </w:tcPr>
          <w:p w14:paraId="73A1D95E">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63" w:type="dxa"/>
            <w:vMerge w:val="restart"/>
            <w:tcBorders>
              <w:top w:val="single" w:color="auto" w:sz="4" w:space="0"/>
              <w:left w:val="single" w:color="auto" w:sz="4" w:space="0"/>
              <w:right w:val="single" w:color="auto" w:sz="4" w:space="0"/>
            </w:tcBorders>
            <w:vAlign w:val="center"/>
          </w:tcPr>
          <w:p w14:paraId="371B0366">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规章制度</w:t>
            </w:r>
          </w:p>
        </w:tc>
        <w:tc>
          <w:tcPr>
            <w:tcW w:w="5782" w:type="dxa"/>
            <w:tcBorders>
              <w:top w:val="single" w:color="auto" w:sz="4" w:space="0"/>
              <w:left w:val="single" w:color="auto" w:sz="4" w:space="0"/>
              <w:bottom w:val="single" w:color="auto" w:sz="4" w:space="0"/>
              <w:right w:val="single" w:color="auto" w:sz="4" w:space="0"/>
            </w:tcBorders>
            <w:vAlign w:val="center"/>
          </w:tcPr>
          <w:p w14:paraId="70888420">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通讯不畅通的或接到指令不按要求到位的，扣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分/次，工作期间要接受采购人的领导和监督，遵守采购人的有关的规章制度。发现保安违反采购人工作规章制度及纪律扣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24133CF7">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32E2EB93">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8629BC5">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51DD405B">
            <w:pPr>
              <w:spacing w:line="360" w:lineRule="auto"/>
              <w:jc w:val="both"/>
              <w:rPr>
                <w:rFonts w:hint="eastAsia" w:ascii="仿宋" w:hAnsi="仿宋" w:eastAsia="仿宋" w:cs="仿宋"/>
                <w:color w:val="auto"/>
                <w:sz w:val="24"/>
                <w:szCs w:val="24"/>
                <w:highlight w:val="none"/>
              </w:rPr>
            </w:pPr>
          </w:p>
        </w:tc>
      </w:tr>
      <w:tr w14:paraId="594E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681" w:type="dxa"/>
            <w:vMerge w:val="continue"/>
            <w:tcBorders>
              <w:left w:val="single" w:color="auto" w:sz="4" w:space="0"/>
              <w:right w:val="single" w:color="auto" w:sz="4" w:space="0"/>
            </w:tcBorders>
            <w:vAlign w:val="center"/>
          </w:tcPr>
          <w:p w14:paraId="7E09C5B9">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0ECCB41C">
            <w:pPr>
              <w:widowControl/>
              <w:spacing w:line="360" w:lineRule="auto"/>
              <w:textAlignment w:val="center"/>
              <w:rPr>
                <w:rFonts w:hint="eastAsia" w:ascii="仿宋" w:hAnsi="仿宋" w:eastAsia="仿宋" w:cs="仿宋"/>
                <w:color w:val="auto"/>
                <w:sz w:val="24"/>
                <w:szCs w:val="24"/>
                <w:highlight w:val="none"/>
              </w:rPr>
            </w:pPr>
          </w:p>
        </w:tc>
        <w:tc>
          <w:tcPr>
            <w:tcW w:w="5782" w:type="dxa"/>
            <w:tcBorders>
              <w:top w:val="single" w:color="auto" w:sz="4" w:space="0"/>
              <w:left w:val="single" w:color="auto" w:sz="4" w:space="0"/>
              <w:bottom w:val="single" w:color="auto" w:sz="4" w:space="0"/>
              <w:right w:val="single" w:color="auto" w:sz="4" w:space="0"/>
            </w:tcBorders>
            <w:vAlign w:val="center"/>
          </w:tcPr>
          <w:p w14:paraId="6ED86C16">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工作时间玩电脑游戏、看小说、炒股票;手机上网浏览网页、看小说、玩游戏、炒股票，睡觉或做其他与工作无关事情的，扣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分/次，如被上级都门或新闻媒体通报的，一律予以</w:t>
            </w:r>
            <w:r>
              <w:rPr>
                <w:rFonts w:hint="eastAsia" w:ascii="仿宋" w:hAnsi="仿宋" w:eastAsia="仿宋" w:cs="仿宋"/>
                <w:color w:val="auto"/>
                <w:sz w:val="24"/>
                <w:szCs w:val="24"/>
                <w:highlight w:val="none"/>
                <w:lang w:val="en-US" w:eastAsia="zh-CN"/>
              </w:rPr>
              <w:t>替换</w:t>
            </w:r>
            <w:r>
              <w:rPr>
                <w:rFonts w:hint="eastAsia" w:ascii="仿宋" w:hAnsi="仿宋" w:eastAsia="仿宋" w:cs="仿宋"/>
                <w:color w:val="auto"/>
                <w:sz w:val="24"/>
                <w:szCs w:val="24"/>
                <w:highlight w:val="none"/>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14:paraId="64103402">
            <w:pPr>
              <w:spacing w:line="360" w:lineRule="auto"/>
              <w:jc w:val="both"/>
              <w:rPr>
                <w:rFonts w:hint="eastAsia" w:ascii="仿宋" w:hAnsi="仿宋" w:eastAsia="仿宋" w:cs="仿宋"/>
                <w:color w:val="auto"/>
                <w:sz w:val="24"/>
                <w:szCs w:val="24"/>
                <w:highlight w:val="none"/>
                <w:lang w:val="en-US" w:eastAsia="zh-CN"/>
              </w:rPr>
            </w:pPr>
          </w:p>
        </w:tc>
        <w:tc>
          <w:tcPr>
            <w:tcW w:w="592" w:type="dxa"/>
            <w:tcBorders>
              <w:top w:val="single" w:color="auto" w:sz="4" w:space="0"/>
              <w:left w:val="single" w:color="auto" w:sz="4" w:space="0"/>
              <w:bottom w:val="single" w:color="auto" w:sz="4" w:space="0"/>
              <w:right w:val="single" w:color="auto" w:sz="4" w:space="0"/>
            </w:tcBorders>
            <w:vAlign w:val="center"/>
          </w:tcPr>
          <w:p w14:paraId="0A99B8C4">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0A51E5F1">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79156FD6">
            <w:pPr>
              <w:spacing w:line="360" w:lineRule="auto"/>
              <w:jc w:val="both"/>
              <w:rPr>
                <w:rFonts w:hint="eastAsia" w:ascii="仿宋" w:hAnsi="仿宋" w:eastAsia="仿宋" w:cs="仿宋"/>
                <w:color w:val="auto"/>
                <w:sz w:val="24"/>
                <w:szCs w:val="24"/>
                <w:highlight w:val="none"/>
              </w:rPr>
            </w:pPr>
          </w:p>
        </w:tc>
      </w:tr>
      <w:tr w14:paraId="0C6A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1" w:type="dxa"/>
            <w:vMerge w:val="continue"/>
            <w:tcBorders>
              <w:left w:val="single" w:color="auto" w:sz="4" w:space="0"/>
              <w:right w:val="single" w:color="auto" w:sz="4" w:space="0"/>
            </w:tcBorders>
            <w:vAlign w:val="center"/>
          </w:tcPr>
          <w:p w14:paraId="55F693C1">
            <w:pPr>
              <w:widowControl/>
              <w:spacing w:line="360" w:lineRule="auto"/>
              <w:jc w:val="center"/>
              <w:textAlignment w:val="center"/>
              <w:rPr>
                <w:rFonts w:hint="eastAsia" w:ascii="仿宋" w:hAnsi="仿宋" w:eastAsia="仿宋" w:cs="仿宋"/>
                <w:color w:val="auto"/>
                <w:sz w:val="24"/>
                <w:szCs w:val="24"/>
                <w:highlight w:val="none"/>
                <w:lang w:eastAsia="zh-CN"/>
              </w:rPr>
            </w:pPr>
          </w:p>
        </w:tc>
        <w:tc>
          <w:tcPr>
            <w:tcW w:w="763" w:type="dxa"/>
            <w:vMerge w:val="continue"/>
            <w:tcBorders>
              <w:left w:val="single" w:color="auto" w:sz="4" w:space="0"/>
              <w:right w:val="single" w:color="auto" w:sz="4" w:space="0"/>
            </w:tcBorders>
            <w:vAlign w:val="center"/>
          </w:tcPr>
          <w:p w14:paraId="751877D8">
            <w:pPr>
              <w:widowControl/>
              <w:spacing w:line="360" w:lineRule="auto"/>
              <w:textAlignment w:val="center"/>
              <w:rPr>
                <w:rFonts w:hint="eastAsia" w:ascii="仿宋" w:hAnsi="仿宋" w:eastAsia="仿宋" w:cs="仿宋"/>
                <w:color w:val="auto"/>
                <w:sz w:val="24"/>
                <w:szCs w:val="24"/>
                <w:highlight w:val="none"/>
                <w:lang w:val="en-US"/>
              </w:rPr>
            </w:pPr>
          </w:p>
        </w:tc>
        <w:tc>
          <w:tcPr>
            <w:tcW w:w="5782" w:type="dxa"/>
            <w:tcBorders>
              <w:top w:val="single" w:color="auto" w:sz="4" w:space="0"/>
              <w:left w:val="single" w:color="auto" w:sz="4" w:space="0"/>
              <w:bottom w:val="single" w:color="auto" w:sz="4" w:space="0"/>
              <w:right w:val="single" w:color="auto" w:sz="4" w:space="0"/>
            </w:tcBorders>
            <w:vAlign w:val="center"/>
          </w:tcPr>
          <w:p w14:paraId="189DABF3">
            <w:pPr>
              <w:widowControl/>
              <w:spacing w:line="360" w:lineRule="auto"/>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日常行为被上级部门督察计分的，扣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en-US"/>
              </w:rPr>
              <w:t>分/次。</w:t>
            </w:r>
          </w:p>
        </w:tc>
        <w:tc>
          <w:tcPr>
            <w:tcW w:w="600" w:type="dxa"/>
            <w:tcBorders>
              <w:top w:val="single" w:color="auto" w:sz="4" w:space="0"/>
              <w:left w:val="single" w:color="auto" w:sz="4" w:space="0"/>
              <w:right w:val="single" w:color="auto" w:sz="4" w:space="0"/>
            </w:tcBorders>
            <w:vAlign w:val="center"/>
          </w:tcPr>
          <w:p w14:paraId="543504F4">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right w:val="single" w:color="auto" w:sz="4" w:space="0"/>
            </w:tcBorders>
            <w:vAlign w:val="center"/>
          </w:tcPr>
          <w:p w14:paraId="54D26088">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right w:val="single" w:color="auto" w:sz="4" w:space="0"/>
            </w:tcBorders>
            <w:vAlign w:val="center"/>
          </w:tcPr>
          <w:p w14:paraId="69642B2E">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23214D26">
            <w:pPr>
              <w:spacing w:line="360" w:lineRule="auto"/>
              <w:jc w:val="center"/>
              <w:rPr>
                <w:rFonts w:hint="eastAsia" w:ascii="仿宋" w:hAnsi="仿宋" w:eastAsia="仿宋" w:cs="仿宋"/>
                <w:color w:val="auto"/>
                <w:sz w:val="24"/>
                <w:szCs w:val="24"/>
                <w:highlight w:val="none"/>
              </w:rPr>
            </w:pPr>
          </w:p>
        </w:tc>
      </w:tr>
      <w:tr w14:paraId="3987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81" w:type="dxa"/>
            <w:vMerge w:val="continue"/>
            <w:tcBorders>
              <w:left w:val="single" w:color="auto" w:sz="4" w:space="0"/>
              <w:right w:val="single" w:color="auto" w:sz="4" w:space="0"/>
            </w:tcBorders>
            <w:vAlign w:val="center"/>
          </w:tcPr>
          <w:p w14:paraId="26DD47B6">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1E2A4AB7">
            <w:pPr>
              <w:widowControl/>
              <w:spacing w:line="360" w:lineRule="auto"/>
              <w:textAlignment w:val="center"/>
              <w:rPr>
                <w:rFonts w:hint="eastAsia" w:ascii="仿宋" w:hAnsi="仿宋" w:eastAsia="仿宋" w:cs="仿宋"/>
                <w:color w:val="auto"/>
                <w:sz w:val="24"/>
                <w:szCs w:val="24"/>
                <w:highlight w:val="none"/>
                <w:lang w:val="en-US"/>
              </w:rPr>
            </w:pPr>
          </w:p>
        </w:tc>
        <w:tc>
          <w:tcPr>
            <w:tcW w:w="5782" w:type="dxa"/>
            <w:tcBorders>
              <w:top w:val="single" w:color="auto" w:sz="4" w:space="0"/>
              <w:left w:val="single" w:color="auto" w:sz="4" w:space="0"/>
              <w:right w:val="single" w:color="auto" w:sz="4" w:space="0"/>
            </w:tcBorders>
            <w:vAlign w:val="center"/>
          </w:tcPr>
          <w:p w14:paraId="101622BB">
            <w:pPr>
              <w:widowControl/>
              <w:spacing w:line="360" w:lineRule="auto"/>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工作时问不按规定上岗、定岗的，扣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分/次。值班人员在值班期间不按规定履行职责的，扣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w:t>
            </w:r>
          </w:p>
        </w:tc>
        <w:tc>
          <w:tcPr>
            <w:tcW w:w="600" w:type="dxa"/>
            <w:tcBorders>
              <w:top w:val="single" w:color="auto" w:sz="4" w:space="0"/>
              <w:left w:val="single" w:color="auto" w:sz="4" w:space="0"/>
              <w:right w:val="single" w:color="auto" w:sz="4" w:space="0"/>
            </w:tcBorders>
            <w:vAlign w:val="center"/>
          </w:tcPr>
          <w:p w14:paraId="55639587">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92" w:type="dxa"/>
            <w:tcBorders>
              <w:top w:val="single" w:color="auto" w:sz="4" w:space="0"/>
              <w:left w:val="single" w:color="auto" w:sz="4" w:space="0"/>
              <w:right w:val="single" w:color="auto" w:sz="4" w:space="0"/>
            </w:tcBorders>
            <w:vAlign w:val="center"/>
          </w:tcPr>
          <w:p w14:paraId="7FB9D3B3">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630" w:type="dxa"/>
            <w:tcBorders>
              <w:top w:val="single" w:color="auto" w:sz="4" w:space="0"/>
              <w:left w:val="single" w:color="auto" w:sz="4" w:space="0"/>
              <w:right w:val="single" w:color="auto" w:sz="4" w:space="0"/>
            </w:tcBorders>
            <w:vAlign w:val="center"/>
          </w:tcPr>
          <w:p w14:paraId="78F27376">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43" w:type="dxa"/>
            <w:tcBorders>
              <w:top w:val="single" w:color="auto" w:sz="4" w:space="0"/>
              <w:left w:val="single" w:color="auto" w:sz="4" w:space="0"/>
              <w:bottom w:val="single" w:color="auto" w:sz="4" w:space="0"/>
              <w:right w:val="single" w:color="auto" w:sz="4" w:space="0"/>
            </w:tcBorders>
            <w:vAlign w:val="center"/>
          </w:tcPr>
          <w:p w14:paraId="32B92131">
            <w:pPr>
              <w:widowControl/>
              <w:spacing w:line="360" w:lineRule="auto"/>
              <w:jc w:val="center"/>
              <w:textAlignment w:val="center"/>
              <w:rPr>
                <w:rFonts w:hint="eastAsia" w:ascii="仿宋" w:hAnsi="仿宋" w:eastAsia="仿宋" w:cs="仿宋"/>
                <w:color w:val="auto"/>
                <w:sz w:val="24"/>
                <w:szCs w:val="24"/>
                <w:highlight w:val="none"/>
                <w:lang w:val="en-US"/>
              </w:rPr>
            </w:pPr>
          </w:p>
        </w:tc>
      </w:tr>
      <w:tr w14:paraId="3EC5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1" w:type="dxa"/>
            <w:vMerge w:val="continue"/>
            <w:tcBorders>
              <w:left w:val="single" w:color="auto" w:sz="4" w:space="0"/>
              <w:right w:val="single" w:color="auto" w:sz="4" w:space="0"/>
            </w:tcBorders>
            <w:vAlign w:val="center"/>
          </w:tcPr>
          <w:p w14:paraId="20E216F6">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5EB0A6B7">
            <w:pPr>
              <w:widowControl/>
              <w:spacing w:line="360" w:lineRule="auto"/>
              <w:textAlignment w:val="center"/>
              <w:rPr>
                <w:rFonts w:hint="eastAsia" w:ascii="仿宋" w:hAnsi="仿宋" w:eastAsia="仿宋" w:cs="仿宋"/>
                <w:color w:val="auto"/>
                <w:sz w:val="24"/>
                <w:szCs w:val="24"/>
                <w:highlight w:val="none"/>
                <w:lang w:val="en-US"/>
              </w:rPr>
            </w:pPr>
          </w:p>
        </w:tc>
        <w:tc>
          <w:tcPr>
            <w:tcW w:w="5782" w:type="dxa"/>
            <w:tcBorders>
              <w:top w:val="single" w:color="auto" w:sz="4" w:space="0"/>
              <w:left w:val="single" w:color="auto" w:sz="4" w:space="0"/>
              <w:right w:val="single" w:color="auto" w:sz="4" w:space="0"/>
            </w:tcBorders>
            <w:vAlign w:val="center"/>
          </w:tcPr>
          <w:p w14:paraId="372EF7DC">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不服从安排管理，影响工作开展的;破坏团结协作的，扣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w:t>
            </w:r>
            <w:r>
              <w:rPr>
                <w:rFonts w:hint="eastAsia" w:ascii="仿宋" w:hAnsi="仿宋" w:eastAsia="仿宋" w:cs="仿宋"/>
                <w:color w:val="auto"/>
                <w:sz w:val="24"/>
                <w:szCs w:val="24"/>
                <w:highlight w:val="none"/>
                <w:lang w:val="en-US" w:eastAsia="zh-CN"/>
              </w:rPr>
              <w:t>。</w:t>
            </w:r>
          </w:p>
        </w:tc>
        <w:tc>
          <w:tcPr>
            <w:tcW w:w="600" w:type="dxa"/>
            <w:tcBorders>
              <w:top w:val="single" w:color="auto" w:sz="4" w:space="0"/>
              <w:left w:val="single" w:color="auto" w:sz="4" w:space="0"/>
              <w:right w:val="single" w:color="auto" w:sz="4" w:space="0"/>
            </w:tcBorders>
            <w:vAlign w:val="center"/>
          </w:tcPr>
          <w:p w14:paraId="58A4C4B2">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92" w:type="dxa"/>
            <w:tcBorders>
              <w:top w:val="single" w:color="auto" w:sz="4" w:space="0"/>
              <w:left w:val="single" w:color="auto" w:sz="4" w:space="0"/>
              <w:right w:val="single" w:color="auto" w:sz="4" w:space="0"/>
            </w:tcBorders>
            <w:vAlign w:val="center"/>
          </w:tcPr>
          <w:p w14:paraId="5BA9C0CC">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630" w:type="dxa"/>
            <w:tcBorders>
              <w:top w:val="single" w:color="auto" w:sz="4" w:space="0"/>
              <w:left w:val="single" w:color="auto" w:sz="4" w:space="0"/>
              <w:right w:val="single" w:color="auto" w:sz="4" w:space="0"/>
            </w:tcBorders>
            <w:vAlign w:val="center"/>
          </w:tcPr>
          <w:p w14:paraId="5EEDA8C9">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43" w:type="dxa"/>
            <w:tcBorders>
              <w:top w:val="single" w:color="auto" w:sz="4" w:space="0"/>
              <w:left w:val="single" w:color="auto" w:sz="4" w:space="0"/>
              <w:bottom w:val="single" w:color="auto" w:sz="4" w:space="0"/>
              <w:right w:val="single" w:color="auto" w:sz="4" w:space="0"/>
            </w:tcBorders>
            <w:vAlign w:val="center"/>
          </w:tcPr>
          <w:p w14:paraId="145A829F">
            <w:pPr>
              <w:widowControl/>
              <w:spacing w:line="360" w:lineRule="auto"/>
              <w:jc w:val="center"/>
              <w:textAlignment w:val="center"/>
              <w:rPr>
                <w:rFonts w:hint="eastAsia" w:ascii="仿宋" w:hAnsi="仿宋" w:eastAsia="仿宋" w:cs="仿宋"/>
                <w:color w:val="auto"/>
                <w:sz w:val="24"/>
                <w:szCs w:val="24"/>
                <w:highlight w:val="none"/>
                <w:lang w:val="en-US"/>
              </w:rPr>
            </w:pPr>
          </w:p>
        </w:tc>
      </w:tr>
      <w:tr w14:paraId="13AF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681" w:type="dxa"/>
            <w:vMerge w:val="continue"/>
            <w:tcBorders>
              <w:left w:val="single" w:color="auto" w:sz="4" w:space="0"/>
              <w:right w:val="single" w:color="auto" w:sz="4" w:space="0"/>
            </w:tcBorders>
            <w:vAlign w:val="center"/>
          </w:tcPr>
          <w:p w14:paraId="13718471">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612C319B">
            <w:pPr>
              <w:widowControl/>
              <w:spacing w:line="360" w:lineRule="auto"/>
              <w:textAlignment w:val="center"/>
              <w:rPr>
                <w:rFonts w:hint="eastAsia" w:ascii="仿宋" w:hAnsi="仿宋" w:eastAsia="仿宋" w:cs="仿宋"/>
                <w:color w:val="auto"/>
                <w:sz w:val="24"/>
                <w:szCs w:val="24"/>
                <w:highlight w:val="none"/>
                <w:lang w:val="en-US"/>
              </w:rPr>
            </w:pPr>
          </w:p>
        </w:tc>
        <w:tc>
          <w:tcPr>
            <w:tcW w:w="5782" w:type="dxa"/>
            <w:tcBorders>
              <w:top w:val="single" w:color="auto" w:sz="4" w:space="0"/>
              <w:left w:val="single" w:color="auto" w:sz="4" w:space="0"/>
              <w:right w:val="single" w:color="auto" w:sz="4" w:space="0"/>
            </w:tcBorders>
            <w:vAlign w:val="center"/>
          </w:tcPr>
          <w:p w14:paraId="2AB88510">
            <w:pPr>
              <w:widowControl/>
              <w:spacing w:line="360" w:lineRule="auto"/>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员工培训应进行固定培训，提高景区服务能力，未进行固定培训，影响服务能力的</w:t>
            </w:r>
            <w:r>
              <w:rPr>
                <w:rFonts w:hint="eastAsia" w:ascii="仿宋" w:hAnsi="仿宋" w:eastAsia="仿宋" w:cs="仿宋"/>
                <w:color w:val="auto"/>
                <w:sz w:val="24"/>
                <w:szCs w:val="24"/>
                <w:highlight w:val="none"/>
                <w:lang w:val="en-US"/>
              </w:rPr>
              <w:t>，扣</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分/次。</w:t>
            </w:r>
          </w:p>
        </w:tc>
        <w:tc>
          <w:tcPr>
            <w:tcW w:w="600" w:type="dxa"/>
            <w:tcBorders>
              <w:top w:val="single" w:color="auto" w:sz="4" w:space="0"/>
              <w:left w:val="single" w:color="auto" w:sz="4" w:space="0"/>
              <w:right w:val="single" w:color="auto" w:sz="4" w:space="0"/>
            </w:tcBorders>
            <w:vAlign w:val="center"/>
          </w:tcPr>
          <w:p w14:paraId="051839B8">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92" w:type="dxa"/>
            <w:tcBorders>
              <w:top w:val="single" w:color="auto" w:sz="4" w:space="0"/>
              <w:left w:val="single" w:color="auto" w:sz="4" w:space="0"/>
              <w:right w:val="single" w:color="auto" w:sz="4" w:space="0"/>
            </w:tcBorders>
            <w:vAlign w:val="center"/>
          </w:tcPr>
          <w:p w14:paraId="6D711D00">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630" w:type="dxa"/>
            <w:tcBorders>
              <w:top w:val="single" w:color="auto" w:sz="4" w:space="0"/>
              <w:left w:val="single" w:color="auto" w:sz="4" w:space="0"/>
              <w:right w:val="single" w:color="auto" w:sz="4" w:space="0"/>
            </w:tcBorders>
            <w:vAlign w:val="center"/>
          </w:tcPr>
          <w:p w14:paraId="02BD55D6">
            <w:pPr>
              <w:widowControl/>
              <w:spacing w:line="360" w:lineRule="auto"/>
              <w:jc w:val="center"/>
              <w:textAlignment w:val="center"/>
              <w:rPr>
                <w:rFonts w:hint="eastAsia" w:ascii="仿宋" w:hAnsi="仿宋" w:eastAsia="仿宋" w:cs="仿宋"/>
                <w:color w:val="auto"/>
                <w:sz w:val="24"/>
                <w:szCs w:val="24"/>
                <w:highlight w:val="none"/>
                <w:lang w:val="en-US"/>
              </w:rPr>
            </w:pPr>
          </w:p>
        </w:tc>
        <w:tc>
          <w:tcPr>
            <w:tcW w:w="543" w:type="dxa"/>
            <w:tcBorders>
              <w:top w:val="single" w:color="auto" w:sz="4" w:space="0"/>
              <w:left w:val="single" w:color="auto" w:sz="4" w:space="0"/>
              <w:bottom w:val="single" w:color="auto" w:sz="4" w:space="0"/>
              <w:right w:val="single" w:color="auto" w:sz="4" w:space="0"/>
            </w:tcBorders>
            <w:vAlign w:val="center"/>
          </w:tcPr>
          <w:p w14:paraId="0A209AB1">
            <w:pPr>
              <w:widowControl/>
              <w:spacing w:line="360" w:lineRule="auto"/>
              <w:jc w:val="center"/>
              <w:textAlignment w:val="center"/>
              <w:rPr>
                <w:rFonts w:hint="eastAsia" w:ascii="仿宋" w:hAnsi="仿宋" w:eastAsia="仿宋" w:cs="仿宋"/>
                <w:color w:val="auto"/>
                <w:sz w:val="24"/>
                <w:szCs w:val="24"/>
                <w:highlight w:val="none"/>
                <w:lang w:val="en-US"/>
              </w:rPr>
            </w:pPr>
          </w:p>
        </w:tc>
      </w:tr>
      <w:tr w14:paraId="1B94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1" w:type="dxa"/>
            <w:vMerge w:val="continue"/>
            <w:tcBorders>
              <w:left w:val="single" w:color="auto" w:sz="4" w:space="0"/>
              <w:bottom w:val="single" w:color="auto" w:sz="4" w:space="0"/>
              <w:right w:val="single" w:color="auto" w:sz="4" w:space="0"/>
            </w:tcBorders>
            <w:vAlign w:val="center"/>
          </w:tcPr>
          <w:p w14:paraId="06E5FB0B">
            <w:pPr>
              <w:widowControl/>
              <w:spacing w:line="360" w:lineRule="auto"/>
              <w:jc w:val="center"/>
              <w:textAlignment w:val="center"/>
              <w:rPr>
                <w:rFonts w:hint="eastAsia" w:ascii="仿宋" w:hAnsi="仿宋" w:eastAsia="仿宋" w:cs="仿宋"/>
                <w:color w:val="auto"/>
                <w:sz w:val="24"/>
                <w:szCs w:val="24"/>
                <w:highlight w:val="none"/>
                <w:lang w:eastAsia="zh-CN"/>
              </w:rPr>
            </w:pPr>
          </w:p>
        </w:tc>
        <w:tc>
          <w:tcPr>
            <w:tcW w:w="763" w:type="dxa"/>
            <w:vMerge w:val="continue"/>
            <w:tcBorders>
              <w:left w:val="single" w:color="auto" w:sz="4" w:space="0"/>
              <w:bottom w:val="single" w:color="auto" w:sz="4" w:space="0"/>
              <w:right w:val="single" w:color="auto" w:sz="4" w:space="0"/>
            </w:tcBorders>
            <w:vAlign w:val="center"/>
          </w:tcPr>
          <w:p w14:paraId="0DC5DC70">
            <w:pPr>
              <w:widowControl/>
              <w:spacing w:line="360" w:lineRule="auto"/>
              <w:textAlignment w:val="center"/>
              <w:rPr>
                <w:rFonts w:hint="eastAsia" w:ascii="仿宋" w:hAnsi="仿宋" w:eastAsia="仿宋" w:cs="仿宋"/>
                <w:color w:val="auto"/>
                <w:sz w:val="24"/>
                <w:szCs w:val="24"/>
                <w:highlight w:val="none"/>
                <w:lang w:val="en-US"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14:paraId="735DF572">
            <w:pPr>
              <w:widowControl/>
              <w:spacing w:line="360" w:lineRule="auto"/>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不规范使用车辆或违反职责的，扣0.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分/次;违反交通规则的，处罚款项</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驾驶人员自行承担;上述问题被上级部门通报的加倍扣罚。</w:t>
            </w:r>
          </w:p>
        </w:tc>
        <w:tc>
          <w:tcPr>
            <w:tcW w:w="600" w:type="dxa"/>
            <w:tcBorders>
              <w:top w:val="single" w:color="auto" w:sz="4" w:space="0"/>
              <w:left w:val="single" w:color="auto" w:sz="4" w:space="0"/>
              <w:bottom w:val="single" w:color="auto" w:sz="4" w:space="0"/>
              <w:right w:val="single" w:color="auto" w:sz="4" w:space="0"/>
            </w:tcBorders>
            <w:vAlign w:val="center"/>
          </w:tcPr>
          <w:p w14:paraId="67970F85">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59BFE8A0">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6254CCC1">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04AA2EE7">
            <w:pPr>
              <w:spacing w:line="360" w:lineRule="auto"/>
              <w:jc w:val="center"/>
              <w:rPr>
                <w:rFonts w:hint="eastAsia" w:ascii="仿宋" w:hAnsi="仿宋" w:eastAsia="仿宋" w:cs="仿宋"/>
                <w:color w:val="auto"/>
                <w:sz w:val="24"/>
                <w:szCs w:val="24"/>
                <w:highlight w:val="none"/>
              </w:rPr>
            </w:pPr>
          </w:p>
        </w:tc>
      </w:tr>
      <w:tr w14:paraId="668F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81" w:type="dxa"/>
            <w:vMerge w:val="restart"/>
            <w:tcBorders>
              <w:left w:val="single" w:color="auto" w:sz="4" w:space="0"/>
              <w:right w:val="single" w:color="auto" w:sz="4" w:space="0"/>
            </w:tcBorders>
            <w:vAlign w:val="center"/>
          </w:tcPr>
          <w:p w14:paraId="195AB4D0">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63" w:type="dxa"/>
            <w:vMerge w:val="restart"/>
            <w:tcBorders>
              <w:left w:val="single" w:color="auto" w:sz="4" w:space="0"/>
              <w:right w:val="single" w:color="auto" w:sz="4" w:space="0"/>
            </w:tcBorders>
            <w:vAlign w:val="center"/>
          </w:tcPr>
          <w:p w14:paraId="1040E45C">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纪律</w:t>
            </w:r>
          </w:p>
        </w:tc>
        <w:tc>
          <w:tcPr>
            <w:tcW w:w="5782" w:type="dxa"/>
            <w:tcBorders>
              <w:top w:val="single" w:color="auto" w:sz="4" w:space="0"/>
              <w:left w:val="single" w:color="auto" w:sz="4" w:space="0"/>
              <w:bottom w:val="single" w:color="auto" w:sz="4" w:space="0"/>
              <w:right w:val="single" w:color="auto" w:sz="4" w:space="0"/>
            </w:tcBorders>
            <w:vAlign w:val="center"/>
          </w:tcPr>
          <w:p w14:paraId="7457A9C2">
            <w:pPr>
              <w:widowControl/>
              <w:spacing w:line="360"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上岗前酗酒贻误值班执勤，隐瞒和虚报情况，欺骗领导，视情节轻重扣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分/次，</w:t>
            </w:r>
            <w:r>
              <w:rPr>
                <w:rFonts w:hint="eastAsia" w:ascii="仿宋" w:hAnsi="仿宋" w:eastAsia="仿宋" w:cs="仿宋"/>
                <w:color w:val="auto"/>
                <w:sz w:val="24"/>
                <w:szCs w:val="24"/>
                <w:highlight w:val="none"/>
                <w:lang w:eastAsia="zh-CN"/>
              </w:rPr>
              <w:t>相关人员</w:t>
            </w:r>
            <w:r>
              <w:rPr>
                <w:rFonts w:hint="eastAsia" w:ascii="仿宋" w:hAnsi="仿宋" w:eastAsia="仿宋" w:cs="仿宋"/>
                <w:color w:val="auto"/>
                <w:sz w:val="24"/>
                <w:szCs w:val="24"/>
                <w:highlight w:val="none"/>
              </w:rPr>
              <w:t>予以</w:t>
            </w:r>
            <w:r>
              <w:rPr>
                <w:rFonts w:hint="eastAsia" w:ascii="仿宋" w:hAnsi="仿宋" w:eastAsia="仿宋" w:cs="仿宋"/>
                <w:color w:val="auto"/>
                <w:sz w:val="24"/>
                <w:szCs w:val="24"/>
                <w:highlight w:val="none"/>
                <w:lang w:eastAsia="zh-CN"/>
              </w:rPr>
              <w:t>替换</w:t>
            </w:r>
            <w:r>
              <w:rPr>
                <w:rFonts w:hint="eastAsia" w:ascii="仿宋" w:hAnsi="仿宋" w:eastAsia="仿宋" w:cs="仿宋"/>
                <w:color w:val="auto"/>
                <w:sz w:val="24"/>
                <w:szCs w:val="24"/>
                <w:highlight w:val="none"/>
              </w:rPr>
              <w:t>。</w:t>
            </w:r>
          </w:p>
        </w:tc>
        <w:tc>
          <w:tcPr>
            <w:tcW w:w="600" w:type="dxa"/>
            <w:tcBorders>
              <w:top w:val="single" w:color="auto" w:sz="4" w:space="0"/>
              <w:left w:val="single" w:color="auto" w:sz="4" w:space="0"/>
              <w:bottom w:val="single" w:color="auto" w:sz="4" w:space="0"/>
              <w:right w:val="single" w:color="auto" w:sz="4" w:space="0"/>
            </w:tcBorders>
            <w:vAlign w:val="center"/>
          </w:tcPr>
          <w:p w14:paraId="4D1CF1BD">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4ACF9BAD">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17F3411">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0B5CDEC5">
            <w:pPr>
              <w:spacing w:line="360" w:lineRule="auto"/>
              <w:jc w:val="center"/>
              <w:rPr>
                <w:rFonts w:hint="eastAsia" w:ascii="仿宋" w:hAnsi="仿宋" w:eastAsia="仿宋" w:cs="仿宋"/>
                <w:color w:val="auto"/>
                <w:sz w:val="24"/>
                <w:szCs w:val="24"/>
                <w:highlight w:val="none"/>
              </w:rPr>
            </w:pPr>
          </w:p>
        </w:tc>
      </w:tr>
      <w:tr w14:paraId="19D9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81" w:type="dxa"/>
            <w:vMerge w:val="continue"/>
            <w:tcBorders>
              <w:left w:val="single" w:color="auto" w:sz="4" w:space="0"/>
              <w:right w:val="single" w:color="auto" w:sz="4" w:space="0"/>
            </w:tcBorders>
            <w:vAlign w:val="center"/>
          </w:tcPr>
          <w:p w14:paraId="180FE467">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763" w:type="dxa"/>
            <w:vMerge w:val="continue"/>
            <w:tcBorders>
              <w:left w:val="single" w:color="auto" w:sz="4" w:space="0"/>
              <w:right w:val="single" w:color="auto" w:sz="4" w:space="0"/>
            </w:tcBorders>
            <w:vAlign w:val="center"/>
          </w:tcPr>
          <w:p w14:paraId="2CA5E9F9">
            <w:pPr>
              <w:widowControl/>
              <w:spacing w:line="360" w:lineRule="auto"/>
              <w:jc w:val="center"/>
              <w:textAlignment w:val="center"/>
              <w:rPr>
                <w:rFonts w:hint="eastAsia" w:ascii="仿宋" w:hAnsi="仿宋" w:eastAsia="仿宋" w:cs="仿宋"/>
                <w:color w:val="auto"/>
                <w:sz w:val="24"/>
                <w:szCs w:val="24"/>
                <w:highlight w:val="none"/>
                <w:lang w:val="en-US"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14:paraId="3A9DDF5A">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仪容仪表需</w:t>
            </w:r>
            <w:r>
              <w:rPr>
                <w:rFonts w:hint="eastAsia" w:ascii="仿宋" w:hAnsi="仿宋" w:eastAsia="仿宋" w:cs="仿宋"/>
                <w:color w:val="auto"/>
                <w:sz w:val="24"/>
                <w:szCs w:val="24"/>
                <w:highlight w:val="none"/>
              </w:rPr>
              <w:t>精神饱满，语言文明，举止端庄</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服饰</w:t>
            </w:r>
            <w:r>
              <w:rPr>
                <w:rFonts w:hint="eastAsia" w:ascii="仿宋" w:hAnsi="仿宋" w:eastAsia="仿宋" w:cs="仿宋"/>
                <w:color w:val="auto"/>
                <w:sz w:val="24"/>
                <w:szCs w:val="24"/>
                <w:highlight w:val="none"/>
                <w:lang w:val="en-US" w:eastAsia="zh-CN"/>
              </w:rPr>
              <w:t>整</w:t>
            </w:r>
            <w:r>
              <w:rPr>
                <w:rFonts w:hint="eastAsia" w:ascii="仿宋" w:hAnsi="仿宋" w:eastAsia="仿宋" w:cs="仿宋"/>
                <w:color w:val="auto"/>
                <w:sz w:val="24"/>
                <w:szCs w:val="24"/>
                <w:highlight w:val="none"/>
              </w:rPr>
              <w:t>洁、适体，衣领、袖口、衣边要平整、无污渍，内衣无外露，胸牌佩戴位置合适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不满足要求的</w:t>
            </w:r>
            <w:r>
              <w:rPr>
                <w:rFonts w:hint="eastAsia" w:ascii="仿宋" w:hAnsi="仿宋" w:eastAsia="仿宋" w:cs="仿宋"/>
                <w:color w:val="auto"/>
                <w:sz w:val="24"/>
                <w:szCs w:val="24"/>
                <w:highlight w:val="none"/>
              </w:rPr>
              <w:t>视情节轻重扣</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分/次</w:t>
            </w:r>
            <w:r>
              <w:rPr>
                <w:rFonts w:hint="eastAsia" w:ascii="仿宋" w:hAnsi="仿宋" w:eastAsia="仿宋" w:cs="仿宋"/>
                <w:color w:val="auto"/>
                <w:sz w:val="24"/>
                <w:szCs w:val="24"/>
                <w:highlight w:val="none"/>
                <w:lang w:eastAsia="zh-CN"/>
              </w:rPr>
              <w:t>。</w:t>
            </w:r>
          </w:p>
        </w:tc>
        <w:tc>
          <w:tcPr>
            <w:tcW w:w="600" w:type="dxa"/>
            <w:tcBorders>
              <w:top w:val="single" w:color="auto" w:sz="4" w:space="0"/>
              <w:left w:val="single" w:color="auto" w:sz="4" w:space="0"/>
              <w:bottom w:val="single" w:color="auto" w:sz="4" w:space="0"/>
              <w:right w:val="single" w:color="auto" w:sz="4" w:space="0"/>
            </w:tcBorders>
            <w:vAlign w:val="center"/>
          </w:tcPr>
          <w:p w14:paraId="1E638C80">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5984A7C8">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34A824C0">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71EED1DC">
            <w:pPr>
              <w:spacing w:line="360" w:lineRule="auto"/>
              <w:jc w:val="center"/>
              <w:rPr>
                <w:rFonts w:hint="eastAsia" w:ascii="仿宋" w:hAnsi="仿宋" w:eastAsia="仿宋" w:cs="仿宋"/>
                <w:color w:val="auto"/>
                <w:sz w:val="24"/>
                <w:szCs w:val="24"/>
                <w:highlight w:val="none"/>
              </w:rPr>
            </w:pPr>
          </w:p>
        </w:tc>
      </w:tr>
      <w:tr w14:paraId="3EAD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681" w:type="dxa"/>
            <w:vMerge w:val="continue"/>
            <w:tcBorders>
              <w:left w:val="single" w:color="auto" w:sz="4" w:space="0"/>
              <w:bottom w:val="single" w:color="auto" w:sz="4" w:space="0"/>
              <w:right w:val="single" w:color="auto" w:sz="4" w:space="0"/>
            </w:tcBorders>
            <w:vAlign w:val="center"/>
          </w:tcPr>
          <w:p w14:paraId="2C37817E">
            <w:pPr>
              <w:widowControl/>
              <w:spacing w:line="360" w:lineRule="auto"/>
              <w:jc w:val="center"/>
              <w:textAlignment w:val="center"/>
              <w:rPr>
                <w:rFonts w:hint="eastAsia" w:ascii="仿宋" w:hAnsi="仿宋" w:eastAsia="仿宋" w:cs="仿宋"/>
                <w:color w:val="auto"/>
                <w:sz w:val="24"/>
                <w:szCs w:val="24"/>
                <w:highlight w:val="none"/>
                <w:lang w:eastAsia="zh-CN"/>
              </w:rPr>
            </w:pPr>
          </w:p>
        </w:tc>
        <w:tc>
          <w:tcPr>
            <w:tcW w:w="763" w:type="dxa"/>
            <w:vMerge w:val="continue"/>
            <w:tcBorders>
              <w:left w:val="single" w:color="auto" w:sz="4" w:space="0"/>
              <w:bottom w:val="single" w:color="auto" w:sz="4" w:space="0"/>
              <w:right w:val="single" w:color="auto" w:sz="4" w:space="0"/>
            </w:tcBorders>
            <w:vAlign w:val="center"/>
          </w:tcPr>
          <w:p w14:paraId="3CF5CAC1">
            <w:pPr>
              <w:widowControl/>
              <w:spacing w:line="360" w:lineRule="auto"/>
              <w:textAlignment w:val="center"/>
              <w:rPr>
                <w:rFonts w:hint="eastAsia" w:ascii="仿宋" w:hAnsi="仿宋" w:eastAsia="仿宋" w:cs="仿宋"/>
                <w:color w:val="auto"/>
                <w:sz w:val="24"/>
                <w:szCs w:val="24"/>
                <w:highlight w:val="none"/>
                <w:lang w:val="en-US"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14:paraId="568AB933">
            <w:pPr>
              <w:widowControl/>
              <w:spacing w:line="360"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w:t>
            </w:r>
            <w:r>
              <w:rPr>
                <w:rFonts w:hint="eastAsia" w:ascii="仿宋" w:hAnsi="仿宋" w:eastAsia="仿宋" w:cs="仿宋"/>
                <w:color w:val="auto"/>
                <w:sz w:val="24"/>
                <w:szCs w:val="24"/>
                <w:highlight w:val="none"/>
                <w:lang w:val="en-US" w:eastAsia="zh-CN"/>
              </w:rPr>
              <w:t>公序良俗、相关法律法规等</w:t>
            </w:r>
            <w:r>
              <w:rPr>
                <w:rFonts w:hint="eastAsia" w:ascii="仿宋" w:hAnsi="仿宋" w:eastAsia="仿宋" w:cs="仿宋"/>
                <w:color w:val="auto"/>
                <w:sz w:val="24"/>
                <w:szCs w:val="24"/>
                <w:highlight w:val="none"/>
              </w:rPr>
              <w:t>、规章制度或发生不当行为造成较大影的，酌情扣罚，情节严重的，扣</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分/次，予以</w:t>
            </w:r>
            <w:r>
              <w:rPr>
                <w:rFonts w:hint="eastAsia" w:ascii="仿宋" w:hAnsi="仿宋" w:eastAsia="仿宋" w:cs="仿宋"/>
                <w:color w:val="auto"/>
                <w:sz w:val="24"/>
                <w:szCs w:val="24"/>
                <w:highlight w:val="none"/>
                <w:lang w:eastAsia="zh-CN"/>
              </w:rPr>
              <w:t>替换</w:t>
            </w:r>
            <w:r>
              <w:rPr>
                <w:rFonts w:hint="eastAsia" w:ascii="仿宋" w:hAnsi="仿宋" w:eastAsia="仿宋" w:cs="仿宋"/>
                <w:color w:val="auto"/>
                <w:sz w:val="24"/>
                <w:szCs w:val="24"/>
                <w:highlight w:val="none"/>
              </w:rPr>
              <w:t>。</w:t>
            </w:r>
          </w:p>
        </w:tc>
        <w:tc>
          <w:tcPr>
            <w:tcW w:w="600" w:type="dxa"/>
            <w:tcBorders>
              <w:top w:val="single" w:color="auto" w:sz="4" w:space="0"/>
              <w:left w:val="single" w:color="auto" w:sz="4" w:space="0"/>
              <w:bottom w:val="single" w:color="auto" w:sz="4" w:space="0"/>
              <w:right w:val="single" w:color="auto" w:sz="4" w:space="0"/>
            </w:tcBorders>
            <w:vAlign w:val="center"/>
          </w:tcPr>
          <w:p w14:paraId="0AD6694D">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26E07DD0">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38038A02">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482DF05B">
            <w:pPr>
              <w:spacing w:line="360" w:lineRule="auto"/>
              <w:jc w:val="center"/>
              <w:rPr>
                <w:rFonts w:hint="eastAsia" w:ascii="仿宋" w:hAnsi="仿宋" w:eastAsia="仿宋" w:cs="仿宋"/>
                <w:color w:val="auto"/>
                <w:sz w:val="24"/>
                <w:szCs w:val="24"/>
                <w:highlight w:val="none"/>
              </w:rPr>
            </w:pPr>
          </w:p>
        </w:tc>
      </w:tr>
      <w:tr w14:paraId="60C0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681" w:type="dxa"/>
            <w:tcBorders>
              <w:left w:val="single" w:color="auto" w:sz="4" w:space="0"/>
              <w:bottom w:val="single" w:color="auto" w:sz="4" w:space="0"/>
              <w:right w:val="single" w:color="auto" w:sz="4" w:space="0"/>
            </w:tcBorders>
            <w:vAlign w:val="center"/>
          </w:tcPr>
          <w:p w14:paraId="7DF6672A">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63" w:type="dxa"/>
            <w:tcBorders>
              <w:left w:val="single" w:color="auto" w:sz="4" w:space="0"/>
              <w:bottom w:val="single" w:color="auto" w:sz="4" w:space="0"/>
              <w:right w:val="single" w:color="auto" w:sz="4" w:space="0"/>
            </w:tcBorders>
            <w:vAlign w:val="center"/>
          </w:tcPr>
          <w:p w14:paraId="0873C270">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工资及福利待遇</w:t>
            </w:r>
          </w:p>
        </w:tc>
        <w:tc>
          <w:tcPr>
            <w:tcW w:w="5782" w:type="dxa"/>
            <w:tcBorders>
              <w:top w:val="single" w:color="auto" w:sz="4" w:space="0"/>
              <w:left w:val="single" w:color="auto" w:sz="4" w:space="0"/>
              <w:bottom w:val="single" w:color="auto" w:sz="4" w:space="0"/>
              <w:right w:val="single" w:color="auto" w:sz="4" w:space="0"/>
            </w:tcBorders>
            <w:vAlign w:val="center"/>
          </w:tcPr>
          <w:p w14:paraId="7216AEE7">
            <w:pPr>
              <w:widowControl/>
              <w:spacing w:line="360" w:lineRule="auto"/>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供应商需保障相应服务人员的福利待遇不低于招标人用人需求标准</w:t>
            </w:r>
            <w:r>
              <w:rPr>
                <w:rFonts w:hint="eastAsia" w:ascii="仿宋" w:hAnsi="仿宋" w:eastAsia="仿宋" w:cs="仿宋"/>
                <w:color w:val="auto"/>
                <w:sz w:val="24"/>
                <w:szCs w:val="24"/>
                <w:highlight w:val="none"/>
              </w:rPr>
              <w:t>包括但不限于人员工资、加班费、各种社会保险、劳保、福利、食宿、交通、设备、利润、税金等费用</w:t>
            </w:r>
            <w:r>
              <w:rPr>
                <w:rFonts w:hint="eastAsia" w:ascii="仿宋" w:hAnsi="仿宋" w:eastAsia="仿宋" w:cs="仿宋"/>
                <w:color w:val="auto"/>
                <w:sz w:val="24"/>
                <w:szCs w:val="24"/>
                <w:highlight w:val="none"/>
                <w:lang w:val="en-US" w:eastAsia="zh-CN"/>
              </w:rPr>
              <w:t>均需足额发放。不按相关标准执行发放的</w:t>
            </w:r>
            <w:r>
              <w:rPr>
                <w:rFonts w:hint="eastAsia" w:ascii="仿宋" w:hAnsi="仿宋" w:eastAsia="仿宋" w:cs="仿宋"/>
                <w:color w:val="auto"/>
                <w:sz w:val="24"/>
                <w:szCs w:val="24"/>
                <w:highlight w:val="none"/>
                <w:lang w:val="en-US"/>
              </w:rPr>
              <w:t>扣</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en-US"/>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0741E764">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571DA531">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7F8EB36F">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1FD7210">
            <w:pPr>
              <w:spacing w:line="360" w:lineRule="auto"/>
              <w:jc w:val="center"/>
              <w:rPr>
                <w:rFonts w:hint="eastAsia" w:ascii="仿宋" w:hAnsi="仿宋" w:eastAsia="仿宋" w:cs="仿宋"/>
                <w:color w:val="auto"/>
                <w:sz w:val="24"/>
                <w:szCs w:val="24"/>
                <w:highlight w:val="none"/>
              </w:rPr>
            </w:pPr>
          </w:p>
        </w:tc>
      </w:tr>
      <w:tr w14:paraId="5D08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81" w:type="dxa"/>
            <w:vMerge w:val="restart"/>
            <w:tcBorders>
              <w:left w:val="single" w:color="auto" w:sz="4" w:space="0"/>
              <w:right w:val="single" w:color="auto" w:sz="4" w:space="0"/>
            </w:tcBorders>
            <w:vAlign w:val="center"/>
          </w:tcPr>
          <w:p w14:paraId="77DEE57A">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63" w:type="dxa"/>
            <w:vMerge w:val="restart"/>
            <w:tcBorders>
              <w:left w:val="single" w:color="auto" w:sz="4" w:space="0"/>
              <w:right w:val="single" w:color="auto" w:sz="4" w:space="0"/>
            </w:tcBorders>
            <w:vAlign w:val="center"/>
          </w:tcPr>
          <w:p w14:paraId="35A1B583">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5782" w:type="dxa"/>
            <w:vMerge w:val="restart"/>
            <w:tcBorders>
              <w:top w:val="single" w:color="auto" w:sz="4" w:space="0"/>
              <w:left w:val="single" w:color="auto" w:sz="4" w:space="0"/>
              <w:right w:val="single" w:color="auto" w:sz="4" w:space="0"/>
            </w:tcBorders>
            <w:vAlign w:val="center"/>
          </w:tcPr>
          <w:p w14:paraId="1E7552B5">
            <w:pPr>
              <w:widowControl/>
              <w:spacing w:line="36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根据甲方委派工作完成情况予以打分，不满足要求的扣0.5</w:t>
            </w:r>
            <w:r>
              <w:rPr>
                <w:rFonts w:hint="eastAsia" w:ascii="仿宋" w:hAnsi="仿宋" w:eastAsia="仿宋" w:cs="仿宋"/>
                <w:color w:val="auto"/>
                <w:sz w:val="24"/>
                <w:szCs w:val="24"/>
                <w:highlight w:val="none"/>
              </w:rPr>
              <w:t>分/次</w:t>
            </w:r>
          </w:p>
        </w:tc>
        <w:tc>
          <w:tcPr>
            <w:tcW w:w="600" w:type="dxa"/>
            <w:tcBorders>
              <w:top w:val="single" w:color="auto" w:sz="4" w:space="0"/>
              <w:left w:val="single" w:color="auto" w:sz="4" w:space="0"/>
              <w:bottom w:val="single" w:color="auto" w:sz="4" w:space="0"/>
              <w:right w:val="single" w:color="auto" w:sz="4" w:space="0"/>
            </w:tcBorders>
            <w:vAlign w:val="center"/>
          </w:tcPr>
          <w:p w14:paraId="63E5E6FA">
            <w:pPr>
              <w:spacing w:line="360" w:lineRule="auto"/>
              <w:jc w:val="both"/>
              <w:rPr>
                <w:rFonts w:hint="eastAsia" w:ascii="仿宋" w:hAnsi="仿宋" w:eastAsia="仿宋" w:cs="仿宋"/>
                <w:color w:val="auto"/>
                <w:sz w:val="24"/>
                <w:szCs w:val="24"/>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14:paraId="1956ACA7">
            <w:pPr>
              <w:spacing w:line="360" w:lineRule="auto"/>
              <w:jc w:val="both"/>
              <w:rPr>
                <w:rFonts w:hint="eastAsia" w:ascii="仿宋" w:hAnsi="仿宋" w:eastAsia="仿宋" w:cs="仿宋"/>
                <w:color w:val="auto"/>
                <w:sz w:val="24"/>
                <w:szCs w:val="24"/>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40A5B788">
            <w:pPr>
              <w:spacing w:line="360" w:lineRule="auto"/>
              <w:jc w:val="both"/>
              <w:rPr>
                <w:rFonts w:hint="eastAsia" w:ascii="仿宋" w:hAnsi="仿宋" w:eastAsia="仿宋" w:cs="仿宋"/>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vAlign w:val="center"/>
          </w:tcPr>
          <w:p w14:paraId="6B15EF22">
            <w:pPr>
              <w:spacing w:line="360" w:lineRule="auto"/>
              <w:jc w:val="center"/>
              <w:rPr>
                <w:rFonts w:hint="eastAsia" w:ascii="仿宋" w:hAnsi="仿宋" w:eastAsia="仿宋" w:cs="仿宋"/>
                <w:color w:val="auto"/>
                <w:sz w:val="24"/>
                <w:szCs w:val="24"/>
                <w:highlight w:val="none"/>
              </w:rPr>
            </w:pPr>
          </w:p>
        </w:tc>
      </w:tr>
      <w:tr w14:paraId="64FE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226" w:type="dxa"/>
            <w:gridSpan w:val="3"/>
            <w:tcBorders>
              <w:top w:val="single" w:color="auto" w:sz="4" w:space="0"/>
              <w:left w:val="single" w:color="auto" w:sz="4" w:space="0"/>
              <w:bottom w:val="single" w:color="auto" w:sz="4" w:space="0"/>
              <w:right w:val="single" w:color="auto" w:sz="4" w:space="0"/>
            </w:tcBorders>
            <w:vAlign w:val="center"/>
          </w:tcPr>
          <w:p w14:paraId="0D932F91">
            <w:pPr>
              <w:widowControl/>
              <w:spacing w:line="36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得</w:t>
            </w:r>
            <w:r>
              <w:rPr>
                <w:rFonts w:hint="eastAsia" w:ascii="仿宋" w:hAnsi="仿宋" w:eastAsia="仿宋" w:cs="仿宋"/>
                <w:b/>
                <w:bCs/>
                <w:color w:val="auto"/>
                <w:sz w:val="24"/>
                <w:szCs w:val="24"/>
                <w:highlight w:val="none"/>
                <w:lang w:val="en-US"/>
              </w:rPr>
              <w:t>分</w:t>
            </w:r>
          </w:p>
        </w:tc>
        <w:tc>
          <w:tcPr>
            <w:tcW w:w="2365" w:type="dxa"/>
            <w:gridSpan w:val="4"/>
            <w:tcBorders>
              <w:top w:val="single" w:color="auto" w:sz="4" w:space="0"/>
              <w:left w:val="single" w:color="auto" w:sz="4" w:space="0"/>
              <w:bottom w:val="single" w:color="auto" w:sz="4" w:space="0"/>
              <w:right w:val="single" w:color="auto" w:sz="4" w:space="0"/>
            </w:tcBorders>
            <w:vAlign w:val="center"/>
          </w:tcPr>
          <w:p w14:paraId="269719FE">
            <w:pPr>
              <w:widowControl/>
              <w:spacing w:line="360" w:lineRule="auto"/>
              <w:textAlignment w:val="center"/>
              <w:rPr>
                <w:rFonts w:hint="eastAsia" w:ascii="仿宋" w:hAnsi="仿宋" w:eastAsia="仿宋" w:cs="仿宋"/>
                <w:color w:val="auto"/>
                <w:sz w:val="24"/>
                <w:szCs w:val="24"/>
                <w:highlight w:val="none"/>
                <w:lang w:val="en-US"/>
              </w:rPr>
            </w:pPr>
          </w:p>
        </w:tc>
      </w:tr>
      <w:tr w14:paraId="6FF0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591" w:type="dxa"/>
            <w:gridSpan w:val="7"/>
            <w:tcBorders>
              <w:top w:val="single" w:color="auto" w:sz="4" w:space="0"/>
              <w:left w:val="single" w:color="auto" w:sz="4" w:space="0"/>
              <w:bottom w:val="single" w:color="auto" w:sz="4" w:space="0"/>
              <w:right w:val="single" w:color="auto" w:sz="4" w:space="0"/>
            </w:tcBorders>
            <w:vAlign w:val="center"/>
          </w:tcPr>
          <w:p w14:paraId="32DBCCE2">
            <w:pPr>
              <w:widowControl/>
              <w:spacing w:line="360"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乙方负责人签字：                         甲方负责人签字：</w:t>
            </w:r>
          </w:p>
        </w:tc>
      </w:tr>
    </w:tbl>
    <w:p w14:paraId="5BDE51AC">
      <w:pPr>
        <w:widowControl w:val="0"/>
        <w:numPr>
          <w:ilvl w:val="0"/>
          <w:numId w:val="0"/>
        </w:numPr>
        <w:wordWrap/>
        <w:adjustRightInd/>
        <w:snapToGrid/>
        <w:spacing w:line="360" w:lineRule="auto"/>
        <w:ind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本考核要求采用百分制考核法，即按考核项对应分值选行扣分(如本期考核项被扣除5分，即本期得分为 95分)，每季度考核一次，一年取一次平均分，并按以下原则评定考核等级:</w:t>
      </w:r>
    </w:p>
    <w:p w14:paraId="2E467624">
      <w:pPr>
        <w:widowControl w:val="0"/>
        <w:numPr>
          <w:ilvl w:val="0"/>
          <w:numId w:val="0"/>
        </w:numPr>
        <w:wordWrap/>
        <w:adjustRightInd/>
        <w:snapToGrid/>
        <w:spacing w:line="360" w:lineRule="auto"/>
        <w:ind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（1）年度考核平均分高于90分(含)视为优秀，考核结果出具后进行续签下一年度合同；</w:t>
      </w:r>
    </w:p>
    <w:p w14:paraId="0EDE2D8F">
      <w:pPr>
        <w:widowControl w:val="0"/>
        <w:numPr>
          <w:ilvl w:val="0"/>
          <w:numId w:val="0"/>
        </w:numPr>
        <w:wordWrap/>
        <w:adjustRightInd/>
        <w:snapToGrid/>
        <w:spacing w:line="360" w:lineRule="auto"/>
        <w:ind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（2）季度考核分高于90分(含)视为优秀，全额支付当季度费用；</w:t>
      </w:r>
    </w:p>
    <w:p w14:paraId="06CF2C2E">
      <w:pPr>
        <w:widowControl w:val="0"/>
        <w:numPr>
          <w:ilvl w:val="0"/>
          <w:numId w:val="0"/>
        </w:numPr>
        <w:wordWrap/>
        <w:adjustRightInd/>
        <w:snapToGrid/>
        <w:spacing w:line="360" w:lineRule="auto"/>
        <w:ind w:right="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（3）考核分高于80分(含)但低于 90分(不含)视为良好，以90分为基础，每低1分扣除当季度总费用0.5%（89.1-89.9均视为89分，其他分数按照此标准取值），80分扣除当季度总费用5%，低于80分（不含）高于70分（含）扣除当季度10%；低于70分（不含）扣除当季度20%的费用；低于50分扣除履约保证金的全部费用。</w:t>
      </w:r>
    </w:p>
    <w:p w14:paraId="2D75481B">
      <w:pPr>
        <w:pStyle w:val="14"/>
        <w:widowControl/>
        <w:wordWrap/>
        <w:adjustRightInd/>
        <w:snapToGri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SA"/>
        </w:rPr>
        <w:t>分低于90分、累计月度考核三次低于80分时两者违反任意一条时，甲方有权提前终止合同，不再续签合同。</w:t>
      </w:r>
    </w:p>
    <w:p w14:paraId="4CAC22EE">
      <w:pPr>
        <w:spacing w:line="420" w:lineRule="exact"/>
        <w:jc w:val="left"/>
        <w:rPr>
          <w:rFonts w:hint="eastAsia" w:ascii="仿宋" w:hAnsi="仿宋" w:eastAsia="仿宋" w:cs="仿宋"/>
          <w:b w:val="0"/>
          <w:bCs w:val="0"/>
          <w:sz w:val="24"/>
          <w:szCs w:val="24"/>
        </w:rPr>
      </w:pPr>
      <w:bookmarkStart w:id="1" w:name="_GoBack"/>
      <w:bookmarkEnd w:id="1"/>
    </w:p>
    <w:p w14:paraId="44E9DF88">
      <w:pPr>
        <w:adjustRightInd w:val="0"/>
        <w:snapToGrid w:val="0"/>
        <w:spacing w:line="500" w:lineRule="exact"/>
        <w:ind w:firstLine="420" w:firstLineChars="200"/>
        <w:rPr>
          <w:rFonts w:ascii="新宋体" w:hAnsi="新宋体" w:eastAsia="新宋体"/>
          <w:szCs w:val="21"/>
          <w:u w:val="single"/>
        </w:rPr>
      </w:pPr>
    </w:p>
    <w:sectPr>
      <w:footerReference r:id="rId3" w:type="default"/>
      <w:footerReference r:id="rId4" w:type="even"/>
      <w:pgSz w:w="11906" w:h="16838"/>
      <w:pgMar w:top="1588" w:right="1361" w:bottom="1644" w:left="136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95ED">
    <w:pPr>
      <w:pStyle w:val="12"/>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112A">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Times New Roman" w:cs="Times New Roman"/>
        <w:b/>
        <w:i w:val="0"/>
        <w:iCs w:val="0"/>
        <w:caps w:val="0"/>
        <w:smallCaps w:val="0"/>
        <w:strike w:val="0"/>
        <w:dstrike w:val="0"/>
        <w:color w:val="000000"/>
        <w:spacing w:val="0"/>
        <w:position w:val="0"/>
        <w:sz w:val="21"/>
        <w:szCs w:val="21"/>
        <w:u w:val="none"/>
      </w:rPr>
    </w:lvl>
    <w:lvl w:ilvl="1" w:tentative="0">
      <w:start w:val="1"/>
      <w:numFmt w:val="lowerLetter"/>
      <w:lvlText w:val="%2)"/>
      <w:lvlJc w:val="left"/>
      <w:pPr>
        <w:tabs>
          <w:tab w:val="left" w:pos="1149"/>
        </w:tabs>
        <w:ind w:left="1149" w:hanging="420"/>
      </w:pPr>
      <w:rPr>
        <w:rFonts w:cs="Times New Roman"/>
      </w:rPr>
    </w:lvl>
    <w:lvl w:ilvl="2" w:tentative="0">
      <w:start w:val="2"/>
      <w:numFmt w:val="japaneseCounting"/>
      <w:lvlText w:val="(%3)"/>
      <w:lvlJc w:val="left"/>
      <w:pPr>
        <w:tabs>
          <w:tab w:val="left" w:pos="1569"/>
        </w:tabs>
        <w:ind w:left="1569" w:hanging="420"/>
      </w:pPr>
      <w:rPr>
        <w:rFonts w:cs="Times New Roman"/>
      </w:rPr>
    </w:lvl>
    <w:lvl w:ilvl="3" w:tentative="0">
      <w:start w:val="1"/>
      <w:numFmt w:val="japaneseCounting"/>
      <w:lvlText w:val="（%4）"/>
      <w:lvlJc w:val="left"/>
      <w:pPr>
        <w:tabs>
          <w:tab w:val="left" w:pos="2289"/>
        </w:tabs>
        <w:ind w:left="2289" w:hanging="720"/>
      </w:pPr>
      <w:rPr>
        <w:rFonts w:cs="Times New Roman"/>
      </w:rPr>
    </w:lvl>
    <w:lvl w:ilvl="4" w:tentative="0">
      <w:start w:val="3"/>
      <w:numFmt w:val="japaneseCounting"/>
      <w:lvlText w:val="%5、"/>
      <w:lvlJc w:val="left"/>
      <w:pPr>
        <w:tabs>
          <w:tab w:val="left" w:pos="2409"/>
        </w:tabs>
        <w:ind w:left="2409" w:hanging="420"/>
      </w:pPr>
      <w:rPr>
        <w:rFonts w:cs="Times New Roman"/>
      </w:r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rPr>
        <w:rFonts w:cs="Times New Roman"/>
      </w:rPr>
    </w:lvl>
    <w:lvl w:ilvl="7" w:tentative="0">
      <w:start w:val="1"/>
      <w:numFmt w:val="lowerLetter"/>
      <w:lvlText w:val="%8)"/>
      <w:lvlJc w:val="left"/>
      <w:pPr>
        <w:tabs>
          <w:tab w:val="left" w:pos="3669"/>
        </w:tabs>
        <w:ind w:left="3669" w:hanging="420"/>
      </w:pPr>
      <w:rPr>
        <w:rFonts w:cs="Times New Roman"/>
      </w:rPr>
    </w:lvl>
    <w:lvl w:ilvl="8" w:tentative="0">
      <w:start w:val="1"/>
      <w:numFmt w:val="lowerRoman"/>
      <w:lvlText w:val="%9."/>
      <w:lvlJc w:val="right"/>
      <w:pPr>
        <w:tabs>
          <w:tab w:val="left" w:pos="4089"/>
        </w:tabs>
        <w:ind w:left="408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MTk3YmMxOTE1YjU0MjAxYjQ0ODQ1ZTVjMWQwNTkifQ=="/>
    <w:docVar w:name="KSO_WPS_MARK_KEY" w:val="862ab240-1c7a-42b9-97f7-8097d904d04f"/>
  </w:docVars>
  <w:rsids>
    <w:rsidRoot w:val="006F0877"/>
    <w:rsid w:val="00021224"/>
    <w:rsid w:val="00023563"/>
    <w:rsid w:val="000311FD"/>
    <w:rsid w:val="00064381"/>
    <w:rsid w:val="00073752"/>
    <w:rsid w:val="00077A65"/>
    <w:rsid w:val="00083CDD"/>
    <w:rsid w:val="000918DD"/>
    <w:rsid w:val="00092F4E"/>
    <w:rsid w:val="000B031B"/>
    <w:rsid w:val="000C0F74"/>
    <w:rsid w:val="000C3D7C"/>
    <w:rsid w:val="000C6507"/>
    <w:rsid w:val="000D0C5A"/>
    <w:rsid w:val="000D79D6"/>
    <w:rsid w:val="000E28A3"/>
    <w:rsid w:val="000F24AF"/>
    <w:rsid w:val="000F58B1"/>
    <w:rsid w:val="00107E66"/>
    <w:rsid w:val="001300DC"/>
    <w:rsid w:val="001444DD"/>
    <w:rsid w:val="001540ED"/>
    <w:rsid w:val="00154DF5"/>
    <w:rsid w:val="00155656"/>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6334"/>
    <w:rsid w:val="001D73CE"/>
    <w:rsid w:val="001E59BD"/>
    <w:rsid w:val="001F0BAE"/>
    <w:rsid w:val="0021449A"/>
    <w:rsid w:val="0024056D"/>
    <w:rsid w:val="00246ABB"/>
    <w:rsid w:val="0025079B"/>
    <w:rsid w:val="00251D5B"/>
    <w:rsid w:val="002529DB"/>
    <w:rsid w:val="00265E4D"/>
    <w:rsid w:val="0026741D"/>
    <w:rsid w:val="002678A2"/>
    <w:rsid w:val="00280777"/>
    <w:rsid w:val="00286A83"/>
    <w:rsid w:val="00286AAF"/>
    <w:rsid w:val="00287FEE"/>
    <w:rsid w:val="00295E38"/>
    <w:rsid w:val="002964A8"/>
    <w:rsid w:val="002C4305"/>
    <w:rsid w:val="002E3751"/>
    <w:rsid w:val="00321278"/>
    <w:rsid w:val="00322903"/>
    <w:rsid w:val="00331CDE"/>
    <w:rsid w:val="00340773"/>
    <w:rsid w:val="003507DB"/>
    <w:rsid w:val="003778FE"/>
    <w:rsid w:val="0039420F"/>
    <w:rsid w:val="00397097"/>
    <w:rsid w:val="003B2BD7"/>
    <w:rsid w:val="003C6401"/>
    <w:rsid w:val="003C77ED"/>
    <w:rsid w:val="003D0FAE"/>
    <w:rsid w:val="003F603E"/>
    <w:rsid w:val="003F6DB7"/>
    <w:rsid w:val="00402F07"/>
    <w:rsid w:val="0040525A"/>
    <w:rsid w:val="00405CAF"/>
    <w:rsid w:val="004066EE"/>
    <w:rsid w:val="004141FE"/>
    <w:rsid w:val="00427428"/>
    <w:rsid w:val="004335E3"/>
    <w:rsid w:val="00433722"/>
    <w:rsid w:val="0046019E"/>
    <w:rsid w:val="00471457"/>
    <w:rsid w:val="00473949"/>
    <w:rsid w:val="00481476"/>
    <w:rsid w:val="004956AF"/>
    <w:rsid w:val="004978DB"/>
    <w:rsid w:val="004A0291"/>
    <w:rsid w:val="004B0115"/>
    <w:rsid w:val="004D4E89"/>
    <w:rsid w:val="004E060F"/>
    <w:rsid w:val="004E1E58"/>
    <w:rsid w:val="004F655B"/>
    <w:rsid w:val="00504F13"/>
    <w:rsid w:val="0050595D"/>
    <w:rsid w:val="00506D54"/>
    <w:rsid w:val="00525C0A"/>
    <w:rsid w:val="00530E90"/>
    <w:rsid w:val="00537974"/>
    <w:rsid w:val="005408BD"/>
    <w:rsid w:val="00552A9C"/>
    <w:rsid w:val="005545EC"/>
    <w:rsid w:val="00561A6F"/>
    <w:rsid w:val="00566C4A"/>
    <w:rsid w:val="005B1E45"/>
    <w:rsid w:val="005C009E"/>
    <w:rsid w:val="005C0A71"/>
    <w:rsid w:val="005C0CCF"/>
    <w:rsid w:val="005F622B"/>
    <w:rsid w:val="005F65BD"/>
    <w:rsid w:val="00601EDD"/>
    <w:rsid w:val="00606FCB"/>
    <w:rsid w:val="00607AAD"/>
    <w:rsid w:val="006100E1"/>
    <w:rsid w:val="00611111"/>
    <w:rsid w:val="00626E7E"/>
    <w:rsid w:val="0063710F"/>
    <w:rsid w:val="0064587D"/>
    <w:rsid w:val="00653D4D"/>
    <w:rsid w:val="006678D9"/>
    <w:rsid w:val="00674484"/>
    <w:rsid w:val="0068268F"/>
    <w:rsid w:val="00687581"/>
    <w:rsid w:val="00692769"/>
    <w:rsid w:val="006A72B1"/>
    <w:rsid w:val="006C6381"/>
    <w:rsid w:val="006D049B"/>
    <w:rsid w:val="006D7DD7"/>
    <w:rsid w:val="006E6DC5"/>
    <w:rsid w:val="006F0877"/>
    <w:rsid w:val="006F3ECC"/>
    <w:rsid w:val="00721F76"/>
    <w:rsid w:val="00725D7C"/>
    <w:rsid w:val="00765A2F"/>
    <w:rsid w:val="00773C97"/>
    <w:rsid w:val="007B0C95"/>
    <w:rsid w:val="007B2CBB"/>
    <w:rsid w:val="007B617A"/>
    <w:rsid w:val="007D4985"/>
    <w:rsid w:val="007F38B3"/>
    <w:rsid w:val="007F58C3"/>
    <w:rsid w:val="008020B2"/>
    <w:rsid w:val="0080466B"/>
    <w:rsid w:val="00812139"/>
    <w:rsid w:val="00814F5F"/>
    <w:rsid w:val="00823618"/>
    <w:rsid w:val="00836CE1"/>
    <w:rsid w:val="00840D25"/>
    <w:rsid w:val="00840D73"/>
    <w:rsid w:val="00844644"/>
    <w:rsid w:val="00861013"/>
    <w:rsid w:val="008648F3"/>
    <w:rsid w:val="0087065E"/>
    <w:rsid w:val="0087218A"/>
    <w:rsid w:val="00880915"/>
    <w:rsid w:val="00891EF2"/>
    <w:rsid w:val="0089598D"/>
    <w:rsid w:val="00896E24"/>
    <w:rsid w:val="008C58C5"/>
    <w:rsid w:val="008E73BC"/>
    <w:rsid w:val="008F199C"/>
    <w:rsid w:val="008F4E3B"/>
    <w:rsid w:val="00902F01"/>
    <w:rsid w:val="0090340B"/>
    <w:rsid w:val="00910B12"/>
    <w:rsid w:val="00917BE6"/>
    <w:rsid w:val="0092280E"/>
    <w:rsid w:val="00924EB1"/>
    <w:rsid w:val="0092766B"/>
    <w:rsid w:val="00927AE6"/>
    <w:rsid w:val="00932CFC"/>
    <w:rsid w:val="00945456"/>
    <w:rsid w:val="00962109"/>
    <w:rsid w:val="00970BA3"/>
    <w:rsid w:val="00975ECD"/>
    <w:rsid w:val="0097787E"/>
    <w:rsid w:val="00987C9E"/>
    <w:rsid w:val="00994A11"/>
    <w:rsid w:val="009A09E5"/>
    <w:rsid w:val="009B1B0C"/>
    <w:rsid w:val="009C7390"/>
    <w:rsid w:val="009D0BEE"/>
    <w:rsid w:val="00A02CC7"/>
    <w:rsid w:val="00A07C44"/>
    <w:rsid w:val="00A21567"/>
    <w:rsid w:val="00A55C7D"/>
    <w:rsid w:val="00A63E98"/>
    <w:rsid w:val="00A71836"/>
    <w:rsid w:val="00A7297B"/>
    <w:rsid w:val="00A75F83"/>
    <w:rsid w:val="00A8253E"/>
    <w:rsid w:val="00A855A9"/>
    <w:rsid w:val="00A91983"/>
    <w:rsid w:val="00AA13CF"/>
    <w:rsid w:val="00AA50E3"/>
    <w:rsid w:val="00AF280F"/>
    <w:rsid w:val="00AF3EC7"/>
    <w:rsid w:val="00AF6CC0"/>
    <w:rsid w:val="00AF71DD"/>
    <w:rsid w:val="00B20E34"/>
    <w:rsid w:val="00B30010"/>
    <w:rsid w:val="00B4167E"/>
    <w:rsid w:val="00B517EC"/>
    <w:rsid w:val="00B532F2"/>
    <w:rsid w:val="00B779AD"/>
    <w:rsid w:val="00B87D21"/>
    <w:rsid w:val="00BB2677"/>
    <w:rsid w:val="00BB4B73"/>
    <w:rsid w:val="00BE63D2"/>
    <w:rsid w:val="00C0392D"/>
    <w:rsid w:val="00C34280"/>
    <w:rsid w:val="00C43ED0"/>
    <w:rsid w:val="00C5094F"/>
    <w:rsid w:val="00C728F5"/>
    <w:rsid w:val="00C92D2A"/>
    <w:rsid w:val="00C97E24"/>
    <w:rsid w:val="00CB2D28"/>
    <w:rsid w:val="00CB6081"/>
    <w:rsid w:val="00CB7952"/>
    <w:rsid w:val="00CC0705"/>
    <w:rsid w:val="00CC274B"/>
    <w:rsid w:val="00CD2D8D"/>
    <w:rsid w:val="00CF4EA2"/>
    <w:rsid w:val="00D00A0B"/>
    <w:rsid w:val="00D15600"/>
    <w:rsid w:val="00D26AC0"/>
    <w:rsid w:val="00D3294B"/>
    <w:rsid w:val="00D35879"/>
    <w:rsid w:val="00D373A6"/>
    <w:rsid w:val="00D41BDD"/>
    <w:rsid w:val="00D55150"/>
    <w:rsid w:val="00D6434D"/>
    <w:rsid w:val="00D73591"/>
    <w:rsid w:val="00D74F8A"/>
    <w:rsid w:val="00D84530"/>
    <w:rsid w:val="00D85F64"/>
    <w:rsid w:val="00DC08EA"/>
    <w:rsid w:val="00DC32A9"/>
    <w:rsid w:val="00DC3502"/>
    <w:rsid w:val="00DC40DF"/>
    <w:rsid w:val="00DD36E8"/>
    <w:rsid w:val="00DD464D"/>
    <w:rsid w:val="00DD4C65"/>
    <w:rsid w:val="00DD7DD1"/>
    <w:rsid w:val="00DF4B7B"/>
    <w:rsid w:val="00E05415"/>
    <w:rsid w:val="00E20034"/>
    <w:rsid w:val="00E36214"/>
    <w:rsid w:val="00E400D5"/>
    <w:rsid w:val="00E44747"/>
    <w:rsid w:val="00E608EB"/>
    <w:rsid w:val="00E62F47"/>
    <w:rsid w:val="00E66948"/>
    <w:rsid w:val="00E717AA"/>
    <w:rsid w:val="00E725FF"/>
    <w:rsid w:val="00E74279"/>
    <w:rsid w:val="00E81A9A"/>
    <w:rsid w:val="00E860A2"/>
    <w:rsid w:val="00EB34AE"/>
    <w:rsid w:val="00EC2D15"/>
    <w:rsid w:val="00ED0482"/>
    <w:rsid w:val="00EE281D"/>
    <w:rsid w:val="00F32EBD"/>
    <w:rsid w:val="00F37314"/>
    <w:rsid w:val="00F41923"/>
    <w:rsid w:val="00F44140"/>
    <w:rsid w:val="00F53627"/>
    <w:rsid w:val="00F5458A"/>
    <w:rsid w:val="00F560D0"/>
    <w:rsid w:val="00F61373"/>
    <w:rsid w:val="00F66D66"/>
    <w:rsid w:val="00F67528"/>
    <w:rsid w:val="00F75DE4"/>
    <w:rsid w:val="00F80F1F"/>
    <w:rsid w:val="00F91DED"/>
    <w:rsid w:val="00F97CF8"/>
    <w:rsid w:val="00FA2D23"/>
    <w:rsid w:val="00FA681C"/>
    <w:rsid w:val="00FA7052"/>
    <w:rsid w:val="00FB5A07"/>
    <w:rsid w:val="00FC3796"/>
    <w:rsid w:val="00FC4248"/>
    <w:rsid w:val="00FE2C0D"/>
    <w:rsid w:val="00FE46D0"/>
    <w:rsid w:val="00FF6893"/>
    <w:rsid w:val="015770F0"/>
    <w:rsid w:val="02442FC7"/>
    <w:rsid w:val="027852C1"/>
    <w:rsid w:val="02E14C48"/>
    <w:rsid w:val="04DB75E3"/>
    <w:rsid w:val="051F7792"/>
    <w:rsid w:val="056227EF"/>
    <w:rsid w:val="081E6D6D"/>
    <w:rsid w:val="0A565C1B"/>
    <w:rsid w:val="0ACB174A"/>
    <w:rsid w:val="0C9359A4"/>
    <w:rsid w:val="0C991CC2"/>
    <w:rsid w:val="0FFAA126"/>
    <w:rsid w:val="10962E51"/>
    <w:rsid w:val="10F040B0"/>
    <w:rsid w:val="12472F96"/>
    <w:rsid w:val="13E81D3C"/>
    <w:rsid w:val="17002882"/>
    <w:rsid w:val="18A92DB5"/>
    <w:rsid w:val="1A037B71"/>
    <w:rsid w:val="1A554870"/>
    <w:rsid w:val="1BFA4115"/>
    <w:rsid w:val="1DC236BD"/>
    <w:rsid w:val="1FBF5987"/>
    <w:rsid w:val="23C36282"/>
    <w:rsid w:val="29650C85"/>
    <w:rsid w:val="2AC577A9"/>
    <w:rsid w:val="2CFDEC3D"/>
    <w:rsid w:val="2D8A1464"/>
    <w:rsid w:val="2FF78ACD"/>
    <w:rsid w:val="301434D0"/>
    <w:rsid w:val="33E270A3"/>
    <w:rsid w:val="370B14F8"/>
    <w:rsid w:val="38BD0847"/>
    <w:rsid w:val="395C4A86"/>
    <w:rsid w:val="3A286EDC"/>
    <w:rsid w:val="3C7F4027"/>
    <w:rsid w:val="3DBA2D6A"/>
    <w:rsid w:val="3EA54C07"/>
    <w:rsid w:val="3ECE6247"/>
    <w:rsid w:val="3F1D1D3F"/>
    <w:rsid w:val="3FFFE3D5"/>
    <w:rsid w:val="402625C2"/>
    <w:rsid w:val="412F2E76"/>
    <w:rsid w:val="41770B29"/>
    <w:rsid w:val="44890AEF"/>
    <w:rsid w:val="48812E9A"/>
    <w:rsid w:val="49EE4177"/>
    <w:rsid w:val="4A4B02C6"/>
    <w:rsid w:val="4B6A130B"/>
    <w:rsid w:val="4E4E78CA"/>
    <w:rsid w:val="4F115B21"/>
    <w:rsid w:val="4F8922EB"/>
    <w:rsid w:val="4FB77C3C"/>
    <w:rsid w:val="501B646A"/>
    <w:rsid w:val="50641786"/>
    <w:rsid w:val="50D94A0D"/>
    <w:rsid w:val="53253909"/>
    <w:rsid w:val="56713631"/>
    <w:rsid w:val="57967CC2"/>
    <w:rsid w:val="581E5446"/>
    <w:rsid w:val="5B276A1F"/>
    <w:rsid w:val="5B5915B9"/>
    <w:rsid w:val="5BBF1A8D"/>
    <w:rsid w:val="5BF2352B"/>
    <w:rsid w:val="5CB12E81"/>
    <w:rsid w:val="5D9F79E0"/>
    <w:rsid w:val="5DBFE6CB"/>
    <w:rsid w:val="5E053B1C"/>
    <w:rsid w:val="5EFB6B15"/>
    <w:rsid w:val="5F5DEEF0"/>
    <w:rsid w:val="5F7B0613"/>
    <w:rsid w:val="6098238E"/>
    <w:rsid w:val="60F456CC"/>
    <w:rsid w:val="61A67C66"/>
    <w:rsid w:val="62C30522"/>
    <w:rsid w:val="6419325F"/>
    <w:rsid w:val="64605AD4"/>
    <w:rsid w:val="64A70DF2"/>
    <w:rsid w:val="6611613F"/>
    <w:rsid w:val="66B03C46"/>
    <w:rsid w:val="67F5AD5B"/>
    <w:rsid w:val="68A1651C"/>
    <w:rsid w:val="691251C6"/>
    <w:rsid w:val="6BC749A9"/>
    <w:rsid w:val="6BD33775"/>
    <w:rsid w:val="6BFFC72E"/>
    <w:rsid w:val="6C7FD9C9"/>
    <w:rsid w:val="6DD37865"/>
    <w:rsid w:val="6EE05E54"/>
    <w:rsid w:val="6F7939E7"/>
    <w:rsid w:val="6FC9F4BB"/>
    <w:rsid w:val="6FEF5868"/>
    <w:rsid w:val="707331AA"/>
    <w:rsid w:val="712C6677"/>
    <w:rsid w:val="72292BA4"/>
    <w:rsid w:val="74BFF378"/>
    <w:rsid w:val="75FB23CF"/>
    <w:rsid w:val="7747C58A"/>
    <w:rsid w:val="7775E090"/>
    <w:rsid w:val="77FDC161"/>
    <w:rsid w:val="788A7D09"/>
    <w:rsid w:val="78D56BC9"/>
    <w:rsid w:val="791E2AF0"/>
    <w:rsid w:val="79F006D6"/>
    <w:rsid w:val="7A7F1594"/>
    <w:rsid w:val="7BEA5002"/>
    <w:rsid w:val="7BF55B1A"/>
    <w:rsid w:val="7BFA7193"/>
    <w:rsid w:val="7CF3DF71"/>
    <w:rsid w:val="7CF76844"/>
    <w:rsid w:val="7D500D30"/>
    <w:rsid w:val="7DBBA619"/>
    <w:rsid w:val="7DFF8764"/>
    <w:rsid w:val="7E341375"/>
    <w:rsid w:val="7E774BE7"/>
    <w:rsid w:val="7EFD2AA6"/>
    <w:rsid w:val="7F6C0F56"/>
    <w:rsid w:val="7F7537CA"/>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autoRedefine/>
    <w:qFormat/>
    <w:uiPriority w:val="99"/>
    <w:pPr>
      <w:keepNext/>
      <w:keepLines/>
      <w:numPr>
        <w:ilvl w:val="0"/>
        <w:numId w:val="1"/>
      </w:numPr>
      <w:tabs>
        <w:tab w:val="left" w:pos="706"/>
        <w:tab w:val="clear" w:pos="1110"/>
      </w:tabs>
      <w:spacing w:line="360" w:lineRule="auto"/>
      <w:outlineLvl w:val="1"/>
    </w:pPr>
    <w:rPr>
      <w:rFonts w:ascii="Arial" w:hAnsi="Arial" w:cs="Arial"/>
      <w:b/>
      <w:bCs/>
      <w:szCs w:val="32"/>
    </w:rPr>
  </w:style>
  <w:style w:type="character" w:default="1" w:styleId="17">
    <w:name w:val="Default Paragraph Font"/>
    <w:autoRedefine/>
    <w:semiHidden/>
    <w:qFormat/>
    <w:uiPriority w:val="99"/>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5"/>
    <w:autoRedefine/>
    <w:qFormat/>
    <w:locked/>
    <w:uiPriority w:val="99"/>
    <w:pPr>
      <w:jc w:val="left"/>
    </w:pPr>
  </w:style>
  <w:style w:type="paragraph" w:styleId="4">
    <w:name w:val="Body Text"/>
    <w:basedOn w:val="1"/>
    <w:next w:val="5"/>
    <w:link w:val="26"/>
    <w:autoRedefine/>
    <w:qFormat/>
    <w:locked/>
    <w:uiPriority w:val="99"/>
    <w:pPr>
      <w:autoSpaceDE w:val="0"/>
      <w:autoSpaceDN w:val="0"/>
      <w:spacing w:line="360" w:lineRule="auto"/>
    </w:pPr>
    <w:rPr>
      <w:rFonts w:ascii="宋体" w:hAnsi="Arial" w:cs="Arial"/>
      <w:sz w:val="24"/>
      <w:szCs w:val="21"/>
      <w:lang w:val="zh-CN"/>
    </w:rPr>
  </w:style>
  <w:style w:type="paragraph" w:styleId="5">
    <w:name w:val="Body Text First Indent"/>
    <w:basedOn w:val="4"/>
    <w:next w:val="6"/>
    <w:link w:val="27"/>
    <w:autoRedefine/>
    <w:qFormat/>
    <w:locked/>
    <w:uiPriority w:val="99"/>
    <w:pPr>
      <w:ind w:firstLine="420"/>
    </w:pPr>
    <w:rPr>
      <w:rFonts w:hAnsi="Calibri" w:cs="Times New Roman"/>
      <w:szCs w:val="20"/>
    </w:rPr>
  </w:style>
  <w:style w:type="paragraph" w:styleId="6">
    <w:name w:val="toc 6"/>
    <w:basedOn w:val="1"/>
    <w:next w:val="1"/>
    <w:qFormat/>
    <w:uiPriority w:val="0"/>
    <w:pPr>
      <w:ind w:left="2100" w:leftChars="1000"/>
    </w:pPr>
  </w:style>
  <w:style w:type="paragraph" w:styleId="7">
    <w:name w:val="Body Text Indent"/>
    <w:basedOn w:val="1"/>
    <w:next w:val="8"/>
    <w:link w:val="28"/>
    <w:autoRedefine/>
    <w:qFormat/>
    <w:locked/>
    <w:uiPriority w:val="99"/>
    <w:pPr>
      <w:spacing w:line="480" w:lineRule="exact"/>
      <w:ind w:firstLine="480" w:firstLineChars="200"/>
    </w:pPr>
    <w:rPr>
      <w:rFonts w:ascii="宋体" w:hAnsi="宋体"/>
      <w:sz w:val="24"/>
    </w:rPr>
  </w:style>
  <w:style w:type="paragraph" w:customStyle="1" w:styleId="8">
    <w:name w:val="正文文本首行缩进 21"/>
    <w:basedOn w:val="7"/>
    <w:autoRedefine/>
    <w:qFormat/>
    <w:uiPriority w:val="99"/>
    <w:pPr>
      <w:spacing w:line="200" w:lineRule="atLeast"/>
      <w:ind w:firstLine="420"/>
    </w:pPr>
    <w:rPr>
      <w:rFonts w:hAnsi="Courier New"/>
      <w:spacing w:val="-4"/>
      <w:sz w:val="18"/>
    </w:rPr>
  </w:style>
  <w:style w:type="paragraph" w:styleId="9">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10">
    <w:name w:val="Date"/>
    <w:basedOn w:val="1"/>
    <w:next w:val="1"/>
    <w:link w:val="29"/>
    <w:autoRedefine/>
    <w:qFormat/>
    <w:uiPriority w:val="99"/>
    <w:pPr>
      <w:ind w:left="100" w:leftChars="2500"/>
    </w:pPr>
  </w:style>
  <w:style w:type="paragraph" w:styleId="11">
    <w:name w:val="Balloon Text"/>
    <w:basedOn w:val="1"/>
    <w:link w:val="30"/>
    <w:autoRedefine/>
    <w:semiHidden/>
    <w:qFormat/>
    <w:uiPriority w:val="99"/>
    <w:rPr>
      <w:sz w:val="18"/>
      <w:szCs w:val="18"/>
    </w:rPr>
  </w:style>
  <w:style w:type="paragraph" w:styleId="12">
    <w:name w:val="footer"/>
    <w:basedOn w:val="1"/>
    <w:link w:val="31"/>
    <w:autoRedefine/>
    <w:qFormat/>
    <w:uiPriority w:val="99"/>
    <w:pPr>
      <w:tabs>
        <w:tab w:val="center" w:pos="4153"/>
        <w:tab w:val="right" w:pos="8306"/>
      </w:tabs>
      <w:snapToGrid w:val="0"/>
      <w:jc w:val="left"/>
    </w:pPr>
    <w:rPr>
      <w:sz w:val="18"/>
      <w:szCs w:val="18"/>
    </w:rPr>
  </w:style>
  <w:style w:type="paragraph" w:styleId="13">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table" w:styleId="16">
    <w:name w:val="Table Grid"/>
    <w:basedOn w:val="15"/>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autoRedefine/>
    <w:qFormat/>
    <w:uiPriority w:val="99"/>
    <w:rPr>
      <w:rFonts w:cs="Times New Roman"/>
    </w:rPr>
  </w:style>
  <w:style w:type="paragraph" w:customStyle="1" w:styleId="19">
    <w:name w:val="[Normal]"/>
    <w:autoRedefine/>
    <w:qFormat/>
    <w:uiPriority w:val="0"/>
    <w:rPr>
      <w:rFonts w:ascii="宋体" w:hAnsi="宋体" w:eastAsia="宋体" w:cs="Times New Roman"/>
      <w:sz w:val="24"/>
      <w:szCs w:val="22"/>
      <w:lang w:val="zh-CN" w:eastAsia="zh-CN" w:bidi="ar-SA"/>
    </w:rPr>
  </w:style>
  <w:style w:type="paragraph" w:customStyle="1" w:styleId="20">
    <w:name w:val="正文文本首行缩进 2"/>
    <w:basedOn w:val="21"/>
    <w:autoRedefine/>
    <w:qFormat/>
    <w:uiPriority w:val="99"/>
    <w:pPr>
      <w:tabs>
        <w:tab w:val="right" w:leader="dot" w:pos="8268"/>
      </w:tabs>
      <w:spacing w:line="200" w:lineRule="atLeast"/>
      <w:ind w:firstLine="420"/>
    </w:pPr>
    <w:rPr>
      <w:rFonts w:ascii="宋体"/>
      <w:spacing w:val="-4"/>
      <w:sz w:val="18"/>
    </w:rPr>
  </w:style>
  <w:style w:type="paragraph" w:customStyle="1" w:styleId="21">
    <w:name w:val="正文缩进1"/>
    <w:basedOn w:val="22"/>
    <w:next w:val="20"/>
    <w:autoRedefine/>
    <w:qFormat/>
    <w:uiPriority w:val="99"/>
    <w:pPr>
      <w:tabs>
        <w:tab w:val="right" w:leader="dot" w:pos="8268"/>
      </w:tabs>
      <w:autoSpaceDE w:val="0"/>
      <w:autoSpaceDN w:val="0"/>
      <w:snapToGrid w:val="0"/>
      <w:spacing w:after="120" w:line="360" w:lineRule="auto"/>
      <w:ind w:left="420" w:leftChars="200"/>
    </w:pPr>
    <w:rPr>
      <w:szCs w:val="21"/>
    </w:rPr>
  </w:style>
  <w:style w:type="paragraph" w:customStyle="1" w:styleId="22">
    <w:name w:val="正文1"/>
    <w:basedOn w:val="9"/>
    <w:next w:val="23"/>
    <w:autoRedefine/>
    <w:qFormat/>
    <w:uiPriority w:val="99"/>
    <w:pPr>
      <w:ind w:left="0" w:leftChars="0" w:firstLine="480" w:firstLineChars="200"/>
    </w:pPr>
    <w:rPr>
      <w:rFonts w:ascii="仿宋_GB2312" w:hAnsi="Courier New" w:eastAsia="仿宋_GB2312"/>
      <w:kern w:val="28"/>
      <w:sz w:val="24"/>
    </w:rPr>
  </w:style>
  <w:style w:type="paragraph" w:customStyle="1" w:styleId="23">
    <w:name w:val="标题 21"/>
    <w:basedOn w:val="22"/>
    <w:next w:val="22"/>
    <w:autoRedefine/>
    <w:qFormat/>
    <w:uiPriority w:val="99"/>
    <w:pPr>
      <w:keepNext/>
      <w:keepLines/>
      <w:tabs>
        <w:tab w:val="left" w:pos="706"/>
        <w:tab w:val="clear" w:pos="8268"/>
      </w:tabs>
      <w:spacing w:line="360" w:lineRule="auto"/>
      <w:ind w:left="106" w:firstLine="454"/>
      <w:outlineLvl w:val="1"/>
    </w:pPr>
    <w:rPr>
      <w:rFonts w:ascii="Arial" w:hAnsi="Arial" w:eastAsia="宋体"/>
      <w:b/>
      <w:bCs/>
      <w:szCs w:val="32"/>
    </w:rPr>
  </w:style>
  <w:style w:type="character" w:customStyle="1" w:styleId="24">
    <w:name w:val="Heading 2 Char"/>
    <w:basedOn w:val="17"/>
    <w:link w:val="2"/>
    <w:autoRedefine/>
    <w:semiHidden/>
    <w:qFormat/>
    <w:locked/>
    <w:uiPriority w:val="99"/>
    <w:rPr>
      <w:rFonts w:ascii="Cambria" w:hAnsi="Cambria" w:eastAsia="宋体" w:cs="Times New Roman"/>
      <w:b/>
      <w:bCs/>
      <w:sz w:val="32"/>
      <w:szCs w:val="32"/>
    </w:rPr>
  </w:style>
  <w:style w:type="character" w:customStyle="1" w:styleId="25">
    <w:name w:val="Comment Text Char"/>
    <w:basedOn w:val="17"/>
    <w:link w:val="3"/>
    <w:autoRedefine/>
    <w:semiHidden/>
    <w:qFormat/>
    <w:locked/>
    <w:uiPriority w:val="99"/>
    <w:rPr>
      <w:rFonts w:cs="Times New Roman"/>
      <w:sz w:val="24"/>
      <w:szCs w:val="24"/>
    </w:rPr>
  </w:style>
  <w:style w:type="character" w:customStyle="1" w:styleId="26">
    <w:name w:val="Body Text Char"/>
    <w:basedOn w:val="17"/>
    <w:link w:val="4"/>
    <w:autoRedefine/>
    <w:semiHidden/>
    <w:qFormat/>
    <w:locked/>
    <w:uiPriority w:val="99"/>
    <w:rPr>
      <w:rFonts w:cs="Times New Roman"/>
      <w:sz w:val="24"/>
      <w:szCs w:val="24"/>
    </w:rPr>
  </w:style>
  <w:style w:type="character" w:customStyle="1" w:styleId="27">
    <w:name w:val="Body Text First Indent Char"/>
    <w:basedOn w:val="26"/>
    <w:link w:val="5"/>
    <w:autoRedefine/>
    <w:semiHidden/>
    <w:qFormat/>
    <w:locked/>
    <w:uiPriority w:val="99"/>
  </w:style>
  <w:style w:type="character" w:customStyle="1" w:styleId="28">
    <w:name w:val="Body Text Indent Char"/>
    <w:basedOn w:val="17"/>
    <w:link w:val="7"/>
    <w:autoRedefine/>
    <w:semiHidden/>
    <w:qFormat/>
    <w:locked/>
    <w:uiPriority w:val="99"/>
    <w:rPr>
      <w:rFonts w:cs="Times New Roman"/>
      <w:sz w:val="24"/>
      <w:szCs w:val="24"/>
    </w:rPr>
  </w:style>
  <w:style w:type="character" w:customStyle="1" w:styleId="29">
    <w:name w:val="Date Char"/>
    <w:basedOn w:val="17"/>
    <w:link w:val="10"/>
    <w:autoRedefine/>
    <w:semiHidden/>
    <w:qFormat/>
    <w:locked/>
    <w:uiPriority w:val="99"/>
    <w:rPr>
      <w:rFonts w:cs="Times New Roman"/>
      <w:sz w:val="24"/>
      <w:szCs w:val="24"/>
    </w:rPr>
  </w:style>
  <w:style w:type="character" w:customStyle="1" w:styleId="30">
    <w:name w:val="Balloon Text Char"/>
    <w:basedOn w:val="17"/>
    <w:link w:val="11"/>
    <w:autoRedefine/>
    <w:semiHidden/>
    <w:qFormat/>
    <w:locked/>
    <w:uiPriority w:val="99"/>
    <w:rPr>
      <w:rFonts w:cs="Times New Roman"/>
      <w:sz w:val="2"/>
    </w:rPr>
  </w:style>
  <w:style w:type="character" w:customStyle="1" w:styleId="31">
    <w:name w:val="Footer Char"/>
    <w:basedOn w:val="17"/>
    <w:link w:val="12"/>
    <w:autoRedefine/>
    <w:qFormat/>
    <w:locked/>
    <w:uiPriority w:val="99"/>
    <w:rPr>
      <w:rFonts w:cs="Times New Roman"/>
      <w:kern w:val="2"/>
      <w:sz w:val="18"/>
    </w:rPr>
  </w:style>
  <w:style w:type="character" w:customStyle="1" w:styleId="32">
    <w:name w:val="Header Char"/>
    <w:basedOn w:val="17"/>
    <w:link w:val="13"/>
    <w:autoRedefine/>
    <w:semiHidden/>
    <w:qFormat/>
    <w:locked/>
    <w:uiPriority w:val="99"/>
    <w:rPr>
      <w:rFonts w:cs="Times New Roman"/>
      <w:sz w:val="18"/>
      <w:szCs w:val="18"/>
    </w:rPr>
  </w:style>
  <w:style w:type="character" w:customStyle="1" w:styleId="33">
    <w:name w:val="页脚 Char"/>
    <w:autoRedefine/>
    <w:qFormat/>
    <w:uiPriority w:val="99"/>
    <w:rPr>
      <w:rFonts w:eastAsia="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10</Pages>
  <Words>5132</Words>
  <Characters>5490</Characters>
  <Lines>0</Lines>
  <Paragraphs>0</Paragraphs>
  <TotalTime>0</TotalTime>
  <ScaleCrop>false</ScaleCrop>
  <LinksUpToDate>false</LinksUpToDate>
  <CharactersWithSpaces>5816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ohyes</cp:lastModifiedBy>
  <cp:lastPrinted>2021-07-26T01:17:00Z</cp:lastPrinted>
  <dcterms:modified xsi:type="dcterms:W3CDTF">2025-03-18T02:51:11Z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7C794046C5224FC3A77851A3F80D7AB5</vt:lpwstr>
  </property>
  <property fmtid="{D5CDD505-2E9C-101B-9397-08002B2CF9AE}" pid="4" name="KSOTemplateDocerSaveRecord">
    <vt:lpwstr>eyJoZGlkIjoiYjY1ZmM1MWEzNTM1MzlkYTUwYWQ5NWQzMWRiZjNhZDYiLCJ1c2VySWQiOiI1MTA5MTQ1MjMifQ==</vt:lpwstr>
  </property>
</Properties>
</file>