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A453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小标宋" w:hAnsi="小标宋" w:eastAsia="小标宋" w:cs="小标宋"/>
          <w:b w:val="0"/>
          <w:bCs/>
          <w:color w:val="000000"/>
          <w:sz w:val="36"/>
          <w:szCs w:val="36"/>
        </w:rPr>
      </w:pPr>
      <w:r>
        <w:rPr>
          <w:rFonts w:hint="eastAsia" w:ascii="小标宋" w:hAnsi="小标宋" w:eastAsia="小标宋" w:cs="小标宋"/>
          <w:b w:val="0"/>
          <w:bCs/>
          <w:color w:val="000000"/>
          <w:sz w:val="36"/>
          <w:szCs w:val="36"/>
        </w:rPr>
        <w:t>评标内容及标准</w:t>
      </w:r>
    </w:p>
    <w:tbl>
      <w:tblPr>
        <w:tblStyle w:val="7"/>
        <w:tblW w:w="859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8"/>
        <w:gridCol w:w="902"/>
        <w:gridCol w:w="4979"/>
        <w:gridCol w:w="717"/>
        <w:gridCol w:w="1249"/>
      </w:tblGrid>
      <w:tr w14:paraId="03336C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9B96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</w:pPr>
            <w:bookmarkStart w:id="3" w:name="_GoBack"/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  <w:t>序号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F3748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  <w:t>评分类型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C965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  <w:t>评分标准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4AF47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  <w:t>分值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919CA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4"/>
                <w:szCs w:val="24"/>
                <w:highlight w:val="none"/>
              </w:rPr>
              <w:t>主观分/客观分属性</w:t>
            </w:r>
          </w:p>
        </w:tc>
      </w:tr>
      <w:tr w14:paraId="0D8469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0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4F6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712B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A24EA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内部运维管理体系：</w:t>
            </w:r>
          </w:p>
          <w:p w14:paraId="7AB0D7E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投标人提供现有的正在实施的运维管理体系文件，包括质量手册、作业指导书、记录表格等内容：</w:t>
            </w:r>
          </w:p>
          <w:p w14:paraId="6D5794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质量管理手册完整性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；（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评分范围：2,1,0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）</w:t>
            </w:r>
          </w:p>
          <w:p w14:paraId="53E52B6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作业指导书完整性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。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（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评分范围：2,1,0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BDFAB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48D79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41AF11E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C8321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379AD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3CF4B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投标人具有地表水环境自动监测运维管理系统软件（软件著作权证书,软件开发合同，软件购买或租赁证明材料，提供其中一项即得2分）。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83ED0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2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2A529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6CECEB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4E4A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7A74C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DE39A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运维交接方案：</w:t>
            </w:r>
          </w:p>
          <w:p w14:paraId="64F8D08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内容至少应包括时间人员安排、职责分工、交接内容、交接流程等，方案应贴合需求、阐述分析准确，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针对方案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可操作性、针对性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进行打分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可操作性、针对性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强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的，得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分；</w:t>
            </w:r>
          </w:p>
          <w:p w14:paraId="3FF66B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可操作性、针对性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较强的，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得2分；</w:t>
            </w:r>
          </w:p>
          <w:p w14:paraId="42B033B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可操作性、针对性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</w:p>
          <w:p w14:paraId="2D91824F">
            <w:pPr>
              <w:pStyle w:val="5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440" w:lineRule="exact"/>
              <w:ind w:left="0" w:leftChars="0" w:firstLine="0" w:firstLineChars="0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815C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3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D92EF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56B258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E87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4752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27BAB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运维管理组织方案：</w:t>
            </w:r>
          </w:p>
          <w:p w14:paraId="699582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投标人提供运维管理组织方案，至少包括职责分工、日常管理制度、备机日常维护管理制度、备品备件保障措施、内部考核办法等内容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日常管理制度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详细阐述项目的服务内容、人员安排、人员培训、考核办法等内容；运维档案管理制度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包括巡检、质控、维修、应急等内容；备机备件管理制度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包括备机、备件、耗材的采购、存放、使用等内容。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针对方案是否合理、科学、完善进行打分。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合理、科学、完善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合理、科学、完善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得4分；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合理、科学、完善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要求的，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合理、科学、完善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较差的，得2分；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合理、科学、完善差的，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AFFB8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5205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0B08E7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EEC67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09B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29D0F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运维实施方案：</w:t>
            </w:r>
          </w:p>
          <w:p w14:paraId="04CA6DE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投标人提供日常运行维护实施方案，至少包括运维计划、运维流程、运维记录、故障维修方案等。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项目运维及数据核查计划科学、合理、全面性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日常巡检、养护和维修工作的具体流程，视科学、合理、全面性；运维记录模板及填写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规范性及完整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；故障维修方案可操性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等方面进行打分。</w:t>
            </w:r>
          </w:p>
          <w:p w14:paraId="22CF5ED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科学合理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可操作性强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方案较为科学合理、可操作性较强的，得4分；</w:t>
            </w:r>
          </w:p>
          <w:p w14:paraId="556063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方案基本符合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要求的，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方案较差，可操作性较差得2分；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合理性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不科学、无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操作性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AA99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C7EE2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3CA9423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4F55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69DAD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8079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总结报告：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总结报告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要求做到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规范性和完整性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并提供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根据总结报告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、全面性等情况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进行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打分。</w:t>
            </w:r>
          </w:p>
          <w:p w14:paraId="2A4C5ED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总结报告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全面的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总结报告较为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全面的，得4分；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总结报告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要求的，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总结报告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合理性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全面性较差的，得2分；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总结报告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合理性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全面性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差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47B8F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DC24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02F17E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9BBB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931AD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F7AAA4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质控方案：</w:t>
            </w:r>
          </w:p>
          <w:p w14:paraId="4FE2B09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投标人应建立完善的质量保证和质控核查体系，提供完善的质控方案，需从人员、装备、仪器设备、试剂、监测环境、质量监督等方面描述如何实现质控目标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。</w:t>
            </w:r>
          </w:p>
          <w:p w14:paraId="1D8F8B9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内部质量保证与质控核查体系完善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2分；内部质量保证与质控核查体系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完善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未提供相应材料的不得分。</w:t>
            </w:r>
          </w:p>
          <w:p w14:paraId="7CBF76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日质控、周核查、月质控、手工比对等质控措施方案详实，科学合理、针对性强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2分； 日质控、周核查、月质控、手工比对等质控措施方案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详实，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科学合理、针对性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未提供相应材料的不得分。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 xml:space="preserve"> </w:t>
            </w:r>
          </w:p>
          <w:p w14:paraId="3E54CA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质控设备、标准物质等管理方案详实，科学合理、针对性强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质控设备、标准物质等管理方案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详实，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科学合理、针对性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较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未提供相应材料的不得分。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E80C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4598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0C8C27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7C65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8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5A371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000B1C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数据审核方案：</w:t>
            </w:r>
          </w:p>
          <w:p w14:paraId="4544F49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投标人针对技术需求提供数据审核方案，至少包括职责分工、数据审核规则、内部数据审核制度和数据复核以及运维相关视频、日志、关键参数日常审核等内容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进行打分。应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提供全面、详细、具体可行的数据审核制度；系统阐述数据审核技术方法和依据，制定切实可行的数据审核措施，并制定完善的工作流程图。</w:t>
            </w:r>
          </w:p>
          <w:p w14:paraId="386B245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数据审核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全面、详细、具体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切实可行的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数据审核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较为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全面、详细、具体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切实可行的，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得4分；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数据审核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全面、详细、具体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切实可行方面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基本符合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要求的，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数据审核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全面、详细、具体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切实可行方面做的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较差的，得2分；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数据审核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全面、详细、具体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方面做的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差，操作性弱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3956C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C3B88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4BA33A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DD0C5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9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2F7C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D6E01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应急保障方案：</w:t>
            </w:r>
          </w:p>
          <w:p w14:paraId="4C6095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投标人制定针对数据和水质异常等情况的应急保障方案,内容至少应包括异常数据识别办法、异常数据响应办法、应急监测流程、人工采/送样流程及质量保障措施、应急监测方案、补充监测方案等内容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进行打分。</w:t>
            </w:r>
          </w:p>
          <w:p w14:paraId="305AB8D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方案要求：1.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列出各种应急情景、发现应急情况的方法、应急措施及解决方案，系统地阐述判断和解决方法，工作流程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完善。</w:t>
            </w:r>
          </w:p>
          <w:p w14:paraId="23728D7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针对可能出现的突发情况，各要素考虑充分，系统全面地阐述应急情况的判断依据，并有针对性地提出预防措施，措施可行性高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。</w:t>
            </w:r>
          </w:p>
          <w:p w14:paraId="67EB6F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因故申请停运期间，应根据相关规范要求进行补测，针对性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提供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补测流程、质控措施以及补测数据的可溯源性材料。</w:t>
            </w:r>
          </w:p>
          <w:p w14:paraId="6A4F194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应急流程完善、应急措施可行性高、补测针对性强的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应急流程较为完善、应急措施可行性较高、补测针对性较强的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应急流程较基本符合要求的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应急流程完善性较差、应急措施可行性较低、补测针对性较差的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应急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完善性、可行性、针对性差的，得1分；无方案不得分。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B5734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D1577D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33B612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02D1A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10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320C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031A0A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防范人为干扰方案：</w:t>
            </w:r>
          </w:p>
          <w:p w14:paraId="528B49A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投标人制定防范人为干扰方案，至少包括定期巡查、内部宣贯、信息报送等内容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根据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防范人为干扰巡查及内部管理制度和处理方案的完整性和合理性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防范人为干扰巡查计划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的操作性进行打分。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完整合理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可操作性强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方案较为完整合理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可操作性较强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得4分；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方案基本符合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要求的，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</w:p>
          <w:p w14:paraId="41CB52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方案完整合理性存在明显缺陷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可操作性较差的，得2分；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不合理、不完整、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操作性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差的，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eastAsia="zh-CN" w:bidi="ar"/>
              </w:rPr>
              <w:t>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无方案的，不得分。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2DF02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6354B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041FE0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ECC10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1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B6DC1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D25A25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车辆保障：</w:t>
            </w:r>
          </w:p>
          <w:p w14:paraId="7013FE6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承诺车辆配置数量至少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 xml:space="preserve">得5分，否则不得分。 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13F03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F341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66082F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E46829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2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67CC14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0F156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考核投标人的备机适配方案：</w:t>
            </w:r>
          </w:p>
          <w:p w14:paraId="3CB5307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承诺配置备机，备机包含监测设备、辅助设施等，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确保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数据与原机数据连续、可比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的，得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否则不得分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；</w:t>
            </w:r>
          </w:p>
          <w:p w14:paraId="0E111E7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承诺备机能够实现与站点原机品牌仪器数据的连续可比，配置选型适配程度高，与原系统兼容性好，性能参数完全能满足相关监测规范要求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否则不得分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；</w:t>
            </w:r>
          </w:p>
          <w:p w14:paraId="41CAC83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承诺备件、耗材及专用仪器维护维修工具符合运维需求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未承诺的不得分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70EC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6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63C655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66162F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0D96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3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71AFC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70E07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备件、耗材配置情况：</w:t>
            </w:r>
          </w:p>
          <w:p w14:paraId="7161505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承诺备件、耗材配置种类齐全合理，列出每台设备所需的备件耗材清单证明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未提供证明的不得分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；</w:t>
            </w:r>
          </w:p>
          <w:p w14:paraId="3D54CCA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承诺使用原厂备品备件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未承诺的不得分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；</w:t>
            </w:r>
          </w:p>
          <w:p w14:paraId="793C57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耗材使用方案切合实际，承诺备件、耗材留有安全余量，完全能满足对应站点运维需要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，1分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未承诺及方案不切合实际的不得分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EEBC28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B51C9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38013A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2E39D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4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6D94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E1BAE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废液收集处置方案：</w:t>
            </w:r>
          </w:p>
          <w:p w14:paraId="50CB36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投标人对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站点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产生的废液须按相关管理规定安全贮存处理，须与有资质的处理单位签订废液运转处置合同，并出具废液处置的流转单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。</w:t>
            </w:r>
          </w:p>
          <w:p w14:paraId="32239E2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1.建立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废液收集和处置管理制度的，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未建立的不得分；</w:t>
            </w:r>
          </w:p>
          <w:p w14:paraId="06273A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提供本项目签订运转处置合同承诺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没有的不得分。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F071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336DA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2B3658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21291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pacing w:val="-11"/>
                <w:kern w:val="0"/>
                <w:sz w:val="24"/>
                <w:szCs w:val="24"/>
                <w:lang w:val="en-US" w:eastAsia="zh-CN"/>
                <w14:ligatures w14:val="standardContextual"/>
              </w:rPr>
              <w:t>5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3203E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CDEAF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人员数量：</w:t>
            </w:r>
          </w:p>
          <w:p w14:paraId="20BB415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1. 项目负责人：项目负责人1名，得1分，须承诺项目负责人在项目期限内专职投入本项目，否则不得分。</w:t>
            </w:r>
          </w:p>
          <w:p w14:paraId="24A715B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2. 技术团队成员：</w:t>
            </w:r>
            <w:bookmarkStart w:id="0" w:name="OLE_LINK7"/>
          </w:p>
          <w:p w14:paraId="206A476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运维人员数量至少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人；</w:t>
            </w:r>
          </w:p>
          <w:bookmarkEnd w:id="0"/>
          <w:p w14:paraId="177B374B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须承诺本项目专用，得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分，人员数量低于所需最少人数的不得分。</w:t>
            </w:r>
          </w:p>
          <w:p w14:paraId="42AC650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3.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选派专职驻点技术人员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至少1人，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且须本项目专用，得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不选派驻点技术人员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的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不得分。</w:t>
            </w:r>
          </w:p>
          <w:p w14:paraId="6AAD579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注：提供人员身份证和社保证明</w:t>
            </w: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或劳动合同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扫描件，否则不得分。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05708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BBBC5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5E636E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2392E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6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D8871C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技术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0BD0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人员资质：</w:t>
            </w:r>
          </w:p>
          <w:p w14:paraId="53DF723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1. 项目负责人：具备5年及以上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站点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运维项目管理经验的，提供参与相关项目管理证明材料，得0.5分；具备生态环境行业高级及以上职称，得0.5分；具备</w:t>
            </w:r>
            <w:bookmarkStart w:id="1" w:name="OLE_LINK8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水质自动监测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仪器操作维护、校准、站位运维管理经验的</w:t>
            </w:r>
            <w:bookmarkEnd w:id="1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 xml:space="preserve">，得1分。 </w:t>
            </w:r>
          </w:p>
          <w:p w14:paraId="3E2D207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2. 现场运维人员：</w:t>
            </w:r>
          </w:p>
          <w:p w14:paraId="64442EF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（1）职称要求：每具备1名生态环境行业中级职称的得0.2分，</w:t>
            </w:r>
            <w:bookmarkStart w:id="2" w:name="OLE_LINK14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最高1分</w:t>
            </w:r>
            <w:bookmarkEnd w:id="2"/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。</w:t>
            </w:r>
          </w:p>
          <w:p w14:paraId="26CA34C9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（2）能力要求：</w:t>
            </w:r>
          </w:p>
          <w:p w14:paraId="29312E8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需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人具备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重金属、藻类等相关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自动监测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</w:rPr>
              <w:t>仪器操作维护、校准、站位运维管理经验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；每1人不具备相应能力，扣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分，共6分，扣完为止。</w:t>
            </w:r>
          </w:p>
          <w:p w14:paraId="5ED28E3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3. 选派的专职驻点技术人员具备研究生及以上学历的得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分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最高1分。</w:t>
            </w:r>
          </w:p>
          <w:p w14:paraId="4EA5BA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注：提供人员职称证书、运维相关能力证明（证明材料、员工合同，加盖投标人（含分公司）单位公章）、学位证书扫描件，否则不得分。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F1A6E2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9BFDC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536568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8C0E0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7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027B35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商务资信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64B8F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投标人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14:ligatures w14:val="standardContextual"/>
              </w:rPr>
              <w:t>承诺当系统仪器出现故障时，保证在4小时内到达现场检修，如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  <w14:ligatures w14:val="standardContextual"/>
              </w:rPr>
              <w:t>72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14:ligatures w14:val="standardContextual"/>
              </w:rPr>
              <w:t>小时内无法排除故障，应直接使用备机，并及时报告采购人，协商处理方案。故障处理结束后，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以书面形式报告采购人，由采购人确认故障处理意见。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14:ligatures w14:val="standardContextual"/>
              </w:rPr>
              <w:t>当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:lang w:val="en-US" w:eastAsia="zh-CN"/>
                <w14:ligatures w14:val="standardContextual"/>
              </w:rPr>
              <w:t>站点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sz w:val="24"/>
                <w:szCs w:val="24"/>
                <w14:ligatures w14:val="standardContextual"/>
              </w:rPr>
              <w:t>监测数据出现异常（重金属指标超出饮用水标准限值、五参数和藻类明显偏离正常值等情况）或所在断面发生污染事故时，须2小时内报告采购人，4小时内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到达现场，确认仪器是否正常，做好现场记录，同时开展手工采样进行比对测试。视响应方案的合理性和可操作性打分，最高4分。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科学合理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、切实可行的，得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方案较为科学合理、切实可行得3分；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方案普通，基本符合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要求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得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分；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方案较差，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bidi="ar"/>
              </w:rPr>
              <w:t>针对性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lang w:val="en-US" w:eastAsia="zh-CN" w:bidi="ar"/>
              </w:rPr>
              <w:t>较差得1分；无方案不得分。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6DF45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4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429BF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主观分</w:t>
            </w:r>
          </w:p>
        </w:tc>
      </w:tr>
      <w:tr w14:paraId="0A6528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69010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8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59438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商务资信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80981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公司技术力量情况。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投标人具有有效的ISO9001质量管理体系认证、ISO14001环境管理体系认证、OHSAS18001（GB/T2800)或ISO45001（GB/T45001)职业健康安全管理体系认证、ISO20000信息技术服务管理体系认证、ISO27001信息安全管理体系认证，每具备1个得1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eastAsia="zh-CN"/>
                <w14:ligatures w14:val="standardContextual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  <w14:ligatures w14:val="standardContextual"/>
              </w:rPr>
              <w:t>最高5分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57828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5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3806AF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4A055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D0FC1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9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64D767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商务资信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A06E01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提供202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  <w14:ligatures w14:val="standardContextual"/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年1月1日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  <w14:ligatures w14:val="standardContextual"/>
              </w:rPr>
              <w:t>（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val="en-US" w:eastAsia="zh-CN"/>
                <w14:ligatures w14:val="standardContextual"/>
              </w:rPr>
              <w:t>以合同签订时间为准</w:t>
            </w:r>
            <w:r>
              <w:rPr>
                <w:rFonts w:hint="eastAsia" w:asciiTheme="minorEastAsia" w:hAnsiTheme="minorEastAsia" w:cstheme="minorEastAsia"/>
                <w:color w:val="auto"/>
                <w:sz w:val="24"/>
                <w:szCs w:val="24"/>
                <w:lang w:eastAsia="zh-CN"/>
                <w14:ligatures w14:val="standardContextual"/>
              </w:rPr>
              <w:t>）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起至今，同类项目业绩材料，每提供1个得0.5分，共1分。</w:t>
            </w:r>
          </w:p>
          <w:p w14:paraId="23124F2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注：提供项目中标通知书、合同及验收意见复印件并加盖投标人公章，否则不得分。</w:t>
            </w:r>
          </w:p>
          <w:p w14:paraId="37C7F4A6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  <w:t>（联合体投标的，按联合体协议约定的分工内容出具相应的业绩证明材料。承担相同工作的各方或工作内容存在部分相同的，业绩数量以就高为准。）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F90D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4909733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客观分</w:t>
            </w:r>
          </w:p>
        </w:tc>
      </w:tr>
      <w:tr w14:paraId="58CCB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F43410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20</w:t>
            </w:r>
          </w:p>
        </w:tc>
        <w:tc>
          <w:tcPr>
            <w:tcW w:w="90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F163D4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报价</w:t>
            </w:r>
          </w:p>
        </w:tc>
        <w:tc>
          <w:tcPr>
            <w:tcW w:w="49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FF64E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投标报价的最低价作为评标基准价，其最低报价为满分；按［投标报价得分=（评标基准价/投标报价）*10］的计算公式计算。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（</w:t>
            </w:r>
            <w:r>
              <w:rPr>
                <w:rFonts w:ascii="宋体" w:hAnsi="宋体"/>
                <w:color w:val="auto"/>
                <w:sz w:val="24"/>
                <w:highlight w:val="none"/>
              </w:rPr>
              <w:t>小数点后保留两位）</w:t>
            </w:r>
          </w:p>
          <w:p w14:paraId="417CE0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both"/>
              <w:textAlignment w:val="center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14:ligatures w14:val="standardContextual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kern w:val="0"/>
                <w:sz w:val="24"/>
                <w:szCs w:val="24"/>
                <w:highlight w:val="none"/>
                <w:u w:val="none"/>
                <w:lang w:bidi="ar"/>
              </w:rPr>
              <w:t>评标过程中，不得去掉报价中的最高报价和最低报价。</w:t>
            </w:r>
          </w:p>
        </w:tc>
        <w:tc>
          <w:tcPr>
            <w:tcW w:w="7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3CAB2D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  <w:t>10</w:t>
            </w:r>
          </w:p>
        </w:tc>
        <w:tc>
          <w:tcPr>
            <w:tcW w:w="12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63C8BC"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440" w:lineRule="exact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auto"/>
                <w:kern w:val="0"/>
                <w:sz w:val="24"/>
                <w:szCs w:val="24"/>
                <w14:ligatures w14:val="standardContextual"/>
              </w:rPr>
            </w:pPr>
            <w:r>
              <w:rPr>
                <w:rFonts w:hint="eastAsia" w:asciiTheme="minorEastAsia" w:hAnsiTheme="minorEastAsia" w:cstheme="minorEastAsia"/>
                <w:bCs/>
                <w:color w:val="auto"/>
                <w:kern w:val="0"/>
                <w:sz w:val="24"/>
                <w:szCs w:val="24"/>
                <w:lang w:val="en-US" w:eastAsia="zh-CN"/>
                <w14:ligatures w14:val="standardContextual"/>
              </w:rPr>
              <w:t>/</w:t>
            </w:r>
          </w:p>
        </w:tc>
      </w:tr>
      <w:bookmarkEnd w:id="3"/>
    </w:tbl>
    <w:p w14:paraId="3C759CC4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小标宋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551105"/>
    <w:rsid w:val="00714750"/>
    <w:rsid w:val="01A301A6"/>
    <w:rsid w:val="02261AE8"/>
    <w:rsid w:val="035B79A0"/>
    <w:rsid w:val="038C61D3"/>
    <w:rsid w:val="039C3694"/>
    <w:rsid w:val="043969EE"/>
    <w:rsid w:val="043D36D3"/>
    <w:rsid w:val="05390791"/>
    <w:rsid w:val="06735D6B"/>
    <w:rsid w:val="076F17EB"/>
    <w:rsid w:val="083561C5"/>
    <w:rsid w:val="0CF019EB"/>
    <w:rsid w:val="0D434A68"/>
    <w:rsid w:val="0D847289"/>
    <w:rsid w:val="0E4A4442"/>
    <w:rsid w:val="10B661A8"/>
    <w:rsid w:val="120E7F1E"/>
    <w:rsid w:val="15862C54"/>
    <w:rsid w:val="15A30C01"/>
    <w:rsid w:val="16083B8C"/>
    <w:rsid w:val="16174C19"/>
    <w:rsid w:val="1719668B"/>
    <w:rsid w:val="18430BE7"/>
    <w:rsid w:val="18C2334E"/>
    <w:rsid w:val="1AAE5D2F"/>
    <w:rsid w:val="1AFE1D64"/>
    <w:rsid w:val="1DFE2E7D"/>
    <w:rsid w:val="21864263"/>
    <w:rsid w:val="23A31E3F"/>
    <w:rsid w:val="23FF5750"/>
    <w:rsid w:val="27DA0163"/>
    <w:rsid w:val="2868652A"/>
    <w:rsid w:val="28955DFA"/>
    <w:rsid w:val="28AC2F9C"/>
    <w:rsid w:val="296E2A6A"/>
    <w:rsid w:val="298962E5"/>
    <w:rsid w:val="29D14727"/>
    <w:rsid w:val="2A77175E"/>
    <w:rsid w:val="2B92177E"/>
    <w:rsid w:val="2C3B319A"/>
    <w:rsid w:val="2F201EBD"/>
    <w:rsid w:val="2FE41FD6"/>
    <w:rsid w:val="319121DA"/>
    <w:rsid w:val="364A4ACB"/>
    <w:rsid w:val="398E0A5F"/>
    <w:rsid w:val="3C783EB2"/>
    <w:rsid w:val="3C895220"/>
    <w:rsid w:val="3DAF0611"/>
    <w:rsid w:val="41610959"/>
    <w:rsid w:val="42DE7678"/>
    <w:rsid w:val="443749C3"/>
    <w:rsid w:val="446D2845"/>
    <w:rsid w:val="44DD3458"/>
    <w:rsid w:val="44EA41C0"/>
    <w:rsid w:val="45C45BA1"/>
    <w:rsid w:val="46115CF7"/>
    <w:rsid w:val="47C167F2"/>
    <w:rsid w:val="47F9434F"/>
    <w:rsid w:val="49471F93"/>
    <w:rsid w:val="495A7182"/>
    <w:rsid w:val="49866E39"/>
    <w:rsid w:val="4BA83F51"/>
    <w:rsid w:val="4C404189"/>
    <w:rsid w:val="4CB9218D"/>
    <w:rsid w:val="4CC0396E"/>
    <w:rsid w:val="4E565638"/>
    <w:rsid w:val="4F59138E"/>
    <w:rsid w:val="50096CFE"/>
    <w:rsid w:val="50C505E4"/>
    <w:rsid w:val="520A5070"/>
    <w:rsid w:val="52F81F7A"/>
    <w:rsid w:val="53982AFD"/>
    <w:rsid w:val="5411465D"/>
    <w:rsid w:val="541B4BA5"/>
    <w:rsid w:val="558E065B"/>
    <w:rsid w:val="563C483B"/>
    <w:rsid w:val="56A86DBC"/>
    <w:rsid w:val="593D7748"/>
    <w:rsid w:val="59BE7EA7"/>
    <w:rsid w:val="5A1D68D1"/>
    <w:rsid w:val="5CC346FA"/>
    <w:rsid w:val="5D2D2508"/>
    <w:rsid w:val="5E8C5D3E"/>
    <w:rsid w:val="5F6A2986"/>
    <w:rsid w:val="62087073"/>
    <w:rsid w:val="62397D78"/>
    <w:rsid w:val="62B277C7"/>
    <w:rsid w:val="63542EA6"/>
    <w:rsid w:val="63550013"/>
    <w:rsid w:val="646C1BB9"/>
    <w:rsid w:val="6604539F"/>
    <w:rsid w:val="67D45F35"/>
    <w:rsid w:val="6904039B"/>
    <w:rsid w:val="69551105"/>
    <w:rsid w:val="69B17AA6"/>
    <w:rsid w:val="6C932B0E"/>
    <w:rsid w:val="7016507D"/>
    <w:rsid w:val="713815BF"/>
    <w:rsid w:val="72280238"/>
    <w:rsid w:val="73C53042"/>
    <w:rsid w:val="746F77AD"/>
    <w:rsid w:val="75FF1592"/>
    <w:rsid w:val="76266986"/>
    <w:rsid w:val="76C53359"/>
    <w:rsid w:val="7709213D"/>
    <w:rsid w:val="771863F0"/>
    <w:rsid w:val="77732E33"/>
    <w:rsid w:val="77DF7F8D"/>
    <w:rsid w:val="7843468F"/>
    <w:rsid w:val="78FD327E"/>
    <w:rsid w:val="7ACF446D"/>
    <w:rsid w:val="7AD53BBF"/>
    <w:rsid w:val="7F2A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5">
    <w:name w:val="heading 3"/>
    <w:basedOn w:val="1"/>
    <w:next w:val="1"/>
    <w:qFormat/>
    <w:uiPriority w:val="0"/>
    <w:pPr>
      <w:keepNext/>
      <w:keepLines/>
      <w:tabs>
        <w:tab w:val="left" w:pos="900"/>
      </w:tabs>
      <w:spacing w:before="260" w:after="260" w:line="416" w:lineRule="auto"/>
      <w:ind w:left="900" w:hanging="720"/>
      <w:outlineLvl w:val="2"/>
    </w:pPr>
    <w:rPr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next w:val="3"/>
    <w:qFormat/>
    <w:uiPriority w:val="0"/>
    <w:rPr>
      <w:rFonts w:ascii="Arial" w:hAnsi="Arial"/>
      <w:snapToGrid/>
      <w:kern w:val="2"/>
      <w:szCs w:val="21"/>
    </w:rPr>
  </w:style>
  <w:style w:type="paragraph" w:styleId="3">
    <w:name w:val="Body Text"/>
    <w:basedOn w:val="1"/>
    <w:next w:val="4"/>
    <w:uiPriority w:val="0"/>
    <w:pPr>
      <w:adjustRightInd w:val="0"/>
      <w:spacing w:line="315" w:lineRule="atLeast"/>
      <w:jc w:val="left"/>
      <w:textAlignment w:val="baseline"/>
    </w:pPr>
    <w:rPr>
      <w:rFonts w:ascii="Times New Roman" w:hAnsi="Times New Roman"/>
      <w:kern w:val="0"/>
      <w:sz w:val="24"/>
    </w:rPr>
  </w:style>
  <w:style w:type="paragraph" w:styleId="4">
    <w:name w:val="Body Text First Indent"/>
    <w:basedOn w:val="3"/>
    <w:next w:val="1"/>
    <w:qFormat/>
    <w:uiPriority w:val="0"/>
    <w:pPr>
      <w:ind w:firstLine="420" w:firstLineChars="100"/>
    </w:pPr>
  </w:style>
  <w:style w:type="paragraph" w:styleId="6">
    <w:name w:val="Plain Text"/>
    <w:basedOn w:val="1"/>
    <w:next w:val="1"/>
    <w:qFormat/>
    <w:uiPriority w:val="0"/>
    <w:pPr>
      <w:spacing w:before="156" w:after="156" w:line="400" w:lineRule="exact"/>
    </w:pPr>
    <w:rPr>
      <w:rFonts w:ascii="宋体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样式3"/>
    <w:basedOn w:val="6"/>
    <w:qFormat/>
    <w:uiPriority w:val="99"/>
    <w:pPr>
      <w:spacing w:line="240" w:lineRule="atLeast"/>
      <w:outlineLvl w:val="0"/>
    </w:pPr>
    <w:rPr>
      <w:sz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3923</Words>
  <Characters>4042</Characters>
  <Lines>0</Lines>
  <Paragraphs>0</Paragraphs>
  <TotalTime>2</TotalTime>
  <ScaleCrop>false</ScaleCrop>
  <LinksUpToDate>false</LinksUpToDate>
  <CharactersWithSpaces>4051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2025-05-19T05:45:00Z</dcterms:created>
  <dc:creator>池怡</dc:creator>
  <cp:lastModifiedBy>十一妹</cp:lastModifiedBy>
  <dcterms:modified xsi:type="dcterms:W3CDTF">2025-05-20T09:22:30Z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3DECE70E6C18499DAEBB6573079AD128_11</vt:lpwstr>
  </property>
  <property fmtid="{D5CDD505-2E9C-101B-9397-08002B2CF9AE}" pid="4" name="KSOTemplateDocerSaveRecord">
    <vt:lpwstr>eyJoZGlkIjoiNjRmNGNlZTY2MDQ1NzUzMzMwYzJmNDNjNGVmOWVhYmYiLCJ1c2VySWQiOiIxMDY2MzMzMDExIn0=</vt:lpwstr>
  </property>
</Properties>
</file>