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35FA4">
      <w:pPr>
        <w:ind w:right="-1" w:rightChars="0"/>
        <w:jc w:val="right"/>
        <w:rPr>
          <w:rFonts w:hint="eastAsia"/>
          <w:color w:val="auto"/>
          <w:sz w:val="28"/>
        </w:rPr>
      </w:pPr>
    </w:p>
    <w:p w14:paraId="38059C28">
      <w:pPr>
        <w:ind w:right="-420" w:rightChars="-200"/>
        <w:jc w:val="right"/>
        <w:rPr>
          <w:rFonts w:hint="eastAsia"/>
          <w:color w:val="auto"/>
          <w:sz w:val="28"/>
        </w:rPr>
      </w:pPr>
    </w:p>
    <w:p w14:paraId="58CDC91E">
      <w:pPr>
        <w:ind w:right="-420" w:rightChars="-200"/>
        <w:jc w:val="right"/>
        <w:rPr>
          <w:rFonts w:hint="eastAsia"/>
          <w:color w:val="auto"/>
          <w:sz w:val="28"/>
        </w:rPr>
      </w:pPr>
    </w:p>
    <w:p w14:paraId="1B83B09D">
      <w:pPr>
        <w:spacing w:before="120" w:beforeLines="50" w:after="240" w:line="500" w:lineRule="exact"/>
        <w:ind w:right="-420" w:rightChars="-200"/>
        <w:jc w:val="center"/>
        <w:rPr>
          <w:b/>
          <w:color w:val="auto"/>
          <w:sz w:val="52"/>
          <w:szCs w:val="52"/>
        </w:rPr>
      </w:pPr>
      <w:r>
        <w:rPr>
          <w:rFonts w:hint="eastAsia"/>
          <w:b/>
          <w:color w:val="auto"/>
          <w:sz w:val="52"/>
          <w:szCs w:val="52"/>
          <w:lang w:eastAsia="zh-CN"/>
        </w:rPr>
        <w:t>国内</w:t>
      </w:r>
      <w:r>
        <w:rPr>
          <w:b/>
          <w:color w:val="auto"/>
          <w:sz w:val="52"/>
          <w:szCs w:val="52"/>
        </w:rPr>
        <w:t>采购项目</w:t>
      </w:r>
    </w:p>
    <w:p w14:paraId="3E36D3E8">
      <w:pPr>
        <w:spacing w:after="120"/>
        <w:ind w:right="-420" w:rightChars="-200"/>
        <w:jc w:val="center"/>
        <w:rPr>
          <w:b/>
          <w:color w:val="auto"/>
          <w:sz w:val="72"/>
        </w:rPr>
      </w:pPr>
      <w:r>
        <w:rPr>
          <w:rFonts w:hint="eastAsia"/>
          <w:b/>
          <w:color w:val="auto"/>
          <w:sz w:val="72"/>
        </w:rPr>
        <w:t>竞争性磋商采购</w:t>
      </w:r>
      <w:r>
        <w:rPr>
          <w:b/>
          <w:color w:val="auto"/>
          <w:sz w:val="72"/>
        </w:rPr>
        <w:t>文件</w:t>
      </w:r>
    </w:p>
    <w:p w14:paraId="4FFF910D">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733978F7">
      <w:pPr>
        <w:ind w:right="-420" w:rightChars="-200"/>
        <w:jc w:val="center"/>
        <w:rPr>
          <w:rFonts w:hint="eastAsia"/>
          <w:color w:val="auto"/>
          <w:sz w:val="28"/>
        </w:rPr>
      </w:pPr>
    </w:p>
    <w:p w14:paraId="705AF32C">
      <w:pPr>
        <w:ind w:right="-420" w:rightChars="-200"/>
        <w:jc w:val="center"/>
        <w:rPr>
          <w:rFonts w:hint="eastAsia"/>
          <w:color w:val="auto"/>
          <w:sz w:val="28"/>
        </w:rPr>
      </w:pPr>
    </w:p>
    <w:p w14:paraId="6AA90ABE">
      <w:pPr>
        <w:ind w:right="-420" w:rightChars="-200"/>
        <w:jc w:val="center"/>
        <w:rPr>
          <w:rFonts w:hint="eastAsia"/>
          <w:color w:val="auto"/>
          <w:sz w:val="28"/>
        </w:rPr>
      </w:pPr>
    </w:p>
    <w:p w14:paraId="58AF86A2">
      <w:pPr>
        <w:ind w:right="-420" w:rightChars="-200"/>
        <w:jc w:val="center"/>
        <w:rPr>
          <w:rFonts w:hint="eastAsia"/>
          <w:color w:val="auto"/>
          <w:sz w:val="28"/>
        </w:rPr>
      </w:pPr>
    </w:p>
    <w:p w14:paraId="2893BAF9">
      <w:pPr>
        <w:pStyle w:val="45"/>
        <w:rPr>
          <w:rFonts w:hint="eastAsia"/>
          <w:color w:val="auto"/>
          <w:sz w:val="28"/>
        </w:rPr>
      </w:pPr>
    </w:p>
    <w:p w14:paraId="39B343B0">
      <w:pPr>
        <w:keepNext w:val="0"/>
        <w:keepLines w:val="0"/>
        <w:pageBreakBefore w:val="0"/>
        <w:widowControl w:val="0"/>
        <w:tabs>
          <w:tab w:val="left" w:pos="1260"/>
        </w:tabs>
        <w:kinsoku/>
        <w:wordWrap/>
        <w:overflowPunct/>
        <w:topLinePunct w:val="0"/>
        <w:autoSpaceDE/>
        <w:autoSpaceDN/>
        <w:bidi w:val="0"/>
        <w:adjustRightInd/>
        <w:snapToGrid/>
        <w:spacing w:line="800" w:lineRule="exact"/>
        <w:ind w:left="-315" w:leftChars="-150"/>
        <w:textAlignment w:val="auto"/>
        <w:rPr>
          <w:rFonts w:hint="default"/>
          <w:color w:val="auto"/>
          <w:sz w:val="28"/>
          <w:lang w:val="en-US"/>
        </w:rPr>
      </w:pPr>
      <w:r>
        <w:rPr>
          <w:rFonts w:ascii="Arial" w:cs="Arial"/>
          <w:bCs/>
          <w:color w:val="auto"/>
          <w:sz w:val="36"/>
          <w:szCs w:val="36"/>
        </w:rPr>
        <w:t>项目编号：</w:t>
      </w:r>
      <w:r>
        <w:rPr>
          <w:rFonts w:hint="eastAsia" w:ascii="Arial" w:cs="Arial"/>
          <w:bCs/>
          <w:color w:val="auto"/>
          <w:sz w:val="36"/>
          <w:szCs w:val="36"/>
          <w:u w:val="single"/>
          <w:lang w:eastAsia="zh-CN"/>
        </w:rPr>
        <w:t>浙信基招【202</w:t>
      </w:r>
      <w:r>
        <w:rPr>
          <w:rFonts w:hint="eastAsia" w:ascii="Arial" w:cs="Arial"/>
          <w:bCs/>
          <w:color w:val="auto"/>
          <w:sz w:val="36"/>
          <w:szCs w:val="36"/>
          <w:u w:val="single"/>
          <w:lang w:val="en-US" w:eastAsia="zh-CN"/>
        </w:rPr>
        <w:t>5</w:t>
      </w:r>
      <w:r>
        <w:rPr>
          <w:rFonts w:hint="eastAsia" w:ascii="Arial" w:cs="Arial"/>
          <w:bCs/>
          <w:color w:val="auto"/>
          <w:sz w:val="36"/>
          <w:szCs w:val="36"/>
          <w:u w:val="single"/>
          <w:lang w:eastAsia="zh-CN"/>
        </w:rPr>
        <w:t>】第NH</w:t>
      </w:r>
      <w:r>
        <w:rPr>
          <w:rFonts w:hint="eastAsia" w:ascii="Arial" w:cs="Arial"/>
          <w:bCs/>
          <w:color w:val="auto"/>
          <w:sz w:val="36"/>
          <w:szCs w:val="36"/>
          <w:u w:val="single"/>
          <w:lang w:val="en-US" w:eastAsia="zh-CN"/>
        </w:rPr>
        <w:t>001</w:t>
      </w:r>
      <w:r>
        <w:rPr>
          <w:rFonts w:hint="eastAsia" w:ascii="Arial" w:cs="Arial"/>
          <w:bCs/>
          <w:color w:val="auto"/>
          <w:sz w:val="36"/>
          <w:szCs w:val="36"/>
          <w:u w:val="single"/>
          <w:lang w:eastAsia="zh-CN"/>
        </w:rPr>
        <w:t>号</w:t>
      </w:r>
      <w:r>
        <w:rPr>
          <w:rFonts w:hint="eastAsia" w:ascii="Arial" w:cs="Arial"/>
          <w:bCs/>
          <w:color w:val="auto"/>
          <w:sz w:val="36"/>
          <w:szCs w:val="36"/>
          <w:u w:val="single"/>
          <w:lang w:val="en-US" w:eastAsia="zh-CN"/>
        </w:rPr>
        <w:t> </w:t>
      </w:r>
    </w:p>
    <w:p w14:paraId="0ACF7D58">
      <w:pPr>
        <w:keepNext w:val="0"/>
        <w:keepLines w:val="0"/>
        <w:pageBreakBefore w:val="0"/>
        <w:widowControl w:val="0"/>
        <w:kinsoku/>
        <w:wordWrap/>
        <w:overflowPunct/>
        <w:topLinePunct w:val="0"/>
        <w:autoSpaceDE/>
        <w:autoSpaceDN/>
        <w:bidi w:val="0"/>
        <w:adjustRightInd/>
        <w:snapToGrid/>
        <w:spacing w:line="800" w:lineRule="exact"/>
        <w:ind w:left="1485" w:leftChars="-150" w:hanging="1800" w:hangingChars="500"/>
        <w:jc w:val="left"/>
        <w:textAlignment w:val="auto"/>
        <w:rPr>
          <w:rFonts w:hint="eastAsia" w:ascii="Arial" w:cs="Arial"/>
          <w:bCs/>
          <w:color w:val="auto"/>
          <w:sz w:val="36"/>
          <w:szCs w:val="36"/>
          <w:u w:val="single"/>
          <w:lang w:eastAsia="zh-CN"/>
        </w:rPr>
      </w:pPr>
      <w:r>
        <w:rPr>
          <w:rFonts w:hint="eastAsia" w:ascii="Arial" w:cs="Arial"/>
          <w:bCs/>
          <w:color w:val="auto"/>
          <w:sz w:val="36"/>
          <w:szCs w:val="36"/>
        </w:rPr>
        <w:t>项目名称</w:t>
      </w:r>
      <w:r>
        <w:rPr>
          <w:rFonts w:hint="eastAsia" w:ascii="Arial" w:cs="Arial"/>
          <w:bCs/>
          <w:color w:val="auto"/>
          <w:sz w:val="36"/>
          <w:szCs w:val="36"/>
          <w:lang w:val="en-US" w:eastAsia="zh-CN"/>
        </w:rPr>
        <w:t xml:space="preserve">: </w:t>
      </w:r>
      <w:r>
        <w:rPr>
          <w:rFonts w:hint="eastAsia" w:ascii="Arial" w:cs="Arial"/>
          <w:bCs/>
          <w:color w:val="auto"/>
          <w:sz w:val="36"/>
          <w:szCs w:val="36"/>
          <w:u w:val="single"/>
          <w:lang w:eastAsia="zh-CN"/>
        </w:rPr>
        <w:t>宁海县第一医院医疗健康集团北部医院食堂外包服务项目</w:t>
      </w:r>
    </w:p>
    <w:p w14:paraId="1CB9C98D">
      <w:pPr>
        <w:keepNext w:val="0"/>
        <w:keepLines w:val="0"/>
        <w:pageBreakBefore w:val="0"/>
        <w:widowControl w:val="0"/>
        <w:kinsoku/>
        <w:wordWrap/>
        <w:overflowPunct/>
        <w:topLinePunct w:val="0"/>
        <w:autoSpaceDE/>
        <w:autoSpaceDN/>
        <w:bidi w:val="0"/>
        <w:adjustRightInd/>
        <w:snapToGrid/>
        <w:spacing w:line="800" w:lineRule="exact"/>
        <w:ind w:left="1485" w:leftChars="-150" w:hanging="1800" w:hangingChars="500"/>
        <w:textAlignment w:val="auto"/>
        <w:rPr>
          <w:rFonts w:hint="eastAsia" w:ascii="Arial" w:cs="Arial"/>
          <w:bCs/>
          <w:color w:val="auto"/>
          <w:sz w:val="36"/>
          <w:szCs w:val="36"/>
          <w:u w:val="single"/>
        </w:rPr>
      </w:pPr>
      <w:r>
        <w:rPr>
          <w:rFonts w:hint="eastAsia" w:ascii="Arial" w:cs="Arial"/>
          <w:bCs/>
          <w:color w:val="auto"/>
          <w:sz w:val="36"/>
          <w:szCs w:val="36"/>
        </w:rPr>
        <w:t>采购单位：</w:t>
      </w:r>
      <w:r>
        <w:rPr>
          <w:rFonts w:hint="eastAsia" w:ascii="Arial" w:cs="Arial"/>
          <w:bCs/>
          <w:color w:val="auto"/>
          <w:sz w:val="36"/>
          <w:szCs w:val="36"/>
          <w:u w:val="single"/>
          <w:lang w:val="zh-CN"/>
        </w:rPr>
        <w:t>宁海县梅林街道社区卫生服务中心（宁海县第一医院医疗健康集团北部医院）</w:t>
      </w:r>
      <w:r>
        <w:rPr>
          <w:rFonts w:hint="eastAsia" w:ascii="Arial" w:cs="Arial"/>
          <w:bCs/>
          <w:color w:val="auto"/>
          <w:sz w:val="36"/>
          <w:szCs w:val="36"/>
          <w:u w:val="single"/>
          <w:lang w:val="en-US" w:eastAsia="zh-CN"/>
        </w:rPr>
        <w:t xml:space="preserve">         </w:t>
      </w:r>
      <w:bookmarkStart w:id="24" w:name="_GoBack"/>
      <w:bookmarkEnd w:id="24"/>
      <w:r>
        <w:rPr>
          <w:rFonts w:hint="eastAsia" w:ascii="Arial" w:cs="Arial"/>
          <w:bCs/>
          <w:color w:val="auto"/>
          <w:sz w:val="36"/>
          <w:szCs w:val="36"/>
          <w:u w:val="single"/>
        </w:rPr>
        <w:t>（盖章）</w:t>
      </w:r>
    </w:p>
    <w:p w14:paraId="4480C0C9">
      <w:pPr>
        <w:keepNext w:val="0"/>
        <w:keepLines w:val="0"/>
        <w:pageBreakBefore w:val="0"/>
        <w:widowControl w:val="0"/>
        <w:kinsoku/>
        <w:wordWrap/>
        <w:overflowPunct/>
        <w:topLinePunct w:val="0"/>
        <w:autoSpaceDE/>
        <w:autoSpaceDN/>
        <w:bidi w:val="0"/>
        <w:adjustRightInd/>
        <w:snapToGrid/>
        <w:spacing w:line="800" w:lineRule="exact"/>
        <w:ind w:left="-315" w:leftChars="-150"/>
        <w:textAlignment w:val="auto"/>
        <w:rPr>
          <w:rFonts w:hint="eastAsia" w:ascii="Arial" w:cs="Arial"/>
          <w:bCs/>
          <w:color w:val="auto"/>
          <w:sz w:val="36"/>
          <w:szCs w:val="36"/>
        </w:rPr>
      </w:pPr>
      <w:r>
        <w:rPr>
          <w:rFonts w:hint="eastAsia" w:ascii="Arial" w:cs="Arial"/>
          <w:bCs/>
          <w:color w:val="auto"/>
          <w:sz w:val="36"/>
          <w:szCs w:val="36"/>
        </w:rPr>
        <w:t>采购代理：</w:t>
      </w:r>
      <w:r>
        <w:rPr>
          <w:rFonts w:hint="eastAsia" w:ascii="Arial" w:cs="Arial"/>
          <w:bCs/>
          <w:color w:val="auto"/>
          <w:sz w:val="36"/>
          <w:szCs w:val="36"/>
          <w:u w:val="single"/>
          <w:lang w:eastAsia="zh-CN"/>
        </w:rPr>
        <w:t>浙江信望工程咨询有限公司</w:t>
      </w:r>
      <w:r>
        <w:rPr>
          <w:rFonts w:hint="eastAsia" w:ascii="Arial" w:cs="Arial"/>
          <w:bCs/>
          <w:color w:val="auto"/>
          <w:sz w:val="36"/>
          <w:szCs w:val="36"/>
          <w:u w:val="single"/>
          <w:lang w:val="en-US" w:eastAsia="zh-CN"/>
        </w:rPr>
        <w:t xml:space="preserve">           </w:t>
      </w:r>
      <w:r>
        <w:rPr>
          <w:rFonts w:hint="eastAsia" w:ascii="Arial" w:cs="Arial"/>
          <w:bCs/>
          <w:color w:val="auto"/>
          <w:sz w:val="36"/>
          <w:szCs w:val="36"/>
          <w:u w:val="single"/>
        </w:rPr>
        <w:t>（盖章）</w:t>
      </w:r>
    </w:p>
    <w:p w14:paraId="1CE13869">
      <w:pPr>
        <w:keepNext w:val="0"/>
        <w:keepLines w:val="0"/>
        <w:pageBreakBefore w:val="0"/>
        <w:widowControl w:val="0"/>
        <w:kinsoku/>
        <w:wordWrap/>
        <w:overflowPunct/>
        <w:topLinePunct w:val="0"/>
        <w:autoSpaceDE/>
        <w:autoSpaceDN/>
        <w:bidi w:val="0"/>
        <w:adjustRightInd/>
        <w:snapToGrid/>
        <w:ind w:left="-315" w:leftChars="-150"/>
        <w:textAlignment w:val="auto"/>
        <w:rPr>
          <w:rFonts w:hint="eastAsia"/>
          <w:color w:val="auto"/>
        </w:rPr>
      </w:pPr>
    </w:p>
    <w:p w14:paraId="1DB3F05D">
      <w:pPr>
        <w:rPr>
          <w:rFonts w:hint="eastAsia"/>
          <w:color w:val="auto"/>
        </w:rPr>
      </w:pPr>
    </w:p>
    <w:p w14:paraId="4DE53AE3">
      <w:pPr>
        <w:rPr>
          <w:rFonts w:hint="eastAsia"/>
          <w:color w:val="auto"/>
        </w:rPr>
      </w:pPr>
    </w:p>
    <w:p w14:paraId="7FEDDECB">
      <w:pPr>
        <w:rPr>
          <w:rFonts w:hint="eastAsia"/>
          <w:color w:val="auto"/>
        </w:rPr>
      </w:pPr>
    </w:p>
    <w:p w14:paraId="5DB248F6">
      <w:pPr>
        <w:rPr>
          <w:rFonts w:hint="eastAsia"/>
          <w:color w:val="auto"/>
        </w:rPr>
      </w:pPr>
    </w:p>
    <w:p w14:paraId="6492D00A">
      <w:pPr>
        <w:rPr>
          <w:rFonts w:hint="eastAsia"/>
          <w:color w:val="auto"/>
        </w:rPr>
      </w:pPr>
    </w:p>
    <w:p w14:paraId="7218531D">
      <w:pPr>
        <w:rPr>
          <w:color w:val="auto"/>
        </w:rPr>
      </w:pPr>
    </w:p>
    <w:p w14:paraId="71D8B71E">
      <w:pPr>
        <w:rPr>
          <w:color w:val="auto"/>
        </w:rPr>
      </w:pPr>
    </w:p>
    <w:p w14:paraId="2026B83F">
      <w:pPr>
        <w:jc w:val="center"/>
        <w:rPr>
          <w:rFonts w:hint="eastAsia" w:ascii="Arial" w:hAnsi="Arial" w:cs="Arial"/>
          <w:bCs/>
          <w:color w:val="auto"/>
          <w:sz w:val="44"/>
          <w:szCs w:val="44"/>
        </w:rPr>
      </w:pPr>
    </w:p>
    <w:p w14:paraId="057D3704">
      <w:pPr>
        <w:spacing w:line="500" w:lineRule="exact"/>
        <w:ind w:right="-420" w:rightChars="-200"/>
        <w:jc w:val="center"/>
        <w:rPr>
          <w:rFonts w:hint="eastAsia" w:ascii="宋体" w:hAnsi="宋体"/>
          <w:color w:val="auto"/>
          <w:sz w:val="44"/>
        </w:rPr>
      </w:pPr>
      <w:r>
        <w:rPr>
          <w:rFonts w:hint="eastAsia" w:ascii="Arial" w:cs="Arial"/>
          <w:bCs/>
          <w:color w:val="auto"/>
          <w:sz w:val="44"/>
          <w:szCs w:val="44"/>
        </w:rPr>
        <w:t>二〇二</w:t>
      </w:r>
      <w:r>
        <w:rPr>
          <w:rFonts w:hint="eastAsia" w:ascii="Arial" w:cs="Arial"/>
          <w:bCs/>
          <w:color w:val="auto"/>
          <w:sz w:val="44"/>
          <w:szCs w:val="44"/>
          <w:lang w:val="en-US" w:eastAsia="zh-CN"/>
        </w:rPr>
        <w:t>五</w:t>
      </w:r>
      <w:r>
        <w:rPr>
          <w:rFonts w:hint="eastAsia" w:ascii="Arial" w:cs="Arial"/>
          <w:bCs/>
          <w:color w:val="auto"/>
          <w:sz w:val="44"/>
          <w:szCs w:val="44"/>
        </w:rPr>
        <w:t>年</w:t>
      </w:r>
      <w:r>
        <w:rPr>
          <w:rFonts w:hint="eastAsia" w:ascii="Arial" w:cs="Arial"/>
          <w:bCs/>
          <w:color w:val="auto"/>
          <w:sz w:val="44"/>
          <w:szCs w:val="44"/>
          <w:lang w:val="en-US" w:eastAsia="zh-CN"/>
        </w:rPr>
        <w:t>三</w:t>
      </w:r>
      <w:r>
        <w:rPr>
          <w:rFonts w:hint="eastAsia" w:ascii="Arial" w:cs="Arial"/>
          <w:bCs/>
          <w:color w:val="auto"/>
          <w:sz w:val="44"/>
          <w:szCs w:val="44"/>
        </w:rPr>
        <w:t>月</w:t>
      </w:r>
      <w:r>
        <w:rPr>
          <w:rFonts w:ascii="宋体"/>
          <w:b/>
          <w:color w:val="auto"/>
          <w:sz w:val="52"/>
        </w:rPr>
        <w:br w:type="page"/>
      </w:r>
    </w:p>
    <w:p w14:paraId="47D0B743">
      <w:pPr>
        <w:spacing w:line="500" w:lineRule="exact"/>
        <w:ind w:right="-420" w:rightChars="-200"/>
        <w:jc w:val="center"/>
        <w:rPr>
          <w:rFonts w:hint="eastAsia" w:ascii="宋体" w:hAnsi="宋体"/>
          <w:color w:val="auto"/>
          <w:sz w:val="44"/>
        </w:rPr>
      </w:pPr>
    </w:p>
    <w:p w14:paraId="789F0FD7">
      <w:pPr>
        <w:spacing w:line="500" w:lineRule="exact"/>
        <w:ind w:right="-420" w:rightChars="-200"/>
        <w:jc w:val="center"/>
        <w:rPr>
          <w:rFonts w:hint="eastAsia" w:ascii="宋体" w:hAnsi="宋体"/>
          <w:color w:val="auto"/>
          <w:sz w:val="44"/>
        </w:rPr>
      </w:pPr>
    </w:p>
    <w:p w14:paraId="3129D757">
      <w:pPr>
        <w:spacing w:line="500" w:lineRule="exact"/>
        <w:ind w:right="-420" w:rightChars="-200"/>
        <w:jc w:val="center"/>
        <w:rPr>
          <w:rFonts w:hint="eastAsia" w:ascii="宋体" w:hAnsi="宋体"/>
          <w:color w:val="auto"/>
          <w:sz w:val="44"/>
        </w:rPr>
      </w:pPr>
    </w:p>
    <w:p w14:paraId="2126088A">
      <w:pPr>
        <w:spacing w:line="500" w:lineRule="exact"/>
        <w:ind w:right="-420" w:rightChars="-200"/>
        <w:jc w:val="center"/>
        <w:rPr>
          <w:rFonts w:hint="eastAsia" w:ascii="宋体" w:hAnsi="宋体"/>
          <w:color w:val="auto"/>
          <w:sz w:val="44"/>
        </w:rPr>
      </w:pPr>
    </w:p>
    <w:p w14:paraId="4663EAD2">
      <w:pPr>
        <w:spacing w:line="500" w:lineRule="exact"/>
        <w:ind w:right="-420" w:rightChars="-200"/>
        <w:jc w:val="center"/>
        <w:rPr>
          <w:rFonts w:hint="eastAsia" w:ascii="宋体" w:hAnsi="宋体"/>
          <w:color w:val="auto"/>
          <w:sz w:val="44"/>
        </w:rPr>
      </w:pPr>
    </w:p>
    <w:p w14:paraId="4FA75AD9">
      <w:pPr>
        <w:spacing w:line="500" w:lineRule="exact"/>
        <w:ind w:right="-420" w:rightChars="-200"/>
        <w:jc w:val="center"/>
        <w:rPr>
          <w:rFonts w:hint="eastAsia" w:ascii="宋体" w:hAnsi="宋体"/>
          <w:color w:val="auto"/>
          <w:sz w:val="44"/>
        </w:rPr>
      </w:pPr>
    </w:p>
    <w:p w14:paraId="51EC0B12">
      <w:pPr>
        <w:spacing w:line="500" w:lineRule="exact"/>
        <w:ind w:right="-420" w:rightChars="-200"/>
        <w:jc w:val="center"/>
        <w:rPr>
          <w:rFonts w:hint="eastAsia" w:ascii="宋体" w:hAnsi="宋体"/>
          <w:color w:val="auto"/>
          <w:sz w:val="44"/>
        </w:rPr>
      </w:pPr>
    </w:p>
    <w:p w14:paraId="6D026383">
      <w:pPr>
        <w:spacing w:line="500" w:lineRule="exact"/>
        <w:ind w:right="-420" w:rightChars="-200"/>
        <w:jc w:val="center"/>
        <w:rPr>
          <w:rFonts w:hint="eastAsia" w:ascii="宋体" w:hAnsi="宋体"/>
          <w:color w:val="auto"/>
          <w:sz w:val="44"/>
        </w:rPr>
      </w:pPr>
    </w:p>
    <w:p w14:paraId="466A7A15">
      <w:pPr>
        <w:spacing w:line="500" w:lineRule="exact"/>
        <w:ind w:right="-420" w:rightChars="-200"/>
        <w:jc w:val="center"/>
        <w:rPr>
          <w:rFonts w:hint="eastAsia" w:ascii="宋体" w:hAnsi="宋体"/>
          <w:color w:val="auto"/>
          <w:sz w:val="44"/>
        </w:rPr>
      </w:pPr>
    </w:p>
    <w:p w14:paraId="6064EE77">
      <w:pPr>
        <w:spacing w:line="500" w:lineRule="exact"/>
        <w:ind w:right="-420" w:rightChars="-200"/>
        <w:jc w:val="center"/>
        <w:rPr>
          <w:rFonts w:hint="eastAsia" w:ascii="宋体" w:hAnsi="宋体"/>
          <w:color w:val="auto"/>
          <w:sz w:val="44"/>
        </w:rPr>
      </w:pPr>
    </w:p>
    <w:p w14:paraId="785DD7DB">
      <w:pPr>
        <w:spacing w:line="500" w:lineRule="exact"/>
        <w:ind w:right="-420" w:rightChars="-200"/>
        <w:jc w:val="center"/>
        <w:rPr>
          <w:rFonts w:hint="eastAsia" w:ascii="宋体" w:hAnsi="宋体"/>
          <w:color w:val="auto"/>
          <w:sz w:val="44"/>
        </w:rPr>
      </w:pPr>
    </w:p>
    <w:p w14:paraId="5B46ACE8">
      <w:pPr>
        <w:spacing w:line="500" w:lineRule="exact"/>
        <w:ind w:right="-420" w:rightChars="-200"/>
        <w:jc w:val="center"/>
        <w:rPr>
          <w:rFonts w:hint="eastAsia" w:ascii="宋体" w:hAnsi="宋体"/>
          <w:color w:val="auto"/>
          <w:sz w:val="44"/>
        </w:rPr>
      </w:pPr>
    </w:p>
    <w:p w14:paraId="3C891680">
      <w:pPr>
        <w:spacing w:line="500" w:lineRule="exact"/>
        <w:ind w:right="-420" w:rightChars="-200"/>
        <w:jc w:val="center"/>
        <w:rPr>
          <w:rFonts w:hint="eastAsia" w:ascii="宋体" w:hAnsi="宋体"/>
          <w:color w:val="auto"/>
          <w:sz w:val="44"/>
        </w:rPr>
      </w:pPr>
    </w:p>
    <w:p w14:paraId="6466DAB8">
      <w:pPr>
        <w:spacing w:line="500" w:lineRule="exact"/>
        <w:ind w:right="-420" w:rightChars="-200"/>
        <w:jc w:val="center"/>
        <w:rPr>
          <w:rFonts w:hint="eastAsia" w:ascii="宋体" w:hAnsi="宋体"/>
          <w:color w:val="auto"/>
          <w:sz w:val="44"/>
        </w:rPr>
      </w:pPr>
    </w:p>
    <w:p w14:paraId="25EBBAB5">
      <w:pPr>
        <w:spacing w:line="500" w:lineRule="exact"/>
        <w:ind w:right="-420" w:rightChars="-200"/>
        <w:jc w:val="center"/>
        <w:rPr>
          <w:rFonts w:hint="eastAsia" w:ascii="宋体" w:hAnsi="宋体"/>
          <w:color w:val="auto"/>
          <w:sz w:val="44"/>
        </w:rPr>
      </w:pPr>
    </w:p>
    <w:p w14:paraId="4ED9631B">
      <w:pPr>
        <w:spacing w:line="500" w:lineRule="exact"/>
        <w:ind w:right="-420" w:rightChars="-200"/>
        <w:jc w:val="center"/>
        <w:rPr>
          <w:rFonts w:hint="eastAsia" w:ascii="宋体" w:hAnsi="宋体"/>
          <w:color w:val="auto"/>
          <w:sz w:val="44"/>
        </w:rPr>
      </w:pPr>
    </w:p>
    <w:p w14:paraId="53D05E0C">
      <w:pPr>
        <w:spacing w:line="500" w:lineRule="exact"/>
        <w:ind w:right="-420" w:rightChars="-200"/>
        <w:jc w:val="center"/>
        <w:rPr>
          <w:rFonts w:hint="eastAsia" w:ascii="宋体" w:hAnsi="宋体"/>
          <w:color w:val="auto"/>
          <w:sz w:val="44"/>
        </w:rPr>
      </w:pPr>
    </w:p>
    <w:p w14:paraId="38F86D38">
      <w:pPr>
        <w:spacing w:line="500" w:lineRule="exact"/>
        <w:ind w:right="-420" w:rightChars="-200"/>
        <w:jc w:val="center"/>
        <w:rPr>
          <w:rFonts w:hint="eastAsia" w:ascii="宋体" w:hAnsi="宋体"/>
          <w:color w:val="auto"/>
          <w:sz w:val="44"/>
        </w:rPr>
      </w:pPr>
    </w:p>
    <w:p w14:paraId="69A4AAE6">
      <w:pPr>
        <w:spacing w:line="500" w:lineRule="exact"/>
        <w:ind w:right="-420" w:rightChars="-200"/>
        <w:jc w:val="center"/>
        <w:rPr>
          <w:rFonts w:hint="eastAsia" w:ascii="宋体" w:hAnsi="宋体"/>
          <w:color w:val="auto"/>
          <w:sz w:val="44"/>
        </w:rPr>
      </w:pPr>
    </w:p>
    <w:p w14:paraId="3BC33A87">
      <w:pPr>
        <w:spacing w:line="500" w:lineRule="exact"/>
        <w:ind w:right="-420" w:rightChars="-200"/>
        <w:jc w:val="center"/>
        <w:rPr>
          <w:rFonts w:hint="eastAsia" w:ascii="宋体" w:hAnsi="宋体"/>
          <w:color w:val="auto"/>
          <w:sz w:val="44"/>
        </w:rPr>
      </w:pPr>
    </w:p>
    <w:p w14:paraId="69AC313E">
      <w:pPr>
        <w:spacing w:line="500" w:lineRule="exact"/>
        <w:ind w:right="-420" w:rightChars="-200"/>
        <w:jc w:val="center"/>
        <w:rPr>
          <w:rFonts w:hint="eastAsia" w:ascii="宋体" w:hAnsi="宋体"/>
          <w:color w:val="auto"/>
          <w:sz w:val="44"/>
        </w:rPr>
      </w:pPr>
    </w:p>
    <w:p w14:paraId="3D908AB6">
      <w:pPr>
        <w:spacing w:line="500" w:lineRule="exact"/>
        <w:ind w:right="-420" w:rightChars="-200"/>
        <w:jc w:val="center"/>
        <w:rPr>
          <w:rFonts w:hint="eastAsia" w:ascii="宋体" w:hAnsi="宋体"/>
          <w:color w:val="auto"/>
          <w:sz w:val="44"/>
        </w:rPr>
      </w:pPr>
    </w:p>
    <w:p w14:paraId="795B3B09">
      <w:pPr>
        <w:spacing w:line="500" w:lineRule="exact"/>
        <w:ind w:right="-420" w:rightChars="-200"/>
        <w:jc w:val="center"/>
        <w:rPr>
          <w:rFonts w:hint="eastAsia" w:ascii="宋体" w:hAnsi="宋体"/>
          <w:color w:val="auto"/>
          <w:sz w:val="44"/>
        </w:rPr>
      </w:pPr>
    </w:p>
    <w:p w14:paraId="66DC2DA7">
      <w:pPr>
        <w:spacing w:line="500" w:lineRule="exact"/>
        <w:ind w:right="-420" w:rightChars="-200"/>
        <w:jc w:val="center"/>
        <w:rPr>
          <w:rFonts w:hint="eastAsia" w:ascii="宋体" w:hAnsi="宋体"/>
          <w:color w:val="auto"/>
          <w:sz w:val="44"/>
        </w:rPr>
      </w:pPr>
    </w:p>
    <w:p w14:paraId="38941FC8">
      <w:pPr>
        <w:spacing w:line="500" w:lineRule="exact"/>
        <w:ind w:right="-420" w:rightChars="-200"/>
        <w:jc w:val="center"/>
        <w:rPr>
          <w:rFonts w:hint="eastAsia" w:ascii="宋体" w:hAnsi="宋体"/>
          <w:color w:val="auto"/>
          <w:sz w:val="44"/>
        </w:rPr>
      </w:pPr>
    </w:p>
    <w:p w14:paraId="5B175A13">
      <w:pPr>
        <w:spacing w:line="500" w:lineRule="exact"/>
        <w:ind w:right="-420" w:rightChars="-200"/>
        <w:jc w:val="center"/>
        <w:rPr>
          <w:rFonts w:hint="eastAsia" w:ascii="宋体" w:hAnsi="宋体"/>
          <w:color w:val="auto"/>
          <w:sz w:val="44"/>
        </w:rPr>
      </w:pPr>
    </w:p>
    <w:p w14:paraId="2EDC2D3E">
      <w:pPr>
        <w:spacing w:line="500" w:lineRule="exact"/>
        <w:ind w:right="-420" w:rightChars="-200"/>
        <w:jc w:val="center"/>
        <w:rPr>
          <w:rFonts w:hint="eastAsia" w:ascii="宋体" w:hAnsi="宋体"/>
          <w:color w:val="auto"/>
          <w:sz w:val="44"/>
        </w:rPr>
      </w:pPr>
    </w:p>
    <w:p w14:paraId="14620D5E">
      <w:pPr>
        <w:spacing w:line="500" w:lineRule="exact"/>
        <w:ind w:right="-420" w:rightChars="-200"/>
        <w:jc w:val="center"/>
        <w:rPr>
          <w:rFonts w:hint="eastAsia" w:ascii="宋体" w:hAnsi="宋体"/>
          <w:color w:val="auto"/>
          <w:sz w:val="44"/>
        </w:rPr>
        <w:sectPr>
          <w:headerReference r:id="rId3" w:type="default"/>
          <w:footerReference r:id="rId4" w:type="even"/>
          <w:pgSz w:w="11907" w:h="16840"/>
          <w:pgMar w:top="1702" w:right="1275" w:bottom="851" w:left="1418" w:header="1134" w:footer="1134" w:gutter="0"/>
          <w:pgNumType w:start="1"/>
          <w:cols w:space="720" w:num="1"/>
          <w:docGrid w:linePitch="285" w:charSpace="0"/>
        </w:sectPr>
      </w:pPr>
    </w:p>
    <w:p w14:paraId="555291DA">
      <w:pPr>
        <w:spacing w:line="500" w:lineRule="exact"/>
        <w:ind w:right="-420" w:rightChars="-200"/>
        <w:jc w:val="center"/>
        <w:rPr>
          <w:rFonts w:hint="eastAsia" w:ascii="宋体" w:hAnsi="宋体"/>
          <w:color w:val="auto"/>
          <w:sz w:val="44"/>
        </w:rPr>
      </w:pPr>
    </w:p>
    <w:p w14:paraId="7D27A344">
      <w:pPr>
        <w:spacing w:line="500" w:lineRule="exact"/>
        <w:ind w:right="-420" w:rightChars="-200"/>
        <w:jc w:val="center"/>
        <w:rPr>
          <w:rFonts w:ascii="宋体" w:hAnsi="宋体"/>
          <w:color w:val="auto"/>
          <w:sz w:val="44"/>
        </w:rPr>
      </w:pPr>
      <w:r>
        <w:rPr>
          <w:rFonts w:hint="eastAsia" w:ascii="宋体" w:hAnsi="宋体"/>
          <w:color w:val="auto"/>
          <w:sz w:val="44"/>
        </w:rPr>
        <w:t>目    录</w:t>
      </w:r>
    </w:p>
    <w:p w14:paraId="36FCE59B">
      <w:pPr>
        <w:spacing w:line="480" w:lineRule="auto"/>
        <w:ind w:right="-420" w:rightChars="-200"/>
        <w:rPr>
          <w:rFonts w:hint="eastAsia" w:ascii="宋体"/>
          <w:color w:val="auto"/>
          <w:sz w:val="28"/>
        </w:rPr>
      </w:pPr>
    </w:p>
    <w:p w14:paraId="19019134">
      <w:pPr>
        <w:numPr>
          <w:ilvl w:val="0"/>
          <w:numId w:val="0"/>
        </w:numPr>
        <w:tabs>
          <w:tab w:val="left" w:pos="180"/>
        </w:tabs>
        <w:spacing w:line="480" w:lineRule="auto"/>
        <w:ind w:right="-420" w:rightChars="-200" w:firstLine="560" w:firstLineChars="200"/>
        <w:rPr>
          <w:rFonts w:hAnsi="Arial"/>
          <w:color w:val="auto"/>
          <w:sz w:val="28"/>
        </w:rPr>
      </w:pPr>
      <w:r>
        <w:rPr>
          <w:rFonts w:hint="eastAsia" w:hAnsi="Arial"/>
          <w:color w:val="auto"/>
          <w:sz w:val="28"/>
          <w:lang w:val="en-US" w:eastAsia="zh-CN"/>
        </w:rPr>
        <w:t>第一部分    邀请供应商</w:t>
      </w:r>
    </w:p>
    <w:p w14:paraId="6B919CCC">
      <w:pPr>
        <w:numPr>
          <w:ilvl w:val="0"/>
          <w:numId w:val="0"/>
        </w:numPr>
        <w:tabs>
          <w:tab w:val="left" w:pos="180"/>
        </w:tabs>
        <w:spacing w:line="480" w:lineRule="auto"/>
        <w:ind w:right="-420" w:rightChars="-200" w:firstLine="560" w:firstLineChars="200"/>
        <w:rPr>
          <w:rFonts w:hint="default" w:eastAsia="宋体"/>
          <w:color w:val="auto"/>
          <w:sz w:val="28"/>
          <w:lang w:val="en-US" w:eastAsia="zh-CN"/>
        </w:rPr>
      </w:pPr>
      <w:r>
        <w:rPr>
          <w:rFonts w:hAnsi="Arial"/>
          <w:color w:val="auto"/>
          <w:sz w:val="28"/>
        </w:rPr>
        <w:t>第二部分</w:t>
      </w:r>
      <w:r>
        <w:rPr>
          <w:color w:val="auto"/>
          <w:sz w:val="28"/>
        </w:rPr>
        <w:t xml:space="preserve"> </w:t>
      </w:r>
      <w:r>
        <w:rPr>
          <w:rFonts w:hint="eastAsia"/>
          <w:color w:val="auto"/>
          <w:sz w:val="28"/>
          <w:lang w:val="en-US" w:eastAsia="zh-CN"/>
        </w:rPr>
        <w:t xml:space="preserve">   竞争性磋商流程</w:t>
      </w:r>
    </w:p>
    <w:p w14:paraId="69BFA9E3">
      <w:pPr>
        <w:numPr>
          <w:ilvl w:val="0"/>
          <w:numId w:val="0"/>
        </w:numPr>
        <w:tabs>
          <w:tab w:val="left" w:pos="180"/>
        </w:tabs>
        <w:spacing w:line="480" w:lineRule="auto"/>
        <w:ind w:right="-420" w:rightChars="-200" w:firstLine="560" w:firstLineChars="200"/>
        <w:rPr>
          <w:rFonts w:hint="eastAsia" w:ascii="Times New Roman" w:hAnsi="Arial" w:eastAsia="宋体" w:cs="Times New Roman"/>
          <w:color w:val="auto"/>
          <w:sz w:val="28"/>
        </w:rPr>
      </w:pPr>
      <w:r>
        <w:rPr>
          <w:rFonts w:hAnsi="Arial"/>
          <w:color w:val="auto"/>
          <w:sz w:val="28"/>
        </w:rPr>
        <w:t>第三部分</w:t>
      </w:r>
      <w:r>
        <w:rPr>
          <w:color w:val="auto"/>
          <w:sz w:val="28"/>
        </w:rPr>
        <w:t xml:space="preserve"> </w:t>
      </w:r>
      <w:r>
        <w:rPr>
          <w:rFonts w:hint="eastAsia"/>
          <w:color w:val="auto"/>
          <w:sz w:val="28"/>
          <w:lang w:val="en-US" w:eastAsia="zh-CN"/>
        </w:rPr>
        <w:t xml:space="preserve">   </w:t>
      </w:r>
      <w:r>
        <w:rPr>
          <w:rFonts w:hint="eastAsia" w:ascii="Times New Roman" w:hAnsi="Arial" w:eastAsia="宋体" w:cs="Times New Roman"/>
          <w:color w:val="auto"/>
          <w:sz w:val="28"/>
        </w:rPr>
        <w:t>供应商须知</w:t>
      </w:r>
    </w:p>
    <w:p w14:paraId="6F950D19">
      <w:pPr>
        <w:numPr>
          <w:ilvl w:val="0"/>
          <w:numId w:val="0"/>
        </w:numPr>
        <w:tabs>
          <w:tab w:val="left" w:pos="180"/>
        </w:tabs>
        <w:spacing w:line="480" w:lineRule="auto"/>
        <w:ind w:right="-420" w:rightChars="-200" w:firstLine="560" w:firstLineChars="200"/>
        <w:rPr>
          <w:rFonts w:hint="default" w:hAnsi="Arial" w:cs="Times New Roman"/>
          <w:color w:val="auto"/>
          <w:sz w:val="28"/>
          <w:lang w:val="en-US" w:eastAsia="zh-CN"/>
        </w:rPr>
      </w:pPr>
      <w:r>
        <w:rPr>
          <w:rFonts w:ascii="Times New Roman" w:hAnsi="Arial" w:eastAsia="宋体" w:cs="Times New Roman"/>
          <w:color w:val="auto"/>
          <w:sz w:val="28"/>
        </w:rPr>
        <w:t xml:space="preserve">第四部分 </w:t>
      </w:r>
      <w:r>
        <w:rPr>
          <w:rFonts w:hint="eastAsia" w:hAnsi="Arial" w:cs="Times New Roman"/>
          <w:color w:val="auto"/>
          <w:sz w:val="28"/>
          <w:lang w:val="en-US" w:eastAsia="zh-CN"/>
        </w:rPr>
        <w:t xml:space="preserve">   采购需求</w:t>
      </w:r>
    </w:p>
    <w:p w14:paraId="109226CB">
      <w:pPr>
        <w:numPr>
          <w:ilvl w:val="0"/>
          <w:numId w:val="0"/>
        </w:numPr>
        <w:tabs>
          <w:tab w:val="left" w:pos="180"/>
        </w:tabs>
        <w:spacing w:line="480" w:lineRule="auto"/>
        <w:ind w:right="-420" w:rightChars="-200" w:firstLine="560" w:firstLineChars="200"/>
        <w:rPr>
          <w:rFonts w:ascii="Times New Roman" w:hAnsi="Arial" w:eastAsia="宋体" w:cs="Times New Roman"/>
          <w:color w:val="auto"/>
          <w:sz w:val="28"/>
        </w:rPr>
      </w:pPr>
      <w:r>
        <w:rPr>
          <w:rFonts w:hint="eastAsia" w:hAnsi="Arial" w:cs="Times New Roman"/>
          <w:color w:val="auto"/>
          <w:sz w:val="28"/>
          <w:lang w:val="en-US" w:eastAsia="zh-CN"/>
        </w:rPr>
        <w:t xml:space="preserve">第五部分    </w:t>
      </w:r>
      <w:r>
        <w:rPr>
          <w:rFonts w:ascii="Times New Roman" w:hAnsi="Arial" w:eastAsia="宋体" w:cs="Times New Roman"/>
          <w:color w:val="auto"/>
          <w:sz w:val="28"/>
        </w:rPr>
        <w:t>评定</w:t>
      </w:r>
      <w:r>
        <w:rPr>
          <w:rFonts w:hint="eastAsia" w:hAnsi="Arial" w:cs="Times New Roman"/>
          <w:color w:val="auto"/>
          <w:sz w:val="28"/>
          <w:lang w:val="en-US" w:eastAsia="zh-CN"/>
        </w:rPr>
        <w:t>方法及评审</w:t>
      </w:r>
      <w:r>
        <w:rPr>
          <w:rFonts w:ascii="Times New Roman" w:hAnsi="Arial" w:eastAsia="宋体" w:cs="Times New Roman"/>
          <w:color w:val="auto"/>
          <w:sz w:val="28"/>
        </w:rPr>
        <w:t>标准</w:t>
      </w:r>
    </w:p>
    <w:p w14:paraId="7599A4EA">
      <w:pPr>
        <w:tabs>
          <w:tab w:val="left" w:pos="180"/>
        </w:tabs>
        <w:spacing w:line="480" w:lineRule="auto"/>
        <w:ind w:right="-420" w:rightChars="-200" w:firstLine="560" w:firstLineChars="200"/>
        <w:rPr>
          <w:rFonts w:hint="default" w:hAnsi="Arial" w:eastAsia="宋体"/>
          <w:color w:val="auto"/>
          <w:sz w:val="28"/>
          <w:lang w:val="en-US" w:eastAsia="zh-CN"/>
        </w:rPr>
      </w:pPr>
      <w:r>
        <w:rPr>
          <w:rFonts w:hAnsi="Arial"/>
          <w:color w:val="auto"/>
          <w:sz w:val="28"/>
        </w:rPr>
        <w:t>第</w:t>
      </w:r>
      <w:r>
        <w:rPr>
          <w:rFonts w:hint="eastAsia" w:hAnsi="Arial"/>
          <w:color w:val="auto"/>
          <w:sz w:val="28"/>
          <w:lang w:val="en-US" w:eastAsia="zh-CN"/>
        </w:rPr>
        <w:t>六</w:t>
      </w:r>
      <w:r>
        <w:rPr>
          <w:rFonts w:hAnsi="Arial"/>
          <w:color w:val="auto"/>
          <w:sz w:val="28"/>
        </w:rPr>
        <w:t>部分</w:t>
      </w:r>
      <w:r>
        <w:rPr>
          <w:color w:val="auto"/>
          <w:sz w:val="28"/>
        </w:rPr>
        <w:t xml:space="preserve"> </w:t>
      </w:r>
      <w:r>
        <w:rPr>
          <w:rFonts w:hint="eastAsia"/>
          <w:color w:val="auto"/>
          <w:sz w:val="28"/>
          <w:lang w:val="en-US" w:eastAsia="zh-CN"/>
        </w:rPr>
        <w:t xml:space="preserve">   </w:t>
      </w:r>
      <w:r>
        <w:rPr>
          <w:rFonts w:hint="eastAsia" w:hAnsi="Arial"/>
          <w:color w:val="auto"/>
          <w:sz w:val="28"/>
          <w:lang w:val="en-US" w:eastAsia="zh-CN"/>
        </w:rPr>
        <w:t>拟签订的合同文本</w:t>
      </w:r>
    </w:p>
    <w:p w14:paraId="03C02818">
      <w:pPr>
        <w:tabs>
          <w:tab w:val="left" w:pos="180"/>
        </w:tabs>
        <w:spacing w:line="480" w:lineRule="auto"/>
        <w:ind w:right="-420" w:rightChars="-200" w:firstLine="560" w:firstLineChars="200"/>
        <w:rPr>
          <w:rFonts w:hint="eastAsia" w:hAnsi="Arial"/>
          <w:color w:val="auto"/>
          <w:sz w:val="28"/>
          <w:lang w:val="en-US" w:eastAsia="zh-CN"/>
        </w:rPr>
      </w:pPr>
      <w:r>
        <w:rPr>
          <w:rFonts w:hAnsi="Arial"/>
          <w:color w:val="auto"/>
          <w:sz w:val="28"/>
        </w:rPr>
        <w:t>第</w:t>
      </w:r>
      <w:r>
        <w:rPr>
          <w:rFonts w:hint="eastAsia" w:hAnsi="Arial"/>
          <w:color w:val="auto"/>
          <w:sz w:val="28"/>
          <w:lang w:val="en-US" w:eastAsia="zh-CN"/>
        </w:rPr>
        <w:t>七</w:t>
      </w:r>
      <w:r>
        <w:rPr>
          <w:rFonts w:hAnsi="Arial"/>
          <w:color w:val="auto"/>
          <w:sz w:val="28"/>
        </w:rPr>
        <w:t>部分</w:t>
      </w:r>
      <w:r>
        <w:rPr>
          <w:color w:val="auto"/>
          <w:sz w:val="28"/>
        </w:rPr>
        <w:t xml:space="preserve"> </w:t>
      </w:r>
      <w:bookmarkStart w:id="0" w:name="_Toc462908582"/>
      <w:r>
        <w:rPr>
          <w:rFonts w:hint="eastAsia"/>
          <w:color w:val="auto"/>
          <w:sz w:val="28"/>
          <w:lang w:val="en-US" w:eastAsia="zh-CN"/>
        </w:rPr>
        <w:t xml:space="preserve">   </w:t>
      </w:r>
      <w:r>
        <w:rPr>
          <w:rFonts w:hint="eastAsia" w:hAnsi="Arial"/>
          <w:color w:val="auto"/>
          <w:sz w:val="28"/>
          <w:lang w:val="en-US" w:eastAsia="zh-CN"/>
        </w:rPr>
        <w:t>应提交的有关格式范例</w:t>
      </w:r>
    </w:p>
    <w:p w14:paraId="6895F3E9">
      <w:pPr>
        <w:pStyle w:val="3"/>
        <w:rPr>
          <w:rFonts w:hint="default"/>
          <w:lang w:val="en-US" w:eastAsia="zh-CN"/>
        </w:rPr>
      </w:pPr>
    </w:p>
    <w:p w14:paraId="799F4F79">
      <w:pPr>
        <w:pStyle w:val="30"/>
        <w:ind w:right="-420" w:rightChars="-200" w:firstLine="560"/>
        <w:rPr>
          <w:rFonts w:hint="eastAsia"/>
          <w:color w:val="auto"/>
          <w:sz w:val="28"/>
        </w:rPr>
      </w:pPr>
    </w:p>
    <w:p w14:paraId="259E34F6">
      <w:pPr>
        <w:pStyle w:val="30"/>
        <w:ind w:right="-420" w:rightChars="-200" w:firstLine="560"/>
        <w:rPr>
          <w:rFonts w:hint="eastAsia"/>
          <w:color w:val="auto"/>
          <w:sz w:val="28"/>
        </w:rPr>
      </w:pPr>
    </w:p>
    <w:p w14:paraId="31EB7414">
      <w:pPr>
        <w:pStyle w:val="30"/>
        <w:ind w:right="-420" w:rightChars="-200" w:firstLine="560"/>
        <w:rPr>
          <w:rFonts w:hint="eastAsia"/>
          <w:color w:val="auto"/>
          <w:sz w:val="28"/>
        </w:rPr>
      </w:pPr>
    </w:p>
    <w:p w14:paraId="46CB41DB">
      <w:pPr>
        <w:pStyle w:val="30"/>
        <w:ind w:right="-420" w:rightChars="-200" w:firstLine="560"/>
        <w:rPr>
          <w:rFonts w:hint="eastAsia"/>
          <w:color w:val="auto"/>
          <w:sz w:val="28"/>
        </w:rPr>
      </w:pPr>
    </w:p>
    <w:p w14:paraId="42C517F6">
      <w:pPr>
        <w:pStyle w:val="30"/>
        <w:ind w:right="-420" w:rightChars="-200" w:firstLine="560"/>
        <w:rPr>
          <w:rFonts w:hint="eastAsia"/>
          <w:color w:val="auto"/>
          <w:sz w:val="28"/>
        </w:rPr>
      </w:pPr>
    </w:p>
    <w:p w14:paraId="557B7D7E">
      <w:pPr>
        <w:pStyle w:val="30"/>
        <w:ind w:right="-420" w:rightChars="-200" w:firstLine="560"/>
        <w:rPr>
          <w:rFonts w:hint="eastAsia"/>
          <w:color w:val="auto"/>
          <w:sz w:val="28"/>
        </w:rPr>
      </w:pPr>
    </w:p>
    <w:p w14:paraId="2B8358AC">
      <w:pPr>
        <w:pStyle w:val="30"/>
        <w:ind w:right="-420" w:rightChars="-200" w:firstLine="560"/>
        <w:rPr>
          <w:rFonts w:hint="eastAsia"/>
          <w:color w:val="auto"/>
          <w:sz w:val="28"/>
        </w:rPr>
      </w:pPr>
    </w:p>
    <w:p w14:paraId="7416B118">
      <w:pPr>
        <w:pStyle w:val="30"/>
        <w:ind w:right="-420" w:rightChars="-200" w:firstLine="560"/>
        <w:rPr>
          <w:rFonts w:hint="eastAsia"/>
          <w:color w:val="auto"/>
          <w:sz w:val="28"/>
        </w:rPr>
      </w:pPr>
    </w:p>
    <w:p w14:paraId="49DF0188">
      <w:pPr>
        <w:pStyle w:val="30"/>
        <w:ind w:right="-420" w:rightChars="-200" w:firstLine="560"/>
        <w:rPr>
          <w:rFonts w:hint="eastAsia"/>
          <w:color w:val="auto"/>
          <w:sz w:val="28"/>
        </w:rPr>
      </w:pPr>
    </w:p>
    <w:p w14:paraId="54A238AC">
      <w:pPr>
        <w:pStyle w:val="30"/>
        <w:ind w:right="-420" w:rightChars="-200" w:firstLine="560"/>
        <w:rPr>
          <w:rFonts w:hint="eastAsia"/>
          <w:color w:val="auto"/>
          <w:sz w:val="28"/>
        </w:rPr>
      </w:pPr>
    </w:p>
    <w:p w14:paraId="2709C827">
      <w:pPr>
        <w:pStyle w:val="30"/>
        <w:ind w:right="-420" w:rightChars="-200" w:firstLine="560"/>
        <w:rPr>
          <w:rFonts w:hint="eastAsia"/>
          <w:color w:val="auto"/>
          <w:sz w:val="28"/>
        </w:rPr>
      </w:pPr>
    </w:p>
    <w:p w14:paraId="6559D11D">
      <w:pPr>
        <w:pStyle w:val="30"/>
        <w:ind w:right="-420" w:rightChars="-200" w:firstLine="560"/>
        <w:rPr>
          <w:rFonts w:hint="eastAsia"/>
          <w:color w:val="auto"/>
          <w:sz w:val="28"/>
        </w:rPr>
      </w:pPr>
    </w:p>
    <w:p w14:paraId="788C6D67">
      <w:pPr>
        <w:pStyle w:val="30"/>
        <w:ind w:right="-420" w:rightChars="-200" w:firstLine="560"/>
        <w:rPr>
          <w:rFonts w:hint="eastAsia"/>
          <w:color w:val="auto"/>
          <w:sz w:val="28"/>
        </w:rPr>
      </w:pPr>
    </w:p>
    <w:p w14:paraId="7030762E">
      <w:pPr>
        <w:pStyle w:val="30"/>
        <w:ind w:right="-420" w:rightChars="-200" w:firstLine="560"/>
        <w:rPr>
          <w:rFonts w:hint="eastAsia"/>
          <w:color w:val="auto"/>
          <w:sz w:val="28"/>
        </w:rPr>
      </w:pPr>
    </w:p>
    <w:p w14:paraId="002510FE">
      <w:pPr>
        <w:pStyle w:val="30"/>
        <w:ind w:right="-420" w:rightChars="-200" w:firstLine="560"/>
        <w:rPr>
          <w:rFonts w:hint="eastAsia"/>
          <w:color w:val="auto"/>
          <w:sz w:val="28"/>
        </w:rPr>
      </w:pPr>
    </w:p>
    <w:p w14:paraId="59F2459A">
      <w:pPr>
        <w:pStyle w:val="30"/>
        <w:ind w:left="0" w:leftChars="0" w:right="-420" w:rightChars="-200" w:firstLine="0" w:firstLineChars="0"/>
        <w:rPr>
          <w:rFonts w:hint="eastAsia"/>
          <w:color w:val="auto"/>
          <w:sz w:val="28"/>
        </w:rPr>
        <w:sectPr>
          <w:footerReference r:id="rId5" w:type="default"/>
          <w:pgSz w:w="11907" w:h="16840"/>
          <w:pgMar w:top="1702" w:right="1275" w:bottom="851" w:left="1418" w:header="1134" w:footer="1134" w:gutter="0"/>
          <w:pgNumType w:start="1"/>
          <w:cols w:space="720" w:num="1"/>
          <w:docGrid w:linePitch="285" w:charSpace="0"/>
        </w:sectPr>
      </w:pPr>
    </w:p>
    <w:p w14:paraId="0CC69848">
      <w:pPr>
        <w:spacing w:before="120" w:beforeLines="50" w:line="440" w:lineRule="exact"/>
        <w:ind w:right="-420" w:rightChars="-200"/>
        <w:jc w:val="both"/>
        <w:rPr>
          <w:rFonts w:hint="eastAsia"/>
          <w:b/>
          <w:color w:val="auto"/>
          <w:sz w:val="36"/>
          <w:szCs w:val="36"/>
        </w:rPr>
      </w:pPr>
    </w:p>
    <w:p w14:paraId="79D30C92">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第一部分  邀请供应商</w:t>
      </w:r>
    </w:p>
    <w:p w14:paraId="3BCAC6A2">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竞争性磋商邀请公告</w:t>
      </w:r>
    </w:p>
    <w:p w14:paraId="0E3C5C50">
      <w:pPr>
        <w:pStyle w:val="27"/>
        <w:widowControl/>
        <w:pBdr>
          <w:top w:val="single" w:color="auto" w:sz="4" w:space="1"/>
          <w:left w:val="single" w:color="auto" w:sz="4" w:space="4"/>
          <w:bottom w:val="single" w:color="auto" w:sz="4" w:space="1"/>
          <w:right w:val="single" w:color="auto" w:sz="4" w:space="4"/>
        </w:pBdr>
        <w:spacing w:before="75" w:beforeAutospacing="0" w:after="150" w:afterAutospacing="0" w:line="240" w:lineRule="auto"/>
        <w:rPr>
          <w:rFonts w:hint="eastAsia" w:ascii="宋体" w:hAnsi="宋体" w:cs="宋体"/>
          <w:b/>
          <w:bCs/>
          <w:color w:val="auto"/>
          <w:sz w:val="24"/>
          <w:szCs w:val="24"/>
        </w:rPr>
      </w:pPr>
      <w:r>
        <w:rPr>
          <w:rFonts w:hint="eastAsia" w:ascii="宋体" w:hAnsi="宋体" w:cs="宋体"/>
          <w:b/>
          <w:bCs/>
          <w:color w:val="auto"/>
          <w:sz w:val="24"/>
          <w:szCs w:val="24"/>
        </w:rPr>
        <w:t>项目概况 </w:t>
      </w:r>
    </w:p>
    <w:p w14:paraId="56819440">
      <w:pPr>
        <w:pStyle w:val="27"/>
        <w:widowControl/>
        <w:pBdr>
          <w:top w:val="single" w:color="auto" w:sz="4" w:space="1"/>
          <w:left w:val="single" w:color="auto" w:sz="4" w:space="4"/>
          <w:bottom w:val="single" w:color="auto" w:sz="4" w:space="1"/>
          <w:right w:val="single" w:color="auto" w:sz="4" w:space="4"/>
        </w:pBdr>
        <w:spacing w:before="75" w:beforeAutospacing="0" w:after="75" w:afterAutospacing="0" w:line="240" w:lineRule="auto"/>
        <w:rPr>
          <w:rFonts w:hint="eastAsia" w:ascii="宋体" w:hAnsi="宋体" w:cs="宋体"/>
          <w:color w:val="auto"/>
          <w:sz w:val="21"/>
          <w:szCs w:val="21"/>
        </w:rPr>
      </w:pPr>
      <w:r>
        <w:rPr>
          <w:rFonts w:hint="eastAsia" w:ascii="宋体" w:hAnsi="宋体" w:cs="宋体"/>
          <w:color w:val="auto"/>
          <w:sz w:val="24"/>
          <w:szCs w:val="24"/>
        </w:rPr>
        <w:t>   </w:t>
      </w:r>
      <w:r>
        <w:rPr>
          <w:rFonts w:hint="eastAsia" w:ascii="宋体" w:hAnsi="宋体" w:cs="宋体"/>
          <w:color w:val="auto"/>
          <w:sz w:val="24"/>
          <w:szCs w:val="24"/>
          <w:u w:val="single"/>
          <w:lang w:eastAsia="zh-CN"/>
        </w:rPr>
        <w:t>宁海县第一医院医疗健康集团北部医院食堂外包服务项目</w:t>
      </w:r>
      <w:r>
        <w:rPr>
          <w:rFonts w:hint="eastAsia" w:ascii="宋体" w:hAnsi="宋体" w:cs="宋体"/>
          <w:color w:val="auto"/>
          <w:sz w:val="24"/>
          <w:szCs w:val="24"/>
        </w:rPr>
        <w:t>的潜在供应商应在</w:t>
      </w:r>
      <w:r>
        <w:rPr>
          <w:rFonts w:hint="eastAsia" w:ascii="宋体" w:hAnsi="宋体" w:cs="宋体"/>
          <w:color w:val="auto"/>
          <w:sz w:val="24"/>
          <w:szCs w:val="24"/>
          <w:u w:val="single"/>
        </w:rPr>
        <w:t>政采云平台（www.zcygov.cn）</w:t>
      </w:r>
      <w:r>
        <w:rPr>
          <w:rFonts w:hint="eastAsia" w:ascii="宋体" w:hAnsi="宋体" w:cs="宋体"/>
          <w:color w:val="auto"/>
          <w:sz w:val="24"/>
          <w:szCs w:val="24"/>
        </w:rPr>
        <w:t>获取（下载）采购文件，并于</w:t>
      </w:r>
      <w:r>
        <w:rPr>
          <w:rFonts w:hint="eastAsia" w:ascii="宋体" w:hAnsi="宋体" w:cs="宋体"/>
          <w:color w:val="auto"/>
          <w:sz w:val="24"/>
          <w:szCs w:val="24"/>
          <w:lang w:val="en-US" w:eastAsia="zh-CN"/>
        </w:rPr>
        <w:t>2025</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lang w:val="en-US" w:eastAsia="zh-CN"/>
        </w:rPr>
        <w:t xml:space="preserve">  时  分</w:t>
      </w:r>
      <w:r>
        <w:rPr>
          <w:rFonts w:hint="eastAsia" w:ascii="宋体" w:hAnsi="宋体" w:cs="宋体"/>
          <w:color w:val="auto"/>
          <w:sz w:val="24"/>
          <w:szCs w:val="24"/>
        </w:rPr>
        <w:t xml:space="preserve">（北京时间）前提交（上传）响应文件。    </w:t>
      </w:r>
      <w:r>
        <w:rPr>
          <w:rFonts w:hint="eastAsia" w:ascii="宋体" w:hAnsi="宋体" w:cs="宋体"/>
          <w:color w:val="auto"/>
          <w:sz w:val="21"/>
          <w:szCs w:val="21"/>
        </w:rPr>
        <w:t>  </w:t>
      </w:r>
    </w:p>
    <w:p w14:paraId="6AA3844E">
      <w:pPr>
        <w:pStyle w:val="27"/>
        <w:widowControl/>
        <w:spacing w:before="255" w:beforeAutospacing="0" w:after="255" w:afterAutospacing="0" w:line="280" w:lineRule="exact"/>
        <w:jc w:val="both"/>
        <w:rPr>
          <w:rFonts w:hint="eastAsia" w:ascii="宋体" w:hAnsi="宋体" w:cs="宋体"/>
          <w:color w:val="auto"/>
          <w:sz w:val="24"/>
          <w:szCs w:val="24"/>
        </w:rPr>
      </w:pPr>
      <w:r>
        <w:rPr>
          <w:rStyle w:val="34"/>
          <w:rFonts w:hint="eastAsia" w:ascii="宋体" w:hAnsi="宋体" w:cs="宋体"/>
          <w:color w:val="auto"/>
          <w:sz w:val="24"/>
          <w:szCs w:val="24"/>
        </w:rPr>
        <w:t>一、项目基本情况</w:t>
      </w:r>
    </w:p>
    <w:p w14:paraId="5F1EC2DC">
      <w:pPr>
        <w:spacing w:line="360" w:lineRule="auto"/>
        <w:ind w:firstLine="723"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项目编号</w:t>
      </w:r>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cs="宋体"/>
          <w:i w:val="0"/>
          <w:iCs w:val="0"/>
          <w:caps w:val="0"/>
          <w:color w:val="000000"/>
          <w:spacing w:val="0"/>
          <w:kern w:val="0"/>
          <w:sz w:val="24"/>
          <w:szCs w:val="24"/>
          <w:lang w:val="en-US" w:eastAsia="zh-CN" w:bidi="ar"/>
        </w:rPr>
        <w:t>浙信基招【2024】第NH001号</w:t>
      </w:r>
      <w:r>
        <w:rPr>
          <w:rFonts w:hint="eastAsia" w:ascii="宋体" w:hAnsi="宋体" w:eastAsia="宋体" w:cs="宋体"/>
          <w:i w:val="0"/>
          <w:iCs w:val="0"/>
          <w:caps w:val="0"/>
          <w:color w:val="000000"/>
          <w:spacing w:val="0"/>
          <w:kern w:val="0"/>
          <w:sz w:val="24"/>
          <w:szCs w:val="24"/>
          <w:lang w:val="en-US" w:eastAsia="zh-CN" w:bidi="ar"/>
        </w:rPr>
        <w:t> </w:t>
      </w:r>
    </w:p>
    <w:p w14:paraId="6307B6A2">
      <w:pPr>
        <w:spacing w:line="360" w:lineRule="auto"/>
        <w:ind w:firstLine="723"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项目名称</w:t>
      </w:r>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cs="宋体"/>
          <w:i w:val="0"/>
          <w:iCs w:val="0"/>
          <w:caps w:val="0"/>
          <w:color w:val="000000"/>
          <w:spacing w:val="0"/>
          <w:kern w:val="0"/>
          <w:sz w:val="24"/>
          <w:szCs w:val="24"/>
          <w:lang w:val="en-US" w:eastAsia="zh-CN" w:bidi="ar"/>
        </w:rPr>
        <w:t>宁海县第一医院医疗健康集团北部医院食堂外包服务项目</w:t>
      </w:r>
      <w:r>
        <w:rPr>
          <w:rFonts w:hint="eastAsia" w:ascii="宋体" w:hAnsi="宋体" w:eastAsia="宋体" w:cs="宋体"/>
          <w:i w:val="0"/>
          <w:iCs w:val="0"/>
          <w:caps w:val="0"/>
          <w:color w:val="000000"/>
          <w:spacing w:val="0"/>
          <w:kern w:val="0"/>
          <w:sz w:val="24"/>
          <w:szCs w:val="24"/>
          <w:lang w:val="en-US" w:eastAsia="zh-CN" w:bidi="ar"/>
        </w:rPr>
        <w:t> </w:t>
      </w:r>
    </w:p>
    <w:p w14:paraId="095997F6">
      <w:pPr>
        <w:spacing w:line="360" w:lineRule="auto"/>
        <w:ind w:firstLine="723"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采购方式</w:t>
      </w:r>
      <w:r>
        <w:rPr>
          <w:rFonts w:hint="eastAsia" w:ascii="宋体" w:hAnsi="宋体" w:eastAsia="宋体" w:cs="宋体"/>
          <w:i w:val="0"/>
          <w:iCs w:val="0"/>
          <w:caps w:val="0"/>
          <w:color w:val="000000"/>
          <w:spacing w:val="0"/>
          <w:kern w:val="0"/>
          <w:sz w:val="24"/>
          <w:szCs w:val="24"/>
          <w:lang w:val="en-US" w:eastAsia="zh-CN" w:bidi="ar"/>
        </w:rPr>
        <w:t>：竞争性磋商 </w:t>
      </w:r>
    </w:p>
    <w:p w14:paraId="13A3E9B3">
      <w:pPr>
        <w:spacing w:line="360" w:lineRule="auto"/>
        <w:ind w:firstLine="723" w:firstLineChars="300"/>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预算金额（元）</w:t>
      </w:r>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cs="宋体"/>
          <w:i w:val="0"/>
          <w:iCs w:val="0"/>
          <w:caps w:val="0"/>
          <w:color w:val="000000"/>
          <w:spacing w:val="0"/>
          <w:kern w:val="0"/>
          <w:sz w:val="24"/>
          <w:szCs w:val="24"/>
          <w:lang w:val="en-US" w:eastAsia="zh-CN" w:bidi="ar"/>
        </w:rPr>
        <w:t xml:space="preserve">975000.00 </w:t>
      </w:r>
    </w:p>
    <w:p w14:paraId="30780103">
      <w:pPr>
        <w:spacing w:line="360" w:lineRule="auto"/>
        <w:ind w:firstLine="723"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最高限价（元）</w:t>
      </w:r>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cs="宋体"/>
          <w:i w:val="0"/>
          <w:iCs w:val="0"/>
          <w:caps w:val="0"/>
          <w:color w:val="000000"/>
          <w:spacing w:val="0"/>
          <w:kern w:val="0"/>
          <w:sz w:val="24"/>
          <w:szCs w:val="24"/>
          <w:lang w:val="en-US" w:eastAsia="zh-CN" w:bidi="ar"/>
        </w:rPr>
        <w:t xml:space="preserve">975000.00 </w:t>
      </w:r>
      <w:r>
        <w:rPr>
          <w:rFonts w:hint="eastAsia" w:ascii="宋体" w:hAnsi="宋体" w:eastAsia="宋体" w:cs="宋体"/>
          <w:i w:val="0"/>
          <w:iCs w:val="0"/>
          <w:caps w:val="0"/>
          <w:color w:val="000000"/>
          <w:spacing w:val="0"/>
          <w:kern w:val="0"/>
          <w:sz w:val="24"/>
          <w:szCs w:val="24"/>
          <w:lang w:val="en-US" w:eastAsia="zh-CN" w:bidi="ar"/>
        </w:rPr>
        <w:t> </w:t>
      </w:r>
    </w:p>
    <w:p w14:paraId="687E3FE2">
      <w:pPr>
        <w:spacing w:line="360" w:lineRule="auto"/>
        <w:ind w:firstLine="723"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采购需求</w:t>
      </w:r>
      <w:r>
        <w:rPr>
          <w:rFonts w:hint="eastAsia" w:ascii="宋体" w:hAnsi="宋体" w:eastAsia="宋体" w:cs="宋体"/>
          <w:i w:val="0"/>
          <w:iCs w:val="0"/>
          <w:caps w:val="0"/>
          <w:color w:val="000000"/>
          <w:spacing w:val="0"/>
          <w:kern w:val="0"/>
          <w:sz w:val="24"/>
          <w:szCs w:val="24"/>
          <w:lang w:val="en-US" w:eastAsia="zh-CN" w:bidi="ar"/>
        </w:rPr>
        <w:t>：</w:t>
      </w:r>
    </w:p>
    <w:p w14:paraId="14B5FFEB">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标项名称</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宁海县第一医院医疗健康集团北部医院食堂外包服务项目</w:t>
      </w:r>
    </w:p>
    <w:p w14:paraId="397CD997">
      <w:pPr>
        <w:spacing w:line="360" w:lineRule="auto"/>
        <w:ind w:firstLine="960" w:firstLineChars="400"/>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color w:val="auto"/>
          <w:kern w:val="0"/>
          <w:sz w:val="24"/>
          <w:szCs w:val="24"/>
          <w:highlight w:val="none"/>
        </w:rPr>
        <w:t>简要规格描述或项目基本概况介绍、用途：</w:t>
      </w:r>
      <w:r>
        <w:rPr>
          <w:rFonts w:hint="eastAsia" w:ascii="宋体" w:hAnsi="宋体" w:eastAsia="宋体" w:cs="宋体"/>
          <w:color w:val="auto"/>
          <w:kern w:val="0"/>
          <w:sz w:val="24"/>
          <w:szCs w:val="24"/>
          <w:highlight w:val="none"/>
          <w:lang w:eastAsia="zh-CN"/>
        </w:rPr>
        <w:t>具体以招标文件第</w:t>
      </w:r>
      <w:r>
        <w:rPr>
          <w:rFonts w:hint="eastAsia" w:ascii="宋体" w:hAnsi="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lang w:eastAsia="zh-CN"/>
        </w:rPr>
        <w:t>部分</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lang w:eastAsia="zh-CN"/>
        </w:rPr>
        <w:t>需求为准，供应商可点击本公告下方“浏览采购文件”查看采购需求</w:t>
      </w:r>
      <w:r>
        <w:rPr>
          <w:rFonts w:hint="eastAsia" w:ascii="宋体" w:hAnsi="宋体" w:eastAsia="宋体" w:cs="宋体"/>
          <w:b/>
          <w:bCs/>
          <w:i w:val="0"/>
          <w:iCs w:val="0"/>
          <w:caps w:val="0"/>
          <w:color w:val="auto"/>
          <w:spacing w:val="0"/>
          <w:kern w:val="0"/>
          <w:sz w:val="24"/>
          <w:szCs w:val="24"/>
          <w:lang w:val="en-US" w:eastAsia="zh-CN" w:bidi="ar"/>
        </w:rPr>
        <w:t>。</w:t>
      </w:r>
    </w:p>
    <w:p w14:paraId="2BCDB9F2">
      <w:pPr>
        <w:spacing w:line="360" w:lineRule="auto"/>
        <w:ind w:firstLine="723"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本项目接受联合体投标</w:t>
      </w:r>
      <w:r>
        <w:rPr>
          <w:rFonts w:hint="eastAsia" w:ascii="宋体" w:hAnsi="宋体" w:eastAsia="宋体" w:cs="宋体"/>
          <w:i w:val="0"/>
          <w:iCs w:val="0"/>
          <w:caps w:val="0"/>
          <w:color w:val="000000"/>
          <w:spacing w:val="0"/>
          <w:kern w:val="0"/>
          <w:sz w:val="24"/>
          <w:szCs w:val="24"/>
          <w:lang w:val="en-US" w:eastAsia="zh-CN" w:bidi="ar"/>
        </w:rPr>
        <w:t>：</w:t>
      </w:r>
      <w:sdt>
        <w:sdtPr>
          <w:rPr>
            <w:rFonts w:hint="eastAsia" w:ascii="宋体" w:hAnsi="宋体" w:eastAsia="宋体" w:cs="宋体"/>
            <w:i w:val="0"/>
            <w:iCs w:val="0"/>
            <w:caps w:val="0"/>
            <w:color w:val="000000"/>
            <w:spacing w:val="0"/>
            <w:kern w:val="0"/>
            <w:sz w:val="24"/>
            <w:szCs w:val="24"/>
            <w:lang w:val="en-US" w:eastAsia="zh-CN" w:bidi="ar"/>
          </w:rPr>
          <w:id w:val="2035453831"/>
        </w:sdtPr>
        <w:sdtEndPr>
          <w:rPr>
            <w:rFonts w:hint="eastAsia" w:ascii="宋体" w:hAnsi="宋体" w:eastAsia="宋体" w:cs="宋体"/>
            <w:i w:val="0"/>
            <w:iCs w:val="0"/>
            <w:caps w:val="0"/>
            <w:color w:val="000000"/>
            <w:spacing w:val="0"/>
            <w:kern w:val="0"/>
            <w:sz w:val="24"/>
            <w:szCs w:val="24"/>
            <w:lang w:val="en-US" w:eastAsia="zh-CN" w:bidi="ar"/>
          </w:rPr>
        </w:sdtEndPr>
        <w:sdtContent>
          <w:r>
            <w:rPr>
              <w:rFonts w:hint="eastAsia" w:ascii="宋体" w:hAnsi="宋体" w:eastAsia="宋体" w:cs="宋体"/>
              <w:i w:val="0"/>
              <w:iCs w:val="0"/>
              <w:caps w:val="0"/>
              <w:color w:val="000000"/>
              <w:spacing w:val="0"/>
              <w:kern w:val="0"/>
              <w:sz w:val="24"/>
              <w:szCs w:val="24"/>
              <w:lang w:val="en-US" w:eastAsia="zh-CN" w:bidi="ar"/>
            </w:rPr>
            <w:sym w:font="Wingdings" w:char="00A8"/>
          </w:r>
        </w:sdtContent>
      </w:sdt>
      <w:r>
        <w:rPr>
          <w:rFonts w:hint="eastAsia" w:ascii="宋体" w:hAnsi="宋体" w:eastAsia="宋体" w:cs="宋体"/>
          <w:i w:val="0"/>
          <w:iCs w:val="0"/>
          <w:caps w:val="0"/>
          <w:color w:val="000000"/>
          <w:spacing w:val="0"/>
          <w:kern w:val="0"/>
          <w:sz w:val="24"/>
          <w:szCs w:val="24"/>
          <w:lang w:val="en-US" w:eastAsia="zh-CN" w:bidi="ar"/>
        </w:rPr>
        <w:t>是，</w:t>
      </w:r>
      <w:sdt>
        <w:sdtPr>
          <w:rPr>
            <w:rFonts w:hint="eastAsia" w:ascii="宋体" w:hAnsi="宋体" w:eastAsia="宋体" w:cs="宋体"/>
            <w:i w:val="0"/>
            <w:iCs w:val="0"/>
            <w:caps w:val="0"/>
            <w:color w:val="000000"/>
            <w:spacing w:val="0"/>
            <w:kern w:val="0"/>
            <w:sz w:val="24"/>
            <w:szCs w:val="24"/>
            <w:lang w:val="en-US" w:eastAsia="zh-CN" w:bidi="ar"/>
          </w:rPr>
          <w:id w:val="-1765526721"/>
        </w:sdtPr>
        <w:sdtEndPr>
          <w:rPr>
            <w:rFonts w:hint="eastAsia" w:ascii="宋体" w:hAnsi="宋体" w:eastAsia="宋体" w:cs="宋体"/>
            <w:i w:val="0"/>
            <w:iCs w:val="0"/>
            <w:caps w:val="0"/>
            <w:color w:val="000000"/>
            <w:spacing w:val="0"/>
            <w:kern w:val="0"/>
            <w:sz w:val="24"/>
            <w:szCs w:val="24"/>
            <w:lang w:val="en-US" w:eastAsia="zh-CN" w:bidi="ar"/>
          </w:rPr>
        </w:sdtEndPr>
        <w:sdtContent>
          <w:sdt>
            <w:sdtPr>
              <w:rPr>
                <w:rFonts w:hint="eastAsia" w:ascii="宋体" w:hAnsi="宋体" w:eastAsia="宋体" w:cs="宋体"/>
                <w:i w:val="0"/>
                <w:iCs w:val="0"/>
                <w:caps w:val="0"/>
                <w:color w:val="000000"/>
                <w:spacing w:val="0"/>
                <w:kern w:val="0"/>
                <w:sz w:val="24"/>
                <w:szCs w:val="24"/>
                <w:lang w:val="en-US" w:eastAsia="zh-CN" w:bidi="ar"/>
              </w:rPr>
              <w:id w:val="147452758"/>
            </w:sdtPr>
            <w:sdtEndPr>
              <w:rPr>
                <w:rFonts w:hint="eastAsia" w:ascii="宋体" w:hAnsi="宋体" w:eastAsia="宋体" w:cs="宋体"/>
                <w:i w:val="0"/>
                <w:iCs w:val="0"/>
                <w:caps w:val="0"/>
                <w:color w:val="000000"/>
                <w:spacing w:val="0"/>
                <w:kern w:val="0"/>
                <w:sz w:val="24"/>
                <w:szCs w:val="24"/>
                <w:lang w:val="en-US" w:eastAsia="zh-CN" w:bidi="ar"/>
              </w:rPr>
            </w:sdtEndPr>
            <w:sdtContent>
              <w:r>
                <w:rPr>
                  <w:rFonts w:hint="eastAsia" w:ascii="宋体" w:hAnsi="宋体" w:eastAsia="宋体" w:cs="宋体"/>
                  <w:i w:val="0"/>
                  <w:iCs w:val="0"/>
                  <w:caps w:val="0"/>
                  <w:color w:val="000000"/>
                  <w:spacing w:val="0"/>
                  <w:kern w:val="0"/>
                  <w:sz w:val="24"/>
                  <w:szCs w:val="24"/>
                  <w:lang w:val="en-US" w:eastAsia="zh-CN" w:bidi="ar"/>
                </w:rPr>
                <w:sym w:font="Wingdings" w:char="00FE"/>
              </w:r>
            </w:sdtContent>
          </w:sdt>
        </w:sdtContent>
      </w:sdt>
      <w:r>
        <w:rPr>
          <w:rFonts w:hint="eastAsia" w:ascii="宋体" w:hAnsi="宋体" w:eastAsia="宋体" w:cs="宋体"/>
          <w:i w:val="0"/>
          <w:iCs w:val="0"/>
          <w:caps w:val="0"/>
          <w:color w:val="000000"/>
          <w:spacing w:val="0"/>
          <w:kern w:val="0"/>
          <w:sz w:val="24"/>
          <w:szCs w:val="24"/>
          <w:lang w:val="en-US" w:eastAsia="zh-CN" w:bidi="ar"/>
        </w:rPr>
        <w:t>否。 </w:t>
      </w:r>
    </w:p>
    <w:p w14:paraId="2497A618">
      <w:pPr>
        <w:spacing w:line="360" w:lineRule="auto"/>
        <w:ind w:firstLine="723" w:firstLineChars="300"/>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合同履约期限</w:t>
      </w:r>
      <w:r>
        <w:rPr>
          <w:rFonts w:hint="eastAsia" w:ascii="宋体" w:hAnsi="宋体" w:eastAsia="宋体" w:cs="宋体"/>
          <w:i w:val="0"/>
          <w:iCs w:val="0"/>
          <w:caps w:val="0"/>
          <w:color w:val="000000"/>
          <w:spacing w:val="0"/>
          <w:kern w:val="0"/>
          <w:sz w:val="24"/>
          <w:szCs w:val="24"/>
          <w:lang w:val="en-US" w:eastAsia="zh-CN" w:bidi="ar"/>
        </w:rPr>
        <w:t>：本服务项目一招暂定三年，合同必须为一年一签。合同应符合政府采购预算安排要求，申报政府采购计划，经批准，并经采购人考核验收，双方同意后，方可续签订下一年度的合同。合同续签后，应经原政府采购代理机构见证及备案，并报宁海县政府采购管理办公室。</w:t>
      </w:r>
    </w:p>
    <w:p w14:paraId="2C917A45">
      <w:pPr>
        <w:pStyle w:val="27"/>
        <w:widowControl/>
        <w:numPr>
          <w:ilvl w:val="0"/>
          <w:numId w:val="1"/>
        </w:numPr>
        <w:spacing w:before="255" w:beforeAutospacing="0" w:after="255" w:afterAutospacing="0" w:line="360" w:lineRule="auto"/>
        <w:jc w:val="both"/>
        <w:rPr>
          <w:rStyle w:val="34"/>
          <w:rFonts w:hint="eastAsia" w:ascii="宋体" w:hAnsi="宋体" w:cs="宋体"/>
          <w:color w:val="auto"/>
          <w:sz w:val="24"/>
          <w:szCs w:val="24"/>
        </w:rPr>
      </w:pPr>
      <w:r>
        <w:rPr>
          <w:rStyle w:val="34"/>
          <w:rFonts w:hint="eastAsia" w:ascii="宋体" w:hAnsi="宋体" w:cs="宋体"/>
          <w:color w:val="auto"/>
          <w:sz w:val="24"/>
          <w:szCs w:val="24"/>
        </w:rPr>
        <w:t>申请人的资格要求：</w:t>
      </w:r>
    </w:p>
    <w:p w14:paraId="2BE36CBF">
      <w:pPr>
        <w:pStyle w:val="27"/>
        <w:widowControl/>
        <w:numPr>
          <w:ilvl w:val="0"/>
          <w:numId w:val="0"/>
        </w:numPr>
        <w:spacing w:before="255" w:beforeAutospacing="0" w:after="255" w:afterAutospacing="0" w:line="360" w:lineRule="auto"/>
        <w:ind w:right="0" w:rightChars="0" w:firstLine="720" w:firstLineChars="300"/>
        <w:jc w:val="both"/>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 满足《中华人民共和国政府采购法》第二十二条规定；未被“信用中国”（www.creditchina.gov.cn)、中国政府采购网（www.ccgp.gov.cn）列入失信被执行人、重大税收违法失信主体、政府采购严重违法失信行为记录名单。</w:t>
      </w:r>
    </w:p>
    <w:p w14:paraId="707629E9">
      <w:pPr>
        <w:spacing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2.以联合体形式响应的，提供联合协议(本项目不接受联合体响应或者供应商不以联合体形式响应的，则不需要提供) ；</w:t>
      </w:r>
    </w:p>
    <w:p w14:paraId="372CCA46">
      <w:pPr>
        <w:spacing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3.落实政府采购政策需满足的资格要求：</w:t>
      </w:r>
    </w:p>
    <w:p w14:paraId="437FC198">
      <w:pPr>
        <w:spacing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sdt>
        <w:sdtPr>
          <w:rPr>
            <w:rFonts w:hint="eastAsia" w:ascii="宋体" w:hAnsi="宋体" w:eastAsia="宋体" w:cs="宋体"/>
            <w:i w:val="0"/>
            <w:iCs w:val="0"/>
            <w:caps w:val="0"/>
            <w:color w:val="000000"/>
            <w:spacing w:val="0"/>
            <w:kern w:val="0"/>
            <w:sz w:val="24"/>
            <w:szCs w:val="24"/>
            <w:lang w:val="en-US" w:eastAsia="zh-CN" w:bidi="ar"/>
          </w:rPr>
          <w:id w:val="147480245"/>
        </w:sdtPr>
        <w:sdtEndPr>
          <w:rPr>
            <w:rFonts w:hint="eastAsia" w:ascii="宋体" w:hAnsi="宋体" w:eastAsia="宋体" w:cs="宋体"/>
            <w:i w:val="0"/>
            <w:iCs w:val="0"/>
            <w:caps w:val="0"/>
            <w:color w:val="000000"/>
            <w:spacing w:val="0"/>
            <w:kern w:val="0"/>
            <w:sz w:val="24"/>
            <w:szCs w:val="24"/>
            <w:lang w:val="en-US" w:eastAsia="zh-CN" w:bidi="ar"/>
          </w:rPr>
        </w:sdtEndPr>
        <w:sdtContent>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sdtContent>
      </w:sdt>
      <w:r>
        <w:rPr>
          <w:rFonts w:hint="eastAsia" w:ascii="宋体" w:hAnsi="宋体" w:eastAsia="宋体" w:cs="宋体"/>
          <w:i w:val="0"/>
          <w:iCs w:val="0"/>
          <w:caps w:val="0"/>
          <w:color w:val="000000"/>
          <w:spacing w:val="0"/>
          <w:kern w:val="0"/>
          <w:sz w:val="24"/>
          <w:szCs w:val="24"/>
          <w:lang w:val="en-US" w:eastAsia="zh-CN" w:bidi="ar"/>
        </w:rPr>
        <w:t>无</w:t>
      </w:r>
      <w:r>
        <w:rPr>
          <w:rFonts w:hint="eastAsia" w:ascii="宋体" w:hAnsi="宋体" w:cs="宋体"/>
          <w:i w:val="0"/>
          <w:iCs w:val="0"/>
          <w:caps w:val="0"/>
          <w:color w:val="000000"/>
          <w:spacing w:val="0"/>
          <w:kern w:val="0"/>
          <w:sz w:val="24"/>
          <w:szCs w:val="24"/>
          <w:lang w:val="en-US" w:eastAsia="zh-CN" w:bidi="ar"/>
        </w:rPr>
        <w:t>；</w:t>
      </w:r>
    </w:p>
    <w:p w14:paraId="11ABFBEB">
      <w:pPr>
        <w:spacing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sdt>
        <w:sdtPr>
          <w:rPr>
            <w:rFonts w:hint="eastAsia" w:ascii="宋体" w:hAnsi="宋体" w:eastAsia="宋体" w:cs="宋体"/>
            <w:i w:val="0"/>
            <w:iCs w:val="0"/>
            <w:caps w:val="0"/>
            <w:color w:val="000000"/>
            <w:spacing w:val="0"/>
            <w:kern w:val="0"/>
            <w:sz w:val="24"/>
            <w:szCs w:val="24"/>
            <w:lang w:val="en-US" w:eastAsia="zh-CN" w:bidi="ar"/>
          </w:rPr>
          <w:id w:val="-5528208"/>
        </w:sdtPr>
        <w:sdtEndPr>
          <w:rPr>
            <w:rFonts w:hint="eastAsia" w:ascii="宋体" w:hAnsi="宋体" w:eastAsia="宋体" w:cs="宋体"/>
            <w:i w:val="0"/>
            <w:iCs w:val="0"/>
            <w:caps w:val="0"/>
            <w:color w:val="000000"/>
            <w:spacing w:val="0"/>
            <w:kern w:val="0"/>
            <w:sz w:val="24"/>
            <w:szCs w:val="24"/>
            <w:lang w:val="en-US" w:eastAsia="zh-CN" w:bidi="ar"/>
          </w:rPr>
        </w:sdtEndPr>
        <w:sdtContent>
          <w:r>
            <w:rPr>
              <w:rFonts w:hint="default" w:ascii="Arial" w:hAnsi="Arial" w:cs="Arial"/>
              <w:i w:val="0"/>
              <w:iCs w:val="0"/>
              <w:caps w:val="0"/>
              <w:color w:val="000000"/>
              <w:spacing w:val="0"/>
              <w:kern w:val="0"/>
              <w:sz w:val="24"/>
              <w:szCs w:val="24"/>
              <w:lang w:val="en-US" w:eastAsia="zh-CN" w:bidi="ar"/>
            </w:rPr>
            <w:t>√</w:t>
          </w:r>
        </w:sdtContent>
      </w:sdt>
      <w:r>
        <w:rPr>
          <w:rFonts w:hint="eastAsia" w:ascii="宋体" w:hAnsi="宋体" w:eastAsia="宋体" w:cs="宋体"/>
          <w:i w:val="0"/>
          <w:iCs w:val="0"/>
          <w:caps w:val="0"/>
          <w:color w:val="000000"/>
          <w:spacing w:val="0"/>
          <w:kern w:val="0"/>
          <w:sz w:val="24"/>
          <w:szCs w:val="24"/>
          <w:lang w:val="en-US" w:eastAsia="zh-CN" w:bidi="ar"/>
        </w:rPr>
        <w:t>专门面向中小企业</w:t>
      </w:r>
    </w:p>
    <w:p w14:paraId="1245D45F">
      <w:pPr>
        <w:spacing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default" w:ascii="Arial" w:hAnsi="Arial" w:cs="Arial"/>
          <w:i w:val="0"/>
          <w:iCs w:val="0"/>
          <w:caps w:val="0"/>
          <w:color w:val="000000"/>
          <w:spacing w:val="0"/>
          <w:kern w:val="0"/>
          <w:sz w:val="24"/>
          <w:szCs w:val="24"/>
          <w:lang w:val="en-US" w:eastAsia="zh-CN" w:bidi="ar"/>
        </w:rPr>
        <w:t>√</w:t>
      </w:r>
      <w:sdt>
        <w:sdtPr>
          <w:rPr>
            <w:rFonts w:hint="eastAsia" w:ascii="宋体" w:hAnsi="宋体" w:eastAsia="宋体" w:cs="宋体"/>
            <w:i w:val="0"/>
            <w:iCs w:val="0"/>
            <w:caps w:val="0"/>
            <w:color w:val="000000"/>
            <w:spacing w:val="0"/>
            <w:kern w:val="0"/>
            <w:sz w:val="24"/>
            <w:szCs w:val="24"/>
            <w:lang w:val="en-US" w:eastAsia="zh-CN" w:bidi="ar"/>
          </w:rPr>
          <w:id w:val="-333685401"/>
        </w:sdtPr>
        <w:sdtEndPr>
          <w:rPr>
            <w:rFonts w:hint="eastAsia" w:ascii="宋体" w:hAnsi="宋体" w:eastAsia="宋体" w:cs="宋体"/>
            <w:i w:val="0"/>
            <w:iCs w:val="0"/>
            <w:caps w:val="0"/>
            <w:color w:val="000000"/>
            <w:spacing w:val="0"/>
            <w:kern w:val="0"/>
            <w:sz w:val="24"/>
            <w:szCs w:val="24"/>
            <w:lang w:val="en-US" w:eastAsia="zh-CN" w:bidi="ar"/>
          </w:rPr>
        </w:sdtEndPr>
        <w:sdtContent/>
      </w:sdt>
      <w:r>
        <w:rPr>
          <w:rFonts w:hint="eastAsia" w:ascii="宋体" w:hAnsi="宋体" w:cs="宋体"/>
          <w:i w:val="0"/>
          <w:iCs w:val="0"/>
          <w:caps w:val="0"/>
          <w:color w:val="000000"/>
          <w:spacing w:val="0"/>
          <w:kern w:val="0"/>
          <w:sz w:val="24"/>
          <w:szCs w:val="24"/>
          <w:lang w:val="en-US" w:eastAsia="zh-CN" w:bidi="ar"/>
        </w:rPr>
        <w:t>服务</w:t>
      </w:r>
      <w:r>
        <w:rPr>
          <w:rFonts w:hint="eastAsia" w:ascii="宋体" w:hAnsi="宋体" w:eastAsia="宋体" w:cs="宋体"/>
          <w:i w:val="0"/>
          <w:iCs w:val="0"/>
          <w:caps w:val="0"/>
          <w:color w:val="000000"/>
          <w:spacing w:val="0"/>
          <w:kern w:val="0"/>
          <w:sz w:val="24"/>
          <w:szCs w:val="24"/>
          <w:lang w:val="en-US" w:eastAsia="zh-CN" w:bidi="ar"/>
        </w:rPr>
        <w:t>全部由符合政策要求的中小企业承接，提供中小企业声明函；</w:t>
      </w:r>
    </w:p>
    <w:p w14:paraId="2122C56D">
      <w:pPr>
        <w:spacing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sdt>
        <w:sdtPr>
          <w:rPr>
            <w:rFonts w:hint="eastAsia" w:ascii="宋体" w:hAnsi="宋体" w:eastAsia="宋体" w:cs="宋体"/>
            <w:i w:val="0"/>
            <w:iCs w:val="0"/>
            <w:caps w:val="0"/>
            <w:color w:val="000000"/>
            <w:spacing w:val="0"/>
            <w:kern w:val="0"/>
            <w:sz w:val="24"/>
            <w:szCs w:val="24"/>
            <w:lang w:val="en-US" w:eastAsia="zh-CN" w:bidi="ar"/>
          </w:rPr>
          <w:id w:val="-2141025358"/>
        </w:sdtPr>
        <w:sdtEndPr>
          <w:rPr>
            <w:rFonts w:hint="eastAsia" w:ascii="宋体" w:hAnsi="宋体" w:eastAsia="宋体" w:cs="宋体"/>
            <w:i w:val="0"/>
            <w:iCs w:val="0"/>
            <w:caps w:val="0"/>
            <w:color w:val="000000"/>
            <w:spacing w:val="0"/>
            <w:kern w:val="0"/>
            <w:sz w:val="24"/>
            <w:szCs w:val="24"/>
            <w:lang w:val="en-US" w:eastAsia="zh-CN" w:bidi="ar"/>
          </w:rPr>
        </w:sdtEndPr>
        <w:sdtContent>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cs="宋体"/>
              <w:i w:val="0"/>
              <w:iCs w:val="0"/>
              <w:caps w:val="0"/>
              <w:color w:val="000000"/>
              <w:spacing w:val="0"/>
              <w:kern w:val="0"/>
              <w:sz w:val="24"/>
              <w:szCs w:val="24"/>
              <w:lang w:val="en-US" w:eastAsia="zh-CN" w:bidi="ar"/>
            </w:rPr>
            <w:t>服务</w:t>
          </w:r>
        </w:sdtContent>
      </w:sdt>
      <w:r>
        <w:rPr>
          <w:rFonts w:hint="eastAsia" w:ascii="宋体" w:hAnsi="宋体" w:eastAsia="宋体" w:cs="宋体"/>
          <w:i w:val="0"/>
          <w:iCs w:val="0"/>
          <w:caps w:val="0"/>
          <w:color w:val="000000"/>
          <w:spacing w:val="0"/>
          <w:kern w:val="0"/>
          <w:sz w:val="24"/>
          <w:szCs w:val="24"/>
          <w:lang w:val="en-US" w:eastAsia="zh-CN" w:bidi="ar"/>
        </w:rPr>
        <w:t>全部由符合政策要求的小微企业承接，提供中小企业声明函；</w:t>
      </w:r>
    </w:p>
    <w:p w14:paraId="65D48211">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宋体" w:hAnsi="宋体" w:cs="宋体"/>
          <w:color w:val="auto"/>
          <w:sz w:val="24"/>
        </w:rPr>
      </w:pPr>
      <w:bookmarkStart w:id="1" w:name="_Hlk101132524"/>
      <w:sdt>
        <w:sdtPr>
          <w:rPr>
            <w:rFonts w:hint="eastAsia" w:ascii="宋体" w:hAnsi="宋体" w:eastAsia="宋体" w:cs="宋体"/>
            <w:i w:val="0"/>
            <w:iCs w:val="0"/>
            <w:caps w:val="0"/>
            <w:color w:val="000000"/>
            <w:spacing w:val="0"/>
            <w:kern w:val="0"/>
            <w:sz w:val="24"/>
            <w:szCs w:val="24"/>
            <w:lang w:val="en-US" w:eastAsia="zh-CN" w:bidi="ar"/>
          </w:rPr>
          <w:id w:val="147459826"/>
        </w:sdtPr>
        <w:sdtEndPr>
          <w:rPr>
            <w:rFonts w:hint="eastAsia" w:ascii="宋体" w:hAnsi="宋体" w:eastAsia="宋体" w:cs="宋体"/>
            <w:i w:val="0"/>
            <w:iCs w:val="0"/>
            <w:caps w:val="0"/>
            <w:color w:val="000000"/>
            <w:spacing w:val="0"/>
            <w:kern w:val="0"/>
            <w:sz w:val="24"/>
            <w:szCs w:val="24"/>
            <w:lang w:val="en-US" w:eastAsia="zh-CN" w:bidi="ar"/>
          </w:rPr>
        </w:sdtEndPr>
        <w:sdtContent>
          <w:r>
            <w:rPr>
              <w:rFonts w:hint="eastAsia" w:ascii="宋体" w:hAnsi="宋体" w:eastAsia="宋体" w:cs="宋体"/>
              <w:i w:val="0"/>
              <w:iCs w:val="0"/>
              <w:caps w:val="0"/>
              <w:color w:val="000000"/>
              <w:spacing w:val="0"/>
              <w:kern w:val="0"/>
              <w:sz w:val="24"/>
              <w:szCs w:val="24"/>
              <w:lang w:val="en-US" w:eastAsia="zh-CN" w:bidi="ar"/>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
    <w:p w14:paraId="2BC5B45B">
      <w:pPr>
        <w:pStyle w:val="30"/>
        <w:spacing w:line="360" w:lineRule="auto"/>
        <w:rPr>
          <w:rFonts w:hint="eastAsia"/>
          <w:lang w:val="en-US" w:eastAsia="zh-CN"/>
        </w:rPr>
      </w:pPr>
      <w:sdt>
        <w:sdtPr>
          <w:rPr>
            <w:rFonts w:hint="eastAsia" w:ascii="宋体" w:hAnsi="宋体" w:eastAsia="宋体" w:cs="宋体"/>
            <w:i w:val="0"/>
            <w:iCs w:val="0"/>
            <w:caps w:val="0"/>
            <w:color w:val="000000"/>
            <w:spacing w:val="0"/>
            <w:kern w:val="0"/>
            <w:sz w:val="24"/>
            <w:szCs w:val="24"/>
            <w:lang w:val="en-US" w:eastAsia="zh-CN" w:bidi="ar"/>
          </w:rPr>
          <w:id w:val="147467203"/>
        </w:sdtPr>
        <w:sdtEndPr>
          <w:rPr>
            <w:rFonts w:hint="eastAsia" w:ascii="宋体" w:hAnsi="宋体" w:eastAsia="宋体" w:cs="宋体"/>
            <w:i w:val="0"/>
            <w:iCs w:val="0"/>
            <w:caps w:val="0"/>
            <w:color w:val="000000"/>
            <w:spacing w:val="0"/>
            <w:kern w:val="0"/>
            <w:sz w:val="24"/>
            <w:szCs w:val="24"/>
            <w:lang w:val="en-US" w:eastAsia="zh-CN" w:bidi="ar"/>
          </w:rPr>
        </w:sdtEndPr>
        <w:sdtContent>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 xml:space="preserve">； </w:t>
          </w:r>
        </w:sdtContent>
      </w:sdt>
    </w:p>
    <w:p w14:paraId="73E0ABDE">
      <w:pPr>
        <w:spacing w:line="360" w:lineRule="auto"/>
        <w:ind w:firstLine="480" w:firstLineChars="2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4.本项目的特定资格要求：无；</w:t>
      </w:r>
    </w:p>
    <w:p w14:paraId="5BD4C35C">
      <w:pPr>
        <w:keepNext w:val="0"/>
        <w:keepLines w:val="0"/>
        <w:pageBreakBefore w:val="0"/>
        <w:kinsoku/>
        <w:wordWrap/>
        <w:overflowPunct/>
        <w:topLinePunct w:val="0"/>
        <w:autoSpaceDE/>
        <w:autoSpaceDN/>
        <w:bidi w:val="0"/>
        <w:spacing w:line="336" w:lineRule="auto"/>
        <w:ind w:firstLine="512" w:firstLineChars="200"/>
        <w:textAlignment w:val="auto"/>
        <w:outlineLvl w:val="9"/>
        <w:rPr>
          <w:rFonts w:hint="eastAsia" w:ascii="宋体" w:hAnsi="宋体" w:eastAsia="宋体" w:cs="宋体"/>
          <w:color w:val="000000" w:themeColor="text1"/>
          <w:spacing w:val="8"/>
          <w:kern w:val="0"/>
          <w:sz w:val="24"/>
          <w:lang w:eastAsia="zh-CN"/>
          <w14:textFill>
            <w14:solidFill>
              <w14:schemeClr w14:val="tx1"/>
            </w14:solidFill>
          </w14:textFill>
        </w:rPr>
      </w:pPr>
      <w:r>
        <w:rPr>
          <w:rFonts w:hint="eastAsia" w:ascii="宋体" w:hAnsi="宋体" w:eastAsia="宋体" w:cs="宋体"/>
          <w:color w:val="000000" w:themeColor="text1"/>
          <w:spacing w:val="8"/>
          <w:kern w:val="0"/>
          <w:sz w:val="24"/>
          <w:lang w:val="en-US" w:eastAsia="zh-CN"/>
          <w14:textFill>
            <w14:solidFill>
              <w14:schemeClr w14:val="tx1"/>
            </w14:solidFill>
          </w14:textFill>
        </w:rPr>
        <w:t>5.</w:t>
      </w:r>
      <w:r>
        <w:rPr>
          <w:rFonts w:hint="eastAsia" w:ascii="宋体" w:hAnsi="宋体" w:eastAsia="宋体" w:cs="宋体"/>
          <w:color w:val="000000" w:themeColor="text1"/>
          <w:spacing w:val="8"/>
          <w:kern w:val="0"/>
          <w:sz w:val="24"/>
          <w:lang w:eastAsia="zh-CN"/>
          <w14:textFill>
            <w14:solidFill>
              <w14:schemeClr w14:val="tx1"/>
            </w14:solidFill>
          </w14:textFill>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113890C">
      <w:pPr>
        <w:pStyle w:val="30"/>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lang w:val="en-US" w:eastAsia="zh-CN"/>
        </w:rPr>
      </w:pPr>
      <w:r>
        <w:rPr>
          <w:rFonts w:hint="eastAsia" w:cs="宋体"/>
          <w:snapToGrid w:val="0"/>
          <w:kern w:val="28"/>
          <w:sz w:val="24"/>
          <w:szCs w:val="20"/>
          <w:lang w:val="en-US" w:eastAsia="zh-CN" w:bidi="ar-SA"/>
        </w:rPr>
        <w:t>6.</w:t>
      </w:r>
      <w:r>
        <w:rPr>
          <w:rFonts w:hint="eastAsia" w:ascii="宋体" w:hAnsi="宋体" w:eastAsia="宋体" w:cs="宋体"/>
          <w:kern w:val="2"/>
          <w:sz w:val="24"/>
          <w:szCs w:val="24"/>
          <w:lang w:val="en-US" w:eastAsia="zh-CN" w:bidi="ar-SA"/>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585C3F5A">
      <w:pPr>
        <w:pStyle w:val="27"/>
        <w:widowControl/>
        <w:spacing w:before="75" w:beforeAutospacing="0" w:after="75" w:afterAutospacing="0" w:line="360" w:lineRule="auto"/>
        <w:rPr>
          <w:rFonts w:hint="eastAsia" w:ascii="宋体" w:hAnsi="宋体" w:cs="宋体"/>
          <w:color w:val="auto"/>
          <w:sz w:val="24"/>
          <w:szCs w:val="24"/>
        </w:rPr>
      </w:pPr>
      <w:r>
        <w:rPr>
          <w:rStyle w:val="34"/>
          <w:rFonts w:hint="eastAsia" w:ascii="宋体" w:hAnsi="宋体" w:cs="宋体"/>
          <w:color w:val="auto"/>
          <w:sz w:val="24"/>
          <w:szCs w:val="24"/>
        </w:rPr>
        <w:t>三、获取（下载）采购文件</w:t>
      </w:r>
    </w:p>
    <w:p w14:paraId="34E27A77">
      <w:pPr>
        <w:pStyle w:val="27"/>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b/>
          <w:bCs/>
          <w:color w:val="auto"/>
          <w:sz w:val="24"/>
          <w:szCs w:val="24"/>
        </w:rPr>
        <w:t>时间</w:t>
      </w:r>
      <w:r>
        <w:rPr>
          <w:rFonts w:hint="eastAsia" w:ascii="宋体" w:hAnsi="宋体" w:cs="宋体"/>
          <w:color w:val="auto"/>
          <w:sz w:val="24"/>
          <w:szCs w:val="24"/>
        </w:rPr>
        <w:t>：</w:t>
      </w:r>
      <w:bookmarkStart w:id="2" w:name="_Hlk97625044"/>
      <w:r>
        <w:rPr>
          <w:rFonts w:hint="eastAsia" w:ascii="宋体" w:hAnsi="宋体" w:cs="宋体"/>
          <w:color w:val="auto"/>
          <w:sz w:val="24"/>
          <w:szCs w:val="24"/>
          <w:lang w:val="en-US" w:eastAsia="zh-CN"/>
        </w:rPr>
        <w:t xml:space="preserve"> 2025</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bookmarkEnd w:id="2"/>
      <w:r>
        <w:rPr>
          <w:rFonts w:hint="eastAsia" w:ascii="宋体" w:hAnsi="宋体" w:cs="宋体"/>
          <w:color w:val="auto"/>
          <w:sz w:val="24"/>
          <w:szCs w:val="24"/>
        </w:rPr>
        <w:t>至</w:t>
      </w:r>
      <w:r>
        <w:rPr>
          <w:rFonts w:hint="eastAsia" w:ascii="宋体" w:hAnsi="宋体" w:cs="宋体"/>
          <w:color w:val="auto"/>
          <w:sz w:val="24"/>
          <w:szCs w:val="24"/>
          <w:lang w:val="en-US" w:eastAsia="zh-CN"/>
        </w:rPr>
        <w:t>2025</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日，每天上午00:00至12:00，下午12:00至23:59（北京时间，线上获取法定节假日均可，线下获取文件法定节假日除外）</w:t>
      </w:r>
    </w:p>
    <w:p w14:paraId="0A0BD084">
      <w:pPr>
        <w:pStyle w:val="27"/>
        <w:widowControl/>
        <w:spacing w:before="75" w:beforeAutospacing="0" w:after="75" w:afterAutospacing="0" w:line="360" w:lineRule="auto"/>
        <w:ind w:firstLine="482" w:firstLineChars="200"/>
        <w:rPr>
          <w:rFonts w:hint="eastAsia" w:ascii="宋体" w:hAnsi="宋体" w:cs="宋体"/>
          <w:color w:val="auto"/>
          <w:sz w:val="24"/>
          <w:szCs w:val="24"/>
        </w:rPr>
      </w:pPr>
      <w:r>
        <w:rPr>
          <w:rFonts w:hint="eastAsia" w:ascii="宋体" w:hAnsi="宋体" w:cs="宋体"/>
          <w:b/>
          <w:bCs/>
          <w:color w:val="auto"/>
          <w:sz w:val="24"/>
          <w:szCs w:val="24"/>
        </w:rPr>
        <w:t>地点（网址）</w:t>
      </w:r>
      <w:r>
        <w:rPr>
          <w:rFonts w:hint="eastAsia" w:ascii="宋体" w:hAnsi="宋体" w:cs="宋体"/>
          <w:color w:val="auto"/>
          <w:sz w:val="24"/>
          <w:szCs w:val="24"/>
        </w:rPr>
        <w:t>：政采云平台（www.zcygov.cn） </w:t>
      </w:r>
    </w:p>
    <w:p w14:paraId="29DAD874">
      <w:pPr>
        <w:spacing w:line="360" w:lineRule="auto"/>
        <w:ind w:firstLine="482" w:firstLineChars="200"/>
        <w:rPr>
          <w:rFonts w:hint="eastAsia" w:ascii="宋体" w:hAnsi="宋体" w:cs="宋体"/>
          <w:color w:val="auto"/>
          <w:sz w:val="24"/>
          <w:szCs w:val="24"/>
        </w:rPr>
      </w:pPr>
      <w:r>
        <w:rPr>
          <w:rFonts w:hint="eastAsia" w:ascii="宋体" w:hAnsi="宋体" w:cs="宋体"/>
          <w:b/>
          <w:bCs/>
          <w:color w:val="auto"/>
          <w:sz w:val="24"/>
          <w:szCs w:val="24"/>
        </w:rPr>
        <w:t>方式</w:t>
      </w:r>
      <w:r>
        <w:rPr>
          <w:rFonts w:hint="eastAsia" w:ascii="宋体" w:hAnsi="宋体" w:cs="宋体"/>
          <w:color w:val="auto"/>
          <w:sz w:val="24"/>
          <w:szCs w:val="24"/>
        </w:rPr>
        <w:t>：</w:t>
      </w:r>
      <w:r>
        <w:rPr>
          <w:rFonts w:hint="eastAsia" w:ascii="宋体" w:hAnsi="宋体" w:eastAsia="宋体" w:cs="宋体"/>
          <w:sz w:val="24"/>
          <w:highlight w:val="none"/>
        </w:rPr>
        <w:t>供应商登录政采云平台https://www.zcygov.cn/在线申请获取采购文件（进入“项目采购”应用，在获取采购文件菜单中选择项目，申请获取采购文件）。</w:t>
      </w:r>
      <w:r>
        <w:rPr>
          <w:rFonts w:hint="eastAsia" w:ascii="宋体" w:hAnsi="宋体" w:cs="宋体"/>
          <w:color w:val="auto"/>
          <w:sz w:val="24"/>
          <w:szCs w:val="24"/>
        </w:rPr>
        <w:t>  </w:t>
      </w:r>
    </w:p>
    <w:p w14:paraId="0DEFC9DA">
      <w:pPr>
        <w:pStyle w:val="27"/>
        <w:widowControl/>
        <w:spacing w:before="75" w:beforeAutospacing="0" w:after="75" w:afterAutospacing="0"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   </w:t>
      </w:r>
      <w:r>
        <w:rPr>
          <w:rFonts w:hint="eastAsia" w:ascii="宋体" w:hAnsi="宋体" w:cs="宋体"/>
          <w:b/>
          <w:bCs/>
          <w:color w:val="auto"/>
          <w:sz w:val="24"/>
          <w:szCs w:val="24"/>
        </w:rPr>
        <w:t xml:space="preserve"> 售价（元）</w:t>
      </w:r>
      <w:r>
        <w:rPr>
          <w:rFonts w:hint="eastAsia" w:ascii="宋体" w:hAnsi="宋体" w:cs="宋体"/>
          <w:color w:val="auto"/>
          <w:sz w:val="24"/>
          <w:szCs w:val="24"/>
        </w:rPr>
        <w:t>：</w:t>
      </w:r>
      <w:r>
        <w:rPr>
          <w:rFonts w:hint="eastAsia" w:ascii="宋体" w:hAnsi="宋体" w:eastAsia="宋体" w:cs="宋体"/>
          <w:color w:val="auto"/>
          <w:sz w:val="24"/>
          <w:szCs w:val="24"/>
        </w:rPr>
        <w:t>免费</w:t>
      </w:r>
      <w:r>
        <w:rPr>
          <w:rFonts w:hint="eastAsia" w:ascii="宋体" w:hAnsi="宋体" w:eastAsia="宋体" w:cs="宋体"/>
          <w:color w:val="auto"/>
          <w:sz w:val="24"/>
          <w:szCs w:val="24"/>
          <w:lang w:eastAsia="zh-CN"/>
        </w:rPr>
        <w:t>。</w:t>
      </w:r>
    </w:p>
    <w:p w14:paraId="43F89522">
      <w:pPr>
        <w:pStyle w:val="27"/>
        <w:widowControl/>
        <w:spacing w:before="255" w:beforeAutospacing="0" w:after="255" w:afterAutospacing="0" w:line="360" w:lineRule="auto"/>
        <w:jc w:val="both"/>
        <w:rPr>
          <w:rFonts w:hint="eastAsia" w:ascii="宋体" w:hAnsi="宋体" w:cs="宋体"/>
          <w:color w:val="auto"/>
          <w:sz w:val="24"/>
          <w:szCs w:val="24"/>
        </w:rPr>
      </w:pPr>
      <w:r>
        <w:rPr>
          <w:rStyle w:val="34"/>
          <w:rFonts w:hint="eastAsia" w:ascii="宋体" w:hAnsi="宋体" w:cs="宋体"/>
          <w:color w:val="auto"/>
          <w:sz w:val="24"/>
          <w:szCs w:val="24"/>
        </w:rPr>
        <w:t>四、响应文件提交（上传）</w:t>
      </w:r>
      <w:r>
        <w:rPr>
          <w:rFonts w:hint="eastAsia" w:ascii="宋体" w:hAnsi="宋体" w:cs="宋体"/>
          <w:color w:val="auto"/>
          <w:sz w:val="24"/>
          <w:szCs w:val="24"/>
        </w:rPr>
        <w:t> </w:t>
      </w:r>
    </w:p>
    <w:p w14:paraId="0D31FF7C">
      <w:pPr>
        <w:pStyle w:val="27"/>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b/>
          <w:color w:val="auto"/>
          <w:sz w:val="24"/>
        </w:rPr>
        <w:t>提交投标文件截止时间</w:t>
      </w:r>
      <w:r>
        <w:rPr>
          <w:rFonts w:hint="eastAsia" w:ascii="宋体" w:hAnsi="宋体" w:cs="宋体"/>
          <w:color w:val="auto"/>
          <w:sz w:val="24"/>
          <w:szCs w:val="24"/>
        </w:rPr>
        <w:t>：</w:t>
      </w:r>
      <w:r>
        <w:rPr>
          <w:rFonts w:hint="eastAsia" w:ascii="宋体" w:hAnsi="宋体" w:cs="宋体"/>
          <w:color w:val="auto"/>
          <w:sz w:val="24"/>
          <w:szCs w:val="24"/>
          <w:lang w:val="en-US" w:eastAsia="zh-CN"/>
        </w:rPr>
        <w:t>2025</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lang w:val="en-US" w:eastAsia="zh-CN"/>
        </w:rPr>
        <w:t xml:space="preserve">  时  分</w:t>
      </w:r>
      <w:r>
        <w:rPr>
          <w:rFonts w:hint="eastAsia" w:ascii="宋体" w:hAnsi="宋体" w:cs="宋体"/>
          <w:color w:val="auto"/>
          <w:sz w:val="24"/>
          <w:szCs w:val="24"/>
        </w:rPr>
        <w:t>（北京时间）</w:t>
      </w:r>
    </w:p>
    <w:p w14:paraId="4643645A">
      <w:pPr>
        <w:pStyle w:val="27"/>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b/>
          <w:bCs/>
          <w:color w:val="auto"/>
          <w:sz w:val="24"/>
          <w:szCs w:val="24"/>
        </w:rPr>
        <w:t>  地点（网址）</w:t>
      </w:r>
      <w:r>
        <w:rPr>
          <w:rFonts w:hint="eastAsia" w:ascii="宋体" w:hAnsi="宋体" w:cs="宋体"/>
          <w:color w:val="auto"/>
          <w:sz w:val="24"/>
          <w:szCs w:val="24"/>
        </w:rPr>
        <w:t>：</w:t>
      </w:r>
      <w:r>
        <w:rPr>
          <w:rFonts w:hint="eastAsia" w:ascii="宋体" w:hAnsi="宋体" w:eastAsia="宋体" w:cs="宋体"/>
          <w:sz w:val="24"/>
          <w:highlight w:val="none"/>
        </w:rPr>
        <w:t>政府采购云平台（http</w:t>
      </w:r>
      <w:r>
        <w:rPr>
          <w:rFonts w:hint="eastAsia" w:ascii="宋体" w:hAnsi="宋体" w:eastAsia="宋体" w:cs="宋体"/>
          <w:sz w:val="24"/>
          <w:highlight w:val="none"/>
          <w:lang w:eastAsia="zh-CN"/>
        </w:rPr>
        <w:t>：</w:t>
      </w:r>
      <w:r>
        <w:rPr>
          <w:rFonts w:hint="eastAsia" w:ascii="宋体" w:hAnsi="宋体" w:eastAsia="宋体" w:cs="宋体"/>
          <w:sz w:val="24"/>
          <w:highlight w:val="none"/>
        </w:rPr>
        <w:t>//www.zcygov.cn/）。</w:t>
      </w:r>
      <w:r>
        <w:rPr>
          <w:rFonts w:hint="eastAsia"/>
          <w:color w:val="auto"/>
          <w:sz w:val="24"/>
          <w:szCs w:val="24"/>
        </w:rPr>
        <w:t> </w:t>
      </w:r>
      <w:r>
        <w:rPr>
          <w:rFonts w:hint="eastAsia" w:ascii="宋体" w:hAnsi="宋体" w:cs="宋体"/>
          <w:color w:val="auto"/>
          <w:sz w:val="24"/>
          <w:szCs w:val="24"/>
        </w:rPr>
        <w:t> </w:t>
      </w:r>
    </w:p>
    <w:p w14:paraId="773AABE9">
      <w:pPr>
        <w:pStyle w:val="27"/>
        <w:widowControl/>
        <w:spacing w:before="255" w:beforeAutospacing="0" w:after="255" w:afterAutospacing="0" w:line="360" w:lineRule="auto"/>
        <w:jc w:val="both"/>
        <w:rPr>
          <w:rFonts w:hint="eastAsia" w:ascii="宋体" w:hAnsi="宋体" w:cs="宋体"/>
          <w:color w:val="auto"/>
          <w:sz w:val="24"/>
          <w:szCs w:val="24"/>
        </w:rPr>
      </w:pPr>
      <w:r>
        <w:rPr>
          <w:rStyle w:val="34"/>
          <w:rFonts w:hint="eastAsia" w:ascii="宋体" w:hAnsi="宋体" w:cs="宋体"/>
          <w:color w:val="auto"/>
          <w:sz w:val="24"/>
          <w:szCs w:val="24"/>
        </w:rPr>
        <w:t>五、响应文件开启</w:t>
      </w:r>
      <w:r>
        <w:rPr>
          <w:rFonts w:hint="eastAsia" w:ascii="宋体" w:hAnsi="宋体" w:cs="宋体"/>
          <w:color w:val="auto"/>
          <w:sz w:val="24"/>
          <w:szCs w:val="24"/>
        </w:rPr>
        <w:t> </w:t>
      </w:r>
    </w:p>
    <w:p w14:paraId="01032CE4">
      <w:pPr>
        <w:pStyle w:val="27"/>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w:t>
      </w:r>
      <w:r>
        <w:rPr>
          <w:rFonts w:hint="eastAsia" w:ascii="宋体" w:hAnsi="宋体" w:cs="宋体"/>
          <w:b/>
          <w:bCs/>
          <w:color w:val="auto"/>
          <w:sz w:val="24"/>
          <w:szCs w:val="24"/>
        </w:rPr>
        <w:t xml:space="preserve"> 开</w:t>
      </w:r>
      <w:r>
        <w:rPr>
          <w:rFonts w:hint="eastAsia" w:ascii="宋体" w:hAnsi="宋体" w:cs="宋体"/>
          <w:b/>
          <w:bCs/>
          <w:color w:val="auto"/>
          <w:sz w:val="24"/>
          <w:szCs w:val="24"/>
          <w:lang w:eastAsia="zh-CN"/>
        </w:rPr>
        <w:t>标</w:t>
      </w:r>
      <w:r>
        <w:rPr>
          <w:rFonts w:hint="eastAsia" w:ascii="宋体" w:hAnsi="宋体" w:cs="宋体"/>
          <w:b/>
          <w:bCs/>
          <w:color w:val="auto"/>
          <w:sz w:val="24"/>
          <w:szCs w:val="24"/>
        </w:rPr>
        <w:t>时间：</w:t>
      </w:r>
      <w:r>
        <w:rPr>
          <w:rFonts w:hint="eastAsia" w:ascii="宋体" w:hAnsi="宋体" w:cs="宋体"/>
          <w:color w:val="auto"/>
          <w:sz w:val="24"/>
          <w:szCs w:val="24"/>
          <w:lang w:val="en-US" w:eastAsia="zh-CN"/>
        </w:rPr>
        <w:t xml:space="preserve"> 2025</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lang w:val="en-US" w:eastAsia="zh-CN"/>
        </w:rPr>
        <w:t xml:space="preserve">  时  分</w:t>
      </w:r>
      <w:r>
        <w:rPr>
          <w:rFonts w:hint="eastAsia" w:ascii="宋体" w:hAnsi="宋体" w:cs="宋体"/>
          <w:color w:val="auto"/>
          <w:sz w:val="24"/>
          <w:szCs w:val="24"/>
        </w:rPr>
        <w:t>（北京时间）</w:t>
      </w:r>
    </w:p>
    <w:p w14:paraId="190AF5D6">
      <w:pPr>
        <w:pStyle w:val="27"/>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b/>
          <w:bCs/>
          <w:color w:val="auto"/>
          <w:sz w:val="24"/>
          <w:szCs w:val="24"/>
        </w:rPr>
        <w:t>地点（网址）：</w:t>
      </w:r>
      <w:r>
        <w:rPr>
          <w:rFonts w:hint="eastAsia" w:ascii="宋体" w:hAnsi="宋体" w:eastAsia="宋体" w:cs="宋体"/>
          <w:sz w:val="24"/>
          <w:highlight w:val="none"/>
        </w:rPr>
        <w:t>政府采购云平台（http</w:t>
      </w:r>
      <w:r>
        <w:rPr>
          <w:rFonts w:hint="eastAsia" w:ascii="宋体" w:hAnsi="宋体" w:eastAsia="宋体" w:cs="宋体"/>
          <w:sz w:val="24"/>
          <w:highlight w:val="none"/>
          <w:lang w:eastAsia="zh-CN"/>
        </w:rPr>
        <w:t>：</w:t>
      </w:r>
      <w:r>
        <w:rPr>
          <w:rFonts w:hint="eastAsia" w:ascii="宋体" w:hAnsi="宋体" w:eastAsia="宋体" w:cs="宋体"/>
          <w:sz w:val="24"/>
          <w:highlight w:val="none"/>
        </w:rPr>
        <w:t>//www.zcygov.cn/）</w:t>
      </w:r>
      <w:r>
        <w:rPr>
          <w:rFonts w:hint="eastAsia"/>
          <w:color w:val="auto"/>
          <w:sz w:val="24"/>
          <w:szCs w:val="24"/>
        </w:rPr>
        <w:t>。 </w:t>
      </w:r>
    </w:p>
    <w:p w14:paraId="7FB5B516">
      <w:pPr>
        <w:pStyle w:val="27"/>
        <w:widowControl/>
        <w:spacing w:before="255" w:beforeAutospacing="0" w:after="255" w:afterAutospacing="0" w:line="360" w:lineRule="auto"/>
        <w:jc w:val="both"/>
        <w:rPr>
          <w:rFonts w:hint="eastAsia" w:ascii="宋体" w:hAnsi="宋体" w:cs="宋体"/>
          <w:color w:val="auto"/>
          <w:sz w:val="24"/>
          <w:szCs w:val="24"/>
        </w:rPr>
      </w:pPr>
      <w:r>
        <w:rPr>
          <w:rStyle w:val="34"/>
          <w:rFonts w:hint="eastAsia" w:ascii="宋体" w:hAnsi="宋体" w:cs="宋体"/>
          <w:color w:val="auto"/>
          <w:sz w:val="24"/>
          <w:szCs w:val="24"/>
        </w:rPr>
        <w:t>六、公告期限</w:t>
      </w:r>
    </w:p>
    <w:p w14:paraId="488D20E3">
      <w:pPr>
        <w:pStyle w:val="27"/>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自本公告发布之日起3个工作日。</w:t>
      </w:r>
    </w:p>
    <w:p w14:paraId="17F2890D">
      <w:pPr>
        <w:pStyle w:val="27"/>
        <w:widowControl/>
        <w:spacing w:before="255" w:beforeAutospacing="0" w:after="255" w:afterAutospacing="0" w:line="360" w:lineRule="auto"/>
        <w:jc w:val="both"/>
        <w:rPr>
          <w:rFonts w:hint="eastAsia" w:ascii="宋体" w:hAnsi="宋体" w:cs="宋体"/>
          <w:color w:val="auto"/>
          <w:sz w:val="24"/>
          <w:szCs w:val="24"/>
        </w:rPr>
      </w:pPr>
      <w:r>
        <w:rPr>
          <w:rStyle w:val="34"/>
          <w:rFonts w:hint="eastAsia" w:ascii="宋体" w:hAnsi="宋体" w:cs="宋体"/>
          <w:color w:val="auto"/>
          <w:sz w:val="24"/>
          <w:szCs w:val="24"/>
        </w:rPr>
        <w:t>七、其他补充事宜</w:t>
      </w:r>
      <w:r>
        <w:rPr>
          <w:rFonts w:hint="eastAsia" w:ascii="宋体" w:hAnsi="宋体" w:cs="宋体"/>
          <w:color w:val="auto"/>
          <w:sz w:val="24"/>
          <w:szCs w:val="24"/>
        </w:rPr>
        <w:t> </w:t>
      </w:r>
    </w:p>
    <w:p w14:paraId="45C0EC39">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r>
        <w:rPr>
          <w:rFonts w:hint="eastAsia" w:ascii="宋体" w:hAnsi="宋体" w:cs="宋体"/>
          <w:color w:val="auto"/>
          <w:sz w:val="24"/>
          <w:szCs w:val="24"/>
          <w:highlight w:val="none"/>
        </w:rPr>
        <w:t>.</w:t>
      </w:r>
      <w:r>
        <w:rPr>
          <w:rFonts w:ascii="宋体" w:hAnsi="宋体" w:cs="宋体"/>
          <w:color w:val="auto"/>
          <w:sz w:val="24"/>
          <w:szCs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szCs w:val="24"/>
          <w:highlight w:val="none"/>
        </w:rPr>
        <w:t>。</w:t>
      </w:r>
    </w:p>
    <w:p w14:paraId="3F80D4FB">
      <w:pPr>
        <w:spacing w:line="360" w:lineRule="auto"/>
        <w:ind w:firstLine="480" w:firstLineChars="200"/>
        <w:rPr>
          <w:rFonts w:hint="eastAsia" w:ascii="宋体" w:hAnsi="宋体" w:eastAsia="宋体" w:cs="宋体"/>
          <w:sz w:val="24"/>
          <w:highlight w:val="none"/>
        </w:rPr>
      </w:pPr>
      <w:r>
        <w:rPr>
          <w:rFonts w:cs="宋体" w:asciiTheme="minorEastAsia" w:hAnsiTheme="minorEastAsia" w:eastAsiaTheme="minorEastAsia"/>
          <w:color w:val="auto"/>
          <w:sz w:val="24"/>
          <w:szCs w:val="24"/>
          <w:highlight w:val="none"/>
        </w:rPr>
        <w:t xml:space="preserve"> </w:t>
      </w:r>
      <w:r>
        <w:rPr>
          <w:rFonts w:hint="eastAsia" w:ascii="宋体" w:hAnsi="宋体" w:eastAsia="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4E5435">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E2F152">
      <w:pPr>
        <w:spacing w:line="360" w:lineRule="auto"/>
        <w:ind w:firstLine="482" w:firstLineChars="200"/>
        <w:rPr>
          <w:rFonts w:hint="eastAsia" w:cs="宋体" w:asciiTheme="minorEastAsia" w:hAnsiTheme="minorEastAsia" w:eastAsiaTheme="minorEastAsia"/>
          <w:b/>
          <w:color w:val="auto"/>
          <w:kern w:val="0"/>
          <w:sz w:val="24"/>
          <w:szCs w:val="24"/>
          <w:highlight w:val="none"/>
        </w:rPr>
      </w:pPr>
      <w:r>
        <w:rPr>
          <w:rFonts w:hint="eastAsia" w:cs="宋体" w:asciiTheme="minorEastAsia" w:hAnsiTheme="minorEastAsia" w:eastAsiaTheme="minorEastAsia"/>
          <w:b/>
          <w:color w:val="auto"/>
          <w:kern w:val="0"/>
          <w:sz w:val="24"/>
          <w:szCs w:val="24"/>
          <w:highlight w:val="none"/>
        </w:rPr>
        <w:t>4. 其他事项：</w:t>
      </w:r>
    </w:p>
    <w:p w14:paraId="14407F36">
      <w:pPr>
        <w:spacing w:line="360" w:lineRule="auto"/>
        <w:ind w:firstLine="482" w:firstLineChars="200"/>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b/>
          <w:color w:val="auto"/>
          <w:kern w:val="0"/>
          <w:sz w:val="24"/>
          <w:szCs w:val="24"/>
          <w:highlight w:val="none"/>
        </w:rPr>
        <w:t>（1）需要落实的政府采购政策：</w:t>
      </w:r>
      <w:r>
        <w:rPr>
          <w:rFonts w:hint="eastAsia" w:cs="宋体" w:asciiTheme="minorEastAsia" w:hAnsiTheme="minorEastAsia" w:eastAsiaTheme="minorEastAsia"/>
          <w:color w:val="auto"/>
          <w:kern w:val="0"/>
          <w:sz w:val="24"/>
          <w:szCs w:val="24"/>
          <w:highlight w:val="none"/>
        </w:rPr>
        <w:t>包括节约资源、保护环境、</w:t>
      </w:r>
      <w:r>
        <w:rPr>
          <w:rFonts w:hint="eastAsia" w:cs="宋体" w:asciiTheme="minorEastAsia" w:hAnsiTheme="minorEastAsia" w:eastAsiaTheme="minorEastAsia"/>
          <w:color w:val="auto"/>
          <w:sz w:val="24"/>
          <w:szCs w:val="24"/>
          <w:highlight w:val="none"/>
        </w:rPr>
        <w:t>支持创新、</w:t>
      </w:r>
      <w:r>
        <w:rPr>
          <w:rFonts w:hint="eastAsia" w:cs="宋体" w:asciiTheme="minorEastAsia" w:hAnsiTheme="minorEastAsia" w:eastAsiaTheme="minorEastAsia"/>
          <w:color w:val="auto"/>
          <w:kern w:val="0"/>
          <w:sz w:val="24"/>
          <w:szCs w:val="24"/>
          <w:highlight w:val="none"/>
        </w:rPr>
        <w:t>促进中小企业发展等，详见磋商文件第三</w:t>
      </w:r>
      <w:r>
        <w:rPr>
          <w:rFonts w:hint="eastAsia" w:cs="宋体" w:asciiTheme="minorEastAsia" w:hAnsiTheme="minorEastAsia" w:eastAsiaTheme="minorEastAsia"/>
          <w:color w:val="auto"/>
          <w:kern w:val="0"/>
          <w:sz w:val="24"/>
          <w:szCs w:val="24"/>
          <w:highlight w:val="none"/>
          <w:lang w:eastAsia="zh-CN"/>
        </w:rPr>
        <w:t>部分</w:t>
      </w:r>
      <w:r>
        <w:rPr>
          <w:rFonts w:hint="eastAsia" w:cs="宋体" w:asciiTheme="minorEastAsia" w:hAnsiTheme="minorEastAsia" w:eastAsiaTheme="minorEastAsia"/>
          <w:color w:val="auto"/>
          <w:kern w:val="0"/>
          <w:sz w:val="24"/>
          <w:szCs w:val="24"/>
          <w:highlight w:val="none"/>
        </w:rPr>
        <w:t>。</w:t>
      </w:r>
    </w:p>
    <w:p w14:paraId="77CC34B8">
      <w:pPr>
        <w:spacing w:line="360" w:lineRule="auto"/>
        <w:ind w:firstLine="482" w:firstLineChars="200"/>
        <w:rPr>
          <w:rFonts w:hint="eastAsia" w:cs="仿宋_GB2312" w:asciiTheme="minorEastAsia" w:hAnsiTheme="minorEastAsia" w:eastAsiaTheme="minorEastAsia"/>
          <w:color w:val="auto"/>
          <w:sz w:val="24"/>
          <w:szCs w:val="24"/>
          <w:highlight w:val="none"/>
        </w:rPr>
      </w:pPr>
      <w:r>
        <w:rPr>
          <w:rFonts w:hint="eastAsia" w:cs="宋体" w:asciiTheme="minorEastAsia" w:hAnsiTheme="minorEastAsia" w:eastAsiaTheme="minorEastAsia"/>
          <w:b/>
          <w:color w:val="auto"/>
          <w:kern w:val="0"/>
          <w:sz w:val="24"/>
          <w:szCs w:val="24"/>
          <w:highlight w:val="none"/>
        </w:rPr>
        <w:t>（2）</w:t>
      </w:r>
      <w:r>
        <w:rPr>
          <w:rFonts w:hint="eastAsia" w:cs="仿宋_GB2312" w:asciiTheme="minorEastAsia" w:hAnsiTheme="minorEastAsia" w:eastAsiaTheme="minorEastAsia"/>
          <w:b/>
          <w:color w:val="auto"/>
          <w:sz w:val="24"/>
          <w:szCs w:val="24"/>
          <w:highlight w:val="none"/>
        </w:rPr>
        <w:t>电子交易的说明: 1）电子交易：</w:t>
      </w:r>
      <w:r>
        <w:rPr>
          <w:rFonts w:hint="eastAsia" w:cs="仿宋_GB2312" w:asciiTheme="minorEastAsia" w:hAnsiTheme="minorEastAsia" w:eastAsiaTheme="minorEastAsia"/>
          <w:color w:val="auto"/>
          <w:sz w:val="24"/>
          <w:szCs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szCs w:val="24"/>
          <w:highlight w:val="none"/>
        </w:rPr>
        <w:t>2）响应准备：</w:t>
      </w:r>
      <w:r>
        <w:rPr>
          <w:rFonts w:hint="eastAsia" w:cs="仿宋_GB2312" w:asciiTheme="minorEastAsia" w:hAnsiTheme="minorEastAsia" w:eastAsiaTheme="minorEastAsia"/>
          <w:color w:val="auto"/>
          <w:sz w:val="24"/>
          <w:szCs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szCs w:val="24"/>
          <w:highlight w:val="none"/>
        </w:rPr>
        <w:t>3）磋商文件的获取：</w:t>
      </w:r>
      <w:r>
        <w:rPr>
          <w:rFonts w:hint="eastAsia" w:cs="仿宋_GB2312" w:asciiTheme="minorEastAsia" w:hAnsiTheme="minorEastAsia" w:eastAsiaTheme="minorEastAsia"/>
          <w:color w:val="auto"/>
          <w:sz w:val="24"/>
          <w:szCs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szCs w:val="24"/>
          <w:highlight w:val="none"/>
        </w:rPr>
        <w:t>4）响应文件的制作：</w:t>
      </w:r>
      <w:r>
        <w:rPr>
          <w:rFonts w:hint="eastAsia" w:cs="仿宋_GB2312" w:asciiTheme="minorEastAsia" w:hAnsiTheme="minorEastAsia" w:eastAsiaTheme="minorEastAsia"/>
          <w:color w:val="auto"/>
          <w:sz w:val="24"/>
          <w:szCs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szCs w:val="24"/>
          <w:highlight w:val="none"/>
        </w:rPr>
        <w:t>5）</w:t>
      </w:r>
      <w:r>
        <w:rPr>
          <w:rFonts w:hint="eastAsia" w:cs="仿宋_GB2312" w:asciiTheme="minorEastAsia" w:hAnsiTheme="minorEastAsia" w:eastAsiaTheme="minorEastAsia"/>
          <w:color w:val="auto"/>
          <w:sz w:val="24"/>
          <w:szCs w:val="24"/>
          <w:highlight w:val="none"/>
        </w:rPr>
        <w:t>采购人、采购机构将依托政采云平台完成本项目的电子交易活动，平台不接受未按本公告约定方式获取磋商文件的供应商进行响应活动；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szCs w:val="24"/>
          <w:highlight w:val="none"/>
        </w:rPr>
        <w:t>6）</w:t>
      </w:r>
      <w:r>
        <w:rPr>
          <w:rFonts w:hint="eastAsia" w:cs="仿宋_GB2312" w:asciiTheme="minorEastAsia" w:hAnsiTheme="minorEastAsia" w:eastAsiaTheme="minorEastAsia"/>
          <w:color w:val="auto"/>
          <w:sz w:val="24"/>
          <w:szCs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szCs w:val="24"/>
          <w:highlight w:val="none"/>
        </w:rPr>
        <w:t>；</w:t>
      </w:r>
      <w:r>
        <w:rPr>
          <w:rFonts w:cs="仿宋_GB2312" w:asciiTheme="minorEastAsia" w:hAnsiTheme="minorEastAsia" w:eastAsiaTheme="minorEastAsia"/>
          <w:b/>
          <w:color w:val="auto"/>
          <w:sz w:val="24"/>
          <w:szCs w:val="24"/>
          <w:highlight w:val="none"/>
        </w:rPr>
        <w:t>7）</w:t>
      </w:r>
      <w:r>
        <w:rPr>
          <w:rFonts w:hint="eastAsia" w:cs="仿宋_GB2312" w:asciiTheme="minorEastAsia" w:hAnsiTheme="minorEastAsia" w:eastAsiaTheme="minorEastAsia"/>
          <w:color w:val="auto"/>
          <w:sz w:val="24"/>
          <w:szCs w:val="24"/>
          <w:highlight w:val="none"/>
        </w:rPr>
        <w:t>不提供磋商文件纸质版；</w:t>
      </w:r>
      <w:r>
        <w:rPr>
          <w:rFonts w:cs="仿宋_GB2312" w:asciiTheme="minorEastAsia" w:hAnsiTheme="minorEastAsia" w:eastAsiaTheme="minorEastAsia"/>
          <w:b/>
          <w:color w:val="auto"/>
          <w:sz w:val="24"/>
          <w:szCs w:val="24"/>
          <w:highlight w:val="none"/>
        </w:rPr>
        <w:t>8</w:t>
      </w:r>
      <w:r>
        <w:rPr>
          <w:rFonts w:hint="eastAsia" w:cs="仿宋_GB2312" w:asciiTheme="minorEastAsia" w:hAnsiTheme="minorEastAsia" w:eastAsiaTheme="minorEastAsia"/>
          <w:b/>
          <w:color w:val="auto"/>
          <w:sz w:val="24"/>
          <w:szCs w:val="24"/>
          <w:highlight w:val="none"/>
        </w:rPr>
        <w:t>）响应文件的传输提交：</w:t>
      </w:r>
      <w:r>
        <w:rPr>
          <w:rFonts w:hint="eastAsia" w:cs="仿宋_GB2312" w:asciiTheme="minorEastAsia" w:hAnsiTheme="minorEastAsia" w:eastAsiaTheme="minorEastAsia"/>
          <w:color w:val="auto"/>
          <w:sz w:val="24"/>
          <w:szCs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w:t>
      </w:r>
      <w:r>
        <w:rPr>
          <w:rFonts w:hint="eastAsia" w:cs="仿宋_GB2312" w:asciiTheme="minorEastAsia" w:hAnsiTheme="minorEastAsia" w:eastAsiaTheme="minorEastAsia"/>
          <w:color w:val="auto"/>
          <w:sz w:val="24"/>
          <w:szCs w:val="24"/>
          <w:highlight w:val="none"/>
          <w:lang w:eastAsia="zh-CN"/>
        </w:rPr>
        <w:t>部分</w:t>
      </w:r>
      <w:r>
        <w:rPr>
          <w:rFonts w:hint="eastAsia" w:cs="仿宋_GB2312" w:asciiTheme="minorEastAsia" w:hAnsiTheme="minorEastAsia" w:eastAsiaTheme="minorEastAsia"/>
          <w:color w:val="auto"/>
          <w:sz w:val="24"/>
          <w:szCs w:val="24"/>
          <w:highlight w:val="none"/>
        </w:rPr>
        <w:t xml:space="preserve"> “备份响应文件”；</w:t>
      </w:r>
      <w:r>
        <w:rPr>
          <w:rFonts w:hint="eastAsia" w:cs="仿宋_GB2312" w:asciiTheme="minorEastAsia" w:hAnsiTheme="minorEastAsia" w:eastAsiaTheme="minorEastAsia"/>
          <w:b/>
          <w:color w:val="auto"/>
          <w:sz w:val="24"/>
          <w:szCs w:val="24"/>
          <w:highlight w:val="none"/>
        </w:rPr>
        <w:t>9）响应文件的解密：</w:t>
      </w:r>
      <w:r>
        <w:rPr>
          <w:rFonts w:hint="eastAsia" w:cs="仿宋_GB2312" w:asciiTheme="minorEastAsia" w:hAnsiTheme="minorEastAsia" w:eastAsiaTheme="minorEastAsia"/>
          <w:color w:val="auto"/>
          <w:sz w:val="24"/>
          <w:szCs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szCs w:val="24"/>
          <w:highlight w:val="none"/>
        </w:rPr>
        <w:t>）具体操作指南</w:t>
      </w:r>
      <w:r>
        <w:rPr>
          <w:rFonts w:hint="eastAsia" w:cs="仿宋_GB2312" w:asciiTheme="minorEastAsia" w:hAnsiTheme="minorEastAsia" w:eastAsiaTheme="minorEastAsia"/>
          <w:color w:val="auto"/>
          <w:sz w:val="24"/>
          <w:szCs w:val="24"/>
          <w:highlight w:val="none"/>
        </w:rPr>
        <w:t>：详见政采云平台“服务中心-帮助文档-项目采购-操作流程-电子招投标-政府采购项目电子交易管理操作指南-供应商”。</w:t>
      </w:r>
    </w:p>
    <w:p w14:paraId="20EA5BBD">
      <w:pPr>
        <w:spacing w:line="360" w:lineRule="auto"/>
        <w:ind w:firstLine="482"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color w:val="auto"/>
          <w:kern w:val="0"/>
          <w:sz w:val="24"/>
          <w:szCs w:val="24"/>
          <w:highlight w:val="none"/>
        </w:rPr>
        <w:t>（</w:t>
      </w:r>
      <w:r>
        <w:rPr>
          <w:rFonts w:hint="eastAsia" w:cs="宋体" w:asciiTheme="minorEastAsia" w:hAnsiTheme="minorEastAsia" w:eastAsiaTheme="minorEastAsia"/>
          <w:b/>
          <w:color w:val="auto"/>
          <w:kern w:val="0"/>
          <w:sz w:val="24"/>
          <w:szCs w:val="24"/>
          <w:highlight w:val="none"/>
          <w:lang w:val="en-US" w:eastAsia="zh-CN"/>
        </w:rPr>
        <w:t>3</w:t>
      </w:r>
      <w:r>
        <w:rPr>
          <w:rFonts w:hint="eastAsia" w:cs="宋体" w:asciiTheme="minorEastAsia" w:hAnsiTheme="minorEastAsia" w:eastAsiaTheme="minorEastAsia"/>
          <w:b/>
          <w:color w:val="auto"/>
          <w:kern w:val="0"/>
          <w:sz w:val="24"/>
          <w:szCs w:val="24"/>
          <w:highlight w:val="none"/>
        </w:rPr>
        <w:t>）</w:t>
      </w:r>
      <w:r>
        <w:rPr>
          <w:rFonts w:hint="eastAsia" w:cs="宋体" w:asciiTheme="minorEastAsia" w:hAnsiTheme="minorEastAsia" w:eastAsiaTheme="minorEastAsia"/>
          <w:color w:val="auto"/>
          <w:sz w:val="24"/>
          <w:szCs w:val="24"/>
          <w:highlight w:val="none"/>
        </w:rPr>
        <w:t>磋商文件公告期限与磋商公告的公告期限一致。</w:t>
      </w:r>
    </w:p>
    <w:p w14:paraId="363597A5">
      <w:pPr>
        <w:pStyle w:val="27"/>
        <w:widowControl/>
        <w:spacing w:before="0" w:beforeAutospacing="0" w:after="75" w:afterAutospacing="0" w:line="360" w:lineRule="auto"/>
        <w:ind w:firstLine="482" w:firstLineChars="200"/>
        <w:rPr>
          <w:rFonts w:hint="eastAsia" w:ascii="宋体" w:hAnsi="宋体" w:cs="宋体"/>
          <w:color w:val="auto"/>
          <w:sz w:val="24"/>
          <w:szCs w:val="24"/>
        </w:rPr>
      </w:pPr>
      <w:r>
        <w:rPr>
          <w:rFonts w:hint="eastAsia" w:cs="宋体" w:asciiTheme="minorEastAsia" w:hAnsiTheme="minorEastAsia" w:eastAsiaTheme="minorEastAsia"/>
          <w:b/>
          <w:color w:val="auto"/>
          <w:kern w:val="0"/>
          <w:sz w:val="24"/>
          <w:szCs w:val="24"/>
          <w:highlight w:val="none"/>
        </w:rPr>
        <w:t>（</w:t>
      </w:r>
      <w:r>
        <w:rPr>
          <w:rFonts w:hint="eastAsia" w:cs="宋体" w:asciiTheme="minorEastAsia" w:hAnsiTheme="minorEastAsia" w:eastAsiaTheme="minorEastAsia"/>
          <w:b/>
          <w:color w:val="auto"/>
          <w:kern w:val="0"/>
          <w:sz w:val="24"/>
          <w:szCs w:val="24"/>
          <w:highlight w:val="none"/>
          <w:lang w:val="en-US" w:eastAsia="zh-CN"/>
        </w:rPr>
        <w:t>4</w:t>
      </w:r>
      <w:r>
        <w:rPr>
          <w:rFonts w:hint="eastAsia" w:cs="宋体" w:asciiTheme="minorEastAsia" w:hAnsiTheme="minorEastAsia" w:eastAsiaTheme="minorEastAsia"/>
          <w:b/>
          <w:color w:val="auto"/>
          <w:kern w:val="0"/>
          <w:sz w:val="24"/>
          <w:szCs w:val="24"/>
          <w:highlight w:val="none"/>
        </w:rPr>
        <w:t>）</w:t>
      </w:r>
      <w:r>
        <w:rPr>
          <w:rFonts w:hint="eastAsia" w:cs="仿宋_GB2312" w:asciiTheme="minorEastAsia" w:hAnsiTheme="minorEastAsia" w:eastAsiaTheme="minorEastAsia"/>
          <w:color w:val="auto"/>
          <w:kern w:val="2"/>
          <w:sz w:val="24"/>
          <w:szCs w:val="24"/>
          <w:highlight w:val="none"/>
          <w:lang w:val="en-US" w:eastAsia="zh-CN" w:bidi="ar-SA"/>
        </w:rPr>
        <w:t>《第一部分  邀请供应商》中二、申请人的资格要求：第一条中的“重大税收违法案件当事人名单”即为“重大税收违法失信主体”。</w:t>
      </w:r>
    </w:p>
    <w:p w14:paraId="1987866C">
      <w:pPr>
        <w:pStyle w:val="27"/>
        <w:widowControl/>
        <w:spacing w:before="255" w:beforeAutospacing="0" w:after="255" w:afterAutospacing="0" w:line="360" w:lineRule="auto"/>
        <w:jc w:val="both"/>
        <w:rPr>
          <w:rFonts w:hint="eastAsia" w:ascii="宋体" w:hAnsi="宋体" w:cs="宋体"/>
          <w:color w:val="auto"/>
          <w:sz w:val="24"/>
          <w:szCs w:val="24"/>
        </w:rPr>
      </w:pPr>
      <w:r>
        <w:rPr>
          <w:rStyle w:val="34"/>
          <w:rFonts w:hint="eastAsia" w:ascii="宋体" w:hAnsi="宋体" w:cs="宋体"/>
          <w:color w:val="auto"/>
          <w:sz w:val="24"/>
          <w:szCs w:val="24"/>
        </w:rPr>
        <w:t>八、凡对本次招标提出询问、质疑、投诉，请按以下方式联系</w:t>
      </w:r>
    </w:p>
    <w:p w14:paraId="23D83B9E">
      <w:pPr>
        <w:pStyle w:val="27"/>
        <w:widowControl/>
        <w:spacing w:before="75" w:beforeAutospacing="0" w:after="75" w:afterAutospacing="0" w:line="360" w:lineRule="auto"/>
        <w:ind w:left="2158" w:leftChars="342" w:hanging="1440" w:hangingChars="600"/>
        <w:rPr>
          <w:rFonts w:hint="eastAsia" w:ascii="宋体" w:hAnsi="宋体" w:cs="宋体"/>
          <w:color w:val="auto"/>
          <w:sz w:val="24"/>
          <w:szCs w:val="24"/>
        </w:rPr>
      </w:pPr>
      <w:r>
        <w:rPr>
          <w:rFonts w:hint="eastAsia" w:ascii="宋体" w:hAnsi="宋体" w:cs="宋体"/>
          <w:color w:val="auto"/>
          <w:sz w:val="24"/>
          <w:szCs w:val="24"/>
        </w:rPr>
        <w:t>名    称：</w:t>
      </w:r>
      <w:r>
        <w:rPr>
          <w:rFonts w:hint="eastAsia" w:ascii="宋体" w:hAnsi="宋体" w:cs="宋体"/>
          <w:color w:val="auto"/>
          <w:sz w:val="24"/>
          <w:szCs w:val="24"/>
          <w:lang w:val="zh-CN"/>
        </w:rPr>
        <w:t>宁海县梅林街道社区卫生服务中心（宁海县第一医院医疗健康集团北部医院）</w:t>
      </w:r>
      <w:r>
        <w:rPr>
          <w:rFonts w:hint="eastAsia" w:ascii="宋体" w:hAnsi="宋体" w:cs="宋体"/>
          <w:color w:val="auto"/>
          <w:sz w:val="24"/>
          <w:szCs w:val="24"/>
        </w:rPr>
        <w:t xml:space="preserve"> </w:t>
      </w:r>
    </w:p>
    <w:p w14:paraId="0521214E">
      <w:pPr>
        <w:pStyle w:val="27"/>
        <w:widowControl/>
        <w:spacing w:before="75" w:beforeAutospacing="0" w:after="75" w:afterAutospacing="0" w:line="360" w:lineRule="auto"/>
        <w:ind w:firstLine="720" w:firstLineChars="300"/>
        <w:rPr>
          <w:rFonts w:hint="eastAsia" w:ascii="宋体" w:hAnsi="宋体" w:eastAsia="宋体" w:cs="宋体"/>
          <w:i w:val="0"/>
          <w:iCs w:val="0"/>
          <w:caps w:val="0"/>
          <w:color w:val="383838"/>
          <w:spacing w:val="0"/>
          <w:sz w:val="24"/>
          <w:szCs w:val="24"/>
          <w:lang w:eastAsia="zh-CN"/>
        </w:rPr>
      </w:pPr>
      <w:r>
        <w:rPr>
          <w:rFonts w:hint="eastAsia" w:ascii="宋体" w:hAnsi="宋体" w:cs="宋体"/>
          <w:color w:val="auto"/>
          <w:sz w:val="24"/>
          <w:szCs w:val="24"/>
        </w:rPr>
        <w:t>地    址：</w:t>
      </w:r>
      <w:r>
        <w:rPr>
          <w:rFonts w:hint="eastAsia" w:ascii="宋体" w:hAnsi="宋体" w:cs="宋体"/>
          <w:i w:val="0"/>
          <w:iCs w:val="0"/>
          <w:caps w:val="0"/>
          <w:color w:val="auto"/>
          <w:spacing w:val="0"/>
          <w:sz w:val="24"/>
          <w:szCs w:val="24"/>
          <w:lang w:eastAsia="zh-CN"/>
        </w:rPr>
        <w:t>宁海县梅桥路1216号</w:t>
      </w:r>
    </w:p>
    <w:p w14:paraId="3A4AFEBD">
      <w:pPr>
        <w:pStyle w:val="27"/>
        <w:widowControl/>
        <w:spacing w:before="75" w:beforeAutospacing="0" w:after="75" w:afterAutospacing="0" w:line="360" w:lineRule="auto"/>
        <w:ind w:firstLine="720" w:firstLineChars="300"/>
        <w:rPr>
          <w:rFonts w:hint="eastAsia" w:ascii="宋体" w:hAnsi="宋体" w:cs="宋体"/>
          <w:color w:val="auto"/>
          <w:sz w:val="24"/>
          <w:szCs w:val="24"/>
        </w:rPr>
      </w:pPr>
      <w:r>
        <w:rPr>
          <w:rFonts w:hint="eastAsia" w:ascii="宋体" w:hAnsi="宋体" w:cs="宋体"/>
          <w:color w:val="auto"/>
          <w:sz w:val="24"/>
          <w:szCs w:val="24"/>
        </w:rPr>
        <w:t>传    真：  /  </w:t>
      </w:r>
    </w:p>
    <w:p w14:paraId="20AC2CCB">
      <w:pPr>
        <w:pStyle w:val="27"/>
        <w:widowControl/>
        <w:spacing w:before="75" w:beforeAutospacing="0" w:after="75" w:afterAutospacing="0" w:line="360" w:lineRule="auto"/>
        <w:ind w:firstLine="720" w:firstLineChars="300"/>
        <w:rPr>
          <w:rFonts w:hint="default" w:ascii="宋体" w:hAnsi="宋体" w:eastAsia="宋体" w:cs="宋体"/>
          <w:color w:val="auto"/>
          <w:sz w:val="24"/>
          <w:szCs w:val="24"/>
          <w:lang w:val="en-US" w:eastAsia="zh-CN"/>
        </w:rPr>
      </w:pPr>
      <w:r>
        <w:rPr>
          <w:rFonts w:hint="eastAsia" w:ascii="宋体" w:hAnsi="宋体" w:cs="宋体"/>
          <w:color w:val="auto"/>
          <w:sz w:val="24"/>
          <w:szCs w:val="24"/>
        </w:rPr>
        <w:t>项目联系人（询问）：</w:t>
      </w:r>
      <w:r>
        <w:rPr>
          <w:rFonts w:hint="eastAsia" w:ascii="宋体" w:hAnsi="宋体" w:cs="宋体"/>
          <w:color w:val="auto"/>
          <w:sz w:val="24"/>
          <w:szCs w:val="24"/>
          <w:lang w:val="en-US" w:eastAsia="zh-CN"/>
        </w:rPr>
        <w:t>叶帅华</w:t>
      </w:r>
    </w:p>
    <w:p w14:paraId="7FCEC3F5">
      <w:pPr>
        <w:pStyle w:val="27"/>
        <w:widowControl/>
        <w:spacing w:before="75" w:beforeAutospacing="0" w:after="75" w:afterAutospacing="0" w:line="360" w:lineRule="auto"/>
        <w:ind w:firstLine="720" w:firstLineChars="300"/>
        <w:rPr>
          <w:rFonts w:hint="default" w:ascii="宋体" w:hAnsi="宋体" w:eastAsia="宋体" w:cs="宋体"/>
          <w:color w:val="auto"/>
          <w:sz w:val="24"/>
          <w:szCs w:val="24"/>
          <w:lang w:val="en-US" w:eastAsia="zh-CN"/>
        </w:rPr>
      </w:pPr>
      <w:r>
        <w:rPr>
          <w:rFonts w:hint="eastAsia" w:ascii="宋体" w:hAnsi="宋体" w:cs="宋体"/>
          <w:color w:val="auto"/>
          <w:sz w:val="24"/>
          <w:szCs w:val="24"/>
        </w:rPr>
        <w:t>项目联系方式（询问）：</w:t>
      </w:r>
      <w:r>
        <w:rPr>
          <w:rFonts w:hint="eastAsia" w:ascii="宋体" w:hAnsi="宋体" w:cs="宋体"/>
          <w:color w:val="auto"/>
          <w:sz w:val="24"/>
          <w:szCs w:val="24"/>
          <w:lang w:val="en-US" w:eastAsia="zh-CN"/>
        </w:rPr>
        <w:t xml:space="preserve">15067441346 </w:t>
      </w:r>
    </w:p>
    <w:p w14:paraId="5CAF4A96">
      <w:pPr>
        <w:pStyle w:val="27"/>
        <w:widowControl/>
        <w:spacing w:before="75" w:beforeAutospacing="0" w:after="75" w:afterAutospacing="0" w:line="360" w:lineRule="auto"/>
        <w:ind w:firstLine="720" w:firstLineChars="300"/>
        <w:rPr>
          <w:rFonts w:hint="eastAsia" w:ascii="宋体" w:hAnsi="宋体" w:cs="宋体"/>
          <w:color w:val="auto"/>
          <w:sz w:val="24"/>
          <w:szCs w:val="24"/>
          <w:lang w:eastAsia="zh-CN"/>
        </w:rPr>
      </w:pPr>
      <w:r>
        <w:rPr>
          <w:rFonts w:hint="eastAsia" w:ascii="宋体" w:hAnsi="宋体" w:cs="宋体"/>
          <w:color w:val="auto"/>
          <w:sz w:val="24"/>
          <w:szCs w:val="24"/>
          <w:lang w:val="en-US" w:eastAsia="zh-CN"/>
        </w:rPr>
        <w:t>质疑联系人：</w:t>
      </w:r>
      <w:r>
        <w:rPr>
          <w:rFonts w:hint="eastAsia" w:ascii="宋体" w:hAnsi="宋体" w:cs="宋体"/>
          <w:color w:val="FF0000"/>
          <w:sz w:val="24"/>
          <w:szCs w:val="24"/>
          <w:lang w:val="en-US" w:eastAsia="zh-CN"/>
        </w:rPr>
        <w:t xml:space="preserve"> </w:t>
      </w:r>
      <w:r>
        <w:rPr>
          <w:rFonts w:hint="eastAsia" w:ascii="宋体" w:hAnsi="宋体" w:cs="宋体"/>
          <w:color w:val="auto"/>
          <w:sz w:val="24"/>
          <w:szCs w:val="24"/>
          <w:lang w:val="en-US" w:eastAsia="zh-CN"/>
        </w:rPr>
        <w:t xml:space="preserve">叶帅华 </w:t>
      </w:r>
    </w:p>
    <w:p w14:paraId="3FF579DE">
      <w:pPr>
        <w:pStyle w:val="27"/>
        <w:widowControl/>
        <w:spacing w:before="75" w:beforeAutospacing="0" w:after="75" w:afterAutospacing="0" w:line="360" w:lineRule="auto"/>
        <w:ind w:firstLine="720" w:firstLineChars="3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质疑联系方式：15067441346</w:t>
      </w:r>
    </w:p>
    <w:p w14:paraId="11588705">
      <w:pPr>
        <w:pStyle w:val="27"/>
        <w:widowControl/>
        <w:spacing w:before="75" w:beforeAutospacing="0" w:after="75" w:afterAutospacing="0" w:line="360" w:lineRule="auto"/>
        <w:rPr>
          <w:rFonts w:hint="eastAsia" w:ascii="宋体" w:hAnsi="宋体" w:cs="宋体"/>
          <w:color w:val="auto"/>
          <w:sz w:val="24"/>
          <w:szCs w:val="24"/>
        </w:rPr>
      </w:pPr>
    </w:p>
    <w:p w14:paraId="079D1E3D">
      <w:pPr>
        <w:pStyle w:val="27"/>
        <w:widowControl/>
        <w:spacing w:before="75" w:beforeAutospacing="0" w:after="75" w:afterAutospacing="0" w:line="360" w:lineRule="auto"/>
        <w:ind w:firstLine="720" w:firstLineChars="300"/>
        <w:rPr>
          <w:rFonts w:hint="eastAsia" w:ascii="宋体" w:hAnsi="宋体" w:cs="宋体"/>
          <w:color w:val="auto"/>
          <w:sz w:val="24"/>
          <w:szCs w:val="24"/>
        </w:rPr>
      </w:pPr>
      <w:r>
        <w:rPr>
          <w:rFonts w:hint="eastAsia" w:ascii="宋体" w:hAnsi="宋体" w:cs="宋体"/>
          <w:color w:val="auto"/>
          <w:sz w:val="24"/>
          <w:szCs w:val="24"/>
        </w:rPr>
        <w:t>2.采购代理机构信息</w:t>
      </w:r>
    </w:p>
    <w:p w14:paraId="237B86CB">
      <w:pPr>
        <w:pStyle w:val="27"/>
        <w:widowControl/>
        <w:spacing w:before="75" w:beforeAutospacing="0" w:after="75" w:afterAutospacing="0" w:line="360" w:lineRule="auto"/>
        <w:rPr>
          <w:rFonts w:hint="eastAsia" w:ascii="宋体" w:hAnsi="宋体" w:cs="宋体"/>
          <w:color w:val="auto"/>
          <w:sz w:val="24"/>
          <w:szCs w:val="24"/>
          <w:lang w:val="zh-CN"/>
        </w:rPr>
      </w:pPr>
      <w:r>
        <w:rPr>
          <w:rFonts w:hint="eastAsia" w:ascii="宋体" w:hAnsi="宋体" w:cs="宋体"/>
          <w:color w:val="auto"/>
          <w:sz w:val="24"/>
          <w:szCs w:val="24"/>
        </w:rPr>
        <w:t>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val="zh-CN"/>
        </w:rPr>
        <w:t>采购代理机构：浙江信望工程咨询有限公司</w:t>
      </w:r>
    </w:p>
    <w:p w14:paraId="0A988E15">
      <w:pPr>
        <w:pStyle w:val="27"/>
        <w:widowControl/>
        <w:spacing w:before="75" w:beforeAutospacing="0" w:after="75" w:afterAutospacing="0" w:line="360" w:lineRule="auto"/>
        <w:ind w:firstLine="720" w:firstLineChars="300"/>
        <w:rPr>
          <w:rFonts w:hint="eastAsia" w:ascii="宋体" w:hAnsi="宋体" w:cs="宋体"/>
          <w:color w:val="auto"/>
          <w:sz w:val="24"/>
          <w:szCs w:val="24"/>
          <w:lang w:val="zh-CN"/>
        </w:rPr>
      </w:pPr>
      <w:r>
        <w:rPr>
          <w:rFonts w:hint="eastAsia" w:ascii="宋体" w:hAnsi="宋体" w:cs="宋体"/>
          <w:color w:val="auto"/>
          <w:sz w:val="24"/>
          <w:szCs w:val="24"/>
          <w:lang w:val="zh-CN"/>
        </w:rPr>
        <w:t>地址：宁海县跃龙路21号1楼</w:t>
      </w:r>
    </w:p>
    <w:p w14:paraId="1CEAFFEF">
      <w:pPr>
        <w:pStyle w:val="27"/>
        <w:widowControl/>
        <w:spacing w:before="75" w:beforeAutospacing="0" w:after="75" w:afterAutospacing="0" w:line="360" w:lineRule="auto"/>
        <w:ind w:firstLine="720" w:firstLineChars="300"/>
        <w:rPr>
          <w:rFonts w:hint="eastAsia" w:ascii="宋体" w:hAnsi="宋体" w:eastAsia="宋体" w:cs="宋体"/>
          <w:color w:val="auto"/>
          <w:sz w:val="24"/>
          <w:szCs w:val="24"/>
          <w:lang w:val="en-US" w:eastAsia="zh-CN"/>
        </w:rPr>
      </w:pPr>
      <w:r>
        <w:rPr>
          <w:rFonts w:hint="eastAsia" w:ascii="宋体" w:hAnsi="宋体" w:cs="宋体"/>
          <w:color w:val="auto"/>
          <w:sz w:val="24"/>
          <w:szCs w:val="24"/>
          <w:lang w:val="zh-CN"/>
        </w:rPr>
        <w:t>联系人</w:t>
      </w:r>
      <w:r>
        <w:rPr>
          <w:rFonts w:hint="eastAsia" w:ascii="宋体" w:hAnsi="宋体" w:cs="宋体"/>
          <w:sz w:val="24"/>
          <w:lang w:val="en-US" w:eastAsia="zh-CN"/>
        </w:rPr>
        <w:t>（询问）</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钱丹丹</w:t>
      </w:r>
    </w:p>
    <w:p w14:paraId="52A8FE4A">
      <w:pPr>
        <w:pStyle w:val="27"/>
        <w:widowControl/>
        <w:spacing w:before="75" w:beforeAutospacing="0" w:after="75" w:afterAutospacing="0" w:line="360" w:lineRule="auto"/>
        <w:ind w:firstLine="720" w:firstLineChars="300"/>
        <w:rPr>
          <w:rFonts w:hint="eastAsia" w:ascii="宋体" w:hAnsi="宋体" w:cs="宋体"/>
          <w:color w:val="auto"/>
          <w:sz w:val="24"/>
          <w:szCs w:val="24"/>
          <w:lang w:val="zh-CN"/>
        </w:rPr>
      </w:pPr>
      <w:r>
        <w:rPr>
          <w:rFonts w:hint="eastAsia" w:ascii="宋体" w:hAnsi="宋体" w:cs="宋体"/>
          <w:color w:val="auto"/>
          <w:sz w:val="24"/>
          <w:szCs w:val="24"/>
          <w:lang w:val="zh-CN"/>
        </w:rPr>
        <w:t>联系电话</w:t>
      </w:r>
      <w:r>
        <w:rPr>
          <w:rFonts w:hint="eastAsia" w:ascii="宋体" w:hAnsi="宋体" w:cs="宋体"/>
          <w:sz w:val="24"/>
          <w:lang w:val="en-US" w:eastAsia="zh-CN"/>
        </w:rPr>
        <w:t>（询问）</w:t>
      </w:r>
      <w:r>
        <w:rPr>
          <w:rFonts w:hint="eastAsia" w:ascii="宋体" w:hAnsi="宋体" w:cs="宋体"/>
          <w:color w:val="auto"/>
          <w:sz w:val="24"/>
          <w:szCs w:val="24"/>
          <w:lang w:val="zh-CN"/>
        </w:rPr>
        <w:t>：17757444602 </w:t>
      </w:r>
    </w:p>
    <w:p w14:paraId="1B970AD2">
      <w:pPr>
        <w:pStyle w:val="27"/>
        <w:widowControl/>
        <w:spacing w:before="75" w:beforeAutospacing="0" w:after="75" w:afterAutospacing="0" w:line="360" w:lineRule="auto"/>
        <w:ind w:firstLine="720" w:firstLineChars="3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质疑联系人：</w:t>
      </w:r>
      <w:r>
        <w:rPr>
          <w:rFonts w:hint="eastAsia" w:ascii="宋体" w:hAnsi="宋体" w:cs="宋体"/>
          <w:color w:val="auto"/>
          <w:sz w:val="24"/>
          <w:highlight w:val="none"/>
          <w:lang w:val="en-US" w:eastAsia="zh-CN"/>
        </w:rPr>
        <w:t>俞晓雅</w:t>
      </w:r>
    </w:p>
    <w:p w14:paraId="0F0E8A68">
      <w:pPr>
        <w:pStyle w:val="27"/>
        <w:widowControl/>
        <w:spacing w:before="75" w:beforeAutospacing="0" w:after="75" w:afterAutospacing="0" w:line="360" w:lineRule="auto"/>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质疑联系方式：</w:t>
      </w:r>
      <w:r>
        <w:rPr>
          <w:rFonts w:hint="eastAsia" w:ascii="宋体" w:hAnsi="宋体" w:cs="宋体"/>
          <w:color w:val="auto"/>
          <w:sz w:val="24"/>
          <w:highlight w:val="none"/>
          <w:lang w:val="en-US" w:eastAsia="zh-CN"/>
        </w:rPr>
        <w:t>15058280220</w:t>
      </w:r>
    </w:p>
    <w:p w14:paraId="1C7A1943">
      <w:pPr>
        <w:pStyle w:val="27"/>
        <w:widowControl/>
        <w:spacing w:before="75" w:beforeAutospacing="0" w:after="75" w:afterAutospacing="0" w:line="360" w:lineRule="auto"/>
        <w:ind w:firstLine="720" w:firstLineChars="300"/>
        <w:rPr>
          <w:rFonts w:hint="eastAsia" w:ascii="宋体" w:hAnsi="宋体" w:eastAsia="宋体" w:cs="宋体"/>
          <w:color w:val="auto"/>
          <w:sz w:val="24"/>
          <w:szCs w:val="24"/>
          <w:lang w:eastAsia="zh-CN"/>
        </w:rPr>
      </w:pPr>
      <w:r>
        <w:rPr>
          <w:rFonts w:hint="eastAsia" w:ascii="宋体" w:hAnsi="宋体" w:cs="宋体"/>
          <w:color w:val="auto"/>
          <w:sz w:val="24"/>
          <w:szCs w:val="24"/>
        </w:rPr>
        <w:t xml:space="preserve">   </w:t>
      </w:r>
    </w:p>
    <w:p w14:paraId="4104353C">
      <w:pPr>
        <w:pStyle w:val="27"/>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3.同级政府采购监督管理部门</w:t>
      </w:r>
    </w:p>
    <w:p w14:paraId="404A2334">
      <w:pPr>
        <w:pStyle w:val="27"/>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名    称：宁海县政府采购管理办公室             </w:t>
      </w:r>
    </w:p>
    <w:p w14:paraId="55CB4E0A">
      <w:pPr>
        <w:pStyle w:val="27"/>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地    址：宁海县跃龙街道桃源中路218号              </w:t>
      </w:r>
    </w:p>
    <w:p w14:paraId="61256E44">
      <w:pPr>
        <w:pStyle w:val="27"/>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传    真：</w:t>
      </w:r>
      <w:r>
        <w:rPr>
          <w:rFonts w:hint="eastAsia" w:ascii="宋体" w:hAnsi="宋体" w:cs="宋体"/>
          <w:color w:val="auto"/>
          <w:sz w:val="24"/>
          <w:szCs w:val="24"/>
          <w:lang w:eastAsia="zh-CN"/>
        </w:rPr>
        <w:t>05</w:t>
      </w:r>
      <w:r>
        <w:rPr>
          <w:rFonts w:hint="eastAsia" w:ascii="宋体" w:hAnsi="宋体" w:cs="宋体"/>
          <w:color w:val="auto"/>
          <w:sz w:val="24"/>
          <w:szCs w:val="24"/>
          <w:lang w:val="en-US" w:eastAsia="zh-CN"/>
        </w:rPr>
        <w:t>7</w:t>
      </w:r>
      <w:r>
        <w:rPr>
          <w:rFonts w:hint="eastAsia" w:ascii="宋体" w:hAnsi="宋体" w:cs="宋体"/>
          <w:color w:val="auto"/>
          <w:sz w:val="24"/>
          <w:szCs w:val="24"/>
        </w:rPr>
        <w:t>4-65265612             </w:t>
      </w:r>
    </w:p>
    <w:p w14:paraId="7B64F0BF">
      <w:pPr>
        <w:pStyle w:val="27"/>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联系人 ：王老师             </w:t>
      </w:r>
    </w:p>
    <w:p w14:paraId="5FC679DB">
      <w:pPr>
        <w:pStyle w:val="27"/>
        <w:widowControl/>
        <w:spacing w:before="75" w:beforeAutospacing="0" w:after="75" w:afterAutospacing="0" w:line="360" w:lineRule="auto"/>
        <w:ind w:firstLine="630"/>
        <w:rPr>
          <w:rFonts w:hint="eastAsia" w:ascii="宋体" w:hAnsi="宋体" w:cs="宋体"/>
          <w:color w:val="auto"/>
          <w:sz w:val="24"/>
          <w:szCs w:val="24"/>
        </w:rPr>
      </w:pPr>
      <w:r>
        <w:rPr>
          <w:rFonts w:hint="eastAsia" w:ascii="宋体" w:hAnsi="宋体" w:cs="宋体"/>
          <w:color w:val="auto"/>
          <w:sz w:val="24"/>
          <w:szCs w:val="24"/>
        </w:rPr>
        <w:t>监督投诉电话：</w:t>
      </w:r>
      <w:r>
        <w:rPr>
          <w:rFonts w:hint="eastAsia" w:ascii="宋体" w:hAnsi="宋体" w:cs="宋体"/>
          <w:color w:val="auto"/>
          <w:sz w:val="24"/>
          <w:szCs w:val="24"/>
          <w:lang w:eastAsia="zh-CN"/>
        </w:rPr>
        <w:t>05</w:t>
      </w:r>
      <w:r>
        <w:rPr>
          <w:rFonts w:hint="eastAsia" w:ascii="宋体" w:hAnsi="宋体" w:cs="宋体"/>
          <w:color w:val="auto"/>
          <w:sz w:val="24"/>
          <w:szCs w:val="24"/>
          <w:lang w:val="en-US" w:eastAsia="zh-CN"/>
        </w:rPr>
        <w:t>7</w:t>
      </w:r>
      <w:r>
        <w:rPr>
          <w:rFonts w:hint="eastAsia" w:ascii="宋体" w:hAnsi="宋体" w:cs="宋体"/>
          <w:color w:val="auto"/>
          <w:sz w:val="24"/>
          <w:szCs w:val="24"/>
        </w:rPr>
        <w:t>4-65265668</w:t>
      </w:r>
    </w:p>
    <w:p w14:paraId="088DAF27">
      <w:pPr>
        <w:pStyle w:val="27"/>
        <w:widowControl/>
        <w:spacing w:before="195" w:beforeAutospacing="0" w:after="75" w:afterAutospacing="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若对项目采购电子交易系统操作有疑问，可登录政采云（https://www.zcygov.cn/），点击右侧咨询小采，获取采小蜜智能服务管家帮助，或拨打政采云服务热线400-881-7190获取热线服务帮助。        </w:t>
      </w:r>
    </w:p>
    <w:p w14:paraId="67557505">
      <w:pPr>
        <w:widowControl/>
        <w:spacing w:line="360" w:lineRule="auto"/>
        <w:ind w:right="-420" w:rightChars="-200" w:firstLine="480" w:firstLineChars="200"/>
        <w:rPr>
          <w:rFonts w:hint="eastAsia" w:ascii="仿宋" w:hAnsi="仿宋" w:eastAsia="仿宋" w:cs="仿宋"/>
          <w:color w:val="auto"/>
          <w:sz w:val="24"/>
          <w:szCs w:val="24"/>
          <w:lang w:eastAsia="zh-CN"/>
        </w:rPr>
      </w:pPr>
      <w:r>
        <w:rPr>
          <w:rFonts w:hint="eastAsia" w:ascii="宋体" w:hAnsi="宋体" w:cs="宋体"/>
          <w:color w:val="auto"/>
          <w:sz w:val="24"/>
          <w:szCs w:val="24"/>
        </w:rPr>
        <w:t>CA问题联系电话（人工）：汇信CA 400-888-4636；天谷CA 400-087-8198。</w:t>
      </w:r>
    </w:p>
    <w:p w14:paraId="4F75D29A">
      <w:pPr>
        <w:rPr>
          <w:rFonts w:hint="eastAsia"/>
        </w:rPr>
      </w:pPr>
      <w:r>
        <w:rPr>
          <w:rFonts w:ascii="Calibri" w:hAnsi="Calibri" w:eastAsia="仿宋" w:cs="Calibri"/>
          <w:color w:val="auto"/>
          <w:sz w:val="24"/>
          <w:szCs w:val="24"/>
        </w:rPr>
        <w:t> </w:t>
      </w:r>
      <w:r>
        <w:rPr>
          <w:rFonts w:ascii="Calibri" w:hAnsi="Calibri" w:cs="Calibri"/>
          <w:color w:val="auto"/>
          <w:sz w:val="24"/>
          <w:szCs w:val="24"/>
        </w:rPr>
        <w:t xml:space="preserve">          </w:t>
      </w:r>
      <w:bookmarkEnd w:id="0"/>
      <w:bookmarkStart w:id="3" w:name="_Toc462908583"/>
    </w:p>
    <w:p w14:paraId="743EE617">
      <w:pPr>
        <w:adjustRightInd/>
        <w:spacing w:line="360" w:lineRule="auto"/>
        <w:jc w:val="center"/>
        <w:outlineLvl w:val="0"/>
        <w:rPr>
          <w:rFonts w:hint="eastAsia"/>
          <w:b/>
          <w:color w:val="auto"/>
          <w:sz w:val="36"/>
          <w:szCs w:val="36"/>
        </w:rPr>
      </w:pPr>
    </w:p>
    <w:p w14:paraId="5D13F00E">
      <w:pPr>
        <w:adjustRightInd/>
        <w:spacing w:line="360" w:lineRule="auto"/>
        <w:jc w:val="center"/>
        <w:outlineLvl w:val="0"/>
        <w:rPr>
          <w:rFonts w:hint="eastAsia"/>
          <w:b/>
          <w:color w:val="auto"/>
          <w:sz w:val="36"/>
          <w:szCs w:val="36"/>
        </w:rPr>
      </w:pPr>
    </w:p>
    <w:p w14:paraId="3675994A">
      <w:pPr>
        <w:adjustRightInd/>
        <w:spacing w:line="360" w:lineRule="auto"/>
        <w:jc w:val="center"/>
        <w:outlineLvl w:val="0"/>
        <w:rPr>
          <w:rFonts w:hint="eastAsia"/>
          <w:b/>
          <w:color w:val="auto"/>
          <w:sz w:val="36"/>
          <w:szCs w:val="36"/>
        </w:rPr>
      </w:pPr>
    </w:p>
    <w:p w14:paraId="5737DF55">
      <w:pPr>
        <w:adjustRightInd/>
        <w:spacing w:line="360" w:lineRule="auto"/>
        <w:jc w:val="center"/>
        <w:outlineLvl w:val="0"/>
        <w:rPr>
          <w:rFonts w:hint="eastAsia"/>
          <w:b/>
          <w:color w:val="auto"/>
          <w:sz w:val="36"/>
          <w:szCs w:val="36"/>
        </w:rPr>
      </w:pPr>
    </w:p>
    <w:p w14:paraId="631D1A3C">
      <w:pPr>
        <w:adjustRightInd/>
        <w:spacing w:line="360" w:lineRule="auto"/>
        <w:jc w:val="center"/>
        <w:outlineLvl w:val="0"/>
        <w:rPr>
          <w:rFonts w:hint="eastAsia"/>
          <w:b/>
          <w:color w:val="auto"/>
          <w:sz w:val="36"/>
          <w:szCs w:val="36"/>
        </w:rPr>
      </w:pPr>
    </w:p>
    <w:p w14:paraId="0A3210A0">
      <w:pPr>
        <w:adjustRightInd/>
        <w:spacing w:line="360" w:lineRule="auto"/>
        <w:jc w:val="center"/>
        <w:outlineLvl w:val="0"/>
        <w:rPr>
          <w:rFonts w:hint="eastAsia"/>
          <w:b/>
          <w:color w:val="auto"/>
          <w:sz w:val="36"/>
          <w:szCs w:val="36"/>
        </w:rPr>
      </w:pPr>
    </w:p>
    <w:p w14:paraId="6F80E71D">
      <w:pPr>
        <w:adjustRightInd/>
        <w:spacing w:line="360" w:lineRule="auto"/>
        <w:jc w:val="center"/>
        <w:outlineLvl w:val="0"/>
        <w:rPr>
          <w:rFonts w:hint="eastAsia"/>
          <w:b/>
          <w:color w:val="auto"/>
          <w:sz w:val="36"/>
          <w:szCs w:val="36"/>
        </w:rPr>
      </w:pPr>
    </w:p>
    <w:p w14:paraId="6BB0AD42">
      <w:pPr>
        <w:adjustRightInd/>
        <w:spacing w:line="360" w:lineRule="auto"/>
        <w:jc w:val="center"/>
        <w:outlineLvl w:val="0"/>
        <w:rPr>
          <w:rFonts w:hint="eastAsia"/>
          <w:b/>
          <w:color w:val="auto"/>
          <w:sz w:val="36"/>
          <w:szCs w:val="36"/>
        </w:rPr>
      </w:pPr>
    </w:p>
    <w:p w14:paraId="257F50AE">
      <w:pPr>
        <w:adjustRightInd/>
        <w:spacing w:line="360" w:lineRule="auto"/>
        <w:jc w:val="center"/>
        <w:outlineLvl w:val="0"/>
        <w:rPr>
          <w:rFonts w:hint="eastAsia"/>
          <w:b/>
          <w:color w:val="auto"/>
          <w:sz w:val="36"/>
          <w:szCs w:val="36"/>
        </w:rPr>
      </w:pPr>
    </w:p>
    <w:p w14:paraId="193BF6B1">
      <w:pPr>
        <w:adjustRightInd/>
        <w:spacing w:line="360" w:lineRule="auto"/>
        <w:jc w:val="center"/>
        <w:outlineLvl w:val="0"/>
        <w:rPr>
          <w:rFonts w:hint="eastAsia"/>
          <w:b/>
          <w:color w:val="auto"/>
          <w:sz w:val="36"/>
          <w:szCs w:val="36"/>
        </w:rPr>
      </w:pPr>
    </w:p>
    <w:p w14:paraId="57C6CDA8">
      <w:pPr>
        <w:adjustRightInd/>
        <w:spacing w:line="360" w:lineRule="auto"/>
        <w:jc w:val="center"/>
        <w:outlineLvl w:val="0"/>
        <w:rPr>
          <w:rFonts w:hint="eastAsia"/>
          <w:b/>
          <w:color w:val="auto"/>
          <w:sz w:val="36"/>
          <w:szCs w:val="36"/>
        </w:rPr>
      </w:pPr>
    </w:p>
    <w:p w14:paraId="6E584049">
      <w:pPr>
        <w:adjustRightInd/>
        <w:spacing w:line="360" w:lineRule="auto"/>
        <w:jc w:val="center"/>
        <w:outlineLvl w:val="0"/>
        <w:rPr>
          <w:rFonts w:hint="eastAsia"/>
          <w:b/>
          <w:color w:val="auto"/>
          <w:sz w:val="36"/>
          <w:szCs w:val="36"/>
        </w:rPr>
      </w:pPr>
    </w:p>
    <w:p w14:paraId="139159EA">
      <w:pPr>
        <w:adjustRightInd/>
        <w:spacing w:line="360" w:lineRule="auto"/>
        <w:jc w:val="center"/>
        <w:outlineLvl w:val="0"/>
        <w:rPr>
          <w:rFonts w:hint="eastAsia"/>
          <w:b/>
          <w:color w:val="auto"/>
          <w:sz w:val="36"/>
          <w:szCs w:val="36"/>
        </w:rPr>
      </w:pPr>
    </w:p>
    <w:p w14:paraId="6A3329CA">
      <w:pPr>
        <w:adjustRightInd/>
        <w:spacing w:line="360" w:lineRule="auto"/>
        <w:jc w:val="center"/>
        <w:outlineLvl w:val="0"/>
        <w:rPr>
          <w:rFonts w:hint="eastAsia"/>
          <w:b/>
          <w:color w:val="auto"/>
          <w:sz w:val="36"/>
          <w:szCs w:val="36"/>
        </w:rPr>
      </w:pPr>
    </w:p>
    <w:p w14:paraId="70EC1CBC">
      <w:pPr>
        <w:adjustRightInd/>
        <w:spacing w:line="360" w:lineRule="auto"/>
        <w:jc w:val="center"/>
        <w:outlineLvl w:val="0"/>
        <w:rPr>
          <w:rFonts w:hint="eastAsia"/>
          <w:b/>
          <w:color w:val="auto"/>
          <w:sz w:val="36"/>
          <w:szCs w:val="36"/>
        </w:rPr>
      </w:pPr>
    </w:p>
    <w:p w14:paraId="215FD612">
      <w:pPr>
        <w:adjustRightInd/>
        <w:spacing w:line="360" w:lineRule="auto"/>
        <w:jc w:val="center"/>
        <w:outlineLvl w:val="0"/>
        <w:rPr>
          <w:rFonts w:hint="eastAsia"/>
          <w:b/>
          <w:color w:val="auto"/>
          <w:sz w:val="36"/>
          <w:szCs w:val="36"/>
        </w:rPr>
      </w:pPr>
    </w:p>
    <w:p w14:paraId="35D442DC">
      <w:pPr>
        <w:pStyle w:val="44"/>
        <w:ind w:left="0" w:leftChars="0" w:firstLine="0" w:firstLineChars="0"/>
        <w:rPr>
          <w:rFonts w:hint="eastAsia"/>
          <w:b/>
          <w:color w:val="auto"/>
          <w:sz w:val="36"/>
          <w:szCs w:val="36"/>
        </w:rPr>
      </w:pPr>
    </w:p>
    <w:p w14:paraId="4AE777A9">
      <w:pPr>
        <w:adjustRightInd/>
        <w:spacing w:line="360" w:lineRule="auto"/>
        <w:jc w:val="center"/>
        <w:outlineLvl w:val="0"/>
        <w:rPr>
          <w:rFonts w:hint="eastAsia"/>
          <w:b/>
          <w:color w:val="auto"/>
          <w:sz w:val="36"/>
          <w:szCs w:val="36"/>
        </w:rPr>
      </w:pPr>
      <w:r>
        <w:rPr>
          <w:rFonts w:hint="eastAsia"/>
          <w:b/>
          <w:color w:val="auto"/>
          <w:sz w:val="36"/>
          <w:szCs w:val="36"/>
        </w:rPr>
        <w:t>第</w:t>
      </w:r>
      <w:r>
        <w:rPr>
          <w:rFonts w:hint="eastAsia"/>
          <w:b/>
          <w:color w:val="auto"/>
          <w:sz w:val="36"/>
          <w:szCs w:val="36"/>
          <w:lang w:val="en-US" w:eastAsia="zh-CN"/>
        </w:rPr>
        <w:t>二</w:t>
      </w:r>
      <w:r>
        <w:rPr>
          <w:rFonts w:hint="eastAsia"/>
          <w:b/>
          <w:color w:val="auto"/>
          <w:sz w:val="36"/>
          <w:szCs w:val="36"/>
        </w:rPr>
        <w:t xml:space="preserve">部分 </w:t>
      </w:r>
      <w:r>
        <w:rPr>
          <w:rFonts w:hint="eastAsia" w:cs="仿宋_GB2312" w:asciiTheme="minorEastAsia" w:hAnsiTheme="minorEastAsia" w:eastAsiaTheme="minorEastAsia"/>
          <w:b/>
          <w:color w:val="auto"/>
          <w:sz w:val="36"/>
          <w:szCs w:val="20"/>
          <w:highlight w:val="none"/>
        </w:rPr>
        <w:t>竞争性磋商流程</w:t>
      </w:r>
      <w:r>
        <w:rPr>
          <w:rFonts w:hint="eastAsia" w:cs="仿宋_GB2312" w:asciiTheme="minorEastAsia" w:hAnsiTheme="minorEastAsia" w:eastAsiaTheme="minorEastAsia"/>
          <w:b/>
          <w:color w:val="auto"/>
          <w:sz w:val="36"/>
          <w:szCs w:val="20"/>
          <w:highlight w:val="none"/>
          <w:lang w:eastAsia="zh-CN"/>
        </w:rPr>
        <w:t>及</w:t>
      </w:r>
      <w:bookmarkEnd w:id="3"/>
      <w:r>
        <w:rPr>
          <w:rFonts w:hint="eastAsia" w:cs="仿宋_GB2312" w:asciiTheme="minorEastAsia" w:hAnsiTheme="minorEastAsia" w:eastAsiaTheme="minorEastAsia"/>
          <w:b/>
          <w:color w:val="auto"/>
          <w:sz w:val="36"/>
          <w:szCs w:val="20"/>
          <w:highlight w:val="none"/>
        </w:rPr>
        <w:t>供应商须知</w:t>
      </w:r>
    </w:p>
    <w:p w14:paraId="08CC4864">
      <w:pPr>
        <w:pStyle w:val="79"/>
        <w:spacing w:before="0" w:line="360" w:lineRule="auto"/>
        <w:ind w:firstLine="0" w:firstLineChars="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1.征集供应商</w:t>
      </w:r>
    </w:p>
    <w:p w14:paraId="4740B458">
      <w:pPr>
        <w:pStyle w:val="79"/>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1.1邀请供应商。</w:t>
      </w:r>
    </w:p>
    <w:p w14:paraId="4B9732AE">
      <w:pPr>
        <w:pStyle w:val="79"/>
        <w:numPr>
          <w:ilvl w:val="0"/>
          <w:numId w:val="2"/>
        </w:numPr>
        <w:spacing w:before="0" w:line="360" w:lineRule="auto"/>
        <w:ind w:firstLineChars="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采用公告方式邀请供应商的，</w:t>
      </w:r>
      <w:r>
        <w:rPr>
          <w:rFonts w:hint="eastAsia" w:asciiTheme="minorEastAsia" w:hAnsiTheme="minorEastAsia" w:eastAsiaTheme="minorEastAsia"/>
          <w:color w:val="auto"/>
          <w:sz w:val="24"/>
          <w:szCs w:val="24"/>
          <w:highlight w:val="none"/>
        </w:rPr>
        <w:t>由采购人、采购机构在省级以上人民政府财政部门指定的政府采购信息发布媒体上发布磋商公告，邀请符合相应资格条件的供应商参与竞争性磋商采购活动。</w:t>
      </w:r>
    </w:p>
    <w:p w14:paraId="67F962C4">
      <w:pPr>
        <w:pStyle w:val="79"/>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1.2供应商获取磋商文件。</w:t>
      </w:r>
    </w:p>
    <w:p w14:paraId="09E99494">
      <w:pPr>
        <w:pStyle w:val="79"/>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1.3组织现场考察或召开答疑会（如果有）。</w:t>
      </w:r>
    </w:p>
    <w:p w14:paraId="6EEA8A54">
      <w:pPr>
        <w:pStyle w:val="79"/>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1.4发布更正（延期）公告，澄清或修改磋商文件（如果有）。</w:t>
      </w:r>
    </w:p>
    <w:p w14:paraId="32073294">
      <w:pPr>
        <w:pStyle w:val="79"/>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1.5供应商按磋商文件要求编制响应文件。</w:t>
      </w:r>
    </w:p>
    <w:p w14:paraId="5C96CA1B">
      <w:pPr>
        <w:pStyle w:val="79"/>
        <w:spacing w:before="0" w:line="360" w:lineRule="auto"/>
        <w:ind w:firstLine="0" w:firstLineChars="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2.响应文件开启与信用信息查询</w:t>
      </w:r>
    </w:p>
    <w:p w14:paraId="31E5495D">
      <w:pPr>
        <w:pStyle w:val="79"/>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2.1供应商依据“提交响应文件的截止时间与地点”通过政采云平台在线提交响应文件。供应商在提交响应文件的截止时间前，可以补充、修改或撤回响应文件。</w:t>
      </w:r>
    </w:p>
    <w:p w14:paraId="1BE69162">
      <w:pPr>
        <w:pStyle w:val="79"/>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w:t>
      </w:r>
      <w:r>
        <w:rPr>
          <w:rFonts w:hint="eastAsia" w:cs="Arial" w:asciiTheme="minorEastAsia" w:hAnsiTheme="minorEastAsia" w:eastAsiaTheme="minorEastAsia"/>
          <w:color w:val="auto"/>
          <w:kern w:val="0"/>
          <w:sz w:val="24"/>
          <w:szCs w:val="24"/>
          <w:highlight w:val="none"/>
        </w:rPr>
        <w:t>采购机构将通过“信用中国”网站(</w:t>
      </w:r>
      <w:r>
        <w:rPr>
          <w:color w:val="auto"/>
          <w:sz w:val="24"/>
          <w:szCs w:val="24"/>
          <w:highlight w:val="none"/>
        </w:rPr>
        <w:fldChar w:fldCharType="begin"/>
      </w:r>
      <w:r>
        <w:rPr>
          <w:color w:val="auto"/>
          <w:sz w:val="24"/>
          <w:szCs w:val="24"/>
          <w:highlight w:val="none"/>
        </w:rPr>
        <w:instrText xml:space="preserve"> HYPERLINK "http://www.creditchina.gov.cn" </w:instrText>
      </w:r>
      <w:r>
        <w:rPr>
          <w:color w:val="auto"/>
          <w:sz w:val="24"/>
          <w:szCs w:val="24"/>
          <w:highlight w:val="none"/>
        </w:rPr>
        <w:fldChar w:fldCharType="separate"/>
      </w:r>
      <w:r>
        <w:rPr>
          <w:rStyle w:val="37"/>
          <w:rFonts w:hint="eastAsia" w:asciiTheme="minorEastAsia" w:hAnsiTheme="minorEastAsia" w:eastAsiaTheme="minorEastAsia"/>
          <w:snapToGrid/>
          <w:color w:val="auto"/>
          <w:sz w:val="24"/>
          <w:szCs w:val="24"/>
          <w:highlight w:val="none"/>
        </w:rPr>
        <w:t>www.creditchina.gov.cn</w:t>
      </w:r>
      <w:r>
        <w:rPr>
          <w:rStyle w:val="37"/>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 w:val="24"/>
          <w:szCs w:val="24"/>
          <w:highlight w:val="none"/>
        </w:rPr>
        <w:t>)和中国政府采购网(www.ccgp.gov.cn)渠道查询供应商响应截止时间当日的信用记录。</w:t>
      </w:r>
    </w:p>
    <w:p w14:paraId="6D8773F4">
      <w:pPr>
        <w:pStyle w:val="79"/>
        <w:spacing w:before="0" w:line="360" w:lineRule="auto"/>
        <w:ind w:firstLine="0" w:firstLineChars="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3.磋商与评审</w:t>
      </w:r>
    </w:p>
    <w:p w14:paraId="739F07A5">
      <w:pPr>
        <w:pStyle w:val="79"/>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3.1磋商小组签到。</w:t>
      </w:r>
    </w:p>
    <w:p w14:paraId="4A5509B5">
      <w:pPr>
        <w:pStyle w:val="79"/>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3.2采购机构宣布有关纪律以及磋商、评审工作程序。</w:t>
      </w:r>
    </w:p>
    <w:p w14:paraId="58D2C430">
      <w:pPr>
        <w:pStyle w:val="79"/>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3.3磋商小组审查确认磋商文件。磋商文件内容违反国家有关强制性规定的，磋商小组应当停止评审并向采购机构说明情况。</w:t>
      </w:r>
    </w:p>
    <w:p w14:paraId="78BE71B7">
      <w:pPr>
        <w:pStyle w:val="79"/>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3.4磋商小组对供应商的资格进行审查。</w:t>
      </w:r>
    </w:p>
    <w:p w14:paraId="7DE27901">
      <w:pPr>
        <w:pStyle w:val="79"/>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3.5磋商小组审查响应文件。</w:t>
      </w:r>
    </w:p>
    <w:p w14:paraId="09BF7139">
      <w:pPr>
        <w:pStyle w:val="79"/>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3.6对于未实质性响应磋商文件的响应文件由磋商小组认定响应无效，并告知该供应商。</w:t>
      </w:r>
    </w:p>
    <w:p w14:paraId="71F4F79D">
      <w:pPr>
        <w:pStyle w:val="79"/>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w:t>
      </w:r>
      <w:r>
        <w:rPr>
          <w:rFonts w:hint="eastAsia" w:asciiTheme="minorEastAsia" w:hAnsiTheme="minorEastAsia" w:eastAsiaTheme="minorEastAsia"/>
          <w:color w:val="auto"/>
          <w:szCs w:val="24"/>
          <w:highlight w:val="none"/>
        </w:rPr>
        <w:t>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r>
        <w:rPr>
          <w:rFonts w:hint="eastAsia" w:asciiTheme="minorEastAsia" w:hAnsiTheme="minorEastAsia" w:eastAsiaTheme="minorEastAsia"/>
          <w:color w:val="auto"/>
          <w:sz w:val="24"/>
          <w:szCs w:val="24"/>
          <w:highlight w:val="none"/>
        </w:rPr>
        <w:t>。</w:t>
      </w:r>
    </w:p>
    <w:p w14:paraId="00609F99">
      <w:pPr>
        <w:pStyle w:val="79"/>
        <w:spacing w:before="0"/>
        <w:ind w:firstLine="480"/>
        <w:rPr>
          <w:rFonts w:asciiTheme="minorEastAsia" w:hAnsiTheme="minorEastAsia" w:eastAsiaTheme="minorEastAsia"/>
          <w:color w:val="auto"/>
          <w:sz w:val="24"/>
          <w:szCs w:val="24"/>
          <w:highlight w:val="none"/>
        </w:rPr>
      </w:pPr>
      <w:r>
        <w:rPr>
          <w:rFonts w:hint="eastAsia" w:ascii="宋体" w:hAnsi="宋体" w:eastAsia="宋体" w:cs="宋体"/>
          <w:szCs w:val="24"/>
          <w:highlight w:val="none"/>
        </w:rPr>
        <w:t>3.8</w:t>
      </w:r>
      <w:r>
        <w:rPr>
          <w:rFonts w:hint="eastAsia" w:asciiTheme="minorEastAsia" w:hAnsiTheme="minorEastAsia" w:eastAsiaTheme="minorEastAsia"/>
          <w:color w:val="auto"/>
          <w:szCs w:val="24"/>
          <w:highlight w:val="none"/>
        </w:rPr>
        <w:t>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Theme="minorEastAsia" w:hAnsiTheme="minorEastAsia" w:eastAsiaTheme="minorEastAsia"/>
          <w:b/>
          <w:bCs/>
          <w:color w:val="auto"/>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r>
        <w:rPr>
          <w:rFonts w:hint="eastAsia" w:ascii="宋体" w:hAnsi="宋体" w:eastAsia="宋体" w:cs="宋体"/>
          <w:szCs w:val="24"/>
          <w:highlight w:val="none"/>
        </w:rPr>
        <w:t>。</w:t>
      </w:r>
    </w:p>
    <w:p w14:paraId="01097F03">
      <w:pPr>
        <w:pStyle w:val="79"/>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3.9</w:t>
      </w:r>
      <w:r>
        <w:rPr>
          <w:rFonts w:hint="eastAsia" w:asciiTheme="minorEastAsia" w:hAnsiTheme="minorEastAsia" w:eastAsiaTheme="minorEastAsia"/>
          <w:color w:val="auto"/>
          <w:szCs w:val="24"/>
          <w:highlight w:val="none"/>
        </w:rPr>
        <w:t>经磋商确定磋商文件的变动情况。对磋商文件作出的实质性变动是磋商文件的有效组成部分，磋商小组应当及时以书面形式同时通知所有参加磋商的供应商。</w:t>
      </w:r>
      <w:r>
        <w:rPr>
          <w:rFonts w:hint="eastAsia" w:asciiTheme="minorEastAsia" w:hAnsiTheme="minorEastAsia" w:eastAsiaTheme="minorEastAsia"/>
          <w:color w:val="auto"/>
          <w:szCs w:val="24"/>
          <w:highlight w:val="none"/>
          <w:lang w:val="en-US" w:eastAsia="zh-CN"/>
        </w:rPr>
        <w:t>如磋商小组认定磋商文件技术、服务要求以及合同草案条款无需进行变动且供应商应答明确，则</w:t>
      </w:r>
      <w:r>
        <w:rPr>
          <w:rFonts w:hint="eastAsia" w:asciiTheme="minorEastAsia" w:hAnsiTheme="minorEastAsia" w:eastAsiaTheme="minorEastAsia"/>
          <w:color w:val="auto"/>
          <w:szCs w:val="24"/>
          <w:highlight w:val="none"/>
        </w:rPr>
        <w:t>以书面形式</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lang w:val="en-US" w:eastAsia="zh-CN"/>
        </w:rPr>
        <w:t>政采云系统发出磋商响应函或邮件形式等</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rPr>
        <w:t>通知所有符合性审查合格的供应商</w:t>
      </w: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lang w:val="en-US" w:eastAsia="zh-CN"/>
        </w:rPr>
        <w:t>视作与供应商进行磋商</w:t>
      </w:r>
      <w:r>
        <w:rPr>
          <w:rFonts w:hint="eastAsia" w:asciiTheme="minorEastAsia" w:hAnsiTheme="minorEastAsia" w:eastAsiaTheme="minorEastAsia"/>
          <w:color w:val="auto"/>
          <w:sz w:val="24"/>
          <w:szCs w:val="24"/>
          <w:highlight w:val="none"/>
        </w:rPr>
        <w:t>。</w:t>
      </w:r>
    </w:p>
    <w:p w14:paraId="38AAB323">
      <w:pPr>
        <w:pStyle w:val="79"/>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07F6ABF">
      <w:pPr>
        <w:pStyle w:val="79"/>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3.11磋商小组按照下列方式确定提交最后报价的供应商，有特殊规定的从其规定：</w:t>
      </w:r>
    </w:p>
    <w:p w14:paraId="70C6E728">
      <w:pPr>
        <w:pStyle w:val="79"/>
        <w:spacing w:before="0" w:line="360" w:lineRule="auto"/>
        <w:ind w:firstLine="480"/>
        <w:rPr>
          <w:rFonts w:hint="eastAsia" w:ascii="宋体" w:hAnsi="宋体" w:eastAsia="宋体" w:cs="宋体"/>
          <w:color w:val="auto"/>
          <w:kern w:val="2"/>
          <w:sz w:val="24"/>
          <w:highlight w:val="none"/>
        </w:rPr>
      </w:pPr>
      <w:r>
        <w:rPr>
          <w:rFonts w:hint="eastAsia" w:ascii="宋体" w:hAnsi="宋体" w:eastAsia="宋体" w:cs="宋体"/>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eastAsia="宋体" w:cs="宋体"/>
          <w:color w:val="auto"/>
          <w:kern w:val="2"/>
          <w:sz w:val="24"/>
          <w:highlight w:val="none"/>
        </w:rPr>
        <w:t>根据磋商补充通知，政府购买服务项目（含政府和社会资本合作项目），在采购过程中符合要求的供应商（社会资本）只有2家的，竞争性磋商采购活动可以继续进行。</w:t>
      </w:r>
    </w:p>
    <w:p w14:paraId="01C135B7">
      <w:pPr>
        <w:pStyle w:val="79"/>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9C052EB">
      <w:pPr>
        <w:pStyle w:val="79"/>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3.12确定进入最后报价的供应商在规定时间内提交最后报价。</w:t>
      </w:r>
    </w:p>
    <w:p w14:paraId="4FDE0036">
      <w:pPr>
        <w:pStyle w:val="79"/>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3.13</w:t>
      </w:r>
      <w:r>
        <w:rPr>
          <w:rFonts w:hint="eastAsia" w:asciiTheme="minorEastAsia" w:hAnsiTheme="minorEastAsia" w:eastAsiaTheme="minorEastAsia"/>
          <w:color w:val="auto"/>
          <w:szCs w:val="24"/>
          <w:highlight w:val="none"/>
        </w:rPr>
        <w:t>采购代理机构唱价</w:t>
      </w:r>
      <w:r>
        <w:rPr>
          <w:rFonts w:hint="eastAsia" w:asciiTheme="minorEastAsia" w:hAnsiTheme="minorEastAsia" w:eastAsiaTheme="minorEastAsia"/>
          <w:color w:val="auto"/>
          <w:sz w:val="24"/>
          <w:szCs w:val="24"/>
          <w:highlight w:val="none"/>
        </w:rPr>
        <w:t>。</w:t>
      </w:r>
    </w:p>
    <w:p w14:paraId="0801108A">
      <w:pPr>
        <w:pStyle w:val="79"/>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A0C1E3B">
      <w:pPr>
        <w:pStyle w:val="79"/>
        <w:spacing w:before="0" w:line="360" w:lineRule="auto"/>
        <w:ind w:firstLine="480"/>
        <w:rPr>
          <w:rFonts w:asciiTheme="minorEastAsia" w:hAnsiTheme="minorEastAsia" w:eastAsiaTheme="minorEastAsia"/>
          <w:color w:val="auto"/>
          <w:sz w:val="24"/>
          <w:szCs w:val="24"/>
          <w:highlight w:val="none"/>
        </w:rPr>
      </w:pPr>
      <w:r>
        <w:rPr>
          <w:rFonts w:hint="eastAsia" w:ascii="宋体" w:hAnsi="宋体" w:eastAsia="宋体" w:cs="宋体"/>
          <w:szCs w:val="24"/>
          <w:highlight w:val="none"/>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4"/>
          <w:highlight w:val="none"/>
        </w:rPr>
        <w:t>。</w:t>
      </w:r>
    </w:p>
    <w:p w14:paraId="7C81B3C3">
      <w:pPr>
        <w:pStyle w:val="79"/>
        <w:spacing w:before="0" w:line="360" w:lineRule="auto"/>
        <w:ind w:firstLine="0" w:firstLineChars="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4. 成交</w:t>
      </w:r>
    </w:p>
    <w:p w14:paraId="3CD0D39C">
      <w:pPr>
        <w:pStyle w:val="79"/>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4.1</w:t>
      </w:r>
      <w:r>
        <w:rPr>
          <w:rFonts w:hint="eastAsia" w:ascii="宋体" w:hAnsi="宋体" w:cs="宋体"/>
          <w:color w:val="auto"/>
          <w:sz w:val="24"/>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 w:val="24"/>
          <w:szCs w:val="24"/>
          <w:highlight w:val="none"/>
        </w:rPr>
        <w:t>采购机构应当</w:t>
      </w:r>
      <w:r>
        <w:rPr>
          <w:rFonts w:hint="eastAsia" w:ascii="宋体" w:hAnsi="宋体" w:cs="宋体"/>
          <w:color w:val="auto"/>
          <w:sz w:val="24"/>
          <w:szCs w:val="24"/>
          <w:highlight w:val="none"/>
        </w:rPr>
        <w:t>依法及时</w:t>
      </w:r>
      <w:r>
        <w:rPr>
          <w:rFonts w:hint="eastAsia" w:asciiTheme="minorEastAsia" w:hAnsiTheme="minorEastAsia" w:eastAsiaTheme="minorEastAsia"/>
          <w:color w:val="auto"/>
          <w:sz w:val="24"/>
          <w:szCs w:val="24"/>
          <w:highlight w:val="none"/>
        </w:rPr>
        <w:t>将评审报告在线送交采购人确认。采购人应当在收到评审报告后</w:t>
      </w:r>
      <w:r>
        <w:rPr>
          <w:rFonts w:hint="eastAsia" w:asciiTheme="minorEastAsia" w:hAnsiTheme="minorEastAsia" w:eastAsiaTheme="minorEastAsia"/>
          <w:color w:val="auto"/>
          <w:szCs w:val="24"/>
          <w:highlight w:val="none"/>
        </w:rPr>
        <w:t>2</w:t>
      </w:r>
      <w:r>
        <w:rPr>
          <w:rFonts w:hint="eastAsia" w:asciiTheme="minorEastAsia" w:hAnsiTheme="minorEastAsia" w:eastAsiaTheme="minorEastAsia"/>
          <w:color w:val="auto"/>
          <w:sz w:val="24"/>
          <w:szCs w:val="24"/>
          <w:highlight w:val="none"/>
        </w:rPr>
        <w:t>个工作日内，从评审报告提出的成交候选供应商中，按照排序由高到低的原则确定成交供应商，采购人也可以书面授权磋商小组直接确定成交供应商。</w:t>
      </w:r>
    </w:p>
    <w:p w14:paraId="3DD57A9F">
      <w:pPr>
        <w:pStyle w:val="79"/>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58604E1">
      <w:pPr>
        <w:pStyle w:val="79"/>
        <w:spacing w:before="0"/>
        <w:ind w:firstLine="0" w:firstLineChars="0"/>
        <w:rPr>
          <w:rFonts w:hint="eastAsia" w:ascii="宋体" w:hAnsi="宋体" w:eastAsia="宋体" w:cs="宋体"/>
          <w:kern w:val="0"/>
          <w:szCs w:val="21"/>
          <w:highlight w:val="none"/>
        </w:rPr>
      </w:pPr>
      <w:r>
        <w:rPr>
          <w:rFonts w:hint="eastAsia" w:ascii="宋体" w:hAnsi="宋体" w:eastAsia="宋体" w:cs="宋体"/>
          <w:b/>
          <w:highlight w:val="none"/>
        </w:rPr>
        <w:t>5.合同及履约验收</w:t>
      </w:r>
    </w:p>
    <w:p w14:paraId="743477BB">
      <w:pPr>
        <w:pStyle w:val="79"/>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5.1采购人与成交供应商应当在成交通知书发出之日起</w:t>
      </w:r>
      <w:r>
        <w:rPr>
          <w:rFonts w:hint="eastAsia" w:ascii="宋体" w:hAnsi="宋体" w:eastAsia="宋体" w:cs="宋体"/>
          <w:szCs w:val="24"/>
          <w:highlight w:val="none"/>
          <w:lang w:val="en-US" w:eastAsia="zh-CN"/>
        </w:rPr>
        <w:t>30</w:t>
      </w:r>
      <w:r>
        <w:rPr>
          <w:rFonts w:hint="eastAsia" w:ascii="宋体" w:hAnsi="宋体" w:eastAsia="宋体" w:cs="宋体"/>
          <w:szCs w:val="24"/>
          <w:highlight w:val="none"/>
        </w:rPr>
        <w:t>日内签订政府采购合同。</w:t>
      </w:r>
    </w:p>
    <w:p w14:paraId="5F311580">
      <w:pPr>
        <w:tabs>
          <w:tab w:val="left" w:pos="0"/>
        </w:tabs>
        <w:spacing w:line="360" w:lineRule="auto"/>
        <w:ind w:firstLine="482"/>
        <w:rPr>
          <w:rFonts w:hint="eastAsia" w:ascii="宋体" w:hAnsi="宋体" w:eastAsia="宋体" w:cs="宋体"/>
          <w:sz w:val="24"/>
          <w:highlight w:val="none"/>
        </w:rPr>
      </w:pPr>
      <w:r>
        <w:rPr>
          <w:rFonts w:hint="eastAsia" w:ascii="宋体" w:hAnsi="宋体" w:eastAsia="宋体" w:cs="宋体"/>
          <w:sz w:val="24"/>
          <w:highlight w:val="none"/>
        </w:rPr>
        <w:t>5.2成交供应商按照政策要求及合同约定缴纳履约保证金</w:t>
      </w:r>
      <w:r>
        <w:rPr>
          <w:rFonts w:hint="eastAsia" w:asciiTheme="minorEastAsia" w:hAnsiTheme="minorEastAsia" w:eastAsiaTheme="minorEastAsia"/>
          <w:color w:val="auto"/>
          <w:sz w:val="24"/>
          <w:highlight w:val="none"/>
        </w:rPr>
        <w:t>（如果有）</w:t>
      </w:r>
      <w:r>
        <w:rPr>
          <w:rFonts w:hint="eastAsia" w:ascii="宋体" w:hAnsi="宋体" w:eastAsia="宋体" w:cs="宋体"/>
          <w:sz w:val="24"/>
          <w:highlight w:val="none"/>
        </w:rPr>
        <w:t>。</w:t>
      </w:r>
    </w:p>
    <w:p w14:paraId="290E5FAF">
      <w:pPr>
        <w:pStyle w:val="79"/>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5.3合同履约。</w:t>
      </w:r>
    </w:p>
    <w:p w14:paraId="1315E625">
      <w:pPr>
        <w:pStyle w:val="79"/>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5.4采购人组织验收。</w:t>
      </w:r>
    </w:p>
    <w:p w14:paraId="3F3997CF">
      <w:pPr>
        <w:pStyle w:val="79"/>
        <w:spacing w:before="0" w:line="360" w:lineRule="auto"/>
        <w:ind w:firstLine="480"/>
        <w:rPr>
          <w:rFonts w:hint="eastAsia" w:asciiTheme="minorEastAsia" w:hAnsiTheme="minorEastAsia" w:eastAsiaTheme="minorEastAsia"/>
          <w:color w:val="auto"/>
          <w:sz w:val="24"/>
          <w:szCs w:val="24"/>
          <w:highlight w:val="none"/>
        </w:rPr>
      </w:pPr>
    </w:p>
    <w:p w14:paraId="46724CFA">
      <w:pPr>
        <w:pStyle w:val="79"/>
        <w:spacing w:before="0" w:line="360" w:lineRule="auto"/>
        <w:ind w:firstLine="480"/>
        <w:rPr>
          <w:rFonts w:hint="eastAsia" w:asciiTheme="minorEastAsia" w:hAnsiTheme="minorEastAsia" w:eastAsiaTheme="minorEastAsia"/>
          <w:color w:val="auto"/>
          <w:sz w:val="24"/>
          <w:szCs w:val="24"/>
          <w:highlight w:val="none"/>
        </w:rPr>
      </w:pPr>
    </w:p>
    <w:p w14:paraId="6E032236">
      <w:pPr>
        <w:pStyle w:val="79"/>
        <w:spacing w:before="0" w:line="360" w:lineRule="auto"/>
        <w:ind w:firstLine="480"/>
        <w:rPr>
          <w:rFonts w:hint="eastAsia" w:asciiTheme="minorEastAsia" w:hAnsiTheme="minorEastAsia" w:eastAsiaTheme="minorEastAsia"/>
          <w:color w:val="auto"/>
          <w:sz w:val="24"/>
          <w:szCs w:val="24"/>
          <w:highlight w:val="none"/>
        </w:rPr>
      </w:pPr>
    </w:p>
    <w:p w14:paraId="7CECC4F6">
      <w:pPr>
        <w:pStyle w:val="79"/>
        <w:spacing w:before="0" w:line="360" w:lineRule="auto"/>
        <w:ind w:firstLine="480"/>
        <w:rPr>
          <w:rFonts w:hint="eastAsia" w:asciiTheme="minorEastAsia" w:hAnsiTheme="minorEastAsia" w:eastAsiaTheme="minorEastAsia"/>
          <w:color w:val="auto"/>
          <w:sz w:val="24"/>
          <w:szCs w:val="24"/>
          <w:highlight w:val="none"/>
        </w:rPr>
      </w:pPr>
    </w:p>
    <w:p w14:paraId="36CCBEA8">
      <w:pPr>
        <w:pStyle w:val="79"/>
        <w:spacing w:before="0" w:line="360" w:lineRule="auto"/>
        <w:ind w:firstLine="480"/>
        <w:rPr>
          <w:rFonts w:hint="eastAsia" w:asciiTheme="minorEastAsia" w:hAnsiTheme="minorEastAsia" w:eastAsiaTheme="minorEastAsia"/>
          <w:color w:val="auto"/>
          <w:sz w:val="24"/>
          <w:szCs w:val="24"/>
          <w:highlight w:val="none"/>
        </w:rPr>
      </w:pPr>
    </w:p>
    <w:p w14:paraId="263889FD">
      <w:pPr>
        <w:pStyle w:val="79"/>
        <w:spacing w:before="0" w:line="360" w:lineRule="auto"/>
        <w:ind w:firstLine="480"/>
        <w:rPr>
          <w:rFonts w:hint="eastAsia" w:asciiTheme="minorEastAsia" w:hAnsiTheme="minorEastAsia" w:eastAsiaTheme="minorEastAsia"/>
          <w:color w:val="auto"/>
          <w:sz w:val="24"/>
          <w:szCs w:val="24"/>
          <w:highlight w:val="none"/>
        </w:rPr>
      </w:pPr>
    </w:p>
    <w:p w14:paraId="5E16481E">
      <w:pPr>
        <w:pStyle w:val="79"/>
        <w:spacing w:before="0" w:line="360" w:lineRule="auto"/>
        <w:ind w:firstLine="480"/>
        <w:rPr>
          <w:rFonts w:hint="eastAsia" w:asciiTheme="minorEastAsia" w:hAnsiTheme="minorEastAsia" w:eastAsiaTheme="minorEastAsia"/>
          <w:color w:val="auto"/>
          <w:sz w:val="24"/>
          <w:szCs w:val="24"/>
          <w:highlight w:val="none"/>
        </w:rPr>
      </w:pPr>
    </w:p>
    <w:p w14:paraId="7F718561">
      <w:pPr>
        <w:pStyle w:val="79"/>
        <w:spacing w:before="0" w:line="360" w:lineRule="auto"/>
        <w:ind w:firstLine="480"/>
        <w:rPr>
          <w:rFonts w:hint="eastAsia" w:asciiTheme="minorEastAsia" w:hAnsiTheme="minorEastAsia" w:eastAsiaTheme="minorEastAsia"/>
          <w:color w:val="auto"/>
          <w:sz w:val="24"/>
          <w:szCs w:val="24"/>
          <w:highlight w:val="none"/>
        </w:rPr>
      </w:pPr>
    </w:p>
    <w:p w14:paraId="10021B09">
      <w:pPr>
        <w:pStyle w:val="79"/>
        <w:spacing w:before="0" w:line="360" w:lineRule="auto"/>
        <w:ind w:firstLine="480"/>
        <w:rPr>
          <w:rFonts w:hint="eastAsia" w:asciiTheme="minorEastAsia" w:hAnsiTheme="minorEastAsia" w:eastAsiaTheme="minorEastAsia"/>
          <w:color w:val="auto"/>
          <w:sz w:val="24"/>
          <w:szCs w:val="24"/>
          <w:highlight w:val="none"/>
        </w:rPr>
      </w:pPr>
    </w:p>
    <w:p w14:paraId="35862871">
      <w:pPr>
        <w:pStyle w:val="79"/>
        <w:spacing w:before="0" w:line="360" w:lineRule="auto"/>
        <w:ind w:left="0" w:leftChars="0" w:firstLine="0" w:firstLineChars="0"/>
        <w:rPr>
          <w:rFonts w:hint="eastAsia" w:asciiTheme="minorEastAsia" w:hAnsiTheme="minorEastAsia" w:eastAsiaTheme="minorEastAsia"/>
          <w:color w:val="auto"/>
          <w:sz w:val="24"/>
          <w:szCs w:val="24"/>
          <w:highlight w:val="none"/>
        </w:rPr>
      </w:pPr>
    </w:p>
    <w:p w14:paraId="3BB99D30">
      <w:pPr>
        <w:pStyle w:val="79"/>
        <w:spacing w:before="0" w:line="360" w:lineRule="auto"/>
        <w:ind w:firstLine="0" w:firstLineChars="0"/>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1430020</wp:posOffset>
                </wp:positionH>
                <wp:positionV relativeFrom="paragraph">
                  <wp:posOffset>227965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1B3C922E">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6pt;margin-top:17.95pt;height:20.65pt;width:85.75pt;z-index:251659264;mso-width-relative:page;mso-height-relative:page;" fillcolor="#F8FCFD" filled="t" stroked="t" coordsize="21600,21600" o:gfxdata="UEsDBAoAAAAAAIdO4kAAAAAAAAAAAAAAAAAEAAAAZHJzL1BLAwQUAAAACACHTuJA+JPWjNoAAAAJ&#10;AQAADwAAAGRycy9kb3ducmV2LnhtbE2Py07DMBBF90j8gzVIbBB16qpNG+J0UVRW6YIQ9m48JCnx&#10;OLLdF1+PWZXl6B7deyZfX8zATuh8b0nCdJIAQ2qs7qmVUH9sn5fAfFCk1WAJJVzRw7q4v8tVpu2Z&#10;3vFUhZbFEvKZktCFMGac+6ZDo/zEjkgx+7LOqBBP13Lt1DmWm4GLJFlwo3qKC50acdNh810djYTN&#10;Z+3qJ10ddtuyOfwMb8vy9VpK+fgwTV6ABbyEGwx/+lEdiui0t0fSng0ShJiLiEqYzVfAIjBbLVJg&#10;ewlpKoAXOf//QfELUEsDBBQAAAAIAIdO4kASw+0yfgIAAAAFAAAOAAAAZHJzL2Uyb0RvYy54bWyt&#10;VMFu2zAMvQ/YPwi6r3a8tE2DOEWaNMOAbi3QDTsrshwbk0RNUmJ3H7D9wU677L7v6neMkp007Xbo&#10;YReZIqlH8pH05LxVkmyFdTXonA6OUkqE5lDUep3Tjx+Wr0aUOM90wSRokdM74ej59OWLSWPGIoMK&#10;ZCEsQRDtxo3JaeW9GSeJ45VQzB2BERqNJVjFPF7tOiksaxBdySRL05OkAVsYC1w4h9pFZ6Q9on0O&#10;IJRlzcUC+EYJ7TtUKyTzWJKrauPoNGZbloL767J0whOZU6zUxxODoLwKZzKdsPHaMlPVvE+BPSeF&#10;JzUpVmsMuodaMM/IxtZ/QamaW3BQ+iMOKukKiYxgFYP0CTe3FTMi1oJUO7Mn3f0/WP5+e2NJXeQ0&#10;G1CimcKO3//4fv/z9/2vbwR1SFBj3Bj9bg16+vYCWhybnd6hMtTdllaFL1ZE0I703u3pFa0nPDxK&#10;R2fZKYbhaMtOsmx4FmCSh9fGOv9GgCJByKnF9kVW2fbK+c515xKCOZB1sayljBe7Xs2lJVuGrV5c&#10;XF4uh/Gt3Kh3UHRqnL+07zmqcTI69WinxlRcBxPTeoQvNWlyevL6OI2wj2whqX3slWT8c1/YgRdi&#10;Sx0SFXEs+4ICtx2HQfLtqu0JX0Fxh3xb6EbWGb6sMcoVc/6GWZxRpBi32F/jUUrA1KCXKKnAfv2X&#10;Pvjj6KCVkgZnPqfuy4ZZQYl8q3GozgbDYViSeBken2Z4sYeW1aFFb9QckGtsKGYXxeDv5U4sLahP&#10;uOyzEBVNTHOMnVO/E+e+20T8WXAxm0UnXAvD/JW+NTxAB8I0zDYeyjpOQKCp4wZbFC64GLFZ/RKH&#10;zTu8R6+HH9f0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iT1ozaAAAACQEAAA8AAAAAAAAAAQAg&#10;AAAAIgAAAGRycy9kb3ducmV2LnhtbFBLAQIUABQAAAAIAIdO4kASw+0yfgIAAAAFAAAOAAAAAAAA&#10;AAEAIAAAACkBAABkcnMvZTJvRG9jLnhtbFBLBQYAAAAABgAGAFkBAAAZBgAAAAA=&#10;">
                <v:fill on="t" focussize="0,0"/>
                <v:stroke weight="0.5pt" color="#000000" joinstyle="round"/>
                <v:imagedata o:title=""/>
                <o:lock v:ext="edit" aspectratio="f"/>
                <v:textbox>
                  <w:txbxContent>
                    <w:p w14:paraId="1B3C922E">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Theme="minorEastAsia" w:hAnsiTheme="minorEastAsia" w:eastAsiaTheme="minorEastAsia"/>
          <w:b/>
          <w:color w:val="auto"/>
          <w:sz w:val="24"/>
          <w:szCs w:val="24"/>
          <w:highlight w:val="none"/>
        </w:rPr>
        <w:t>6.竞争性磋商流程图</w:t>
      </w:r>
    </w:p>
    <w:p w14:paraId="7D85F61D">
      <w:pPr>
        <w:pStyle w:val="79"/>
        <w:spacing w:before="0"/>
        <w:ind w:firstLine="0" w:firstLineChars="0"/>
        <w:rPr>
          <w:rFonts w:asciiTheme="minorEastAsia" w:hAnsiTheme="minorEastAsia" w:eastAsiaTheme="minorEastAsia"/>
          <w:b/>
          <w:color w:val="auto"/>
          <w:sz w:val="21"/>
          <w:szCs w:val="21"/>
          <w:highlight w:val="none"/>
        </w:rPr>
      </w:pP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6432" behindDoc="0" locked="0" layoutInCell="1" allowOverlap="1">
                <wp:simplePos x="0" y="0"/>
                <wp:positionH relativeFrom="column">
                  <wp:posOffset>1929130</wp:posOffset>
                </wp:positionH>
                <wp:positionV relativeFrom="paragraph">
                  <wp:posOffset>218440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pt;margin-top:17.2pt;height:20.65pt;width:0pt;z-index:251666432;mso-width-relative:page;mso-height-relative:page;" filled="f" stroked="t" coordsize="21600,21600" o:gfxdata="UEsDBAoAAAAAAIdO4kAAAAAAAAAAAAAAAAAEAAAAZHJzL1BLAwQUAAAACACHTuJAvH6uJNkAAAAJ&#10;AQAADwAAAGRycy9kb3ducmV2LnhtbE2PT0vEMBDF74LfIYzgRdyk7mqlNl1WwYMIK7sKXift2BSb&#10;pDTZP/XTO+JBbzNvHu/9plweXS/2NMYueA3ZTIEgX4em862Gt9fHy1sQMaFvsA+eNEwUYVmdnpRY&#10;NOHgN7TfplZwiI8FarApDYWUsbbkMM7CQJ5vH2F0mHgdW9mMeOBw18srpW6kw85zg8WBHizVn9ud&#10;06BeNjbD1erpffpKz1N+b9YXxmh9fpapOxCJjunPDD/4jA4VM5mw800UvYa5mjN64mGxAMGGX8Fo&#10;yK9zkFUp/39QfQNQSwMEFAAAAAgAh07iQDfr9JMaAgAADwQAAA4AAABkcnMvZTJvRG9jLnhtbK1T&#10;zY7TMBC+I/EOlu80adQutGq6YttdLvxUAh5g6jiJJf/J9jbtS/ACSJyAE3DaO08Dy2MwdrJlWS57&#10;4JLMjDOf5/vmy+J0ryTZceeF0SUdj3JKuGamErop6ds3F4+eUOID6Aqk0bykB+7p6fLhg0Vn57ww&#10;rZEVdwRBtJ93tqRtCHaeZZ61XIEfGcs1HtbGKQiYuiarHHSIrmRW5PlJ1hlXWWcY9x6r6/6QDoju&#10;PoCmrgXja8MuFdehR3VcQkBKvhXW02Watq45C6/q2vNAZEmRaUhPvATjbXxmywXMGwe2FWwYAe4z&#10;wh1OCoTGS49QawhALp34B0oJ5ow3dRgxo7KeSFIEWYzzO9q8bsHyxAWl9vYouv9/sOzlbuOIqEo6&#10;KSjRoHDj1++vfr77dP3t64+PV7++f4jxl88Ez1Gszvo59qz0xg2ZtxsXme9rp+IbOZF9EvhwFJjv&#10;A2F9kWG1OCmKySzCZX/6rPPhGTeKxKCkPjgQTRtWRmvconHjpC/snvvQN940xEu1uRBSYh3mUpOu&#10;pLNpMaWEARq0RmNgqCyS9LqhBGSDzmfBJURvpKhid2z2rtmupCM7QL9Mnj4+PzvrP2qh4n11Ns3z&#10;wTcewgtT9eVxflNHTgNM4vcXfpx5Db7te9JRb8EAQp7rioSDxQ2Ac6Yb9JE6DsaTlwfucQm97DHa&#10;muqQtpHFDH2Srh08HY14O8f49n+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8fq4k2QAAAAkB&#10;AAAPAAAAAAAAAAEAIAAAACIAAABkcnMvZG93bnJldi54bWxQSwECFAAUAAAACACHTuJAN+v0kxoC&#10;AAAPBAAADgAAAAAAAAABACAAAAAoAQAAZHJzL2Uyb0RvYy54bWxQSwUGAAAAAAYABgBZAQAAtAUA&#10;AAAA&#10;">
                <v:fill on="f" focussize="0,0"/>
                <v:stroke color="#457BBA" joinstyle="round" endarrow="open"/>
                <v:imagedata o:title=""/>
                <o:lock v:ext="edit" aspectratio="f"/>
              </v:shape>
            </w:pict>
          </mc:Fallback>
        </mc:AlternateContent>
      </w:r>
    </w:p>
    <w:p w14:paraId="3686037B">
      <w:pPr>
        <w:widowControl/>
        <w:adjustRightInd/>
        <w:jc w:val="left"/>
        <w:rPr>
          <w:rFonts w:asciiTheme="minorEastAsia" w:hAnsiTheme="minorEastAsia" w:eastAsiaTheme="minorEastAsia"/>
          <w:color w:val="auto"/>
          <w:sz w:val="21"/>
          <w:szCs w:val="21"/>
          <w:highlight w:val="none"/>
        </w:rPr>
      </w:pP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1322705</wp:posOffset>
                </wp:positionH>
                <wp:positionV relativeFrom="paragraph">
                  <wp:posOffset>177165</wp:posOffset>
                </wp:positionV>
                <wp:extent cx="1278255" cy="284480"/>
                <wp:effectExtent l="4445" t="4445" r="12700" b="15875"/>
                <wp:wrapNone/>
                <wp:docPr id="18" name="文本框 18"/>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3B256D9E">
                            <w:pPr>
                              <w:jc w:val="center"/>
                              <w:rPr>
                                <w:rFonts w:asciiTheme="minorEastAsia" w:hAnsiTheme="minorEastAsia" w:eastAsiaTheme="minorEastAsia"/>
                              </w:rPr>
                            </w:pPr>
                            <w:r>
                              <w:rPr>
                                <w:rFonts w:hint="eastAsia" w:asciiTheme="minorEastAsia" w:hAnsiTheme="minorEastAsia" w:eastAsiaTheme="minorEastAsia"/>
                              </w:rPr>
                              <w:t>供应商报名</w:t>
                            </w:r>
                          </w:p>
                          <w:p w14:paraId="0E78A486">
                            <w:pPr>
                              <w:rPr>
                                <w:rFonts w:ascii="仿宋_GB2312" w:eastAsia="仿宋_GB2312"/>
                              </w:rPr>
                            </w:pPr>
                            <w:r>
                              <w:rPr>
                                <w:rFonts w:hint="eastAsia" w:ascii="仿宋_GB2312" w:eastAsia="仿宋_GB2312"/>
                              </w:rPr>
                              <w:t>立项</w:t>
                            </w:r>
                          </w:p>
                          <w:p w14:paraId="62703FE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15pt;margin-top:13.95pt;height:22.4pt;width:100.65pt;z-index:251665408;mso-width-relative:page;mso-height-relative:page;" fillcolor="#F8FCFD" filled="t" stroked="t" coordsize="21600,21600" o:gfxdata="UEsDBAoAAAAAAIdO4kAAAAAAAAAAAAAAAAAEAAAAZHJzL1BLAwQUAAAACACHTuJA2HMcWNkAAAAJ&#10;AQAADwAAAGRycy9kb3ducmV2LnhtbE2PPU/DMBCGdyT+g3VILIjaDahJQ5wORWUKAyHd3fiapMR2&#10;ZLtf/HqOCbY73aP3nrdYXczITujD4KyE+UwAQ9s6PdhOQvO5ecyAhaisVqOzKOGKAVbl7U2hcu3O&#10;9gNPdewYhdiQKwl9jFPOeWh7NCrM3ISWbnvnjYq0+o5rr84UbkaeCLHgRg2WPvRqwnWP7Vd9NBLW&#10;28Y3D7o+vG+q9vA9vmXV67WS8v5uLl6ARbzEPxh+9UkdSnLauaPVgY0SEpE9EUpDugRGwLNYLoDt&#10;JKRJCrws+P8G5Q9QSwMEFAAAAAgAh07iQIr5hjV/AgAAAAUAAA4AAABkcnMvZTJvRG9jLnhtbK1U&#10;wW7bMAy9D9g/CLqvdtI0a4M6Rdo0w4BuLdANOyuyHAuTRE1SYncfsP3BTrvsvu/qd4ySnTTtduhh&#10;F5siqUfykdTpWasV2QjnJZiCDg5ySoThUEqzKujHD4tXx5T4wEzJFBhR0Dvh6dn05YvTxk7EEGpQ&#10;pXAEQYyfNLagdQh2kmWe10IzfwBWGDRW4DQLeHSrrHSsQXStsmGej7MGXGkdcOE9auedkfaI7jmA&#10;UFWSiznwtRYmdKhOKBawJF9L6+k0ZVtVgofrqvIiEFVQrDSkLwZBeRm/2fSUTVaO2VryPgX2nBSe&#10;1KSZNBh0BzVngZG1k39BackdeKjCAQeddYUkRrCKQf6Em9uaWZFqQaq93ZHu/x8sf7+5cUSWOAnY&#10;d8M0dvz+x/f7n7/vf30jqEOCGusn6Hdr0TO059Ci81bvURnrbiun4x8rImhHeu929Io2EB4v5a8P&#10;8/GYEo624Xg4HJ1EmOzhtnU+vBGgSRQK6rB9iVW2ufKhc926xGAelCwXUql0cKvlhXJkw7DV8/PL&#10;y8Uo3VVr/Q7KTo3zl/c9RzVORqc+3qoxFd/BpLQe4StDmoKOD4/yBPvIFpPaxV4qxj/3he15IbYy&#10;MVGRxrIvKHLbcRil0C7bnvAllHfIt4NuZL3lC4lRrpgPN8zhjCLFuMXhGj+VAkwNeomSGtzXf+mj&#10;P44OWilpcOYL6r+smROUqLcGh+pkMBrFJUmH0dHrIR7cvmW5bzFrfQHI9QDfC8uTGP2D2oqVA/0J&#10;l30Wo6KJGY6xCxq24kXoNhEfCy5ms+SEa2FZuDK3lkfoSJiB2TpAJdMERJo6brBF8YCLkZrVL3Hc&#10;vP1z8np4uK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hzHFjZAAAACQEAAA8AAAAAAAAAAQAg&#10;AAAAIgAAAGRycy9kb3ducmV2LnhtbFBLAQIUABQAAAAIAIdO4kCK+YY1fwIAAAAFAAAOAAAAAAAA&#10;AAEAIAAAACgBAABkcnMvZTJvRG9jLnhtbFBLBQYAAAAABgAGAFkBAAAZBgAAAAA=&#10;">
                <v:fill on="t" focussize="0,0"/>
                <v:stroke weight="0.5pt" color="#000000" joinstyle="round"/>
                <v:imagedata o:title=""/>
                <o:lock v:ext="edit" aspectratio="f"/>
                <v:textbox>
                  <w:txbxContent>
                    <w:p w14:paraId="3B256D9E">
                      <w:pPr>
                        <w:jc w:val="center"/>
                        <w:rPr>
                          <w:rFonts w:asciiTheme="minorEastAsia" w:hAnsiTheme="minorEastAsia" w:eastAsiaTheme="minorEastAsia"/>
                        </w:rPr>
                      </w:pPr>
                      <w:r>
                        <w:rPr>
                          <w:rFonts w:hint="eastAsia" w:asciiTheme="minorEastAsia" w:hAnsiTheme="minorEastAsia" w:eastAsiaTheme="minorEastAsia"/>
                        </w:rPr>
                        <w:t>供应商报名</w:t>
                      </w:r>
                    </w:p>
                    <w:p w14:paraId="0E78A486">
                      <w:pPr>
                        <w:rPr>
                          <w:rFonts w:ascii="仿宋_GB2312" w:eastAsia="仿宋_GB2312"/>
                        </w:rPr>
                      </w:pPr>
                      <w:r>
                        <w:rPr>
                          <w:rFonts w:hint="eastAsia" w:ascii="仿宋_GB2312" w:eastAsia="仿宋_GB2312"/>
                        </w:rPr>
                        <w:t>立项</w:t>
                      </w:r>
                    </w:p>
                    <w:p w14:paraId="62703FEC">
                      <w:pPr>
                        <w:rPr>
                          <w:rFonts w:ascii="仿宋_GB2312" w:eastAsia="仿宋_GB2312"/>
                        </w:rPr>
                      </w:pPr>
                    </w:p>
                  </w:txbxContent>
                </v:textbox>
              </v:shape>
            </w:pict>
          </mc:Fallback>
        </mc:AlternateContent>
      </w:r>
    </w:p>
    <w:p w14:paraId="48EA1851">
      <w:pPr>
        <w:widowControl/>
        <w:adjustRightInd/>
        <w:jc w:val="left"/>
        <w:rPr>
          <w:rFonts w:cs="仿宋_GB2312" w:asciiTheme="minorEastAsia" w:hAnsiTheme="minorEastAsia" w:eastAsiaTheme="minorEastAsia"/>
          <w:b/>
          <w:color w:val="auto"/>
          <w:sz w:val="21"/>
          <w:szCs w:val="21"/>
          <w:highlight w:val="none"/>
        </w:rPr>
      </w:pP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82816" behindDoc="0" locked="0" layoutInCell="1" allowOverlap="1">
                <wp:simplePos x="0" y="0"/>
                <wp:positionH relativeFrom="column">
                  <wp:posOffset>1270635</wp:posOffset>
                </wp:positionH>
                <wp:positionV relativeFrom="paragraph">
                  <wp:posOffset>556895</wp:posOffset>
                </wp:positionV>
                <wp:extent cx="1442720" cy="285115"/>
                <wp:effectExtent l="5080" t="4445" r="19050" b="1524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4DF4327D">
                            <w:pPr>
                              <w:jc w:val="center"/>
                              <w:rPr>
                                <w:rFonts w:ascii="仿宋_GB2312" w:eastAsia="仿宋_GB2312"/>
                              </w:rPr>
                            </w:pPr>
                            <w:r>
                              <w:rPr>
                                <w:rFonts w:hint="eastAsia" w:asciiTheme="minorEastAsia" w:hAnsiTheme="minorEastAsia" w:eastAsiaTheme="minorEastAsia"/>
                              </w:rPr>
                              <w:t>供应商上传响应文件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05pt;margin-top:43.85pt;height:22.45pt;width:113.6pt;z-index:251682816;mso-width-relative:page;mso-height-relative:page;" fillcolor="#F8FCFD" filled="t" stroked="t" coordsize="21600,21600" o:gfxdata="UEsDBAoAAAAAAIdO4kAAAAAAAAAAAAAAAAAEAAAAZHJzL1BLAwQUAAAACACHTuJA43kys9gAAAAK&#10;AQAADwAAAGRycy9kb3ducmV2LnhtbE2PPU/DMBBAdyT+g3VILIg6SVEThTgdisoUBkLY3dgkKfY5&#10;st0vfj3HRMfTPb17V63P1rCj9mFyKCBdJMA09k5NOAjoPraPBbAQJSppHGoBFx1gXd/eVLJU7oTv&#10;+tjGgZEEQykFjDHOJeehH7WVYeFmjbT7ct7KSKMfuPLyRHJreJYkK27lhHRhlLPejLr/bg9WwOaz&#10;892Davdv26bf/5jXonm5NELc36XJM7Coz/Efhr98SoeamnbugCowI4DsKaECijwHRsBTli+B7Yhc&#10;ZivgdcWvX6h/AV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jeTKz2AAAAAoBAAAPAAAAAAAAAAEAIAAA&#10;ACIAAABkcnMvZG93bnJldi54bWxQSwECFAAUAAAACACHTuJAXCaksn4CAAAABQAADgAAAAAAAAAB&#10;ACAAAAAnAQAAZHJzL2Uyb0RvYy54bWxQSwUGAAAAAAYABgBZAQAAFwYAAAAA&#10;">
                <v:fill on="t" focussize="0,0"/>
                <v:stroke weight="0.5pt" color="#000000" joinstyle="round"/>
                <v:imagedata o:title=""/>
                <o:lock v:ext="edit" aspectratio="f"/>
                <v:textbox>
                  <w:txbxContent>
                    <w:p w14:paraId="4DF4327D">
                      <w:pPr>
                        <w:jc w:val="center"/>
                        <w:rPr>
                          <w:rFonts w:ascii="仿宋_GB2312" w:eastAsia="仿宋_GB2312"/>
                        </w:rPr>
                      </w:pPr>
                      <w:r>
                        <w:rPr>
                          <w:rFonts w:hint="eastAsia" w:asciiTheme="minorEastAsia" w:hAnsiTheme="minorEastAsia" w:eastAsiaTheme="minorEastAsia"/>
                        </w:rPr>
                        <w:t>供应商上传响应文件</w:t>
                      </w: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83840" behindDoc="0" locked="0" layoutInCell="1" allowOverlap="1">
                <wp:simplePos x="0" y="0"/>
                <wp:positionH relativeFrom="column">
                  <wp:posOffset>1953895</wp:posOffset>
                </wp:positionH>
                <wp:positionV relativeFrom="paragraph">
                  <wp:posOffset>273050</wp:posOffset>
                </wp:positionV>
                <wp:extent cx="0" cy="262255"/>
                <wp:effectExtent l="48895" t="0" r="65405" b="4445"/>
                <wp:wrapNone/>
                <wp:docPr id="20" name="直接箭头连接符 20"/>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3.85pt;margin-top:21.5pt;height:20.65pt;width:0pt;z-index:251683840;mso-width-relative:page;mso-height-relative:page;" filled="f" stroked="t" coordsize="21600,21600" o:gfxdata="UEsDBAoAAAAAAIdO4kAAAAAAAAAAAAAAAAAEAAAAZHJzL1BLAwQUAAAACACHTuJApqgtV9kAAAAJ&#10;AQAADwAAAGRycy9kb3ducmV2LnhtbE2PTUvEMBCG74L/IYzgRdykdrFL7XRZBQ8iuOy6sNekGZti&#10;k5Qm+1F/vREPepyZh3eet1qebc+ONIbOO4RsJoCRa7zuXIuwe3++XQALUTote+8IYaIAy/ryopKl&#10;9ie3oeM2tiyFuFBKBBPjUHIeGkNWhpkfyKXbhx+tjGkcW65HeUrhtud3QtxzKzuXPhg50JOh5nN7&#10;sAhivTGZXK1e9tNXfJ2KR/V2oxTi9VUmHoBFOsc/GH70kzrUyUn5g9OB9Qi5KIqEIszz1CkBvwuF&#10;sJjnwOuK/29QfwNQSwMEFAAAAAgAh07iQJP/hmQaAgAADwQAAA4AAABkcnMvZTJvRG9jLnhtbK1T&#10;zW7UMBC+I/EOlu9sslG30GizFd1tufCzEvAAs46TWPKfbHez+xK8ABIn4ASceudpoDwGYyddSrn0&#10;wCWZGWc+z/fNl/npTkmy5c4Loys6neSUcM1MLXRb0bdvLh49ocQH0DVIo3lF99zT08XDB/Pelrww&#10;nZE1dwRBtC97W9EuBFtmmWcdV+AnxnKNh41xCgKmrs1qBz2iK5kVeX6c9cbV1hnGvcfqajikI6K7&#10;D6BpGsH4yrBLxXUYUB2XEJCS74T1dJGmbRrOwqum8TwQWVFkGtITL8F4E5/ZYg5l68B2go0jwH1G&#10;uMNJgdB46QFqBQHIpRP/QCnBnPGmCRNmVDYQSYogi2l+R5vXHVieuKDU3h5E9/8Plr3crh0RdUUL&#10;lESDwo1fv7/6+e7T9bevPz5e/fr+IcZfPhM8R7F660vsWeq1GzNv1y4y3zVOxTdyIrsk8P4gMN8F&#10;woYiw2pxXBRHJxEu+9NnnQ/PuFEkBhX1wYFou7A0WuMWjZsmfWH73Ieh8aYhXqrNhZAS61BKTfqK&#10;nsyKGSUM0KANGgNDZZGk1y0lIFt0PgsuIXojRR27Y7N37WYpHdkC+uXo6ePzs7Phow5qPlRPZnk+&#10;+sZDeGHqoTzNb+rIaYRJ/P7CjzOvwHdDTzoaLBhAyHNdk7C3uAFwzvSjPlLHwXjy8sg9LmGQPUYb&#10;U+/TNrKYoU/StaOnoxFv5xjf/o8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mqC1X2QAAAAkB&#10;AAAPAAAAAAAAAAEAIAAAACIAAABkcnMvZG93bnJldi54bWxQSwECFAAUAAAACACHTuJAk/+GZ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3" name="文本框 3"/>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3DC3C011">
                            <w:pPr>
                              <w:rPr>
                                <w:rFonts w:asciiTheme="minorEastAsia" w:hAnsiTheme="minorEastAsia" w:eastAsiaTheme="minorEastAsia"/>
                              </w:rPr>
                            </w:pPr>
                            <w:r>
                              <w:rPr>
                                <w:rFonts w:hint="eastAsia" w:asciiTheme="minorEastAsia" w:hAnsiTheme="minorEastAsia" w:eastAsiaTheme="minorEastAsia"/>
                              </w:rPr>
                              <w:t>验收</w:t>
                            </w:r>
                          </w:p>
                          <w:p w14:paraId="5CC6CDE3">
                            <w:pPr>
                              <w:rPr>
                                <w:rFonts w:ascii="仿宋_GB2312" w:eastAsia="仿宋_GB2312"/>
                              </w:rPr>
                            </w:pPr>
                            <w:r>
                              <w:rPr>
                                <w:rFonts w:hint="eastAsia" w:ascii="仿宋_GB2312" w:eastAsia="仿宋_GB2312"/>
                              </w:rPr>
                              <w:t>立项</w:t>
                            </w:r>
                          </w:p>
                          <w:p w14:paraId="1F88F03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dY6dKfwIAAP0EAAAOAAAAZHJzL2Uyb0RvYy54bWyt&#10;VM1uEzEQviPxDpbvdJM0DW2UTZU2DUIqtFJBnB2vN2the4ztZLc8ALwBJy7cea4+B2Pv5qeFQw9c&#10;vPO338x8nvHkvNGKbITzEkxO+0c9SoThUEizyunHD4tXp5T4wEzBFBiR03vh6fn05YtJbcdiABWo&#10;QjiCIMaPa5vTKgQ7zjLPK6GZPwIrDDpLcJoFVN0qKxyrEV2rbNDrjbIaXGEdcOE9Wuetk3aI7jmA&#10;UJaSiznwtRYmtKhOKBawJV9J6+k0VVuWgoebsvQiEJVT7DSkE5OgvIxnNp2w8coxW0nelcCeU8KT&#10;njSTBpPuoOYsMLJ28i8oLbkDD2U44qCztpHECHbR7z3h5q5iVqRekGpvd6T7/wfL329uHZFFTo8p&#10;MUzjhT/8+P7w8/fDr2/kONJTWz/GqDuLcaG5gAaHZmv3aIxdN6XT8Yv9EPQjufc7ckUTCEfj8GzQ&#10;H5xQwtE1GPVHg0R+tv/ZOh/eCNAkCjl1eHeJUra59gELwdBtSMzlQcliIZVKilstL5UjG4b3PL+4&#10;uloM079qrd9B0Zpx+HrdhaMZx6I1n27NiO9bmJTrEb4ypM7p6Pikl2Af+WJRu9xLxfjnSE9E21eI&#10;mjKxUJFmsmsoUttSGKXQLJuO7yUU90i3g3ZeveULiVmumQ+3zOGAIsO4wuEGj1IBlgadREkF7uu/&#10;7DEe5wa9lNQ48Dn1X9bMCUrUW4MTddYfDuOGJGV48hrvh7hDz/LQY9b6EpDrPj4Wlicxxge1FUsH&#10;+hNu+ixmRRczHHPnNGzFy9CuIb4UXMxmKQh3wrJwbe4sj9CRMAOzdYBSpgmINLXcIMFRwa1IVHcb&#10;HNfuUE9R+1dr+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HWOnSn8CAAD9BAAADgAAAAAA&#10;AAABACAAAAApAQAAZHJzL2Uyb0RvYy54bWxQSwUGAAAAAAYABgBZAQAAGgYAAAAA&#10;">
                <v:fill on="t" focussize="0,0"/>
                <v:stroke weight="0.5pt" color="#000000" joinstyle="round"/>
                <v:imagedata o:title=""/>
                <o:lock v:ext="edit" aspectratio="f"/>
                <v:textbox>
                  <w:txbxContent>
                    <w:p w14:paraId="3DC3C011">
                      <w:pPr>
                        <w:rPr>
                          <w:rFonts w:asciiTheme="minorEastAsia" w:hAnsiTheme="minorEastAsia" w:eastAsiaTheme="minorEastAsia"/>
                        </w:rPr>
                      </w:pPr>
                      <w:r>
                        <w:rPr>
                          <w:rFonts w:hint="eastAsia" w:asciiTheme="minorEastAsia" w:hAnsiTheme="minorEastAsia" w:eastAsiaTheme="minorEastAsia"/>
                        </w:rPr>
                        <w:t>验收</w:t>
                      </w:r>
                    </w:p>
                    <w:p w14:paraId="5CC6CDE3">
                      <w:pPr>
                        <w:rPr>
                          <w:rFonts w:ascii="仿宋_GB2312" w:eastAsia="仿宋_GB2312"/>
                        </w:rPr>
                      </w:pPr>
                      <w:r>
                        <w:rPr>
                          <w:rFonts w:hint="eastAsia" w:ascii="仿宋_GB2312" w:eastAsia="仿宋_GB2312"/>
                        </w:rPr>
                        <w:t>立项</w:t>
                      </w:r>
                    </w:p>
                    <w:p w14:paraId="1F88F03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6" name="直接箭头连接符 6"/>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BEEjjeGQIAAA0EAAAOAAAAZHJzL2Uyb0RvYy54bWyt&#10;U81u1DAQviPxDpbvNNmIXWi02Yrutlz4WQl4gFnHSSz5T7a72X0JXgCJE/QEnHrnaaA8BmMnXUq5&#10;9MAlmRlnPs/3zZf5yU5JsuXOC6MrOjnKKeGamVrotqLv3p4/ekqJD6BrkEbziu65pyeLhw/mvS15&#10;YToja+4Igmhf9raiXQi2zDLPOq7AHxnLNR42xikImLo2qx30iK5kVuT5LOuNq60zjHuP1dVwSEdE&#10;dx9A0zSC8ZVhF4rrMKA6LiEgJd8J6+kiTds0nIXXTeN5ILKiyDSkJ16C8SY+s8UcytaB7QQbR4D7&#10;jHCHkwKh8dID1AoCkAsn/oFSgjnjTROOmFHZQCQpgiwm+R1t3nRgeeKCUnt7EN3/P1j2art2RNQV&#10;nVGiQeHCrz9c/Xz/+frb1x+frn59/xjjL5dkFqXqrS+xY6nXbsy8XbvIe9c4Fd/IiOySvPuDvHwX&#10;CBuKDKvFrCim0wiX/emzzofn3CgSg4r64EC0XVgarXGHxk2SurB94cPQeNMQL9XmXEiJdSilJn1F&#10;j6fFlBIGaM8GbYGhskjR65YSkC36ngWXEL2Roo7dsdm7drOUjmwB3fL42ZOz09Phow5qPlSPp3k+&#10;usZDeGnqoTzJb+rIaYRJ/P7CjzOvwHdDTzoaDBhAyDNdk7C3uABwzvSjPlLHwXhy8sg9LmGQPUYb&#10;U+/TNrKYoUvStaOjow1v5xjf/os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RBI43hkC&#10;AAANBAAADgAAAAAAAAABACAAAAAp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54686EEB">
                            <w:pPr>
                              <w:rPr>
                                <w:rFonts w:asciiTheme="minorEastAsia" w:hAnsiTheme="minorEastAsia" w:eastAsiaTheme="minorEastAsia"/>
                              </w:rPr>
                            </w:pPr>
                            <w:r>
                              <w:rPr>
                                <w:rFonts w:hint="eastAsia" w:asciiTheme="minorEastAsia" w:hAnsiTheme="minorEastAsia" w:eastAsiaTheme="minorEastAsia"/>
                              </w:rPr>
                              <w:t>履约</w:t>
                            </w:r>
                          </w:p>
                          <w:p w14:paraId="56BC1858">
                            <w:pPr>
                              <w:rPr>
                                <w:rFonts w:ascii="仿宋_GB2312" w:eastAsia="仿宋_GB2312"/>
                              </w:rPr>
                            </w:pPr>
                            <w:r>
                              <w:rPr>
                                <w:rFonts w:hint="eastAsia" w:ascii="仿宋_GB2312" w:eastAsia="仿宋_GB2312"/>
                              </w:rPr>
                              <w:t>立项</w:t>
                            </w:r>
                          </w:p>
                          <w:p w14:paraId="27656DD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54686EEB">
                      <w:pPr>
                        <w:rPr>
                          <w:rFonts w:asciiTheme="minorEastAsia" w:hAnsiTheme="minorEastAsia" w:eastAsiaTheme="minorEastAsia"/>
                        </w:rPr>
                      </w:pPr>
                      <w:r>
                        <w:rPr>
                          <w:rFonts w:hint="eastAsia" w:asciiTheme="minorEastAsia" w:hAnsiTheme="minorEastAsia" w:eastAsiaTheme="minorEastAsia"/>
                        </w:rPr>
                        <w:t>履约</w:t>
                      </w:r>
                    </w:p>
                    <w:p w14:paraId="56BC1858">
                      <w:pPr>
                        <w:rPr>
                          <w:rFonts w:ascii="仿宋_GB2312" w:eastAsia="仿宋_GB2312"/>
                        </w:rPr>
                      </w:pPr>
                      <w:r>
                        <w:rPr>
                          <w:rFonts w:hint="eastAsia" w:ascii="仿宋_GB2312" w:eastAsia="仿宋_GB2312"/>
                        </w:rPr>
                        <w:t>立项</w:t>
                      </w:r>
                    </w:p>
                    <w:p w14:paraId="27656DD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4CA63381">
                            <w:pPr>
                              <w:jc w:val="center"/>
                              <w:rPr>
                                <w:rFonts w:asciiTheme="minorEastAsia" w:hAnsiTheme="minorEastAsia" w:eastAsiaTheme="minorEastAsia"/>
                              </w:rPr>
                            </w:pPr>
                            <w:r>
                              <w:rPr>
                                <w:rFonts w:hint="eastAsia" w:asciiTheme="minorEastAsia" w:hAnsiTheme="minorEastAsia" w:eastAsiaTheme="minorEastAsia"/>
                              </w:rPr>
                              <w:t>签订合同</w:t>
                            </w:r>
                          </w:p>
                          <w:p w14:paraId="70DA2E76">
                            <w:pPr>
                              <w:rPr>
                                <w:rFonts w:ascii="仿宋_GB2312" w:eastAsia="仿宋_GB2312"/>
                              </w:rPr>
                            </w:pPr>
                            <w:r>
                              <w:rPr>
                                <w:rFonts w:hint="eastAsia" w:ascii="仿宋_GB2312" w:eastAsia="仿宋_GB2312"/>
                              </w:rPr>
                              <w:t>立项</w:t>
                            </w:r>
                          </w:p>
                          <w:p w14:paraId="41CED0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4CA63381">
                      <w:pPr>
                        <w:jc w:val="center"/>
                        <w:rPr>
                          <w:rFonts w:asciiTheme="minorEastAsia" w:hAnsiTheme="minorEastAsia" w:eastAsiaTheme="minorEastAsia"/>
                        </w:rPr>
                      </w:pPr>
                      <w:r>
                        <w:rPr>
                          <w:rFonts w:hint="eastAsia" w:asciiTheme="minorEastAsia" w:hAnsiTheme="minorEastAsia" w:eastAsiaTheme="minorEastAsia"/>
                        </w:rPr>
                        <w:t>签订合同</w:t>
                      </w:r>
                    </w:p>
                    <w:p w14:paraId="70DA2E76">
                      <w:pPr>
                        <w:rPr>
                          <w:rFonts w:ascii="仿宋_GB2312" w:eastAsia="仿宋_GB2312"/>
                        </w:rPr>
                      </w:pPr>
                      <w:r>
                        <w:rPr>
                          <w:rFonts w:hint="eastAsia" w:ascii="仿宋_GB2312" w:eastAsia="仿宋_GB2312"/>
                        </w:rPr>
                        <w:t>立项</w:t>
                      </w:r>
                    </w:p>
                    <w:p w14:paraId="41CED0E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7D908166">
                            <w:pPr>
                              <w:rPr>
                                <w:rFonts w:asciiTheme="minorEastAsia" w:hAnsiTheme="minorEastAsia" w:eastAsiaTheme="minorEastAsia"/>
                              </w:rPr>
                            </w:pPr>
                            <w:r>
                              <w:rPr>
                                <w:rFonts w:hint="eastAsia" w:asciiTheme="minorEastAsia" w:hAnsiTheme="minorEastAsia" w:eastAsiaTheme="minorEastAsia"/>
                              </w:rPr>
                              <w:t>成交公告；成交通知书</w:t>
                            </w:r>
                          </w:p>
                          <w:p w14:paraId="1824B360">
                            <w:pPr>
                              <w:rPr>
                                <w:rFonts w:ascii="仿宋_GB2312" w:eastAsia="仿宋_GB2312"/>
                              </w:rPr>
                            </w:pPr>
                            <w:r>
                              <w:rPr>
                                <w:rFonts w:hint="eastAsia" w:ascii="仿宋_GB2312" w:eastAsia="仿宋_GB2312"/>
                              </w:rPr>
                              <w:t>立项</w:t>
                            </w:r>
                          </w:p>
                          <w:p w14:paraId="2062BFA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7D908166">
                      <w:pPr>
                        <w:rPr>
                          <w:rFonts w:asciiTheme="minorEastAsia" w:hAnsiTheme="minorEastAsia" w:eastAsiaTheme="minorEastAsia"/>
                        </w:rPr>
                      </w:pPr>
                      <w:r>
                        <w:rPr>
                          <w:rFonts w:hint="eastAsia" w:asciiTheme="minorEastAsia" w:hAnsiTheme="minorEastAsia" w:eastAsiaTheme="minorEastAsia"/>
                        </w:rPr>
                        <w:t>成交公告；成交通知书</w:t>
                      </w:r>
                    </w:p>
                    <w:p w14:paraId="1824B360">
                      <w:pPr>
                        <w:rPr>
                          <w:rFonts w:ascii="仿宋_GB2312" w:eastAsia="仿宋_GB2312"/>
                        </w:rPr>
                      </w:pPr>
                      <w:r>
                        <w:rPr>
                          <w:rFonts w:hint="eastAsia" w:ascii="仿宋_GB2312" w:eastAsia="仿宋_GB2312"/>
                        </w:rPr>
                        <w:t>立项</w:t>
                      </w:r>
                    </w:p>
                    <w:p w14:paraId="2062BFA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2ED98C1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0AF26A2">
                            <w:pPr>
                              <w:rPr>
                                <w:rFonts w:ascii="仿宋_GB2312" w:eastAsia="仿宋_GB2312"/>
                              </w:rPr>
                            </w:pPr>
                            <w:r>
                              <w:rPr>
                                <w:rFonts w:hint="eastAsia" w:ascii="仿宋_GB2312" w:eastAsia="仿宋_GB2312"/>
                              </w:rPr>
                              <w:t>立项</w:t>
                            </w:r>
                          </w:p>
                          <w:p w14:paraId="1403343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2ED98C1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0AF26A2">
                      <w:pPr>
                        <w:rPr>
                          <w:rFonts w:ascii="仿宋_GB2312" w:eastAsia="仿宋_GB2312"/>
                        </w:rPr>
                      </w:pPr>
                      <w:r>
                        <w:rPr>
                          <w:rFonts w:hint="eastAsia" w:ascii="仿宋_GB2312" w:eastAsia="仿宋_GB2312"/>
                        </w:rPr>
                        <w:t>立项</w:t>
                      </w:r>
                    </w:p>
                    <w:p w14:paraId="1403343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26728939">
                            <w:pPr>
                              <w:jc w:val="center"/>
                              <w:rPr>
                                <w:rFonts w:asciiTheme="minorEastAsia" w:hAnsiTheme="minorEastAsia" w:eastAsiaTheme="minorEastAsia"/>
                              </w:rPr>
                            </w:pPr>
                            <w:r>
                              <w:rPr>
                                <w:rFonts w:hint="eastAsia" w:asciiTheme="minorEastAsia" w:hAnsiTheme="minorEastAsia" w:eastAsiaTheme="minorEastAsia"/>
                              </w:rPr>
                              <w:t>评审打分</w:t>
                            </w:r>
                          </w:p>
                          <w:p w14:paraId="4936C312">
                            <w:pPr>
                              <w:rPr>
                                <w:rFonts w:ascii="仿宋_GB2312" w:eastAsia="仿宋_GB2312"/>
                              </w:rPr>
                            </w:pPr>
                            <w:r>
                              <w:rPr>
                                <w:rFonts w:hint="eastAsia" w:ascii="仿宋_GB2312" w:eastAsia="仿宋_GB2312"/>
                              </w:rPr>
                              <w:t>立项</w:t>
                            </w:r>
                          </w:p>
                          <w:p w14:paraId="536023B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26728939">
                      <w:pPr>
                        <w:jc w:val="center"/>
                        <w:rPr>
                          <w:rFonts w:asciiTheme="minorEastAsia" w:hAnsiTheme="minorEastAsia" w:eastAsiaTheme="minorEastAsia"/>
                        </w:rPr>
                      </w:pPr>
                      <w:r>
                        <w:rPr>
                          <w:rFonts w:hint="eastAsia" w:asciiTheme="minorEastAsia" w:hAnsiTheme="minorEastAsia" w:eastAsiaTheme="minorEastAsia"/>
                        </w:rPr>
                        <w:t>评审打分</w:t>
                      </w:r>
                    </w:p>
                    <w:p w14:paraId="4936C312">
                      <w:pPr>
                        <w:rPr>
                          <w:rFonts w:ascii="仿宋_GB2312" w:eastAsia="仿宋_GB2312"/>
                        </w:rPr>
                      </w:pPr>
                      <w:r>
                        <w:rPr>
                          <w:rFonts w:hint="eastAsia" w:ascii="仿宋_GB2312" w:eastAsia="仿宋_GB2312"/>
                        </w:rPr>
                        <w:t>立项</w:t>
                      </w:r>
                    </w:p>
                    <w:p w14:paraId="536023B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22D3CC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FF5F407">
                            <w:pPr>
                              <w:rPr>
                                <w:rFonts w:ascii="仿宋_GB2312" w:eastAsia="仿宋_GB2312"/>
                              </w:rPr>
                            </w:pPr>
                            <w:r>
                              <w:rPr>
                                <w:rFonts w:hint="eastAsia" w:ascii="仿宋_GB2312" w:eastAsia="仿宋_GB2312"/>
                              </w:rPr>
                              <w:t>立项</w:t>
                            </w:r>
                          </w:p>
                          <w:p w14:paraId="0C4D6B4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22D3CC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FF5F407">
                      <w:pPr>
                        <w:rPr>
                          <w:rFonts w:ascii="仿宋_GB2312" w:eastAsia="仿宋_GB2312"/>
                        </w:rPr>
                      </w:pPr>
                      <w:r>
                        <w:rPr>
                          <w:rFonts w:hint="eastAsia" w:ascii="仿宋_GB2312" w:eastAsia="仿宋_GB2312"/>
                        </w:rPr>
                        <w:t>立项</w:t>
                      </w:r>
                    </w:p>
                    <w:p w14:paraId="0C4D6B4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3BDB6C77">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3BDB6C77">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0CAF2D42">
                            <w:pPr>
                              <w:jc w:val="center"/>
                              <w:rPr>
                                <w:rFonts w:asciiTheme="minorEastAsia" w:hAnsiTheme="minorEastAsia" w:eastAsiaTheme="minorEastAsia"/>
                              </w:rPr>
                            </w:pPr>
                            <w:r>
                              <w:rPr>
                                <w:rFonts w:hint="eastAsia" w:asciiTheme="minorEastAsia" w:hAnsiTheme="minorEastAsia" w:eastAsiaTheme="minorEastAsia"/>
                              </w:rPr>
                              <w:t>资格审查</w:t>
                            </w:r>
                          </w:p>
                          <w:p w14:paraId="27830344">
                            <w:pPr>
                              <w:jc w:val="center"/>
                              <w:rPr>
                                <w:rFonts w:ascii="仿宋_GB2312" w:eastAsia="仿宋_GB2312"/>
                              </w:rPr>
                            </w:pPr>
                          </w:p>
                          <w:p w14:paraId="7F256A0B">
                            <w:pPr>
                              <w:rPr>
                                <w:rFonts w:ascii="仿宋_GB2312" w:eastAsia="仿宋_GB2312"/>
                              </w:rPr>
                            </w:pPr>
                            <w:r>
                              <w:rPr>
                                <w:rFonts w:hint="eastAsia" w:ascii="仿宋_GB2312" w:eastAsia="仿宋_GB2312"/>
                              </w:rPr>
                              <w:t>立项</w:t>
                            </w:r>
                          </w:p>
                          <w:p w14:paraId="12E9E40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0CAF2D42">
                      <w:pPr>
                        <w:jc w:val="center"/>
                        <w:rPr>
                          <w:rFonts w:asciiTheme="minorEastAsia" w:hAnsiTheme="minorEastAsia" w:eastAsiaTheme="minorEastAsia"/>
                        </w:rPr>
                      </w:pPr>
                      <w:r>
                        <w:rPr>
                          <w:rFonts w:hint="eastAsia" w:asciiTheme="minorEastAsia" w:hAnsiTheme="minorEastAsia" w:eastAsiaTheme="minorEastAsia"/>
                        </w:rPr>
                        <w:t>资格审查</w:t>
                      </w:r>
                    </w:p>
                    <w:p w14:paraId="27830344">
                      <w:pPr>
                        <w:jc w:val="center"/>
                        <w:rPr>
                          <w:rFonts w:ascii="仿宋_GB2312" w:eastAsia="仿宋_GB2312"/>
                        </w:rPr>
                      </w:pPr>
                    </w:p>
                    <w:p w14:paraId="7F256A0B">
                      <w:pPr>
                        <w:rPr>
                          <w:rFonts w:ascii="仿宋_GB2312" w:eastAsia="仿宋_GB2312"/>
                        </w:rPr>
                      </w:pPr>
                      <w:r>
                        <w:rPr>
                          <w:rFonts w:hint="eastAsia" w:ascii="仿宋_GB2312" w:eastAsia="仿宋_GB2312"/>
                        </w:rPr>
                        <w:t>立项</w:t>
                      </w:r>
                    </w:p>
                    <w:p w14:paraId="12E9E402">
                      <w:pPr>
                        <w:rPr>
                          <w:rFonts w:ascii="仿宋_GB2312" w:eastAsia="仿宋_GB2312"/>
                        </w:rPr>
                      </w:pPr>
                    </w:p>
                  </w:txbxContent>
                </v:textbox>
              </v:shape>
            </w:pict>
          </mc:Fallback>
        </mc:AlternateContent>
      </w:r>
      <w:r>
        <w:rPr>
          <w:rFonts w:asciiTheme="minorEastAsia" w:hAnsiTheme="minorEastAsia" w:eastAsiaTheme="minorEastAsia"/>
          <w:color w:val="auto"/>
          <w:sz w:val="21"/>
          <w:szCs w:val="21"/>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Theme="minorEastAsia" w:hAnsiTheme="minorEastAsia" w:eastAsiaTheme="minorEastAsia"/>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7789514C">
                            <w:pPr>
                              <w:jc w:val="center"/>
                              <w:rPr>
                                <w:rFonts w:asciiTheme="minorEastAsia" w:hAnsiTheme="minorEastAsia" w:eastAsiaTheme="minorEastAsia"/>
                              </w:rPr>
                            </w:pPr>
                            <w:r>
                              <w:rPr>
                                <w:rFonts w:hint="eastAsia" w:asciiTheme="minorEastAsia" w:hAnsiTheme="minorEastAsia" w:eastAsiaTheme="minorEastAsia"/>
                              </w:rPr>
                              <w:t>开启响应文件</w:t>
                            </w:r>
                          </w:p>
                          <w:p w14:paraId="273B1A6F">
                            <w:pPr>
                              <w:rPr>
                                <w:rFonts w:ascii="仿宋_GB2312" w:eastAsia="仿宋_GB2312"/>
                              </w:rPr>
                            </w:pPr>
                            <w:r>
                              <w:rPr>
                                <w:rFonts w:hint="eastAsia" w:ascii="仿宋_GB2312" w:eastAsia="仿宋_GB2312"/>
                              </w:rPr>
                              <w:t>立项</w:t>
                            </w:r>
                          </w:p>
                          <w:p w14:paraId="6C707DD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7789514C">
                      <w:pPr>
                        <w:jc w:val="center"/>
                        <w:rPr>
                          <w:rFonts w:asciiTheme="minorEastAsia" w:hAnsiTheme="minorEastAsia" w:eastAsiaTheme="minorEastAsia"/>
                        </w:rPr>
                      </w:pPr>
                      <w:r>
                        <w:rPr>
                          <w:rFonts w:hint="eastAsia" w:asciiTheme="minorEastAsia" w:hAnsiTheme="minorEastAsia" w:eastAsiaTheme="minorEastAsia"/>
                        </w:rPr>
                        <w:t>开启响应文件</w:t>
                      </w:r>
                    </w:p>
                    <w:p w14:paraId="273B1A6F">
                      <w:pPr>
                        <w:rPr>
                          <w:rFonts w:ascii="仿宋_GB2312" w:eastAsia="仿宋_GB2312"/>
                        </w:rPr>
                      </w:pPr>
                      <w:r>
                        <w:rPr>
                          <w:rFonts w:hint="eastAsia" w:ascii="仿宋_GB2312" w:eastAsia="仿宋_GB2312"/>
                        </w:rPr>
                        <w:t>立项</w:t>
                      </w:r>
                    </w:p>
                    <w:p w14:paraId="6C707DD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cs="仿宋_GB2312" w:asciiTheme="minorEastAsia" w:hAnsiTheme="minorEastAsia" w:eastAsiaTheme="minorEastAsia"/>
          <w:b/>
          <w:color w:val="auto"/>
          <w:sz w:val="21"/>
          <w:szCs w:val="21"/>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cs="仿宋_GB2312" w:asciiTheme="minorEastAsia" w:hAnsiTheme="minorEastAsia" w:eastAsiaTheme="minorEastAsia"/>
          <w:b/>
          <w:color w:val="auto"/>
          <w:sz w:val="21"/>
          <w:szCs w:val="21"/>
          <w:highlight w:val="none"/>
        </w:rPr>
        <w:br w:type="page"/>
      </w:r>
    </w:p>
    <w:p w14:paraId="4C7E47F0">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第三部分  供应商须知</w:t>
      </w:r>
    </w:p>
    <w:p w14:paraId="6A1D7231">
      <w:pPr>
        <w:adjustRightInd/>
        <w:spacing w:line="360" w:lineRule="auto"/>
        <w:jc w:val="center"/>
        <w:outlineLvl w:val="0"/>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val="en-US" w:eastAsia="zh-CN"/>
        </w:rPr>
        <w:t>一</w:t>
      </w:r>
      <w:r>
        <w:rPr>
          <w:rFonts w:hint="eastAsia" w:cs="仿宋_GB2312" w:asciiTheme="minorEastAsia" w:hAnsiTheme="minorEastAsia" w:eastAsiaTheme="minorEastAsia"/>
          <w:b/>
          <w:color w:val="auto"/>
          <w:sz w:val="32"/>
          <w:szCs w:val="32"/>
          <w:highlight w:val="none"/>
        </w:rPr>
        <w:t>、前附表</w:t>
      </w:r>
    </w:p>
    <w:tbl>
      <w:tblPr>
        <w:tblStyle w:val="31"/>
        <w:tblW w:w="934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77"/>
      </w:tblGrid>
      <w:tr w14:paraId="2740F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C2EAA1">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23362E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事项</w:t>
            </w:r>
          </w:p>
        </w:tc>
        <w:tc>
          <w:tcPr>
            <w:tcW w:w="6877" w:type="dxa"/>
            <w:tcBorders>
              <w:top w:val="single" w:color="000000" w:sz="8" w:space="0"/>
              <w:left w:val="single" w:color="000000" w:sz="2" w:space="0"/>
              <w:bottom w:val="single" w:color="000000" w:sz="8" w:space="0"/>
              <w:right w:val="single" w:color="000000" w:sz="8" w:space="0"/>
            </w:tcBorders>
            <w:vAlign w:val="center"/>
          </w:tcPr>
          <w:p w14:paraId="508D864B">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本项目的特别规定</w:t>
            </w:r>
          </w:p>
        </w:tc>
      </w:tr>
      <w:tr w14:paraId="69607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E327D2">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DDFD847">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项目属性</w:t>
            </w:r>
          </w:p>
        </w:tc>
        <w:tc>
          <w:tcPr>
            <w:tcW w:w="6877" w:type="dxa"/>
            <w:tcBorders>
              <w:top w:val="single" w:color="000000" w:sz="8" w:space="0"/>
              <w:left w:val="single" w:color="000000" w:sz="2" w:space="0"/>
              <w:bottom w:val="single" w:color="000000" w:sz="8" w:space="0"/>
              <w:right w:val="single" w:color="000000" w:sz="8" w:space="0"/>
            </w:tcBorders>
            <w:vAlign w:val="center"/>
          </w:tcPr>
          <w:p w14:paraId="75B31738">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0"/>
                <w:highlight w:val="none"/>
              </w:rPr>
              <w:t>服务类</w:t>
            </w:r>
            <w:r>
              <w:rPr>
                <w:rFonts w:hint="eastAsia" w:cs="宋体" w:asciiTheme="minorEastAsia" w:hAnsiTheme="minorEastAsia" w:eastAsiaTheme="minorEastAsia"/>
                <w:color w:val="auto"/>
                <w:sz w:val="24"/>
                <w:szCs w:val="24"/>
                <w:highlight w:val="none"/>
              </w:rPr>
              <w:t>。</w:t>
            </w:r>
          </w:p>
        </w:tc>
      </w:tr>
      <w:tr w14:paraId="299A9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87638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61C7CB7">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b/>
                <w:color w:val="auto"/>
                <w:kern w:val="0"/>
                <w:sz w:val="24"/>
                <w:szCs w:val="24"/>
                <w:highlight w:val="none"/>
              </w:rPr>
            </w:pPr>
            <w:r>
              <w:rPr>
                <w:rFonts w:hint="eastAsia" w:cs="宋体" w:asciiTheme="minorEastAsia" w:hAnsiTheme="minorEastAsia" w:eastAsiaTheme="minorEastAsia"/>
                <w:b/>
                <w:color w:val="auto"/>
                <w:kern w:val="0"/>
                <w:sz w:val="24"/>
                <w:szCs w:val="24"/>
                <w:highlight w:val="none"/>
              </w:rPr>
              <w:t>采购标的及其对应的中小企业划分标准所属行业</w:t>
            </w:r>
          </w:p>
        </w:tc>
        <w:tc>
          <w:tcPr>
            <w:tcW w:w="6877" w:type="dxa"/>
            <w:tcBorders>
              <w:top w:val="single" w:color="000000" w:sz="8" w:space="0"/>
              <w:left w:val="single" w:color="000000" w:sz="2" w:space="0"/>
              <w:bottom w:val="single" w:color="000000" w:sz="8" w:space="0"/>
              <w:right w:val="single" w:color="000000" w:sz="8" w:space="0"/>
            </w:tcBorders>
            <w:vAlign w:val="center"/>
          </w:tcPr>
          <w:p w14:paraId="1B398935">
            <w:pPr>
              <w:keepNext w:val="0"/>
              <w:keepLines w:val="0"/>
              <w:numPr>
                <w:ilvl w:val="0"/>
                <w:numId w:val="3"/>
              </w:numPr>
              <w:suppressLineNumbers w:val="0"/>
              <w:snapToGrid w:val="0"/>
              <w:spacing w:before="0" w:beforeAutospacing="0" w:after="0" w:afterAutospacing="0" w:line="360" w:lineRule="auto"/>
              <w:ind w:left="0" w:right="0"/>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标的： </w:t>
            </w:r>
            <w:r>
              <w:rPr>
                <w:rFonts w:hint="eastAsia" w:cs="宋体" w:asciiTheme="minorEastAsia" w:hAnsiTheme="minorEastAsia" w:eastAsiaTheme="minorEastAsia"/>
                <w:color w:val="auto"/>
                <w:kern w:val="0"/>
                <w:sz w:val="24"/>
                <w:szCs w:val="24"/>
                <w:highlight w:val="none"/>
                <w:lang w:eastAsia="zh-CN"/>
              </w:rPr>
              <w:t>宁海县第一医院医疗健康集团北部医院食堂外包服务项目</w:t>
            </w:r>
            <w:r>
              <w:rPr>
                <w:rFonts w:hint="eastAsia" w:cs="宋体" w:asciiTheme="minorEastAsia" w:hAnsiTheme="minorEastAsia" w:eastAsiaTheme="minorEastAsia"/>
                <w:color w:val="auto"/>
                <w:kern w:val="0"/>
                <w:sz w:val="24"/>
                <w:szCs w:val="24"/>
                <w:highlight w:val="none"/>
              </w:rPr>
              <w:t>，</w:t>
            </w:r>
            <w:r>
              <w:rPr>
                <w:rFonts w:hint="eastAsia" w:ascii="宋体" w:hAnsi="宋体" w:eastAsia="宋体" w:cs="宋体"/>
                <w:kern w:val="0"/>
                <w:sz w:val="24"/>
                <w:szCs w:val="20"/>
              </w:rPr>
              <w:t>属于</w:t>
            </w:r>
            <w:r>
              <w:rPr>
                <w:rFonts w:hint="eastAsia" w:ascii="宋体" w:hAnsi="宋体" w:eastAsia="宋体" w:cs="宋体"/>
                <w:kern w:val="0"/>
                <w:sz w:val="24"/>
                <w:szCs w:val="20"/>
                <w:u w:val="single"/>
                <w:lang w:eastAsia="zh-CN"/>
              </w:rPr>
              <w:t>餐饮</w:t>
            </w:r>
            <w:r>
              <w:rPr>
                <w:rFonts w:hint="eastAsia" w:ascii="宋体" w:hAnsi="宋体" w:eastAsia="宋体" w:cs="宋体"/>
                <w:kern w:val="0"/>
                <w:sz w:val="24"/>
                <w:szCs w:val="20"/>
                <w:u w:val="single"/>
              </w:rPr>
              <w:t>业</w:t>
            </w:r>
            <w:r>
              <w:rPr>
                <w:rFonts w:hint="eastAsia" w:ascii="宋体" w:hAnsi="宋体" w:eastAsia="宋体" w:cs="宋体"/>
                <w:kern w:val="0"/>
                <w:sz w:val="24"/>
                <w:szCs w:val="20"/>
              </w:rPr>
              <w:t>行业</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w:t>
            </w:r>
          </w:p>
          <w:p w14:paraId="35B1E0DF">
            <w:pPr>
              <w:keepNext w:val="0"/>
              <w:keepLines w:val="0"/>
              <w:numPr>
                <w:ilvl w:val="0"/>
                <w:numId w:val="0"/>
              </w:numPr>
              <w:suppressLineNumbers w:val="0"/>
              <w:snapToGrid w:val="0"/>
              <w:spacing w:before="0" w:beforeAutospacing="0" w:after="0" w:afterAutospacing="0" w:line="360" w:lineRule="auto"/>
              <w:ind w:left="0" w:right="0" w:rightChars="0"/>
              <w:rPr>
                <w:rFonts w:hint="default"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rPr>
              <w:t>.... ....</w:t>
            </w:r>
          </w:p>
        </w:tc>
      </w:tr>
      <w:tr w14:paraId="40DD0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90B576">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295899A">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是否允许采购进口产品</w:t>
            </w:r>
          </w:p>
        </w:tc>
        <w:tc>
          <w:tcPr>
            <w:tcW w:w="6877" w:type="dxa"/>
            <w:tcBorders>
              <w:top w:val="single" w:color="000000" w:sz="8" w:space="0"/>
              <w:left w:val="single" w:color="000000" w:sz="2" w:space="0"/>
              <w:bottom w:val="single" w:color="000000" w:sz="8" w:space="0"/>
              <w:right w:val="single" w:color="000000" w:sz="8" w:space="0"/>
            </w:tcBorders>
            <w:vAlign w:val="center"/>
          </w:tcPr>
          <w:p w14:paraId="42D2CFE1">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sdt>
              <w:sdtPr>
                <w:rPr>
                  <w:rFonts w:hint="eastAsia" w:cs="宋体" w:asciiTheme="minorEastAsia" w:hAnsiTheme="minorEastAsia" w:eastAsiaTheme="minorEastAsia"/>
                  <w:color w:val="auto"/>
                  <w:kern w:val="0"/>
                  <w:sz w:val="24"/>
                  <w:szCs w:val="24"/>
                  <w:highlight w:val="none"/>
                </w:rPr>
                <w:id w:val="-1828425707"/>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sym w:font="Wingdings" w:char="00FE"/>
                </w:r>
              </w:sdtContent>
            </w:sdt>
            <w:r>
              <w:rPr>
                <w:rFonts w:hint="eastAsia" w:cs="宋体" w:asciiTheme="minorEastAsia" w:hAnsiTheme="minorEastAsia" w:eastAsiaTheme="minorEastAsia"/>
                <w:color w:val="auto"/>
                <w:kern w:val="0"/>
                <w:sz w:val="24"/>
                <w:szCs w:val="24"/>
                <w:highlight w:val="none"/>
              </w:rPr>
              <w:t>本项目不允许采购进口产品。</w:t>
            </w:r>
          </w:p>
          <w:p w14:paraId="1C8CB614">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sdt>
              <w:sdtPr>
                <w:rPr>
                  <w:rFonts w:hint="eastAsia" w:cs="宋体" w:asciiTheme="minorEastAsia" w:hAnsiTheme="minorEastAsia" w:eastAsiaTheme="minorEastAsia"/>
                  <w:color w:val="auto"/>
                  <w:kern w:val="0"/>
                  <w:sz w:val="24"/>
                  <w:szCs w:val="24"/>
                  <w:highlight w:val="none"/>
                </w:rPr>
                <w:id w:val="-52852824"/>
              </w:sdtPr>
              <w:sdtEndPr>
                <w:rPr>
                  <w:rFonts w:hint="eastAsia" w:cs="宋体" w:asciiTheme="minorEastAsia" w:hAnsiTheme="minorEastAsia" w:eastAsiaTheme="minorEastAsia"/>
                  <w:color w:val="auto"/>
                  <w:kern w:val="0"/>
                  <w:sz w:val="24"/>
                  <w:szCs w:val="24"/>
                  <w:highlight w:val="none"/>
                </w:rPr>
              </w:sdtEndPr>
              <w:sdtContent>
                <w:sdt>
                  <w:sdtPr>
                    <w:rPr>
                      <w:rFonts w:hint="eastAsia" w:cs="宋体" w:asciiTheme="minorEastAsia" w:hAnsiTheme="minorEastAsia" w:eastAsiaTheme="minorEastAsia"/>
                      <w:color w:val="auto"/>
                      <w:kern w:val="0"/>
                      <w:sz w:val="24"/>
                      <w:szCs w:val="24"/>
                      <w:highlight w:val="none"/>
                    </w:rPr>
                    <w:id w:val="-1639946486"/>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sym w:font="Wingdings" w:char="00A8"/>
                    </w:r>
                  </w:sdtContent>
                </w:sdt>
              </w:sdtContent>
            </w:sdt>
            <w:r>
              <w:rPr>
                <w:rFonts w:hint="eastAsia" w:cs="宋体" w:asciiTheme="minorEastAsia" w:hAnsiTheme="minorEastAsia" w:eastAsiaTheme="minorEastAsia"/>
                <w:color w:val="auto"/>
                <w:kern w:val="0"/>
                <w:sz w:val="24"/>
                <w:szCs w:val="24"/>
                <w:highlight w:val="none"/>
              </w:rPr>
              <w:t>可以就采购进口产品。</w:t>
            </w:r>
          </w:p>
        </w:tc>
      </w:tr>
      <w:tr w14:paraId="10519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A57771">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BEA1B99">
            <w:pPr>
              <w:keepNext w:val="0"/>
              <w:keepLines w:val="0"/>
              <w:suppressLineNumbers w:val="0"/>
              <w:snapToGrid w:val="0"/>
              <w:spacing w:before="0" w:beforeAutospacing="0" w:after="0" w:afterAutospacing="0" w:line="360" w:lineRule="auto"/>
              <w:ind w:left="0" w:right="0" w:firstLine="482" w:firstLineChars="200"/>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分包</w:t>
            </w:r>
          </w:p>
        </w:tc>
        <w:tc>
          <w:tcPr>
            <w:tcW w:w="6877" w:type="dxa"/>
            <w:tcBorders>
              <w:top w:val="single" w:color="000000" w:sz="8" w:space="0"/>
              <w:left w:val="single" w:color="000000" w:sz="2" w:space="0"/>
              <w:bottom w:val="single" w:color="000000" w:sz="8" w:space="0"/>
              <w:right w:val="single" w:color="000000" w:sz="8" w:space="0"/>
            </w:tcBorders>
            <w:vAlign w:val="center"/>
          </w:tcPr>
          <w:p w14:paraId="66974F53">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sz w:val="24"/>
                <w:szCs w:val="24"/>
                <w:highlight w:val="none"/>
              </w:rPr>
            </w:pPr>
            <w:sdt>
              <w:sdtPr>
                <w:rPr>
                  <w:rFonts w:hint="eastAsia" w:cs="宋体" w:asciiTheme="minorEastAsia" w:hAnsiTheme="minorEastAsia" w:eastAsiaTheme="minorEastAsia"/>
                  <w:color w:val="auto"/>
                  <w:kern w:val="0"/>
                  <w:sz w:val="24"/>
                  <w:szCs w:val="24"/>
                  <w:highlight w:val="none"/>
                </w:rPr>
                <w:id w:val="-1477286927"/>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sym w:font="Wingdings" w:char="00A8"/>
                </w:r>
              </w:sdtContent>
            </w:sdt>
            <w:r>
              <w:rPr>
                <w:rFonts w:hint="eastAsia" w:cs="宋体" w:asciiTheme="minorEastAsia" w:hAnsiTheme="minorEastAsia" w:eastAsiaTheme="minorEastAsia"/>
                <w:color w:val="auto"/>
                <w:kern w:val="0"/>
                <w:sz w:val="24"/>
                <w:szCs w:val="24"/>
                <w:highlight w:val="none"/>
              </w:rPr>
              <w:t xml:space="preserve"> A</w:t>
            </w:r>
            <w:r>
              <w:rPr>
                <w:rFonts w:hint="eastAsia" w:cs="宋体" w:asciiTheme="minorEastAsia" w:hAnsiTheme="minorEastAsia" w:eastAsiaTheme="minorEastAsia"/>
                <w:color w:val="auto"/>
                <w:sz w:val="24"/>
                <w:szCs w:val="24"/>
                <w:highlight w:val="none"/>
              </w:rPr>
              <w:t>同意将非主体、非关键性的工作分包。</w:t>
            </w:r>
          </w:p>
          <w:p w14:paraId="37777031">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sdt>
              <w:sdtPr>
                <w:rPr>
                  <w:rFonts w:hint="eastAsia" w:cs="宋体" w:asciiTheme="minorEastAsia" w:hAnsiTheme="minorEastAsia" w:eastAsiaTheme="minorEastAsia"/>
                  <w:color w:val="auto"/>
                  <w:kern w:val="0"/>
                  <w:sz w:val="24"/>
                  <w:szCs w:val="24"/>
                  <w:highlight w:val="none"/>
                </w:rPr>
                <w:id w:val="-1276331357"/>
              </w:sdtPr>
              <w:sdtEndPr>
                <w:rPr>
                  <w:rFonts w:hint="eastAsia" w:cs="宋体" w:asciiTheme="minorEastAsia" w:hAnsiTheme="minorEastAsia" w:eastAsiaTheme="minorEastAsia"/>
                  <w:color w:val="auto"/>
                  <w:kern w:val="0"/>
                  <w:sz w:val="24"/>
                  <w:szCs w:val="24"/>
                  <w:highlight w:val="none"/>
                </w:rPr>
              </w:sdtEndPr>
              <w:sdtContent>
                <w:sdt>
                  <w:sdtPr>
                    <w:rPr>
                      <w:rFonts w:hint="eastAsia" w:cs="宋体" w:asciiTheme="minorEastAsia" w:hAnsiTheme="minorEastAsia" w:eastAsiaTheme="minorEastAsia"/>
                      <w:color w:val="auto"/>
                      <w:kern w:val="0"/>
                      <w:sz w:val="24"/>
                      <w:szCs w:val="24"/>
                      <w:highlight w:val="none"/>
                    </w:rPr>
                    <w:id w:val="147455750"/>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t></w:t>
                    </w:r>
                  </w:sdtContent>
                </w:sdt>
              </w:sdtContent>
            </w:sdt>
            <w:r>
              <w:rPr>
                <w:rFonts w:hint="eastAsia" w:cs="宋体" w:asciiTheme="minorEastAsia" w:hAnsiTheme="minorEastAsia" w:eastAsiaTheme="minorEastAsia"/>
                <w:color w:val="auto"/>
                <w:kern w:val="0"/>
                <w:sz w:val="24"/>
                <w:szCs w:val="24"/>
                <w:highlight w:val="none"/>
              </w:rPr>
              <w:t>B</w:t>
            </w:r>
            <w:r>
              <w:rPr>
                <w:rFonts w:hint="eastAsia" w:cs="宋体" w:asciiTheme="minorEastAsia" w:hAnsiTheme="minorEastAsia" w:eastAsiaTheme="minorEastAsia"/>
                <w:color w:val="auto"/>
                <w:sz w:val="24"/>
                <w:szCs w:val="24"/>
                <w:highlight w:val="none"/>
              </w:rPr>
              <w:t>不同意分包。</w:t>
            </w:r>
          </w:p>
          <w:p w14:paraId="07E86FE5">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注：不得限制大中型企业向小微企业合理分包。</w:t>
            </w:r>
          </w:p>
        </w:tc>
      </w:tr>
      <w:tr w14:paraId="277BC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0AEDB7">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BF0B939">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开标前答疑会或现场考察</w:t>
            </w:r>
          </w:p>
        </w:tc>
        <w:tc>
          <w:tcPr>
            <w:tcW w:w="6877" w:type="dxa"/>
            <w:tcBorders>
              <w:top w:val="single" w:color="000000" w:sz="8" w:space="0"/>
              <w:left w:val="single" w:color="000000" w:sz="2" w:space="0"/>
              <w:bottom w:val="single" w:color="000000" w:sz="8" w:space="0"/>
              <w:right w:val="single" w:color="000000" w:sz="8" w:space="0"/>
            </w:tcBorders>
            <w:vAlign w:val="center"/>
          </w:tcPr>
          <w:p w14:paraId="6F22E327">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sdt>
              <w:sdtPr>
                <w:rPr>
                  <w:rFonts w:hint="eastAsia" w:cs="宋体" w:asciiTheme="minorEastAsia" w:hAnsiTheme="minorEastAsia" w:eastAsiaTheme="minorEastAsia"/>
                  <w:color w:val="auto"/>
                  <w:kern w:val="0"/>
                  <w:sz w:val="24"/>
                  <w:szCs w:val="24"/>
                  <w:highlight w:val="none"/>
                </w:rPr>
                <w:id w:val="-212966419"/>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t></w:t>
                </w:r>
              </w:sdtContent>
            </w:sdt>
            <w:r>
              <w:rPr>
                <w:rFonts w:hint="eastAsia" w:cs="宋体" w:asciiTheme="minorEastAsia" w:hAnsiTheme="minorEastAsia" w:eastAsiaTheme="minorEastAsia"/>
                <w:color w:val="auto"/>
                <w:kern w:val="0"/>
                <w:sz w:val="24"/>
                <w:szCs w:val="24"/>
                <w:highlight w:val="none"/>
              </w:rPr>
              <w:t>A</w:t>
            </w:r>
            <w:r>
              <w:rPr>
                <w:rFonts w:hint="eastAsia" w:cs="宋体" w:asciiTheme="minorEastAsia" w:hAnsiTheme="minorEastAsia" w:eastAsiaTheme="minorEastAsia"/>
                <w:color w:val="auto"/>
                <w:sz w:val="24"/>
                <w:szCs w:val="24"/>
                <w:highlight w:val="none"/>
              </w:rPr>
              <w:t>不组织。</w:t>
            </w:r>
          </w:p>
          <w:p w14:paraId="6B391B2B">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sdt>
              <w:sdtPr>
                <w:rPr>
                  <w:rFonts w:hint="eastAsia" w:cs="宋体" w:asciiTheme="minorEastAsia" w:hAnsiTheme="minorEastAsia" w:eastAsiaTheme="minorEastAsia"/>
                  <w:color w:val="auto"/>
                  <w:kern w:val="0"/>
                  <w:sz w:val="24"/>
                  <w:szCs w:val="24"/>
                  <w:highlight w:val="none"/>
                </w:rPr>
                <w:id w:val="-999802974"/>
              </w:sdtPr>
              <w:sdtEndPr>
                <w:rPr>
                  <w:rFonts w:hint="eastAsia" w:cs="宋体" w:asciiTheme="minorEastAsia" w:hAnsiTheme="minorEastAsia" w:eastAsiaTheme="minorEastAsia"/>
                  <w:color w:val="auto"/>
                  <w:kern w:val="0"/>
                  <w:sz w:val="24"/>
                  <w:szCs w:val="24"/>
                  <w:highlight w:val="none"/>
                </w:rPr>
              </w:sdtEndPr>
              <w:sdtContent>
                <w:r>
                  <w:rPr>
                    <w:rFonts w:hint="eastAsia" w:ascii="MS Mincho" w:hAnsi="MS Mincho" w:eastAsia="MS Mincho" w:cs="MS Mincho"/>
                    <w:color w:val="auto"/>
                    <w:kern w:val="0"/>
                    <w:sz w:val="24"/>
                    <w:szCs w:val="24"/>
                    <w:highlight w:val="none"/>
                  </w:rPr>
                  <w:t>☐</w:t>
                </w:r>
              </w:sdtContent>
            </w:sdt>
            <w:r>
              <w:rPr>
                <w:rFonts w:hint="eastAsia" w:cs="宋体" w:asciiTheme="minorEastAsia" w:hAnsiTheme="minorEastAsia" w:eastAsiaTheme="minorEastAsia"/>
                <w:color w:val="auto"/>
                <w:kern w:val="0"/>
                <w:sz w:val="24"/>
                <w:szCs w:val="24"/>
                <w:highlight w:val="none"/>
              </w:rPr>
              <w:t>B组织，</w:t>
            </w:r>
            <w:r>
              <w:rPr>
                <w:rFonts w:hint="eastAsia" w:cs="宋体" w:asciiTheme="minorEastAsia" w:hAnsiTheme="minorEastAsia" w:eastAsiaTheme="minorEastAsia"/>
                <w:color w:val="auto"/>
                <w:sz w:val="24"/>
                <w:szCs w:val="24"/>
                <w:highlight w:val="none"/>
              </w:rPr>
              <w:t>时间：,地点：，联系人：，联系方式：。</w:t>
            </w:r>
          </w:p>
        </w:tc>
      </w:tr>
      <w:tr w14:paraId="5A947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0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21068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2F50D3B">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样品提供</w:t>
            </w:r>
          </w:p>
        </w:tc>
        <w:tc>
          <w:tcPr>
            <w:tcW w:w="6877" w:type="dxa"/>
            <w:tcBorders>
              <w:top w:val="single" w:color="000000" w:sz="8" w:space="0"/>
              <w:left w:val="single" w:color="000000" w:sz="2" w:space="0"/>
              <w:bottom w:val="single" w:color="000000" w:sz="8" w:space="0"/>
              <w:right w:val="single" w:color="000000" w:sz="8" w:space="0"/>
            </w:tcBorders>
            <w:vAlign w:val="center"/>
          </w:tcPr>
          <w:p w14:paraId="573D88DE">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sdt>
              <w:sdtPr>
                <w:rPr>
                  <w:rFonts w:hint="eastAsia" w:cs="宋体" w:asciiTheme="minorEastAsia" w:hAnsiTheme="minorEastAsia" w:eastAsiaTheme="minorEastAsia"/>
                  <w:color w:val="auto"/>
                  <w:kern w:val="0"/>
                  <w:sz w:val="24"/>
                  <w:szCs w:val="24"/>
                  <w:highlight w:val="none"/>
                </w:rPr>
                <w:id w:val="147468584"/>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sym w:font="Wingdings" w:char="00FE"/>
                </w:r>
              </w:sdtContent>
            </w:sdt>
            <w:r>
              <w:rPr>
                <w:rFonts w:hint="eastAsia" w:cs="宋体" w:asciiTheme="minorEastAsia" w:hAnsiTheme="minorEastAsia" w:eastAsiaTheme="minorEastAsia"/>
                <w:color w:val="auto"/>
                <w:kern w:val="0"/>
                <w:sz w:val="24"/>
                <w:szCs w:val="24"/>
                <w:highlight w:val="none"/>
              </w:rPr>
              <w:t>A</w:t>
            </w:r>
            <w:r>
              <w:rPr>
                <w:rFonts w:hint="eastAsia" w:cs="宋体" w:asciiTheme="minorEastAsia" w:hAnsiTheme="minorEastAsia" w:eastAsiaTheme="minorEastAsia"/>
                <w:color w:val="auto"/>
                <w:sz w:val="24"/>
                <w:szCs w:val="24"/>
                <w:highlight w:val="none"/>
              </w:rPr>
              <w:t>不要求提供。</w:t>
            </w:r>
          </w:p>
          <w:p w14:paraId="3A51B3B1">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sdt>
              <w:sdtPr>
                <w:rPr>
                  <w:rFonts w:hint="eastAsia" w:cs="宋体" w:asciiTheme="minorEastAsia" w:hAnsiTheme="minorEastAsia" w:eastAsiaTheme="minorEastAsia"/>
                  <w:color w:val="auto"/>
                  <w:kern w:val="0"/>
                  <w:sz w:val="24"/>
                  <w:szCs w:val="24"/>
                  <w:highlight w:val="none"/>
                </w:rPr>
                <w:id w:val="1026831988"/>
              </w:sdtPr>
              <w:sdtEndPr>
                <w:rPr>
                  <w:rFonts w:hint="eastAsia" w:cs="宋体" w:asciiTheme="minorEastAsia" w:hAnsiTheme="minorEastAsia" w:eastAsiaTheme="minorEastAsia"/>
                  <w:color w:val="auto"/>
                  <w:kern w:val="0"/>
                  <w:sz w:val="24"/>
                  <w:szCs w:val="24"/>
                  <w:highlight w:val="none"/>
                </w:rPr>
              </w:sdtEndPr>
              <w:sdtContent>
                <w:sdt>
                  <w:sdtPr>
                    <w:rPr>
                      <w:rFonts w:hint="eastAsia" w:cs="宋体" w:asciiTheme="minorEastAsia" w:hAnsiTheme="minorEastAsia" w:eastAsiaTheme="minorEastAsia"/>
                      <w:color w:val="auto"/>
                      <w:kern w:val="0"/>
                      <w:sz w:val="24"/>
                      <w:szCs w:val="24"/>
                      <w:highlight w:val="none"/>
                    </w:rPr>
                    <w:id w:val="147479505"/>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sym w:font="Wingdings" w:char="00A8"/>
                    </w:r>
                  </w:sdtContent>
                </w:sdt>
              </w:sdtContent>
            </w:sdt>
            <w:r>
              <w:rPr>
                <w:rFonts w:hint="eastAsia" w:cs="宋体" w:asciiTheme="minorEastAsia" w:hAnsiTheme="minorEastAsia" w:eastAsiaTheme="minorEastAsia"/>
                <w:color w:val="auto"/>
                <w:kern w:val="0"/>
                <w:sz w:val="24"/>
                <w:szCs w:val="24"/>
                <w:highlight w:val="none"/>
              </w:rPr>
              <w:t>B要求提供，</w:t>
            </w:r>
          </w:p>
          <w:p w14:paraId="3A887B66">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（1）</w:t>
            </w:r>
            <w:r>
              <w:rPr>
                <w:rFonts w:hint="eastAsia" w:cs="宋体" w:asciiTheme="minorEastAsia" w:hAnsiTheme="minorEastAsia" w:eastAsiaTheme="minorEastAsia"/>
                <w:snapToGrid w:val="0"/>
                <w:color w:val="auto"/>
                <w:kern w:val="28"/>
                <w:sz w:val="24"/>
                <w:szCs w:val="24"/>
                <w:highlight w:val="none"/>
              </w:rPr>
              <w:t>样品：</w:t>
            </w:r>
            <w:r>
              <w:rPr>
                <w:rFonts w:hint="eastAsia" w:cs="宋体" w:asciiTheme="minorEastAsia" w:hAnsiTheme="minorEastAsia" w:eastAsiaTheme="minorEastAsia"/>
                <w:color w:val="auto"/>
                <w:kern w:val="0"/>
                <w:sz w:val="24"/>
                <w:szCs w:val="24"/>
                <w:highlight w:val="none"/>
              </w:rPr>
              <w:t>；</w:t>
            </w:r>
          </w:p>
          <w:p w14:paraId="059ED23E">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（2）</w:t>
            </w:r>
            <w:r>
              <w:rPr>
                <w:rFonts w:hint="eastAsia" w:cs="宋体" w:asciiTheme="minorEastAsia" w:hAnsiTheme="minorEastAsia" w:eastAsiaTheme="minorEastAsia"/>
                <w:snapToGrid w:val="0"/>
                <w:color w:val="auto"/>
                <w:kern w:val="28"/>
                <w:sz w:val="24"/>
                <w:szCs w:val="24"/>
                <w:highlight w:val="none"/>
              </w:rPr>
              <w:t>样品制作的标准和要求：</w:t>
            </w:r>
            <w:r>
              <w:rPr>
                <w:rFonts w:hint="eastAsia" w:cs="宋体" w:asciiTheme="minorEastAsia" w:hAnsiTheme="minorEastAsia" w:eastAsiaTheme="minorEastAsia"/>
                <w:color w:val="auto"/>
                <w:kern w:val="0"/>
                <w:sz w:val="24"/>
                <w:szCs w:val="24"/>
                <w:highlight w:val="none"/>
              </w:rPr>
              <w:t>；</w:t>
            </w:r>
          </w:p>
          <w:p w14:paraId="44445654">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（3）样品的评审方法以及评审标准</w:t>
            </w:r>
            <w:r>
              <w:rPr>
                <w:rFonts w:hint="eastAsia" w:cs="宋体" w:asciiTheme="minorEastAsia" w:hAnsiTheme="minorEastAsia" w:eastAsiaTheme="minorEastAsia"/>
                <w:snapToGrid w:val="0"/>
                <w:color w:val="auto"/>
                <w:kern w:val="28"/>
                <w:sz w:val="24"/>
                <w:szCs w:val="24"/>
                <w:highlight w:val="none"/>
              </w:rPr>
              <w:t>：详见</w:t>
            </w:r>
            <w:r>
              <w:rPr>
                <w:rFonts w:hint="eastAsia" w:cs="宋体" w:asciiTheme="minorEastAsia" w:hAnsiTheme="minorEastAsia" w:eastAsiaTheme="minorEastAsia"/>
                <w:color w:val="auto"/>
                <w:sz w:val="24"/>
                <w:szCs w:val="24"/>
                <w:highlight w:val="none"/>
                <w:u w:val="single"/>
              </w:rPr>
              <w:t>评审标准</w:t>
            </w:r>
            <w:r>
              <w:rPr>
                <w:rFonts w:hint="eastAsia" w:cs="宋体" w:asciiTheme="minorEastAsia" w:hAnsiTheme="minorEastAsia" w:eastAsiaTheme="minorEastAsia"/>
                <w:color w:val="auto"/>
                <w:kern w:val="0"/>
                <w:sz w:val="24"/>
                <w:szCs w:val="24"/>
                <w:highlight w:val="none"/>
              </w:rPr>
              <w:t>；</w:t>
            </w:r>
          </w:p>
          <w:p w14:paraId="58EDC640">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（4）是否需要随样品提交检测报告：</w:t>
            </w:r>
            <w:sdt>
              <w:sdtPr>
                <w:rPr>
                  <w:rFonts w:hint="eastAsia" w:cs="宋体" w:asciiTheme="minorEastAsia" w:hAnsiTheme="minorEastAsia" w:eastAsiaTheme="minorEastAsia"/>
                  <w:color w:val="auto"/>
                  <w:kern w:val="0"/>
                  <w:sz w:val="24"/>
                  <w:szCs w:val="24"/>
                  <w:highlight w:val="none"/>
                </w:rPr>
                <w:id w:val="1303421454"/>
              </w:sdtPr>
              <w:sdtEndPr>
                <w:rPr>
                  <w:rFonts w:hint="eastAsia" w:cs="宋体" w:asciiTheme="minorEastAsia" w:hAnsiTheme="minorEastAsia" w:eastAsiaTheme="minorEastAsia"/>
                  <w:color w:val="auto"/>
                  <w:kern w:val="0"/>
                  <w:sz w:val="24"/>
                  <w:szCs w:val="24"/>
                  <w:highlight w:val="none"/>
                </w:rPr>
              </w:sdtEndPr>
              <w:sdtContent>
                <w:sdt>
                  <w:sdtPr>
                    <w:rPr>
                      <w:rFonts w:hint="eastAsia" w:cs="宋体" w:asciiTheme="minorEastAsia" w:hAnsiTheme="minorEastAsia" w:eastAsiaTheme="minorEastAsia"/>
                      <w:color w:val="auto"/>
                      <w:kern w:val="0"/>
                      <w:sz w:val="24"/>
                      <w:szCs w:val="24"/>
                      <w:highlight w:val="none"/>
                    </w:rPr>
                    <w:id w:val="147458617"/>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sym w:font="Wingdings" w:char="00A8"/>
                    </w:r>
                  </w:sdtContent>
                </w:sdt>
              </w:sdtContent>
            </w:sdt>
            <w:r>
              <w:rPr>
                <w:rFonts w:hint="eastAsia" w:cs="宋体" w:asciiTheme="minorEastAsia" w:hAnsiTheme="minorEastAsia" w:eastAsiaTheme="minorEastAsia"/>
                <w:color w:val="auto"/>
                <w:kern w:val="0"/>
                <w:sz w:val="24"/>
                <w:szCs w:val="24"/>
                <w:highlight w:val="none"/>
              </w:rPr>
              <w:t>否；</w:t>
            </w:r>
            <w:sdt>
              <w:sdtPr>
                <w:rPr>
                  <w:rFonts w:hint="eastAsia" w:cs="宋体" w:asciiTheme="minorEastAsia" w:hAnsiTheme="minorEastAsia" w:eastAsiaTheme="minorEastAsia"/>
                  <w:color w:val="auto"/>
                  <w:kern w:val="0"/>
                  <w:sz w:val="24"/>
                  <w:szCs w:val="24"/>
                  <w:highlight w:val="none"/>
                </w:rPr>
                <w:id w:val="147480362"/>
              </w:sdtPr>
              <w:sdtEndPr>
                <w:rPr>
                  <w:rFonts w:hint="eastAsia" w:cs="宋体" w:asciiTheme="minorEastAsia" w:hAnsiTheme="minorEastAsia" w:eastAsiaTheme="minorEastAsia"/>
                  <w:color w:val="auto"/>
                  <w:kern w:val="0"/>
                  <w:sz w:val="24"/>
                  <w:szCs w:val="24"/>
                  <w:highlight w:val="none"/>
                </w:rPr>
              </w:sdtEndPr>
              <w:sdtContent>
                <w:sdt>
                  <w:sdtPr>
                    <w:rPr>
                      <w:rFonts w:hint="eastAsia" w:ascii="宋体" w:hAnsi="宋体" w:eastAsia="宋体" w:cs="宋体"/>
                      <w:color w:val="auto"/>
                      <w:kern w:val="0"/>
                      <w:sz w:val="24"/>
                      <w:szCs w:val="20"/>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0"/>
                      <w:highlight w:val="none"/>
                    </w:rPr>
                  </w:sdtEndPr>
                  <w:sdtContent>
                    <w:r>
                      <w:rPr>
                        <w:rFonts w:hint="eastAsia" w:ascii="MS Gothic" w:hAnsi="MS Gothic" w:eastAsia="宋体" w:cs="宋体"/>
                        <w:color w:val="auto"/>
                        <w:kern w:val="0"/>
                        <w:sz w:val="24"/>
                        <w:szCs w:val="24"/>
                        <w:highlight w:val="none"/>
                        <w:lang w:val="en-US" w:eastAsia="zh-CN" w:bidi="ar-SA"/>
                      </w:rPr>
                      <w:t>☐</w:t>
                    </w:r>
                  </w:sdtContent>
                </w:sdt>
              </w:sdtContent>
            </w:sdt>
            <w:r>
              <w:rPr>
                <w:rFonts w:hint="eastAsia" w:cs="宋体" w:asciiTheme="minorEastAsia" w:hAnsiTheme="minorEastAsia" w:eastAsiaTheme="minorEastAsia"/>
                <w:color w:val="auto"/>
                <w:kern w:val="0"/>
                <w:sz w:val="24"/>
                <w:szCs w:val="24"/>
                <w:highlight w:val="none"/>
              </w:rPr>
              <w:t>是，检测机构的要求</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kern w:val="0"/>
                <w:sz w:val="24"/>
                <w:szCs w:val="24"/>
                <w:highlight w:val="none"/>
              </w:rPr>
              <w:t>；检测内容</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kern w:val="0"/>
                <w:sz w:val="24"/>
                <w:szCs w:val="24"/>
                <w:highlight w:val="none"/>
              </w:rPr>
              <w:t>。</w:t>
            </w:r>
          </w:p>
          <w:p w14:paraId="50DED403">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（5）提供样品的时间：</w:t>
            </w:r>
          </w:p>
          <w:p w14:paraId="0998BFD7">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0"/>
                <w:highlight w:val="none"/>
                <w:lang w:eastAsia="zh-CN"/>
              </w:rPr>
            </w:pPr>
            <w:r>
              <w:rPr>
                <w:rFonts w:hint="eastAsia" w:ascii="宋体" w:hAnsi="宋体" w:cs="宋体"/>
                <w:color w:val="auto"/>
                <w:sz w:val="24"/>
                <w:szCs w:val="20"/>
                <w:highlight w:val="none"/>
                <w:lang w:val="en-US" w:eastAsia="zh-CN"/>
              </w:rPr>
              <w:t>①直接提交样品的：</w:t>
            </w:r>
            <w:r>
              <w:rPr>
                <w:rFonts w:hint="eastAsia" w:ascii="宋体" w:hAnsi="宋体" w:cs="宋体"/>
                <w:color w:val="auto"/>
                <w:sz w:val="24"/>
                <w:szCs w:val="20"/>
                <w:highlight w:val="none"/>
                <w:u w:val="single"/>
                <w:lang w:val="en-US" w:eastAsia="zh-CN"/>
              </w:rPr>
              <w:t xml:space="preserve">    </w:t>
            </w:r>
            <w:r>
              <w:rPr>
                <w:rFonts w:hint="eastAsia" w:ascii="宋体" w:hAnsi="宋体" w:eastAsia="宋体" w:cs="宋体"/>
                <w:color w:val="auto"/>
                <w:kern w:val="0"/>
                <w:sz w:val="24"/>
                <w:szCs w:val="20"/>
                <w:highlight w:val="none"/>
              </w:rPr>
              <w:t>；地点：</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none"/>
                <w:lang w:val="en-US" w:eastAsia="zh-CN"/>
              </w:rPr>
              <w:t>；</w:t>
            </w:r>
            <w:r>
              <w:rPr>
                <w:rFonts w:hint="eastAsia" w:cs="宋体" w:asciiTheme="minorEastAsia" w:hAnsiTheme="minorEastAsia" w:eastAsiaTheme="minorEastAsia"/>
                <w:kern w:val="0"/>
                <w:sz w:val="24"/>
                <w:szCs w:val="20"/>
              </w:rPr>
              <w:t>联系人</w:t>
            </w:r>
            <w:r>
              <w:rPr>
                <w:rFonts w:hint="eastAsia" w:cs="宋体" w:asciiTheme="minorEastAsia" w:hAnsiTheme="minorEastAsia" w:eastAsiaTheme="minorEastAsia"/>
                <w:sz w:val="24"/>
                <w:szCs w:val="20"/>
              </w:rPr>
              <w:t>：</w:t>
            </w:r>
            <w:r>
              <w:rPr>
                <w:rFonts w:hint="eastAsia" w:cs="宋体" w:asciiTheme="minorEastAsia" w:hAnsiTheme="minorEastAsia" w:eastAsiaTheme="minorEastAsia"/>
                <w:sz w:val="24"/>
                <w:szCs w:val="20"/>
                <w:u w:val="single"/>
              </w:rPr>
              <w:t xml:space="preserve">   </w:t>
            </w:r>
            <w:r>
              <w:rPr>
                <w:rFonts w:hint="eastAsia" w:cs="宋体" w:asciiTheme="minorEastAsia" w:hAnsiTheme="minorEastAsia" w:eastAsiaTheme="minorEastAsia"/>
                <w:sz w:val="24"/>
                <w:szCs w:val="20"/>
              </w:rPr>
              <w:t>，</w:t>
            </w:r>
            <w:r>
              <w:rPr>
                <w:rFonts w:hint="eastAsia" w:cs="宋体" w:asciiTheme="minorEastAsia" w:hAnsiTheme="minorEastAsia" w:eastAsiaTheme="minorEastAsia"/>
                <w:kern w:val="28"/>
                <w:sz w:val="24"/>
                <w:szCs w:val="20"/>
              </w:rPr>
              <w:t>联系电话：</w:t>
            </w:r>
            <w:r>
              <w:rPr>
                <w:rFonts w:hint="eastAsia" w:cs="宋体" w:asciiTheme="minorEastAsia" w:hAnsiTheme="minorEastAsia" w:eastAsiaTheme="minorEastAsia"/>
                <w:sz w:val="24"/>
                <w:szCs w:val="20"/>
                <w:u w:val="single"/>
              </w:rPr>
              <w:t xml:space="preserve">    </w:t>
            </w:r>
            <w:r>
              <w:rPr>
                <w:rFonts w:hint="eastAsia" w:ascii="宋体" w:hAnsi="宋体" w:cs="宋体"/>
                <w:color w:val="auto"/>
                <w:kern w:val="0"/>
                <w:sz w:val="24"/>
                <w:szCs w:val="20"/>
                <w:highlight w:val="none"/>
                <w:lang w:eastAsia="zh-CN"/>
              </w:rPr>
              <w:t>。</w:t>
            </w:r>
          </w:p>
          <w:p w14:paraId="252D104E">
            <w:pPr>
              <w:keepNext w:val="0"/>
              <w:keepLines w:val="0"/>
              <w:suppressLineNumbers w:val="0"/>
              <w:spacing w:before="0" w:beforeAutospacing="0" w:after="0" w:afterAutospacing="0" w:line="360" w:lineRule="auto"/>
              <w:ind w:left="0" w:right="0"/>
              <w:rPr>
                <w:rFonts w:hint="eastAsia" w:ascii="宋体" w:hAnsi="宋体" w:cs="宋体"/>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②以快递方式递交样品的：</w:t>
            </w:r>
          </w:p>
          <w:p w14:paraId="70CD4AE6">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szCs w:val="20"/>
                <w:highlight w:val="none"/>
                <w:lang w:val="en-US" w:eastAsia="zh-CN"/>
              </w:rPr>
            </w:pPr>
            <w:r>
              <w:rPr>
                <w:rFonts w:hint="eastAsia" w:ascii="宋体" w:hAnsi="宋体" w:cs="宋体"/>
                <w:color w:val="auto"/>
                <w:kern w:val="0"/>
                <w:sz w:val="24"/>
                <w:szCs w:val="20"/>
                <w:highlight w:val="none"/>
                <w:lang w:val="en-US" w:eastAsia="zh-CN"/>
              </w:rPr>
              <w:t>样品送达截止时间：</w:t>
            </w:r>
            <w:r>
              <w:rPr>
                <w:rFonts w:hint="eastAsia" w:ascii="宋体" w:hAnsi="宋体" w:cs="宋体"/>
                <w:color w:val="auto"/>
                <w:kern w:val="0"/>
                <w:sz w:val="24"/>
                <w:szCs w:val="20"/>
                <w:highlight w:val="none"/>
                <w:u w:val="single"/>
                <w:lang w:val="en-US" w:eastAsia="zh-CN"/>
              </w:rPr>
              <w:t xml:space="preserve">  </w:t>
            </w:r>
            <w:r>
              <w:rPr>
                <w:rFonts w:hint="eastAsia" w:ascii="宋体" w:hAnsi="宋体" w:cs="宋体"/>
                <w:color w:val="auto"/>
                <w:kern w:val="0"/>
                <w:sz w:val="24"/>
                <w:szCs w:val="20"/>
                <w:highlight w:val="none"/>
                <w:lang w:val="en-US" w:eastAsia="zh-CN"/>
              </w:rPr>
              <w:t>。样品送达地点：</w:t>
            </w:r>
            <w:r>
              <w:rPr>
                <w:rFonts w:hint="eastAsia" w:ascii="宋体" w:hAnsi="宋体" w:cs="宋体"/>
                <w:color w:val="auto"/>
                <w:kern w:val="0"/>
                <w:sz w:val="24"/>
                <w:szCs w:val="20"/>
                <w:highlight w:val="none"/>
                <w:u w:val="single"/>
                <w:lang w:val="en-US" w:eastAsia="zh-CN"/>
              </w:rPr>
              <w:t xml:space="preserve">   </w:t>
            </w:r>
            <w:r>
              <w:rPr>
                <w:rFonts w:hint="eastAsia" w:ascii="宋体" w:hAnsi="宋体" w:cs="宋体"/>
                <w:color w:val="auto"/>
                <w:kern w:val="0"/>
                <w:sz w:val="24"/>
                <w:szCs w:val="20"/>
                <w:highlight w:val="none"/>
                <w:lang w:val="en-US" w:eastAsia="zh-CN"/>
              </w:rPr>
              <w:t>；</w:t>
            </w:r>
            <w:r>
              <w:rPr>
                <w:rFonts w:hint="eastAsia" w:ascii="宋体" w:hAnsi="宋体" w:eastAsia="宋体" w:cs="宋体"/>
                <w:color w:val="auto"/>
                <w:kern w:val="0"/>
                <w:sz w:val="24"/>
                <w:szCs w:val="20"/>
                <w:highlight w:val="none"/>
              </w:rPr>
              <w:t>联系人</w:t>
            </w:r>
            <w:r>
              <w:rPr>
                <w:rFonts w:hint="eastAsia" w:ascii="宋体" w:hAnsi="宋体" w:eastAsia="宋体" w:cs="宋体"/>
                <w:color w:val="auto"/>
                <w:sz w:val="24"/>
                <w:szCs w:val="20"/>
                <w:highlight w:val="none"/>
              </w:rPr>
              <w:t>：</w:t>
            </w:r>
            <w:r>
              <w:rPr>
                <w:rFonts w:hint="eastAsia" w:ascii="宋体" w:hAnsi="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w:t>
            </w:r>
            <w:r>
              <w:rPr>
                <w:rFonts w:hint="eastAsia" w:ascii="宋体" w:hAnsi="宋体" w:eastAsia="宋体" w:cs="宋体"/>
                <w:color w:val="auto"/>
                <w:kern w:val="28"/>
                <w:sz w:val="24"/>
                <w:szCs w:val="20"/>
                <w:highlight w:val="none"/>
              </w:rPr>
              <w:t>联系电话：</w:t>
            </w:r>
            <w:r>
              <w:rPr>
                <w:rFonts w:hint="eastAsia" w:ascii="宋体" w:hAnsi="宋体" w:cs="宋体"/>
                <w:color w:val="auto"/>
                <w:kern w:val="28"/>
                <w:sz w:val="24"/>
                <w:szCs w:val="20"/>
                <w:highlight w:val="none"/>
                <w:u w:val="single"/>
                <w:lang w:val="en-US" w:eastAsia="zh-CN"/>
              </w:rPr>
              <w:t xml:space="preserve">  </w:t>
            </w:r>
            <w:r>
              <w:rPr>
                <w:rFonts w:hint="eastAsia" w:ascii="宋体" w:hAnsi="宋体" w:eastAsia="宋体" w:cs="宋体"/>
                <w:color w:val="auto"/>
                <w:sz w:val="24"/>
                <w:szCs w:val="20"/>
                <w:highlight w:val="none"/>
              </w:rPr>
              <w:t>。</w:t>
            </w:r>
            <w:r>
              <w:rPr>
                <w:rFonts w:hint="eastAsia" w:ascii="宋体" w:hAnsi="宋体" w:cs="宋体"/>
                <w:color w:val="auto"/>
                <w:sz w:val="24"/>
                <w:szCs w:val="20"/>
                <w:highlight w:val="none"/>
                <w:lang w:val="en-US" w:eastAsia="zh-CN"/>
              </w:rPr>
              <w:t>邮寄过程中须保证样品不发生破损、丢失情形，供应商对邮寄过程中发生的破损、丢失、未按规定时间送达等情形负责。代理机构将在开标现场监控下拆开外包封，如发生破损、物品缺少等情形，责任由供应商自负。</w:t>
            </w:r>
          </w:p>
          <w:p w14:paraId="0EBD8D25">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sz w:val="24"/>
                <w:szCs w:val="24"/>
                <w:highlight w:val="none"/>
              </w:rPr>
            </w:pPr>
            <w:r>
              <w:rPr>
                <w:rFonts w:hint="eastAsia" w:ascii="宋体" w:hAnsi="宋体" w:eastAsia="宋体" w:cs="宋体"/>
                <w:color w:val="auto"/>
                <w:sz w:val="24"/>
                <w:szCs w:val="20"/>
                <w:highlight w:val="none"/>
              </w:rPr>
              <w:t>请供应商在上述时间内提供样品。超过截止时间的，采购人或采购代理机构将不予接收，并将清场并封闭样品现场。</w:t>
            </w:r>
            <w:r>
              <w:rPr>
                <w:rFonts w:hint="eastAsia" w:cs="宋体" w:asciiTheme="minorEastAsia" w:hAnsiTheme="minorEastAsia" w:eastAsiaTheme="minorEastAsia"/>
                <w:color w:val="auto"/>
                <w:sz w:val="24"/>
                <w:szCs w:val="24"/>
                <w:highlight w:val="none"/>
              </w:rPr>
              <w:t xml:space="preserve"> </w:t>
            </w:r>
          </w:p>
          <w:p w14:paraId="7B22DA92">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400692D4">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szCs w:val="24"/>
                <w:highlight w:val="none"/>
              </w:rPr>
              <w:t>（7）制作、运输、安装和保管样品所发生的一切费用由供应商自理。</w:t>
            </w:r>
          </w:p>
        </w:tc>
      </w:tr>
      <w:tr w14:paraId="1E633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C12B6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999C441">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
                <w:color w:val="auto"/>
                <w:sz w:val="24"/>
                <w:szCs w:val="24"/>
                <w:highlight w:val="none"/>
              </w:rPr>
              <w:t>方案讲解演示</w:t>
            </w:r>
          </w:p>
        </w:tc>
        <w:tc>
          <w:tcPr>
            <w:tcW w:w="6877" w:type="dxa"/>
            <w:tcBorders>
              <w:top w:val="single" w:color="000000" w:sz="8" w:space="0"/>
              <w:left w:val="single" w:color="000000" w:sz="2" w:space="0"/>
              <w:bottom w:val="single" w:color="000000" w:sz="8" w:space="0"/>
              <w:right w:val="single" w:color="000000" w:sz="8" w:space="0"/>
            </w:tcBorders>
            <w:vAlign w:val="center"/>
          </w:tcPr>
          <w:p w14:paraId="6C6E3D0D">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sdt>
              <w:sdtPr>
                <w:rPr>
                  <w:rFonts w:hint="eastAsia" w:cs="宋体" w:asciiTheme="minorEastAsia" w:hAnsiTheme="minorEastAsia" w:eastAsiaTheme="minorEastAsia"/>
                  <w:color w:val="auto"/>
                  <w:kern w:val="0"/>
                  <w:sz w:val="24"/>
                  <w:szCs w:val="24"/>
                  <w:highlight w:val="none"/>
                </w:rPr>
                <w:id w:val="-1859348549"/>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t></w:t>
                </w:r>
              </w:sdtContent>
            </w:sdt>
            <w:r>
              <w:rPr>
                <w:rFonts w:hint="eastAsia" w:cs="宋体" w:asciiTheme="minorEastAsia" w:hAnsiTheme="minorEastAsia" w:eastAsiaTheme="minorEastAsia"/>
                <w:color w:val="auto"/>
                <w:kern w:val="0"/>
                <w:sz w:val="24"/>
                <w:szCs w:val="24"/>
                <w:highlight w:val="none"/>
              </w:rPr>
              <w:t>A</w:t>
            </w:r>
            <w:r>
              <w:rPr>
                <w:rFonts w:hint="eastAsia" w:cs="宋体" w:asciiTheme="minorEastAsia" w:hAnsiTheme="minorEastAsia" w:eastAsiaTheme="minorEastAsia"/>
                <w:color w:val="auto"/>
                <w:sz w:val="24"/>
                <w:szCs w:val="24"/>
                <w:highlight w:val="none"/>
              </w:rPr>
              <w:t>不组织。</w:t>
            </w:r>
          </w:p>
          <w:p w14:paraId="29A8DA99">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sdt>
              <w:sdtPr>
                <w:rPr>
                  <w:rFonts w:hint="eastAsia" w:cs="宋体" w:asciiTheme="minorEastAsia" w:hAnsiTheme="minorEastAsia" w:eastAsiaTheme="minorEastAsia"/>
                  <w:color w:val="auto"/>
                  <w:kern w:val="0"/>
                  <w:sz w:val="24"/>
                  <w:szCs w:val="24"/>
                  <w:highlight w:val="none"/>
                </w:rPr>
                <w:id w:val="1174071719"/>
              </w:sdtPr>
              <w:sdtEndPr>
                <w:rPr>
                  <w:rFonts w:hint="eastAsia" w:cs="宋体" w:asciiTheme="minorEastAsia" w:hAnsiTheme="minorEastAsia" w:eastAsiaTheme="minorEastAsia"/>
                  <w:color w:val="auto"/>
                  <w:kern w:val="0"/>
                  <w:sz w:val="24"/>
                  <w:szCs w:val="24"/>
                  <w:highlight w:val="none"/>
                </w:rPr>
              </w:sdtEndPr>
              <w:sdtContent>
                <w:r>
                  <w:rPr>
                    <w:rFonts w:hint="eastAsia" w:ascii="MS Mincho" w:hAnsi="MS Mincho" w:eastAsia="MS Mincho" w:cs="MS Mincho"/>
                    <w:color w:val="auto"/>
                    <w:kern w:val="0"/>
                    <w:sz w:val="24"/>
                    <w:szCs w:val="24"/>
                    <w:highlight w:val="none"/>
                  </w:rPr>
                  <w:t>☐</w:t>
                </w:r>
              </w:sdtContent>
            </w:sdt>
            <w:r>
              <w:rPr>
                <w:rFonts w:hint="eastAsia" w:cs="宋体" w:asciiTheme="minorEastAsia" w:hAnsiTheme="minorEastAsia" w:eastAsiaTheme="minorEastAsia"/>
                <w:color w:val="auto"/>
                <w:kern w:val="0"/>
                <w:sz w:val="24"/>
                <w:szCs w:val="24"/>
                <w:highlight w:val="none"/>
              </w:rPr>
              <w:t>B组织。</w:t>
            </w:r>
          </w:p>
          <w:p w14:paraId="233C1CE1">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1）在评审时安排每个供应商进行方案讲解演示。每个供应商时间不超过20（编制时可根据项目情况进行调整）分钟，讲解次序以响应文件解密时间先后次序为准，讲解演示人员不超过3（编制时可根据项目情况进行调整）人。讲解演示结束后按要求解答评标委员会提问。</w:t>
            </w:r>
          </w:p>
          <w:p w14:paraId="69E506B9">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（2）方案讲解演示可选择以下其中一种方式：</w:t>
            </w:r>
          </w:p>
          <w:p w14:paraId="1AD07C79">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方式一：政采云平台在线讲解演示。政采云平台在线讲解需供应商根据政采云平台操作要求做好准备工作，提前完善软硬件配置环境。</w:t>
            </w:r>
          </w:p>
          <w:p w14:paraId="18378422">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方式二：交易中心现场讲解演示。现场讲解地点为</w:t>
            </w:r>
            <w:r>
              <w:rPr>
                <w:rFonts w:hint="eastAsia" w:cs="宋体" w:asciiTheme="minorEastAsia" w:hAnsiTheme="minorEastAsia" w:eastAsiaTheme="minorEastAsia"/>
                <w:color w:val="auto"/>
                <w:kern w:val="0"/>
                <w:sz w:val="24"/>
                <w:szCs w:val="24"/>
                <w:highlight w:val="none"/>
                <w:lang w:val="en-US" w:eastAsia="zh-CN"/>
              </w:rPr>
              <w:t xml:space="preserve">  </w:t>
            </w:r>
            <w:r>
              <w:rPr>
                <w:rFonts w:hint="eastAsia" w:cs="宋体" w:asciiTheme="minorEastAsia" w:hAnsiTheme="minorEastAsia" w:eastAsiaTheme="minorEastAsia"/>
                <w:color w:val="auto"/>
                <w:kern w:val="0"/>
                <w:sz w:val="24"/>
                <w:szCs w:val="24"/>
                <w:highlight w:val="none"/>
              </w:rPr>
              <w:t>，讲解演示所用电脑等设备由供应商自备。现场讲解演示人员进场时提供讲解人员名单（加盖公章或授权代表签名）及身份证明，否则不得讲解演示。</w:t>
            </w:r>
          </w:p>
          <w:p w14:paraId="741F2F67">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b/>
                <w:color w:val="auto"/>
                <w:kern w:val="0"/>
                <w:sz w:val="24"/>
                <w:szCs w:val="24"/>
                <w:highlight w:val="none"/>
                <w:lang w:val="zh-CN"/>
              </w:rPr>
            </w:pPr>
            <w:r>
              <w:rPr>
                <w:rFonts w:hint="eastAsia" w:cs="宋体" w:asciiTheme="minorEastAsia" w:hAnsiTheme="minorEastAsia" w:eastAsiaTheme="minorEastAsia"/>
                <w:color w:val="auto"/>
                <w:kern w:val="0"/>
                <w:sz w:val="24"/>
                <w:szCs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2446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vMerge w:val="restart"/>
            <w:tcBorders>
              <w:top w:val="single" w:color="auto" w:sz="4" w:space="0"/>
              <w:left w:val="single" w:color="auto" w:sz="4" w:space="0"/>
              <w:right w:val="single" w:color="auto" w:sz="4" w:space="0"/>
            </w:tcBorders>
            <w:vAlign w:val="center"/>
          </w:tcPr>
          <w:p w14:paraId="5C2BCD7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3571A65">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供应商应当提供的资格、资信证明文件</w:t>
            </w:r>
          </w:p>
        </w:tc>
        <w:tc>
          <w:tcPr>
            <w:tcW w:w="6877" w:type="dxa"/>
            <w:tcBorders>
              <w:top w:val="single" w:color="000000" w:sz="8" w:space="0"/>
              <w:left w:val="single" w:color="000000" w:sz="2" w:space="0"/>
              <w:bottom w:val="single" w:color="auto" w:sz="4" w:space="0"/>
              <w:right w:val="single" w:color="000000" w:sz="8" w:space="0"/>
            </w:tcBorders>
            <w:vAlign w:val="center"/>
          </w:tcPr>
          <w:p w14:paraId="305F814B">
            <w:pPr>
              <w:keepNext w:val="0"/>
              <w:keepLines w:val="0"/>
              <w:suppressLineNumbers w:val="0"/>
              <w:spacing w:before="0" w:beforeAutospacing="0" w:after="0" w:afterAutospacing="0"/>
              <w:ind w:left="0" w:right="0"/>
              <w:rPr>
                <w:rFonts w:hint="default" w:cs="宋体" w:asciiTheme="minorEastAsia" w:hAnsiTheme="minorEastAsia" w:eastAsiaTheme="minorEastAsia"/>
                <w:color w:val="auto"/>
                <w:sz w:val="24"/>
                <w:szCs w:val="20"/>
                <w:highlight w:val="none"/>
              </w:rPr>
            </w:pPr>
            <w:r>
              <w:rPr>
                <w:rFonts w:hint="eastAsia"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0"/>
                <w:highlight w:val="none"/>
              </w:rPr>
              <w:t>资格证明文件：见</w:t>
            </w:r>
            <w:r>
              <w:rPr>
                <w:rFonts w:hint="eastAsia" w:cs="宋体" w:asciiTheme="minorEastAsia" w:hAnsiTheme="minorEastAsia" w:eastAsiaTheme="minorEastAsia"/>
                <w:color w:val="auto"/>
                <w:sz w:val="24"/>
                <w:szCs w:val="20"/>
                <w:highlight w:val="none"/>
                <w:lang w:val="en-US" w:eastAsia="zh-CN"/>
              </w:rPr>
              <w:t>本</w:t>
            </w:r>
            <w:r>
              <w:rPr>
                <w:rFonts w:hint="eastAsia" w:cs="宋体" w:asciiTheme="minorEastAsia" w:hAnsiTheme="minorEastAsia" w:eastAsiaTheme="minorEastAsia"/>
                <w:color w:val="auto"/>
                <w:sz w:val="24"/>
                <w:szCs w:val="20"/>
                <w:highlight w:val="none"/>
              </w:rPr>
              <w:t>部分“六、响应文件的编制”。</w:t>
            </w:r>
          </w:p>
          <w:p w14:paraId="6182E3AC">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napToGrid w:val="0"/>
                <w:color w:val="auto"/>
                <w:kern w:val="0"/>
                <w:sz w:val="24"/>
                <w:szCs w:val="24"/>
                <w:highlight w:val="none"/>
              </w:rPr>
            </w:pPr>
            <w:r>
              <w:rPr>
                <w:rFonts w:hint="eastAsia" w:cs="宋体" w:asciiTheme="minorEastAsia" w:hAnsiTheme="minorEastAsia" w:eastAsiaTheme="minorEastAsia"/>
                <w:color w:val="auto"/>
                <w:kern w:val="0"/>
                <w:sz w:val="24"/>
                <w:szCs w:val="20"/>
                <w:highlight w:val="none"/>
                <w:lang w:val="zh-CN"/>
              </w:rPr>
              <w:t>供应商未提供有效的资格证明文件的，视为供应商不具备磋商文件中规定的资格要求，响应无效</w:t>
            </w:r>
            <w:r>
              <w:rPr>
                <w:rFonts w:hint="eastAsia" w:cs="宋体" w:asciiTheme="minorEastAsia" w:hAnsiTheme="minorEastAsia" w:eastAsiaTheme="minorEastAsia"/>
                <w:color w:val="auto"/>
                <w:kern w:val="0"/>
                <w:sz w:val="24"/>
                <w:szCs w:val="24"/>
                <w:highlight w:val="none"/>
                <w:lang w:val="zh-CN"/>
              </w:rPr>
              <w:t>。</w:t>
            </w:r>
          </w:p>
        </w:tc>
      </w:tr>
      <w:tr w14:paraId="49599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6" w:hRule="atLeast"/>
          <w:tblHeader/>
        </w:trPr>
        <w:tc>
          <w:tcPr>
            <w:tcW w:w="629" w:type="dxa"/>
            <w:vMerge w:val="continue"/>
            <w:tcBorders>
              <w:left w:val="single" w:color="auto" w:sz="4" w:space="0"/>
              <w:bottom w:val="single" w:color="auto" w:sz="4" w:space="0"/>
              <w:right w:val="single" w:color="auto" w:sz="4" w:space="0"/>
            </w:tcBorders>
            <w:vAlign w:val="center"/>
          </w:tcPr>
          <w:p w14:paraId="156AA86F">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40FD311">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p>
        </w:tc>
        <w:tc>
          <w:tcPr>
            <w:tcW w:w="6877" w:type="dxa"/>
            <w:tcBorders>
              <w:top w:val="single" w:color="auto" w:sz="4" w:space="0"/>
              <w:left w:val="single" w:color="000000" w:sz="2" w:space="0"/>
              <w:bottom w:val="single" w:color="000000" w:sz="8" w:space="0"/>
              <w:right w:val="single" w:color="000000" w:sz="8" w:space="0"/>
            </w:tcBorders>
            <w:vAlign w:val="center"/>
          </w:tcPr>
          <w:p w14:paraId="075DE708">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（2）资信证明文件：根据磋商文件第</w:t>
            </w:r>
            <w:r>
              <w:rPr>
                <w:rFonts w:hint="eastAsia" w:cs="宋体" w:asciiTheme="minorEastAsia" w:hAnsiTheme="minorEastAsia" w:eastAsiaTheme="minorEastAsia"/>
                <w:color w:val="auto"/>
                <w:sz w:val="24"/>
                <w:szCs w:val="24"/>
                <w:highlight w:val="none"/>
                <w:lang w:val="en-US" w:eastAsia="zh-CN"/>
              </w:rPr>
              <w:t>五</w:t>
            </w:r>
            <w:r>
              <w:rPr>
                <w:rFonts w:hint="eastAsia" w:cs="宋体" w:asciiTheme="minorEastAsia" w:hAnsiTheme="minorEastAsia" w:eastAsiaTheme="minorEastAsia"/>
                <w:color w:val="auto"/>
                <w:sz w:val="24"/>
                <w:szCs w:val="24"/>
                <w:highlight w:val="none"/>
                <w:lang w:eastAsia="zh-CN"/>
              </w:rPr>
              <w:t>部分</w:t>
            </w:r>
            <w:r>
              <w:rPr>
                <w:rFonts w:hint="eastAsia" w:cs="宋体" w:asciiTheme="minorEastAsia" w:hAnsiTheme="minorEastAsia" w:eastAsiaTheme="minorEastAsia"/>
                <w:color w:val="auto"/>
                <w:sz w:val="24"/>
                <w:szCs w:val="24"/>
                <w:highlight w:val="none"/>
              </w:rPr>
              <w:t>评审标准提供。</w:t>
            </w:r>
          </w:p>
        </w:tc>
      </w:tr>
      <w:tr w14:paraId="0FDCE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E7C2B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2F2AF5">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节能产品、环境标志产品</w:t>
            </w:r>
          </w:p>
        </w:tc>
        <w:tc>
          <w:tcPr>
            <w:tcW w:w="6877" w:type="dxa"/>
            <w:tcBorders>
              <w:top w:val="single" w:color="000000" w:sz="8" w:space="0"/>
              <w:left w:val="single" w:color="000000" w:sz="2" w:space="0"/>
              <w:bottom w:val="single" w:color="000000" w:sz="8" w:space="0"/>
              <w:right w:val="single" w:color="000000" w:sz="8" w:space="0"/>
            </w:tcBorders>
            <w:vAlign w:val="center"/>
          </w:tcPr>
          <w:p w14:paraId="1FB95E78">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r>
              <w:rPr>
                <w:rFonts w:hint="default" w:cs="宋体" w:asciiTheme="minorEastAsia" w:hAnsiTheme="minorEastAsia" w:eastAsiaTheme="minor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8410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FFAC3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219A927">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最后报价要求</w:t>
            </w:r>
          </w:p>
        </w:tc>
        <w:tc>
          <w:tcPr>
            <w:tcW w:w="6877" w:type="dxa"/>
            <w:tcBorders>
              <w:top w:val="single" w:color="000000" w:sz="8" w:space="0"/>
              <w:left w:val="single" w:color="000000" w:sz="2" w:space="0"/>
              <w:bottom w:val="single" w:color="000000" w:sz="8" w:space="0"/>
              <w:right w:val="single" w:color="000000" w:sz="8" w:space="0"/>
            </w:tcBorders>
            <w:vAlign w:val="center"/>
          </w:tcPr>
          <w:p w14:paraId="05BD28B3">
            <w:pPr>
              <w:keepNext w:val="0"/>
              <w:keepLines w:val="0"/>
              <w:suppressLineNumbers w:val="0"/>
              <w:snapToGrid w:val="0"/>
              <w:spacing w:before="0" w:beforeAutospacing="0" w:after="0" w:afterAutospacing="0" w:line="360" w:lineRule="auto"/>
              <w:ind w:left="0" w:right="0"/>
              <w:jc w:val="left"/>
              <w:rPr>
                <w:rFonts w:hint="eastAsia" w:ascii="宋体" w:hAnsi="宋体" w:cs="宋体"/>
                <w:b w:val="0"/>
                <w:bCs/>
                <w:kern w:val="0"/>
                <w:sz w:val="24"/>
                <w:szCs w:val="20"/>
                <w:lang w:val="zh-CN"/>
              </w:rPr>
            </w:pPr>
            <w:r>
              <w:rPr>
                <w:rFonts w:hint="eastAsia" w:ascii="宋体" w:hAnsi="宋体" w:cs="宋体"/>
                <w:b w:val="0"/>
                <w:bCs/>
                <w:kern w:val="0"/>
                <w:sz w:val="24"/>
                <w:szCs w:val="20"/>
                <w:lang w:val="zh-CN"/>
              </w:rPr>
              <w:t>有关本项目实施所需的所有费用（含税费）均计入最后报价。《最后报价一览表（报价表）》是最后报价的唯一载体。磋商文件中价格全部采用人民币报价。磋商文件未列明，而供应商认为必需的费用也需列入报价。</w:t>
            </w:r>
            <w:r>
              <w:rPr>
                <w:rFonts w:hint="eastAsia" w:ascii="宋体" w:hAnsi="宋体" w:cs="宋体"/>
                <w:b w:val="0"/>
                <w:bCs/>
                <w:kern w:val="0"/>
                <w:sz w:val="24"/>
                <w:szCs w:val="20"/>
                <w:lang w:val="zh-CN"/>
              </w:rPr>
              <w:br w:type="textWrapping"/>
            </w:r>
            <w:r>
              <w:rPr>
                <w:rFonts w:hint="eastAsia" w:ascii="宋体" w:hAnsi="宋体" w:cs="宋体"/>
                <w:b w:val="0"/>
                <w:bCs/>
                <w:kern w:val="0"/>
                <w:sz w:val="24"/>
                <w:szCs w:val="20"/>
                <w:lang w:val="zh-CN" w:eastAsia="zh-CN"/>
              </w:rPr>
              <w:t xml:space="preserve">  本项目</w:t>
            </w:r>
            <w:r>
              <w:rPr>
                <w:rFonts w:hint="eastAsia" w:ascii="宋体" w:hAnsi="宋体" w:cs="宋体"/>
                <w:b w:val="0"/>
                <w:bCs/>
                <w:kern w:val="0"/>
                <w:sz w:val="24"/>
                <w:szCs w:val="20"/>
                <w:lang w:val="zh-CN"/>
              </w:rPr>
              <w:t>采用</w:t>
            </w:r>
            <w:r>
              <w:rPr>
                <w:rFonts w:hint="eastAsia" w:ascii="宋体" w:hAnsi="宋体" w:cs="宋体"/>
                <w:b w:val="0"/>
                <w:bCs/>
                <w:kern w:val="0"/>
                <w:sz w:val="24"/>
                <w:szCs w:val="20"/>
                <w:lang w:val="zh-CN" w:eastAsia="zh-CN"/>
              </w:rPr>
              <w:t>人民币</w:t>
            </w:r>
            <w:r>
              <w:rPr>
                <w:rFonts w:hint="eastAsia" w:ascii="宋体" w:hAnsi="宋体" w:cs="宋体"/>
                <w:b w:val="0"/>
                <w:bCs/>
                <w:kern w:val="0"/>
                <w:sz w:val="24"/>
                <w:szCs w:val="20"/>
                <w:lang w:val="zh-CN"/>
              </w:rPr>
              <w:t>报价。</w:t>
            </w:r>
          </w:p>
          <w:p w14:paraId="7B73583E">
            <w:pPr>
              <w:keepNext w:val="0"/>
              <w:keepLines w:val="0"/>
              <w:suppressLineNumbers w:val="0"/>
              <w:snapToGrid w:val="0"/>
              <w:spacing w:before="0" w:beforeAutospacing="0" w:after="0" w:afterAutospacing="0" w:line="360" w:lineRule="auto"/>
              <w:ind w:left="0" w:right="0"/>
              <w:jc w:val="left"/>
              <w:rPr>
                <w:rFonts w:hint="eastAsia" w:ascii="宋体" w:hAnsi="宋体" w:cs="宋体"/>
                <w:b w:val="0"/>
                <w:bCs/>
                <w:kern w:val="0"/>
                <w:sz w:val="24"/>
                <w:szCs w:val="20"/>
                <w:lang w:val="zh-CN"/>
              </w:rPr>
            </w:pPr>
            <w:r>
              <w:rPr>
                <w:rFonts w:hint="eastAsia" w:ascii="宋体" w:hAnsi="宋体" w:cs="宋体"/>
                <w:b w:val="0"/>
                <w:bCs/>
                <w:kern w:val="0"/>
                <w:sz w:val="24"/>
                <w:szCs w:val="20"/>
                <w:lang w:val="zh-CN" w:eastAsia="zh-CN"/>
              </w:rPr>
              <w:t>本项目投标报价须是完成本项目的所有费用，应包括设备保修、设备保养服务及所有配件费、维修人工费及差旅费等费用、利润、税金等一切与本次采购相关的费用。</w:t>
            </w:r>
          </w:p>
          <w:p w14:paraId="5D4C4047">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b/>
                <w:bCs/>
                <w:color w:val="auto"/>
                <w:sz w:val="24"/>
                <w:szCs w:val="24"/>
                <w:highlight w:val="none"/>
                <w:lang w:val="zh-CN"/>
              </w:rPr>
            </w:pPr>
            <w:r>
              <w:rPr>
                <w:rFonts w:hint="default" w:cs="宋体" w:asciiTheme="minorEastAsia" w:hAnsiTheme="minorEastAsia" w:eastAsiaTheme="minorEastAsia"/>
                <w:b/>
                <w:bCs/>
                <w:color w:val="auto"/>
                <w:sz w:val="24"/>
                <w:szCs w:val="24"/>
                <w:highlight w:val="none"/>
                <w:lang w:val="zh-CN"/>
              </w:rPr>
              <w:t>最后报价出现下列情形的，响应无效：</w:t>
            </w:r>
          </w:p>
          <w:p w14:paraId="5845125F">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b/>
                <w:bCs/>
                <w:color w:val="auto"/>
                <w:sz w:val="24"/>
                <w:szCs w:val="24"/>
                <w:highlight w:val="none"/>
                <w:lang w:val="zh-CN"/>
              </w:rPr>
            </w:pPr>
            <w:r>
              <w:rPr>
                <w:rFonts w:hint="default" w:cs="宋体" w:asciiTheme="minorEastAsia" w:hAnsiTheme="minorEastAsia" w:eastAsiaTheme="minorEastAsia"/>
                <w:b/>
                <w:bCs/>
                <w:color w:val="auto"/>
                <w:sz w:val="24"/>
                <w:szCs w:val="24"/>
                <w:highlight w:val="none"/>
                <w:lang w:val="zh-CN"/>
              </w:rPr>
              <w:t>响应文件出现不是唯一的、有选择性的最后报价的；</w:t>
            </w:r>
          </w:p>
          <w:p w14:paraId="26EE73DE">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b/>
                <w:bCs/>
                <w:color w:val="auto"/>
                <w:sz w:val="24"/>
                <w:szCs w:val="24"/>
                <w:highlight w:val="none"/>
                <w:lang w:val="zh-CN"/>
              </w:rPr>
            </w:pPr>
            <w:r>
              <w:rPr>
                <w:rFonts w:hint="default" w:cs="宋体" w:asciiTheme="minorEastAsia" w:hAnsiTheme="minorEastAsia" w:eastAsiaTheme="minorEastAsia"/>
                <w:b/>
                <w:bCs/>
                <w:color w:val="auto"/>
                <w:sz w:val="24"/>
                <w:szCs w:val="24"/>
                <w:highlight w:val="none"/>
                <w:lang w:val="zh-CN"/>
              </w:rPr>
              <w:t>最后报价超过磋商文件中规定的预算金额或者最高限价的；</w:t>
            </w:r>
          </w:p>
          <w:p w14:paraId="55032381">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b/>
                <w:bCs/>
                <w:color w:val="auto"/>
                <w:sz w:val="24"/>
                <w:szCs w:val="24"/>
                <w:highlight w:val="none"/>
                <w:lang w:eastAsia="zh-CN"/>
              </w:rPr>
            </w:pPr>
            <w:r>
              <w:rPr>
                <w:rFonts w:hint="default" w:cs="宋体" w:asciiTheme="minorEastAsia" w:hAnsiTheme="minorEastAsia" w:eastAsiaTheme="minorEastAsia"/>
                <w:b/>
                <w:bCs/>
                <w:color w:val="auto"/>
                <w:sz w:val="24"/>
                <w:szCs w:val="24"/>
                <w:highlight w:val="none"/>
              </w:rPr>
              <w:t>最后报价明显低于其他通过符合性审查供应商的报价（低于项目预算50%的），有可能影响产品质量或者不能诚信履约的，未能按要求提供书面说明或者提交相关证明材料证明其报价合理性的</w:t>
            </w:r>
            <w:r>
              <w:rPr>
                <w:rFonts w:hint="default" w:cs="宋体" w:asciiTheme="minorEastAsia" w:hAnsiTheme="minorEastAsia" w:eastAsiaTheme="minorEastAsia"/>
                <w:b/>
                <w:bCs/>
                <w:color w:val="auto"/>
                <w:sz w:val="24"/>
                <w:szCs w:val="24"/>
                <w:highlight w:val="none"/>
                <w:lang w:eastAsia="zh-CN"/>
              </w:rPr>
              <w:t>；</w:t>
            </w:r>
          </w:p>
          <w:p w14:paraId="5BFF39A9">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color w:val="auto"/>
                <w:sz w:val="24"/>
                <w:szCs w:val="24"/>
                <w:highlight w:val="none"/>
              </w:rPr>
            </w:pPr>
            <w:r>
              <w:rPr>
                <w:rFonts w:hint="default" w:cs="宋体" w:asciiTheme="minorEastAsia" w:hAnsiTheme="minorEastAsia" w:eastAsiaTheme="minorEastAsia"/>
                <w:b/>
                <w:bCs/>
                <w:color w:val="auto"/>
                <w:sz w:val="24"/>
                <w:szCs w:val="24"/>
                <w:highlight w:val="none"/>
              </w:rPr>
              <w:t>供应商对根据修正原则修正后的报价不确认的。</w:t>
            </w:r>
          </w:p>
        </w:tc>
      </w:tr>
      <w:tr w14:paraId="3E08B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tcBorders>
              <w:top w:val="single" w:color="auto" w:sz="4" w:space="0"/>
              <w:left w:val="single" w:color="000000" w:sz="8" w:space="0"/>
              <w:right w:val="single" w:color="000000" w:sz="2" w:space="0"/>
            </w:tcBorders>
            <w:vAlign w:val="center"/>
          </w:tcPr>
          <w:p w14:paraId="2572630B">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6F4D7820">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中小企业信用融资</w:t>
            </w:r>
          </w:p>
        </w:tc>
        <w:tc>
          <w:tcPr>
            <w:tcW w:w="6877" w:type="dxa"/>
            <w:tcBorders>
              <w:top w:val="single" w:color="000000" w:sz="8" w:space="0"/>
              <w:left w:val="single" w:color="000000" w:sz="2" w:space="0"/>
              <w:right w:val="single" w:color="000000" w:sz="8" w:space="0"/>
            </w:tcBorders>
            <w:vAlign w:val="center"/>
          </w:tcPr>
          <w:p w14:paraId="047B9D4A">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snapToGrid w:val="0"/>
                <w:color w:val="auto"/>
                <w:kern w:val="28"/>
                <w:sz w:val="24"/>
                <w:szCs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3682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2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6546D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C09192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FF0000"/>
                <w:sz w:val="24"/>
                <w:szCs w:val="24"/>
                <w:highlight w:val="none"/>
              </w:rPr>
            </w:pPr>
            <w:r>
              <w:rPr>
                <w:rFonts w:hint="eastAsia" w:cs="宋体" w:asciiTheme="minorEastAsia" w:hAnsiTheme="minorEastAsia" w:eastAsiaTheme="minorEastAsia"/>
                <w:b/>
                <w:color w:val="auto"/>
                <w:sz w:val="24"/>
                <w:szCs w:val="24"/>
                <w:highlight w:val="none"/>
              </w:rPr>
              <w:t xml:space="preserve">备份响应文件送达地点和签收人员 </w:t>
            </w:r>
          </w:p>
        </w:tc>
        <w:tc>
          <w:tcPr>
            <w:tcW w:w="6877" w:type="dxa"/>
            <w:tcBorders>
              <w:top w:val="single" w:color="000000" w:sz="8" w:space="0"/>
              <w:left w:val="single" w:color="000000" w:sz="2" w:space="0"/>
              <w:bottom w:val="single" w:color="000000" w:sz="8" w:space="0"/>
              <w:right w:val="single" w:color="000000" w:sz="8" w:space="0"/>
            </w:tcBorders>
            <w:vAlign w:val="center"/>
          </w:tcPr>
          <w:p w14:paraId="56A9A9AD">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kern w:val="28"/>
                <w:sz w:val="24"/>
                <w:szCs w:val="24"/>
                <w:highlight w:val="none"/>
                <w:lang w:eastAsia="zh-CN"/>
              </w:rPr>
            </w:pPr>
            <w:r>
              <w:rPr>
                <w:rFonts w:hint="default" w:cs="宋体" w:asciiTheme="minorEastAsia" w:hAnsiTheme="minorEastAsia" w:eastAsiaTheme="minorEastAsia"/>
                <w:color w:val="auto"/>
                <w:kern w:val="28"/>
                <w:sz w:val="24"/>
                <w:szCs w:val="24"/>
                <w:highlight w:val="none"/>
              </w:rPr>
              <w:t>供应商可以准备U盘存储的电子备份响应文件1份，按政府采购云平台要求制作的电子备份响应文件，以用于异常情况处理</w:t>
            </w:r>
            <w:r>
              <w:rPr>
                <w:rFonts w:hint="eastAsia" w:cs="宋体" w:asciiTheme="minorEastAsia" w:hAnsiTheme="minorEastAsia" w:eastAsiaTheme="minorEastAsia"/>
                <w:color w:val="auto"/>
                <w:kern w:val="28"/>
                <w:sz w:val="24"/>
                <w:szCs w:val="24"/>
                <w:highlight w:val="none"/>
                <w:lang w:eastAsia="zh-CN"/>
              </w:rPr>
              <w:t>。</w:t>
            </w:r>
          </w:p>
          <w:p w14:paraId="751D62A3">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28"/>
                <w:sz w:val="24"/>
                <w:szCs w:val="24"/>
                <w:highlight w:val="none"/>
              </w:rPr>
            </w:pPr>
            <w:r>
              <w:rPr>
                <w:rFonts w:hint="default" w:cs="宋体" w:asciiTheme="minorEastAsia" w:hAnsiTheme="minorEastAsia" w:eastAsiaTheme="minorEastAsia"/>
                <w:color w:val="auto"/>
                <w:kern w:val="28"/>
                <w:sz w:val="24"/>
                <w:szCs w:val="24"/>
                <w:highlight w:val="none"/>
              </w:rPr>
              <w:t>如提供备份响应文件的，应于响应文件提交（上传）截止时间前，将以U盘存储的电子备份响应文件密封，递交至</w:t>
            </w:r>
            <w:r>
              <w:rPr>
                <w:rFonts w:hint="default" w:cs="宋体" w:asciiTheme="minorEastAsia" w:hAnsiTheme="minorEastAsia" w:eastAsiaTheme="minorEastAsia"/>
                <w:color w:val="auto"/>
                <w:kern w:val="28"/>
                <w:sz w:val="24"/>
                <w:szCs w:val="24"/>
                <w:highlight w:val="none"/>
                <w:lang w:val="en-US" w:eastAsia="zh-CN"/>
              </w:rPr>
              <w:t>宁海县</w:t>
            </w:r>
            <w:r>
              <w:rPr>
                <w:rFonts w:hint="default" w:cs="宋体" w:asciiTheme="minorEastAsia" w:hAnsiTheme="minorEastAsia" w:eastAsiaTheme="minorEastAsia"/>
                <w:color w:val="auto"/>
                <w:kern w:val="28"/>
                <w:sz w:val="24"/>
                <w:szCs w:val="24"/>
                <w:highlight w:val="none"/>
                <w:lang w:eastAsia="zh-CN"/>
              </w:rPr>
              <w:t>公共资源交易中心</w:t>
            </w:r>
            <w:r>
              <w:rPr>
                <w:rFonts w:hint="default" w:cs="宋体" w:asciiTheme="minorEastAsia" w:hAnsiTheme="minorEastAsia" w:eastAsiaTheme="minorEastAsia"/>
                <w:color w:val="auto"/>
                <w:kern w:val="28"/>
                <w:sz w:val="24"/>
                <w:szCs w:val="24"/>
                <w:highlight w:val="none"/>
              </w:rPr>
              <w:t>，逾期送达或未密封将予以拒收。</w:t>
            </w:r>
          </w:p>
          <w:p w14:paraId="7C7D6901">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b/>
                <w:bCs/>
                <w:color w:val="auto"/>
                <w:kern w:val="28"/>
                <w:sz w:val="24"/>
                <w:szCs w:val="24"/>
                <w:highlight w:val="none"/>
              </w:rPr>
            </w:pPr>
            <w:r>
              <w:rPr>
                <w:rFonts w:hint="default" w:cs="宋体" w:asciiTheme="minorEastAsia" w:hAnsiTheme="minorEastAsia" w:eastAsiaTheme="minorEastAsia"/>
                <w:b/>
                <w:bCs/>
                <w:color w:val="auto"/>
                <w:kern w:val="28"/>
                <w:sz w:val="24"/>
                <w:szCs w:val="24"/>
                <w:highlight w:val="none"/>
              </w:rPr>
              <w:t>供应商可采用邮寄（含快递）方式递交备份响应文件。</w:t>
            </w:r>
          </w:p>
          <w:p w14:paraId="0B1CD3B9">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28"/>
                <w:sz w:val="24"/>
                <w:szCs w:val="24"/>
                <w:highlight w:val="none"/>
              </w:rPr>
            </w:pPr>
            <w:r>
              <w:rPr>
                <w:rFonts w:hint="default" w:cs="宋体" w:asciiTheme="minorEastAsia" w:hAnsiTheme="minorEastAsia" w:eastAsiaTheme="minorEastAsia"/>
                <w:color w:val="auto"/>
                <w:kern w:val="28"/>
                <w:sz w:val="24"/>
                <w:szCs w:val="24"/>
                <w:highlight w:val="none"/>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1F077A66">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28"/>
                <w:sz w:val="24"/>
                <w:szCs w:val="24"/>
                <w:highlight w:val="none"/>
                <w:lang w:eastAsia="zh-CN"/>
              </w:rPr>
            </w:pPr>
            <w:r>
              <w:rPr>
                <w:rFonts w:hint="default" w:cs="宋体" w:asciiTheme="minorEastAsia" w:hAnsiTheme="minorEastAsia" w:eastAsiaTheme="minorEastAsia"/>
                <w:color w:val="auto"/>
                <w:kern w:val="28"/>
                <w:sz w:val="24"/>
                <w:szCs w:val="24"/>
                <w:highlight w:val="none"/>
              </w:rPr>
              <w:t>以快递方式递交备份响应文件的</w:t>
            </w:r>
            <w:r>
              <w:rPr>
                <w:rFonts w:hint="default" w:cs="宋体" w:asciiTheme="minorEastAsia" w:hAnsiTheme="minorEastAsia" w:eastAsiaTheme="minorEastAsia"/>
                <w:color w:val="auto"/>
                <w:kern w:val="28"/>
                <w:sz w:val="24"/>
                <w:szCs w:val="24"/>
                <w:highlight w:val="none"/>
                <w:lang w:eastAsia="zh-CN"/>
              </w:rPr>
              <w:t>：</w:t>
            </w:r>
          </w:p>
          <w:p w14:paraId="7F9AB236">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28"/>
                <w:sz w:val="24"/>
                <w:szCs w:val="24"/>
                <w:highlight w:val="none"/>
                <w:lang w:val="en-US" w:eastAsia="zh-CN"/>
              </w:rPr>
            </w:pPr>
            <w:r>
              <w:rPr>
                <w:rFonts w:hint="default" w:cs="宋体" w:asciiTheme="minorEastAsia" w:hAnsiTheme="minorEastAsia" w:eastAsiaTheme="minorEastAsia"/>
                <w:color w:val="auto"/>
                <w:kern w:val="28"/>
                <w:sz w:val="24"/>
                <w:szCs w:val="24"/>
                <w:highlight w:val="none"/>
              </w:rPr>
              <w:t>备份响应文件送达截止时间</w:t>
            </w:r>
            <w:r>
              <w:rPr>
                <w:rFonts w:hint="default" w:cs="宋体" w:asciiTheme="minorEastAsia" w:hAnsiTheme="minorEastAsia" w:eastAsiaTheme="minorEastAsia"/>
                <w:color w:val="auto"/>
                <w:kern w:val="28"/>
                <w:sz w:val="24"/>
                <w:szCs w:val="24"/>
                <w:highlight w:val="none"/>
                <w:lang w:eastAsia="zh-CN"/>
              </w:rPr>
              <w:t>：</w:t>
            </w:r>
            <w:r>
              <w:rPr>
                <w:rFonts w:hint="default" w:cs="宋体" w:asciiTheme="minorEastAsia" w:hAnsiTheme="minorEastAsia" w:eastAsiaTheme="minorEastAsia"/>
                <w:color w:val="auto"/>
                <w:kern w:val="28"/>
                <w:sz w:val="24"/>
                <w:szCs w:val="24"/>
                <w:highlight w:val="none"/>
                <w:lang w:val="en-US" w:eastAsia="zh-CN"/>
              </w:rPr>
              <w:t>响应文件开启时间前一个工作日的16:00止。</w:t>
            </w:r>
          </w:p>
          <w:p w14:paraId="357D33CD">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28"/>
                <w:sz w:val="24"/>
                <w:szCs w:val="24"/>
                <w:highlight w:val="none"/>
              </w:rPr>
            </w:pPr>
            <w:r>
              <w:rPr>
                <w:rFonts w:hint="default" w:cs="宋体" w:asciiTheme="minorEastAsia" w:hAnsiTheme="minorEastAsia" w:eastAsiaTheme="minorEastAsia"/>
                <w:color w:val="auto"/>
                <w:kern w:val="28"/>
                <w:sz w:val="24"/>
                <w:szCs w:val="24"/>
                <w:highlight w:val="none"/>
              </w:rPr>
              <w:t xml:space="preserve">备份响应文件送达地点： </w:t>
            </w:r>
            <w:r>
              <w:rPr>
                <w:rFonts w:hint="default" w:cs="宋体" w:asciiTheme="minorEastAsia" w:hAnsiTheme="minorEastAsia" w:eastAsiaTheme="minorEastAsia"/>
                <w:color w:val="auto"/>
                <w:kern w:val="28"/>
                <w:sz w:val="24"/>
                <w:szCs w:val="24"/>
                <w:highlight w:val="none"/>
                <w:lang w:eastAsia="zh-CN"/>
              </w:rPr>
              <w:t>宁海县跃龙街道跃龙路21号</w:t>
            </w:r>
            <w:r>
              <w:rPr>
                <w:rFonts w:hint="default" w:cs="宋体" w:asciiTheme="minorEastAsia" w:hAnsiTheme="minorEastAsia" w:eastAsiaTheme="minorEastAsia"/>
                <w:color w:val="auto"/>
                <w:kern w:val="28"/>
                <w:sz w:val="24"/>
                <w:szCs w:val="24"/>
                <w:highlight w:val="none"/>
                <w:lang w:val="en-US" w:eastAsia="zh-CN"/>
              </w:rPr>
              <w:t>一楼</w:t>
            </w:r>
            <w:r>
              <w:rPr>
                <w:rFonts w:hint="default" w:cs="宋体" w:asciiTheme="minorEastAsia" w:hAnsiTheme="minorEastAsia" w:eastAsiaTheme="minorEastAsia"/>
                <w:color w:val="auto"/>
                <w:kern w:val="28"/>
                <w:sz w:val="24"/>
                <w:szCs w:val="24"/>
                <w:highlight w:val="none"/>
              </w:rPr>
              <w:t xml:space="preserve"> ；备份响应文件签收人员联系电话： </w:t>
            </w:r>
            <w:r>
              <w:rPr>
                <w:rFonts w:hint="default" w:cs="宋体" w:asciiTheme="minorEastAsia" w:hAnsiTheme="minorEastAsia" w:eastAsiaTheme="minorEastAsia"/>
                <w:color w:val="auto"/>
                <w:kern w:val="28"/>
                <w:sz w:val="24"/>
                <w:szCs w:val="24"/>
                <w:highlight w:val="none"/>
                <w:lang w:eastAsia="zh-CN"/>
              </w:rPr>
              <w:t>17757444602</w:t>
            </w:r>
            <w:r>
              <w:rPr>
                <w:rFonts w:hint="default" w:cs="宋体" w:asciiTheme="minorEastAsia" w:hAnsiTheme="minorEastAsia" w:eastAsiaTheme="minorEastAsia"/>
                <w:color w:val="auto"/>
                <w:kern w:val="28"/>
                <w:sz w:val="24"/>
                <w:szCs w:val="24"/>
                <w:highlight w:val="none"/>
              </w:rPr>
              <w:t xml:space="preserve"> 。</w:t>
            </w:r>
          </w:p>
          <w:p w14:paraId="64434698">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28"/>
                <w:sz w:val="24"/>
                <w:szCs w:val="24"/>
                <w:highlight w:val="none"/>
              </w:rPr>
            </w:pPr>
            <w:r>
              <w:rPr>
                <w:rFonts w:hint="default" w:cs="宋体" w:asciiTheme="minorEastAsia" w:hAnsiTheme="minorEastAsia" w:eastAsiaTheme="minorEastAsia"/>
                <w:color w:val="auto"/>
                <w:kern w:val="28"/>
                <w:sz w:val="24"/>
                <w:szCs w:val="24"/>
                <w:highlight w:val="none"/>
              </w:rPr>
              <w:t>请各供应商确保密封包装在邮寄过程密封包装完好，因邮寄过程的密封破损造成不符合开标要求的，本采购代理及采购人概不负责。</w:t>
            </w:r>
          </w:p>
          <w:p w14:paraId="0C61F041">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FF0000"/>
                <w:kern w:val="28"/>
                <w:sz w:val="24"/>
                <w:szCs w:val="24"/>
                <w:highlight w:val="none"/>
              </w:rPr>
            </w:pPr>
            <w:r>
              <w:rPr>
                <w:rFonts w:hint="default" w:cs="宋体" w:asciiTheme="minorEastAsia" w:hAnsiTheme="minorEastAsia" w:eastAsiaTheme="minorEastAsia"/>
                <w:b/>
                <w:bCs/>
                <w:color w:val="auto"/>
                <w:kern w:val="28"/>
                <w:sz w:val="24"/>
                <w:szCs w:val="24"/>
                <w:highlight w:val="none"/>
              </w:rPr>
              <w:t>采购人、</w:t>
            </w:r>
            <w:r>
              <w:rPr>
                <w:rFonts w:hint="default" w:cs="宋体" w:asciiTheme="minorEastAsia" w:hAnsiTheme="minorEastAsia" w:eastAsiaTheme="minorEastAsia"/>
                <w:b/>
                <w:bCs/>
                <w:color w:val="auto"/>
                <w:kern w:val="28"/>
                <w:sz w:val="24"/>
                <w:szCs w:val="24"/>
                <w:highlight w:val="none"/>
                <w:lang w:eastAsia="zh-CN"/>
              </w:rPr>
              <w:t>采购代理机构</w:t>
            </w:r>
            <w:r>
              <w:rPr>
                <w:rFonts w:hint="default" w:cs="宋体" w:asciiTheme="minorEastAsia" w:hAnsiTheme="minorEastAsia" w:eastAsiaTheme="minorEastAsia"/>
                <w:b/>
                <w:bCs/>
                <w:color w:val="auto"/>
                <w:kern w:val="28"/>
                <w:sz w:val="24"/>
                <w:szCs w:val="24"/>
                <w:highlight w:val="none"/>
              </w:rPr>
              <w:t>不强制或变相强制供应商提交备份响应文件。</w:t>
            </w:r>
          </w:p>
        </w:tc>
      </w:tr>
      <w:tr w14:paraId="08BB5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B80138">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rPr>
              <w:t>1</w:t>
            </w:r>
            <w:r>
              <w:rPr>
                <w:rFonts w:hint="eastAsia" w:cs="宋体" w:asciiTheme="minorEastAsia" w:hAnsiTheme="minorEastAsia" w:eastAsiaTheme="minorEastAsia"/>
                <w:color w:val="auto"/>
                <w:sz w:val="21"/>
                <w:szCs w:val="21"/>
                <w:highlight w:val="none"/>
                <w:lang w:val="en-US"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14:paraId="62C57B6F">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FF0000"/>
                <w:sz w:val="24"/>
                <w:szCs w:val="24"/>
                <w:highlight w:val="none"/>
              </w:rPr>
            </w:pPr>
            <w:r>
              <w:rPr>
                <w:rFonts w:hint="eastAsia" w:cs="宋体" w:asciiTheme="minorEastAsia" w:hAnsiTheme="minorEastAsia" w:eastAsiaTheme="minorEastAsia"/>
                <w:b/>
                <w:color w:val="auto"/>
                <w:sz w:val="24"/>
                <w:szCs w:val="24"/>
                <w:highlight w:val="none"/>
              </w:rPr>
              <w:t>代理服务费</w:t>
            </w:r>
          </w:p>
        </w:tc>
        <w:tc>
          <w:tcPr>
            <w:tcW w:w="6877" w:type="dxa"/>
            <w:tcBorders>
              <w:top w:val="single" w:color="auto" w:sz="4" w:space="0"/>
              <w:left w:val="single" w:color="auto" w:sz="4" w:space="0"/>
              <w:bottom w:val="single" w:color="auto" w:sz="4" w:space="0"/>
              <w:right w:val="single" w:color="auto" w:sz="4" w:space="0"/>
            </w:tcBorders>
            <w:vAlign w:val="center"/>
          </w:tcPr>
          <w:p w14:paraId="0C306FB7">
            <w:pPr>
              <w:keepNext w:val="0"/>
              <w:keepLines w:val="0"/>
              <w:suppressLineNumbers w:val="0"/>
              <w:spacing w:before="0" w:beforeAutospacing="0" w:after="0" w:afterAutospacing="0" w:line="360" w:lineRule="auto"/>
              <w:ind w:left="0" w:right="0"/>
              <w:rPr>
                <w:rFonts w:hint="default" w:cs="Arial" w:asciiTheme="minorEastAsia" w:hAnsiTheme="minorEastAsia" w:eastAsiaTheme="minorEastAsia"/>
                <w:color w:val="auto"/>
                <w:kern w:val="0"/>
                <w:sz w:val="24"/>
                <w:szCs w:val="24"/>
                <w:highlight w:val="none"/>
              </w:rPr>
            </w:pPr>
            <w:r>
              <w:rPr>
                <w:rFonts w:hint="default" w:cs="Arial" w:asciiTheme="minorEastAsia" w:hAnsiTheme="minorEastAsia" w:eastAsiaTheme="minorEastAsia"/>
                <w:color w:val="auto"/>
                <w:kern w:val="0"/>
                <w:sz w:val="24"/>
                <w:szCs w:val="24"/>
                <w:highlight w:val="none"/>
                <w:lang w:val="en-US" w:eastAsia="zh-CN"/>
              </w:rPr>
              <w:t>招标</w:t>
            </w:r>
            <w:r>
              <w:rPr>
                <w:rFonts w:hint="default" w:cs="Arial" w:asciiTheme="minorEastAsia" w:hAnsiTheme="minorEastAsia" w:eastAsiaTheme="minorEastAsia"/>
                <w:color w:val="auto"/>
                <w:kern w:val="0"/>
                <w:sz w:val="24"/>
                <w:szCs w:val="24"/>
                <w:highlight w:val="none"/>
              </w:rPr>
              <w:t>代理公司向</w:t>
            </w:r>
            <w:r>
              <w:rPr>
                <w:rFonts w:hint="default" w:cs="Arial" w:asciiTheme="minorEastAsia" w:hAnsiTheme="minorEastAsia" w:eastAsiaTheme="minorEastAsia"/>
                <w:color w:val="auto"/>
                <w:kern w:val="0"/>
                <w:sz w:val="24"/>
                <w:szCs w:val="24"/>
                <w:highlight w:val="none"/>
                <w:lang w:val="en-US" w:eastAsia="zh-CN"/>
              </w:rPr>
              <w:t>招标人</w:t>
            </w:r>
            <w:r>
              <w:rPr>
                <w:rFonts w:hint="default" w:cs="Arial" w:asciiTheme="minorEastAsia" w:hAnsiTheme="minorEastAsia" w:eastAsiaTheme="minorEastAsia"/>
                <w:color w:val="auto"/>
                <w:kern w:val="0"/>
                <w:sz w:val="24"/>
                <w:szCs w:val="24"/>
                <w:highlight w:val="none"/>
              </w:rPr>
              <w:t>收取</w:t>
            </w:r>
            <w:r>
              <w:rPr>
                <w:rFonts w:hint="default" w:cs="Arial" w:asciiTheme="minorEastAsia" w:hAnsiTheme="minorEastAsia" w:eastAsiaTheme="minorEastAsia"/>
                <w:color w:val="auto"/>
                <w:kern w:val="0"/>
                <w:sz w:val="24"/>
                <w:szCs w:val="24"/>
                <w:highlight w:val="none"/>
                <w:lang w:val="en-US" w:eastAsia="zh-CN"/>
              </w:rPr>
              <w:t>招标</w:t>
            </w:r>
            <w:r>
              <w:rPr>
                <w:rFonts w:hint="default" w:cs="Arial" w:asciiTheme="minorEastAsia" w:hAnsiTheme="minorEastAsia" w:eastAsiaTheme="minorEastAsia"/>
                <w:color w:val="auto"/>
                <w:kern w:val="0"/>
                <w:sz w:val="24"/>
                <w:szCs w:val="24"/>
                <w:highlight w:val="none"/>
              </w:rPr>
              <w:t>代理服务费：参照原国家发改委发改办价格[2003]857号通知和原国家计委计价格[2002]1980号文件；招标代理机构按照</w:t>
            </w:r>
            <w:r>
              <w:rPr>
                <w:rFonts w:hint="default" w:cs="Arial" w:asciiTheme="minorEastAsia" w:hAnsiTheme="minorEastAsia" w:eastAsiaTheme="minorEastAsia"/>
                <w:color w:val="auto"/>
                <w:kern w:val="0"/>
                <w:sz w:val="24"/>
                <w:szCs w:val="24"/>
                <w:highlight w:val="none"/>
                <w:lang w:val="en-US" w:eastAsia="zh-CN"/>
              </w:rPr>
              <w:t>成交</w:t>
            </w:r>
            <w:r>
              <w:rPr>
                <w:rFonts w:hint="default" w:cs="Arial" w:asciiTheme="minorEastAsia" w:hAnsiTheme="minorEastAsia" w:eastAsiaTheme="minorEastAsia"/>
                <w:color w:val="auto"/>
                <w:kern w:val="0"/>
                <w:sz w:val="24"/>
                <w:szCs w:val="24"/>
                <w:highlight w:val="none"/>
              </w:rPr>
              <w:t>金额，根据以下表格</w:t>
            </w:r>
            <w:r>
              <w:rPr>
                <w:rFonts w:hint="default" w:cs="Arial" w:asciiTheme="minorEastAsia" w:hAnsiTheme="minorEastAsia" w:eastAsiaTheme="minorEastAsia"/>
                <w:color w:val="auto"/>
                <w:kern w:val="0"/>
                <w:sz w:val="24"/>
                <w:szCs w:val="24"/>
                <w:highlight w:val="none"/>
                <w:lang w:val="en-US" w:eastAsia="zh-CN"/>
              </w:rPr>
              <w:t>服务</w:t>
            </w:r>
            <w:r>
              <w:rPr>
                <w:rFonts w:hint="default" w:cs="Arial" w:asciiTheme="minorEastAsia" w:hAnsiTheme="minorEastAsia" w:eastAsiaTheme="minorEastAsia"/>
                <w:color w:val="auto"/>
                <w:kern w:val="0"/>
                <w:sz w:val="24"/>
                <w:szCs w:val="24"/>
                <w:highlight w:val="none"/>
              </w:rPr>
              <w:t>招标标准（按差额定率累进法计算）</w:t>
            </w:r>
            <w:r>
              <w:rPr>
                <w:rFonts w:hint="default" w:cs="Arial" w:asciiTheme="minorEastAsia" w:hAnsiTheme="minorEastAsia" w:eastAsiaTheme="minorEastAsia"/>
                <w:color w:val="auto"/>
                <w:kern w:val="0"/>
                <w:sz w:val="24"/>
                <w:szCs w:val="24"/>
                <w:highlight w:val="none"/>
                <w:lang w:val="en-US" w:eastAsia="zh-CN"/>
              </w:rPr>
              <w:t>向成交</w:t>
            </w:r>
            <w:r>
              <w:rPr>
                <w:rFonts w:hint="default" w:cs="Arial" w:asciiTheme="minorEastAsia" w:hAnsiTheme="minorEastAsia" w:eastAsiaTheme="minorEastAsia"/>
                <w:color w:val="auto"/>
                <w:kern w:val="0"/>
                <w:sz w:val="24"/>
                <w:szCs w:val="24"/>
                <w:highlight w:val="none"/>
              </w:rPr>
              <w:t>人收取招标代理服务费。</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3779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4380DB0F">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p>
                <w:p w14:paraId="05875756">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金额</w:t>
                  </w:r>
                </w:p>
                <w:p w14:paraId="42B0D80D">
                  <w:pPr>
                    <w:keepNext w:val="0"/>
                    <w:keepLines w:val="0"/>
                    <w:suppressLineNumbers w:val="0"/>
                    <w:spacing w:before="0" w:beforeAutospacing="0" w:after="0" w:afterAutospacing="0" w:line="360" w:lineRule="auto"/>
                    <w:ind w:left="0" w:right="0"/>
                    <w:jc w:val="both"/>
                    <mc:AlternateContent>
                      <mc:Choice Requires="wpsCustomData">
                        <wpsCustomData:diagonalParaType/>
                      </mc:Choice>
                    </mc:AlternateConten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p w14:paraId="21328B09">
                  <w:pPr>
                    <w:keepNext w:val="0"/>
                    <w:keepLines w:val="0"/>
                    <w:suppressLineNumbers w:val="0"/>
                    <w:spacing w:before="0" w:beforeAutospacing="0" w:after="0" w:afterAutospacing="0" w:line="360" w:lineRule="auto"/>
                    <w:ind w:left="0" w:right="0"/>
                    <w:jc w:val="both"/>
                    <mc:AlternateContent>
                      <mc:Choice Requires="wpsCustomData">
                        <wpsCustomData:diagonalParaType/>
                      </mc:Choice>
                    </mc:AlternateConten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费率</w:t>
                  </w:r>
                </w:p>
                <w:p w14:paraId="746521FE">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服务类型</w:t>
                  </w:r>
                </w:p>
              </w:tc>
              <w:tc>
                <w:tcPr>
                  <w:tcW w:w="832" w:type="dxa"/>
                  <w:noWrap w:val="0"/>
                  <w:tcMar>
                    <w:top w:w="30" w:type="dxa"/>
                    <w:left w:w="150" w:type="dxa"/>
                    <w:bottom w:w="30" w:type="dxa"/>
                    <w:right w:w="150" w:type="dxa"/>
                  </w:tcMar>
                  <w:vAlign w:val="center"/>
                </w:tcPr>
                <w:p w14:paraId="5F9A43F1">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w:t>
                  </w:r>
                </w:p>
                <w:p w14:paraId="2ED22974">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59" w:type="dxa"/>
                  <w:noWrap w:val="0"/>
                  <w:tcMar>
                    <w:top w:w="30" w:type="dxa"/>
                    <w:left w:w="150" w:type="dxa"/>
                    <w:bottom w:w="30" w:type="dxa"/>
                    <w:right w:w="150" w:type="dxa"/>
                  </w:tcMar>
                  <w:vAlign w:val="center"/>
                </w:tcPr>
                <w:p w14:paraId="412DEFBE">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w:t>
                  </w:r>
                </w:p>
                <w:p w14:paraId="6200648F">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38" w:type="dxa"/>
                  <w:noWrap w:val="0"/>
                  <w:tcMar>
                    <w:top w:w="30" w:type="dxa"/>
                    <w:left w:w="150" w:type="dxa"/>
                    <w:bottom w:w="30" w:type="dxa"/>
                    <w:right w:w="150" w:type="dxa"/>
                  </w:tcMar>
                  <w:vAlign w:val="center"/>
                </w:tcPr>
                <w:p w14:paraId="547D8A34">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w:t>
                  </w:r>
                </w:p>
                <w:p w14:paraId="586AEE36">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r>
            <w:tr w14:paraId="1B08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15E24403">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100以下</w:t>
                  </w:r>
                </w:p>
              </w:tc>
              <w:tc>
                <w:tcPr>
                  <w:tcW w:w="832" w:type="dxa"/>
                  <w:noWrap w:val="0"/>
                  <w:tcMar>
                    <w:top w:w="30" w:type="dxa"/>
                    <w:left w:w="150" w:type="dxa"/>
                    <w:bottom w:w="30" w:type="dxa"/>
                    <w:right w:w="150" w:type="dxa"/>
                  </w:tcMar>
                  <w:vAlign w:val="center"/>
                </w:tcPr>
                <w:p w14:paraId="23E97F8D">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59" w:type="dxa"/>
                  <w:noWrap w:val="0"/>
                  <w:tcMar>
                    <w:top w:w="30" w:type="dxa"/>
                    <w:left w:w="150" w:type="dxa"/>
                    <w:bottom w:w="30" w:type="dxa"/>
                    <w:right w:w="150" w:type="dxa"/>
                  </w:tcMar>
                  <w:vAlign w:val="center"/>
                </w:tcPr>
                <w:p w14:paraId="5100A6E6">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38" w:type="dxa"/>
                  <w:noWrap w:val="0"/>
                  <w:tcMar>
                    <w:top w:w="30" w:type="dxa"/>
                    <w:left w:w="150" w:type="dxa"/>
                    <w:bottom w:w="30" w:type="dxa"/>
                    <w:right w:w="150" w:type="dxa"/>
                  </w:tcMar>
                  <w:vAlign w:val="center"/>
                </w:tcPr>
                <w:p w14:paraId="16FC0A4F">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6571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5FF8A042">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100-500</w:t>
                  </w:r>
                </w:p>
              </w:tc>
              <w:tc>
                <w:tcPr>
                  <w:tcW w:w="832" w:type="dxa"/>
                  <w:noWrap w:val="0"/>
                  <w:tcMar>
                    <w:top w:w="30" w:type="dxa"/>
                    <w:left w:w="150" w:type="dxa"/>
                    <w:bottom w:w="30" w:type="dxa"/>
                    <w:right w:w="150" w:type="dxa"/>
                  </w:tcMar>
                  <w:vAlign w:val="center"/>
                </w:tcPr>
                <w:p w14:paraId="5609AC2C">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859" w:type="dxa"/>
                  <w:noWrap w:val="0"/>
                  <w:tcMar>
                    <w:top w:w="30" w:type="dxa"/>
                    <w:left w:w="150" w:type="dxa"/>
                    <w:bottom w:w="30" w:type="dxa"/>
                    <w:right w:w="150" w:type="dxa"/>
                  </w:tcMar>
                  <w:vAlign w:val="center"/>
                </w:tcPr>
                <w:p w14:paraId="22E6ABE0">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38" w:type="dxa"/>
                  <w:noWrap w:val="0"/>
                  <w:tcMar>
                    <w:top w:w="30" w:type="dxa"/>
                    <w:left w:w="150" w:type="dxa"/>
                    <w:bottom w:w="30" w:type="dxa"/>
                    <w:right w:w="150" w:type="dxa"/>
                  </w:tcMar>
                  <w:vAlign w:val="center"/>
                </w:tcPr>
                <w:p w14:paraId="3D5451C6">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0.7%</w:t>
                  </w:r>
                </w:p>
              </w:tc>
            </w:tr>
            <w:tr w14:paraId="5A5B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1E42FE3E">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500-1000</w:t>
                  </w:r>
                </w:p>
              </w:tc>
              <w:tc>
                <w:tcPr>
                  <w:tcW w:w="832" w:type="dxa"/>
                  <w:noWrap w:val="0"/>
                  <w:tcMar>
                    <w:top w:w="30" w:type="dxa"/>
                    <w:left w:w="150" w:type="dxa"/>
                    <w:bottom w:w="30" w:type="dxa"/>
                    <w:right w:w="150" w:type="dxa"/>
                  </w:tcMar>
                  <w:vAlign w:val="center"/>
                </w:tcPr>
                <w:p w14:paraId="259894B0">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59" w:type="dxa"/>
                  <w:noWrap w:val="0"/>
                  <w:tcMar>
                    <w:top w:w="30" w:type="dxa"/>
                    <w:left w:w="150" w:type="dxa"/>
                    <w:bottom w:w="30" w:type="dxa"/>
                    <w:right w:w="150" w:type="dxa"/>
                  </w:tcMar>
                  <w:vAlign w:val="center"/>
                </w:tcPr>
                <w:p w14:paraId="199CD305">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0.45%</w:t>
                  </w:r>
                </w:p>
              </w:tc>
              <w:tc>
                <w:tcPr>
                  <w:tcW w:w="838" w:type="dxa"/>
                  <w:noWrap w:val="0"/>
                  <w:tcMar>
                    <w:top w:w="30" w:type="dxa"/>
                    <w:left w:w="150" w:type="dxa"/>
                    <w:bottom w:w="30" w:type="dxa"/>
                    <w:right w:w="150" w:type="dxa"/>
                  </w:tcMar>
                  <w:vAlign w:val="center"/>
                </w:tcPr>
                <w:p w14:paraId="040ED618">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0.55%</w:t>
                  </w:r>
                </w:p>
              </w:tc>
            </w:tr>
            <w:tr w14:paraId="4B04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0C1A5D89">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1000-5000</w:t>
                  </w:r>
                </w:p>
              </w:tc>
              <w:tc>
                <w:tcPr>
                  <w:tcW w:w="832" w:type="dxa"/>
                  <w:noWrap w:val="0"/>
                  <w:tcMar>
                    <w:top w:w="30" w:type="dxa"/>
                    <w:left w:w="150" w:type="dxa"/>
                    <w:bottom w:w="30" w:type="dxa"/>
                    <w:right w:w="150" w:type="dxa"/>
                  </w:tcMar>
                  <w:vAlign w:val="center"/>
                </w:tcPr>
                <w:p w14:paraId="41D1CD50">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w:t>
                  </w:r>
                </w:p>
              </w:tc>
              <w:tc>
                <w:tcPr>
                  <w:tcW w:w="859" w:type="dxa"/>
                  <w:noWrap w:val="0"/>
                  <w:tcMar>
                    <w:top w:w="30" w:type="dxa"/>
                    <w:left w:w="150" w:type="dxa"/>
                    <w:bottom w:w="30" w:type="dxa"/>
                    <w:right w:w="150" w:type="dxa"/>
                  </w:tcMar>
                  <w:vAlign w:val="center"/>
                </w:tcPr>
                <w:p w14:paraId="7B74C572">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38" w:type="dxa"/>
                  <w:noWrap w:val="0"/>
                  <w:tcMar>
                    <w:top w:w="30" w:type="dxa"/>
                    <w:left w:w="150" w:type="dxa"/>
                    <w:bottom w:w="30" w:type="dxa"/>
                    <w:right w:w="150" w:type="dxa"/>
                  </w:tcMar>
                  <w:vAlign w:val="center"/>
                </w:tcPr>
                <w:p w14:paraId="3239A15B">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0.35%</w:t>
                  </w:r>
                </w:p>
              </w:tc>
            </w:tr>
            <w:tr w14:paraId="0DE5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4C4D6AA6">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5000-10000</w:t>
                  </w:r>
                </w:p>
              </w:tc>
              <w:tc>
                <w:tcPr>
                  <w:tcW w:w="832" w:type="dxa"/>
                  <w:noWrap w:val="0"/>
                  <w:tcMar>
                    <w:top w:w="30" w:type="dxa"/>
                    <w:left w:w="150" w:type="dxa"/>
                    <w:bottom w:w="30" w:type="dxa"/>
                    <w:right w:w="150" w:type="dxa"/>
                  </w:tcMar>
                  <w:vAlign w:val="center"/>
                </w:tcPr>
                <w:p w14:paraId="77D13B82">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59" w:type="dxa"/>
                  <w:noWrap w:val="0"/>
                  <w:tcMar>
                    <w:top w:w="30" w:type="dxa"/>
                    <w:left w:w="150" w:type="dxa"/>
                    <w:bottom w:w="30" w:type="dxa"/>
                    <w:right w:w="150" w:type="dxa"/>
                  </w:tcMar>
                  <w:vAlign w:val="center"/>
                </w:tcPr>
                <w:p w14:paraId="0DF68147">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w:t>
                  </w:r>
                </w:p>
              </w:tc>
              <w:tc>
                <w:tcPr>
                  <w:tcW w:w="838" w:type="dxa"/>
                  <w:noWrap w:val="0"/>
                  <w:tcMar>
                    <w:top w:w="30" w:type="dxa"/>
                    <w:left w:w="150" w:type="dxa"/>
                    <w:bottom w:w="30" w:type="dxa"/>
                    <w:right w:w="150" w:type="dxa"/>
                  </w:tcMar>
                  <w:vAlign w:val="center"/>
                </w:tcPr>
                <w:p w14:paraId="79F4CE1A">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w:t>
                  </w:r>
                </w:p>
              </w:tc>
            </w:tr>
            <w:tr w14:paraId="4782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noWrap w:val="0"/>
                  <w:tcMar>
                    <w:top w:w="30" w:type="dxa"/>
                    <w:left w:w="150" w:type="dxa"/>
                    <w:bottom w:w="30" w:type="dxa"/>
                    <w:right w:w="150" w:type="dxa"/>
                  </w:tcMar>
                  <w:vAlign w:val="center"/>
                </w:tcPr>
                <w:p w14:paraId="59720B85">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1亿～5亿</w:t>
                  </w:r>
                </w:p>
              </w:tc>
              <w:tc>
                <w:tcPr>
                  <w:tcW w:w="832" w:type="dxa"/>
                  <w:noWrap w:val="0"/>
                  <w:tcMar>
                    <w:top w:w="30" w:type="dxa"/>
                    <w:left w:w="150" w:type="dxa"/>
                    <w:bottom w:w="30" w:type="dxa"/>
                    <w:right w:w="150" w:type="dxa"/>
                  </w:tcMar>
                  <w:vAlign w:val="center"/>
                </w:tcPr>
                <w:p w14:paraId="41362025">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59" w:type="dxa"/>
                  <w:noWrap w:val="0"/>
                  <w:tcMar>
                    <w:top w:w="30" w:type="dxa"/>
                    <w:left w:w="150" w:type="dxa"/>
                    <w:bottom w:w="30" w:type="dxa"/>
                    <w:right w:w="150" w:type="dxa"/>
                  </w:tcMar>
                  <w:vAlign w:val="center"/>
                </w:tcPr>
                <w:p w14:paraId="6ACC862B">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38" w:type="dxa"/>
                  <w:noWrap w:val="0"/>
                  <w:tcMar>
                    <w:top w:w="30" w:type="dxa"/>
                    <w:left w:w="150" w:type="dxa"/>
                    <w:bottom w:w="30" w:type="dxa"/>
                    <w:right w:w="150" w:type="dxa"/>
                  </w:tcMar>
                  <w:vAlign w:val="center"/>
                </w:tcPr>
                <w:p w14:paraId="78E058ED">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r>
          </w:tbl>
          <w:p w14:paraId="51499689">
            <w:pPr>
              <w:keepNext w:val="0"/>
              <w:keepLines w:val="0"/>
              <w:suppressLineNumbers w:val="0"/>
              <w:spacing w:before="0" w:beforeAutospacing="0" w:after="0" w:afterAutospacing="0" w:line="360" w:lineRule="auto"/>
              <w:ind w:left="0" w:right="0"/>
              <w:rPr>
                <w:rFonts w:hint="default" w:cs="Arial" w:asciiTheme="minorEastAsia" w:hAnsiTheme="minorEastAsia" w:eastAsiaTheme="minorEastAsia"/>
                <w:color w:val="auto"/>
                <w:kern w:val="0"/>
                <w:sz w:val="24"/>
                <w:szCs w:val="24"/>
                <w:highlight w:val="none"/>
              </w:rPr>
            </w:pPr>
            <w:r>
              <w:rPr>
                <w:rFonts w:hint="default" w:cs="Arial" w:asciiTheme="minorEastAsia" w:hAnsiTheme="minorEastAsia" w:eastAsiaTheme="minorEastAsia"/>
                <w:color w:val="auto"/>
                <w:kern w:val="0"/>
                <w:sz w:val="24"/>
                <w:szCs w:val="24"/>
                <w:highlight w:val="none"/>
              </w:rPr>
              <w:t>关于本次采购的服务费汇入以下账户：</w:t>
            </w:r>
          </w:p>
          <w:p w14:paraId="18DE832A">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开户银行：中国建设银行宁海支行</w:t>
            </w:r>
          </w:p>
          <w:p w14:paraId="24E69DE0">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lang w:eastAsia="zh-CN"/>
              </w:rPr>
              <w:t xml:space="preserve">账   </w:t>
            </w:r>
            <w:r>
              <w:rPr>
                <w:rFonts w:hint="eastAsia" w:cs="Arial" w:asciiTheme="minorEastAsia" w:hAnsiTheme="minorEastAsia" w:eastAsiaTheme="minorEastAsia"/>
                <w:color w:val="auto"/>
                <w:kern w:val="0"/>
                <w:sz w:val="24"/>
                <w:szCs w:val="24"/>
                <w:highlight w:val="none"/>
              </w:rPr>
              <w:t xml:space="preserve"> 号：33150199543600002006</w:t>
            </w:r>
          </w:p>
          <w:p w14:paraId="232387F0">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4"/>
                <w:szCs w:val="24"/>
                <w:highlight w:val="none"/>
                <w:lang w:eastAsia="zh-CN"/>
              </w:rPr>
            </w:pPr>
            <w:r>
              <w:rPr>
                <w:rFonts w:hint="eastAsia" w:cs="Arial" w:asciiTheme="minorEastAsia" w:hAnsiTheme="minorEastAsia" w:eastAsiaTheme="minorEastAsia"/>
                <w:color w:val="auto"/>
                <w:kern w:val="0"/>
                <w:sz w:val="24"/>
                <w:szCs w:val="24"/>
                <w:highlight w:val="none"/>
              </w:rPr>
              <w:t>户    名：</w:t>
            </w:r>
            <w:r>
              <w:rPr>
                <w:rFonts w:hint="eastAsia" w:cs="Arial" w:asciiTheme="minorEastAsia" w:hAnsiTheme="minorEastAsia" w:eastAsiaTheme="minorEastAsia"/>
                <w:color w:val="auto"/>
                <w:kern w:val="0"/>
                <w:sz w:val="24"/>
                <w:szCs w:val="24"/>
                <w:highlight w:val="none"/>
                <w:lang w:eastAsia="zh-CN"/>
              </w:rPr>
              <w:t>浙江信望工程咨询有限公司宁海分公司</w:t>
            </w:r>
          </w:p>
          <w:p w14:paraId="7442EA41">
            <w:pPr>
              <w:keepNext w:val="0"/>
              <w:keepLines w:val="0"/>
              <w:suppressLineNumbers w:val="0"/>
              <w:spacing w:before="0" w:beforeAutospacing="0" w:after="0" w:afterAutospacing="0" w:line="360" w:lineRule="auto"/>
              <w:ind w:left="0" w:right="0"/>
              <w:rPr>
                <w:rFonts w:hint="default" w:cs="Arial" w:asciiTheme="minorEastAsia" w:hAnsiTheme="minorEastAsia" w:eastAsiaTheme="minorEastAsia"/>
                <w:color w:val="FF0000"/>
                <w:kern w:val="0"/>
                <w:sz w:val="24"/>
                <w:szCs w:val="24"/>
                <w:highlight w:val="none"/>
              </w:rPr>
            </w:pPr>
            <w:r>
              <w:rPr>
                <w:rFonts w:hint="default" w:cs="Arial" w:asciiTheme="minorEastAsia" w:hAnsiTheme="minorEastAsia" w:eastAsiaTheme="minorEastAsia"/>
                <w:color w:val="auto"/>
                <w:kern w:val="0"/>
                <w:sz w:val="24"/>
                <w:szCs w:val="24"/>
                <w:highlight w:val="none"/>
              </w:rPr>
              <w:t>注：成交人接到本公司通知后5个工作日内向本采购代理机构领取成交通知书（根据成交人需求可采用邮寄或到采购代理机构现场领取）</w:t>
            </w:r>
            <w:r>
              <w:rPr>
                <w:rFonts w:hint="eastAsia" w:cs="Arial" w:asciiTheme="minorEastAsia" w:hAnsiTheme="minorEastAsia" w:eastAsiaTheme="minorEastAsia"/>
                <w:color w:val="auto"/>
                <w:kern w:val="0"/>
                <w:sz w:val="24"/>
                <w:szCs w:val="24"/>
                <w:highlight w:val="none"/>
                <w:lang w:eastAsia="zh-CN"/>
              </w:rPr>
              <w:t>。</w:t>
            </w:r>
          </w:p>
        </w:tc>
      </w:tr>
    </w:tbl>
    <w:p w14:paraId="433A0144">
      <w:pPr>
        <w:widowControl/>
        <w:adjustRightInd/>
        <w:jc w:val="left"/>
        <w:rPr>
          <w:rFonts w:asciiTheme="minorEastAsia" w:hAnsiTheme="minorEastAsia" w:eastAsiaTheme="minorEastAsia"/>
          <w:b/>
          <w:color w:val="auto"/>
          <w:sz w:val="24"/>
          <w:szCs w:val="20"/>
          <w:highlight w:val="none"/>
        </w:rPr>
      </w:pPr>
    </w:p>
    <w:p w14:paraId="0EF6DD17">
      <w:pPr>
        <w:widowControl/>
        <w:adjustRightInd/>
        <w:jc w:val="left"/>
        <w:rPr>
          <w:rFonts w:asciiTheme="minorEastAsia" w:hAnsiTheme="minorEastAsia" w:eastAsiaTheme="minorEastAsia"/>
          <w:b/>
          <w:color w:val="auto"/>
          <w:sz w:val="24"/>
          <w:szCs w:val="20"/>
          <w:highlight w:val="none"/>
        </w:rPr>
      </w:pPr>
    </w:p>
    <w:p w14:paraId="25C366D6">
      <w:pPr>
        <w:widowControl/>
        <w:adjustRightInd/>
        <w:jc w:val="left"/>
        <w:rPr>
          <w:rFonts w:asciiTheme="minorEastAsia" w:hAnsiTheme="minorEastAsia" w:eastAsiaTheme="minorEastAsia"/>
          <w:b/>
          <w:color w:val="auto"/>
          <w:sz w:val="24"/>
          <w:szCs w:val="20"/>
          <w:highlight w:val="none"/>
        </w:rPr>
      </w:pPr>
    </w:p>
    <w:p w14:paraId="21BD8CEC">
      <w:pPr>
        <w:widowControl/>
        <w:adjustRightInd/>
        <w:jc w:val="left"/>
        <w:rPr>
          <w:rFonts w:asciiTheme="minorEastAsia" w:hAnsiTheme="minorEastAsia" w:eastAsiaTheme="minorEastAsia"/>
          <w:b/>
          <w:color w:val="auto"/>
          <w:sz w:val="24"/>
          <w:szCs w:val="20"/>
          <w:highlight w:val="none"/>
        </w:rPr>
      </w:pPr>
    </w:p>
    <w:p w14:paraId="16C233E8">
      <w:pPr>
        <w:widowControl/>
        <w:adjustRightInd/>
        <w:jc w:val="left"/>
        <w:rPr>
          <w:rFonts w:asciiTheme="minorEastAsia" w:hAnsiTheme="minorEastAsia" w:eastAsiaTheme="minorEastAsia"/>
          <w:b/>
          <w:color w:val="auto"/>
          <w:sz w:val="24"/>
          <w:szCs w:val="20"/>
          <w:highlight w:val="none"/>
        </w:rPr>
      </w:pPr>
    </w:p>
    <w:p w14:paraId="4BAB1EFD">
      <w:pPr>
        <w:widowControl/>
        <w:adjustRightInd/>
        <w:jc w:val="left"/>
        <w:rPr>
          <w:rFonts w:asciiTheme="minorEastAsia" w:hAnsiTheme="minorEastAsia" w:eastAsiaTheme="minorEastAsia"/>
          <w:b/>
          <w:color w:val="auto"/>
          <w:sz w:val="24"/>
          <w:szCs w:val="20"/>
          <w:highlight w:val="none"/>
        </w:rPr>
      </w:pPr>
    </w:p>
    <w:p w14:paraId="32F156EC">
      <w:pPr>
        <w:widowControl/>
        <w:adjustRightInd/>
        <w:jc w:val="left"/>
        <w:rPr>
          <w:rFonts w:asciiTheme="minorEastAsia" w:hAnsiTheme="minorEastAsia" w:eastAsiaTheme="minorEastAsia"/>
          <w:b/>
          <w:color w:val="auto"/>
          <w:sz w:val="24"/>
          <w:szCs w:val="20"/>
          <w:highlight w:val="none"/>
        </w:rPr>
      </w:pPr>
    </w:p>
    <w:p w14:paraId="54B9AACC">
      <w:pPr>
        <w:widowControl/>
        <w:adjustRightInd/>
        <w:jc w:val="left"/>
        <w:rPr>
          <w:rFonts w:asciiTheme="minorEastAsia" w:hAnsiTheme="minorEastAsia" w:eastAsiaTheme="minorEastAsia"/>
          <w:b/>
          <w:color w:val="auto"/>
          <w:sz w:val="24"/>
          <w:szCs w:val="20"/>
          <w:highlight w:val="none"/>
        </w:rPr>
      </w:pPr>
    </w:p>
    <w:p w14:paraId="565CDC29">
      <w:pPr>
        <w:widowControl/>
        <w:adjustRightInd/>
        <w:jc w:val="left"/>
        <w:rPr>
          <w:rFonts w:asciiTheme="minorEastAsia" w:hAnsiTheme="minorEastAsia" w:eastAsiaTheme="minorEastAsia"/>
          <w:b/>
          <w:color w:val="auto"/>
          <w:sz w:val="24"/>
          <w:szCs w:val="20"/>
          <w:highlight w:val="none"/>
        </w:rPr>
      </w:pPr>
    </w:p>
    <w:p w14:paraId="7960D30A">
      <w:pPr>
        <w:widowControl/>
        <w:adjustRightInd/>
        <w:jc w:val="left"/>
        <w:rPr>
          <w:rFonts w:asciiTheme="minorEastAsia" w:hAnsiTheme="minorEastAsia" w:eastAsiaTheme="minorEastAsia"/>
          <w:b/>
          <w:color w:val="auto"/>
          <w:sz w:val="24"/>
          <w:szCs w:val="20"/>
          <w:highlight w:val="none"/>
        </w:rPr>
      </w:pPr>
    </w:p>
    <w:p w14:paraId="3C0563C8">
      <w:pPr>
        <w:widowControl/>
        <w:adjustRightInd/>
        <w:jc w:val="left"/>
        <w:rPr>
          <w:rFonts w:asciiTheme="minorEastAsia" w:hAnsiTheme="minorEastAsia" w:eastAsiaTheme="minorEastAsia"/>
          <w:b/>
          <w:color w:val="auto"/>
          <w:sz w:val="24"/>
          <w:szCs w:val="20"/>
          <w:highlight w:val="none"/>
        </w:rPr>
      </w:pPr>
    </w:p>
    <w:p w14:paraId="222E8515">
      <w:pPr>
        <w:widowControl/>
        <w:adjustRightInd/>
        <w:jc w:val="left"/>
        <w:rPr>
          <w:rFonts w:asciiTheme="minorEastAsia" w:hAnsiTheme="minorEastAsia" w:eastAsiaTheme="minorEastAsia"/>
          <w:b/>
          <w:color w:val="auto"/>
          <w:sz w:val="24"/>
          <w:szCs w:val="20"/>
          <w:highlight w:val="none"/>
        </w:rPr>
      </w:pPr>
    </w:p>
    <w:p w14:paraId="03ECB02D">
      <w:pPr>
        <w:widowControl/>
        <w:adjustRightInd/>
        <w:jc w:val="left"/>
        <w:rPr>
          <w:rFonts w:asciiTheme="minorEastAsia" w:hAnsiTheme="minorEastAsia" w:eastAsiaTheme="minorEastAsia"/>
          <w:b/>
          <w:color w:val="auto"/>
          <w:sz w:val="24"/>
          <w:szCs w:val="20"/>
          <w:highlight w:val="none"/>
        </w:rPr>
      </w:pPr>
    </w:p>
    <w:p w14:paraId="65FFE935">
      <w:pPr>
        <w:widowControl/>
        <w:adjustRightInd/>
        <w:jc w:val="left"/>
        <w:rPr>
          <w:rFonts w:asciiTheme="minorEastAsia" w:hAnsiTheme="minorEastAsia" w:eastAsiaTheme="minorEastAsia"/>
          <w:b/>
          <w:color w:val="auto"/>
          <w:sz w:val="24"/>
          <w:szCs w:val="20"/>
          <w:highlight w:val="none"/>
        </w:rPr>
      </w:pPr>
    </w:p>
    <w:p w14:paraId="7BA4F7CB">
      <w:pPr>
        <w:widowControl/>
        <w:adjustRightInd/>
        <w:jc w:val="left"/>
        <w:rPr>
          <w:rFonts w:asciiTheme="minorEastAsia" w:hAnsiTheme="minorEastAsia" w:eastAsiaTheme="minorEastAsia"/>
          <w:b/>
          <w:color w:val="auto"/>
          <w:sz w:val="24"/>
          <w:szCs w:val="20"/>
          <w:highlight w:val="none"/>
        </w:rPr>
      </w:pPr>
    </w:p>
    <w:p w14:paraId="29709750">
      <w:pPr>
        <w:widowControl/>
        <w:adjustRightInd/>
        <w:jc w:val="left"/>
        <w:rPr>
          <w:rFonts w:asciiTheme="minorEastAsia" w:hAnsiTheme="minorEastAsia" w:eastAsiaTheme="minorEastAsia"/>
          <w:b/>
          <w:color w:val="auto"/>
          <w:sz w:val="24"/>
          <w:szCs w:val="20"/>
          <w:highlight w:val="none"/>
        </w:rPr>
      </w:pPr>
    </w:p>
    <w:p w14:paraId="0C82B812">
      <w:pPr>
        <w:pStyle w:val="30"/>
        <w:rPr>
          <w:rFonts w:hint="eastAsia"/>
        </w:rPr>
      </w:pPr>
    </w:p>
    <w:p w14:paraId="0270C393">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bookmarkStart w:id="4" w:name="_Toc462908587"/>
      <w:r>
        <w:rPr>
          <w:rFonts w:hint="eastAsia" w:cs="仿宋_GB2312" w:asciiTheme="minorEastAsia" w:hAnsiTheme="minorEastAsia" w:eastAsiaTheme="minorEastAsia"/>
          <w:b/>
          <w:color w:val="auto"/>
          <w:sz w:val="32"/>
          <w:szCs w:val="20"/>
          <w:highlight w:val="none"/>
          <w:lang w:val="en-US" w:eastAsia="zh-CN"/>
        </w:rPr>
        <w:t>二</w:t>
      </w:r>
      <w:r>
        <w:rPr>
          <w:rFonts w:hint="eastAsia" w:cs="仿宋_GB2312" w:asciiTheme="minorEastAsia" w:hAnsiTheme="minorEastAsia" w:eastAsiaTheme="minorEastAsia"/>
          <w:b/>
          <w:color w:val="auto"/>
          <w:sz w:val="32"/>
          <w:szCs w:val="20"/>
          <w:highlight w:val="none"/>
        </w:rPr>
        <w:t>、总则</w:t>
      </w:r>
    </w:p>
    <w:p w14:paraId="31F7870C">
      <w:pPr>
        <w:snapToGrid w:val="0"/>
        <w:spacing w:line="360" w:lineRule="auto"/>
        <w:jc w:val="left"/>
        <w:outlineLvl w:val="1"/>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 适用范围</w:t>
      </w:r>
    </w:p>
    <w:p w14:paraId="56F36418">
      <w:pPr>
        <w:snapToGrid w:val="0"/>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本磋商文件适用于该项目的邀请、响应、开启响应文件、信用信息查询、资格性审查、评审、成交、合同、验收等行为（法律、法规另有规定的，从其规定）。</w:t>
      </w:r>
    </w:p>
    <w:p w14:paraId="0FE19FE9">
      <w:pPr>
        <w:adjustRightInd/>
        <w:spacing w:line="360" w:lineRule="auto"/>
        <w:outlineLvl w:val="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2.定义</w:t>
      </w:r>
    </w:p>
    <w:p w14:paraId="2C16A648">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 “采购人”系指磋商邀请公告中载明的本项目的采购人。</w:t>
      </w:r>
    </w:p>
    <w:p w14:paraId="00C9FA1D">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 “采购</w:t>
      </w:r>
      <w:r>
        <w:rPr>
          <w:rFonts w:hint="eastAsia" w:asciiTheme="minorEastAsia" w:hAnsiTheme="minorEastAsia" w:eastAsiaTheme="minorEastAsia"/>
          <w:color w:val="auto"/>
          <w:sz w:val="24"/>
          <w:szCs w:val="24"/>
          <w:highlight w:val="none"/>
          <w:lang w:eastAsia="zh-CN"/>
        </w:rPr>
        <w:t>代理</w:t>
      </w:r>
      <w:r>
        <w:rPr>
          <w:rFonts w:hint="eastAsia" w:asciiTheme="minorEastAsia" w:hAnsiTheme="minorEastAsia" w:eastAsiaTheme="minorEastAsia"/>
          <w:color w:val="auto"/>
          <w:sz w:val="24"/>
          <w:szCs w:val="24"/>
          <w:highlight w:val="none"/>
        </w:rPr>
        <w:t>机构”系指磋商邀请公告中载明的本项目的采购机构。</w:t>
      </w:r>
    </w:p>
    <w:p w14:paraId="39A07E4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 “供应商”系指响应磋商、参加本次竞争的法人、其他组织或自然人。</w:t>
      </w:r>
    </w:p>
    <w:p w14:paraId="2349724D">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 “负责人”系指法人企业的法定负责人，或其他组织为法律、行政法规规定代表单位行使职权的主要负责人，或自然人本人。</w:t>
      </w:r>
    </w:p>
    <w:p w14:paraId="2B1D7F3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 “成交人”系指经评审确定的成交供应商。</w:t>
      </w:r>
    </w:p>
    <w:p w14:paraId="44BCCB8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2.6“响应文件”系指供应商提交的商务技术文件。供应商提交最后报价后，最后报价是供应商响应文件的有效组成部分。</w:t>
      </w:r>
    </w:p>
    <w:p w14:paraId="6F10F043">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2.7“电子交易平台”是指本项目政府采购活动所依托的政府采购云平台（</w:t>
      </w:r>
      <w:r>
        <w:rPr>
          <w:color w:val="auto"/>
          <w:sz w:val="24"/>
          <w:szCs w:val="24"/>
          <w:highlight w:val="none"/>
        </w:rPr>
        <w:fldChar w:fldCharType="begin"/>
      </w:r>
      <w:r>
        <w:rPr>
          <w:color w:val="auto"/>
          <w:sz w:val="24"/>
          <w:szCs w:val="24"/>
          <w:highlight w:val="none"/>
        </w:rPr>
        <w:instrText xml:space="preserve"> HYPERLINK "https://www.zcygov.cn/" </w:instrText>
      </w:r>
      <w:r>
        <w:rPr>
          <w:color w:val="auto"/>
          <w:sz w:val="24"/>
          <w:szCs w:val="24"/>
          <w:highlight w:val="none"/>
        </w:rPr>
        <w:fldChar w:fldCharType="separate"/>
      </w:r>
      <w:r>
        <w:rPr>
          <w:rStyle w:val="37"/>
          <w:rFonts w:hint="eastAsia" w:cs="Times New Roman" w:asciiTheme="minorEastAsia" w:hAnsiTheme="minorEastAsia" w:eastAsiaTheme="minorEastAsia"/>
          <w:snapToGrid/>
          <w:color w:val="auto"/>
          <w:kern w:val="2"/>
          <w:sz w:val="24"/>
          <w:szCs w:val="24"/>
          <w:highlight w:val="none"/>
        </w:rPr>
        <w:t>https://www.zcygov.cn/</w:t>
      </w:r>
      <w:r>
        <w:rPr>
          <w:rStyle w:val="37"/>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szCs w:val="24"/>
          <w:highlight w:val="none"/>
        </w:rPr>
        <w:t>）。</w:t>
      </w:r>
    </w:p>
    <w:p w14:paraId="0FAE2A7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w:t>
      </w:r>
    </w:p>
    <w:p w14:paraId="577B009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2.9 </w:t>
      </w:r>
      <w:r>
        <w:rPr>
          <w:rFonts w:hint="eastAsia" w:asciiTheme="minorEastAsia" w:hAnsiTheme="minorEastAsia" w:eastAsiaTheme="minorEastAsia"/>
          <w:color w:val="auto"/>
          <w:sz w:val="24"/>
          <w:szCs w:val="24"/>
          <w:highlight w:val="none"/>
          <w:u w:val="single"/>
        </w:rPr>
        <w:t>“书面形式”包括数据电文形式与纸质形式。数据电文形式与纸质形式的采购活动具有同等法律效力。</w:t>
      </w:r>
    </w:p>
    <w:p w14:paraId="506F68D3">
      <w:pPr>
        <w:snapToGrid w:val="0"/>
        <w:spacing w:line="360" w:lineRule="auto"/>
        <w:ind w:firstLine="480" w:firstLineChars="200"/>
        <w:jc w:val="left"/>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2.10 “</w:t>
      </w:r>
      <w:r>
        <w:rPr>
          <w:rFonts w:hint="eastAsia" w:asciiTheme="minorEastAsia" w:hAnsiTheme="minorEastAsia" w:eastAsiaTheme="minorEastAsia"/>
          <w:sz w:val="24"/>
        </w:rPr>
        <w:t>▲</w:t>
      </w:r>
      <w:r>
        <w:rPr>
          <w:rFonts w:hint="eastAsia" w:asciiTheme="minorEastAsia" w:hAnsiTheme="minorEastAsia" w:eastAsiaTheme="minorEastAsia"/>
          <w:color w:val="auto"/>
          <w:sz w:val="24"/>
          <w:szCs w:val="24"/>
          <w:highlight w:val="none"/>
        </w:rPr>
        <w:t>” 系指实质性要求条款， “※”系指磋商过程中可能实质性变动的内容，</w:t>
      </w:r>
      <w:r>
        <w:rPr>
          <w:rFonts w:hint="eastAsia" w:cs="宋体" w:asciiTheme="minorEastAsia" w:hAnsiTheme="minorEastAsia" w:eastAsiaTheme="minorEastAsia"/>
          <w:color w:val="auto"/>
          <w:sz w:val="24"/>
          <w:szCs w:val="24"/>
          <w:highlight w:val="none"/>
        </w:rPr>
        <w:t>“</w:t>
      </w:r>
      <w:sdt>
        <w:sdtPr>
          <w:rPr>
            <w:rFonts w:hint="eastAsia" w:cs="宋体" w:asciiTheme="minorEastAsia" w:hAnsiTheme="minorEastAsia" w:eastAsiaTheme="minorEastAsia"/>
            <w:color w:val="auto"/>
            <w:kern w:val="0"/>
            <w:sz w:val="24"/>
            <w:szCs w:val="24"/>
            <w:highlight w:val="none"/>
          </w:rPr>
          <w:id w:val="147471854"/>
        </w:sdtPr>
        <w:sdtEndPr>
          <w:rPr>
            <w:rFonts w:hint="eastAsia" w:cs="宋体" w:asciiTheme="minorEastAsia" w:hAnsiTheme="minorEastAsia" w:eastAsiaTheme="minorEastAsia"/>
            <w:color w:val="auto"/>
            <w:kern w:val="0"/>
            <w:sz w:val="24"/>
            <w:szCs w:val="24"/>
            <w:highlight w:val="none"/>
          </w:rPr>
        </w:sdtEndPr>
        <w:sdtContent>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highlight w:val="none"/>
                  <w:lang w:val="en-US" w:eastAsia="zh-CN" w:bidi="ar-SA"/>
                </w:rPr>
                <w:t>þ</w:t>
              </w:r>
            </w:sdtContent>
          </w:sdt>
        </w:sdtContent>
      </w:sdt>
      <w:r>
        <w:rPr>
          <w:rFonts w:hint="eastAsia" w:cs="宋体" w:asciiTheme="minorEastAsia" w:hAnsiTheme="minorEastAsia" w:eastAsiaTheme="minorEastAsia"/>
          <w:color w:val="auto"/>
          <w:sz w:val="24"/>
          <w:szCs w:val="24"/>
          <w:highlight w:val="none"/>
        </w:rPr>
        <w:t>” 系指适用本项目的要求，“</w:t>
      </w:r>
      <w:sdt>
        <w:sdtPr>
          <w:rPr>
            <w:rFonts w:hint="eastAsia" w:cs="宋体" w:asciiTheme="minorEastAsia" w:hAnsiTheme="minorEastAsia" w:eastAsiaTheme="minorEastAsia"/>
            <w:color w:val="auto"/>
            <w:kern w:val="0"/>
            <w:sz w:val="24"/>
            <w:szCs w:val="24"/>
            <w:highlight w:val="none"/>
          </w:rPr>
          <w:id w:val="404888855"/>
        </w:sdtPr>
        <w:sdtEndPr>
          <w:rPr>
            <w:rFonts w:hint="eastAsia" w:cs="宋体" w:asciiTheme="minorEastAsia" w:hAnsiTheme="minorEastAsia" w:eastAsiaTheme="minorEastAsia"/>
            <w:color w:val="auto"/>
            <w:kern w:val="0"/>
            <w:sz w:val="24"/>
            <w:szCs w:val="24"/>
            <w:highlight w:val="none"/>
          </w:rPr>
        </w:sdtEndPr>
        <w:sdtContent>
          <w:r>
            <w:rPr>
              <w:rFonts w:hint="eastAsia" w:ascii="MS Mincho" w:hAnsi="MS Mincho" w:eastAsia="MS Mincho" w:cs="MS Mincho"/>
              <w:color w:val="auto"/>
              <w:kern w:val="0"/>
              <w:sz w:val="24"/>
              <w:szCs w:val="24"/>
              <w:highlight w:val="none"/>
            </w:rPr>
            <w:t>☐</w:t>
          </w:r>
        </w:sdtContent>
      </w:sdt>
      <w:r>
        <w:rPr>
          <w:rFonts w:hint="eastAsia" w:cs="宋体" w:asciiTheme="minorEastAsia" w:hAnsiTheme="minorEastAsia" w:eastAsiaTheme="minorEastAsia"/>
          <w:color w:val="auto"/>
          <w:sz w:val="24"/>
          <w:szCs w:val="24"/>
          <w:highlight w:val="none"/>
        </w:rPr>
        <w:t>” 系指不适用本项目的要求。</w:t>
      </w:r>
    </w:p>
    <w:p w14:paraId="5AE58219">
      <w:pPr>
        <w:adjustRightInd/>
        <w:spacing w:line="360" w:lineRule="auto"/>
        <w:outlineLvl w:val="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3. 响应有效期</w:t>
      </w:r>
    </w:p>
    <w:p w14:paraId="7D55A193">
      <w:pP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z w:val="24"/>
        </w:rPr>
        <w:t>▲</w:t>
      </w:r>
      <w:r>
        <w:rPr>
          <w:rFonts w:hint="eastAsia" w:cs="仿宋_GB2312" w:asciiTheme="minorEastAsia" w:hAnsiTheme="minorEastAsia" w:eastAsiaTheme="minorEastAsia"/>
          <w:color w:val="auto"/>
          <w:sz w:val="24"/>
          <w:szCs w:val="24"/>
          <w:highlight w:val="none"/>
        </w:rPr>
        <w:t>3.1</w:t>
      </w:r>
      <w:r>
        <w:rPr>
          <w:rFonts w:hint="eastAsia" w:cs="仿宋_GB2312" w:asciiTheme="minorEastAsia" w:hAnsiTheme="minorEastAsia" w:eastAsiaTheme="minorEastAsia"/>
          <w:b/>
          <w:color w:val="auto"/>
          <w:sz w:val="24"/>
          <w:szCs w:val="24"/>
          <w:highlight w:val="none"/>
        </w:rPr>
        <w:t>响应有效期为从提交响应文件的截止之日起90天。供应商的响应文件中承诺的响应有效期少于磋商文件中载明的磋商有效期的，响应无效。</w:t>
      </w:r>
    </w:p>
    <w:p w14:paraId="5700FF23">
      <w:pPr>
        <w:pStyle w:val="79"/>
        <w:spacing w:before="0"/>
        <w:ind w:firstLine="48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3.2响应文件合格提交后，自响应截止日期起，在响应有效期内有效。</w:t>
      </w:r>
    </w:p>
    <w:p w14:paraId="2586D8F2">
      <w:pPr>
        <w:pStyle w:val="79"/>
        <w:spacing w:before="0"/>
        <w:ind w:firstLine="48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 w:val="24"/>
          <w:szCs w:val="24"/>
          <w:highlight w:val="none"/>
        </w:rPr>
        <w:t>拒绝延长磋商有效期的供应商不得再参与该项目后续采购活动。</w:t>
      </w:r>
    </w:p>
    <w:p w14:paraId="51755AA1">
      <w:pPr>
        <w:tabs>
          <w:tab w:val="left" w:pos="3780"/>
        </w:tabs>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4．响应费用</w:t>
      </w:r>
    </w:p>
    <w:p w14:paraId="420DCE4E">
      <w:pPr>
        <w:pStyle w:val="1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供应商需自行承担涉及响应的一切费用</w:t>
      </w:r>
      <w:r>
        <w:rPr>
          <w:rFonts w:hint="eastAsia" w:asciiTheme="minorEastAsia" w:hAnsiTheme="minorEastAsia" w:eastAsiaTheme="minorEastAsia"/>
          <w:color w:val="auto"/>
          <w:sz w:val="24"/>
          <w:szCs w:val="24"/>
          <w:highlight w:val="none"/>
          <w:lang w:val="zh-CN"/>
        </w:rPr>
        <w:t>。</w:t>
      </w:r>
    </w:p>
    <w:p w14:paraId="509DB9AC">
      <w:pPr>
        <w:adjustRightInd/>
        <w:spacing w:line="360" w:lineRule="auto"/>
        <w:jc w:val="center"/>
        <w:outlineLvl w:val="0"/>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val="en-US" w:eastAsia="zh-CN"/>
        </w:rPr>
        <w:t>三</w:t>
      </w:r>
      <w:r>
        <w:rPr>
          <w:rFonts w:hint="eastAsia" w:cs="仿宋_GB2312" w:asciiTheme="minorEastAsia" w:hAnsiTheme="minorEastAsia" w:eastAsiaTheme="minorEastAsia"/>
          <w:b/>
          <w:color w:val="auto"/>
          <w:sz w:val="32"/>
          <w:szCs w:val="32"/>
          <w:highlight w:val="none"/>
        </w:rPr>
        <w:t>、需要落实的政府采购政策</w:t>
      </w:r>
    </w:p>
    <w:p w14:paraId="6E4EA2A6">
      <w:pPr>
        <w:pStyle w:val="79"/>
        <w:spacing w:before="0"/>
        <w:ind w:firstLine="0" w:firstLineChars="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1.是否允许采购进口产品要求</w:t>
      </w:r>
    </w:p>
    <w:p w14:paraId="72A2EC48">
      <w:pPr>
        <w:pStyle w:val="14"/>
        <w:spacing w:line="360" w:lineRule="auto"/>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kern w:val="0"/>
          <w:sz w:val="24"/>
          <w:szCs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szCs w:val="24"/>
          <w:highlight w:val="none"/>
        </w:rPr>
        <w:t>。</w:t>
      </w:r>
    </w:p>
    <w:p w14:paraId="39250ED0">
      <w:pPr>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2.支持绿色发展</w:t>
      </w:r>
    </w:p>
    <w:p w14:paraId="1F23011B">
      <w:pPr>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14:paraId="1FE9E151">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2.2</w:t>
      </w:r>
      <w:r>
        <w:rPr>
          <w:rFonts w:hint="eastAsia" w:ascii="宋体" w:hAnsi="宋体" w:cs="宋体"/>
          <w:color w:val="auto"/>
          <w:sz w:val="24"/>
          <w:szCs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szCs w:val="24"/>
          <w:highlight w:val="none"/>
        </w:rPr>
        <w:t>。</w:t>
      </w:r>
    </w:p>
    <w:p w14:paraId="1C2E6F11">
      <w:pPr>
        <w:spacing w:line="360" w:lineRule="auto"/>
        <w:ind w:firstLine="480" w:firstLineChars="200"/>
        <w:rPr>
          <w:rFonts w:hint="eastAsia" w:ascii="宋体" w:hAnsi="宋体" w:cs="宋体"/>
          <w:color w:val="auto"/>
          <w:sz w:val="24"/>
          <w:szCs w:val="24"/>
          <w:highlight w:val="none"/>
        </w:rPr>
      </w:pPr>
      <w:r>
        <w:rPr>
          <w:rFonts w:hint="eastAsia" w:cs="宋体" w:asciiTheme="minorEastAsia" w:hAnsiTheme="minorEastAsia" w:eastAsiaTheme="minorEastAsia"/>
          <w:color w:val="auto"/>
          <w:sz w:val="24"/>
          <w:szCs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szCs w:val="24"/>
          <w:highlight w:val="none"/>
        </w:rPr>
        <w:t>优先采购绿色包装产品、绿色物流配送服务以及循环利用产品。</w:t>
      </w:r>
    </w:p>
    <w:p w14:paraId="0202425D">
      <w:pP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rPr>
        <w:t xml:space="preserve">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EDCC04B">
      <w:pPr>
        <w:pStyle w:val="14"/>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228FBD54">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03D89DE">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符合中小企业划分标准的个体工商户，在政府采购活动中视同中小企业。</w:t>
      </w:r>
    </w:p>
    <w:p w14:paraId="2F588971">
      <w:pPr>
        <w:widowControl/>
        <w:spacing w:line="360" w:lineRule="auto"/>
        <w:ind w:firstLine="480" w:firstLineChars="200"/>
        <w:jc w:val="left"/>
        <w:rPr>
          <w:rFonts w:hint="eastAsia" w:ascii="宋体" w:hAnsi="宋体" w:cs="宋体"/>
          <w:color w:val="auto"/>
          <w:kern w:val="0"/>
          <w:sz w:val="24"/>
        </w:rPr>
      </w:pPr>
      <w:r>
        <w:rPr>
          <w:rFonts w:cs="宋体" w:asciiTheme="minorEastAsia" w:hAnsiTheme="minorEastAsia" w:eastAsiaTheme="minorEastAsia"/>
          <w:bCs/>
          <w:color w:val="auto"/>
          <w:sz w:val="24"/>
          <w:szCs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r>
        <w:rPr>
          <w:rFonts w:hint="eastAsia" w:ascii="宋体" w:hAnsi="宋体" w:cs="宋体"/>
          <w:color w:val="auto"/>
          <w:kern w:val="0"/>
          <w:sz w:val="24"/>
        </w:rPr>
        <w:t>。</w:t>
      </w:r>
    </w:p>
    <w:p w14:paraId="44939F97">
      <w:pPr>
        <w:widowControl/>
        <w:spacing w:line="360" w:lineRule="auto"/>
        <w:ind w:firstLine="480" w:firstLineChars="200"/>
        <w:jc w:val="left"/>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以联合体形式参加政府采购活动，联合体各方均为中小企业的，联合体视同中小企业。其中，联合体各方均为小微企业的，联合体视同小微企业。</w:t>
      </w:r>
    </w:p>
    <w:p w14:paraId="79E95C61">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101B4146">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rPr>
        <w:t>）的残疾人福利性单位视同小型、微型企业；</w:t>
      </w:r>
    </w:p>
    <w:p w14:paraId="1C692940">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5537C">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702E2C7">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3.7中小企业享受扶持政策获得政府采购合同的，小微企业不得将合同分包给大中型企业，中型企业不得将合同分包给大型企业。</w:t>
      </w:r>
    </w:p>
    <w:p w14:paraId="6530A99C">
      <w:pPr>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4.</w:t>
      </w:r>
      <w:r>
        <w:rPr>
          <w:rFonts w:hint="eastAsia" w:cs="宋体" w:asciiTheme="minorEastAsia" w:hAnsiTheme="minorEastAsia" w:eastAsiaTheme="minorEastAsia"/>
          <w:b/>
          <w:bCs/>
          <w:color w:val="auto"/>
          <w:sz w:val="24"/>
          <w:szCs w:val="24"/>
          <w:highlight w:val="none"/>
        </w:rPr>
        <w:t>支持创新发展</w:t>
      </w:r>
    </w:p>
    <w:p w14:paraId="55753144">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4.1 采购人优先采购被认定为首台套产品和“制造精品”的自主创新产品。</w:t>
      </w:r>
    </w:p>
    <w:p w14:paraId="4DA66BC1">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D030829">
      <w:pPr>
        <w:spacing w:line="360" w:lineRule="auto"/>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5.平等对待内外资企业和符合条件的破产重整企业</w:t>
      </w:r>
    </w:p>
    <w:p w14:paraId="6C786ECE">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平等对待内外资企业和符合条件的破产重整企业，切实保障企业公平竞争，平等维护企业的合法利益。</w:t>
      </w:r>
    </w:p>
    <w:p w14:paraId="5D4ABBE5">
      <w:pPr>
        <w:adjustRightInd/>
        <w:spacing w:line="360" w:lineRule="auto"/>
        <w:jc w:val="both"/>
        <w:outlineLvl w:val="0"/>
        <w:rPr>
          <w:rFonts w:hint="eastAsia" w:cs="仿宋_GB2312" w:asciiTheme="minorEastAsia" w:hAnsiTheme="minorEastAsia" w:eastAsiaTheme="minorEastAsia"/>
          <w:b/>
          <w:color w:val="auto"/>
          <w:sz w:val="24"/>
          <w:szCs w:val="24"/>
          <w:highlight w:val="none"/>
          <w:lang w:eastAsia="zh-CN"/>
        </w:rPr>
      </w:pPr>
    </w:p>
    <w:p w14:paraId="118ED700">
      <w:pPr>
        <w:adjustRightInd/>
        <w:spacing w:line="360" w:lineRule="auto"/>
        <w:jc w:val="center"/>
        <w:outlineLvl w:val="0"/>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val="en-US" w:eastAsia="zh-CN"/>
        </w:rPr>
        <w:t>四</w:t>
      </w:r>
      <w:r>
        <w:rPr>
          <w:rFonts w:hint="eastAsia" w:cs="仿宋_GB2312" w:asciiTheme="minorEastAsia" w:hAnsiTheme="minorEastAsia" w:eastAsiaTheme="minorEastAsia"/>
          <w:b/>
          <w:color w:val="auto"/>
          <w:sz w:val="32"/>
          <w:szCs w:val="32"/>
          <w:highlight w:val="none"/>
        </w:rPr>
        <w:t>、询问、质疑与投诉</w:t>
      </w:r>
    </w:p>
    <w:p w14:paraId="04F0A12A">
      <w:pPr>
        <w:pStyle w:val="14"/>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1.在线询问、质疑、投诉</w:t>
      </w:r>
    </w:p>
    <w:p w14:paraId="79FC95E4">
      <w:pPr>
        <w:pStyle w:val="1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2CF51A">
      <w:pPr>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供应商询问</w:t>
      </w:r>
    </w:p>
    <w:p w14:paraId="0CA446B8">
      <w:pPr>
        <w:autoSpaceDE w:val="0"/>
        <w:autoSpaceDN w:val="0"/>
        <w:spacing w:line="360" w:lineRule="auto"/>
        <w:ind w:firstLine="480" w:firstLineChars="200"/>
        <w:jc w:val="left"/>
        <w:rPr>
          <w:rFonts w:cs="宋体" w:asciiTheme="minorEastAsia" w:hAnsiTheme="minorEastAsia" w:eastAsiaTheme="minorEastAsia"/>
          <w:color w:val="auto"/>
          <w:kern w:val="0"/>
          <w:sz w:val="24"/>
          <w:szCs w:val="24"/>
          <w:highlight w:val="none"/>
          <w:lang w:val="zh-CN"/>
        </w:rPr>
      </w:pPr>
      <w:r>
        <w:rPr>
          <w:rFonts w:hint="eastAsia" w:cs="宋体" w:asciiTheme="minorEastAsia" w:hAnsiTheme="minorEastAsia" w:eastAsiaTheme="minorEastAsia"/>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B73649">
      <w:pPr>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供应商质疑</w:t>
      </w:r>
    </w:p>
    <w:p w14:paraId="063CFDCE">
      <w:pPr>
        <w:pStyle w:val="14"/>
        <w:spacing w:line="360" w:lineRule="auto"/>
        <w:ind w:firstLine="482" w:firstLineChars="200"/>
        <w:rPr>
          <w:rFonts w:asciiTheme="minorEastAsia" w:hAnsiTheme="minorEastAsia" w:eastAsiaTheme="minorEastAsia"/>
          <w:b/>
          <w:color w:val="auto"/>
          <w:sz w:val="24"/>
          <w:szCs w:val="24"/>
          <w:highlight w:val="none"/>
        </w:rPr>
      </w:pPr>
      <w:r>
        <w:rPr>
          <w:rFonts w:hint="eastAsia" w:cs="微软雅黑" w:asciiTheme="minorEastAsia" w:hAnsiTheme="minorEastAsia" w:eastAsiaTheme="minorEastAsia"/>
          <w:b/>
          <w:color w:val="auto"/>
          <w:kern w:val="0"/>
          <w:sz w:val="24"/>
          <w:szCs w:val="24"/>
          <w:highlight w:val="none"/>
          <w:lang w:val="zh-CN"/>
        </w:rPr>
        <w:t>3</w:t>
      </w:r>
      <w:r>
        <w:rPr>
          <w:rFonts w:hint="eastAsia" w:asciiTheme="minorEastAsia" w:hAnsiTheme="minorEastAsia" w:eastAsiaTheme="minorEastAsia"/>
          <w:b/>
          <w:color w:val="auto"/>
          <w:sz w:val="24"/>
          <w:szCs w:val="24"/>
          <w:highlight w:val="none"/>
        </w:rPr>
        <w:t>.1质疑提出时效</w:t>
      </w:r>
    </w:p>
    <w:p w14:paraId="068EFA4F">
      <w:pPr>
        <w:pStyle w:val="1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3.1.1提出质疑的供应商应当是参与所质疑项目采购活动的供应商。潜在供应商已依法获取其可质疑的采购文件的，可以对该文件提出质疑。</w:t>
      </w:r>
    </w:p>
    <w:p w14:paraId="456943F1">
      <w:pPr>
        <w:pStyle w:val="14"/>
        <w:spacing w:line="360" w:lineRule="auto"/>
        <w:ind w:firstLine="480" w:firstLineChars="200"/>
        <w:rPr>
          <w:rFonts w:asciiTheme="minorEastAsia" w:hAnsiTheme="minorEastAsia" w:eastAsiaTheme="minorEastAsia"/>
          <w:color w:val="auto"/>
          <w:sz w:val="24"/>
          <w:szCs w:val="24"/>
          <w:highlight w:val="none"/>
        </w:rPr>
      </w:pPr>
      <w:r>
        <w:rPr>
          <w:rFonts w:hint="eastAsia" w:cs="微软雅黑" w:asciiTheme="minorEastAsia" w:hAnsiTheme="minorEastAsia" w:eastAsiaTheme="minorEastAsia"/>
          <w:color w:val="auto"/>
          <w:kern w:val="0"/>
          <w:sz w:val="24"/>
          <w:szCs w:val="24"/>
          <w:highlight w:val="none"/>
          <w:lang w:val="zh-CN"/>
        </w:rPr>
        <w:t>3</w:t>
      </w:r>
      <w:r>
        <w:rPr>
          <w:rFonts w:hint="eastAsia" w:asciiTheme="minorEastAsia" w:hAnsiTheme="minorEastAsia" w:eastAsiaTheme="minorEastAsia"/>
          <w:color w:val="auto"/>
          <w:sz w:val="24"/>
          <w:szCs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43CC71B0">
      <w:pPr>
        <w:pStyle w:val="7"/>
        <w:spacing w:line="240" w:lineRule="auto"/>
        <w:ind w:firstLine="434" w:firstLineChars="181"/>
        <w:rPr>
          <w:rFonts w:asciiTheme="minorEastAsia" w:hAnsiTheme="minorEastAsia" w:eastAsiaTheme="minorEastAsia"/>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933E762">
      <w:pPr>
        <w:pStyle w:val="14"/>
        <w:spacing w:line="24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3.1.2.2对采购过程提出质疑的，质疑期限为各采购程序环节结束之日起计算。</w:t>
      </w:r>
    </w:p>
    <w:p w14:paraId="7A4F4A28">
      <w:pPr>
        <w:pStyle w:val="14"/>
        <w:spacing w:line="24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3.1.2.3对采购结果提出质疑的，质疑期限自采购结果公告期限届满之日起计算。</w:t>
      </w:r>
    </w:p>
    <w:p w14:paraId="68733788">
      <w:pPr>
        <w:pStyle w:val="14"/>
        <w:spacing w:line="24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3.1.2.4对同一采购程序环节的质疑，供应商须一次性提出。</w:t>
      </w:r>
    </w:p>
    <w:p w14:paraId="6007576C">
      <w:pPr>
        <w:pStyle w:val="14"/>
        <w:spacing w:line="240" w:lineRule="auto"/>
        <w:ind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3.2质疑答复</w:t>
      </w:r>
    </w:p>
    <w:p w14:paraId="08F2AB59">
      <w:pPr>
        <w:pStyle w:val="14"/>
        <w:spacing w:line="24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3.2.1根据采购人与采购机构签订的《杭州市集中采购委托协议》的规定，质疑答复责任主体如下：</w:t>
      </w:r>
    </w:p>
    <w:p w14:paraId="14B7CAFE">
      <w:pPr>
        <w:widowControl/>
        <w:adjustRightInd/>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质疑答复责任主体一览表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7"/>
        <w:gridCol w:w="4367"/>
        <w:gridCol w:w="2155"/>
      </w:tblGrid>
      <w:tr w14:paraId="0118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7F90A68C">
            <w:pPr>
              <w:pStyle w:val="14"/>
              <w:keepNext w:val="0"/>
              <w:keepLines w:val="0"/>
              <w:suppressLineNumbers w:val="0"/>
              <w:spacing w:line="360" w:lineRule="auto"/>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质疑内容</w:t>
            </w:r>
          </w:p>
        </w:tc>
        <w:tc>
          <w:tcPr>
            <w:tcW w:w="2232" w:type="dxa"/>
            <w:vAlign w:val="center"/>
          </w:tcPr>
          <w:p w14:paraId="5B391284">
            <w:pPr>
              <w:pStyle w:val="14"/>
              <w:keepNext w:val="0"/>
              <w:keepLines w:val="0"/>
              <w:suppressLineNumbers w:val="0"/>
              <w:spacing w:line="360" w:lineRule="auto"/>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质疑答复责任主体</w:t>
            </w:r>
          </w:p>
        </w:tc>
      </w:tr>
      <w:tr w14:paraId="6471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AA74CA9">
            <w:pPr>
              <w:pStyle w:val="14"/>
              <w:keepNext w:val="0"/>
              <w:keepLines w:val="0"/>
              <w:suppressLineNumbers w:val="0"/>
              <w:spacing w:line="360" w:lineRule="auto"/>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对采购文件提出质疑</w:t>
            </w:r>
          </w:p>
        </w:tc>
        <w:tc>
          <w:tcPr>
            <w:tcW w:w="4536" w:type="dxa"/>
            <w:vAlign w:val="center"/>
          </w:tcPr>
          <w:p w14:paraId="4DD690F7">
            <w:pPr>
              <w:pStyle w:val="14"/>
              <w:keepNext w:val="0"/>
              <w:keepLines w:val="0"/>
              <w:suppressLineNumbers w:val="0"/>
              <w:spacing w:line="360" w:lineRule="auto"/>
              <w:ind w:left="0" w:right="0"/>
              <w:jc w:val="left"/>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对采购文件中特定资格条件、采购需求、评审办法、评审标准提出的质疑</w:t>
            </w:r>
          </w:p>
        </w:tc>
        <w:tc>
          <w:tcPr>
            <w:tcW w:w="2232" w:type="dxa"/>
            <w:vAlign w:val="center"/>
          </w:tcPr>
          <w:p w14:paraId="7388EE78">
            <w:pPr>
              <w:pStyle w:val="14"/>
              <w:keepNext w:val="0"/>
              <w:keepLines w:val="0"/>
              <w:suppressLineNumbers w:val="0"/>
              <w:spacing w:line="360" w:lineRule="auto"/>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采购人</w:t>
            </w:r>
          </w:p>
        </w:tc>
      </w:tr>
      <w:tr w14:paraId="7B23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9CA3882">
            <w:pPr>
              <w:pStyle w:val="14"/>
              <w:keepNext w:val="0"/>
              <w:keepLines w:val="0"/>
              <w:suppressLineNumbers w:val="0"/>
              <w:spacing w:line="360" w:lineRule="auto"/>
              <w:ind w:left="0" w:right="0"/>
              <w:jc w:val="center"/>
              <w:rPr>
                <w:rFonts w:hint="default" w:asciiTheme="minorEastAsia" w:hAnsiTheme="minorEastAsia" w:eastAsiaTheme="minorEastAsia"/>
                <w:color w:val="auto"/>
                <w:sz w:val="24"/>
                <w:szCs w:val="24"/>
                <w:highlight w:val="none"/>
              </w:rPr>
            </w:pPr>
          </w:p>
        </w:tc>
        <w:tc>
          <w:tcPr>
            <w:tcW w:w="4536" w:type="dxa"/>
            <w:vAlign w:val="center"/>
          </w:tcPr>
          <w:p w14:paraId="50599022">
            <w:pPr>
              <w:pStyle w:val="14"/>
              <w:keepNext w:val="0"/>
              <w:keepLines w:val="0"/>
              <w:suppressLineNumbers w:val="0"/>
              <w:spacing w:line="360" w:lineRule="auto"/>
              <w:ind w:left="0" w:right="0"/>
              <w:jc w:val="left"/>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对采购文件中其他内容提出的质疑</w:t>
            </w:r>
          </w:p>
        </w:tc>
        <w:tc>
          <w:tcPr>
            <w:tcW w:w="2232" w:type="dxa"/>
            <w:vAlign w:val="center"/>
          </w:tcPr>
          <w:p w14:paraId="00C6DF75">
            <w:pPr>
              <w:pStyle w:val="14"/>
              <w:keepNext w:val="0"/>
              <w:keepLines w:val="0"/>
              <w:suppressLineNumbers w:val="0"/>
              <w:spacing w:line="360" w:lineRule="auto"/>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sz w:val="24"/>
              </w:rPr>
              <w:t>采购代理机构</w:t>
            </w:r>
          </w:p>
        </w:tc>
      </w:tr>
      <w:tr w14:paraId="6002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507C13A">
            <w:pPr>
              <w:pStyle w:val="14"/>
              <w:keepNext w:val="0"/>
              <w:keepLines w:val="0"/>
              <w:suppressLineNumbers w:val="0"/>
              <w:spacing w:line="360" w:lineRule="auto"/>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对采购过程提出质疑</w:t>
            </w:r>
          </w:p>
        </w:tc>
        <w:tc>
          <w:tcPr>
            <w:tcW w:w="4536" w:type="dxa"/>
            <w:vAlign w:val="center"/>
          </w:tcPr>
          <w:p w14:paraId="6B87A20F">
            <w:pPr>
              <w:pStyle w:val="14"/>
              <w:keepNext w:val="0"/>
              <w:keepLines w:val="0"/>
              <w:suppressLineNumbers w:val="0"/>
              <w:spacing w:line="360" w:lineRule="auto"/>
              <w:ind w:left="0" w:right="0"/>
              <w:jc w:val="left"/>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有关现场考察或开启响应文件前答疑会事项提出的质疑</w:t>
            </w:r>
          </w:p>
        </w:tc>
        <w:tc>
          <w:tcPr>
            <w:tcW w:w="2232" w:type="dxa"/>
            <w:vAlign w:val="center"/>
          </w:tcPr>
          <w:p w14:paraId="56DF260B">
            <w:pPr>
              <w:pStyle w:val="14"/>
              <w:keepNext w:val="0"/>
              <w:keepLines w:val="0"/>
              <w:suppressLineNumbers w:val="0"/>
              <w:spacing w:line="360" w:lineRule="auto"/>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采购人</w:t>
            </w:r>
          </w:p>
        </w:tc>
      </w:tr>
      <w:tr w14:paraId="4FB2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4A07345">
            <w:pPr>
              <w:pStyle w:val="14"/>
              <w:keepNext w:val="0"/>
              <w:keepLines w:val="0"/>
              <w:suppressLineNumbers w:val="0"/>
              <w:spacing w:line="360" w:lineRule="auto"/>
              <w:ind w:left="0" w:right="0"/>
              <w:jc w:val="center"/>
              <w:rPr>
                <w:rFonts w:hint="default" w:asciiTheme="minorEastAsia" w:hAnsiTheme="minorEastAsia" w:eastAsiaTheme="minorEastAsia"/>
                <w:color w:val="auto"/>
                <w:sz w:val="24"/>
                <w:szCs w:val="24"/>
                <w:highlight w:val="none"/>
              </w:rPr>
            </w:pPr>
          </w:p>
        </w:tc>
        <w:tc>
          <w:tcPr>
            <w:tcW w:w="4536" w:type="dxa"/>
            <w:vAlign w:val="center"/>
          </w:tcPr>
          <w:p w14:paraId="77B0974C">
            <w:pPr>
              <w:pStyle w:val="14"/>
              <w:keepNext w:val="0"/>
              <w:keepLines w:val="0"/>
              <w:suppressLineNumbers w:val="0"/>
              <w:spacing w:line="360" w:lineRule="auto"/>
              <w:ind w:left="0" w:right="0"/>
              <w:jc w:val="left"/>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对采购过程中其它事项提出的质疑</w:t>
            </w:r>
          </w:p>
        </w:tc>
        <w:tc>
          <w:tcPr>
            <w:tcW w:w="2232" w:type="dxa"/>
            <w:vAlign w:val="center"/>
          </w:tcPr>
          <w:p w14:paraId="54CDD53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sz w:val="24"/>
                <w:szCs w:val="20"/>
              </w:rPr>
              <w:t>采购代理机构</w:t>
            </w:r>
          </w:p>
        </w:tc>
      </w:tr>
      <w:tr w14:paraId="0E71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23ECF5B">
            <w:pPr>
              <w:pStyle w:val="14"/>
              <w:keepNext w:val="0"/>
              <w:keepLines w:val="0"/>
              <w:suppressLineNumbers w:val="0"/>
              <w:spacing w:line="360" w:lineRule="auto"/>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对采购结果提出质疑</w:t>
            </w:r>
          </w:p>
        </w:tc>
        <w:tc>
          <w:tcPr>
            <w:tcW w:w="4536" w:type="dxa"/>
            <w:vAlign w:val="center"/>
          </w:tcPr>
          <w:p w14:paraId="0690666A">
            <w:pPr>
              <w:pStyle w:val="14"/>
              <w:keepNext w:val="0"/>
              <w:keepLines w:val="0"/>
              <w:suppressLineNumbers w:val="0"/>
              <w:spacing w:line="360" w:lineRule="auto"/>
              <w:ind w:left="0" w:right="0"/>
              <w:jc w:val="left"/>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对采购结果提出的质疑</w:t>
            </w:r>
          </w:p>
        </w:tc>
        <w:tc>
          <w:tcPr>
            <w:tcW w:w="2232" w:type="dxa"/>
            <w:vAlign w:val="center"/>
          </w:tcPr>
          <w:p w14:paraId="0350EA8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sz w:val="24"/>
                <w:szCs w:val="20"/>
              </w:rPr>
              <w:t>采购代理机构</w:t>
            </w:r>
          </w:p>
        </w:tc>
      </w:tr>
    </w:tbl>
    <w:p w14:paraId="4B0837B6">
      <w:pPr>
        <w:pStyle w:val="1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2169CC65">
      <w:pPr>
        <w:pStyle w:val="1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2.3询问或者质疑事项可能影响采购结果的，采购人应当暂停签订合同，已经签订合同的，应当中止履行合同。</w:t>
      </w:r>
    </w:p>
    <w:p w14:paraId="4053BAE5">
      <w:pPr>
        <w:pStyle w:val="14"/>
        <w:spacing w:line="360" w:lineRule="auto"/>
        <w:ind w:firstLine="482" w:firstLineChars="200"/>
        <w:rPr>
          <w:rFonts w:asciiTheme="minorEastAsia" w:hAnsiTheme="minorEastAsia" w:eastAsiaTheme="minorEastAsia"/>
          <w:color w:val="auto"/>
          <w:sz w:val="24"/>
          <w:szCs w:val="24"/>
          <w:highlight w:val="none"/>
        </w:rPr>
      </w:pPr>
      <w:r>
        <w:rPr>
          <w:rFonts w:hint="eastAsia" w:cs="微软雅黑" w:asciiTheme="minorEastAsia" w:hAnsiTheme="minorEastAsia" w:eastAsiaTheme="minorEastAsia"/>
          <w:b/>
          <w:color w:val="auto"/>
          <w:kern w:val="0"/>
          <w:sz w:val="24"/>
          <w:szCs w:val="24"/>
          <w:highlight w:val="none"/>
          <w:lang w:val="zh-CN"/>
        </w:rPr>
        <w:t>3.3质疑函</w:t>
      </w:r>
    </w:p>
    <w:p w14:paraId="74A1CAB8">
      <w:pPr>
        <w:pStyle w:val="1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3.3.1供应商提出质疑应当提交质疑函和必要的证明材料。质疑函应当包括下列内容：</w:t>
      </w:r>
    </w:p>
    <w:p w14:paraId="3E5626E5">
      <w:pPr>
        <w:pStyle w:val="1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77124561">
      <w:pPr>
        <w:pStyle w:val="1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6E26E981">
      <w:pPr>
        <w:pStyle w:val="1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71022141">
      <w:pPr>
        <w:pStyle w:val="1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0B2E9D6C">
      <w:pPr>
        <w:pStyle w:val="1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647D79E1">
      <w:pPr>
        <w:pStyle w:val="14"/>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30E2DE71">
      <w:pPr>
        <w:pStyle w:val="1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3186148B">
      <w:pPr>
        <w:pStyle w:val="14"/>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质疑函范本及制作说明详见附件</w:t>
      </w:r>
      <w:r>
        <w:rPr>
          <w:rFonts w:asciiTheme="minorEastAsia" w:hAnsiTheme="minorEastAsia" w:eastAsiaTheme="minorEastAsia"/>
          <w:b/>
          <w:color w:val="auto"/>
          <w:sz w:val="24"/>
          <w:szCs w:val="24"/>
          <w:highlight w:val="none"/>
        </w:rPr>
        <w:t>1</w:t>
      </w:r>
      <w:r>
        <w:rPr>
          <w:rFonts w:hint="eastAsia" w:asciiTheme="minorEastAsia" w:hAnsiTheme="minorEastAsia" w:eastAsiaTheme="minorEastAsia"/>
          <w:b/>
          <w:color w:val="auto"/>
          <w:sz w:val="24"/>
          <w:szCs w:val="24"/>
          <w:highlight w:val="none"/>
        </w:rPr>
        <w:t>。</w:t>
      </w:r>
    </w:p>
    <w:p w14:paraId="2D2F37C2">
      <w:pPr>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4</w:t>
      </w:r>
      <w:r>
        <w:rPr>
          <w:rFonts w:asciiTheme="minorEastAsia" w:hAnsiTheme="minorEastAsia" w:eastAsiaTheme="minorEastAsia"/>
          <w:b/>
          <w:color w:val="auto"/>
          <w:sz w:val="24"/>
          <w:szCs w:val="24"/>
          <w:highlight w:val="none"/>
        </w:rPr>
        <w:t>.供应商投诉</w:t>
      </w:r>
    </w:p>
    <w:p w14:paraId="284605AC">
      <w:pPr>
        <w:pStyle w:val="1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.1质疑供应商对采购人、采购机构的答复不满意或者采购人、采购机构未在规定的时间内</w:t>
      </w:r>
      <w:r>
        <w:rPr>
          <w:rFonts w:hint="eastAsia" w:asciiTheme="minorEastAsia" w:hAnsiTheme="minorEastAsia" w:eastAsiaTheme="minorEastAsia"/>
          <w:color w:val="auto"/>
          <w:sz w:val="24"/>
          <w:szCs w:val="24"/>
          <w:highlight w:val="none"/>
        </w:rPr>
        <w:t>作出答复的，可以在答复期满后十五个工作日内向同级政府采购监督管理部门提出投诉。</w:t>
      </w:r>
    </w:p>
    <w:p w14:paraId="06312730">
      <w:pPr>
        <w:pStyle w:val="1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.2供应</w:t>
      </w:r>
      <w:r>
        <w:rPr>
          <w:rFonts w:hint="eastAsia" w:asciiTheme="minorEastAsia" w:hAnsiTheme="minorEastAsia" w:eastAsiaTheme="minorEastAsia"/>
          <w:color w:val="auto"/>
          <w:sz w:val="24"/>
          <w:szCs w:val="24"/>
          <w:highlight w:val="none"/>
        </w:rPr>
        <w:t>商投诉的事项不得超出已质疑事项的范围，基于质疑答复内容提出的投诉事项除外。</w:t>
      </w:r>
    </w:p>
    <w:p w14:paraId="562ABFD3">
      <w:pPr>
        <w:pStyle w:val="1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.3供应</w:t>
      </w:r>
      <w:r>
        <w:rPr>
          <w:rFonts w:hint="eastAsia" w:asciiTheme="minorEastAsia" w:hAnsiTheme="minorEastAsia" w:eastAsiaTheme="minorEastAsia"/>
          <w:color w:val="auto"/>
          <w:sz w:val="24"/>
          <w:szCs w:val="24"/>
          <w:highlight w:val="none"/>
        </w:rPr>
        <w:t>商投诉应当有明确的请求和必要的证明材料。</w:t>
      </w:r>
    </w:p>
    <w:p w14:paraId="1D281967">
      <w:pPr>
        <w:pStyle w:val="14"/>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.4以联合体形</w:t>
      </w:r>
      <w:r>
        <w:rPr>
          <w:rFonts w:hint="eastAsia" w:asciiTheme="minorEastAsia" w:hAnsiTheme="minorEastAsia" w:eastAsiaTheme="minorEastAsia"/>
          <w:color w:val="auto"/>
          <w:sz w:val="24"/>
          <w:szCs w:val="24"/>
          <w:highlight w:val="none"/>
        </w:rPr>
        <w:t>式参加政府采购活动的，其投诉应当由组成联合体的所有供应商共同提出。</w:t>
      </w:r>
    </w:p>
    <w:p w14:paraId="4863F9EC">
      <w:pPr>
        <w:pStyle w:val="27"/>
        <w:widowControl/>
        <w:spacing w:before="75" w:beforeAutospacing="0" w:after="75" w:afterAutospacing="0" w:line="2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4.5浙江省</w:t>
      </w:r>
      <w:r>
        <w:rPr>
          <w:rFonts w:hint="eastAsia" w:asciiTheme="minorEastAsia" w:hAnsiTheme="minorEastAsia" w:eastAsiaTheme="minorEastAsia"/>
          <w:color w:val="auto"/>
          <w:sz w:val="24"/>
          <w:szCs w:val="24"/>
          <w:highlight w:val="none"/>
          <w:lang w:eastAsia="zh-CN"/>
        </w:rPr>
        <w:t>宁海县</w:t>
      </w:r>
      <w:r>
        <w:rPr>
          <w:rFonts w:hint="eastAsia" w:asciiTheme="minorEastAsia" w:hAnsiTheme="minorEastAsia" w:eastAsiaTheme="minorEastAsia"/>
          <w:color w:val="auto"/>
          <w:sz w:val="24"/>
          <w:szCs w:val="24"/>
          <w:highlight w:val="none"/>
        </w:rPr>
        <w:t>政府采购项目投诉材料可寄送</w:t>
      </w:r>
      <w:r>
        <w:rPr>
          <w:rFonts w:hint="eastAsia" w:ascii="宋体" w:hAnsi="宋体" w:cs="宋体"/>
          <w:color w:val="auto"/>
          <w:sz w:val="24"/>
          <w:szCs w:val="24"/>
        </w:rPr>
        <w:t>宁海县政府采购管理办公室</w:t>
      </w:r>
      <w:r>
        <w:rPr>
          <w:rFonts w:hint="eastAsia" w:asciiTheme="minorEastAsia" w:hAnsiTheme="minorEastAsia" w:eastAsiaTheme="minorEastAsia"/>
          <w:color w:val="auto"/>
          <w:sz w:val="24"/>
          <w:szCs w:val="24"/>
          <w:highlight w:val="none"/>
        </w:rPr>
        <w:t>，地址：</w:t>
      </w:r>
      <w:r>
        <w:rPr>
          <w:rFonts w:hint="eastAsia" w:ascii="宋体" w:hAnsi="宋体" w:cs="宋体"/>
          <w:color w:val="auto"/>
          <w:sz w:val="24"/>
          <w:szCs w:val="24"/>
        </w:rPr>
        <w:t>宁海县跃龙街道桃源中路218号</w:t>
      </w:r>
      <w:r>
        <w:rPr>
          <w:rFonts w:hint="eastAsia" w:asciiTheme="minorEastAsia" w:hAnsiTheme="minorEastAsia" w:eastAsiaTheme="minorEastAsia"/>
          <w:color w:val="auto"/>
          <w:sz w:val="24"/>
          <w:szCs w:val="24"/>
          <w:highlight w:val="none"/>
        </w:rPr>
        <w:t>，收件人：</w:t>
      </w:r>
      <w:r>
        <w:rPr>
          <w:rFonts w:hint="eastAsia" w:ascii="宋体" w:hAnsi="宋体" w:cs="宋体"/>
          <w:color w:val="auto"/>
          <w:sz w:val="24"/>
          <w:szCs w:val="24"/>
        </w:rPr>
        <w:t>王老师</w:t>
      </w:r>
      <w:r>
        <w:rPr>
          <w:rFonts w:hint="eastAsia" w:asciiTheme="minorEastAsia" w:hAnsiTheme="minorEastAsia" w:eastAsiaTheme="minorEastAsia"/>
          <w:color w:val="auto"/>
          <w:sz w:val="24"/>
          <w:szCs w:val="24"/>
          <w:highlight w:val="none"/>
        </w:rPr>
        <w:t>，电话：</w:t>
      </w:r>
      <w:r>
        <w:rPr>
          <w:rFonts w:hint="eastAsia" w:ascii="宋体" w:hAnsi="宋体" w:cs="宋体" w:eastAsiaTheme="minorEastAsia"/>
          <w:color w:val="auto"/>
          <w:sz w:val="24"/>
          <w:szCs w:val="24"/>
          <w:lang w:eastAsia="zh-CN"/>
        </w:rPr>
        <w:t>058</w:t>
      </w:r>
      <w:r>
        <w:rPr>
          <w:rFonts w:hint="eastAsia" w:ascii="宋体" w:hAnsi="宋体" w:cs="宋体"/>
          <w:color w:val="auto"/>
          <w:sz w:val="24"/>
          <w:szCs w:val="24"/>
        </w:rPr>
        <w:t>4-65265668</w:t>
      </w:r>
      <w:r>
        <w:rPr>
          <w:rFonts w:hint="eastAsia" w:asciiTheme="minorEastAsia" w:hAnsiTheme="minorEastAsia" w:eastAsiaTheme="minorEastAsia"/>
          <w:color w:val="auto"/>
          <w:sz w:val="24"/>
          <w:szCs w:val="24"/>
          <w:highlight w:val="none"/>
        </w:rPr>
        <w:t>。</w:t>
      </w:r>
    </w:p>
    <w:p w14:paraId="43E932D4">
      <w:pPr>
        <w:pStyle w:val="14"/>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投诉书范本及制作说明详见附件</w:t>
      </w:r>
      <w:r>
        <w:rPr>
          <w:rFonts w:asciiTheme="minorEastAsia" w:hAnsiTheme="minorEastAsia" w:eastAsiaTheme="minorEastAsia"/>
          <w:b/>
          <w:color w:val="auto"/>
          <w:sz w:val="24"/>
          <w:szCs w:val="24"/>
          <w:highlight w:val="none"/>
        </w:rPr>
        <w:t>2</w:t>
      </w:r>
      <w:r>
        <w:rPr>
          <w:rFonts w:hint="eastAsia" w:asciiTheme="minorEastAsia" w:hAnsiTheme="minorEastAsia" w:eastAsiaTheme="minorEastAsia"/>
          <w:b/>
          <w:color w:val="auto"/>
          <w:sz w:val="24"/>
          <w:szCs w:val="24"/>
          <w:highlight w:val="none"/>
        </w:rPr>
        <w:t>。</w:t>
      </w:r>
    </w:p>
    <w:p w14:paraId="3840667D">
      <w:pPr>
        <w:adjustRightInd/>
        <w:spacing w:line="360" w:lineRule="auto"/>
        <w:jc w:val="center"/>
        <w:outlineLvl w:val="0"/>
        <w:rPr>
          <w:rFonts w:hint="eastAsia" w:cs="仿宋_GB2312" w:asciiTheme="minorEastAsia" w:hAnsiTheme="minorEastAsia" w:eastAsiaTheme="minorEastAsia"/>
          <w:b/>
          <w:color w:val="auto"/>
          <w:sz w:val="24"/>
          <w:szCs w:val="24"/>
          <w:highlight w:val="none"/>
          <w:lang w:eastAsia="zh-CN"/>
        </w:rPr>
      </w:pPr>
    </w:p>
    <w:p w14:paraId="5F111B35">
      <w:pPr>
        <w:adjustRightInd/>
        <w:spacing w:line="360" w:lineRule="auto"/>
        <w:jc w:val="center"/>
        <w:outlineLvl w:val="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32"/>
          <w:szCs w:val="32"/>
          <w:highlight w:val="none"/>
          <w:lang w:val="en-US" w:eastAsia="zh-CN"/>
        </w:rPr>
        <w:t>五</w:t>
      </w:r>
      <w:r>
        <w:rPr>
          <w:rFonts w:hint="eastAsia" w:cs="仿宋_GB2312" w:asciiTheme="minorEastAsia" w:hAnsiTheme="minorEastAsia" w:eastAsiaTheme="minorEastAsia"/>
          <w:b/>
          <w:color w:val="auto"/>
          <w:sz w:val="32"/>
          <w:szCs w:val="32"/>
          <w:highlight w:val="none"/>
        </w:rPr>
        <w:t>、磋商文件构成、修改、解释</w:t>
      </w:r>
    </w:p>
    <w:p w14:paraId="659FC614">
      <w:pPr>
        <w:autoSpaceDE w:val="0"/>
        <w:autoSpaceDN w:val="0"/>
        <w:spacing w:line="24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1．磋商文件的构成</w:t>
      </w:r>
    </w:p>
    <w:p w14:paraId="732055C5">
      <w:pPr>
        <w:pStyle w:val="14"/>
        <w:spacing w:line="24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112336F6">
      <w:pPr>
        <w:pStyle w:val="14"/>
        <w:spacing w:line="24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第一部分</w:t>
      </w:r>
      <w:r>
        <w:rPr>
          <w:rFonts w:hint="eastAsia" w:asciiTheme="minorEastAsia" w:hAnsiTheme="minorEastAsia" w:eastAsiaTheme="minorEastAsia"/>
          <w:color w:val="auto"/>
          <w:sz w:val="24"/>
          <w:szCs w:val="24"/>
          <w:highlight w:val="none"/>
          <w:lang w:val="en-US" w:eastAsia="zh-CN"/>
        </w:rPr>
        <w:t xml:space="preserve"> </w:t>
      </w:r>
      <w:r>
        <w:rPr>
          <w:rFonts w:hint="eastAsia" w:ascii="宋体" w:hAnsi="宋体" w:eastAsia="宋体" w:cs="宋体"/>
          <w:sz w:val="24"/>
          <w:szCs w:val="24"/>
          <w:highlight w:val="none"/>
        </w:rPr>
        <w:t>邀请供应商</w:t>
      </w:r>
    </w:p>
    <w:p w14:paraId="7023B5C9">
      <w:pPr>
        <w:pStyle w:val="14"/>
        <w:spacing w:line="24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第二部分 </w:t>
      </w:r>
      <w:r>
        <w:rPr>
          <w:rFonts w:hint="eastAsia" w:ascii="宋体" w:hAnsi="宋体" w:eastAsia="宋体" w:cs="宋体"/>
          <w:sz w:val="24"/>
          <w:szCs w:val="24"/>
          <w:highlight w:val="none"/>
        </w:rPr>
        <w:t>竞争性磋商流程</w:t>
      </w:r>
    </w:p>
    <w:p w14:paraId="2E389385">
      <w:pPr>
        <w:pStyle w:val="14"/>
        <w:spacing w:line="24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638DD026">
      <w:pPr>
        <w:pStyle w:val="14"/>
        <w:spacing w:line="24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第四部分 </w:t>
      </w:r>
      <w:r>
        <w:rPr>
          <w:rFonts w:hint="eastAsia" w:ascii="宋体" w:hAnsi="宋体" w:eastAsia="宋体" w:cs="宋体"/>
          <w:sz w:val="24"/>
          <w:szCs w:val="24"/>
          <w:highlight w:val="none"/>
        </w:rPr>
        <w:t>采购需求</w:t>
      </w:r>
    </w:p>
    <w:p w14:paraId="672FE410">
      <w:pPr>
        <w:pStyle w:val="14"/>
        <w:spacing w:line="24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第五部分 </w:t>
      </w:r>
      <w:r>
        <w:rPr>
          <w:rFonts w:hint="eastAsia" w:ascii="宋体" w:hAnsi="宋体" w:eastAsia="宋体" w:cs="宋体"/>
          <w:sz w:val="24"/>
          <w:szCs w:val="24"/>
          <w:highlight w:val="none"/>
        </w:rPr>
        <w:t>评审方法及评审标准</w:t>
      </w:r>
    </w:p>
    <w:p w14:paraId="66136F81">
      <w:pPr>
        <w:pStyle w:val="14"/>
        <w:spacing w:line="240" w:lineRule="auto"/>
        <w:ind w:firstLine="480" w:firstLineChars="200"/>
        <w:rPr>
          <w:rFonts w:hint="eastAsia" w:ascii="宋体" w:hAnsi="宋体" w:eastAsia="宋体" w:cs="宋体"/>
          <w:sz w:val="24"/>
          <w:szCs w:val="24"/>
          <w:highlight w:val="none"/>
        </w:rPr>
      </w:pPr>
      <w:r>
        <w:rPr>
          <w:rFonts w:hint="eastAsia" w:asciiTheme="minorEastAsia" w:hAnsiTheme="minorEastAsia" w:eastAsiaTheme="minorEastAsia"/>
          <w:color w:val="auto"/>
          <w:sz w:val="24"/>
          <w:szCs w:val="24"/>
          <w:highlight w:val="none"/>
        </w:rPr>
        <w:t xml:space="preserve">第六部分 </w:t>
      </w:r>
      <w:r>
        <w:rPr>
          <w:rFonts w:hint="eastAsia" w:ascii="宋体" w:hAnsi="宋体" w:eastAsia="宋体" w:cs="宋体"/>
          <w:sz w:val="24"/>
          <w:szCs w:val="24"/>
          <w:highlight w:val="none"/>
        </w:rPr>
        <w:t>拟签订的合同文本</w:t>
      </w:r>
    </w:p>
    <w:p w14:paraId="0A91066B">
      <w:pPr>
        <w:pStyle w:val="14"/>
        <w:spacing w:line="240" w:lineRule="auto"/>
        <w:ind w:firstLine="480" w:firstLineChars="200"/>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 xml:space="preserve">第七部分 </w:t>
      </w:r>
      <w:r>
        <w:rPr>
          <w:rFonts w:hint="eastAsia" w:ascii="宋体" w:hAnsi="宋体" w:eastAsia="宋体" w:cs="宋体"/>
          <w:sz w:val="24"/>
          <w:szCs w:val="24"/>
          <w:highlight w:val="none"/>
        </w:rPr>
        <w:t>应提交的有关格式范例</w:t>
      </w:r>
    </w:p>
    <w:p w14:paraId="4110E815">
      <w:pPr>
        <w:pStyle w:val="14"/>
        <w:spacing w:line="24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 与本项目有关的</w:t>
      </w:r>
      <w:r>
        <w:rPr>
          <w:rFonts w:hint="eastAsia" w:asciiTheme="minorEastAsia" w:hAnsiTheme="minorEastAsia" w:eastAsiaTheme="minorEastAsia"/>
          <w:bCs/>
          <w:color w:val="auto"/>
          <w:sz w:val="24"/>
          <w:szCs w:val="24"/>
          <w:highlight w:val="none"/>
        </w:rPr>
        <w:t>澄清或者修改的内容为磋商文件的组成部分</w:t>
      </w:r>
      <w:r>
        <w:rPr>
          <w:rFonts w:hint="eastAsia" w:cs="仿宋_GB2312" w:asciiTheme="minorEastAsia" w:hAnsiTheme="minorEastAsia" w:eastAsiaTheme="minorEastAsia"/>
          <w:color w:val="auto"/>
          <w:sz w:val="24"/>
          <w:szCs w:val="24"/>
          <w:highlight w:val="none"/>
        </w:rPr>
        <w:t>。</w:t>
      </w:r>
    </w:p>
    <w:p w14:paraId="3A4E5460">
      <w:pPr>
        <w:pStyle w:val="14"/>
        <w:spacing w:line="24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4618BA97">
      <w:pPr>
        <w:pStyle w:val="79"/>
        <w:snapToGrid w:val="0"/>
        <w:spacing w:before="0"/>
        <w:ind w:firstLine="48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2.1已获取磋商文件的潜在供应商，若有问题需要澄清，应于提交首次响应文件截止时间前，以书面形式向采购机构提出。</w:t>
      </w:r>
    </w:p>
    <w:p w14:paraId="0BA3C24C">
      <w:pPr>
        <w:pStyle w:val="79"/>
        <w:snapToGrid w:val="0"/>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w:t>
      </w:r>
      <w:r>
        <w:rPr>
          <w:rFonts w:hint="eastAsia" w:cs="宋体" w:asciiTheme="minorEastAsia" w:hAnsiTheme="minorEastAsia" w:eastAsiaTheme="minorEastAsia"/>
          <w:color w:val="auto"/>
          <w:sz w:val="24"/>
          <w:szCs w:val="24"/>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sz w:val="24"/>
          <w:szCs w:val="24"/>
          <w:highlight w:val="none"/>
        </w:rPr>
        <w:t>提交首次</w:t>
      </w:r>
      <w:r>
        <w:rPr>
          <w:rFonts w:hint="eastAsia" w:cs="宋体" w:asciiTheme="minorEastAsia" w:hAnsiTheme="minorEastAsia" w:eastAsiaTheme="minorEastAsia"/>
          <w:color w:val="auto"/>
          <w:sz w:val="24"/>
          <w:szCs w:val="24"/>
          <w:highlight w:val="none"/>
        </w:rPr>
        <w:t>响应文件截止时间和响应文件开启时间。该澄清或者修改的内容为磋商文件的组成部分。</w:t>
      </w:r>
    </w:p>
    <w:p w14:paraId="2170F3EF">
      <w:pPr>
        <w:pStyle w:val="79"/>
        <w:snapToGrid w:val="0"/>
        <w:spacing w:before="0"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color w:val="auto"/>
          <w:sz w:val="24"/>
          <w:szCs w:val="24"/>
          <w:highlight w:val="none"/>
        </w:rPr>
        <w:t>通过电子交易平台</w:t>
      </w:r>
      <w:r>
        <w:rPr>
          <w:rFonts w:hint="eastAsia" w:asciiTheme="minorEastAsia" w:hAnsiTheme="minorEastAsia" w:eastAsiaTheme="minorEastAsia"/>
          <w:color w:val="auto"/>
          <w:sz w:val="24"/>
          <w:szCs w:val="24"/>
          <w:highlight w:val="none"/>
        </w:rPr>
        <w:t>通知所有获取磋商文件的供应商；不足5日的，采购人、采购机构应当顺延提交首次响应文件截止时间。</w:t>
      </w:r>
    </w:p>
    <w:p w14:paraId="15E8D293">
      <w:pPr>
        <w:pStyle w:val="79"/>
        <w:snapToGrid w:val="0"/>
        <w:spacing w:before="0" w:line="240" w:lineRule="auto"/>
        <w:ind w:firstLine="482"/>
        <w:rPr>
          <w:rFonts w:hint="eastAsia" w:cs="仿宋_GB2312"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sz w:val="24"/>
        </w:rPr>
        <w:t>▲</w:t>
      </w:r>
      <w:r>
        <w:rPr>
          <w:rFonts w:hint="eastAsia" w:cs="仿宋_GB2312" w:asciiTheme="minorEastAsia" w:hAnsiTheme="minorEastAsia" w:eastAsiaTheme="minorEastAsia"/>
          <w:b/>
          <w:color w:val="auto"/>
          <w:sz w:val="24"/>
          <w:szCs w:val="24"/>
          <w:highlight w:val="none"/>
        </w:rPr>
        <w:t>响应文件未按磋商文件的澄清、修改的内容编制，又不符合实质性要求的，响应无效。</w:t>
      </w:r>
    </w:p>
    <w:p w14:paraId="39383879">
      <w:pPr>
        <w:adjustRightInd/>
        <w:spacing w:line="240" w:lineRule="auto"/>
        <w:jc w:val="center"/>
        <w:outlineLvl w:val="0"/>
        <w:rPr>
          <w:rFonts w:hint="eastAsia" w:cs="仿宋_GB2312" w:asciiTheme="minorEastAsia" w:hAnsiTheme="minorEastAsia" w:eastAsiaTheme="minorEastAsia"/>
          <w:b/>
          <w:color w:val="auto"/>
          <w:sz w:val="32"/>
          <w:szCs w:val="32"/>
          <w:highlight w:val="none"/>
          <w:lang w:val="en-US" w:eastAsia="zh-CN"/>
        </w:rPr>
      </w:pPr>
    </w:p>
    <w:p w14:paraId="38244070">
      <w:pPr>
        <w:adjustRightInd/>
        <w:spacing w:line="240" w:lineRule="auto"/>
        <w:jc w:val="center"/>
        <w:outlineLvl w:val="0"/>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val="en-US" w:eastAsia="zh-CN"/>
        </w:rPr>
        <w:t>六</w:t>
      </w:r>
      <w:r>
        <w:rPr>
          <w:rFonts w:hint="eastAsia" w:cs="仿宋_GB2312" w:asciiTheme="minorEastAsia" w:hAnsiTheme="minorEastAsia" w:eastAsiaTheme="minorEastAsia"/>
          <w:b/>
          <w:color w:val="auto"/>
          <w:sz w:val="32"/>
          <w:szCs w:val="32"/>
          <w:highlight w:val="none"/>
        </w:rPr>
        <w:t>、响应文件的编制</w:t>
      </w:r>
    </w:p>
    <w:p w14:paraId="0A0CDFC7">
      <w:pPr>
        <w:pStyle w:val="14"/>
        <w:spacing w:line="24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 响应文件的语言</w:t>
      </w:r>
    </w:p>
    <w:p w14:paraId="5AED3C17">
      <w:pPr>
        <w:pStyle w:val="14"/>
        <w:spacing w:line="24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响应文件及供应商与采购有关的来往通知、函件和文件均应使用中文。</w:t>
      </w:r>
    </w:p>
    <w:p w14:paraId="2C3C145A">
      <w:pPr>
        <w:pStyle w:val="14"/>
        <w:spacing w:line="24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响应文件的组成</w:t>
      </w:r>
    </w:p>
    <w:p w14:paraId="546EB825">
      <w:pPr>
        <w:snapToGrid w:val="0"/>
        <w:spacing w:line="360" w:lineRule="auto"/>
        <w:ind w:firstLine="480" w:firstLineChars="20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2.1资格文件：</w:t>
      </w:r>
    </w:p>
    <w:p w14:paraId="532B63C3">
      <w:pPr>
        <w:snapToGrid w:val="0"/>
        <w:spacing w:line="360" w:lineRule="auto"/>
        <w:ind w:firstLine="960" w:firstLineChars="40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2.1.1符合参加政府采购活动应当具备的一般条件的承诺函；</w:t>
      </w:r>
    </w:p>
    <w:p w14:paraId="5994FC68">
      <w:pPr>
        <w:snapToGrid w:val="0"/>
        <w:spacing w:line="360" w:lineRule="auto"/>
        <w:ind w:firstLine="960" w:firstLineChars="40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2.1.2联合协议（如果有)；</w:t>
      </w:r>
    </w:p>
    <w:p w14:paraId="634AFB9F">
      <w:pPr>
        <w:snapToGrid w:val="0"/>
        <w:spacing w:line="360" w:lineRule="auto"/>
        <w:ind w:firstLine="960" w:firstLineChars="40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2.1.3落实政府采购政策需满足的资格要求（如果有)；</w:t>
      </w:r>
    </w:p>
    <w:p w14:paraId="47871C69">
      <w:pPr>
        <w:snapToGrid w:val="0"/>
        <w:spacing w:line="360" w:lineRule="auto"/>
        <w:ind w:firstLine="960" w:firstLineChars="40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2.1.4本项目的特定资格要求（如果有)。</w:t>
      </w:r>
    </w:p>
    <w:p w14:paraId="50DAFC55">
      <w:pPr>
        <w:snapToGrid w:val="0"/>
        <w:spacing w:line="360" w:lineRule="auto"/>
        <w:ind w:firstLine="480" w:firstLineChars="200"/>
        <w:rPr>
          <w:rFonts w:hint="eastAsia" w:cs="宋体" w:asciiTheme="minorEastAsia" w:hAnsiTheme="minorEastAsia" w:eastAsiaTheme="minorEastAsia"/>
          <w:color w:val="auto"/>
          <w:kern w:val="0"/>
          <w:sz w:val="24"/>
          <w:szCs w:val="24"/>
          <w:highlight w:val="none"/>
          <w:lang w:val="zh-CN" w:eastAsia="zh-CN" w:bidi="ar-SA"/>
        </w:rPr>
      </w:pPr>
      <w:r>
        <w:rPr>
          <w:rFonts w:hint="eastAsia" w:cs="宋体" w:asciiTheme="minorEastAsia" w:hAnsiTheme="minorEastAsia" w:eastAsiaTheme="minorEastAsia"/>
          <w:color w:val="auto"/>
          <w:kern w:val="0"/>
          <w:sz w:val="24"/>
          <w:szCs w:val="24"/>
          <w:highlight w:val="none"/>
          <w:lang w:val="en-US" w:eastAsia="zh-CN" w:bidi="ar-SA"/>
        </w:rPr>
        <w:t>2</w:t>
      </w:r>
      <w:r>
        <w:rPr>
          <w:rFonts w:hint="eastAsia" w:cs="宋体" w:asciiTheme="minorEastAsia" w:hAnsiTheme="minorEastAsia" w:eastAsiaTheme="minorEastAsia"/>
          <w:color w:val="auto"/>
          <w:kern w:val="0"/>
          <w:sz w:val="24"/>
          <w:szCs w:val="24"/>
          <w:highlight w:val="none"/>
          <w:lang w:val="zh-CN" w:eastAsia="zh-CN" w:bidi="ar-SA"/>
        </w:rPr>
        <w:t>.</w:t>
      </w:r>
      <w:r>
        <w:rPr>
          <w:rFonts w:hint="eastAsia" w:cs="宋体" w:asciiTheme="minorEastAsia" w:hAnsiTheme="minorEastAsia" w:eastAsiaTheme="minorEastAsia"/>
          <w:color w:val="auto"/>
          <w:kern w:val="0"/>
          <w:sz w:val="24"/>
          <w:szCs w:val="24"/>
          <w:highlight w:val="none"/>
          <w:lang w:val="en-US" w:eastAsia="zh-CN" w:bidi="ar-SA"/>
        </w:rPr>
        <w:t>2</w:t>
      </w:r>
      <w:r>
        <w:rPr>
          <w:rFonts w:hint="eastAsia" w:cs="宋体" w:asciiTheme="minorEastAsia" w:hAnsiTheme="minorEastAsia" w:eastAsiaTheme="minorEastAsia"/>
          <w:color w:val="auto"/>
          <w:kern w:val="0"/>
          <w:sz w:val="24"/>
          <w:szCs w:val="24"/>
          <w:highlight w:val="none"/>
          <w:lang w:val="zh-CN" w:eastAsia="zh-CN" w:bidi="ar-SA"/>
        </w:rPr>
        <w:t xml:space="preserve">  </w:t>
      </w:r>
      <w:r>
        <w:rPr>
          <w:rFonts w:hint="eastAsia" w:cs="宋体" w:asciiTheme="minorEastAsia" w:hAnsiTheme="minorEastAsia" w:eastAsiaTheme="minorEastAsia"/>
          <w:color w:val="auto"/>
          <w:kern w:val="0"/>
          <w:sz w:val="24"/>
          <w:szCs w:val="24"/>
          <w:highlight w:val="none"/>
          <w:lang w:val="en-US" w:eastAsia="zh-CN" w:bidi="ar-SA"/>
        </w:rPr>
        <w:t>商务技术</w:t>
      </w:r>
      <w:r>
        <w:rPr>
          <w:rFonts w:hint="eastAsia" w:cs="宋体" w:asciiTheme="minorEastAsia" w:hAnsiTheme="minorEastAsia" w:eastAsiaTheme="minorEastAsia"/>
          <w:color w:val="auto"/>
          <w:kern w:val="0"/>
          <w:sz w:val="24"/>
          <w:szCs w:val="24"/>
          <w:highlight w:val="none"/>
          <w:lang w:val="zh-CN" w:eastAsia="zh-CN" w:bidi="ar-SA"/>
        </w:rPr>
        <w:t>文件：</w:t>
      </w:r>
    </w:p>
    <w:p w14:paraId="260DA21C">
      <w:pPr>
        <w:snapToGrid w:val="0"/>
        <w:spacing w:line="360" w:lineRule="auto"/>
        <w:ind w:firstLine="960" w:firstLineChars="40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2.2.1投标函；</w:t>
      </w:r>
      <w:r>
        <w:rPr>
          <w:rFonts w:hint="eastAsia" w:cs="宋体" w:asciiTheme="minorEastAsia" w:hAnsiTheme="minorEastAsia" w:eastAsiaTheme="minorEastAsia"/>
          <w:color w:val="auto"/>
          <w:kern w:val="0"/>
          <w:sz w:val="24"/>
          <w:szCs w:val="24"/>
          <w:highlight w:val="none"/>
          <w:lang w:val="zh-CN" w:eastAsia="zh-CN" w:bidi="ar-SA"/>
        </w:rPr>
        <w:t xml:space="preserve"> </w:t>
      </w:r>
    </w:p>
    <w:p w14:paraId="6638DC2F">
      <w:pPr>
        <w:snapToGrid w:val="0"/>
        <w:spacing w:line="360" w:lineRule="auto"/>
        <w:ind w:firstLine="960" w:firstLineChars="40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2.2.2授权委托书或法定代表人（单位负责人、自然人本人）身份证明；</w:t>
      </w:r>
    </w:p>
    <w:p w14:paraId="07DA283B">
      <w:pPr>
        <w:snapToGrid w:val="0"/>
        <w:spacing w:line="360" w:lineRule="auto"/>
        <w:ind w:firstLine="960" w:firstLineChars="40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2.2.3分包意向协议；</w:t>
      </w:r>
    </w:p>
    <w:p w14:paraId="24BA8855">
      <w:pPr>
        <w:snapToGrid w:val="0"/>
        <w:spacing w:line="360" w:lineRule="auto"/>
        <w:ind w:firstLine="960" w:firstLineChars="40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2.2.4符合性审查资料；</w:t>
      </w:r>
    </w:p>
    <w:p w14:paraId="29C43E47">
      <w:pPr>
        <w:snapToGrid w:val="0"/>
        <w:spacing w:line="360" w:lineRule="auto"/>
        <w:ind w:left="420" w:leftChars="200" w:firstLine="480" w:firstLineChars="20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2.2.5评标标准相应的商务技术资料；</w:t>
      </w:r>
    </w:p>
    <w:p w14:paraId="13D4CF54">
      <w:pPr>
        <w:snapToGrid w:val="0"/>
        <w:spacing w:line="360" w:lineRule="auto"/>
        <w:ind w:left="420" w:leftChars="200" w:firstLine="480" w:firstLineChars="20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2.2.6投标标的清单；</w:t>
      </w:r>
    </w:p>
    <w:p w14:paraId="040C5674">
      <w:pPr>
        <w:snapToGrid w:val="0"/>
        <w:spacing w:line="360" w:lineRule="auto"/>
        <w:ind w:firstLine="960" w:firstLineChars="40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2.2.7商务技术偏离表；</w:t>
      </w:r>
    </w:p>
    <w:p w14:paraId="3AD5530D">
      <w:pPr>
        <w:snapToGrid w:val="0"/>
        <w:spacing w:line="360" w:lineRule="auto"/>
        <w:ind w:firstLine="960" w:firstLineChars="400"/>
        <w:rPr>
          <w:rFonts w:hint="eastAsia" w:cs="宋体" w:asciiTheme="minorEastAsia" w:hAnsiTheme="minorEastAsia" w:eastAsiaTheme="minorEastAsia"/>
          <w:color w:val="auto"/>
          <w:kern w:val="0"/>
          <w:sz w:val="24"/>
          <w:szCs w:val="24"/>
          <w:highlight w:val="none"/>
          <w:lang w:val="zh-CN" w:eastAsia="zh-CN" w:bidi="ar-SA"/>
        </w:rPr>
      </w:pPr>
      <w:r>
        <w:rPr>
          <w:rFonts w:hint="eastAsia" w:cs="宋体" w:asciiTheme="minorEastAsia" w:hAnsiTheme="minorEastAsia" w:eastAsiaTheme="minorEastAsia"/>
          <w:color w:val="auto"/>
          <w:kern w:val="0"/>
          <w:sz w:val="24"/>
          <w:szCs w:val="24"/>
          <w:highlight w:val="none"/>
          <w:lang w:val="en-US" w:eastAsia="zh-CN" w:bidi="ar-SA"/>
        </w:rPr>
        <w:t>2</w:t>
      </w:r>
      <w:r>
        <w:rPr>
          <w:rFonts w:hint="eastAsia" w:cs="宋体" w:asciiTheme="minorEastAsia" w:hAnsiTheme="minorEastAsia" w:eastAsiaTheme="minorEastAsia"/>
          <w:color w:val="auto"/>
          <w:kern w:val="0"/>
          <w:sz w:val="24"/>
          <w:szCs w:val="24"/>
          <w:highlight w:val="none"/>
          <w:lang w:val="zh-CN" w:eastAsia="zh-CN" w:bidi="ar-SA"/>
        </w:rPr>
        <w:t>.</w:t>
      </w:r>
      <w:r>
        <w:rPr>
          <w:rFonts w:hint="eastAsia" w:cs="宋体" w:asciiTheme="minorEastAsia" w:hAnsiTheme="minorEastAsia" w:eastAsiaTheme="minorEastAsia"/>
          <w:color w:val="auto"/>
          <w:kern w:val="0"/>
          <w:sz w:val="24"/>
          <w:szCs w:val="24"/>
          <w:highlight w:val="none"/>
          <w:lang w:val="en-US" w:eastAsia="zh-CN" w:bidi="ar-SA"/>
        </w:rPr>
        <w:t>2</w:t>
      </w:r>
      <w:r>
        <w:rPr>
          <w:rFonts w:hint="eastAsia" w:cs="宋体" w:asciiTheme="minorEastAsia" w:hAnsiTheme="minorEastAsia" w:eastAsiaTheme="minorEastAsia"/>
          <w:color w:val="auto"/>
          <w:kern w:val="0"/>
          <w:sz w:val="24"/>
          <w:szCs w:val="24"/>
          <w:highlight w:val="none"/>
          <w:lang w:val="zh-CN" w:eastAsia="zh-CN" w:bidi="ar-SA"/>
        </w:rPr>
        <w:t>.</w:t>
      </w:r>
      <w:r>
        <w:rPr>
          <w:rFonts w:hint="eastAsia" w:cs="宋体" w:asciiTheme="minorEastAsia" w:hAnsiTheme="minorEastAsia" w:eastAsiaTheme="minorEastAsia"/>
          <w:color w:val="auto"/>
          <w:kern w:val="0"/>
          <w:sz w:val="24"/>
          <w:szCs w:val="24"/>
          <w:highlight w:val="none"/>
          <w:lang w:val="en-US" w:eastAsia="zh-CN" w:bidi="ar-SA"/>
        </w:rPr>
        <w:t>8</w:t>
      </w:r>
      <w:r>
        <w:rPr>
          <w:rFonts w:hint="eastAsia" w:cs="宋体" w:asciiTheme="minorEastAsia" w:hAnsiTheme="minorEastAsia" w:eastAsiaTheme="minorEastAsia"/>
          <w:color w:val="auto"/>
          <w:kern w:val="0"/>
          <w:sz w:val="24"/>
          <w:szCs w:val="24"/>
          <w:highlight w:val="none"/>
          <w:lang w:val="zh-CN" w:eastAsia="zh-CN" w:bidi="ar-SA"/>
        </w:rPr>
        <w:t>政府采购供应商廉洁自律承诺书；</w:t>
      </w:r>
    </w:p>
    <w:p w14:paraId="6A8B2273">
      <w:pPr>
        <w:snapToGrid w:val="0"/>
        <w:spacing w:line="360" w:lineRule="auto"/>
        <w:ind w:firstLine="480" w:firstLineChars="200"/>
        <w:rPr>
          <w:rFonts w:hint="eastAsia" w:cs="宋体" w:asciiTheme="minorEastAsia" w:hAnsiTheme="minorEastAsia" w:eastAsiaTheme="minorEastAsia"/>
          <w:color w:val="auto"/>
          <w:kern w:val="0"/>
          <w:sz w:val="24"/>
          <w:szCs w:val="24"/>
          <w:highlight w:val="none"/>
          <w:lang w:val="zh-CN" w:eastAsia="zh-CN" w:bidi="ar-SA"/>
        </w:rPr>
      </w:pPr>
      <w:r>
        <w:rPr>
          <w:rFonts w:hint="eastAsia" w:cs="宋体" w:asciiTheme="minorEastAsia" w:hAnsiTheme="minorEastAsia" w:eastAsiaTheme="minorEastAsia"/>
          <w:color w:val="auto"/>
          <w:kern w:val="0"/>
          <w:sz w:val="24"/>
          <w:szCs w:val="24"/>
          <w:highlight w:val="none"/>
          <w:lang w:val="en-US" w:eastAsia="zh-CN" w:bidi="ar-SA"/>
        </w:rPr>
        <w:t>2</w:t>
      </w:r>
      <w:r>
        <w:rPr>
          <w:rFonts w:hint="eastAsia" w:cs="宋体" w:asciiTheme="minorEastAsia" w:hAnsiTheme="minorEastAsia" w:eastAsiaTheme="minorEastAsia"/>
          <w:color w:val="auto"/>
          <w:kern w:val="0"/>
          <w:sz w:val="24"/>
          <w:szCs w:val="24"/>
          <w:highlight w:val="none"/>
          <w:lang w:val="zh-CN" w:eastAsia="zh-CN" w:bidi="ar-SA"/>
        </w:rPr>
        <w:t>.</w:t>
      </w:r>
      <w:r>
        <w:rPr>
          <w:rFonts w:hint="eastAsia" w:cs="宋体" w:asciiTheme="minorEastAsia" w:hAnsiTheme="minorEastAsia" w:eastAsiaTheme="minorEastAsia"/>
          <w:color w:val="auto"/>
          <w:kern w:val="0"/>
          <w:sz w:val="24"/>
          <w:szCs w:val="24"/>
          <w:highlight w:val="none"/>
          <w:lang w:val="en-US" w:eastAsia="zh-CN" w:bidi="ar-SA"/>
        </w:rPr>
        <w:t xml:space="preserve">3报价文件： </w:t>
      </w:r>
    </w:p>
    <w:p w14:paraId="2FDC8D49">
      <w:pPr>
        <w:snapToGrid w:val="0"/>
        <w:spacing w:line="360" w:lineRule="auto"/>
        <w:ind w:firstLine="960" w:firstLineChars="40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2.3.1开标一览表（报价表）；</w:t>
      </w:r>
    </w:p>
    <w:p w14:paraId="3EE72CB2">
      <w:pPr>
        <w:pStyle w:val="3"/>
        <w:tabs>
          <w:tab w:val="left" w:pos="432"/>
        </w:tabs>
        <w:adjustRightInd w:val="0"/>
        <w:ind w:left="0" w:firstLine="964" w:firstLineChars="40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2.3.2 报价情况说明（如供应商报价低于项目预算50%的，应当提交本文档，详细阐述不影响产品质量或者诚信履约的具体原因）；</w:t>
      </w:r>
    </w:p>
    <w:p w14:paraId="4AB73733">
      <w:pPr>
        <w:snapToGrid w:val="0"/>
        <w:spacing w:line="360" w:lineRule="auto"/>
        <w:ind w:firstLine="960" w:firstLineChars="400"/>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2.3.3中小企业声明函。</w:t>
      </w:r>
    </w:p>
    <w:p w14:paraId="4521DE3E">
      <w:pPr>
        <w:pStyle w:val="14"/>
        <w:spacing w:line="24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612E97F2">
      <w:pP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kern w:val="0"/>
          <w:sz w:val="24"/>
          <w:szCs w:val="24"/>
          <w:highlight w:val="none"/>
          <w:lang w:val="zh-CN"/>
        </w:rPr>
        <w:t>3.1各供应商在编制响应文件时请按照磋商文件第</w:t>
      </w:r>
      <w:r>
        <w:rPr>
          <w:rFonts w:hint="eastAsia" w:cs="仿宋_GB2312" w:asciiTheme="minorEastAsia" w:hAnsiTheme="minorEastAsia" w:eastAsiaTheme="minorEastAsia"/>
          <w:color w:val="auto"/>
          <w:kern w:val="0"/>
          <w:sz w:val="24"/>
          <w:szCs w:val="24"/>
          <w:highlight w:val="none"/>
          <w:lang w:val="en-US" w:eastAsia="zh-CN"/>
        </w:rPr>
        <w:t>七</w:t>
      </w:r>
      <w:r>
        <w:rPr>
          <w:rFonts w:hint="eastAsia" w:cs="仿宋_GB2312" w:asciiTheme="minorEastAsia" w:hAnsiTheme="minorEastAsia" w:eastAsiaTheme="minorEastAsia"/>
          <w:color w:val="auto"/>
          <w:kern w:val="0"/>
          <w:sz w:val="24"/>
          <w:szCs w:val="24"/>
          <w:highlight w:val="none"/>
          <w:lang w:val="zh-CN"/>
        </w:rPr>
        <w:t>部分规定的格式进行，混乱的编排导致响应文件被误读或磋商小组查找不到有效文件是供应商的风险。</w:t>
      </w:r>
    </w:p>
    <w:p w14:paraId="202F6C84">
      <w:pPr>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7299E1A">
      <w:pPr>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zh-CN"/>
        </w:rPr>
        <w:t>3.3使用“政采云电子交易客户端”需要提前申领CA数字证书，申领流程请自行前往“浙江政府采购网-下载专区-电子交易客户端-CA驱动和申领流程”进行查阅。</w:t>
      </w:r>
    </w:p>
    <w:p w14:paraId="49BC5109">
      <w:pPr>
        <w:pStyle w:val="79"/>
        <w:snapToGrid w:val="0"/>
        <w:spacing w:before="0"/>
        <w:ind w:firstLine="48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3.4响应文件按照磋商文件第</w:t>
      </w:r>
      <w:r>
        <w:rPr>
          <w:rFonts w:hint="eastAsia" w:cs="仿宋_GB2312" w:asciiTheme="minorEastAsia" w:hAnsiTheme="minorEastAsia" w:eastAsiaTheme="minorEastAsia"/>
          <w:color w:val="auto"/>
          <w:sz w:val="24"/>
          <w:szCs w:val="24"/>
          <w:highlight w:val="none"/>
          <w:lang w:eastAsia="zh-CN"/>
        </w:rPr>
        <w:t>六部分</w:t>
      </w:r>
      <w:r>
        <w:rPr>
          <w:rFonts w:hint="eastAsia" w:cs="仿宋_GB2312" w:asciiTheme="minorEastAsia" w:hAnsiTheme="minorEastAsia" w:eastAsiaTheme="minorEastAsia"/>
          <w:color w:val="auto"/>
          <w:sz w:val="24"/>
          <w:szCs w:val="24"/>
          <w:highlight w:val="none"/>
        </w:rPr>
        <w:t>格式要求进行签署、盖章。</w:t>
      </w:r>
      <w:r>
        <w:rPr>
          <w:rFonts w:hint="eastAsia" w:asciiTheme="minorEastAsia" w:hAnsiTheme="minorEastAsia" w:eastAsiaTheme="minorEastAsia"/>
          <w:sz w:val="24"/>
        </w:rPr>
        <w:t>▲</w:t>
      </w:r>
      <w:r>
        <w:rPr>
          <w:rFonts w:hint="eastAsia" w:cs="仿宋_GB2312" w:asciiTheme="minorEastAsia" w:hAnsiTheme="minorEastAsia" w:eastAsiaTheme="minorEastAsia"/>
          <w:b/>
          <w:color w:val="auto"/>
          <w:sz w:val="24"/>
          <w:szCs w:val="24"/>
          <w:highlight w:val="none"/>
        </w:rPr>
        <w:t>供应商的响应文件未按照磋商文件要求签署、盖章的，其响应无效</w:t>
      </w:r>
      <w:r>
        <w:rPr>
          <w:rFonts w:hint="eastAsia" w:cs="仿宋_GB2312" w:asciiTheme="minorEastAsia" w:hAnsiTheme="minorEastAsia" w:eastAsiaTheme="minorEastAsia"/>
          <w:color w:val="auto"/>
          <w:sz w:val="24"/>
          <w:szCs w:val="24"/>
          <w:highlight w:val="none"/>
        </w:rPr>
        <w:t>。</w:t>
      </w:r>
    </w:p>
    <w:p w14:paraId="7723F7AA">
      <w:pPr>
        <w:pStyle w:val="79"/>
        <w:snapToGrid w:val="0"/>
        <w:spacing w:before="0"/>
        <w:ind w:firstLine="480"/>
        <w:rPr>
          <w:rFonts w:cs="宋体"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6F3A789E">
      <w:pPr>
        <w:pStyle w:val="79"/>
        <w:snapToGrid w:val="0"/>
        <w:spacing w:before="0"/>
        <w:ind w:firstLine="480"/>
        <w:rPr>
          <w:rFonts w:hint="eastAsia" w:cs="仿宋_GB2312" w:asciiTheme="minorEastAsia" w:hAnsiTheme="minorEastAsia" w:eastAsiaTheme="minorEastAsia"/>
          <w:b/>
          <w:color w:val="auto"/>
          <w:sz w:val="32"/>
          <w:szCs w:val="32"/>
          <w:highlight w:val="none"/>
          <w:lang w:val="en-US" w:eastAsia="zh-CN"/>
        </w:rPr>
      </w:pPr>
      <w:r>
        <w:rPr>
          <w:rFonts w:hint="eastAsia" w:cs="宋体" w:asciiTheme="minorEastAsia" w:hAnsiTheme="minorEastAsia" w:eastAsiaTheme="minorEastAsia"/>
          <w:color w:val="auto"/>
          <w:sz w:val="24"/>
          <w:szCs w:val="24"/>
          <w:highlight w:val="none"/>
        </w:rPr>
        <w:t>3.6磋商文件对响应文件签署、盖章的要求适用于电子签名。</w:t>
      </w:r>
    </w:p>
    <w:p w14:paraId="77F22AD2">
      <w:pPr>
        <w:adjustRightInd/>
        <w:spacing w:line="360" w:lineRule="auto"/>
        <w:jc w:val="center"/>
        <w:outlineLvl w:val="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32"/>
          <w:szCs w:val="32"/>
          <w:highlight w:val="none"/>
          <w:lang w:val="en-US" w:eastAsia="zh-CN"/>
        </w:rPr>
        <w:t>七</w:t>
      </w:r>
      <w:r>
        <w:rPr>
          <w:rFonts w:hint="eastAsia" w:cs="仿宋_GB2312" w:asciiTheme="minorEastAsia" w:hAnsiTheme="minorEastAsia" w:eastAsiaTheme="minorEastAsia"/>
          <w:b/>
          <w:color w:val="auto"/>
          <w:sz w:val="32"/>
          <w:szCs w:val="32"/>
          <w:highlight w:val="none"/>
        </w:rPr>
        <w:t>、</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32"/>
          <w:highlight w:val="none"/>
        </w:rPr>
        <w:t>文件的提交和备份</w:t>
      </w:r>
    </w:p>
    <w:p w14:paraId="7290FFF6">
      <w:pPr>
        <w:pStyle w:val="79"/>
        <w:spacing w:before="0"/>
        <w:ind w:firstLine="0" w:firstLineChars="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1.响应文件的提交、补充、修改、撤回</w:t>
      </w:r>
    </w:p>
    <w:p w14:paraId="1ED55B2F">
      <w:pPr>
        <w:pStyle w:val="79"/>
        <w:ind w:firstLine="48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0846F42">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 在响应截止时间以后，不能补充、修改响应文件。</w:t>
      </w:r>
    </w:p>
    <w:p w14:paraId="4B9B0F2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 在提交“最后报价”后，供应商不能退出磋商。</w:t>
      </w:r>
    </w:p>
    <w:p w14:paraId="12207008">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3971438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 采购机构可以视情况延长提交响应文件的截止时间。在上述情况下，采购机构与供应商以前在响应截止期方面的全部权利、责任和义务，将适用于延长至新的响应截止期。</w:t>
      </w:r>
    </w:p>
    <w:p w14:paraId="577A2AFB">
      <w:pPr>
        <w:pStyle w:val="14"/>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774968A3">
      <w:pPr>
        <w:pStyle w:val="14"/>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但采购人、采购机构不强制或变相强制供应商提交备份响应文件。</w:t>
      </w:r>
    </w:p>
    <w:p w14:paraId="0EF970E1">
      <w:pPr>
        <w:pStyle w:val="14"/>
        <w:keepNext w:val="0"/>
        <w:keepLines w:val="0"/>
        <w:pageBreakBefore w:val="0"/>
        <w:widowControl w:val="0"/>
        <w:kinsoku/>
        <w:wordWrap/>
        <w:overflowPunct/>
        <w:topLinePunct w:val="0"/>
        <w:autoSpaceDE/>
        <w:autoSpaceDN/>
        <w:bidi w:val="0"/>
        <w:adjustRightInd w:val="0"/>
        <w:snapToGrid/>
        <w:spacing w:line="312" w:lineRule="auto"/>
        <w:ind w:firstLine="360" w:firstLineChars="150"/>
        <w:textAlignment w:val="auto"/>
        <w:rPr>
          <w:rFonts w:cs="仿宋_GB2312" w:asciiTheme="minorEastAsia" w:hAnsiTheme="minorEastAsia" w:eastAsiaTheme="minorEastAsia"/>
          <w:b/>
          <w:color w:val="auto"/>
          <w:sz w:val="24"/>
          <w:szCs w:val="24"/>
          <w:highlight w:val="none"/>
        </w:rPr>
      </w:pPr>
      <w:r>
        <w:rPr>
          <w:rFonts w:hint="eastAsia" w:ascii="宋体" w:hAnsi="宋体" w:eastAsia="宋体" w:cs="宋体"/>
          <w:sz w:val="24"/>
          <w:szCs w:val="24"/>
          <w:highlight w:val="none"/>
        </w:rPr>
        <w:t>2.2 备份响应文件须在“政采云投标客户端”制作生成，并储存在</w:t>
      </w:r>
      <w:r>
        <w:rPr>
          <w:rFonts w:hint="eastAsia" w:ascii="宋体" w:hAnsi="宋体" w:eastAsia="宋体" w:cs="宋体"/>
          <w:b/>
          <w:bCs/>
          <w:sz w:val="24"/>
          <w:szCs w:val="24"/>
          <w:highlight w:val="none"/>
          <w:u w:val="single"/>
          <w:lang w:val="en-US" w:eastAsia="zh-CN"/>
        </w:rPr>
        <w:t>U盘</w:t>
      </w:r>
      <w:r>
        <w:rPr>
          <w:rFonts w:hint="eastAsia" w:ascii="宋体" w:hAnsi="宋体" w:eastAsia="宋体" w:cs="宋体"/>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存储、密封规定的备份响应文件将被视为无效或者被拒绝接收。</w:t>
      </w:r>
    </w:p>
    <w:p w14:paraId="4D659801">
      <w:pPr>
        <w:pStyle w:val="14"/>
        <w:keepNext w:val="0"/>
        <w:keepLines w:val="0"/>
        <w:pageBreakBefore w:val="0"/>
        <w:widowControl w:val="0"/>
        <w:kinsoku/>
        <w:wordWrap/>
        <w:overflowPunct/>
        <w:topLinePunct w:val="0"/>
        <w:autoSpaceDE/>
        <w:autoSpaceDN/>
        <w:bidi w:val="0"/>
        <w:adjustRightInd w:val="0"/>
        <w:snapToGrid/>
        <w:spacing w:line="312" w:lineRule="auto"/>
        <w:ind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 直接提交备份响应文件的，供应商应于响应截止时间前在</w:t>
      </w:r>
      <w:r>
        <w:rPr>
          <w:rFonts w:hint="eastAsia" w:ascii="宋体" w:hAnsi="宋体" w:eastAsia="宋体" w:cs="宋体"/>
          <w:snapToGrid/>
          <w:color w:val="auto"/>
          <w:kern w:val="2"/>
          <w:sz w:val="24"/>
          <w:szCs w:val="24"/>
          <w:highlight w:val="none"/>
          <w:lang w:val="en-US" w:eastAsia="zh-CN" w:bidi="ar-SA"/>
        </w:rPr>
        <w:t>磋商文件第三部分供应商须知前附表规定的备份响应文件送达地点</w:t>
      </w:r>
      <w:r>
        <w:rPr>
          <w:rFonts w:hint="eastAsia" w:ascii="宋体" w:hAnsi="宋体" w:eastAsia="宋体" w:cs="宋体"/>
          <w:sz w:val="24"/>
          <w:szCs w:val="24"/>
          <w:highlight w:val="none"/>
        </w:rPr>
        <w:t>将备份响应文件提交给</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将拒绝接受逾期送达的备份响应文件。</w:t>
      </w:r>
    </w:p>
    <w:p w14:paraId="0CDBC9E0">
      <w:pPr>
        <w:pStyle w:val="1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w:t>
      </w:r>
      <w:r>
        <w:rPr>
          <w:rFonts w:hint="eastAsia" w:cs="宋体" w:asciiTheme="minorEastAsia" w:hAnsiTheme="minorEastAsia" w:eastAsiaTheme="minorEastAsia"/>
          <w:color w:val="auto"/>
          <w:sz w:val="24"/>
          <w:szCs w:val="24"/>
          <w:highlight w:val="none"/>
          <w:lang w:val="en-US" w:eastAsia="zh-CN"/>
        </w:rPr>
        <w:t>二</w:t>
      </w:r>
      <w:r>
        <w:rPr>
          <w:rFonts w:hint="eastAsia" w:cs="宋体" w:asciiTheme="minorEastAsia" w:hAnsiTheme="minorEastAsia" w:eastAsiaTheme="minorEastAsia"/>
          <w:color w:val="auto"/>
          <w:sz w:val="24"/>
          <w:szCs w:val="24"/>
          <w:highlight w:val="none"/>
          <w:lang w:eastAsia="zh-CN"/>
        </w:rPr>
        <w:t>部分竞争性磋商流程</w:t>
      </w:r>
      <w:r>
        <w:rPr>
          <w:rFonts w:hint="eastAsia" w:cs="宋体" w:asciiTheme="minorEastAsia" w:hAnsiTheme="minorEastAsia" w:eastAsiaTheme="minorEastAsia"/>
          <w:color w:val="auto"/>
          <w:sz w:val="24"/>
          <w:szCs w:val="24"/>
          <w:highlight w:val="none"/>
        </w:rPr>
        <w:t>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6F96D0E9">
      <w:pPr>
        <w:pStyle w:val="14"/>
        <w:spacing w:line="360" w:lineRule="auto"/>
        <w:ind w:firstLine="361"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7756BD77">
      <w:pPr>
        <w:adjustRightInd/>
        <w:spacing w:line="360" w:lineRule="auto"/>
        <w:jc w:val="center"/>
        <w:outlineLvl w:val="0"/>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val="en-US" w:eastAsia="zh-CN"/>
        </w:rPr>
        <w:t>八</w:t>
      </w:r>
      <w:r>
        <w:rPr>
          <w:rFonts w:hint="eastAsia" w:cs="仿宋_GB2312" w:asciiTheme="minorEastAsia" w:hAnsiTheme="minorEastAsia" w:eastAsiaTheme="minorEastAsia"/>
          <w:b/>
          <w:color w:val="auto"/>
          <w:sz w:val="32"/>
          <w:szCs w:val="32"/>
          <w:highlight w:val="none"/>
        </w:rPr>
        <w:t>、</w:t>
      </w:r>
      <w:r>
        <w:rPr>
          <w:rFonts w:hint="eastAsia" w:asciiTheme="minorEastAsia" w:hAnsiTheme="minorEastAsia" w:eastAsiaTheme="minorEastAsia"/>
          <w:b/>
          <w:color w:val="auto"/>
          <w:sz w:val="32"/>
          <w:szCs w:val="32"/>
          <w:highlight w:val="none"/>
        </w:rPr>
        <w:t>开启响应文件与信用信息查询</w:t>
      </w:r>
    </w:p>
    <w:p w14:paraId="3FD4E99B">
      <w:pPr>
        <w:pStyle w:val="14"/>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082E5A75">
      <w:pPr>
        <w:pStyle w:val="1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1.1采购机构按照磋商文件规定的时间通过电子交易平台组织响应文件开启，所有供应商均应当准时在线参加。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2088DA03">
      <w:pPr>
        <w:pStyle w:val="14"/>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7D9489E9">
      <w:pPr>
        <w:pStyle w:val="14"/>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58C9CD2E">
      <w:pPr>
        <w:pStyle w:val="79"/>
        <w:spacing w:before="0"/>
        <w:ind w:firstLine="0" w:firstLineChars="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2.信用信息查询</w:t>
      </w:r>
    </w:p>
    <w:p w14:paraId="54FD33C6">
      <w:pPr>
        <w:pStyle w:val="79"/>
        <w:spacing w:before="0"/>
        <w:ind w:firstLine="495" w:firstLineChars="0"/>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2.1信用信息查询渠道及截止时间：采购机构将通过“信用中国”网站(</w:t>
      </w:r>
      <w:r>
        <w:rPr>
          <w:color w:val="auto"/>
          <w:sz w:val="24"/>
          <w:szCs w:val="24"/>
          <w:highlight w:val="none"/>
        </w:rPr>
        <w:fldChar w:fldCharType="begin"/>
      </w:r>
      <w:r>
        <w:rPr>
          <w:color w:val="auto"/>
          <w:sz w:val="24"/>
          <w:szCs w:val="24"/>
          <w:highlight w:val="none"/>
        </w:rPr>
        <w:instrText xml:space="preserve"> HYPERLINK "http://www.creditchina.gov.cn" </w:instrText>
      </w:r>
      <w:r>
        <w:rPr>
          <w:color w:val="auto"/>
          <w:sz w:val="24"/>
          <w:szCs w:val="24"/>
          <w:highlight w:val="none"/>
        </w:rPr>
        <w:fldChar w:fldCharType="separate"/>
      </w:r>
      <w:r>
        <w:rPr>
          <w:rStyle w:val="37"/>
          <w:rFonts w:hint="eastAsia" w:asciiTheme="minorEastAsia" w:hAnsiTheme="minorEastAsia" w:eastAsiaTheme="minorEastAsia"/>
          <w:snapToGrid/>
          <w:color w:val="auto"/>
          <w:sz w:val="24"/>
          <w:szCs w:val="24"/>
          <w:highlight w:val="none"/>
        </w:rPr>
        <w:t>www.creditchina.gov.cn</w:t>
      </w:r>
      <w:r>
        <w:rPr>
          <w:rStyle w:val="37"/>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 w:val="24"/>
          <w:szCs w:val="24"/>
          <w:highlight w:val="none"/>
        </w:rPr>
        <w:t>)、中国政府采购网(www.ccgp.gov.cn)渠道查询供应商响应截止时间前的信用记录。</w:t>
      </w:r>
    </w:p>
    <w:p w14:paraId="1A43D6C2">
      <w:pPr>
        <w:pStyle w:val="79"/>
        <w:spacing w:before="0"/>
        <w:ind w:firstLine="495" w:firstLineChars="0"/>
        <w:rPr>
          <w:rFonts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2.2信用信息查询记录和证据留存的具体方式：现场查询的供应商的信用记录、查询结果经确认后存档。</w:t>
      </w:r>
    </w:p>
    <w:p w14:paraId="4388452B">
      <w:pPr>
        <w:pStyle w:val="79"/>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2.3信用信息的使用规则：经查询列入失信被执行人名单、重大税收违法案件当事人名单</w:t>
      </w:r>
      <w:r>
        <w:rPr>
          <w:rFonts w:hint="eastAsia" w:ascii="宋体" w:hAnsi="宋体" w:eastAsia="宋体" w:cs="宋体"/>
          <w:kern w:val="0"/>
          <w:szCs w:val="24"/>
          <w:highlight w:val="none"/>
          <w:lang w:eastAsia="zh-CN"/>
        </w:rPr>
        <w:t>（</w:t>
      </w:r>
      <w:r>
        <w:rPr>
          <w:rFonts w:hint="eastAsia" w:ascii="宋体" w:hAnsi="宋体" w:eastAsia="宋体" w:cs="宋体"/>
          <w:sz w:val="24"/>
          <w:highlight w:val="none"/>
          <w:lang w:val="en-US" w:eastAsia="zh-CN"/>
        </w:rPr>
        <w:t>重大税收违法失信主体</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、政府采购严重违法失信行为记录名单的供应商将被拒绝参与政府采购活动。</w:t>
      </w:r>
    </w:p>
    <w:p w14:paraId="73D2516D">
      <w:pPr>
        <w:pStyle w:val="79"/>
        <w:spacing w:before="0"/>
        <w:ind w:firstLine="495" w:firstLineChars="0"/>
        <w:rPr>
          <w:rFonts w:hint="eastAsia" w:cs="仿宋_GB2312" w:asciiTheme="minorEastAsia" w:hAnsiTheme="minorEastAsia" w:eastAsiaTheme="minorEastAsia"/>
          <w:b/>
          <w:color w:val="auto"/>
          <w:sz w:val="24"/>
          <w:szCs w:val="24"/>
          <w:highlight w:val="none"/>
          <w:lang w:eastAsia="zh-CN"/>
        </w:rPr>
      </w:pPr>
      <w:r>
        <w:rPr>
          <w:rFonts w:hint="eastAsia" w:cs="Arial" w:asciiTheme="minorEastAsia" w:hAnsiTheme="minorEastAsia" w:eastAsiaTheme="minorEastAsia"/>
          <w:color w:val="auto"/>
          <w:kern w:val="0"/>
          <w:sz w:val="24"/>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2B8C8C7">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val="en-US" w:eastAsia="zh-CN"/>
        </w:rPr>
        <w:t>九</w:t>
      </w:r>
      <w:r>
        <w:rPr>
          <w:rFonts w:hint="eastAsia" w:cs="仿宋_GB2312" w:asciiTheme="minorEastAsia" w:hAnsiTheme="minorEastAsia" w:eastAsiaTheme="minorEastAsia"/>
          <w:b/>
          <w:color w:val="auto"/>
          <w:sz w:val="32"/>
          <w:szCs w:val="32"/>
          <w:highlight w:val="none"/>
        </w:rPr>
        <w:t>、提交</w:t>
      </w:r>
      <w:r>
        <w:rPr>
          <w:rFonts w:hint="eastAsia" w:asciiTheme="minorEastAsia" w:hAnsiTheme="minorEastAsia" w:eastAsiaTheme="minorEastAsia"/>
          <w:b/>
          <w:color w:val="auto"/>
          <w:sz w:val="32"/>
          <w:szCs w:val="32"/>
          <w:highlight w:val="none"/>
        </w:rPr>
        <w:t>报价</w:t>
      </w:r>
    </w:p>
    <w:p w14:paraId="0BFFCB34">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szCs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4B24B864">
      <w:pPr>
        <w:pStyle w:val="14"/>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1.1最后报价一览表（如有要求）；</w:t>
      </w:r>
    </w:p>
    <w:p w14:paraId="2B5BEFDE">
      <w:pPr>
        <w:pStyle w:val="14"/>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1.2中小企业声明函（如有要求）。</w:t>
      </w:r>
    </w:p>
    <w:p w14:paraId="13D6687A">
      <w:pPr>
        <w:adjustRightInd/>
        <w:spacing w:line="360" w:lineRule="auto"/>
        <w:jc w:val="center"/>
        <w:outlineLvl w:val="0"/>
        <w:rPr>
          <w:rFonts w:hint="eastAsia" w:cs="Times New Roman" w:asciiTheme="minorEastAsia" w:hAnsiTheme="minorEastAsia" w:eastAsiaTheme="minorEastAsia"/>
          <w:b/>
          <w:color w:val="auto"/>
          <w:sz w:val="32"/>
          <w:szCs w:val="32"/>
          <w:highlight w:val="none"/>
        </w:rPr>
      </w:pPr>
      <w:r>
        <w:rPr>
          <w:rFonts w:hint="eastAsia" w:cs="Times New Roman" w:asciiTheme="minorEastAsia" w:hAnsiTheme="minorEastAsia" w:eastAsiaTheme="minorEastAsia"/>
          <w:b/>
          <w:color w:val="auto"/>
          <w:sz w:val="32"/>
          <w:szCs w:val="32"/>
          <w:highlight w:val="none"/>
        </w:rPr>
        <w:t>十、评审</w:t>
      </w:r>
    </w:p>
    <w:p w14:paraId="3065D3FE">
      <w:pPr>
        <w:pStyle w:val="79"/>
        <w:spacing w:before="0"/>
        <w:ind w:firstLine="0" w:firstLineChars="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w:t>
      </w:r>
      <w:r>
        <w:rPr>
          <w:rFonts w:hint="eastAsia" w:cs="仿宋_GB2312" w:asciiTheme="minorEastAsia" w:hAnsiTheme="minorEastAsia" w:eastAsiaTheme="minorEastAsia"/>
          <w:b/>
          <w:color w:val="auto"/>
          <w:sz w:val="24"/>
          <w:szCs w:val="24"/>
          <w:highlight w:val="none"/>
        </w:rPr>
        <w:t xml:space="preserve"> 评审方法：</w:t>
      </w:r>
      <w:r>
        <w:rPr>
          <w:rFonts w:hint="eastAsia" w:cs="仿宋_GB2312" w:asciiTheme="minorEastAsia" w:hAnsiTheme="minorEastAsia" w:eastAsiaTheme="minorEastAsia"/>
          <w:color w:val="auto"/>
          <w:sz w:val="24"/>
          <w:szCs w:val="24"/>
          <w:highlight w:val="none"/>
        </w:rPr>
        <w:t>综合评分法。</w:t>
      </w:r>
    </w:p>
    <w:p w14:paraId="695715A0">
      <w:pPr>
        <w:pStyle w:val="79"/>
        <w:spacing w:before="0"/>
        <w:ind w:firstLine="0" w:firstLineChars="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 价格分计算方法：</w:t>
      </w:r>
      <w:r>
        <w:rPr>
          <w:rFonts w:hint="eastAsia" w:cs="仿宋_GB2312" w:asciiTheme="minorEastAsia" w:hAnsiTheme="minorEastAsia" w:eastAsiaTheme="minorEastAsia"/>
          <w:color w:val="auto"/>
          <w:sz w:val="24"/>
          <w:szCs w:val="24"/>
          <w:highlight w:val="none"/>
        </w:rPr>
        <w:t>低价优先法。</w:t>
      </w:r>
    </w:p>
    <w:p w14:paraId="3D255479">
      <w:pPr>
        <w:pStyle w:val="79"/>
        <w:spacing w:before="0"/>
        <w:ind w:firstLine="0" w:firstLineChars="0"/>
        <w:rPr>
          <w:rFonts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3. 评审要求：</w:t>
      </w:r>
      <w:r>
        <w:rPr>
          <w:rFonts w:hint="eastAsia" w:cs="仿宋_GB2312" w:asciiTheme="minorEastAsia" w:hAnsiTheme="minorEastAsia" w:eastAsiaTheme="minorEastAsia"/>
          <w:color w:val="auto"/>
          <w:sz w:val="24"/>
          <w:szCs w:val="24"/>
          <w:highlight w:val="none"/>
        </w:rPr>
        <w:t>详见磋商文件第</w:t>
      </w:r>
      <w:r>
        <w:rPr>
          <w:rFonts w:hint="eastAsia" w:cs="仿宋_GB2312" w:asciiTheme="minorEastAsia" w:hAnsiTheme="minorEastAsia" w:eastAsiaTheme="minorEastAsia"/>
          <w:color w:val="auto"/>
          <w:sz w:val="24"/>
          <w:szCs w:val="24"/>
          <w:highlight w:val="none"/>
          <w:lang w:val="en-US" w:eastAsia="zh-CN"/>
        </w:rPr>
        <w:t>五</w:t>
      </w:r>
      <w:r>
        <w:rPr>
          <w:rFonts w:hint="eastAsia" w:cs="仿宋_GB2312" w:asciiTheme="minorEastAsia" w:hAnsiTheme="minorEastAsia" w:eastAsiaTheme="minorEastAsia"/>
          <w:color w:val="auto"/>
          <w:sz w:val="24"/>
          <w:szCs w:val="24"/>
          <w:highlight w:val="none"/>
          <w:lang w:eastAsia="zh-CN"/>
        </w:rPr>
        <w:t>部分</w:t>
      </w:r>
      <w:r>
        <w:rPr>
          <w:rFonts w:hint="eastAsia" w:cs="仿宋_GB2312" w:asciiTheme="minorEastAsia" w:hAnsiTheme="minorEastAsia" w:eastAsiaTheme="minorEastAsia"/>
          <w:color w:val="auto"/>
          <w:sz w:val="24"/>
          <w:szCs w:val="24"/>
          <w:highlight w:val="none"/>
        </w:rPr>
        <w:t>“</w:t>
      </w:r>
      <w:r>
        <w:rPr>
          <w:rFonts w:hint="eastAsia" w:ascii="宋体" w:hAnsi="宋体" w:eastAsia="宋体" w:cs="宋体"/>
          <w:highlight w:val="none"/>
        </w:rPr>
        <w:t>评审方法及评审标准</w:t>
      </w:r>
      <w:r>
        <w:rPr>
          <w:rFonts w:hint="eastAsia" w:cs="仿宋_GB2312" w:asciiTheme="minorEastAsia" w:hAnsiTheme="minorEastAsia" w:eastAsiaTheme="minorEastAsia"/>
          <w:color w:val="auto"/>
          <w:sz w:val="24"/>
          <w:szCs w:val="24"/>
          <w:highlight w:val="none"/>
        </w:rPr>
        <w:t>”。</w:t>
      </w:r>
    </w:p>
    <w:p w14:paraId="416AF62A">
      <w:pPr>
        <w:adjustRightInd/>
        <w:spacing w:line="360" w:lineRule="auto"/>
        <w:jc w:val="center"/>
        <w:outlineLvl w:val="0"/>
        <w:rPr>
          <w:rFonts w:hint="eastAsia" w:cs="Times New Roman" w:asciiTheme="minorEastAsia" w:hAnsiTheme="minorEastAsia" w:eastAsiaTheme="minorEastAsia"/>
          <w:b/>
          <w:color w:val="auto"/>
          <w:sz w:val="32"/>
          <w:szCs w:val="32"/>
          <w:highlight w:val="none"/>
        </w:rPr>
      </w:pPr>
    </w:p>
    <w:p w14:paraId="4B202B5F">
      <w:pPr>
        <w:adjustRightInd/>
        <w:spacing w:line="360" w:lineRule="auto"/>
        <w:jc w:val="center"/>
        <w:outlineLvl w:val="0"/>
        <w:rPr>
          <w:rFonts w:hint="eastAsia" w:cs="Times New Roman" w:asciiTheme="minorEastAsia" w:hAnsiTheme="minorEastAsia" w:eastAsiaTheme="minorEastAsia"/>
          <w:b/>
          <w:color w:val="auto"/>
          <w:sz w:val="32"/>
          <w:szCs w:val="32"/>
          <w:highlight w:val="none"/>
        </w:rPr>
      </w:pPr>
      <w:r>
        <w:rPr>
          <w:rFonts w:hint="eastAsia" w:cs="Times New Roman" w:asciiTheme="minorEastAsia" w:hAnsiTheme="minorEastAsia" w:eastAsiaTheme="minorEastAsia"/>
          <w:b/>
          <w:color w:val="auto"/>
          <w:sz w:val="32"/>
          <w:szCs w:val="32"/>
          <w:highlight w:val="none"/>
        </w:rPr>
        <w:t>十</w:t>
      </w:r>
      <w:r>
        <w:rPr>
          <w:rFonts w:hint="eastAsia" w:cs="Times New Roman" w:asciiTheme="minorEastAsia" w:hAnsiTheme="minorEastAsia" w:eastAsiaTheme="minorEastAsia"/>
          <w:b/>
          <w:color w:val="auto"/>
          <w:sz w:val="32"/>
          <w:szCs w:val="32"/>
          <w:highlight w:val="none"/>
          <w:lang w:val="en-US" w:eastAsia="zh-CN"/>
        </w:rPr>
        <w:t>一</w:t>
      </w:r>
      <w:r>
        <w:rPr>
          <w:rFonts w:hint="eastAsia" w:cs="Times New Roman" w:asciiTheme="minorEastAsia" w:hAnsiTheme="minorEastAsia" w:eastAsiaTheme="minorEastAsia"/>
          <w:b/>
          <w:color w:val="auto"/>
          <w:sz w:val="32"/>
          <w:szCs w:val="32"/>
          <w:highlight w:val="none"/>
        </w:rPr>
        <w:t>、成交</w:t>
      </w:r>
    </w:p>
    <w:p w14:paraId="1F46109E">
      <w:pPr>
        <w:pStyle w:val="14"/>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 推荐成交候选供应商</w:t>
      </w:r>
    </w:p>
    <w:p w14:paraId="6B42DBC7">
      <w:pPr>
        <w:spacing w:line="360" w:lineRule="auto"/>
        <w:ind w:firstLine="465" w:firstLineChars="19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318AE74">
      <w:pPr>
        <w:pStyle w:val="14"/>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确定成交供应商</w:t>
      </w:r>
    </w:p>
    <w:p w14:paraId="78904A83">
      <w:pPr>
        <w:spacing w:line="360" w:lineRule="auto"/>
        <w:ind w:firstLine="360" w:firstLineChars="150"/>
        <w:rPr>
          <w:rFonts w:hint="eastAsia" w:cs="宋体" w:asciiTheme="minorEastAsia" w:hAnsiTheme="minorEastAsia" w:eastAsiaTheme="minorEastAsia"/>
          <w:sz w:val="24"/>
        </w:rPr>
      </w:pPr>
      <w:r>
        <w:rPr>
          <w:rFonts w:hint="eastAsia" w:cs="宋体" w:asciiTheme="minorEastAsia" w:hAnsiTheme="minorEastAsia" w:eastAsiaTheme="minorEastAsia"/>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szCs w:val="24"/>
          <w:highlight w:val="none"/>
          <w:lang w:val="en-US" w:eastAsia="zh-CN"/>
        </w:rPr>
        <w:t>2</w:t>
      </w:r>
      <w:r>
        <w:rPr>
          <w:rFonts w:hint="eastAsia" w:cs="宋体" w:asciiTheme="minorEastAsia" w:hAnsiTheme="minorEastAsia" w:eastAsiaTheme="minorEastAsia"/>
          <w:color w:val="auto"/>
          <w:sz w:val="24"/>
          <w:szCs w:val="24"/>
          <w:highlight w:val="none"/>
        </w:rPr>
        <w:t>个工作日内在线确定成交供应商。成交通知书和成交结果公告应当在规定时间内同时发出。</w:t>
      </w:r>
      <w:r>
        <w:rPr>
          <w:rFonts w:hint="eastAsia" w:cs="宋体" w:asciiTheme="minorEastAsia" w:hAnsiTheme="minorEastAsia" w:eastAsiaTheme="minorEastAsia"/>
          <w:b/>
          <w:bCs/>
          <w:sz w:val="24"/>
        </w:rPr>
        <w:t>注：按评审后得分由高到低顺序确定1名成交人。</w:t>
      </w:r>
    </w:p>
    <w:p w14:paraId="73216C56">
      <w:pPr>
        <w:spacing w:line="360" w:lineRule="auto"/>
        <w:ind w:firstLine="361" w:firstLineChars="150"/>
        <w:rPr>
          <w:rFonts w:cs="Helvetica" w:asciiTheme="minorEastAsia" w:hAnsiTheme="minorEastAsia" w:eastAsiaTheme="minorEastAsia"/>
          <w:color w:val="auto"/>
          <w:kern w:val="0"/>
          <w:sz w:val="24"/>
          <w:szCs w:val="24"/>
          <w:highlight w:val="none"/>
        </w:rPr>
      </w:pPr>
      <w:r>
        <w:rPr>
          <w:rFonts w:hint="eastAsia" w:asciiTheme="minorEastAsia" w:hAnsiTheme="minorEastAsia" w:eastAsiaTheme="minorEastAsia"/>
          <w:b/>
          <w:color w:val="auto"/>
          <w:sz w:val="24"/>
          <w:szCs w:val="24"/>
          <w:highlight w:val="none"/>
        </w:rPr>
        <w:t>3．成交通知及成交结果公告</w:t>
      </w:r>
    </w:p>
    <w:p w14:paraId="2B4FC570">
      <w:pPr>
        <w:spacing w:line="360" w:lineRule="auto"/>
        <w:ind w:firstLine="360" w:firstLineChars="150"/>
        <w:rPr>
          <w:rFonts w:ascii="宋体" w:hAnsi="宋体" w:cs="宋体"/>
          <w:color w:val="auto"/>
          <w:sz w:val="24"/>
          <w:szCs w:val="24"/>
          <w:highlight w:val="none"/>
        </w:rPr>
      </w:pPr>
      <w:r>
        <w:rPr>
          <w:rFonts w:hint="eastAsia" w:ascii="宋体" w:hAnsi="宋体" w:eastAsia="宋体" w:cs="宋体"/>
          <w:sz w:val="24"/>
          <w:szCs w:val="21"/>
          <w:highlight w:val="none"/>
        </w:rPr>
        <w:t>3.1自成交人确定之日起2个工作日内，</w:t>
      </w:r>
      <w:r>
        <w:rPr>
          <w:rFonts w:hint="eastAsia" w:ascii="宋体" w:hAnsi="宋体" w:eastAsia="宋体" w:cs="宋体"/>
          <w:sz w:val="24"/>
          <w:szCs w:val="21"/>
          <w:highlight w:val="none"/>
          <w:lang w:eastAsia="zh-CN"/>
        </w:rPr>
        <w:t>采购代理机构</w:t>
      </w:r>
      <w:r>
        <w:rPr>
          <w:rFonts w:hint="eastAsia" w:ascii="宋体" w:hAnsi="宋体" w:eastAsia="宋体" w:cs="宋体"/>
          <w:sz w:val="24"/>
          <w:szCs w:val="21"/>
          <w:highlight w:val="none"/>
        </w:rPr>
        <w:t>通过电子交易平台向成交人发出成交通知书，</w:t>
      </w:r>
      <w:r>
        <w:rPr>
          <w:rFonts w:hint="eastAsia" w:ascii="宋体" w:hAnsi="宋体" w:eastAsia="宋体" w:cs="宋体"/>
          <w:sz w:val="24"/>
          <w:highlight w:val="none"/>
        </w:rPr>
        <w:t>同时编制发布采购</w:t>
      </w:r>
      <w:r>
        <w:rPr>
          <w:rFonts w:hint="eastAsia" w:ascii="宋体" w:hAnsi="宋体" w:eastAsia="宋体" w:cs="宋体"/>
          <w:sz w:val="24"/>
          <w:szCs w:val="21"/>
          <w:highlight w:val="none"/>
        </w:rPr>
        <w:t>成交结果公告。</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也可以以纸质形式进行成交通知。</w:t>
      </w:r>
    </w:p>
    <w:p w14:paraId="290D06AB">
      <w:pPr>
        <w:spacing w:line="360" w:lineRule="auto"/>
        <w:ind w:firstLine="360" w:firstLineChars="150"/>
        <w:rPr>
          <w:rFonts w:asciiTheme="minorEastAsia" w:hAnsiTheme="minorEastAsia" w:eastAsiaTheme="minorEastAsia"/>
          <w:color w:val="auto"/>
          <w:sz w:val="24"/>
          <w:szCs w:val="24"/>
          <w:highlight w:val="none"/>
        </w:rPr>
      </w:pPr>
      <w:r>
        <w:rPr>
          <w:rFonts w:hint="eastAsia" w:ascii="宋体" w:hAnsi="宋体" w:cs="宋体"/>
          <w:color w:val="auto"/>
          <w:sz w:val="24"/>
          <w:szCs w:val="24"/>
          <w:highlight w:val="none"/>
        </w:rPr>
        <w:t>3.2</w:t>
      </w:r>
      <w:r>
        <w:rPr>
          <w:rFonts w:hint="eastAsia" w:asciiTheme="minorEastAsia" w:hAnsiTheme="minorEastAsia" w:eastAsiaTheme="minorEastAsia"/>
          <w:color w:val="auto"/>
          <w:sz w:val="24"/>
          <w:szCs w:val="24"/>
          <w:highlight w:val="none"/>
        </w:rPr>
        <w:t>成交</w:t>
      </w:r>
      <w:r>
        <w:rPr>
          <w:rFonts w:hint="eastAsia" w:cs="仿宋_GB2312" w:asciiTheme="minorEastAsia" w:hAnsiTheme="minorEastAsia" w:eastAsiaTheme="minorEastAsia"/>
          <w:color w:val="auto"/>
          <w:sz w:val="24"/>
          <w:szCs w:val="24"/>
          <w:highlight w:val="none"/>
        </w:rPr>
        <w:t>结果公告内容包括</w:t>
      </w:r>
      <w:r>
        <w:rPr>
          <w:rFonts w:hint="eastAsia" w:cs="宋体" w:asciiTheme="minorEastAsia" w:hAnsiTheme="minorEastAsia" w:eastAsiaTheme="minorEastAsia"/>
          <w:color w:val="auto"/>
          <w:sz w:val="24"/>
          <w:szCs w:val="24"/>
          <w:highlight w:val="none"/>
        </w:rPr>
        <w:t>采购人及其委托的采购机构的名称、地址、联系方式，项目名称和项目编号，成交人名称、地址和成交金额，主要中标标的的名称、规格型号、数量、单价、服务要求，开标记录、</w:t>
      </w:r>
      <w:bookmarkStart w:id="5" w:name="_Hlk101184471"/>
      <w:r>
        <w:rPr>
          <w:rFonts w:hint="eastAsia" w:cs="宋体" w:asciiTheme="minorEastAsia" w:hAnsiTheme="minorEastAsia" w:eastAsiaTheme="minorEastAsia"/>
          <w:color w:val="auto"/>
          <w:sz w:val="24"/>
          <w:szCs w:val="24"/>
          <w:highlight w:val="none"/>
        </w:rPr>
        <w:t>资格审查情况、评审专家抽取规则、符合性审查情况、</w:t>
      </w:r>
      <w:bookmarkEnd w:id="5"/>
      <w:r>
        <w:rPr>
          <w:rFonts w:hint="eastAsia" w:cs="宋体" w:asciiTheme="minorEastAsia" w:hAnsiTheme="minorEastAsia" w:eastAsiaTheme="minorEastAsia"/>
          <w:color w:val="auto"/>
          <w:sz w:val="24"/>
          <w:szCs w:val="24"/>
          <w:highlight w:val="none"/>
        </w:rPr>
        <w:t>未成交情况说明、成交公告期限以及评审专家名单、评分汇总及明细。</w:t>
      </w:r>
    </w:p>
    <w:p w14:paraId="46275F51">
      <w:pPr>
        <w:spacing w:line="360" w:lineRule="auto"/>
        <w:ind w:firstLine="360" w:firstLineChars="15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3.3公告期限为1个工作日。</w:t>
      </w:r>
    </w:p>
    <w:p w14:paraId="00008FA7">
      <w:pPr>
        <w:adjustRightInd/>
        <w:spacing w:line="360" w:lineRule="auto"/>
        <w:jc w:val="center"/>
        <w:outlineLvl w:val="0"/>
        <w:rPr>
          <w:rFonts w:hint="eastAsia" w:cs="Times New Roman" w:asciiTheme="minorEastAsia" w:hAnsiTheme="minorEastAsia" w:eastAsiaTheme="minorEastAsia"/>
          <w:b/>
          <w:color w:val="auto"/>
          <w:sz w:val="32"/>
          <w:szCs w:val="32"/>
          <w:highlight w:val="none"/>
        </w:rPr>
      </w:pPr>
      <w:r>
        <w:rPr>
          <w:rFonts w:hint="eastAsia" w:cs="Times New Roman" w:asciiTheme="minorEastAsia" w:hAnsiTheme="minorEastAsia" w:eastAsiaTheme="minorEastAsia"/>
          <w:b/>
          <w:color w:val="auto"/>
          <w:sz w:val="32"/>
          <w:szCs w:val="32"/>
          <w:highlight w:val="none"/>
        </w:rPr>
        <w:t>十</w:t>
      </w:r>
      <w:r>
        <w:rPr>
          <w:rFonts w:hint="eastAsia" w:cs="Times New Roman" w:asciiTheme="minorEastAsia" w:hAnsiTheme="minorEastAsia" w:eastAsiaTheme="minorEastAsia"/>
          <w:b/>
          <w:color w:val="auto"/>
          <w:sz w:val="32"/>
          <w:szCs w:val="32"/>
          <w:highlight w:val="none"/>
          <w:lang w:val="en-US" w:eastAsia="zh-CN"/>
        </w:rPr>
        <w:t>二</w:t>
      </w:r>
      <w:r>
        <w:rPr>
          <w:rFonts w:hint="eastAsia" w:cs="Times New Roman" w:asciiTheme="minorEastAsia" w:hAnsiTheme="minorEastAsia" w:eastAsiaTheme="minorEastAsia"/>
          <w:b/>
          <w:color w:val="auto"/>
          <w:sz w:val="32"/>
          <w:szCs w:val="32"/>
          <w:highlight w:val="none"/>
        </w:rPr>
        <w:t>、合同</w:t>
      </w:r>
    </w:p>
    <w:p w14:paraId="4E400136">
      <w:pPr>
        <w:tabs>
          <w:tab w:val="left" w:pos="0"/>
        </w:tabs>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1.合同主要条款：</w:t>
      </w:r>
      <w:r>
        <w:rPr>
          <w:rFonts w:hint="eastAsia" w:asciiTheme="minorEastAsia" w:hAnsiTheme="minorEastAsia" w:eastAsiaTheme="minorEastAsia"/>
          <w:color w:val="auto"/>
          <w:sz w:val="24"/>
          <w:szCs w:val="24"/>
          <w:highlight w:val="none"/>
        </w:rPr>
        <w:t>详见“第</w:t>
      </w:r>
      <w:r>
        <w:rPr>
          <w:rFonts w:hint="eastAsia" w:asciiTheme="minorEastAsia" w:hAnsiTheme="minorEastAsia" w:eastAsiaTheme="minorEastAsia"/>
          <w:color w:val="auto"/>
          <w:sz w:val="24"/>
          <w:szCs w:val="24"/>
          <w:highlight w:val="none"/>
          <w:lang w:val="en-US" w:eastAsia="zh-CN"/>
        </w:rPr>
        <w:t>六</w:t>
      </w:r>
      <w:r>
        <w:rPr>
          <w:rFonts w:hint="eastAsia" w:asciiTheme="minorEastAsia" w:hAnsiTheme="minorEastAsia" w:eastAsiaTheme="minorEastAsia"/>
          <w:color w:val="auto"/>
          <w:sz w:val="24"/>
          <w:szCs w:val="24"/>
          <w:highlight w:val="none"/>
          <w:lang w:eastAsia="zh-CN"/>
        </w:rPr>
        <w:t>部分</w:t>
      </w:r>
      <w:r>
        <w:rPr>
          <w:rFonts w:hint="eastAsia" w:ascii="宋体" w:hAnsi="宋体" w:eastAsia="宋体" w:cs="宋体"/>
          <w:sz w:val="24"/>
          <w:highlight w:val="none"/>
        </w:rPr>
        <w:t>拟签订的合同文本</w:t>
      </w:r>
      <w:r>
        <w:rPr>
          <w:rFonts w:hint="eastAsia" w:asciiTheme="minorEastAsia" w:hAnsiTheme="minorEastAsia" w:eastAsiaTheme="minorEastAsia"/>
          <w:color w:val="auto"/>
          <w:sz w:val="24"/>
          <w:szCs w:val="24"/>
          <w:highlight w:val="none"/>
        </w:rPr>
        <w:t>”。</w:t>
      </w:r>
    </w:p>
    <w:p w14:paraId="2AE4FB83">
      <w:pPr>
        <w:tabs>
          <w:tab w:val="left" w:pos="0"/>
        </w:tabs>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2.合同的签订</w:t>
      </w:r>
    </w:p>
    <w:p w14:paraId="7005B337">
      <w:pPr>
        <w:widowControl/>
        <w:shd w:val="clear" w:color="auto" w:fill="FFFFFF"/>
        <w:spacing w:line="360" w:lineRule="auto"/>
        <w:ind w:firstLine="480"/>
        <w:jc w:val="left"/>
        <w:rPr>
          <w:rFonts w:cs="宋体"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2.1</w:t>
      </w:r>
      <w:r>
        <w:rPr>
          <w:rFonts w:hint="eastAsia" w:cs="宋体" w:asciiTheme="minorEastAsia" w:hAnsiTheme="minorEastAsia" w:eastAsiaTheme="minorEastAsia"/>
          <w:color w:val="auto"/>
          <w:kern w:val="0"/>
          <w:sz w:val="24"/>
          <w:szCs w:val="24"/>
          <w:highlight w:val="none"/>
        </w:rPr>
        <w:t>除不可抗力等特殊情况外，原则上采购人应当在成交通知书发出之日起</w:t>
      </w:r>
      <w:r>
        <w:rPr>
          <w:rFonts w:hint="eastAsia" w:cs="宋体" w:asciiTheme="minorEastAsia" w:hAnsiTheme="minorEastAsia" w:eastAsiaTheme="minorEastAsia"/>
          <w:color w:val="auto"/>
          <w:kern w:val="0"/>
          <w:sz w:val="24"/>
          <w:szCs w:val="24"/>
          <w:highlight w:val="none"/>
          <w:lang w:val="en-US" w:eastAsia="zh-CN"/>
        </w:rPr>
        <w:t>3</w:t>
      </w:r>
      <w:r>
        <w:rPr>
          <w:rFonts w:hint="eastAsia" w:cs="宋体" w:asciiTheme="minorEastAsia" w:hAnsiTheme="minorEastAsia" w:eastAsiaTheme="minorEastAsia"/>
          <w:color w:val="auto"/>
          <w:kern w:val="0"/>
          <w:sz w:val="24"/>
          <w:szCs w:val="24"/>
          <w:highlight w:val="none"/>
        </w:rPr>
        <w:t>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26A9C096">
      <w:pPr>
        <w:pStyle w:val="79"/>
        <w:snapToGrid w:val="0"/>
        <w:spacing w:before="0"/>
        <w:ind w:firstLine="480"/>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3E29F796">
      <w:pPr>
        <w:spacing w:line="360" w:lineRule="auto"/>
        <w:ind w:firstLine="465" w:firstLineChars="19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8016CD1">
      <w:pPr>
        <w:spacing w:line="360" w:lineRule="auto"/>
        <w:ind w:firstLine="465" w:firstLineChars="19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A88F6C2">
      <w:pPr>
        <w:spacing w:line="360" w:lineRule="auto"/>
        <w:ind w:firstLine="465" w:firstLineChars="194"/>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2.5如签订合同并生效后，供应商无故拒绝或延期，除按照合同条款处理外，列入不良行为记录一次，并给予通报。</w:t>
      </w:r>
    </w:p>
    <w:p w14:paraId="03B28363">
      <w:pPr>
        <w:pStyle w:val="79"/>
        <w:snapToGrid w:val="0"/>
        <w:spacing w:before="0" w:after="120"/>
        <w:ind w:firstLine="480"/>
        <w:rPr>
          <w:rFonts w:cs="仿宋_GB2312" w:asciiTheme="minorEastAsia" w:hAnsiTheme="minorEastAsia" w:eastAsiaTheme="minorEastAsia"/>
          <w:color w:val="auto"/>
          <w:sz w:val="24"/>
          <w:szCs w:val="24"/>
          <w:highlight w:val="none"/>
        </w:rPr>
      </w:pPr>
      <w:r>
        <w:rPr>
          <w:rFonts w:hint="eastAsia" w:ascii="宋体" w:hAnsi="宋体" w:eastAsia="宋体" w:cs="宋体"/>
          <w:highlight w:val="none"/>
        </w:rPr>
        <w:t>2.6采购合同由采购人与成交供应商根据磋商文件、响应文件等内容通过政府采购电子交易平台在线签订，自动备案。（由采购人自行选择线上签订或线下签订）</w:t>
      </w:r>
    </w:p>
    <w:p w14:paraId="0A92CE12">
      <w:pPr>
        <w:tabs>
          <w:tab w:val="left" w:pos="0"/>
        </w:tabs>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3．履约保证金</w:t>
      </w:r>
    </w:p>
    <w:p w14:paraId="4EACA17A">
      <w:pPr>
        <w:tabs>
          <w:tab w:val="left" w:pos="0"/>
        </w:tabs>
        <w:spacing w:line="360" w:lineRule="auto"/>
        <w:ind w:firstLine="482"/>
        <w:rPr>
          <w:rFonts w:cs="宋体" w:asciiTheme="minorEastAsia" w:hAnsiTheme="minorEastAsia" w:eastAsiaTheme="minorEastAsia"/>
          <w:color w:val="auto"/>
          <w:sz w:val="24"/>
          <w:szCs w:val="24"/>
          <w:highlight w:val="none"/>
        </w:rPr>
      </w:pPr>
      <w:r>
        <w:rPr>
          <w:rFonts w:hint="eastAsia" w:ascii="宋体" w:hAnsi="宋体" w:eastAsia="宋体" w:cs="宋体"/>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5ED94A7">
      <w:pPr>
        <w:tabs>
          <w:tab w:val="left" w:pos="0"/>
        </w:tabs>
        <w:spacing w:line="360" w:lineRule="auto"/>
        <w:ind w:firstLine="482"/>
        <w:rPr>
          <w:rFonts w:hint="eastAsia" w:cs="宋体" w:asciiTheme="minorEastAsia" w:hAnsiTheme="minorEastAsia" w:eastAsiaTheme="minorEastAsia"/>
          <w:snapToGrid w:val="0"/>
          <w:color w:val="auto"/>
          <w:kern w:val="28"/>
          <w:sz w:val="24"/>
          <w:szCs w:val="24"/>
          <w:highlight w:val="none"/>
        </w:rPr>
      </w:pPr>
      <w:r>
        <w:rPr>
          <w:rFonts w:hint="eastAsia" w:cs="宋体" w:asciiTheme="minorEastAsia" w:hAnsiTheme="minorEastAsia" w:eastAsiaTheme="minorEastAsia"/>
          <w:snapToGrid w:val="0"/>
          <w:color w:val="auto"/>
          <w:kern w:val="28"/>
          <w:sz w:val="24"/>
          <w:szCs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DC84794">
      <w:pPr>
        <w:tabs>
          <w:tab w:val="left" w:pos="0"/>
        </w:tabs>
        <w:spacing w:line="360" w:lineRule="auto"/>
        <w:rPr>
          <w:rFonts w:hint="eastAsia" w:cs="宋体" w:asciiTheme="minorEastAsia" w:hAnsiTheme="minorEastAsia" w:eastAsiaTheme="minorEastAsia"/>
          <w:b/>
          <w:bCs/>
          <w:snapToGrid w:val="0"/>
          <w:color w:val="auto"/>
          <w:kern w:val="28"/>
          <w:sz w:val="24"/>
          <w:szCs w:val="24"/>
          <w:highlight w:val="none"/>
        </w:rPr>
      </w:pPr>
      <w:r>
        <w:rPr>
          <w:rFonts w:hint="eastAsia" w:cs="宋体" w:asciiTheme="minorEastAsia" w:hAnsiTheme="minorEastAsia" w:eastAsiaTheme="minorEastAsia"/>
          <w:b/>
          <w:bCs/>
          <w:snapToGrid w:val="0"/>
          <w:color w:val="auto"/>
          <w:kern w:val="28"/>
          <w:sz w:val="24"/>
          <w:szCs w:val="24"/>
          <w:highlight w:val="none"/>
        </w:rPr>
        <w:t>4.预付款</w:t>
      </w:r>
    </w:p>
    <w:p w14:paraId="76391E15">
      <w:pPr>
        <w:tabs>
          <w:tab w:val="left" w:pos="0"/>
        </w:tabs>
        <w:spacing w:line="360" w:lineRule="auto"/>
        <w:ind w:firstLine="482"/>
        <w:rPr>
          <w:rFonts w:hint="eastAsia" w:cs="仿宋_GB2312" w:asciiTheme="minorEastAsia" w:hAnsiTheme="minorEastAsia" w:eastAsiaTheme="minorEastAsia"/>
          <w:b/>
          <w:color w:val="auto"/>
          <w:sz w:val="32"/>
          <w:szCs w:val="32"/>
          <w:highlight w:val="none"/>
        </w:rPr>
      </w:pPr>
      <w:r>
        <w:rPr>
          <w:rFonts w:hint="eastAsia" w:cs="宋体" w:asciiTheme="minorEastAsia" w:hAnsiTheme="minorEastAsia" w:eastAsiaTheme="minorEastAsia"/>
          <w:snapToGrid w:val="0"/>
          <w:color w:val="auto"/>
          <w:kern w:val="28"/>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580C3744">
      <w:pPr>
        <w:snapToGrid w:val="0"/>
        <w:spacing w:line="360" w:lineRule="auto"/>
        <w:jc w:val="center"/>
        <w:outlineLvl w:val="0"/>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w:t>
      </w:r>
      <w:r>
        <w:rPr>
          <w:rFonts w:hint="eastAsia" w:cs="仿宋_GB2312" w:asciiTheme="minorEastAsia" w:hAnsiTheme="minorEastAsia" w:eastAsiaTheme="minorEastAsia"/>
          <w:b/>
          <w:color w:val="auto"/>
          <w:sz w:val="32"/>
          <w:szCs w:val="32"/>
          <w:highlight w:val="none"/>
          <w:lang w:val="en-US" w:eastAsia="zh-CN"/>
        </w:rPr>
        <w:t>三</w:t>
      </w:r>
      <w:r>
        <w:rPr>
          <w:rFonts w:hint="eastAsia" w:cs="仿宋_GB2312" w:asciiTheme="minorEastAsia" w:hAnsiTheme="minorEastAsia" w:eastAsiaTheme="minorEastAsia"/>
          <w:b/>
          <w:color w:val="auto"/>
          <w:sz w:val="32"/>
          <w:szCs w:val="32"/>
          <w:highlight w:val="none"/>
        </w:rPr>
        <w:t>、验收</w:t>
      </w:r>
    </w:p>
    <w:p w14:paraId="68A53063">
      <w:pPr>
        <w:pStyle w:val="13"/>
        <w:spacing w:line="360" w:lineRule="auto"/>
        <w:ind w:firstLine="0" w:firstLineChars="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1.验收</w:t>
      </w:r>
    </w:p>
    <w:p w14:paraId="11EDEEBA">
      <w:pPr>
        <w:tabs>
          <w:tab w:val="left" w:pos="0"/>
        </w:tabs>
        <w:spacing w:line="360" w:lineRule="auto"/>
        <w:ind w:firstLine="480"/>
        <w:rPr>
          <w:rFonts w:cs="Helvetica" w:asciiTheme="minorEastAsia" w:hAnsiTheme="minorEastAsia" w:eastAsiaTheme="minorEastAsia"/>
          <w:color w:val="auto"/>
          <w:kern w:val="0"/>
          <w:sz w:val="24"/>
          <w:szCs w:val="24"/>
          <w:highlight w:val="none"/>
        </w:rPr>
      </w:pPr>
      <w:r>
        <w:rPr>
          <w:rFonts w:hint="eastAsia" w:cs="Helvetica" w:asciiTheme="minorEastAsia" w:hAnsiTheme="minorEastAsia" w:eastAsiaTheme="minorEastAsia"/>
          <w:color w:val="auto"/>
          <w:kern w:val="0"/>
          <w:sz w:val="24"/>
          <w:szCs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FB6126">
      <w:pPr>
        <w:tabs>
          <w:tab w:val="left" w:pos="0"/>
        </w:tabs>
        <w:spacing w:line="360" w:lineRule="auto"/>
        <w:ind w:firstLine="480"/>
        <w:rPr>
          <w:rFonts w:cs="Helvetica" w:asciiTheme="minorEastAsia" w:hAnsiTheme="minorEastAsia" w:eastAsiaTheme="minorEastAsia"/>
          <w:color w:val="auto"/>
          <w:kern w:val="0"/>
          <w:sz w:val="24"/>
          <w:szCs w:val="24"/>
          <w:highlight w:val="none"/>
        </w:rPr>
      </w:pPr>
      <w:r>
        <w:rPr>
          <w:rFonts w:hint="eastAsia" w:cs="Helvetica" w:asciiTheme="minorEastAsia" w:hAnsiTheme="minorEastAsia" w:eastAsiaTheme="minorEastAsia"/>
          <w:color w:val="auto"/>
          <w:kern w:val="0"/>
          <w:sz w:val="24"/>
          <w:szCs w:val="24"/>
          <w:highlight w:val="none"/>
        </w:rPr>
        <w:t>1.2采购人可以邀请参加本项目的其他供应商或者第三方机构参与验收。参与验收的供应商或者第三方机构的意见作为验收书的参考资料一并存档。</w:t>
      </w:r>
    </w:p>
    <w:p w14:paraId="7517DB5E">
      <w:pPr>
        <w:tabs>
          <w:tab w:val="left" w:pos="0"/>
        </w:tabs>
        <w:spacing w:line="360" w:lineRule="auto"/>
        <w:ind w:firstLine="480"/>
        <w:rPr>
          <w:rFonts w:cs="Helvetica" w:asciiTheme="minorEastAsia" w:hAnsiTheme="minorEastAsia" w:eastAsiaTheme="minorEastAsia"/>
          <w:color w:val="auto"/>
          <w:kern w:val="0"/>
          <w:sz w:val="24"/>
          <w:szCs w:val="24"/>
          <w:highlight w:val="none"/>
        </w:rPr>
      </w:pPr>
      <w:r>
        <w:rPr>
          <w:rFonts w:hint="eastAsia" w:cs="Helvetica" w:asciiTheme="minorEastAsia" w:hAnsiTheme="minorEastAsia" w:eastAsiaTheme="minorEastAsia"/>
          <w:color w:val="auto"/>
          <w:kern w:val="0"/>
          <w:sz w:val="24"/>
          <w:szCs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A11FA2">
      <w:pPr>
        <w:tabs>
          <w:tab w:val="left" w:pos="0"/>
        </w:tabs>
        <w:spacing w:line="360" w:lineRule="auto"/>
        <w:ind w:firstLine="480"/>
      </w:pPr>
      <w:r>
        <w:rPr>
          <w:rFonts w:hint="eastAsia" w:cs="Helvetica" w:asciiTheme="minorEastAsia" w:hAnsiTheme="minorEastAsia" w:eastAsiaTheme="minorEastAsia"/>
          <w:color w:val="auto"/>
          <w:kern w:val="0"/>
          <w:sz w:val="24"/>
          <w:szCs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359C4A">
      <w:pPr>
        <w:snapToGrid w:val="0"/>
        <w:spacing w:line="360" w:lineRule="auto"/>
        <w:jc w:val="center"/>
        <w:rPr>
          <w:rFonts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32"/>
          <w:szCs w:val="32"/>
          <w:highlight w:val="none"/>
        </w:rPr>
        <w:t>十</w:t>
      </w:r>
      <w:r>
        <w:rPr>
          <w:rFonts w:hint="eastAsia" w:cs="仿宋_GB2312" w:asciiTheme="minorEastAsia" w:hAnsiTheme="minorEastAsia" w:eastAsiaTheme="minorEastAsia"/>
          <w:b/>
          <w:color w:val="auto"/>
          <w:sz w:val="32"/>
          <w:szCs w:val="32"/>
          <w:highlight w:val="none"/>
          <w:lang w:val="en-US" w:eastAsia="zh-CN"/>
        </w:rPr>
        <w:t>四</w:t>
      </w:r>
      <w:r>
        <w:rPr>
          <w:rFonts w:hint="eastAsia" w:cs="仿宋_GB2312" w:asciiTheme="minorEastAsia" w:hAnsiTheme="minorEastAsia" w:eastAsiaTheme="minorEastAsia"/>
          <w:b/>
          <w:color w:val="auto"/>
          <w:sz w:val="32"/>
          <w:szCs w:val="32"/>
          <w:highlight w:val="none"/>
        </w:rPr>
        <w:t>、电子交易活动的中止</w:t>
      </w:r>
    </w:p>
    <w:p w14:paraId="7D2FCA49">
      <w:pPr>
        <w:tabs>
          <w:tab w:val="left" w:pos="0"/>
        </w:tabs>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 电子交易活动的中止</w:t>
      </w:r>
    </w:p>
    <w:p w14:paraId="277B019B">
      <w:pPr>
        <w:tabs>
          <w:tab w:val="left" w:pos="0"/>
        </w:tabs>
        <w:spacing w:line="360" w:lineRule="auto"/>
        <w:ind w:firstLine="480"/>
        <w:rPr>
          <w:rFonts w:cs="Helvetica" w:asciiTheme="minorEastAsia" w:hAnsiTheme="minorEastAsia" w:eastAsiaTheme="minorEastAsia"/>
          <w:color w:val="auto"/>
          <w:kern w:val="0"/>
          <w:sz w:val="24"/>
          <w:szCs w:val="24"/>
          <w:highlight w:val="none"/>
        </w:rPr>
      </w:pPr>
      <w:r>
        <w:rPr>
          <w:rFonts w:hint="eastAsia" w:cs="Helvetica" w:asciiTheme="minorEastAsia" w:hAnsiTheme="minorEastAsia" w:eastAsiaTheme="minorEastAsia"/>
          <w:color w:val="auto"/>
          <w:kern w:val="0"/>
          <w:sz w:val="24"/>
          <w:szCs w:val="24"/>
          <w:highlight w:val="none"/>
        </w:rPr>
        <w:t>采购过程中出现以下情形，导致电子交易平台无法正常运行，或者无法保证电子交易的公平、公正和安全时，采购机构可中止电子交易活动：</w:t>
      </w:r>
    </w:p>
    <w:p w14:paraId="1C09E2CD">
      <w:pPr>
        <w:tabs>
          <w:tab w:val="left" w:pos="0"/>
        </w:tabs>
        <w:spacing w:line="360" w:lineRule="auto"/>
        <w:ind w:firstLine="480"/>
        <w:rPr>
          <w:rFonts w:cs="Helvetica" w:asciiTheme="minorEastAsia" w:hAnsiTheme="minorEastAsia" w:eastAsiaTheme="minorEastAsia"/>
          <w:color w:val="auto"/>
          <w:kern w:val="0"/>
          <w:sz w:val="24"/>
          <w:szCs w:val="24"/>
          <w:highlight w:val="none"/>
        </w:rPr>
      </w:pPr>
      <w:r>
        <w:rPr>
          <w:rFonts w:hint="eastAsia" w:cs="Helvetica" w:asciiTheme="minorEastAsia" w:hAnsiTheme="minorEastAsia" w:eastAsiaTheme="minorEastAsia"/>
          <w:color w:val="auto"/>
          <w:kern w:val="0"/>
          <w:sz w:val="24"/>
          <w:szCs w:val="24"/>
          <w:highlight w:val="none"/>
        </w:rPr>
        <w:t xml:space="preserve">1.1电子交易平台发生故障而无法登录访问的； </w:t>
      </w:r>
    </w:p>
    <w:p w14:paraId="74B7BDAB">
      <w:pPr>
        <w:tabs>
          <w:tab w:val="left" w:pos="0"/>
        </w:tabs>
        <w:spacing w:line="360" w:lineRule="auto"/>
        <w:ind w:firstLine="480"/>
        <w:rPr>
          <w:rFonts w:cs="Helvetica" w:asciiTheme="minorEastAsia" w:hAnsiTheme="minorEastAsia" w:eastAsiaTheme="minorEastAsia"/>
          <w:color w:val="auto"/>
          <w:kern w:val="0"/>
          <w:sz w:val="24"/>
          <w:szCs w:val="24"/>
          <w:highlight w:val="none"/>
        </w:rPr>
      </w:pPr>
      <w:r>
        <w:rPr>
          <w:rFonts w:hint="eastAsia" w:cs="Helvetica" w:asciiTheme="minorEastAsia" w:hAnsiTheme="minorEastAsia" w:eastAsiaTheme="minorEastAsia"/>
          <w:color w:val="auto"/>
          <w:kern w:val="0"/>
          <w:sz w:val="24"/>
          <w:szCs w:val="24"/>
          <w:highlight w:val="none"/>
        </w:rPr>
        <w:t>1.2电子交易平台应用或数据库出现错误，不能进行正常操作的；</w:t>
      </w:r>
    </w:p>
    <w:p w14:paraId="52653C0F">
      <w:pPr>
        <w:tabs>
          <w:tab w:val="left" w:pos="0"/>
        </w:tabs>
        <w:spacing w:line="360" w:lineRule="auto"/>
        <w:ind w:firstLine="480"/>
        <w:rPr>
          <w:rFonts w:cs="Helvetica" w:asciiTheme="minorEastAsia" w:hAnsiTheme="minorEastAsia" w:eastAsiaTheme="minorEastAsia"/>
          <w:color w:val="auto"/>
          <w:kern w:val="0"/>
          <w:sz w:val="24"/>
          <w:szCs w:val="24"/>
          <w:highlight w:val="none"/>
        </w:rPr>
      </w:pPr>
      <w:r>
        <w:rPr>
          <w:rFonts w:hint="eastAsia" w:cs="Helvetica" w:asciiTheme="minorEastAsia" w:hAnsiTheme="minorEastAsia" w:eastAsiaTheme="minorEastAsia"/>
          <w:color w:val="auto"/>
          <w:kern w:val="0"/>
          <w:sz w:val="24"/>
          <w:szCs w:val="24"/>
          <w:highlight w:val="none"/>
        </w:rPr>
        <w:t>1.3电子交易平台发现严重安全漏洞，有潜在泄密危险的；</w:t>
      </w:r>
    </w:p>
    <w:p w14:paraId="271A6DA7">
      <w:pPr>
        <w:tabs>
          <w:tab w:val="left" w:pos="0"/>
        </w:tabs>
        <w:spacing w:line="360" w:lineRule="auto"/>
        <w:ind w:firstLine="480"/>
        <w:rPr>
          <w:rFonts w:cs="Helvetica" w:asciiTheme="minorEastAsia" w:hAnsiTheme="minorEastAsia" w:eastAsiaTheme="minorEastAsia"/>
          <w:color w:val="auto"/>
          <w:kern w:val="0"/>
          <w:sz w:val="24"/>
          <w:szCs w:val="24"/>
          <w:highlight w:val="none"/>
        </w:rPr>
      </w:pPr>
      <w:r>
        <w:rPr>
          <w:rFonts w:hint="eastAsia" w:cs="Helvetica" w:asciiTheme="minorEastAsia" w:hAnsiTheme="minorEastAsia" w:eastAsiaTheme="minorEastAsia"/>
          <w:color w:val="auto"/>
          <w:kern w:val="0"/>
          <w:sz w:val="24"/>
          <w:szCs w:val="24"/>
          <w:highlight w:val="none"/>
        </w:rPr>
        <w:t xml:space="preserve">1.4病毒发作导致不能进行正常操作的； </w:t>
      </w:r>
    </w:p>
    <w:p w14:paraId="4113FCD2">
      <w:pPr>
        <w:tabs>
          <w:tab w:val="left" w:pos="0"/>
        </w:tabs>
        <w:spacing w:line="360" w:lineRule="auto"/>
        <w:ind w:firstLine="480"/>
        <w:rPr>
          <w:rFonts w:cs="Helvetica" w:asciiTheme="minorEastAsia" w:hAnsiTheme="minorEastAsia" w:eastAsiaTheme="minorEastAsia"/>
          <w:color w:val="auto"/>
          <w:kern w:val="0"/>
          <w:sz w:val="24"/>
          <w:szCs w:val="24"/>
          <w:highlight w:val="none"/>
        </w:rPr>
      </w:pPr>
      <w:r>
        <w:rPr>
          <w:rFonts w:hint="eastAsia" w:cs="Helvetica" w:asciiTheme="minorEastAsia" w:hAnsiTheme="minorEastAsia" w:eastAsiaTheme="minorEastAsia"/>
          <w:color w:val="auto"/>
          <w:kern w:val="0"/>
          <w:sz w:val="24"/>
          <w:szCs w:val="24"/>
          <w:highlight w:val="none"/>
        </w:rPr>
        <w:t>1.5其他无法保证电子交易的公平、公正和安全的情况。</w:t>
      </w:r>
    </w:p>
    <w:p w14:paraId="75AC936F">
      <w:pPr>
        <w:tabs>
          <w:tab w:val="left" w:pos="0"/>
        </w:tabs>
        <w:spacing w:line="360" w:lineRule="auto"/>
        <w:rPr>
          <w:rFonts w:cs="仿宋_GB2312" w:asciiTheme="minorEastAsia" w:hAnsiTheme="minorEastAsia" w:eastAsiaTheme="minorEastAsia"/>
          <w:b/>
          <w:color w:val="auto"/>
          <w:sz w:val="24"/>
          <w:szCs w:val="24"/>
          <w:highlight w:val="none"/>
        </w:rPr>
      </w:pPr>
      <w:r>
        <w:rPr>
          <w:rFonts w:hint="eastAsia" w:cs="Helvetica" w:asciiTheme="minorEastAsia" w:hAnsiTheme="minorEastAsia" w:eastAsiaTheme="minorEastAsia"/>
          <w:b/>
          <w:color w:val="auto"/>
          <w:kern w:val="0"/>
          <w:sz w:val="24"/>
          <w:szCs w:val="24"/>
          <w:highlight w:val="none"/>
        </w:rPr>
        <w:t>2.</w:t>
      </w:r>
      <w:r>
        <w:rPr>
          <w:rFonts w:hint="eastAsia" w:cs="Helvetica" w:asciiTheme="minorEastAsia" w:hAnsiTheme="minorEastAsia" w:eastAsiaTheme="minorEastAsia"/>
          <w:color w:val="auto"/>
          <w:kern w:val="0"/>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Start w:id="6" w:name="_Hlt75236290"/>
      <w:bookmarkEnd w:id="6"/>
      <w:bookmarkStart w:id="7" w:name="_Hlt68057669"/>
      <w:bookmarkEnd w:id="7"/>
      <w:bookmarkStart w:id="8" w:name="_Hlt75236101"/>
      <w:bookmarkEnd w:id="8"/>
      <w:bookmarkStart w:id="9" w:name="_Hlt75236011"/>
      <w:bookmarkEnd w:id="9"/>
      <w:bookmarkStart w:id="10" w:name="_Hlt68072990"/>
      <w:bookmarkEnd w:id="10"/>
      <w:bookmarkStart w:id="11" w:name="_Hlt74707468"/>
      <w:bookmarkEnd w:id="11"/>
      <w:bookmarkStart w:id="12" w:name="_Hlt74729768"/>
      <w:bookmarkEnd w:id="12"/>
      <w:bookmarkStart w:id="13" w:name="_Hlt74730295"/>
      <w:bookmarkEnd w:id="13"/>
      <w:bookmarkStart w:id="14" w:name="_Hlt74714665"/>
      <w:bookmarkEnd w:id="14"/>
      <w:r>
        <w:rPr>
          <w:rFonts w:cs="仿宋_GB2312" w:asciiTheme="minorEastAsia" w:hAnsiTheme="minorEastAsia" w:eastAsiaTheme="minorEastAsia"/>
          <w:b/>
          <w:color w:val="auto"/>
          <w:sz w:val="24"/>
          <w:szCs w:val="24"/>
          <w:highlight w:val="none"/>
        </w:rPr>
        <w:br w:type="page"/>
      </w:r>
    </w:p>
    <w:p w14:paraId="2F6E8865">
      <w:pPr>
        <w:widowControl/>
        <w:spacing w:line="400" w:lineRule="exact"/>
        <w:ind w:right="-420" w:rightChars="-200"/>
        <w:jc w:val="center"/>
        <w:rPr>
          <w:b/>
          <w:sz w:val="36"/>
          <w:szCs w:val="36"/>
        </w:rPr>
      </w:pPr>
      <w:r>
        <w:rPr>
          <w:rFonts w:hint="eastAsia"/>
          <w:b/>
          <w:color w:val="auto"/>
          <w:sz w:val="36"/>
          <w:szCs w:val="36"/>
        </w:rPr>
        <w:t>第</w:t>
      </w:r>
      <w:r>
        <w:rPr>
          <w:rFonts w:hint="eastAsia"/>
          <w:b/>
          <w:color w:val="auto"/>
          <w:sz w:val="36"/>
          <w:szCs w:val="36"/>
          <w:lang w:val="en-US" w:eastAsia="zh-CN"/>
        </w:rPr>
        <w:t>四</w:t>
      </w:r>
      <w:r>
        <w:rPr>
          <w:rFonts w:hint="eastAsia"/>
          <w:b/>
          <w:color w:val="auto"/>
          <w:sz w:val="36"/>
          <w:szCs w:val="36"/>
        </w:rPr>
        <w:t>部分</w:t>
      </w:r>
      <w:r>
        <w:rPr>
          <w:b/>
          <w:color w:val="auto"/>
          <w:sz w:val="36"/>
          <w:szCs w:val="36"/>
        </w:rPr>
        <w:t xml:space="preserve"> </w:t>
      </w:r>
      <w:r>
        <w:rPr>
          <w:rFonts w:hint="eastAsia"/>
          <w:b/>
          <w:sz w:val="36"/>
          <w:szCs w:val="36"/>
        </w:rPr>
        <w:t xml:space="preserve"> </w:t>
      </w:r>
      <w:r>
        <w:rPr>
          <w:rFonts w:hint="eastAsia"/>
          <w:b/>
          <w:sz w:val="36"/>
          <w:szCs w:val="36"/>
          <w:lang w:val="en-US" w:eastAsia="zh-CN"/>
        </w:rPr>
        <w:t>采购</w:t>
      </w:r>
      <w:r>
        <w:rPr>
          <w:rFonts w:hint="eastAsia"/>
          <w:b/>
          <w:sz w:val="36"/>
          <w:szCs w:val="36"/>
          <w:lang w:eastAsia="zh-CN"/>
        </w:rPr>
        <w:t>需求</w:t>
      </w:r>
    </w:p>
    <w:p w14:paraId="3AD1A655"/>
    <w:p w14:paraId="202F222B">
      <w:pPr>
        <w:pStyle w:val="12"/>
        <w:ind w:left="0" w:leftChars="0" w:firstLine="0" w:firstLineChars="0"/>
        <w:rPr>
          <w:rFonts w:hint="eastAsia" w:ascii="宋体" w:hAnsi="宋体" w:eastAsia="宋体" w:cs="宋体"/>
          <w:sz w:val="24"/>
          <w:highlight w:val="none"/>
          <w:u w:val="single"/>
        </w:rPr>
      </w:pPr>
      <w:r>
        <w:rPr>
          <w:rFonts w:hint="eastAsia" w:ascii="宋体" w:hAnsi="宋体" w:eastAsia="宋体" w:cs="宋体"/>
          <w:sz w:val="24"/>
          <w:highlight w:val="none"/>
          <w:u w:val="single"/>
        </w:rPr>
        <w:t>注：“</w:t>
      </w:r>
      <w:r>
        <w:rPr>
          <w:rFonts w:hint="eastAsia" w:asciiTheme="minorEastAsia" w:hAnsiTheme="minorEastAsia" w:eastAsiaTheme="minorEastAsia"/>
          <w:sz w:val="24"/>
          <w:u w:val="single"/>
        </w:rPr>
        <w:t>▲</w:t>
      </w:r>
      <w:r>
        <w:rPr>
          <w:rFonts w:hint="eastAsia" w:ascii="宋体" w:hAnsi="宋体" w:eastAsia="宋体" w:cs="宋体"/>
          <w:sz w:val="24"/>
          <w:highlight w:val="none"/>
          <w:u w:val="single"/>
        </w:rPr>
        <w:t>” 系指实质性要求条款， “</w:t>
      </w:r>
      <w:r>
        <w:rPr>
          <w:rFonts w:hint="eastAsia" w:ascii="宋体" w:hAnsi="宋体" w:eastAsia="宋体" w:cs="宋体"/>
          <w:b/>
          <w:sz w:val="24"/>
          <w:highlight w:val="none"/>
          <w:u w:val="single"/>
        </w:rPr>
        <w:t>※</w:t>
      </w:r>
      <w:r>
        <w:rPr>
          <w:rFonts w:hint="eastAsia" w:ascii="宋体" w:hAnsi="宋体" w:eastAsia="宋体" w:cs="宋体"/>
          <w:sz w:val="24"/>
          <w:highlight w:val="none"/>
          <w:u w:val="single"/>
        </w:rPr>
        <w:t>”系指磋商过程中可能实质性变动的内容。</w:t>
      </w:r>
    </w:p>
    <w:p w14:paraId="23F61986">
      <w:pPr>
        <w:pStyle w:val="23"/>
        <w:rPr>
          <w:rFonts w:hint="eastAsia"/>
        </w:rPr>
      </w:pPr>
    </w:p>
    <w:p w14:paraId="5C6A5A9C">
      <w:pPr>
        <w:adjustRightInd/>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w:t>
      </w:r>
    </w:p>
    <w:tbl>
      <w:tblPr>
        <w:tblStyle w:val="31"/>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659"/>
        <w:gridCol w:w="5707"/>
      </w:tblGrid>
      <w:tr w14:paraId="1079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17" w:type="dxa"/>
            <w:noWrap w:val="0"/>
            <w:vAlign w:val="center"/>
          </w:tcPr>
          <w:p w14:paraId="3FE58E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659" w:type="dxa"/>
            <w:noWrap w:val="0"/>
            <w:vAlign w:val="center"/>
          </w:tcPr>
          <w:p w14:paraId="69A605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5707" w:type="dxa"/>
            <w:noWrap w:val="0"/>
            <w:vAlign w:val="center"/>
          </w:tcPr>
          <w:p w14:paraId="7B68EA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采购需求内容</w:t>
            </w:r>
          </w:p>
        </w:tc>
      </w:tr>
      <w:tr w14:paraId="7231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7" w:type="dxa"/>
            <w:noWrap w:val="0"/>
            <w:vAlign w:val="center"/>
          </w:tcPr>
          <w:p w14:paraId="38D088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9" w:type="dxa"/>
            <w:noWrap w:val="0"/>
            <w:vAlign w:val="center"/>
          </w:tcPr>
          <w:p w14:paraId="3168CE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5707" w:type="dxa"/>
            <w:noWrap w:val="0"/>
            <w:vAlign w:val="center"/>
          </w:tcPr>
          <w:p w14:paraId="5A82B9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宁海县第一医院医疗健康集团北部医院食堂外包服务项目</w:t>
            </w:r>
          </w:p>
        </w:tc>
      </w:tr>
      <w:tr w14:paraId="71C7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60F64C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9" w:type="dxa"/>
            <w:noWrap w:val="0"/>
            <w:vAlign w:val="center"/>
          </w:tcPr>
          <w:p w14:paraId="4C4823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单位及数量</w:t>
            </w:r>
          </w:p>
        </w:tc>
        <w:tc>
          <w:tcPr>
            <w:tcW w:w="5707" w:type="dxa"/>
            <w:noWrap w:val="0"/>
            <w:vAlign w:val="bottom"/>
          </w:tcPr>
          <w:p w14:paraId="58077C30">
            <w:pPr>
              <w:keepNext w:val="0"/>
              <w:keepLines w:val="0"/>
              <w:numPr>
                <w:ilvl w:val="0"/>
                <w:numId w:val="0"/>
              </w:numPr>
              <w:suppressLineNumbers w:val="0"/>
              <w:tabs>
                <w:tab w:val="left" w:pos="180"/>
              </w:tabs>
              <w:spacing w:before="0" w:beforeAutospacing="0" w:after="0" w:afterAutospacing="0" w:line="360" w:lineRule="auto"/>
              <w:ind w:left="0" w:right="-420" w:rightChars="-200"/>
              <w:jc w:val="left"/>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详见</w:t>
            </w:r>
            <w:r>
              <w:rPr>
                <w:rFonts w:hint="eastAsia" w:ascii="宋体" w:hAnsi="宋体" w:eastAsia="宋体" w:cs="宋体"/>
                <w:color w:val="auto"/>
                <w:sz w:val="24"/>
                <w:szCs w:val="24"/>
                <w:highlight w:val="none"/>
                <w:lang w:eastAsia="zh-CN"/>
              </w:rPr>
              <w:t xml:space="preserve">《第一部分  </w:t>
            </w:r>
            <w:r>
              <w:rPr>
                <w:rFonts w:hint="eastAsia" w:ascii="宋体" w:hAnsi="宋体" w:eastAsia="宋体" w:cs="宋体"/>
                <w:color w:val="auto"/>
                <w:sz w:val="24"/>
                <w:szCs w:val="24"/>
                <w:highlight w:val="none"/>
              </w:rPr>
              <w:t>邀请供应商</w:t>
            </w:r>
            <w:r>
              <w:rPr>
                <w:rFonts w:hint="eastAsia" w:ascii="宋体" w:hAnsi="宋体" w:eastAsia="宋体" w:cs="宋体"/>
                <w:color w:val="auto"/>
                <w:sz w:val="24"/>
                <w:szCs w:val="24"/>
                <w:highlight w:val="none"/>
                <w:lang w:eastAsia="zh-CN"/>
              </w:rPr>
              <w:t>》</w:t>
            </w:r>
          </w:p>
        </w:tc>
      </w:tr>
      <w:tr w14:paraId="25FB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17" w:type="dxa"/>
            <w:noWrap w:val="0"/>
            <w:vAlign w:val="center"/>
          </w:tcPr>
          <w:p w14:paraId="6D255D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9" w:type="dxa"/>
            <w:noWrap w:val="0"/>
            <w:vAlign w:val="center"/>
          </w:tcPr>
          <w:p w14:paraId="456A3D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交付或者实施的时间和地点</w:t>
            </w:r>
          </w:p>
        </w:tc>
        <w:tc>
          <w:tcPr>
            <w:tcW w:w="5707" w:type="dxa"/>
            <w:noWrap w:val="0"/>
            <w:vAlign w:val="center"/>
          </w:tcPr>
          <w:p w14:paraId="5E74E5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36" w:lineRule="auto"/>
              <w:ind w:left="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194B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17" w:type="dxa"/>
            <w:noWrap w:val="0"/>
            <w:vAlign w:val="center"/>
          </w:tcPr>
          <w:p w14:paraId="121F98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59" w:type="dxa"/>
            <w:noWrap w:val="0"/>
            <w:vAlign w:val="center"/>
          </w:tcPr>
          <w:p w14:paraId="0BF640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需实现的功能或者目标</w:t>
            </w:r>
          </w:p>
        </w:tc>
        <w:tc>
          <w:tcPr>
            <w:tcW w:w="5707" w:type="dxa"/>
            <w:noWrap w:val="0"/>
            <w:vAlign w:val="center"/>
          </w:tcPr>
          <w:p w14:paraId="0EBCFD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5213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17" w:type="dxa"/>
            <w:noWrap w:val="0"/>
            <w:vAlign w:val="center"/>
          </w:tcPr>
          <w:p w14:paraId="412856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59" w:type="dxa"/>
            <w:noWrap w:val="0"/>
            <w:vAlign w:val="center"/>
          </w:tcPr>
          <w:p w14:paraId="4E4CA0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执行的国家相关标准、行业标准、地方标准或者其它标准、规范</w:t>
            </w:r>
          </w:p>
        </w:tc>
        <w:tc>
          <w:tcPr>
            <w:tcW w:w="5707" w:type="dxa"/>
            <w:noWrap w:val="0"/>
            <w:vAlign w:val="center"/>
          </w:tcPr>
          <w:p w14:paraId="208E16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国家相关标准、行业标准、地方标准或者其他标准规范。</w:t>
            </w:r>
          </w:p>
        </w:tc>
      </w:tr>
      <w:tr w14:paraId="5B72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17" w:type="dxa"/>
            <w:noWrap w:val="0"/>
            <w:vAlign w:val="center"/>
          </w:tcPr>
          <w:p w14:paraId="348897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659" w:type="dxa"/>
            <w:noWrap w:val="0"/>
            <w:vAlign w:val="center"/>
          </w:tcPr>
          <w:p w14:paraId="468A01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技术规格要求</w:t>
            </w:r>
          </w:p>
        </w:tc>
        <w:tc>
          <w:tcPr>
            <w:tcW w:w="5707" w:type="dxa"/>
            <w:noWrap w:val="0"/>
            <w:vAlign w:val="center"/>
          </w:tcPr>
          <w:p w14:paraId="01793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4FBE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7" w:type="dxa"/>
            <w:noWrap w:val="0"/>
            <w:vAlign w:val="center"/>
          </w:tcPr>
          <w:p w14:paraId="28420E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659" w:type="dxa"/>
            <w:noWrap w:val="0"/>
            <w:vAlign w:val="center"/>
          </w:tcPr>
          <w:p w14:paraId="02BEDD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物理特性要求</w:t>
            </w:r>
          </w:p>
        </w:tc>
        <w:tc>
          <w:tcPr>
            <w:tcW w:w="5707" w:type="dxa"/>
            <w:noWrap w:val="0"/>
            <w:vAlign w:val="center"/>
          </w:tcPr>
          <w:p w14:paraId="33F28B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6DC2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17" w:type="dxa"/>
            <w:noWrap w:val="0"/>
            <w:vAlign w:val="center"/>
          </w:tcPr>
          <w:p w14:paraId="497365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659" w:type="dxa"/>
            <w:noWrap w:val="0"/>
            <w:vAlign w:val="center"/>
          </w:tcPr>
          <w:p w14:paraId="0D7FBC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质量、安全要求</w:t>
            </w:r>
          </w:p>
        </w:tc>
        <w:tc>
          <w:tcPr>
            <w:tcW w:w="5707" w:type="dxa"/>
            <w:noWrap w:val="0"/>
            <w:vAlign w:val="center"/>
          </w:tcPr>
          <w:p w14:paraId="1683F4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质量要求：详见本部分内容。</w:t>
            </w:r>
          </w:p>
          <w:p w14:paraId="32E7A7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安全要求：合格。</w:t>
            </w:r>
          </w:p>
        </w:tc>
      </w:tr>
      <w:tr w14:paraId="6515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17" w:type="dxa"/>
            <w:noWrap w:val="0"/>
            <w:vAlign w:val="center"/>
          </w:tcPr>
          <w:p w14:paraId="409858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659" w:type="dxa"/>
            <w:noWrap w:val="0"/>
            <w:vAlign w:val="center"/>
          </w:tcPr>
          <w:p w14:paraId="48782AA0">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服务标准、期限、效率</w:t>
            </w:r>
          </w:p>
        </w:tc>
        <w:tc>
          <w:tcPr>
            <w:tcW w:w="5707" w:type="dxa"/>
            <w:noWrap w:val="0"/>
            <w:vAlign w:val="center"/>
          </w:tcPr>
          <w:p w14:paraId="20237E1C">
            <w:pPr>
              <w:keepNext w:val="0"/>
              <w:keepLines w:val="0"/>
              <w:suppressLineNumbers w:val="0"/>
              <w:adjustRightInd/>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0680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7" w:type="dxa"/>
            <w:noWrap w:val="0"/>
            <w:vAlign w:val="center"/>
          </w:tcPr>
          <w:p w14:paraId="1910C8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659" w:type="dxa"/>
            <w:noWrap w:val="0"/>
            <w:vAlign w:val="center"/>
          </w:tcPr>
          <w:p w14:paraId="2C87CF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验收标准</w:t>
            </w:r>
          </w:p>
        </w:tc>
        <w:tc>
          <w:tcPr>
            <w:tcW w:w="5707" w:type="dxa"/>
            <w:noWrap w:val="0"/>
            <w:vAlign w:val="center"/>
          </w:tcPr>
          <w:p w14:paraId="7CCA5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按照</w:t>
            </w:r>
            <w:r>
              <w:rPr>
                <w:rFonts w:hint="eastAsia" w:ascii="宋体" w:hAnsi="宋体" w:eastAsia="宋体" w:cs="宋体"/>
                <w:bCs/>
                <w:color w:val="auto"/>
                <w:sz w:val="24"/>
                <w:szCs w:val="24"/>
                <w:highlight w:val="none"/>
                <w:lang w:val="en-US" w:eastAsia="zh-CN"/>
              </w:rPr>
              <w:t>成交人</w:t>
            </w:r>
            <w:r>
              <w:rPr>
                <w:rFonts w:hint="eastAsia" w:ascii="宋体" w:hAnsi="宋体" w:eastAsia="宋体" w:cs="宋体"/>
                <w:bCs/>
                <w:color w:val="auto"/>
                <w:sz w:val="24"/>
                <w:szCs w:val="24"/>
                <w:highlight w:val="none"/>
              </w:rPr>
              <w:t>提供的</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文件及</w:t>
            </w:r>
            <w:r>
              <w:rPr>
                <w:rFonts w:hint="eastAsia" w:ascii="宋体" w:hAnsi="宋体" w:eastAsia="宋体" w:cs="宋体"/>
                <w:bCs/>
                <w:color w:val="auto"/>
                <w:sz w:val="24"/>
                <w:szCs w:val="24"/>
                <w:highlight w:val="none"/>
                <w:lang w:val="en-US" w:eastAsia="zh-CN"/>
              </w:rPr>
              <w:t>成交人</w:t>
            </w:r>
            <w:r>
              <w:rPr>
                <w:rFonts w:hint="eastAsia" w:ascii="宋体" w:hAnsi="宋体" w:eastAsia="宋体" w:cs="宋体"/>
                <w:bCs/>
                <w:color w:val="auto"/>
                <w:sz w:val="24"/>
                <w:szCs w:val="24"/>
                <w:highlight w:val="none"/>
              </w:rPr>
              <w:t>和采购人签订的政府采购合同为标准进行验收。</w:t>
            </w:r>
          </w:p>
        </w:tc>
      </w:tr>
      <w:tr w14:paraId="7959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7" w:type="dxa"/>
            <w:noWrap w:val="0"/>
            <w:vAlign w:val="center"/>
          </w:tcPr>
          <w:p w14:paraId="4A8D1F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2659" w:type="dxa"/>
            <w:noWrap w:val="0"/>
            <w:vAlign w:val="center"/>
          </w:tcPr>
          <w:p w14:paraId="1D92F0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c>
          <w:tcPr>
            <w:tcW w:w="5707" w:type="dxa"/>
            <w:noWrap w:val="0"/>
            <w:vAlign w:val="center"/>
          </w:tcPr>
          <w:p w14:paraId="1B60BE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14:paraId="2B5D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7" w:type="dxa"/>
            <w:noWrap w:val="0"/>
            <w:vAlign w:val="center"/>
          </w:tcPr>
          <w:p w14:paraId="478220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2659" w:type="dxa"/>
            <w:noWrap w:val="0"/>
            <w:vAlign w:val="center"/>
          </w:tcPr>
          <w:p w14:paraId="0202A6D7">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演示时间及地点</w:t>
            </w:r>
          </w:p>
        </w:tc>
        <w:tc>
          <w:tcPr>
            <w:tcW w:w="5707" w:type="dxa"/>
            <w:noWrap w:val="0"/>
            <w:vAlign w:val="center"/>
          </w:tcPr>
          <w:p w14:paraId="1BDFC50C">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4C75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7" w:type="dxa"/>
            <w:noWrap w:val="0"/>
            <w:vAlign w:val="center"/>
          </w:tcPr>
          <w:p w14:paraId="3E2BD7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2659" w:type="dxa"/>
            <w:noWrap w:val="0"/>
            <w:vAlign w:val="center"/>
          </w:tcPr>
          <w:p w14:paraId="469F718D">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样品要求</w:t>
            </w:r>
          </w:p>
        </w:tc>
        <w:tc>
          <w:tcPr>
            <w:tcW w:w="5707" w:type="dxa"/>
            <w:noWrap w:val="0"/>
            <w:vAlign w:val="center"/>
          </w:tcPr>
          <w:p w14:paraId="7A4277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无</w:t>
            </w:r>
          </w:p>
        </w:tc>
      </w:tr>
      <w:tr w14:paraId="2D5A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7" w:type="dxa"/>
            <w:noWrap w:val="0"/>
            <w:vAlign w:val="center"/>
          </w:tcPr>
          <w:p w14:paraId="55B32F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2659" w:type="dxa"/>
            <w:noWrap w:val="0"/>
            <w:vAlign w:val="center"/>
          </w:tcPr>
          <w:p w14:paraId="4C52E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是否允许采购进口产品</w:t>
            </w:r>
          </w:p>
        </w:tc>
        <w:tc>
          <w:tcPr>
            <w:tcW w:w="5707" w:type="dxa"/>
            <w:noWrap w:val="0"/>
            <w:vAlign w:val="center"/>
          </w:tcPr>
          <w:p w14:paraId="1A3422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否</w:t>
            </w:r>
          </w:p>
        </w:tc>
      </w:tr>
    </w:tbl>
    <w:p w14:paraId="11C03144">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Cs w:val="21"/>
          <w:highlight w:val="none"/>
        </w:rPr>
        <w:br w:type="page"/>
      </w:r>
      <w:r>
        <w:rPr>
          <w:rFonts w:hint="eastAsia" w:ascii="宋体" w:hAnsi="宋体" w:cs="宋体"/>
          <w:b/>
          <w:bCs w:val="0"/>
          <w:spacing w:val="2"/>
          <w:kern w:val="2"/>
          <w:sz w:val="21"/>
          <w:szCs w:val="21"/>
          <w:lang w:val="en-US" w:eastAsia="zh-CN" w:bidi="ar"/>
        </w:rPr>
        <w:t xml:space="preserve"> </w:t>
      </w:r>
      <w:r>
        <w:rPr>
          <w:rFonts w:hint="eastAsia" w:asciiTheme="minorEastAsia" w:hAnsiTheme="minorEastAsia" w:eastAsiaTheme="minorEastAsia"/>
          <w:sz w:val="24"/>
          <w:u w:val="none"/>
        </w:rPr>
        <w:t>▲</w:t>
      </w:r>
      <w:r>
        <w:rPr>
          <w:rFonts w:hint="eastAsia" w:ascii="宋体" w:hAnsi="宋体" w:eastAsia="宋体" w:cs="宋体"/>
          <w:b/>
          <w:color w:val="auto"/>
          <w:kern w:val="0"/>
          <w:sz w:val="24"/>
          <w:szCs w:val="24"/>
          <w:highlight w:val="none"/>
        </w:rPr>
        <w:t>一、重要商务要求一览表</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3"/>
        <w:gridCol w:w="6366"/>
      </w:tblGrid>
      <w:tr w14:paraId="7536C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14:paraId="78C4DB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outlineLvl w:val="9"/>
              <w:rPr>
                <w:rFonts w:hint="eastAsia" w:ascii="宋体" w:hAnsi="宋体" w:eastAsia="宋体" w:cs="宋体"/>
                <w:b w:val="0"/>
                <w:bCs w:val="0"/>
                <w:color w:val="auto"/>
                <w:kern w:val="0"/>
                <w:sz w:val="24"/>
                <w:szCs w:val="24"/>
                <w:highlight w:val="none"/>
              </w:rPr>
            </w:pPr>
            <w:bookmarkStart w:id="15" w:name="_Toc513103337"/>
            <w:r>
              <w:rPr>
                <w:rFonts w:hint="eastAsia" w:ascii="宋体" w:hAnsi="宋体" w:eastAsia="宋体" w:cs="宋体"/>
                <w:b w:val="0"/>
                <w:bCs w:val="0"/>
                <w:color w:val="auto"/>
                <w:kern w:val="0"/>
                <w:sz w:val="24"/>
                <w:szCs w:val="24"/>
                <w:highlight w:val="none"/>
              </w:rPr>
              <w:t>项目</w:t>
            </w:r>
          </w:p>
        </w:tc>
        <w:tc>
          <w:tcPr>
            <w:tcW w:w="6366" w:type="dxa"/>
            <w:tcBorders>
              <w:top w:val="single" w:color="auto" w:sz="4" w:space="0"/>
              <w:left w:val="single" w:color="auto" w:sz="4" w:space="0"/>
              <w:bottom w:val="single" w:color="auto" w:sz="4" w:space="0"/>
              <w:right w:val="single" w:color="auto" w:sz="4" w:space="0"/>
            </w:tcBorders>
            <w:noWrap w:val="0"/>
            <w:vAlign w:val="center"/>
          </w:tcPr>
          <w:p w14:paraId="1A4BCA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要 求 </w:t>
            </w:r>
          </w:p>
        </w:tc>
      </w:tr>
      <w:tr w14:paraId="13C83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14:paraId="1D195A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1、合同履</w:t>
            </w:r>
            <w:r>
              <w:rPr>
                <w:rFonts w:hint="eastAsia" w:ascii="宋体" w:hAnsi="宋体" w:eastAsia="宋体" w:cs="宋体"/>
                <w:b w:val="0"/>
                <w:bCs w:val="0"/>
                <w:color w:val="auto"/>
                <w:kern w:val="0"/>
                <w:sz w:val="24"/>
                <w:szCs w:val="24"/>
                <w:highlight w:val="none"/>
                <w:lang w:val="en-US" w:eastAsia="zh-CN"/>
              </w:rPr>
              <w:t>约</w:t>
            </w:r>
            <w:r>
              <w:rPr>
                <w:rFonts w:hint="eastAsia" w:ascii="宋体" w:hAnsi="宋体" w:eastAsia="宋体" w:cs="宋体"/>
                <w:b w:val="0"/>
                <w:bCs w:val="0"/>
                <w:color w:val="auto"/>
                <w:kern w:val="0"/>
                <w:sz w:val="24"/>
                <w:szCs w:val="24"/>
                <w:highlight w:val="none"/>
              </w:rPr>
              <w:t>期限</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工期</w:t>
            </w:r>
            <w:r>
              <w:rPr>
                <w:rFonts w:hint="eastAsia" w:ascii="宋体" w:hAnsi="宋体" w:eastAsia="宋体" w:cs="宋体"/>
                <w:b w:val="0"/>
                <w:bCs w:val="0"/>
                <w:color w:val="auto"/>
                <w:kern w:val="0"/>
                <w:sz w:val="24"/>
                <w:szCs w:val="24"/>
                <w:highlight w:val="none"/>
                <w:lang w:eastAsia="zh-CN"/>
              </w:rPr>
              <w:t>）</w:t>
            </w:r>
          </w:p>
        </w:tc>
        <w:tc>
          <w:tcPr>
            <w:tcW w:w="6366" w:type="dxa"/>
            <w:tcBorders>
              <w:top w:val="single" w:color="auto" w:sz="4" w:space="0"/>
              <w:left w:val="single" w:color="auto" w:sz="4" w:space="0"/>
              <w:bottom w:val="single" w:color="auto" w:sz="4" w:space="0"/>
              <w:right w:val="single" w:color="auto" w:sz="4" w:space="0"/>
            </w:tcBorders>
            <w:noWrap w:val="0"/>
            <w:vAlign w:val="center"/>
          </w:tcPr>
          <w:p w14:paraId="1C7EA1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宋体"/>
                <w:b w:val="0"/>
                <w:bCs w:val="0"/>
                <w:color w:val="auto"/>
                <w:kern w:val="0"/>
                <w:sz w:val="24"/>
                <w:szCs w:val="24"/>
                <w:highlight w:val="none"/>
              </w:rPr>
            </w:pPr>
            <w:r>
              <w:rPr>
                <w:rFonts w:hint="eastAsia" w:ascii="宋体" w:hAnsi="宋体" w:cs="宋体"/>
                <w:i w:val="0"/>
                <w:iCs w:val="0"/>
                <w:caps w:val="0"/>
                <w:color w:val="000000"/>
                <w:spacing w:val="0"/>
                <w:kern w:val="0"/>
                <w:sz w:val="24"/>
                <w:szCs w:val="24"/>
                <w:lang w:val="en-US" w:eastAsia="zh-CN" w:bidi="ar"/>
              </w:rPr>
              <w:t>详见</w:t>
            </w:r>
            <w:r>
              <w:rPr>
                <w:rFonts w:hint="eastAsia" w:ascii="宋体" w:hAnsi="宋体" w:eastAsia="宋体" w:cs="宋体"/>
                <w:color w:val="auto"/>
                <w:sz w:val="24"/>
                <w:szCs w:val="24"/>
                <w:highlight w:val="none"/>
                <w:lang w:eastAsia="zh-CN"/>
              </w:rPr>
              <w:t xml:space="preserve">《第一部分  </w:t>
            </w:r>
            <w:r>
              <w:rPr>
                <w:rFonts w:hint="eastAsia" w:ascii="宋体" w:hAnsi="宋体" w:eastAsia="宋体" w:cs="宋体"/>
                <w:color w:val="auto"/>
                <w:sz w:val="24"/>
                <w:szCs w:val="24"/>
                <w:highlight w:val="none"/>
              </w:rPr>
              <w:t>邀请供应商</w:t>
            </w:r>
            <w:r>
              <w:rPr>
                <w:rFonts w:hint="eastAsia" w:ascii="宋体" w:hAnsi="宋体" w:eastAsia="宋体" w:cs="宋体"/>
                <w:color w:val="auto"/>
                <w:sz w:val="24"/>
                <w:szCs w:val="24"/>
                <w:highlight w:val="none"/>
                <w:lang w:eastAsia="zh-CN"/>
              </w:rPr>
              <w:t>》</w:t>
            </w:r>
            <w:r>
              <w:rPr>
                <w:rFonts w:hint="eastAsia" w:ascii="宋体" w:hAnsi="宋体" w:cs="宋体"/>
                <w:i w:val="0"/>
                <w:iCs w:val="0"/>
                <w:caps w:val="0"/>
                <w:color w:val="000000"/>
                <w:spacing w:val="0"/>
                <w:kern w:val="0"/>
                <w:sz w:val="24"/>
                <w:szCs w:val="24"/>
                <w:lang w:val="en-US" w:eastAsia="zh-CN" w:bidi="ar"/>
              </w:rPr>
              <w:t>。</w:t>
            </w:r>
          </w:p>
        </w:tc>
      </w:tr>
      <w:tr w14:paraId="1EC99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14:paraId="412D33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2、实施地点</w:t>
            </w:r>
          </w:p>
        </w:tc>
        <w:tc>
          <w:tcPr>
            <w:tcW w:w="6366" w:type="dxa"/>
            <w:tcBorders>
              <w:top w:val="single" w:color="auto" w:sz="4" w:space="0"/>
              <w:left w:val="single" w:color="auto" w:sz="4" w:space="0"/>
              <w:bottom w:val="single" w:color="auto" w:sz="4" w:space="0"/>
              <w:right w:val="single" w:color="auto" w:sz="4" w:space="0"/>
            </w:tcBorders>
            <w:noWrap w:val="0"/>
            <w:vAlign w:val="center"/>
          </w:tcPr>
          <w:p w14:paraId="2E0140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宁海县内采购人指定地点。</w:t>
            </w:r>
          </w:p>
        </w:tc>
      </w:tr>
      <w:tr w14:paraId="6CE92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14:paraId="35717B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、付款方式</w:t>
            </w:r>
          </w:p>
        </w:tc>
        <w:tc>
          <w:tcPr>
            <w:tcW w:w="6366" w:type="dxa"/>
            <w:tcBorders>
              <w:top w:val="single" w:color="auto" w:sz="4" w:space="0"/>
              <w:left w:val="single" w:color="auto" w:sz="4" w:space="0"/>
              <w:bottom w:val="single" w:color="auto" w:sz="4" w:space="0"/>
              <w:right w:val="single" w:color="auto" w:sz="4" w:space="0"/>
            </w:tcBorders>
            <w:noWrap w:val="0"/>
            <w:vAlign w:val="center"/>
          </w:tcPr>
          <w:p w14:paraId="380F12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（1）每月考核，根据考核结果，按月支付。每个月末中标人向采购人开具发票，核对无误后，次月10日前采购人向中标人支付上月服务费；</w:t>
            </w:r>
          </w:p>
          <w:p w14:paraId="468D53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（2）解除或终结合同后，在全年考核结束后结清余款。</w:t>
            </w:r>
          </w:p>
          <w:p w14:paraId="1C5026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注：月度服务费=年度合同金额/12-月度考核扣除金额（如有）</w:t>
            </w:r>
          </w:p>
        </w:tc>
      </w:tr>
      <w:tr w14:paraId="666A0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14:paraId="5C1A25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4、履约保证金</w:t>
            </w:r>
          </w:p>
        </w:tc>
        <w:tc>
          <w:tcPr>
            <w:tcW w:w="6366" w:type="dxa"/>
            <w:tcBorders>
              <w:top w:val="single" w:color="auto" w:sz="4" w:space="0"/>
              <w:left w:val="single" w:color="auto" w:sz="4" w:space="0"/>
              <w:bottom w:val="single" w:color="auto" w:sz="4" w:space="0"/>
              <w:right w:val="single" w:color="auto" w:sz="4" w:space="0"/>
            </w:tcBorders>
            <w:noWrap w:val="0"/>
            <w:vAlign w:val="center"/>
          </w:tcPr>
          <w:p w14:paraId="10E13C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履约保证金的收取及退还：</w:t>
            </w:r>
          </w:p>
          <w:p w14:paraId="0D9981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1、履约保证金金额：合同金额的1%；</w:t>
            </w:r>
          </w:p>
          <w:p w14:paraId="4FAEC6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2、履约保证金形式：银行汇票（电汇）、银行保函、保险保函或支票（仅限于使用宁波大市区范围内的银行开具的支票）；</w:t>
            </w:r>
          </w:p>
          <w:p w14:paraId="35ECF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3、履约保证金的退取：在成交人履行完采购合同约定义务事项后及时退还。（如成交人未能履行合同规定的任何义务，采购人有权从履约保证金中得到相应补偿）</w:t>
            </w:r>
          </w:p>
        </w:tc>
      </w:tr>
      <w:tr w14:paraId="623E4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14:paraId="57DCF1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5、合同终止</w:t>
            </w:r>
          </w:p>
        </w:tc>
        <w:tc>
          <w:tcPr>
            <w:tcW w:w="6366" w:type="dxa"/>
            <w:tcBorders>
              <w:top w:val="single" w:color="auto" w:sz="4" w:space="0"/>
              <w:left w:val="single" w:color="auto" w:sz="4" w:space="0"/>
              <w:bottom w:val="single" w:color="auto" w:sz="4" w:space="0"/>
              <w:right w:val="single" w:color="auto" w:sz="4" w:space="0"/>
            </w:tcBorders>
            <w:noWrap w:val="0"/>
            <w:vAlign w:val="center"/>
          </w:tcPr>
          <w:p w14:paraId="05B4D3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中标人在合同有效期内，不得以任何理由终止合同，确有特殊情况的，须提前两个月向采购人提出书面申请，经采购人同意后，方可终止合同。因中标人发生重大差错事故的，采购人可有权终止协议，中标人承担全部责任。因中标方不能保证工作质量，或发生重大差错事故的，采购人有权终止协议，中标人承担全部责任。</w:t>
            </w:r>
          </w:p>
        </w:tc>
      </w:tr>
      <w:bookmarkEnd w:id="15"/>
      <w:tr w14:paraId="5BCB4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single" w:color="auto" w:sz="4" w:space="0"/>
              <w:right w:val="single" w:color="auto" w:sz="4" w:space="0"/>
            </w:tcBorders>
            <w:vAlign w:val="center"/>
          </w:tcPr>
          <w:p w14:paraId="00D1348C">
            <w:pPr>
              <w:keepNext w:val="0"/>
              <w:keepLines w:val="0"/>
              <w:suppressLineNumbers w:val="0"/>
              <w:adjustRightInd/>
              <w:spacing w:before="0" w:beforeAutospacing="0" w:after="0" w:afterAutospacing="0" w:line="360" w:lineRule="auto"/>
              <w:ind w:left="0" w:right="0"/>
              <w:jc w:val="left"/>
              <w:rPr>
                <w:rFonts w:hint="default" w:ascii="宋体" w:hAnsi="宋体" w:cs="宋体"/>
                <w:color w:val="auto"/>
                <w:kern w:val="0"/>
                <w:sz w:val="24"/>
                <w:szCs w:val="24"/>
                <w:highlight w:val="none"/>
                <w:lang w:val="en-US" w:eastAsia="zh-CN"/>
              </w:rPr>
            </w:pPr>
            <w:r>
              <w:rPr>
                <w:rFonts w:hint="eastAsia" w:ascii="宋体" w:hAnsi="宋体" w:cs="宋体"/>
                <w:bCs/>
                <w:sz w:val="24"/>
                <w:szCs w:val="20"/>
                <w:lang w:val="en-US" w:eastAsia="zh-CN"/>
              </w:rPr>
              <w:t>6、对采购内容进行变更的处理</w:t>
            </w:r>
          </w:p>
        </w:tc>
        <w:tc>
          <w:tcPr>
            <w:tcW w:w="6366" w:type="dxa"/>
            <w:tcBorders>
              <w:top w:val="single" w:color="auto" w:sz="4" w:space="0"/>
              <w:left w:val="single" w:color="auto" w:sz="4" w:space="0"/>
            </w:tcBorders>
            <w:vAlign w:val="center"/>
          </w:tcPr>
          <w:p w14:paraId="0AA91C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1合同执行期间，因故致使本合同配置人员数量发生变更的，由采购人根据实际变更的情况，按中标单价进行增减，以联系单为准。</w:t>
            </w:r>
          </w:p>
        </w:tc>
      </w:tr>
    </w:tbl>
    <w:p w14:paraId="1771554F">
      <w:pPr>
        <w:keepNext w:val="0"/>
        <w:keepLines w:val="0"/>
        <w:pageBreakBefore w:val="0"/>
        <w:widowControl/>
        <w:tabs>
          <w:tab w:val="left" w:pos="851"/>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kern w:val="0"/>
          <w:sz w:val="24"/>
          <w:szCs w:val="24"/>
          <w:highlight w:val="none"/>
        </w:rPr>
        <w:sectPr>
          <w:footerReference r:id="rId6" w:type="default"/>
          <w:pgSz w:w="11907" w:h="16840"/>
          <w:pgMar w:top="1361" w:right="1587" w:bottom="1361" w:left="1587" w:header="851" w:footer="851" w:gutter="0"/>
          <w:pgNumType w:fmt="decimal" w:start="1"/>
          <w:cols w:space="720" w:num="1"/>
        </w:sectPr>
      </w:pPr>
    </w:p>
    <w:p w14:paraId="46F6681E">
      <w:pPr>
        <w:keepNext w:val="0"/>
        <w:keepLines w:val="0"/>
        <w:pageBreakBefore w:val="0"/>
        <w:tabs>
          <w:tab w:val="left" w:pos="0"/>
        </w:tabs>
        <w:kinsoku/>
        <w:wordWrap/>
        <w:overflowPunct/>
        <w:topLinePunct w:val="0"/>
        <w:bidi w:val="0"/>
        <w:spacing w:line="440" w:lineRule="exact"/>
        <w:ind w:firstLine="420" w:firstLineChars="200"/>
        <w:outlineLvl w:val="9"/>
        <w:rPr>
          <w:rFonts w:hint="eastAsia" w:ascii="宋体" w:hAnsi="宋体" w:eastAsia="宋体" w:cs="宋体"/>
          <w:b w:val="0"/>
          <w:bCs/>
          <w:sz w:val="21"/>
          <w:szCs w:val="21"/>
        </w:rPr>
      </w:pPr>
      <w:r>
        <w:rPr>
          <w:rFonts w:hint="eastAsia" w:ascii="宋体" w:hAnsi="宋体" w:eastAsia="宋体" w:cs="宋体"/>
          <w:b w:val="0"/>
          <w:bCs/>
          <w:sz w:val="21"/>
          <w:szCs w:val="21"/>
        </w:rPr>
        <w:t>招标文件提供的数据资料仅为投标参考使用，详细信息投标方应实地踏勘现场调查核实，中标后，投标人不得以不完全了解施工现场和周围环境情况为借口，提出额外补偿的要求！</w:t>
      </w:r>
    </w:p>
    <w:p w14:paraId="70F18A0D">
      <w:pPr>
        <w:keepNext w:val="0"/>
        <w:keepLines w:val="0"/>
        <w:pageBreakBefore w:val="0"/>
        <w:widowControl/>
        <w:kinsoku/>
        <w:wordWrap/>
        <w:overflowPunct/>
        <w:topLinePunct w:val="0"/>
        <w:bidi w:val="0"/>
        <w:spacing w:before="150" w:after="150" w:line="440" w:lineRule="exact"/>
        <w:jc w:val="left"/>
        <w:outlineLvl w:val="9"/>
        <w:rPr>
          <w:rFonts w:hint="eastAsia" w:ascii="宋体" w:hAnsi="宋体" w:eastAsia="宋体" w:cs="宋体"/>
          <w:sz w:val="21"/>
          <w:szCs w:val="21"/>
        </w:rPr>
      </w:pPr>
      <w:r>
        <w:rPr>
          <w:rFonts w:hint="eastAsia" w:ascii="宋体" w:hAnsi="宋体" w:eastAsia="宋体" w:cs="宋体"/>
          <w:b/>
          <w:kern w:val="0"/>
          <w:sz w:val="21"/>
          <w:szCs w:val="21"/>
        </w:rPr>
        <w:t>一、项目概况</w:t>
      </w:r>
    </w:p>
    <w:p w14:paraId="17C1AE5B">
      <w:pPr>
        <w:keepNext w:val="0"/>
        <w:keepLines w:val="0"/>
        <w:pageBreakBefore w:val="0"/>
        <w:kinsoku/>
        <w:wordWrap/>
        <w:overflowPunct/>
        <w:topLinePunct w:val="0"/>
        <w:bidi w:val="0"/>
        <w:adjustRightInd w:val="0"/>
        <w:snapToGrid w:val="0"/>
        <w:spacing w:line="440" w:lineRule="exact"/>
        <w:ind w:firstLine="420" w:firstLineChars="200"/>
        <w:outlineLvl w:val="9"/>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cs="宋体"/>
          <w:color w:val="auto"/>
          <w:sz w:val="21"/>
          <w:szCs w:val="21"/>
          <w:highlight w:val="none"/>
          <w:lang w:val="zh-CN" w:eastAsia="zh-CN"/>
        </w:rPr>
        <w:t>宁海县梅林街道社区卫生服务中心（宁海县第一医院医疗健康集团北部医院）</w:t>
      </w:r>
      <w:r>
        <w:rPr>
          <w:rFonts w:hint="eastAsia" w:ascii="宋体" w:hAnsi="宋体" w:eastAsia="宋体" w:cs="宋体"/>
          <w:color w:val="auto"/>
          <w:kern w:val="0"/>
          <w:sz w:val="21"/>
          <w:szCs w:val="21"/>
          <w:highlight w:val="none"/>
          <w:lang w:val="en-US" w:eastAsia="zh-CN" w:bidi="ar"/>
        </w:rPr>
        <w:t>现对医院内部食堂及住院部病患送餐的餐饮服务外包项目进行招标，本项目将由一家</w:t>
      </w:r>
      <w:r>
        <w:rPr>
          <w:rFonts w:hint="eastAsia" w:hAnsi="宋体" w:eastAsia="宋体" w:cs="宋体"/>
          <w:color w:val="auto"/>
          <w:kern w:val="0"/>
          <w:sz w:val="21"/>
          <w:szCs w:val="21"/>
          <w:highlight w:val="none"/>
          <w:lang w:val="en-US" w:eastAsia="zh-CN" w:bidi="ar"/>
        </w:rPr>
        <w:t>中标人</w:t>
      </w:r>
      <w:r>
        <w:rPr>
          <w:rFonts w:hint="eastAsia" w:ascii="宋体" w:hAnsi="宋体" w:eastAsia="宋体" w:cs="宋体"/>
          <w:color w:val="auto"/>
          <w:kern w:val="0"/>
          <w:sz w:val="21"/>
          <w:szCs w:val="21"/>
          <w:highlight w:val="none"/>
          <w:lang w:val="en-US" w:eastAsia="zh-CN" w:bidi="ar"/>
        </w:rPr>
        <w:t>独立承包，实行统一管理，综合服务，不得分包经营。要求服务人员配置合理，统筹安排；餐饮花色丰富，品质保证，卫生健康，服务规范；全体员工在服务期间，必须仪容整洁、仪表端正、礼仪规范；同时要求在</w:t>
      </w:r>
      <w:r>
        <w:rPr>
          <w:rFonts w:hint="eastAsia" w:hAnsi="宋体" w:eastAsia="宋体" w:cs="宋体"/>
          <w:color w:val="auto"/>
          <w:kern w:val="0"/>
          <w:sz w:val="21"/>
          <w:szCs w:val="21"/>
          <w:highlight w:val="none"/>
          <w:lang w:val="en-US" w:eastAsia="zh-CN" w:bidi="ar"/>
        </w:rPr>
        <w:t>招标人</w:t>
      </w:r>
      <w:r>
        <w:rPr>
          <w:rFonts w:hint="eastAsia" w:ascii="宋体" w:hAnsi="宋体" w:eastAsia="宋体" w:cs="宋体"/>
          <w:color w:val="auto"/>
          <w:kern w:val="0"/>
          <w:sz w:val="21"/>
          <w:szCs w:val="21"/>
          <w:highlight w:val="none"/>
          <w:lang w:val="en-US" w:eastAsia="zh-CN" w:bidi="ar"/>
        </w:rPr>
        <w:t>的管理下做好各类材料节约、节能工作，配合</w:t>
      </w:r>
      <w:r>
        <w:rPr>
          <w:rFonts w:hint="eastAsia" w:hAnsi="宋体" w:eastAsia="宋体" w:cs="宋体"/>
          <w:color w:val="auto"/>
          <w:kern w:val="0"/>
          <w:sz w:val="21"/>
          <w:szCs w:val="21"/>
          <w:highlight w:val="none"/>
          <w:lang w:val="en-US" w:eastAsia="zh-CN" w:bidi="ar"/>
        </w:rPr>
        <w:t>招标人</w:t>
      </w:r>
      <w:r>
        <w:rPr>
          <w:rFonts w:hint="eastAsia" w:ascii="宋体" w:hAnsi="宋体" w:eastAsia="宋体" w:cs="宋体"/>
          <w:color w:val="auto"/>
          <w:kern w:val="0"/>
          <w:sz w:val="21"/>
          <w:szCs w:val="21"/>
          <w:highlight w:val="none"/>
          <w:lang w:val="en-US" w:eastAsia="zh-CN" w:bidi="ar"/>
        </w:rPr>
        <w:t>实现材料消耗、能耗逐年下降。</w:t>
      </w:r>
    </w:p>
    <w:p w14:paraId="195DB5F6">
      <w:pPr>
        <w:keepNext w:val="0"/>
        <w:keepLines w:val="0"/>
        <w:pageBreakBefore w:val="0"/>
        <w:kinsoku/>
        <w:wordWrap/>
        <w:overflowPunct/>
        <w:topLinePunct w:val="0"/>
        <w:bidi w:val="0"/>
        <w:adjustRightInd w:val="0"/>
        <w:snapToGrid w:val="0"/>
        <w:spacing w:line="440" w:lineRule="exact"/>
        <w:ind w:firstLine="210" w:firstLineChars="100"/>
        <w:outlineLvl w:val="9"/>
        <w:rPr>
          <w:rFonts w:hint="eastAsia" w:ascii="宋体" w:hAnsi="宋体" w:eastAsia="宋体" w:cs="宋体"/>
          <w:b/>
          <w:sz w:val="21"/>
          <w:szCs w:val="21"/>
        </w:rPr>
      </w:pPr>
      <w:r>
        <w:rPr>
          <w:rFonts w:hint="eastAsia" w:ascii="宋体" w:hAnsi="宋体" w:eastAsia="宋体" w:cs="宋体"/>
          <w:sz w:val="21"/>
          <w:szCs w:val="21"/>
          <w:lang w:eastAsia="zh-CN"/>
        </w:rPr>
        <w:t>（二）</w:t>
      </w:r>
      <w:r>
        <w:rPr>
          <w:rFonts w:hint="eastAsia" w:ascii="宋体" w:hAnsi="宋体" w:cs="宋体"/>
          <w:color w:val="auto"/>
          <w:sz w:val="21"/>
          <w:szCs w:val="21"/>
          <w:highlight w:val="none"/>
        </w:rPr>
        <w:t>▲</w:t>
      </w:r>
      <w:r>
        <w:rPr>
          <w:rFonts w:hint="eastAsia" w:ascii="宋体" w:hAnsi="宋体" w:eastAsia="宋体" w:cs="宋体"/>
          <w:b/>
          <w:sz w:val="21"/>
          <w:szCs w:val="21"/>
        </w:rPr>
        <w:t>本项目采购预算：</w:t>
      </w:r>
      <w:r>
        <w:rPr>
          <w:rFonts w:hint="eastAsia" w:ascii="宋体" w:hAnsi="宋体" w:cs="宋体"/>
          <w:b/>
          <w:sz w:val="21"/>
          <w:szCs w:val="21"/>
          <w:u w:val="single"/>
          <w:lang w:val="en-US" w:eastAsia="zh-CN"/>
        </w:rPr>
        <w:t>32.5</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rPr>
        <w:t>万元/年。</w:t>
      </w:r>
    </w:p>
    <w:p w14:paraId="2DD5B3E8">
      <w:pPr>
        <w:keepNext w:val="0"/>
        <w:keepLines w:val="0"/>
        <w:pageBreakBefore w:val="0"/>
        <w:kinsoku/>
        <w:wordWrap/>
        <w:overflowPunct/>
        <w:topLinePunct w:val="0"/>
        <w:bidi w:val="0"/>
        <w:adjustRightInd w:val="0"/>
        <w:snapToGrid w:val="0"/>
        <w:spacing w:line="440" w:lineRule="exact"/>
        <w:ind w:firstLine="420" w:firstLineChars="200"/>
        <w:outlineLvl w:val="9"/>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1.餐饮服务总体内容</w:t>
      </w:r>
    </w:p>
    <w:p w14:paraId="4FA83DD6">
      <w:pPr>
        <w:keepNext w:val="0"/>
        <w:keepLines w:val="0"/>
        <w:pageBreakBefore w:val="0"/>
        <w:kinsoku/>
        <w:wordWrap/>
        <w:overflowPunct/>
        <w:topLinePunct w:val="0"/>
        <w:bidi w:val="0"/>
        <w:adjustRightInd w:val="0"/>
        <w:snapToGrid w:val="0"/>
        <w:spacing w:line="440" w:lineRule="exact"/>
        <w:ind w:firstLine="420" w:firstLineChars="200"/>
        <w:outlineLvl w:val="9"/>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供应商负责提供专业的管理团队（主要包括管理人员、厨师队伍、服务人员等）进行管理，并负责主副食的加工供应。院方免费提供场地、水、电及相关厨具等设施设备及能耗费用。菜肴采用零利润定价方式，菜价中只包括原材料、调料、大米等费用。</w:t>
      </w:r>
    </w:p>
    <w:p w14:paraId="01357F5F">
      <w:pPr>
        <w:keepNext w:val="0"/>
        <w:keepLines w:val="0"/>
        <w:pageBreakBefore w:val="0"/>
        <w:kinsoku/>
        <w:wordWrap/>
        <w:overflowPunct/>
        <w:topLinePunct w:val="0"/>
        <w:bidi w:val="0"/>
        <w:adjustRightInd w:val="0"/>
        <w:snapToGrid w:val="0"/>
        <w:spacing w:line="440" w:lineRule="exact"/>
        <w:ind w:firstLine="420" w:firstLineChars="200"/>
        <w:outlineLvl w:val="9"/>
        <w:rPr>
          <w:rFonts w:hint="eastAsia" w:ascii="宋体" w:hAnsi="宋体" w:eastAsia="宋体" w:cs="宋体"/>
          <w:sz w:val="21"/>
          <w:szCs w:val="21"/>
          <w:lang w:eastAsia="zh-CN"/>
        </w:rPr>
      </w:pPr>
      <w:r>
        <w:rPr>
          <w:rFonts w:hint="eastAsia" w:ascii="宋体" w:hAnsi="宋体" w:cs="宋体"/>
          <w:b w:val="0"/>
          <w:bCs w:val="0"/>
          <w:kern w:val="2"/>
          <w:sz w:val="21"/>
          <w:szCs w:val="21"/>
          <w:lang w:val="en-US" w:eastAsia="zh-CN" w:bidi="ar-SA"/>
        </w:rPr>
        <w:t>1.2</w:t>
      </w:r>
      <w:r>
        <w:rPr>
          <w:rFonts w:hint="eastAsia" w:ascii="宋体" w:hAnsi="宋体" w:eastAsia="宋体" w:cs="宋体"/>
          <w:b w:val="0"/>
          <w:bCs w:val="0"/>
          <w:kern w:val="2"/>
          <w:sz w:val="21"/>
          <w:szCs w:val="21"/>
          <w:lang w:val="en-US" w:eastAsia="zh-CN" w:bidi="ar-SA"/>
        </w:rPr>
        <w:t>.投标方承担费用包括以下：(1)人员费用(工资、津贴、各种社会保险、福利、行政办公费用、服装费、培训</w:t>
      </w:r>
      <w:r>
        <w:rPr>
          <w:rFonts w:hint="eastAsia" w:ascii="宋体" w:hAnsi="宋体" w:eastAsia="宋体" w:cs="宋体"/>
          <w:sz w:val="21"/>
          <w:szCs w:val="21"/>
          <w:lang w:eastAsia="zh-CN"/>
        </w:rPr>
        <w:t>费、食宿费</w:t>
      </w:r>
      <w:r>
        <w:rPr>
          <w:rFonts w:hint="eastAsia" w:ascii="宋体" w:hAnsi="宋体" w:cs="宋体"/>
          <w:sz w:val="21"/>
          <w:szCs w:val="21"/>
          <w:lang w:eastAsia="zh-CN"/>
        </w:rPr>
        <w:t>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)管理费等完成本项目所需的所有一切费用。(投标人提供专业的管理团队</w:t>
      </w:r>
      <w:r>
        <w:rPr>
          <w:rFonts w:hint="eastAsia" w:ascii="宋体" w:hAnsi="宋体" w:cs="宋体"/>
          <w:sz w:val="21"/>
          <w:szCs w:val="21"/>
          <w:lang w:eastAsia="zh-CN"/>
        </w:rPr>
        <w:t>：</w:t>
      </w:r>
      <w:r>
        <w:rPr>
          <w:rFonts w:hint="eastAsia" w:ascii="宋体" w:hAnsi="宋体" w:eastAsia="宋体" w:cs="宋体"/>
          <w:sz w:val="21"/>
          <w:szCs w:val="21"/>
          <w:lang w:eastAsia="zh-CN"/>
        </w:rPr>
        <w:t>主要包括主厨、配厨、面点师、服务人员等进行管理，自行负责管理团队的食宿问题。)</w:t>
      </w:r>
    </w:p>
    <w:p w14:paraId="49EC86C7">
      <w:pPr>
        <w:keepNext w:val="0"/>
        <w:keepLines w:val="0"/>
        <w:pageBreakBefore w:val="0"/>
        <w:widowControl/>
        <w:numPr>
          <w:ilvl w:val="0"/>
          <w:numId w:val="0"/>
        </w:numPr>
        <w:kinsoku/>
        <w:wordWrap/>
        <w:overflowPunct/>
        <w:topLinePunct w:val="0"/>
        <w:bidi w:val="0"/>
        <w:spacing w:before="150" w:after="150" w:line="440" w:lineRule="exact"/>
        <w:ind w:firstLine="210" w:firstLineChars="100"/>
        <w:jc w:val="left"/>
        <w:outlineLvl w:val="9"/>
        <w:rPr>
          <w:rFonts w:hint="eastAsia" w:ascii="宋体" w:hAnsi="宋体" w:eastAsia="宋体" w:cs="宋体"/>
          <w:sz w:val="21"/>
          <w:szCs w:val="21"/>
          <w:lang w:eastAsia="zh-CN"/>
        </w:rPr>
      </w:pPr>
      <w:r>
        <w:rPr>
          <w:rFonts w:hint="eastAsia" w:ascii="宋体" w:hAnsi="宋体" w:cs="宋体"/>
          <w:sz w:val="21"/>
          <w:szCs w:val="21"/>
          <w:lang w:val="en-US" w:eastAsia="zh-CN"/>
        </w:rPr>
        <w:t>1.3</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招标方应承担的费用：(1)食材原料；(2) 厨房设备、及用水、用电；(3) 燃气；(4) 调料及餐巾纸、牙签、洗洁精等低值易耗品等；(5)规定费用：有关管理部门收取的检测、测试费用以及排污、垃圾清运等费用。(招标方负责原材料采购、配有蒸煮、烹饪、切配、拆洗、消毒等工作间，以及节能大灶、蒸饭车、冰箱、工作台</w:t>
      </w:r>
      <w:r>
        <w:rPr>
          <w:rFonts w:hint="eastAsia" w:ascii="宋体" w:hAnsi="宋体" w:cs="宋体"/>
          <w:sz w:val="21"/>
          <w:szCs w:val="21"/>
          <w:lang w:eastAsia="zh-CN"/>
        </w:rPr>
        <w:t>、</w:t>
      </w:r>
      <w:r>
        <w:rPr>
          <w:rFonts w:hint="eastAsia" w:ascii="宋体" w:hAnsi="宋体" w:eastAsia="宋体" w:cs="宋体"/>
          <w:sz w:val="21"/>
          <w:szCs w:val="21"/>
          <w:lang w:eastAsia="zh-CN"/>
        </w:rPr>
        <w:t>用具维护等设备设施)</w:t>
      </w:r>
    </w:p>
    <w:p w14:paraId="6F1F3946">
      <w:pPr>
        <w:pStyle w:val="46"/>
        <w:keepNext w:val="0"/>
        <w:keepLines w:val="0"/>
        <w:pageBreakBefore w:val="0"/>
        <w:widowControl w:val="0"/>
        <w:kinsoku/>
        <w:wordWrap/>
        <w:overflowPunct/>
        <w:topLinePunct w:val="0"/>
        <w:bidi w:val="0"/>
        <w:adjustRightInd/>
        <w:snapToGrid/>
        <w:spacing w:line="360" w:lineRule="auto"/>
        <w:ind w:left="0" w:leftChars="0" w:firstLine="422" w:firstLineChars="200"/>
        <w:rPr>
          <w:rFonts w:hint="eastAsia"/>
        </w:rPr>
      </w:pPr>
      <w:r>
        <w:rPr>
          <w:rFonts w:hint="eastAsia" w:hAnsi="宋体" w:eastAsia="宋体" w:cs="宋体"/>
          <w:b/>
          <w:color w:val="auto"/>
          <w:kern w:val="0"/>
          <w:sz w:val="21"/>
          <w:szCs w:val="21"/>
          <w:highlight w:val="none"/>
          <w:lang w:val="en-US" w:eastAsia="zh-CN" w:bidi="ar"/>
        </w:rPr>
        <w:t>二、</w:t>
      </w:r>
      <w:r>
        <w:rPr>
          <w:rFonts w:hint="eastAsia" w:ascii="宋体" w:hAnsi="宋体" w:eastAsia="宋体" w:cs="宋体"/>
          <w:b/>
          <w:color w:val="auto"/>
          <w:kern w:val="0"/>
          <w:sz w:val="21"/>
          <w:szCs w:val="21"/>
          <w:highlight w:val="none"/>
          <w:lang w:val="en-US" w:eastAsia="zh-CN" w:bidi="ar"/>
        </w:rPr>
        <w:t>餐饮服务标准和技术要求</w:t>
      </w:r>
    </w:p>
    <w:p w14:paraId="405ABBDF">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1、餐饮服务总体内容</w:t>
      </w:r>
    </w:p>
    <w:p w14:paraId="5ABF7D6A">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 投标人须配备专业的管理团队（主要包括厨师、</w:t>
      </w:r>
      <w:r>
        <w:rPr>
          <w:rFonts w:hint="eastAsia" w:ascii="宋体" w:hAnsi="宋体" w:eastAsia="宋体" w:cs="宋体"/>
          <w:color w:val="auto"/>
          <w:kern w:val="0"/>
          <w:sz w:val="21"/>
          <w:szCs w:val="21"/>
          <w:highlight w:val="none"/>
          <w:lang w:val="en-US" w:eastAsia="zh-CN"/>
        </w:rPr>
        <w:t>面点师</w:t>
      </w:r>
      <w:r>
        <w:rPr>
          <w:rFonts w:hint="eastAsia"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勤杂工</w:t>
      </w:r>
      <w:r>
        <w:rPr>
          <w:rFonts w:hint="eastAsia" w:ascii="宋体" w:hAnsi="宋体" w:eastAsia="宋体" w:cs="宋体"/>
          <w:color w:val="auto"/>
          <w:kern w:val="0"/>
          <w:sz w:val="21"/>
          <w:szCs w:val="21"/>
          <w:highlight w:val="none"/>
          <w:lang w:val="en-US" w:eastAsia="zh-CN" w:bidi="ar"/>
        </w:rPr>
        <w:t>等）进行餐饮管理服务，为医院职工及住院部病患提供营养、健康、科学、合理的工作餐</w:t>
      </w:r>
      <w:r>
        <w:rPr>
          <w:rFonts w:hint="eastAsia" w:hAnsi="宋体" w:eastAsia="宋体" w:cs="宋体"/>
          <w:color w:val="auto"/>
          <w:kern w:val="0"/>
          <w:sz w:val="21"/>
          <w:szCs w:val="21"/>
          <w:highlight w:val="none"/>
          <w:lang w:val="en-US" w:eastAsia="zh-CN" w:bidi="ar"/>
        </w:rPr>
        <w:t>。要求管理专业，服务热情，保证餐厅有序运作，确保干部职工满意率达标。现阶段医院职工208人，早餐就餐人数约50人，中餐就餐人数约120人，晚餐就餐人员约30人。</w:t>
      </w:r>
    </w:p>
    <w:p w14:paraId="5F48135B">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 投标人负责根据主副食、原材料的大致市场价格，结合招标人确定的餐费标准，制定采购计划、数量质量验收和价格监督、加工供应、人员管理、卫生管理、厨房设备及安全管理、菜肴供应量与质量管理等。招标人负责按采购计划进行采购，并按要求对投标人的服务质量管理进行监督考核。</w:t>
      </w:r>
    </w:p>
    <w:p w14:paraId="602834EC">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2、食堂及用餐情况</w:t>
      </w:r>
    </w:p>
    <w:p w14:paraId="487739CE">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 职工食堂用餐方式为早餐自选，中餐、晚餐套餐制。住院部病患用餐方式为中餐及晚餐的送餐服务。医务人员误餐</w:t>
      </w:r>
      <w:r>
        <w:rPr>
          <w:rFonts w:hint="eastAsia" w:hAnsi="宋体" w:eastAsia="宋体" w:cs="宋体"/>
          <w:color w:val="auto"/>
          <w:kern w:val="0"/>
          <w:sz w:val="21"/>
          <w:szCs w:val="21"/>
          <w:highlight w:val="none"/>
          <w:lang w:val="en-US" w:eastAsia="zh-CN" w:bidi="ar"/>
        </w:rPr>
        <w:t>的需要提供</w:t>
      </w:r>
      <w:r>
        <w:rPr>
          <w:rFonts w:hint="eastAsia" w:ascii="宋体" w:hAnsi="宋体" w:eastAsia="宋体" w:cs="宋体"/>
          <w:color w:val="auto"/>
          <w:kern w:val="0"/>
          <w:sz w:val="21"/>
          <w:szCs w:val="21"/>
          <w:highlight w:val="none"/>
          <w:lang w:val="en-US" w:eastAsia="zh-CN" w:bidi="ar"/>
        </w:rPr>
        <w:t>送餐服务</w:t>
      </w:r>
      <w:r>
        <w:rPr>
          <w:rFonts w:hint="eastAsia" w:hAnsi="宋体" w:eastAsia="宋体" w:cs="宋体"/>
          <w:color w:val="auto"/>
          <w:kern w:val="0"/>
          <w:sz w:val="21"/>
          <w:szCs w:val="21"/>
          <w:highlight w:val="none"/>
          <w:lang w:val="en-US" w:eastAsia="zh-CN" w:bidi="ar"/>
        </w:rPr>
        <w:t>。</w:t>
      </w:r>
    </w:p>
    <w:p w14:paraId="2EFEDB3A">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 常规性餐饮服务：全年无休的早餐、中餐、晚餐三餐</w:t>
      </w:r>
      <w:r>
        <w:rPr>
          <w:rFonts w:hint="eastAsia"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误餐（需要送餐）</w:t>
      </w:r>
      <w:r>
        <w:rPr>
          <w:rFonts w:hint="eastAsia" w:hAnsi="宋体" w:eastAsia="宋体" w:cs="宋体"/>
          <w:color w:val="auto"/>
          <w:kern w:val="0"/>
          <w:sz w:val="21"/>
          <w:szCs w:val="21"/>
          <w:highlight w:val="none"/>
          <w:lang w:val="en-US" w:eastAsia="zh-CN" w:bidi="ar"/>
        </w:rPr>
        <w:t>和</w:t>
      </w:r>
      <w:r>
        <w:rPr>
          <w:rFonts w:hint="eastAsia" w:ascii="宋体" w:hAnsi="宋体" w:eastAsia="宋体" w:cs="宋体"/>
          <w:color w:val="auto"/>
          <w:kern w:val="0"/>
          <w:sz w:val="21"/>
          <w:szCs w:val="21"/>
          <w:highlight w:val="none"/>
          <w:lang w:val="en-US" w:eastAsia="zh-CN" w:bidi="ar"/>
        </w:rPr>
        <w:t>接待用餐服务，其中：晚餐就餐人员为值班人员，投标人必须保证一名食堂工作人员在岗。</w:t>
      </w:r>
    </w:p>
    <w:p w14:paraId="56CAC938">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2.2.3 其他招标人要求的临时性或应急性就餐需求。</w:t>
      </w:r>
    </w:p>
    <w:p w14:paraId="7D4920CB">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3、餐饮服务具体要求</w:t>
      </w:r>
    </w:p>
    <w:p w14:paraId="3385629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315" w:firstLineChars="15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对进入窗口的饭菜品种（以宁</w:t>
      </w:r>
      <w:r>
        <w:rPr>
          <w:rFonts w:hint="eastAsia" w:ascii="宋体" w:hAnsi="宋体" w:eastAsia="宋体" w:cs="宋体"/>
          <w:color w:val="auto"/>
          <w:sz w:val="21"/>
          <w:szCs w:val="21"/>
          <w:highlight w:val="none"/>
          <w:lang w:val="en-US" w:eastAsia="zh-CN"/>
        </w:rPr>
        <w:t>海</w:t>
      </w:r>
      <w:r>
        <w:rPr>
          <w:rFonts w:hint="eastAsia" w:ascii="宋体" w:hAnsi="宋体" w:eastAsia="宋体" w:cs="宋体"/>
          <w:color w:val="auto"/>
          <w:sz w:val="21"/>
          <w:szCs w:val="21"/>
          <w:highlight w:val="none"/>
        </w:rPr>
        <w:t>当地菜品为主），菜谱一周一定。具体配菜要求如下：</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750"/>
        <w:gridCol w:w="5393"/>
      </w:tblGrid>
      <w:tr w14:paraId="05E3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noWrap w:val="0"/>
            <w:vAlign w:val="center"/>
          </w:tcPr>
          <w:p w14:paraId="262C27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餐别</w:t>
            </w:r>
          </w:p>
        </w:tc>
        <w:tc>
          <w:tcPr>
            <w:tcW w:w="1750" w:type="dxa"/>
            <w:noWrap w:val="0"/>
            <w:vAlign w:val="center"/>
          </w:tcPr>
          <w:p w14:paraId="03E60C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餐费标准</w:t>
            </w:r>
          </w:p>
        </w:tc>
        <w:tc>
          <w:tcPr>
            <w:tcW w:w="5393" w:type="dxa"/>
            <w:noWrap w:val="0"/>
            <w:vAlign w:val="center"/>
          </w:tcPr>
          <w:p w14:paraId="2F93CA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配餐标准</w:t>
            </w:r>
          </w:p>
        </w:tc>
      </w:tr>
      <w:tr w14:paraId="23AC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noWrap w:val="0"/>
            <w:vAlign w:val="center"/>
          </w:tcPr>
          <w:p w14:paraId="65FA0C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早餐</w:t>
            </w:r>
          </w:p>
        </w:tc>
        <w:tc>
          <w:tcPr>
            <w:tcW w:w="1750" w:type="dxa"/>
            <w:noWrap w:val="0"/>
            <w:vAlign w:val="center"/>
          </w:tcPr>
          <w:p w14:paraId="76C7B7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售价以食材成本价上浮50%内</w:t>
            </w:r>
          </w:p>
        </w:tc>
        <w:tc>
          <w:tcPr>
            <w:tcW w:w="5393" w:type="dxa"/>
            <w:noWrap w:val="0"/>
            <w:vAlign w:val="center"/>
          </w:tcPr>
          <w:p w14:paraId="4A3123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baseline"/>
              <w:outlineLvl w:val="1"/>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主食</w:t>
            </w:r>
            <w:r>
              <w:rPr>
                <w:rFonts w:hint="eastAsia" w:ascii="宋体" w:hAnsi="宋体" w:eastAsia="宋体" w:cs="宋体"/>
                <w:bCs/>
                <w:color w:val="auto"/>
                <w:sz w:val="21"/>
                <w:szCs w:val="21"/>
                <w:highlight w:val="none"/>
              </w:rPr>
              <w:t>品种提供不少于</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种品类，</w:t>
            </w:r>
            <w:r>
              <w:rPr>
                <w:rFonts w:hint="eastAsia" w:ascii="宋体" w:hAnsi="宋体" w:eastAsia="宋体" w:cs="宋体"/>
                <w:bCs/>
                <w:color w:val="auto"/>
                <w:sz w:val="21"/>
                <w:szCs w:val="21"/>
                <w:highlight w:val="none"/>
                <w:lang w:eastAsia="zh-CN"/>
              </w:rPr>
              <w:t>包含面点类、粥类等；</w:t>
            </w:r>
          </w:p>
        </w:tc>
      </w:tr>
      <w:tr w14:paraId="6862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noWrap w:val="0"/>
            <w:vAlign w:val="center"/>
          </w:tcPr>
          <w:p w14:paraId="6714BF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中餐</w:t>
            </w:r>
          </w:p>
        </w:tc>
        <w:tc>
          <w:tcPr>
            <w:tcW w:w="1750" w:type="dxa"/>
            <w:noWrap w:val="0"/>
            <w:vAlign w:val="center"/>
          </w:tcPr>
          <w:p w14:paraId="40527D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元/人/次</w:t>
            </w:r>
          </w:p>
        </w:tc>
        <w:tc>
          <w:tcPr>
            <w:tcW w:w="5393" w:type="dxa"/>
            <w:noWrap w:val="0"/>
            <w:vAlign w:val="center"/>
          </w:tcPr>
          <w:p w14:paraId="42558D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baseline"/>
              <w:outlineLvl w:val="1"/>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大荤（至少</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种可供选择）、小荤（至少</w:t>
            </w:r>
            <w:r>
              <w:rPr>
                <w:rFonts w:hint="eastAsia" w:ascii="宋体" w:hAnsi="宋体" w:eastAsia="宋体" w:cs="宋体"/>
                <w:bCs/>
                <w:color w:val="auto"/>
                <w:sz w:val="21"/>
                <w:szCs w:val="21"/>
                <w:highlight w:val="none"/>
                <w:lang w:val="en-US" w:eastAsia="zh-CN"/>
              </w:rPr>
              <w:t>2-3</w:t>
            </w:r>
            <w:r>
              <w:rPr>
                <w:rFonts w:hint="eastAsia" w:ascii="宋体" w:hAnsi="宋体" w:eastAsia="宋体" w:cs="宋体"/>
                <w:bCs/>
                <w:color w:val="auto"/>
                <w:sz w:val="21"/>
                <w:szCs w:val="21"/>
                <w:highlight w:val="none"/>
              </w:rPr>
              <w:t>种可供选择）、素菜（至少</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种可供选择）、一汤、米饭；</w:t>
            </w:r>
          </w:p>
        </w:tc>
      </w:tr>
      <w:tr w14:paraId="14B2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noWrap w:val="0"/>
            <w:vAlign w:val="center"/>
          </w:tcPr>
          <w:p w14:paraId="789338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晚餐</w:t>
            </w:r>
          </w:p>
        </w:tc>
        <w:tc>
          <w:tcPr>
            <w:tcW w:w="1750" w:type="dxa"/>
            <w:noWrap w:val="0"/>
            <w:vAlign w:val="center"/>
          </w:tcPr>
          <w:p w14:paraId="17CDAA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元/人/次</w:t>
            </w:r>
          </w:p>
        </w:tc>
        <w:tc>
          <w:tcPr>
            <w:tcW w:w="5393" w:type="dxa"/>
            <w:noWrap w:val="0"/>
            <w:vAlign w:val="center"/>
          </w:tcPr>
          <w:p w14:paraId="15FCA4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种大荤，</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种小荤，</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种素菜</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汤、米饭</w:t>
            </w:r>
            <w:r>
              <w:rPr>
                <w:rFonts w:hint="eastAsia" w:ascii="宋体" w:hAnsi="宋体" w:eastAsia="宋体" w:cs="宋体"/>
                <w:bCs/>
                <w:color w:val="auto"/>
                <w:sz w:val="21"/>
                <w:szCs w:val="21"/>
                <w:highlight w:val="none"/>
                <w:lang w:eastAsia="zh-CN"/>
              </w:rPr>
              <w:t>。</w:t>
            </w:r>
          </w:p>
        </w:tc>
      </w:tr>
    </w:tbl>
    <w:p w14:paraId="3E9DBA33">
      <w:pPr>
        <w:keepNext w:val="0"/>
        <w:keepLines w:val="0"/>
        <w:pageBreakBefore w:val="0"/>
        <w:widowControl w:val="0"/>
        <w:kinsoku/>
        <w:wordWrap/>
        <w:overflowPunct/>
        <w:topLinePunct w:val="0"/>
        <w:bidi w:val="0"/>
        <w:adjustRightInd/>
        <w:snapToGrid/>
        <w:spacing w:line="360" w:lineRule="auto"/>
        <w:ind w:left="0" w:leftChars="0" w:firstLine="630" w:firstLineChars="300"/>
        <w:outlineLvl w:val="1"/>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注：以上为食材餐费标准，不包括油、盐、米、醋、气等</w:t>
      </w: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并由</w:t>
      </w:r>
      <w:r>
        <w:rPr>
          <w:rFonts w:hint="eastAsia" w:hAnsi="宋体" w:eastAsia="宋体" w:cs="宋体"/>
          <w:b w:val="0"/>
          <w:bCs/>
          <w:color w:val="auto"/>
          <w:sz w:val="21"/>
          <w:szCs w:val="21"/>
          <w:highlight w:val="none"/>
          <w:lang w:eastAsia="zh-CN"/>
        </w:rPr>
        <w:t>招标人</w:t>
      </w:r>
      <w:r>
        <w:rPr>
          <w:rFonts w:hint="eastAsia" w:ascii="宋体" w:hAnsi="宋体" w:eastAsia="宋体" w:cs="宋体"/>
          <w:b w:val="0"/>
          <w:bCs/>
          <w:color w:val="auto"/>
          <w:sz w:val="21"/>
          <w:szCs w:val="21"/>
          <w:highlight w:val="none"/>
        </w:rPr>
        <w:t>根据市场价格浮动等实际情况讨论决定。有公务接待餐时，</w:t>
      </w:r>
      <w:r>
        <w:rPr>
          <w:rFonts w:hint="eastAsia" w:hAnsi="宋体" w:eastAsia="宋体" w:cs="宋体"/>
          <w:b w:val="0"/>
          <w:bCs/>
          <w:color w:val="auto"/>
          <w:sz w:val="21"/>
          <w:szCs w:val="21"/>
          <w:highlight w:val="none"/>
          <w:lang w:val="en-US" w:eastAsia="zh-CN"/>
        </w:rPr>
        <w:t>5人以下（包括5人）的补助50元</w:t>
      </w:r>
      <w:r>
        <w:rPr>
          <w:rFonts w:hint="eastAsia" w:ascii="宋体" w:hAnsi="宋体" w:eastAsia="宋体" w:cs="宋体"/>
          <w:b w:val="0"/>
          <w:bCs/>
          <w:color w:val="auto"/>
          <w:sz w:val="21"/>
          <w:szCs w:val="21"/>
          <w:highlight w:val="none"/>
        </w:rPr>
        <w:t>加工费</w:t>
      </w:r>
      <w:r>
        <w:rPr>
          <w:rFonts w:hint="eastAsia" w:hAnsi="宋体" w:eastAsia="宋体" w:cs="宋体"/>
          <w:b w:val="0"/>
          <w:bCs/>
          <w:color w:val="auto"/>
          <w:sz w:val="21"/>
          <w:szCs w:val="21"/>
          <w:highlight w:val="none"/>
          <w:lang w:eastAsia="zh-CN"/>
        </w:rPr>
        <w:t>，</w:t>
      </w:r>
      <w:r>
        <w:rPr>
          <w:rFonts w:hint="eastAsia" w:hAnsi="宋体" w:eastAsia="宋体" w:cs="宋体"/>
          <w:b w:val="0"/>
          <w:bCs/>
          <w:color w:val="auto"/>
          <w:sz w:val="21"/>
          <w:szCs w:val="21"/>
          <w:highlight w:val="none"/>
          <w:lang w:val="en-US" w:eastAsia="zh-CN"/>
        </w:rPr>
        <w:t>5人以上的按15元/人补助</w:t>
      </w:r>
      <w:r>
        <w:rPr>
          <w:rFonts w:hint="eastAsia" w:ascii="宋体" w:hAnsi="宋体" w:eastAsia="宋体" w:cs="宋体"/>
          <w:b w:val="0"/>
          <w:bCs/>
          <w:color w:val="auto"/>
          <w:sz w:val="21"/>
          <w:szCs w:val="21"/>
          <w:highlight w:val="none"/>
        </w:rPr>
        <w:t>。</w:t>
      </w:r>
    </w:p>
    <w:p w14:paraId="3F155B1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315" w:firstLineChars="15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 </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负责督查食堂的饮食安全卫生、饭菜质量、售出数量、服务质量、环境卫生（包括食堂区域及地下天井处）等相关事务，加强与</w:t>
      </w:r>
      <w:r>
        <w:rPr>
          <w:rFonts w:hint="eastAsia"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的联系和沟通，协调处理各种突发事件，转达干部职工对托管经营服务质量的意见和要求，负责各项规章制度的制定、检查和考核工作，切实加强综合督查管理。</w:t>
      </w:r>
      <w:r>
        <w:rPr>
          <w:rFonts w:hint="eastAsia"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严格执行</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所制订的各项规章制度，并制订配套的内部管理制度。</w:t>
      </w:r>
    </w:p>
    <w:p w14:paraId="7C1DF8AC">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315" w:firstLineChars="15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3.3 </w:t>
      </w:r>
      <w:r>
        <w:rPr>
          <w:rFonts w:hint="eastAsia"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要爱护</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提供的房产和餐饮炊具等设备，负责日常使用管理，如损坏需要更换或维修应报</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审批。</w:t>
      </w:r>
    </w:p>
    <w:p w14:paraId="796AB73A">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315" w:firstLineChars="150"/>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3.4 </w:t>
      </w:r>
      <w:r>
        <w:rPr>
          <w:rFonts w:hint="eastAsia" w:hAnsi="宋体" w:eastAsia="宋体" w:cs="宋体"/>
          <w:b w:val="0"/>
          <w:bCs w:val="0"/>
          <w:color w:val="auto"/>
          <w:sz w:val="21"/>
          <w:szCs w:val="21"/>
          <w:highlight w:val="none"/>
          <w:lang w:eastAsia="zh-CN"/>
        </w:rPr>
        <w:t>投标人确保所用人员均按要求进行健康体检，持有健康证、统一着装上岗。</w:t>
      </w:r>
    </w:p>
    <w:p w14:paraId="7E9A37D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315" w:firstLineChars="15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坚持“服务第一”宗旨，按</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规定时间为干部职工提供优质服务，不得无故提前或延迟开饭时间，做到文明待人、热情服务。</w:t>
      </w:r>
    </w:p>
    <w:p w14:paraId="343F3E25">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color w:val="auto"/>
          <w:sz w:val="21"/>
          <w:szCs w:val="21"/>
          <w:highlight w:val="none"/>
        </w:rPr>
        <w:t xml:space="preserve">3.6 </w:t>
      </w:r>
      <w:r>
        <w:rPr>
          <w:rFonts w:hint="eastAsia"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严格执行事故责任追究制度。如出现食物中毒、违法违纪等损害干部职工身体健康和影响信誉的事故，</w:t>
      </w:r>
      <w:r>
        <w:rPr>
          <w:rFonts w:hint="eastAsia"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必须承担由此造成的相应责任并赔偿经济损失。在服务期内如果所聘人员不符合</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要求，必须及时调整或更换，否则，</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有权扣除其相应费用，直至中止合同。</w:t>
      </w:r>
    </w:p>
    <w:p w14:paraId="314E15C5">
      <w:pPr>
        <w:numPr>
          <w:ilvl w:val="0"/>
          <w:numId w:val="0"/>
        </w:numPr>
        <w:adjustRightInd w:val="0"/>
        <w:snapToGrid w:val="0"/>
        <w:spacing w:line="360" w:lineRule="auto"/>
        <w:ind w:left="0" w:leftChars="0" w:firstLine="0" w:firstLineChars="0"/>
        <w:rPr>
          <w:rFonts w:hint="eastAsia" w:ascii="宋体" w:hAnsi="宋体" w:cs="宋体"/>
          <w:b/>
          <w:bCs/>
          <w:szCs w:val="21"/>
        </w:rPr>
      </w:pPr>
      <w:r>
        <w:rPr>
          <w:rFonts w:hint="eastAsia" w:ascii="宋体" w:hAnsi="宋体" w:cs="宋体"/>
          <w:b/>
          <w:bCs/>
          <w:kern w:val="2"/>
          <w:sz w:val="21"/>
          <w:szCs w:val="21"/>
          <w:lang w:val="en-US" w:eastAsia="zh-CN" w:bidi="ar-SA"/>
        </w:rPr>
        <w:t>三</w:t>
      </w:r>
      <w:r>
        <w:rPr>
          <w:rFonts w:hint="eastAsia" w:ascii="宋体" w:hAnsi="宋体" w:eastAsia="宋体" w:cs="宋体"/>
          <w:b/>
          <w:bCs/>
          <w:kern w:val="2"/>
          <w:sz w:val="21"/>
          <w:szCs w:val="21"/>
          <w:lang w:val="en-US" w:eastAsia="zh-CN" w:bidi="ar-SA"/>
        </w:rPr>
        <w:t>、</w:t>
      </w:r>
      <w:r>
        <w:rPr>
          <w:rFonts w:hint="eastAsia" w:ascii="宋体" w:hAnsi="宋体" w:cs="宋体"/>
          <w:b/>
          <w:bCs/>
          <w:szCs w:val="21"/>
        </w:rPr>
        <w:t>餐饮服务人员基本配置要求</w:t>
      </w:r>
    </w:p>
    <w:tbl>
      <w:tblPr>
        <w:tblStyle w:val="31"/>
        <w:tblW w:w="91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350"/>
        <w:gridCol w:w="990"/>
        <w:gridCol w:w="6000"/>
      </w:tblGrid>
      <w:tr w14:paraId="6DD357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9" w:type="dxa"/>
            <w:noWrap w:val="0"/>
            <w:vAlign w:val="center"/>
          </w:tcPr>
          <w:p w14:paraId="72FB355D">
            <w:pPr>
              <w:keepNext w:val="0"/>
              <w:keepLines w:val="0"/>
              <w:suppressLineNumbers w:val="0"/>
              <w:spacing w:before="0" w:beforeAutospacing="0" w:after="0" w:afterAutospacing="0" w:line="240" w:lineRule="auto"/>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350" w:type="dxa"/>
            <w:noWrap w:val="0"/>
            <w:vAlign w:val="center"/>
          </w:tcPr>
          <w:p w14:paraId="36343AE2">
            <w:pPr>
              <w:keepNext w:val="0"/>
              <w:keepLines w:val="0"/>
              <w:suppressLineNumbers w:val="0"/>
              <w:spacing w:before="0" w:beforeAutospacing="0" w:after="0" w:afterAutospacing="0" w:line="240" w:lineRule="auto"/>
              <w:ind w:left="0" w:right="0"/>
              <w:jc w:val="both"/>
              <w:rPr>
                <w:rFonts w:hint="eastAsia" w:ascii="宋体" w:hAnsi="宋体" w:cs="宋体"/>
                <w:b/>
                <w:color w:val="auto"/>
                <w:szCs w:val="21"/>
                <w:highlight w:val="none"/>
              </w:rPr>
            </w:pPr>
            <w:r>
              <w:rPr>
                <w:rFonts w:hint="eastAsia" w:ascii="宋体" w:hAnsi="宋体" w:cs="宋体"/>
                <w:b/>
                <w:color w:val="auto"/>
                <w:szCs w:val="21"/>
                <w:highlight w:val="none"/>
              </w:rPr>
              <w:t>人员类别</w:t>
            </w:r>
          </w:p>
        </w:tc>
        <w:tc>
          <w:tcPr>
            <w:tcW w:w="990" w:type="dxa"/>
            <w:noWrap w:val="0"/>
            <w:vAlign w:val="center"/>
          </w:tcPr>
          <w:p w14:paraId="56D7F235">
            <w:pPr>
              <w:keepNext w:val="0"/>
              <w:keepLines w:val="0"/>
              <w:suppressLineNumbers w:val="0"/>
              <w:spacing w:before="0" w:beforeAutospacing="0" w:after="0" w:afterAutospacing="0" w:line="360" w:lineRule="auto"/>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6000" w:type="dxa"/>
            <w:noWrap w:val="0"/>
            <w:vAlign w:val="center"/>
          </w:tcPr>
          <w:p w14:paraId="579DDAFE">
            <w:pPr>
              <w:keepNext w:val="0"/>
              <w:keepLines w:val="0"/>
              <w:suppressLineNumbers w:val="0"/>
              <w:spacing w:before="0" w:beforeAutospacing="0" w:after="0" w:afterAutospacing="0" w:line="360" w:lineRule="auto"/>
              <w:ind w:left="0" w:right="0"/>
              <w:jc w:val="center"/>
              <w:rPr>
                <w:rFonts w:hint="eastAsia" w:ascii="宋体" w:hAnsi="宋体" w:cs="宋体"/>
                <w:b/>
                <w:color w:val="auto"/>
                <w:szCs w:val="21"/>
                <w:highlight w:val="none"/>
              </w:rPr>
            </w:pPr>
            <w:r>
              <w:rPr>
                <w:rFonts w:hint="eastAsia" w:ascii="宋体" w:hAnsi="宋体" w:cs="宋体"/>
                <w:b/>
                <w:color w:val="auto"/>
                <w:szCs w:val="21"/>
                <w:highlight w:val="none"/>
              </w:rPr>
              <w:t>基本要求</w:t>
            </w:r>
          </w:p>
        </w:tc>
      </w:tr>
      <w:tr w14:paraId="32DEF6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9" w:type="dxa"/>
            <w:noWrap w:val="0"/>
            <w:vAlign w:val="center"/>
          </w:tcPr>
          <w:p w14:paraId="66DAA367">
            <w:pPr>
              <w:keepNext w:val="0"/>
              <w:keepLines w:val="0"/>
              <w:suppressLineNumbers w:val="0"/>
              <w:spacing w:before="0" w:beforeAutospacing="0" w:after="0" w:afterAutospacing="0" w:line="240" w:lineRule="auto"/>
              <w:ind w:left="0" w:right="0" w:firstLine="20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1350" w:type="dxa"/>
            <w:noWrap w:val="0"/>
            <w:vAlign w:val="center"/>
          </w:tcPr>
          <w:p w14:paraId="7724BEA7">
            <w:pPr>
              <w:keepNext w:val="0"/>
              <w:keepLines w:val="0"/>
              <w:suppressLineNumbers w:val="0"/>
              <w:spacing w:before="0" w:beforeAutospacing="0" w:after="0" w:afterAutospacing="0" w:line="360" w:lineRule="auto"/>
              <w:ind w:left="0" w:right="0"/>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厨师</w:t>
            </w:r>
          </w:p>
        </w:tc>
        <w:tc>
          <w:tcPr>
            <w:tcW w:w="990" w:type="dxa"/>
            <w:noWrap w:val="0"/>
            <w:vAlign w:val="center"/>
          </w:tcPr>
          <w:p w14:paraId="1ABA7CEA">
            <w:pPr>
              <w:keepNext w:val="0"/>
              <w:keepLines w:val="0"/>
              <w:suppressLineNumbers w:val="0"/>
              <w:spacing w:before="0" w:beforeAutospacing="0" w:after="0" w:afterAutospacing="0" w:line="24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人</w:t>
            </w:r>
          </w:p>
        </w:tc>
        <w:tc>
          <w:tcPr>
            <w:tcW w:w="6000" w:type="dxa"/>
            <w:noWrap w:val="0"/>
            <w:vAlign w:val="center"/>
          </w:tcPr>
          <w:p w14:paraId="403EEB30">
            <w:pPr>
              <w:pStyle w:val="9"/>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年以上餐饮行业管理经验。熟悉厨房各项设备的性能、使用及保养方法，严格执行食品卫生法，懂得成本核算、食品原料及食品营养知识，能带动厨师挖掘传统菜，研制创新菜</w:t>
            </w:r>
            <w:r>
              <w:rPr>
                <w:rFonts w:hint="eastAsia" w:ascii="宋体" w:hAnsi="宋体" w:eastAsia="宋体" w:cs="宋体"/>
                <w:color w:val="auto"/>
                <w:kern w:val="0"/>
                <w:sz w:val="21"/>
                <w:szCs w:val="21"/>
                <w:highlight w:val="none"/>
                <w:lang w:eastAsia="zh-CN"/>
              </w:rPr>
              <w:t>。</w:t>
            </w:r>
          </w:p>
        </w:tc>
      </w:tr>
      <w:tr w14:paraId="2010C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9" w:type="dxa"/>
            <w:noWrap w:val="0"/>
            <w:vAlign w:val="center"/>
          </w:tcPr>
          <w:p w14:paraId="7F9767CD">
            <w:pPr>
              <w:keepNext w:val="0"/>
              <w:keepLines w:val="0"/>
              <w:suppressLineNumbers w:val="0"/>
              <w:spacing w:before="0" w:beforeAutospacing="0" w:after="0" w:afterAutospacing="0" w:line="240" w:lineRule="auto"/>
              <w:ind w:left="0" w:right="0" w:firstLine="20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1350" w:type="dxa"/>
            <w:noWrap w:val="0"/>
            <w:vAlign w:val="center"/>
          </w:tcPr>
          <w:p w14:paraId="354DACF2">
            <w:pPr>
              <w:keepNext w:val="0"/>
              <w:keepLines w:val="0"/>
              <w:suppressLineNumbers w:val="0"/>
              <w:spacing w:before="0" w:beforeAutospacing="0" w:after="0" w:afterAutospacing="0" w:line="360" w:lineRule="auto"/>
              <w:ind w:left="0" w:right="0"/>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面点师</w:t>
            </w:r>
          </w:p>
        </w:tc>
        <w:tc>
          <w:tcPr>
            <w:tcW w:w="990" w:type="dxa"/>
            <w:noWrap w:val="0"/>
            <w:vAlign w:val="center"/>
          </w:tcPr>
          <w:p w14:paraId="2DF803AB">
            <w:pPr>
              <w:keepNext w:val="0"/>
              <w:keepLines w:val="0"/>
              <w:suppressLineNumbers w:val="0"/>
              <w:spacing w:before="0" w:beforeAutospacing="0" w:after="0" w:afterAutospacing="0" w:line="24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人</w:t>
            </w:r>
          </w:p>
        </w:tc>
        <w:tc>
          <w:tcPr>
            <w:tcW w:w="6000" w:type="dxa"/>
            <w:noWrap w:val="0"/>
            <w:vAlign w:val="center"/>
          </w:tcPr>
          <w:p w14:paraId="37FE6AD0">
            <w:pPr>
              <w:pStyle w:val="9"/>
              <w:keepNext w:val="0"/>
              <w:keepLines w:val="0"/>
              <w:suppressLineNumbers w:val="0"/>
              <w:spacing w:before="0" w:beforeAutospacing="0" w:after="0" w:afterAutospacing="0" w:line="240" w:lineRule="auto"/>
              <w:ind w:left="0" w:right="0"/>
              <w:jc w:val="left"/>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lang w:eastAsia="zh-CN"/>
              </w:rPr>
              <w:t>具有相关面点师工作经验</w:t>
            </w:r>
            <w:r>
              <w:rPr>
                <w:rFonts w:hint="eastAsia"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eastAsia="zh-CN"/>
              </w:rPr>
              <w:t>身体健康，仪表端庄、做事勤快、热情大方。</w:t>
            </w:r>
          </w:p>
        </w:tc>
      </w:tr>
      <w:tr w14:paraId="34CBF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9" w:type="dxa"/>
            <w:noWrap w:val="0"/>
            <w:vAlign w:val="center"/>
          </w:tcPr>
          <w:p w14:paraId="71DA4C9F">
            <w:pPr>
              <w:keepNext w:val="0"/>
              <w:keepLines w:val="0"/>
              <w:suppressLineNumbers w:val="0"/>
              <w:spacing w:before="0" w:beforeAutospacing="0" w:after="0" w:afterAutospacing="0" w:line="240" w:lineRule="auto"/>
              <w:ind w:left="0" w:right="0" w:firstLine="20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350" w:type="dxa"/>
            <w:noWrap w:val="0"/>
            <w:vAlign w:val="center"/>
          </w:tcPr>
          <w:p w14:paraId="060869B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auto"/>
                <w:szCs w:val="21"/>
                <w:highlight w:val="none"/>
                <w:lang w:eastAsia="zh-CN"/>
              </w:rPr>
            </w:pPr>
            <w:r>
              <w:rPr>
                <w:rFonts w:hint="eastAsia" w:ascii="宋体" w:hAnsi="宋体" w:eastAsia="宋体" w:cs="宋体"/>
                <w:color w:val="auto"/>
                <w:kern w:val="0"/>
                <w:sz w:val="21"/>
                <w:szCs w:val="21"/>
                <w:highlight w:val="none"/>
                <w:lang w:val="en-US" w:eastAsia="zh-CN"/>
              </w:rPr>
              <w:t>勤杂工</w:t>
            </w:r>
          </w:p>
        </w:tc>
        <w:tc>
          <w:tcPr>
            <w:tcW w:w="990" w:type="dxa"/>
            <w:noWrap w:val="0"/>
            <w:vAlign w:val="center"/>
          </w:tcPr>
          <w:p w14:paraId="592ED57A">
            <w:pPr>
              <w:keepNext w:val="0"/>
              <w:keepLines w:val="0"/>
              <w:suppressLineNumbers w:val="0"/>
              <w:spacing w:before="0" w:beforeAutospacing="0" w:after="0" w:afterAutospacing="0" w:line="24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人</w:t>
            </w:r>
          </w:p>
        </w:tc>
        <w:tc>
          <w:tcPr>
            <w:tcW w:w="6000" w:type="dxa"/>
            <w:noWrap w:val="0"/>
            <w:vAlign w:val="center"/>
          </w:tcPr>
          <w:p w14:paraId="62A3E13D">
            <w:pPr>
              <w:pStyle w:val="9"/>
              <w:keepNext w:val="0"/>
              <w:keepLines w:val="0"/>
              <w:suppressLineNumbers w:val="0"/>
              <w:spacing w:before="0" w:beforeAutospacing="0" w:after="0" w:afterAutospacing="0" w:line="240" w:lineRule="auto"/>
              <w:ind w:left="0" w:right="0"/>
              <w:jc w:val="left"/>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rPr>
              <w:t>身体健康，仪表端庄、做事勤快、热情大方。</w:t>
            </w:r>
          </w:p>
        </w:tc>
      </w:tr>
      <w:tr w14:paraId="7D383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819" w:type="dxa"/>
            <w:noWrap w:val="0"/>
            <w:vAlign w:val="center"/>
          </w:tcPr>
          <w:p w14:paraId="3D120029">
            <w:pPr>
              <w:keepNext w:val="0"/>
              <w:keepLines w:val="0"/>
              <w:suppressLineNumbers w:val="0"/>
              <w:spacing w:before="0" w:beforeAutospacing="0" w:after="0" w:afterAutospacing="0" w:line="240" w:lineRule="auto"/>
              <w:ind w:left="0" w:right="0" w:firstLine="20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2340" w:type="dxa"/>
            <w:gridSpan w:val="2"/>
            <w:noWrap w:val="0"/>
            <w:vAlign w:val="center"/>
          </w:tcPr>
          <w:p w14:paraId="295E0488">
            <w:pPr>
              <w:keepNext w:val="0"/>
              <w:keepLines w:val="0"/>
              <w:suppressLineNumbers w:val="0"/>
              <w:spacing w:before="0" w:beforeAutospacing="0" w:after="0" w:afterAutospacing="0" w:line="24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其它岗位</w:t>
            </w:r>
          </w:p>
        </w:tc>
        <w:tc>
          <w:tcPr>
            <w:tcW w:w="6000" w:type="dxa"/>
            <w:noWrap w:val="0"/>
            <w:vAlign w:val="center"/>
          </w:tcPr>
          <w:p w14:paraId="5398AF0C">
            <w:pPr>
              <w:keepNext w:val="0"/>
              <w:keepLines w:val="0"/>
              <w:suppressLineNumbers w:val="0"/>
              <w:autoSpaceDE w:val="0"/>
              <w:autoSpaceDN w:val="0"/>
              <w:adjustRightInd w:val="0"/>
              <w:snapToGrid w:val="0"/>
              <w:spacing w:before="0" w:beforeAutospacing="0" w:after="0" w:afterAutospacing="0" w:line="240" w:lineRule="auto"/>
              <w:ind w:left="0" w:right="0"/>
              <w:textAlignment w:val="bottom"/>
              <w:rPr>
                <w:rFonts w:hint="eastAsia" w:ascii="宋体" w:hAnsi="宋体" w:cs="宋体"/>
                <w:color w:val="auto"/>
                <w:szCs w:val="21"/>
                <w:highlight w:val="none"/>
              </w:rPr>
            </w:pPr>
            <w:r>
              <w:rPr>
                <w:rFonts w:hint="eastAsia" w:ascii="宋体" w:hAnsi="宋体" w:cs="宋体"/>
                <w:color w:val="auto"/>
                <w:szCs w:val="21"/>
                <w:highlight w:val="none"/>
              </w:rPr>
              <w:t>供应商认为有需要设置的其它岗位</w:t>
            </w:r>
          </w:p>
        </w:tc>
      </w:tr>
    </w:tbl>
    <w:p w14:paraId="5518706C">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 w:val="21"/>
          <w:szCs w:val="21"/>
          <w:highlight w:val="none"/>
        </w:rPr>
        <w:t>▲</w:t>
      </w:r>
      <w:r>
        <w:rPr>
          <w:rFonts w:hint="eastAsia" w:ascii="宋体" w:hAnsi="宋体" w:cs="宋体"/>
          <w:b/>
          <w:bCs/>
          <w:color w:val="auto"/>
          <w:szCs w:val="21"/>
          <w:highlight w:val="none"/>
        </w:rPr>
        <w:t>1.供应商应配备不少于以上</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人次的餐饮服务人员基本配置要求的餐饮服务团队。</w:t>
      </w:r>
    </w:p>
    <w:p w14:paraId="4203D0BE">
      <w:pPr>
        <w:adjustRightInd w:val="0"/>
        <w:snapToGrid w:val="0"/>
        <w:spacing w:line="360" w:lineRule="auto"/>
        <w:ind w:firstLine="420" w:firstLineChars="200"/>
        <w:rPr>
          <w:rFonts w:hint="eastAsia" w:ascii="宋体" w:hAnsi="宋体" w:eastAsia="宋体" w:cs="宋体"/>
          <w:b/>
          <w:bCs/>
          <w:color w:val="FF0000"/>
          <w:szCs w:val="21"/>
          <w:highlight w:val="none"/>
          <w:lang w:eastAsia="zh-CN"/>
        </w:rPr>
      </w:pPr>
      <w:r>
        <w:rPr>
          <w:rFonts w:hint="eastAsia" w:ascii="宋体" w:hAnsi="宋体" w:cs="宋体"/>
          <w:color w:val="FF0000"/>
          <w:sz w:val="21"/>
          <w:szCs w:val="21"/>
          <w:highlight w:val="none"/>
        </w:rPr>
        <w:t>▲</w:t>
      </w:r>
      <w:r>
        <w:rPr>
          <w:rFonts w:hint="eastAsia" w:ascii="宋体" w:hAnsi="宋体" w:cs="宋体"/>
          <w:b/>
          <w:bCs/>
          <w:color w:val="FF0000"/>
          <w:szCs w:val="21"/>
          <w:highlight w:val="none"/>
          <w:lang w:val="en-US" w:eastAsia="zh-CN"/>
        </w:rPr>
        <w:t>2.</w:t>
      </w:r>
      <w:r>
        <w:rPr>
          <w:rFonts w:hint="eastAsia" w:ascii="宋体" w:hAnsi="宋体" w:cs="宋体"/>
          <w:b/>
          <w:bCs/>
          <w:color w:val="FF0000"/>
          <w:szCs w:val="21"/>
          <w:highlight w:val="none"/>
          <w:lang w:eastAsia="zh-CN"/>
        </w:rPr>
        <w:t>各投标单位按规定到现场自行勘察后自行配置工作人员，中标后中标单位可根据实际情况</w:t>
      </w:r>
      <w:r>
        <w:rPr>
          <w:rFonts w:hint="eastAsia" w:ascii="宋体" w:hAnsi="宋体" w:cs="宋体"/>
          <w:b/>
          <w:bCs/>
          <w:color w:val="FF0000"/>
          <w:szCs w:val="21"/>
          <w:highlight w:val="none"/>
          <w:lang w:val="en-US" w:eastAsia="zh-CN"/>
        </w:rPr>
        <w:t>经采购人确认后</w:t>
      </w:r>
      <w:r>
        <w:rPr>
          <w:rFonts w:hint="eastAsia" w:ascii="宋体" w:hAnsi="宋体" w:cs="宋体"/>
          <w:b/>
          <w:bCs/>
          <w:color w:val="FF0000"/>
          <w:szCs w:val="21"/>
          <w:highlight w:val="none"/>
          <w:lang w:eastAsia="zh-CN"/>
        </w:rPr>
        <w:t>增加</w:t>
      </w:r>
      <w:r>
        <w:rPr>
          <w:rFonts w:hint="eastAsia" w:ascii="宋体" w:hAnsi="宋体" w:cs="宋体"/>
          <w:b/>
          <w:bCs/>
          <w:color w:val="FF0000"/>
          <w:szCs w:val="21"/>
          <w:highlight w:val="none"/>
          <w:lang w:val="en-US" w:eastAsia="zh-CN"/>
        </w:rPr>
        <w:t>相应</w:t>
      </w:r>
      <w:r>
        <w:rPr>
          <w:rFonts w:hint="eastAsia" w:ascii="宋体" w:hAnsi="宋体" w:cs="宋体"/>
          <w:b/>
          <w:bCs/>
          <w:color w:val="FF0000"/>
          <w:szCs w:val="21"/>
          <w:highlight w:val="none"/>
          <w:lang w:eastAsia="zh-CN"/>
        </w:rPr>
        <w:t>人员（</w:t>
      </w:r>
      <w:r>
        <w:rPr>
          <w:rFonts w:hint="eastAsia" w:ascii="宋体" w:hAnsi="宋体" w:cs="宋体"/>
          <w:b/>
          <w:bCs/>
          <w:color w:val="FF0000"/>
          <w:szCs w:val="21"/>
          <w:highlight w:val="none"/>
          <w:lang w:val="en-US" w:eastAsia="zh-CN"/>
        </w:rPr>
        <w:t>帮工）</w:t>
      </w:r>
      <w:r>
        <w:rPr>
          <w:rFonts w:hint="eastAsia" w:ascii="宋体" w:hAnsi="宋体" w:cs="宋体"/>
          <w:b/>
          <w:bCs/>
          <w:color w:val="FF0000"/>
          <w:szCs w:val="21"/>
          <w:highlight w:val="none"/>
          <w:lang w:eastAsia="zh-CN"/>
        </w:rPr>
        <w:t>，不得减少响应配置人员。</w:t>
      </w:r>
    </w:p>
    <w:p w14:paraId="270540F2">
      <w:pPr>
        <w:numPr>
          <w:ilvl w:val="0"/>
          <w:numId w:val="0"/>
        </w:numPr>
        <w:spacing w:line="360" w:lineRule="auto"/>
        <w:ind w:firstLine="420" w:firstLineChars="200"/>
        <w:jc w:val="left"/>
        <w:rPr>
          <w:rFonts w:hint="eastAsia" w:hAnsi="宋体" w:cs="宋体"/>
          <w:b w:val="0"/>
          <w:bCs w:val="0"/>
          <w:color w:val="auto"/>
          <w:highlight w:val="none"/>
          <w:lang w:val="zh-CN" w:eastAsia="zh-CN"/>
        </w:rPr>
      </w:pPr>
      <w:r>
        <w:rPr>
          <w:rFonts w:hint="eastAsia" w:ascii="宋体" w:hAnsi="宋体" w:cs="宋体"/>
          <w:color w:val="auto"/>
          <w:sz w:val="21"/>
          <w:szCs w:val="21"/>
          <w:highlight w:val="none"/>
          <w:lang w:val="en-US" w:eastAsia="zh-CN"/>
        </w:rPr>
        <w:t>3.</w:t>
      </w:r>
      <w:r>
        <w:rPr>
          <w:rFonts w:hint="eastAsia" w:hAnsi="宋体" w:cs="宋体"/>
          <w:b w:val="0"/>
          <w:bCs w:val="0"/>
          <w:color w:val="auto"/>
          <w:highlight w:val="none"/>
          <w:lang w:val="zh-CN" w:eastAsia="zh-CN"/>
        </w:rPr>
        <w:t>所有人员必须持有健康证，投标文件中提供健康证复印件，加盖公章。</w:t>
      </w:r>
    </w:p>
    <w:p w14:paraId="77D4E1E3">
      <w:pPr>
        <w:spacing w:line="360" w:lineRule="auto"/>
        <w:ind w:firstLine="420" w:firstLineChars="200"/>
        <w:jc w:val="left"/>
        <w:rPr>
          <w:rFonts w:hint="eastAsia" w:ascii="宋体" w:hAnsi="宋体" w:cs="宋体"/>
          <w:b w:val="0"/>
          <w:bCs w:val="0"/>
          <w:color w:val="auto"/>
          <w:kern w:val="0"/>
          <w:highlight w:val="none"/>
          <w:lang w:val="zh-CN"/>
        </w:rPr>
      </w:pPr>
      <w:r>
        <w:rPr>
          <w:rFonts w:hint="eastAsia" w:ascii="宋体" w:hAnsi="宋体" w:cs="宋体"/>
          <w:color w:val="auto"/>
          <w:sz w:val="21"/>
          <w:szCs w:val="21"/>
          <w:highlight w:val="none"/>
          <w:lang w:val="en-US" w:eastAsia="zh-CN"/>
        </w:rPr>
        <w:t>4.</w:t>
      </w:r>
      <w:r>
        <w:rPr>
          <w:rFonts w:hint="eastAsia" w:hAnsi="宋体" w:cs="宋体"/>
          <w:b w:val="0"/>
          <w:bCs w:val="0"/>
          <w:color w:val="auto"/>
          <w:highlight w:val="none"/>
          <w:lang w:val="zh-CN"/>
        </w:rPr>
        <w:t>具体岗位由</w:t>
      </w:r>
      <w:r>
        <w:rPr>
          <w:rFonts w:hint="eastAsia" w:hAnsi="宋体" w:cs="宋体"/>
          <w:b w:val="0"/>
          <w:bCs w:val="0"/>
          <w:color w:val="auto"/>
          <w:highlight w:val="none"/>
          <w:lang w:val="zh-CN" w:eastAsia="zh-CN"/>
        </w:rPr>
        <w:t>供应商</w:t>
      </w:r>
      <w:r>
        <w:rPr>
          <w:rFonts w:hint="eastAsia" w:hAnsi="宋体" w:cs="宋体"/>
          <w:b w:val="0"/>
          <w:bCs w:val="0"/>
          <w:color w:val="auto"/>
          <w:highlight w:val="none"/>
          <w:lang w:val="zh-CN"/>
        </w:rPr>
        <w:t>自行安置</w:t>
      </w:r>
      <w:r>
        <w:rPr>
          <w:rFonts w:hint="eastAsia" w:hAnsi="宋体" w:cs="宋体"/>
          <w:b w:val="0"/>
          <w:bCs w:val="0"/>
          <w:color w:val="auto"/>
          <w:highlight w:val="none"/>
          <w:lang w:val="zh-CN" w:eastAsia="zh-CN"/>
        </w:rPr>
        <w:t>，人员岗位须应固定，不得兼职其他岗位。</w:t>
      </w:r>
    </w:p>
    <w:p w14:paraId="18F33BB7">
      <w:pPr>
        <w:autoSpaceDE w:val="0"/>
        <w:autoSpaceDN w:val="0"/>
        <w:adjustRightInd w:val="0"/>
        <w:spacing w:line="360" w:lineRule="auto"/>
        <w:ind w:left="61"/>
        <w:jc w:val="left"/>
        <w:rPr>
          <w:rFonts w:ascii="宋体" w:hAnsi="宋体" w:cs="宋体"/>
          <w:b/>
          <w:color w:val="auto"/>
          <w:kern w:val="0"/>
          <w:highlight w:val="none"/>
          <w:lang w:val="zh-CN"/>
        </w:rPr>
      </w:pPr>
      <w:r>
        <w:rPr>
          <w:rFonts w:hint="eastAsia" w:ascii="宋体" w:hAnsi="宋体" w:cs="宋体"/>
          <w:b/>
          <w:color w:val="auto"/>
          <w:kern w:val="0"/>
          <w:highlight w:val="none"/>
          <w:lang w:val="zh-CN"/>
        </w:rPr>
        <w:t>四、管理要求</w:t>
      </w:r>
      <w:r>
        <w:rPr>
          <w:rFonts w:ascii="宋体" w:hAnsi="宋体" w:cs="宋体"/>
          <w:b/>
          <w:color w:val="auto"/>
          <w:kern w:val="0"/>
          <w:highlight w:val="none"/>
          <w:lang w:val="zh-CN"/>
        </w:rPr>
        <w:t>:</w:t>
      </w:r>
    </w:p>
    <w:p w14:paraId="2FC7FD3B">
      <w:pPr>
        <w:widowControl/>
        <w:spacing w:before="150" w:after="150" w:line="360" w:lineRule="auto"/>
        <w:jc w:val="left"/>
        <w:rPr>
          <w:rFonts w:hint="eastAsia" w:ascii="宋体" w:hAnsi="宋体" w:cs="宋体"/>
          <w:b/>
          <w:bCs w:val="0"/>
          <w:kern w:val="0"/>
          <w:szCs w:val="21"/>
          <w:lang w:eastAsia="zh-CN"/>
        </w:rPr>
      </w:pPr>
      <w:r>
        <w:rPr>
          <w:rFonts w:hint="eastAsia" w:ascii="宋体" w:hAnsi="宋体" w:cs="宋体"/>
          <w:b/>
          <w:bCs w:val="0"/>
          <w:kern w:val="0"/>
          <w:szCs w:val="21"/>
          <w:lang w:eastAsia="zh-CN"/>
        </w:rPr>
        <w:t>（一）采购人职责</w:t>
      </w:r>
    </w:p>
    <w:p w14:paraId="73C07EC3">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1、完善食堂场地、水、电、煤气配置，落实食堂运营所需的设备设施、餐厨具，监督食堂运行状况及运营成本帐务。</w:t>
      </w:r>
    </w:p>
    <w:p w14:paraId="1FE77A35">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2、每月对投标人开展检查考核。协助投标人做好与各相关部门的沟通协调工作。根据就餐人员集中反映的意见，出具《限期整改书》，要求投标人限期内改进，以保证餐饮服务品质。如整改未见成效或餐饮服务长期达不到规定要求的，采购人随时解除或者提前终止合同，没收履约保证金，不承担违约责任。食堂运营中一旦发生食物中毒、煤气泄漏、违法违纪等重大责任事故，采购人有权立即单方面终止合同，没收履约保证金，不承担违约责任。</w:t>
      </w:r>
    </w:p>
    <w:p w14:paraId="3EFD801F">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3、一旦发现投标人将项目分包或整体转包给任何单位和个人的，有权即刻终止合同，并要求投标人承担责任，赔偿相应损失。</w:t>
      </w:r>
    </w:p>
    <w:p w14:paraId="22917165">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4、合同签订生效后，无特殊情况，采购人不得无故提前终止合同。若确需提前终止合同，应提前两个月以书面形式通知投标人，并妥善处理遗留问题。</w:t>
      </w:r>
    </w:p>
    <w:p w14:paraId="0CAE7D8B">
      <w:pPr>
        <w:widowControl/>
        <w:spacing w:before="150" w:after="150" w:line="360" w:lineRule="auto"/>
        <w:jc w:val="left"/>
        <w:rPr>
          <w:rFonts w:hint="eastAsia" w:ascii="宋体" w:hAnsi="宋体" w:cs="宋体"/>
          <w:b/>
          <w:bCs w:val="0"/>
          <w:kern w:val="0"/>
          <w:szCs w:val="21"/>
          <w:lang w:eastAsia="zh-CN"/>
        </w:rPr>
      </w:pPr>
      <w:r>
        <w:rPr>
          <w:rFonts w:hint="eastAsia" w:ascii="宋体" w:hAnsi="宋体" w:cs="宋体"/>
          <w:b/>
          <w:bCs w:val="0"/>
          <w:kern w:val="0"/>
          <w:szCs w:val="21"/>
          <w:lang w:eastAsia="zh-CN"/>
        </w:rPr>
        <w:t>（二）投标人职责</w:t>
      </w:r>
    </w:p>
    <w:p w14:paraId="5FF91CD2">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1、根据采购人的实际需求提供各项餐饮服务，在食堂运营中做好节约与服务，实现食堂在经济上的收支平衡，要求院内食堂职工就餐率不低于每日</w:t>
      </w:r>
      <w:r>
        <w:rPr>
          <w:rFonts w:hint="eastAsia" w:ascii="宋体" w:hAnsi="宋体" w:cs="宋体"/>
          <w:b w:val="0"/>
          <w:bCs/>
          <w:kern w:val="0"/>
          <w:szCs w:val="21"/>
          <w:lang w:val="en-US" w:eastAsia="zh-CN"/>
        </w:rPr>
        <w:t>2</w:t>
      </w:r>
      <w:r>
        <w:rPr>
          <w:rFonts w:hint="eastAsia" w:ascii="宋体" w:hAnsi="宋体" w:cs="宋体"/>
          <w:b w:val="0"/>
          <w:bCs/>
          <w:kern w:val="0"/>
          <w:szCs w:val="21"/>
          <w:lang w:eastAsia="zh-CN"/>
        </w:rPr>
        <w:t>00人，并满足突发事件600人极端就餐服务。</w:t>
      </w:r>
    </w:p>
    <w:p w14:paraId="2651265C">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2、须在采购人选定采购配送范围内，合理领用及保存好食堂运营所需的各种食品材料，应做好成本控制，并接受采购人不定时的监督。投标人不得私自采用过期、变质、劣质食品和假冒伪劣商品，并承担由此产生的后果。</w:t>
      </w:r>
    </w:p>
    <w:p w14:paraId="0A08B5B6">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3、负责食堂的食品安全卫生，严格遵守国家和地方食品安全法和环境卫生的标准规定，禁止加工、销售腐烂变质食品，保证菜肴的新鲜和卫生，保证粮食、食油及所有辅料的使用安全。严格落实“五常法”管理评比制度。每天应留出足够的时间，专人负责对餐厅、加工间、餐厨具、灶台、灶下、水池、下水道、炊事用品等场所设备进行环境卫生打扫和冰箱除霜等的卫生工作。安排专人准确及时清理处置剩饭剩菜，做好餐具消毒工作与餐饮垃圾的管理。</w:t>
      </w:r>
    </w:p>
    <w:p w14:paraId="54C43A25">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4、节约用水、电、煤气，采购人将每月对水、电、气使用进行考核。爱护场地和食堂所有设备、设施和物品，并负责日常检查和养护管理，不得随意更换设施设备，使用设备及容器等</w:t>
      </w:r>
      <w:r>
        <w:rPr>
          <w:rFonts w:hint="eastAsia" w:ascii="宋体" w:hAnsi="宋体" w:cs="宋体"/>
          <w:b w:val="0"/>
          <w:bCs/>
          <w:kern w:val="0"/>
          <w:szCs w:val="21"/>
          <w:lang w:val="en-US" w:eastAsia="zh-CN"/>
        </w:rPr>
        <w:t>时，在</w:t>
      </w:r>
      <w:r>
        <w:rPr>
          <w:rFonts w:hint="eastAsia" w:ascii="宋体" w:hAnsi="宋体" w:cs="宋体"/>
          <w:b w:val="0"/>
          <w:bCs/>
          <w:kern w:val="0"/>
          <w:szCs w:val="21"/>
          <w:lang w:eastAsia="zh-CN"/>
        </w:rPr>
        <w:t>规定时间内损坏按价赔偿。合同履行完毕后，应交出除合理损耗部份外的全部设备、设施和物品，遗损赔偿。</w:t>
      </w:r>
    </w:p>
    <w:p w14:paraId="03417428">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5、积极配合食品卫生监督部门对半成品、成品的随时抽样实地检验，做好质量监控，预防和检查生产中是否有异物污染等问题。积极配合卫生监管部门的监督与采购人的检查考核，如有问题被被查处或投诉，视事件程度承担相应责任，并服从采购人扣除相应的考核奖金与餐饮服务费的安排。</w:t>
      </w:r>
    </w:p>
    <w:p w14:paraId="1C13D8B6">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6、严格控制进入生产厨房间的人数，仅限于本区域操作人员以及经过批准的人员进入。对进入生产加工厨房的临时外来人员（包括参观人员）进行指导和监督，对进入洁净室的人员进行登记制度。</w:t>
      </w:r>
    </w:p>
    <w:p w14:paraId="58EB3C03">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7、应派专人负责生产区域内用具的日常管理。有使用区域范围的用具不得随意传出本区域；用具应做到定数、定量、定置、无不必要的物品；用具宜选用无脱落物、容易清洗、易消毒、不生锈、不长菌的材质。</w:t>
      </w:r>
    </w:p>
    <w:p w14:paraId="537E3EDD">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8、使用的生产运输工具应该符合卫生要求，要根据产品的特点配备防雨、防尘、冷藏、保温等设施。运输作业中需避免强烈震荡、撞击，轻拿轻放，防止损伤，并且不得与有害物品混装、混运。作业完毕后，督促搬运人员立即撤离工作场地，防止污染食品。</w:t>
      </w:r>
    </w:p>
    <w:p w14:paraId="00E2FED3">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9、应设专人管理物品、菜肴储存的场地和仓库，配置防鼠、防虫、防火等设施。建立管理制度，定期检查场地和仓库的卫生状况，按时清扫、消毒、通风换气，确保设施的正常使用</w:t>
      </w:r>
    </w:p>
    <w:p w14:paraId="6E47F121">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10、应设专人管理洗手消毒池，鞋帽、更衣室、淋浴室、厕所等卫生设施，建立管理制度，做到责任到人，确保良好使用状态。</w:t>
      </w:r>
    </w:p>
    <w:p w14:paraId="0909F275">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11、从业人员使用的工作服每年保持夏季二套、冬季二套，统一着装上岗，进行定期清洗保洁。工作服、工作帽、工作手套等款式及颜色需经采购人认可，费用由投标人负责。</w:t>
      </w:r>
    </w:p>
    <w:p w14:paraId="04068C74">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12、负责从业人员的卫生、技能教育，确保从业人员持有有效的健康证、服务证及相关工作上岗证。应安排从业人员每年至少一次的体格检查，对没有取得卫生监督机构颁发的体检合格证者，禁止其从事厨房生产工作；对直接接触入口食品的人员还须进行粪便培养和病毒性肝炎带毒试验，不合格者不得从事相关工作。所需费用由投标人自理。并与采购人签订饮食安全卫生责任书。</w:t>
      </w:r>
    </w:p>
    <w:p w14:paraId="397062C3">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13、应加强防火、防盗、防爆、防投毒等安全保障工作，经常检查电源、火源，妥善保管易燃易爆物品，负责对所属人员进行安全教育，确保无安全事故。如发生意外伤残、伤亡及其它安全事故，承担全部责任后果和经济补偿。</w:t>
      </w:r>
    </w:p>
    <w:p w14:paraId="3B2354EA">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14、原则上不得改变、改动及无故损坏场地的房屋结构，不得变换基本设施。若确因服务需要，需进行装修，改动现有设备、设施和物品的，需书面报告采购人。</w:t>
      </w:r>
    </w:p>
    <w:p w14:paraId="083845D5">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15、合同签订生效后，无特殊情况，不得无故提前终止合同。若确需提前终止合同，应提前两个月以书面形式通知采购人，并妥善处理遗留问题。</w:t>
      </w:r>
    </w:p>
    <w:p w14:paraId="2CB8643D">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16、如遇采购人食堂室内改造，应提供合理的送餐服务方案，以保证采购人工作的正常运转。</w:t>
      </w:r>
    </w:p>
    <w:p w14:paraId="539B7CC4">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17、负责对从业人员的遵纪守法教育。如违反国家法律法规和地方规章制度，所造成的一切后果由投标人负责。若出现损害就餐人员身体健康和影响采购人声誉的事件，承担由此造成的一切责任和损失。</w:t>
      </w:r>
    </w:p>
    <w:p w14:paraId="506885B4">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18、应设专人接收甲方的职工（含微信订餐）及病员订餐系统（含流动餐厅），承担起甲方的订餐工作及系统资金管理和系统维护工作。负责甲方所有订餐系统的就餐卡开卡、补卡及卡片进销存管理工作。如有资金损失或卡片遗失，需照价赔偿，情况严重的采购人有权终止合同，并在保证金中扣除相应的资金损失。</w:t>
      </w:r>
    </w:p>
    <w:p w14:paraId="431FC76B">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19、做好配餐服务，提前一周公布职工食堂及病人订餐的菜单，每月菜品不得重复，并根据订餐率控制好配餐原料，避免采购浪费的现象。</w:t>
      </w:r>
    </w:p>
    <w:p w14:paraId="2157F895">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20、考虑到部分临床科室工作繁忙，无暇到职工餐厅就餐。投标方需管理好微信订餐管理系统（订餐时间段为每日8:00-10:00），完善一日三餐菜单品种，方便职工微信订餐。订餐餐标享受职工餐厅同样价格及刷卡频率，但需加收餐盒工本费。承包方负责订餐数量品种汇总，及刷卡收费工作。</w:t>
      </w:r>
    </w:p>
    <w:p w14:paraId="4C7676DE">
      <w:pPr>
        <w:widowControl/>
        <w:spacing w:before="150" w:after="150" w:line="360" w:lineRule="auto"/>
        <w:ind w:firstLine="420" w:firstLineChars="200"/>
        <w:jc w:val="left"/>
        <w:rPr>
          <w:rFonts w:hint="eastAsia" w:ascii="宋体" w:hAnsi="宋体"/>
          <w:szCs w:val="21"/>
        </w:rPr>
      </w:pPr>
      <w:r>
        <w:rPr>
          <w:rFonts w:hint="eastAsia" w:ascii="宋体" w:hAnsi="宋体" w:cs="宋体"/>
          <w:b w:val="0"/>
          <w:bCs/>
          <w:kern w:val="0"/>
          <w:szCs w:val="21"/>
          <w:lang w:val="en-US" w:eastAsia="zh-CN"/>
        </w:rPr>
        <w:t>21.</w:t>
      </w:r>
      <w:r>
        <w:rPr>
          <w:rFonts w:hint="eastAsia" w:ascii="宋体" w:hAnsi="宋体"/>
          <w:szCs w:val="21"/>
        </w:rPr>
        <w:t>保证食堂现场、室内外环境卫生必须符合有关餐饮业卫生要求，并执行</w:t>
      </w:r>
      <w:r>
        <w:rPr>
          <w:rFonts w:hint="eastAsia" w:ascii="宋体" w:hAnsi="宋体"/>
          <w:color w:val="000000"/>
          <w:szCs w:val="21"/>
          <w:lang w:val="en-US" w:eastAsia="zh-CN"/>
        </w:rPr>
        <w:t>6</w:t>
      </w:r>
      <w:r>
        <w:rPr>
          <w:rFonts w:hint="eastAsia" w:ascii="宋体" w:hAnsi="宋体"/>
          <w:color w:val="000000"/>
          <w:szCs w:val="21"/>
        </w:rPr>
        <w:t>S</w:t>
      </w:r>
      <w:r>
        <w:rPr>
          <w:rFonts w:hint="eastAsia" w:ascii="宋体" w:hAnsi="宋体"/>
          <w:szCs w:val="21"/>
        </w:rPr>
        <w:t>管理，做好医院划定卫生工作，特别是食堂内通道。</w:t>
      </w:r>
    </w:p>
    <w:p w14:paraId="7F5FA006">
      <w:pPr>
        <w:widowControl/>
        <w:spacing w:before="150" w:after="150" w:line="360" w:lineRule="auto"/>
        <w:jc w:val="left"/>
        <w:rPr>
          <w:rFonts w:hint="eastAsia" w:ascii="宋体" w:hAnsi="宋体" w:cs="宋体"/>
          <w:b/>
          <w:bCs w:val="0"/>
          <w:kern w:val="0"/>
          <w:szCs w:val="21"/>
          <w:lang w:eastAsia="zh-CN"/>
        </w:rPr>
      </w:pPr>
      <w:r>
        <w:rPr>
          <w:rFonts w:hint="eastAsia" w:ascii="宋体" w:hAnsi="宋体" w:cs="宋体"/>
          <w:b/>
          <w:bCs w:val="0"/>
          <w:kern w:val="0"/>
          <w:szCs w:val="21"/>
          <w:lang w:eastAsia="zh-CN"/>
        </w:rPr>
        <w:t>（三）从业人员职责</w:t>
      </w:r>
    </w:p>
    <w:p w14:paraId="54DB3CCF">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1、具有良好的个人卫生习惯，需勤剪指甲、勤洗澡。直接与原料、半成品和成品接触的人员不得戴耳环、戒指、手镯、项链、手表、手机，不允许化妆、染指甲、喷洒香水。</w:t>
      </w:r>
    </w:p>
    <w:p w14:paraId="34D0A19B">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2、必须按生产区域洁净级别进行规范着装，穿戴各自岗位指定的工衣、工帽、工鞋，经更衣室洗手消毒后，进入指定工作区域。工作服需盖住外衣,头发不得露于帽外,并且洗</w:t>
      </w:r>
      <w:r>
        <w:rPr>
          <w:rFonts w:hint="eastAsia" w:ascii="宋体" w:hAnsi="宋体" w:cs="宋体"/>
          <w:b w:val="0"/>
          <w:bCs/>
          <w:color w:val="000000"/>
          <w:kern w:val="0"/>
          <w:szCs w:val="21"/>
          <w:lang w:eastAsia="zh-CN"/>
        </w:rPr>
        <w:t>净</w:t>
      </w:r>
      <w:r>
        <w:rPr>
          <w:rFonts w:hint="eastAsia" w:ascii="宋体" w:hAnsi="宋体" w:cs="宋体"/>
          <w:b w:val="0"/>
          <w:bCs/>
          <w:kern w:val="0"/>
          <w:szCs w:val="21"/>
          <w:lang w:eastAsia="zh-CN"/>
        </w:rPr>
        <w:t>双手，不得穿拖鞋进入岗位操作。</w:t>
      </w:r>
    </w:p>
    <w:p w14:paraId="14D6B13D">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3、工作时应关闭操作间的门，并尽量减少出入次数。不得穿戴工衣、工帽、工鞋离开生产加工场所。如接触赃物、上厕所、吸烟、用餐后需重新洗手消毒，方可穿戴工作服进入相应岗位。</w:t>
      </w:r>
    </w:p>
    <w:p w14:paraId="58D8281A">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4、不得在厨房间内吸烟、饮食；不得在厨房间内睡觉、嬉戏,追跑、打闹；不得将个人生活用品如衣物、食品、烟酒、化妆品等带入或存放至生产加工场所；不得在生产操作时从事与操作无关的活动及不必要的交谈；不得在生产区域接听电话，必要时，需离开生产区域接听；当出现操作有误时，任何人员都有权指出其错误，并且要求马上改正。</w:t>
      </w:r>
    </w:p>
    <w:p w14:paraId="7816E7EB">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5、生产操作前必须检查厨房卫生状况。合格内容包括:地面、墙壁清洁干净、门窗洁净无尘、水槽、地漏畅通无阻、设备表面无残留污迹、油污、杂物，操作间无上批剩余物料。</w:t>
      </w:r>
    </w:p>
    <w:p w14:paraId="56D7CC36">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6、工作时需提前三十分钟打开冷菜间、面点间的紫外灭菌灯，待彻底消毒后，方可进行操作。操作时应打开厨房间排气扇，按要求换气，保证厨房间的湿度和通风。</w:t>
      </w:r>
    </w:p>
    <w:p w14:paraId="47C4E5D8">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7、交接班时，应认真做好卫生交接工作，卫生不合格不接班。卫生要求地面无积水，无卫生死角，无灰尘，工具、器具统一定点放置。</w:t>
      </w:r>
    </w:p>
    <w:p w14:paraId="2B6C10D6">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8、必须在指定地点先行将各种物料进行解包、清洁、表面擦拭等处理工作后方允许其进入生产区域。</w:t>
      </w:r>
    </w:p>
    <w:p w14:paraId="51655107">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9、烹调前应认真检查设备是否已清洗干净，是否有上批剩余物料,若有必须要重新清洗，需消毒到位后方可投料烹调。烹饪结束后所有的原、辅料应及时清理回收，不允许乱放和随意丢弃。</w:t>
      </w:r>
    </w:p>
    <w:p w14:paraId="3C5E5896">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10、按生产烹饪的先后次序和菜肴的特点，将各种原、辅料预处理、半成品处理和加工、包装材料和盛菜工具的清洗消毒、面点间的成品包装和检验、成品储存等工序分开设置，防止前后工序相互交叉污染。</w:t>
      </w:r>
    </w:p>
    <w:p w14:paraId="31A18C77">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11、必须认真填写菜肴留样记录表，不得随意涂改，并妥善保存，随着烹饪进程，逐步传递到下一个工序，每批菜肴生产结束后，将记录表一并交与厨房管理部存档备案。</w:t>
      </w:r>
    </w:p>
    <w:p w14:paraId="3A67081A">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12、用于生产操作的所有用具、工具、设备、容器、物品等需检验合格后方可使用，使用前后必须经过严格清洁、彻底消毒。在使用过程中</w:t>
      </w:r>
      <w:r>
        <w:rPr>
          <w:rFonts w:hint="eastAsia" w:ascii="宋体" w:hAnsi="宋体" w:cs="宋体"/>
          <w:b w:val="0"/>
          <w:bCs/>
          <w:kern w:val="0"/>
          <w:szCs w:val="21"/>
          <w:lang w:val="en-US" w:eastAsia="zh-CN"/>
        </w:rPr>
        <w:t>(</w:t>
      </w:r>
      <w:r>
        <w:rPr>
          <w:rFonts w:hint="eastAsia" w:ascii="宋体" w:hAnsi="宋体" w:cs="宋体"/>
          <w:b w:val="0"/>
          <w:bCs/>
          <w:kern w:val="0"/>
          <w:szCs w:val="21"/>
          <w:lang w:eastAsia="zh-CN"/>
        </w:rPr>
        <w:t>设备及容器等</w:t>
      </w:r>
      <w:r>
        <w:rPr>
          <w:rFonts w:hint="eastAsia" w:ascii="宋体" w:hAnsi="宋体" w:cs="宋体"/>
          <w:b w:val="0"/>
          <w:bCs/>
          <w:kern w:val="0"/>
          <w:szCs w:val="21"/>
          <w:lang w:val="en-US" w:eastAsia="zh-CN"/>
        </w:rPr>
        <w:t>)因</w:t>
      </w:r>
      <w:r>
        <w:rPr>
          <w:rFonts w:hint="eastAsia" w:ascii="宋体" w:hAnsi="宋体" w:cs="宋体"/>
          <w:b w:val="0"/>
          <w:bCs/>
          <w:kern w:val="0"/>
          <w:szCs w:val="21"/>
          <w:lang w:eastAsia="zh-CN"/>
        </w:rPr>
        <w:t>人为因素损坏的须按原物赔偿及出维修费。</w:t>
      </w:r>
    </w:p>
    <w:p w14:paraId="3039299C">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13、日常维修、检查设备时，不得污染食品及相关物料。严禁洗涤设备时发生水溢厨房事件，防止造成交叉污染。</w:t>
      </w:r>
    </w:p>
    <w:p w14:paraId="4B6EC79F">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14、每周对厨房生产区、更衣室、走廊、大厅等区域进行一次全面的清洁消毒工作。做到墙体内外表面洁净、完好，门、窗、地面、各种管道、灯具以及其他设施，墙壁与地面的交界处保持洁净无灰尘。定期检查门窗、排水口、排污管等处的防虫、防蝇、防鼠装置。及时清理地漏、并保持清洁及盖上盖子状态。遵照食品卫生法中对厨房间照明的有关规定，确保明亮、安全、无灰尘、无污染。</w:t>
      </w:r>
    </w:p>
    <w:p w14:paraId="1A11F9FD">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15、及时清理洗手池、器具洁具清洗池等设施，应保持内外洁净、无灰尘、垢斑和水迹。</w:t>
      </w:r>
    </w:p>
    <w:p w14:paraId="3009E6C6">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16、及时将生产过程中的废弃物品装入不产生尘埃的容器或口袋中（宜为一次性的），密闭放在指定的地点，待生产结束后及时清除。</w:t>
      </w:r>
    </w:p>
    <w:p w14:paraId="0A14DB2F">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17、及时清洗干净、消毒并干燥使用过的清洁工具，放置在规定的位置，至于通风良好处。使用前后要检查拖布和抹布是否会脱落纤维。不同生产区域的工具，不能混淆使用。</w:t>
      </w:r>
    </w:p>
    <w:p w14:paraId="0D52ADE3">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18、按照品种分类分批储存各种原材料，不同类别的原料应该有明显标志，同一仓库内不得储存相互影响的原料。储存中物品、菜肴、内外包材需离地面、墙壁并且与屋顶保持一定距离，垛与垛之间应保持适当的距离。</w:t>
      </w:r>
    </w:p>
    <w:p w14:paraId="48A4BADD">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19、根据不同的要求，按规定的温度、湿度合理储存各类冷库内物品，及时剔除不符合质量和卫生标准的物品、菜肴、内外包材，并按规定的方法进行处理，防止二次污染。</w:t>
      </w:r>
    </w:p>
    <w:p w14:paraId="5F46E16D">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20、经检验合格的成品菜肴应照先进先出原则储存于成品出菜间，并按品种、批次分类存放、防止相互混淆。成品出菜间不得储存有毒、有害物品及其他易腐烂、易燃烧物品。</w:t>
      </w:r>
    </w:p>
    <w:p w14:paraId="4274EBD6">
      <w:pPr>
        <w:numPr>
          <w:ilvl w:val="0"/>
          <w:numId w:val="0"/>
        </w:numPr>
        <w:spacing w:line="360" w:lineRule="auto"/>
        <w:jc w:val="left"/>
        <w:rPr>
          <w:rFonts w:hint="eastAsia" w:ascii="宋体" w:hAnsi="宋体" w:cs="宋体"/>
          <w:b/>
          <w:bCs/>
          <w:color w:val="auto"/>
          <w:szCs w:val="21"/>
        </w:rPr>
      </w:pPr>
      <w:r>
        <w:rPr>
          <w:rFonts w:hint="eastAsia" w:ascii="宋体" w:hAnsi="宋体" w:cs="宋体"/>
          <w:b/>
          <w:bCs/>
          <w:color w:val="auto"/>
          <w:szCs w:val="21"/>
          <w:lang w:val="en-US" w:eastAsia="zh-CN"/>
        </w:rPr>
        <w:t>五、</w:t>
      </w:r>
      <w:r>
        <w:rPr>
          <w:rFonts w:hint="eastAsia" w:ascii="宋体" w:hAnsi="宋体" w:cs="宋体"/>
          <w:b/>
          <w:bCs/>
          <w:color w:val="auto"/>
          <w:szCs w:val="21"/>
        </w:rPr>
        <w:t>绩效奖罚细则</w:t>
      </w:r>
    </w:p>
    <w:p w14:paraId="00707B61">
      <w:pPr>
        <w:pStyle w:val="2"/>
        <w:jc w:val="left"/>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1.人均餐费&lt;10元，奖励绩效标准0.5元/餐；</w:t>
      </w:r>
    </w:p>
    <w:p w14:paraId="54199451">
      <w:pPr>
        <w:pStyle w:val="2"/>
        <w:jc w:val="left"/>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2.人均餐费10-10.5元，奖励绩效标准0.4元/餐；</w:t>
      </w:r>
    </w:p>
    <w:p w14:paraId="4051A92E">
      <w:pPr>
        <w:pStyle w:val="2"/>
        <w:jc w:val="left"/>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3.人均餐费10.51-11元，奖励绩效标准0.3元/餐；</w:t>
      </w:r>
    </w:p>
    <w:p w14:paraId="24569659">
      <w:pPr>
        <w:pStyle w:val="2"/>
        <w:jc w:val="left"/>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4.人均餐费11.01-11.5元，奖励绩效标准0.2元/餐；</w:t>
      </w:r>
    </w:p>
    <w:p w14:paraId="3F3F8BA7">
      <w:pPr>
        <w:pStyle w:val="2"/>
        <w:jc w:val="left"/>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5.人均餐费11.51-12元，不做奖励；</w:t>
      </w:r>
    </w:p>
    <w:p w14:paraId="7FC81D61">
      <w:pPr>
        <w:pStyle w:val="2"/>
        <w:jc w:val="left"/>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6.人均餐费＞12元，按超出部分*就餐数进行扣罚；</w:t>
      </w:r>
    </w:p>
    <w:p w14:paraId="056C1FCB">
      <w:pPr>
        <w:pStyle w:val="2"/>
        <w:jc w:val="left"/>
        <w:rPr>
          <w:rFonts w:hint="eastAsia"/>
          <w:color w:val="auto"/>
        </w:rPr>
      </w:pPr>
      <w:r>
        <w:rPr>
          <w:rFonts w:hint="eastAsia" w:ascii="宋体" w:hAnsi="宋体" w:eastAsia="宋体" w:cs="宋体"/>
          <w:b w:val="0"/>
          <w:bCs/>
          <w:color w:val="auto"/>
          <w:kern w:val="0"/>
          <w:sz w:val="21"/>
          <w:szCs w:val="21"/>
          <w:lang w:val="en-US" w:eastAsia="zh-CN" w:bidi="ar-SA"/>
        </w:rPr>
        <w:t>7.总就餐数=早餐数*0.3+中晚餐数，早餐绩效系数按0.5元/餐计算。</w:t>
      </w:r>
    </w:p>
    <w:p w14:paraId="1FF5166D">
      <w:pPr>
        <w:pStyle w:val="2"/>
        <w:jc w:val="left"/>
        <w:rPr>
          <w:rFonts w:hint="eastAsia" w:hAnsi="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（传统节假日等因素菜品市场价格上涨，根据国家统计局1月浙江省食品类居民消费价格指数，食堂涉及的四类食品（畜肉类、蛋类、水产、鲜菜）价格消费指数平均值</w:t>
      </w:r>
      <w:r>
        <w:rPr>
          <w:rFonts w:hint="eastAsia" w:hAnsi="宋体" w:cs="宋体"/>
          <w:b w:val="0"/>
          <w:bCs/>
          <w:color w:val="auto"/>
          <w:kern w:val="0"/>
          <w:sz w:val="21"/>
          <w:szCs w:val="21"/>
          <w:lang w:val="en-US" w:eastAsia="zh-CN" w:bidi="ar-SA"/>
        </w:rPr>
        <w:t>。结合本月实际菜金，依照食堂绩效奖罚细则进行，奖罚金额均不超过合同价的5%）</w:t>
      </w:r>
    </w:p>
    <w:p w14:paraId="04D1FA2A">
      <w:pPr>
        <w:rPr>
          <w:rFonts w:hint="default"/>
          <w:lang w:val="en-US" w:eastAsia="zh-CN"/>
        </w:rPr>
      </w:pPr>
    </w:p>
    <w:p w14:paraId="2EB75859">
      <w:pPr>
        <w:keepNext w:val="0"/>
        <w:keepLines w:val="0"/>
        <w:pageBreakBefore w:val="0"/>
        <w:widowControl w:val="0"/>
        <w:kinsoku/>
        <w:wordWrap/>
        <w:overflowPunct/>
        <w:topLinePunct w:val="0"/>
        <w:bidi w:val="0"/>
        <w:adjustRightInd/>
        <w:snapToGrid/>
        <w:spacing w:line="360" w:lineRule="auto"/>
        <w:ind w:left="0" w:leftChars="0"/>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考核细则</w:t>
      </w:r>
    </w:p>
    <w:p w14:paraId="541F889C">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在本合同履行期限内，投标人应严格执行《国家食品安全法》、《国家安全生产法》等相关规定，招标人实行每月考核、季度测评的综合监管模式，具体如下：</w:t>
      </w:r>
    </w:p>
    <w:p w14:paraId="0D627ACD">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每季度开展医院职工满意度测评，餐饮总体服务满意度低于</w:t>
      </w:r>
      <w:r>
        <w:rPr>
          <w:rFonts w:hint="eastAsia"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lang w:val="en-US" w:eastAsia="zh-CN"/>
        </w:rPr>
        <w:t>%的，每下降1个百分点扣服务费500元；菜式口味、服务态度等单项满意度低于</w:t>
      </w:r>
      <w:r>
        <w:rPr>
          <w:rFonts w:hint="eastAsia"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lang w:val="en-US" w:eastAsia="zh-CN"/>
        </w:rPr>
        <w:t>%的，每下降1个百分点视</w:t>
      </w:r>
      <w:r>
        <w:rPr>
          <w:rFonts w:hint="eastAsia" w:hAnsi="宋体" w:eastAsia="宋体" w:cs="宋体"/>
          <w:color w:val="auto"/>
          <w:sz w:val="21"/>
          <w:szCs w:val="21"/>
          <w:highlight w:val="none"/>
          <w:lang w:val="en-US" w:eastAsia="zh-CN"/>
        </w:rPr>
        <w:t>情况</w:t>
      </w:r>
      <w:r>
        <w:rPr>
          <w:rFonts w:hint="eastAsia" w:ascii="宋体" w:hAnsi="宋体" w:eastAsia="宋体" w:cs="宋体"/>
          <w:color w:val="auto"/>
          <w:sz w:val="21"/>
          <w:szCs w:val="21"/>
          <w:highlight w:val="none"/>
          <w:lang w:val="en-US" w:eastAsia="zh-CN"/>
        </w:rPr>
        <w:t>扣服务费200元至500元。连续</w:t>
      </w: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次低于60%，</w:t>
      </w:r>
      <w:r>
        <w:rPr>
          <w:rFonts w:hint="eastAsia"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可</w:t>
      </w:r>
      <w:r>
        <w:rPr>
          <w:rFonts w:hint="eastAsia" w:hAnsi="宋体" w:eastAsia="宋体" w:cs="宋体"/>
          <w:color w:val="auto"/>
          <w:sz w:val="21"/>
          <w:szCs w:val="21"/>
          <w:highlight w:val="none"/>
          <w:lang w:val="en-US" w:eastAsia="zh-CN"/>
        </w:rPr>
        <w:t>单方面终止合同</w:t>
      </w:r>
      <w:r>
        <w:rPr>
          <w:rFonts w:hint="eastAsia" w:ascii="宋体" w:hAnsi="宋体" w:eastAsia="宋体" w:cs="宋体"/>
          <w:color w:val="auto"/>
          <w:sz w:val="21"/>
          <w:szCs w:val="21"/>
          <w:highlight w:val="none"/>
          <w:lang w:val="en-US" w:eastAsia="zh-CN"/>
        </w:rPr>
        <w:t>。</w:t>
      </w:r>
    </w:p>
    <w:p w14:paraId="07B6A1F2">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每月度根据《餐饮监管考核细则》考核打分，90分（含）为合格，每低1分扣罚服务费500元，95分以上为优秀，每高1分奖服务费500元，以此类推。同时，要求食品安全率达到100%，所有食品原材料按质量体系验收；冬天实施菜肴保暖，夏天提供清凉食品，每餐食品留样48小时，每周定期推出新品种。</w:t>
      </w:r>
    </w:p>
    <w:p w14:paraId="1E44CD89">
      <w:pPr>
        <w:pStyle w:val="2"/>
        <w:rPr>
          <w:rFonts w:hint="default"/>
          <w:lang w:val="en-US" w:eastAsia="zh-CN"/>
        </w:rPr>
      </w:pP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餐饮监管考核细则</w:t>
      </w:r>
      <w:r>
        <w:rPr>
          <w:rFonts w:hint="eastAsia" w:hAnsi="宋体" w:cs="宋体"/>
          <w:color w:val="auto"/>
          <w:sz w:val="21"/>
          <w:szCs w:val="21"/>
          <w:highlight w:val="none"/>
          <w:lang w:val="en-US" w:eastAsia="zh-CN"/>
        </w:rPr>
        <w:t>》</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6"/>
        <w:gridCol w:w="1110"/>
        <w:gridCol w:w="4683"/>
        <w:gridCol w:w="864"/>
        <w:gridCol w:w="1842"/>
      </w:tblGrid>
      <w:tr w14:paraId="638A7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jc w:val="center"/>
        </w:trPr>
        <w:tc>
          <w:tcPr>
            <w:tcW w:w="556" w:type="dxa"/>
            <w:noWrap w:val="0"/>
            <w:vAlign w:val="center"/>
          </w:tcPr>
          <w:p w14:paraId="6CE238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10" w:type="dxa"/>
            <w:noWrap w:val="0"/>
            <w:vAlign w:val="center"/>
          </w:tcPr>
          <w:p w14:paraId="7C2634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考核项目</w:t>
            </w:r>
          </w:p>
        </w:tc>
        <w:tc>
          <w:tcPr>
            <w:tcW w:w="4683" w:type="dxa"/>
            <w:noWrap w:val="0"/>
            <w:vAlign w:val="center"/>
          </w:tcPr>
          <w:p w14:paraId="028CD2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考核标准</w:t>
            </w:r>
          </w:p>
        </w:tc>
        <w:tc>
          <w:tcPr>
            <w:tcW w:w="864" w:type="dxa"/>
            <w:noWrap w:val="0"/>
            <w:vAlign w:val="center"/>
          </w:tcPr>
          <w:p w14:paraId="2794EB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标准分</w:t>
            </w:r>
          </w:p>
        </w:tc>
        <w:tc>
          <w:tcPr>
            <w:tcW w:w="1842" w:type="dxa"/>
            <w:noWrap w:val="0"/>
            <w:vAlign w:val="center"/>
          </w:tcPr>
          <w:p w14:paraId="3F5B2C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r>
      <w:tr w14:paraId="65AE5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restart"/>
            <w:noWrap w:val="0"/>
            <w:vAlign w:val="center"/>
          </w:tcPr>
          <w:p w14:paraId="101DB8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10" w:type="dxa"/>
            <w:vMerge w:val="restart"/>
            <w:noWrap w:val="0"/>
            <w:vAlign w:val="center"/>
          </w:tcPr>
          <w:p w14:paraId="3908CE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员工管理</w:t>
            </w:r>
          </w:p>
        </w:tc>
        <w:tc>
          <w:tcPr>
            <w:tcW w:w="4683" w:type="dxa"/>
            <w:noWrap w:val="0"/>
            <w:vAlign w:val="center"/>
          </w:tcPr>
          <w:p w14:paraId="39970E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出勤：按服务标准设定的岗位、人员资质和需要时段的排班表，确保相关人员到岗，缺岗的扣分</w:t>
            </w:r>
            <w:r>
              <w:rPr>
                <w:rFonts w:hint="eastAsia" w:ascii="宋体" w:hAnsi="宋体" w:eastAsia="宋体" w:cs="宋体"/>
                <w:color w:val="auto"/>
                <w:sz w:val="21"/>
                <w:szCs w:val="21"/>
                <w:highlight w:val="none"/>
                <w:lang w:eastAsia="zh-CN"/>
              </w:rPr>
              <w:t>。</w:t>
            </w:r>
          </w:p>
        </w:tc>
        <w:tc>
          <w:tcPr>
            <w:tcW w:w="864" w:type="dxa"/>
            <w:vMerge w:val="restart"/>
            <w:noWrap w:val="0"/>
            <w:vAlign w:val="center"/>
          </w:tcPr>
          <w:p w14:paraId="1D3844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1842" w:type="dxa"/>
            <w:noWrap w:val="0"/>
            <w:vAlign w:val="center"/>
          </w:tcPr>
          <w:p w14:paraId="174341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每发现1次扣5分</w:t>
            </w:r>
          </w:p>
        </w:tc>
      </w:tr>
      <w:tr w14:paraId="360B9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257777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548D7F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363490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着装规范：所有工作人员按规定着装，必须做到服装整洁，无迹、无污渍，佩戴统一工作牌，对熟食品操作、传菜及服务人员还需戴口罩，未到位的扣分</w:t>
            </w:r>
            <w:r>
              <w:rPr>
                <w:rFonts w:hint="eastAsia" w:ascii="宋体" w:hAnsi="宋体" w:eastAsia="宋体" w:cs="宋体"/>
                <w:color w:val="auto"/>
                <w:sz w:val="21"/>
                <w:szCs w:val="21"/>
                <w:highlight w:val="none"/>
                <w:lang w:eastAsia="zh-CN"/>
              </w:rPr>
              <w:t>。</w:t>
            </w:r>
          </w:p>
        </w:tc>
        <w:tc>
          <w:tcPr>
            <w:tcW w:w="864" w:type="dxa"/>
            <w:vMerge w:val="continue"/>
            <w:noWrap w:val="0"/>
            <w:vAlign w:val="center"/>
          </w:tcPr>
          <w:p w14:paraId="6E3E4D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61A831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00A30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37A71F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340D30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232A23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仪表规范：女员工允许化淡妆，不准使用怪异或浓烈的香水，面容整洁,头型按规定梳理；男不留长发，不许留胡须。不准佩带首饰。不留长指甲，不允许涂指甲油</w:t>
            </w:r>
            <w:r>
              <w:rPr>
                <w:rFonts w:hint="eastAsia" w:ascii="宋体" w:hAnsi="宋体" w:eastAsia="宋体" w:cs="宋体"/>
                <w:color w:val="auto"/>
                <w:sz w:val="21"/>
                <w:szCs w:val="21"/>
                <w:highlight w:val="none"/>
                <w:lang w:eastAsia="zh-CN"/>
              </w:rPr>
              <w:t>。</w:t>
            </w:r>
          </w:p>
        </w:tc>
        <w:tc>
          <w:tcPr>
            <w:tcW w:w="864" w:type="dxa"/>
            <w:vMerge w:val="continue"/>
            <w:noWrap w:val="0"/>
            <w:vAlign w:val="center"/>
          </w:tcPr>
          <w:p w14:paraId="4A057A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3B1E41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08BEA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22FBE0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21221F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315DAD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操作规范：服务人员仪态端庄,微笑热情,耐心细致，不得与就餐人员发生争执</w:t>
            </w:r>
            <w:r>
              <w:rPr>
                <w:rFonts w:hint="eastAsia" w:ascii="宋体" w:hAnsi="宋体" w:eastAsia="宋体" w:cs="宋体"/>
                <w:color w:val="auto"/>
                <w:sz w:val="21"/>
                <w:szCs w:val="21"/>
                <w:highlight w:val="none"/>
                <w:lang w:eastAsia="zh-CN"/>
              </w:rPr>
              <w:t>。</w:t>
            </w:r>
          </w:p>
        </w:tc>
        <w:tc>
          <w:tcPr>
            <w:tcW w:w="864" w:type="dxa"/>
            <w:vMerge w:val="continue"/>
            <w:noWrap w:val="0"/>
            <w:vAlign w:val="center"/>
          </w:tcPr>
          <w:p w14:paraId="372CEE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5E903C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1D1F6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4DA385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0B3D85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7F9A48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所有人员必须持有效证件及健康证上岗</w:t>
            </w:r>
            <w:r>
              <w:rPr>
                <w:rFonts w:hint="eastAsia" w:ascii="宋体" w:hAnsi="宋体" w:eastAsia="宋体" w:cs="宋体"/>
                <w:color w:val="auto"/>
                <w:sz w:val="21"/>
                <w:szCs w:val="21"/>
                <w:highlight w:val="none"/>
                <w:lang w:eastAsia="zh-CN"/>
              </w:rPr>
              <w:t>。</w:t>
            </w:r>
          </w:p>
        </w:tc>
        <w:tc>
          <w:tcPr>
            <w:tcW w:w="864" w:type="dxa"/>
            <w:vMerge w:val="continue"/>
            <w:noWrap w:val="0"/>
            <w:vAlign w:val="center"/>
          </w:tcPr>
          <w:p w14:paraId="54A9E9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55B9B3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35CDD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restart"/>
            <w:noWrap w:val="0"/>
            <w:vAlign w:val="center"/>
          </w:tcPr>
          <w:p w14:paraId="05B50E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10" w:type="dxa"/>
            <w:vMerge w:val="restart"/>
            <w:noWrap w:val="0"/>
            <w:vAlign w:val="center"/>
          </w:tcPr>
          <w:p w14:paraId="3D62FA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服务质量管理</w:t>
            </w:r>
          </w:p>
        </w:tc>
        <w:tc>
          <w:tcPr>
            <w:tcW w:w="4683" w:type="dxa"/>
            <w:noWrap w:val="0"/>
            <w:vAlign w:val="center"/>
          </w:tcPr>
          <w:p w14:paraId="39242E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餐前按六常法服务标准做好准备工作</w:t>
            </w:r>
            <w:r>
              <w:rPr>
                <w:rFonts w:hint="eastAsia" w:ascii="宋体" w:hAnsi="宋体" w:eastAsia="宋体" w:cs="宋体"/>
                <w:color w:val="auto"/>
                <w:sz w:val="21"/>
                <w:szCs w:val="21"/>
                <w:highlight w:val="none"/>
                <w:lang w:eastAsia="zh-CN"/>
              </w:rPr>
              <w:t>。</w:t>
            </w:r>
          </w:p>
        </w:tc>
        <w:tc>
          <w:tcPr>
            <w:tcW w:w="864" w:type="dxa"/>
            <w:vMerge w:val="restart"/>
            <w:noWrap w:val="0"/>
            <w:vAlign w:val="center"/>
          </w:tcPr>
          <w:p w14:paraId="3C3AE1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1842" w:type="dxa"/>
            <w:noWrap w:val="0"/>
            <w:vAlign w:val="center"/>
          </w:tcPr>
          <w:p w14:paraId="052243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025FC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5E7A1F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4DC7A4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114EEF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开餐时及时清理售餐台、餐桌上的菜汤和残食，清理地面水渍、汤等污渍，不留积水与污渍保证售餐台和餐厅地面保持清洁</w:t>
            </w:r>
            <w:r>
              <w:rPr>
                <w:rFonts w:hint="eastAsia" w:ascii="宋体" w:hAnsi="宋体" w:eastAsia="宋体" w:cs="宋体"/>
                <w:color w:val="auto"/>
                <w:sz w:val="21"/>
                <w:szCs w:val="21"/>
                <w:highlight w:val="none"/>
                <w:lang w:eastAsia="zh-CN"/>
              </w:rPr>
              <w:t>。</w:t>
            </w:r>
          </w:p>
        </w:tc>
        <w:tc>
          <w:tcPr>
            <w:tcW w:w="864" w:type="dxa"/>
            <w:vMerge w:val="continue"/>
            <w:noWrap w:val="0"/>
            <w:vAlign w:val="center"/>
          </w:tcPr>
          <w:p w14:paraId="1CFC9C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69D6D3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24ED9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74B435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70A52A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1A9738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保证营业时间，保证饭菜供应，不得出现断供情况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w:t>
            </w:r>
            <w:r>
              <w:rPr>
                <w:rFonts w:hint="eastAsia" w:ascii="宋体" w:hAnsi="宋体" w:eastAsia="宋体" w:cs="宋体"/>
                <w:b w:val="0"/>
                <w:bCs w:val="0"/>
                <w:color w:val="auto"/>
                <w:sz w:val="21"/>
                <w:szCs w:val="21"/>
                <w:highlight w:val="none"/>
                <w:lang w:val="en-US" w:eastAsia="zh-CN"/>
              </w:rPr>
              <w:t>对员工用餐浪费现象进行监督记录。</w:t>
            </w:r>
          </w:p>
        </w:tc>
        <w:tc>
          <w:tcPr>
            <w:tcW w:w="864" w:type="dxa"/>
            <w:vMerge w:val="continue"/>
            <w:noWrap w:val="0"/>
            <w:vAlign w:val="center"/>
          </w:tcPr>
          <w:p w14:paraId="42BF52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0212C6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344C5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1BCC86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4EEC68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7748B9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开餐后按六常法服务标准做好整理工作</w:t>
            </w:r>
            <w:r>
              <w:rPr>
                <w:rFonts w:hint="eastAsia" w:ascii="宋体" w:hAnsi="宋体" w:eastAsia="宋体" w:cs="宋体"/>
                <w:color w:val="auto"/>
                <w:sz w:val="21"/>
                <w:szCs w:val="21"/>
                <w:highlight w:val="none"/>
                <w:lang w:eastAsia="zh-CN"/>
              </w:rPr>
              <w:t>。</w:t>
            </w:r>
          </w:p>
        </w:tc>
        <w:tc>
          <w:tcPr>
            <w:tcW w:w="864" w:type="dxa"/>
            <w:vMerge w:val="continue"/>
            <w:noWrap w:val="0"/>
            <w:vAlign w:val="center"/>
          </w:tcPr>
          <w:p w14:paraId="3E5E47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7D21BC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526DC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restart"/>
            <w:noWrap w:val="0"/>
            <w:vAlign w:val="center"/>
          </w:tcPr>
          <w:p w14:paraId="0DE9E7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10" w:type="dxa"/>
            <w:vMerge w:val="restart"/>
            <w:noWrap w:val="0"/>
            <w:vAlign w:val="center"/>
          </w:tcPr>
          <w:p w14:paraId="3D51E9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后厨操作管理</w:t>
            </w:r>
          </w:p>
        </w:tc>
        <w:tc>
          <w:tcPr>
            <w:tcW w:w="4683" w:type="dxa"/>
            <w:noWrap w:val="0"/>
            <w:vAlign w:val="center"/>
          </w:tcPr>
          <w:p w14:paraId="37DDB1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每周餐饮服务单位必须把下周食谱、投料计划报</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，经</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审核通过后，按食谱提供饭菜；如有调整，应事先征得</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同意，再进行调整</w:t>
            </w:r>
            <w:r>
              <w:rPr>
                <w:rFonts w:hint="eastAsia" w:ascii="宋体" w:hAnsi="宋体" w:eastAsia="宋体" w:cs="宋体"/>
                <w:color w:val="auto"/>
                <w:sz w:val="21"/>
                <w:szCs w:val="21"/>
                <w:highlight w:val="none"/>
                <w:lang w:eastAsia="zh-CN"/>
              </w:rPr>
              <w:t>。</w:t>
            </w:r>
          </w:p>
        </w:tc>
        <w:tc>
          <w:tcPr>
            <w:tcW w:w="864" w:type="dxa"/>
            <w:vMerge w:val="restart"/>
            <w:noWrap w:val="0"/>
            <w:vAlign w:val="center"/>
          </w:tcPr>
          <w:p w14:paraId="50C3F3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1842" w:type="dxa"/>
            <w:noWrap w:val="0"/>
            <w:vAlign w:val="center"/>
          </w:tcPr>
          <w:p w14:paraId="7590FC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36E62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7F2D3F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3ED8C4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204902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提前对每天就餐人数进行合理估算，做好供餐计划，不得断供或菜品缺少情况。</w:t>
            </w:r>
          </w:p>
        </w:tc>
        <w:tc>
          <w:tcPr>
            <w:tcW w:w="864" w:type="dxa"/>
            <w:vMerge w:val="continue"/>
            <w:noWrap w:val="0"/>
            <w:vAlign w:val="center"/>
          </w:tcPr>
          <w:p w14:paraId="515482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00A0E1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7869F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5840F2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473433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1E6187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按照标准提供饭菜，售价和份量，不得擅自变更，食品出品品质符合规定要求</w:t>
            </w:r>
            <w:r>
              <w:rPr>
                <w:rFonts w:hint="eastAsia" w:ascii="宋体" w:hAnsi="宋体" w:eastAsia="宋体" w:cs="宋体"/>
                <w:color w:val="auto"/>
                <w:sz w:val="21"/>
                <w:szCs w:val="21"/>
                <w:highlight w:val="none"/>
                <w:lang w:eastAsia="zh-CN"/>
              </w:rPr>
              <w:t>。</w:t>
            </w:r>
          </w:p>
        </w:tc>
        <w:tc>
          <w:tcPr>
            <w:tcW w:w="864" w:type="dxa"/>
            <w:vMerge w:val="continue"/>
            <w:noWrap w:val="0"/>
            <w:vAlign w:val="center"/>
          </w:tcPr>
          <w:p w14:paraId="3E1F71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5C6833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2D166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70BE51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1F22DC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7705A4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所有设备需按要求操作，保证设备正常运行保养维修记录完善，设备设施使用前培训，建立设备维修档案</w:t>
            </w:r>
            <w:r>
              <w:rPr>
                <w:rFonts w:hint="eastAsia" w:ascii="宋体" w:hAnsi="宋体" w:eastAsia="宋体" w:cs="宋体"/>
                <w:color w:val="auto"/>
                <w:sz w:val="21"/>
                <w:szCs w:val="21"/>
                <w:highlight w:val="none"/>
                <w:lang w:eastAsia="zh-CN"/>
              </w:rPr>
              <w:t>。</w:t>
            </w:r>
          </w:p>
        </w:tc>
        <w:tc>
          <w:tcPr>
            <w:tcW w:w="864" w:type="dxa"/>
            <w:vMerge w:val="continue"/>
            <w:noWrap w:val="0"/>
            <w:vAlign w:val="center"/>
          </w:tcPr>
          <w:p w14:paraId="402C82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30CBA3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1E9F8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44EE89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56947C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0AF9E0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验收时做到专人验收，不得营私舞弊</w:t>
            </w:r>
            <w:r>
              <w:rPr>
                <w:rFonts w:hint="eastAsia" w:ascii="宋体" w:hAnsi="宋体" w:eastAsia="宋体" w:cs="宋体"/>
                <w:color w:val="auto"/>
                <w:sz w:val="21"/>
                <w:szCs w:val="21"/>
                <w:highlight w:val="none"/>
                <w:lang w:eastAsia="zh-CN"/>
              </w:rPr>
              <w:t>。</w:t>
            </w:r>
          </w:p>
        </w:tc>
        <w:tc>
          <w:tcPr>
            <w:tcW w:w="864" w:type="dxa"/>
            <w:vMerge w:val="continue"/>
            <w:noWrap w:val="0"/>
            <w:vAlign w:val="center"/>
          </w:tcPr>
          <w:p w14:paraId="7DE179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27702D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7D9F1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3F68E3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082AE3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7CDFE2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泔水、垃圾等废弃物当餐必须清除，废弃物存放在垃圾通道指定位置并盖好，不得有不良气味或有害（有毒）气体溢出，采取应急措施并立即上报</w:t>
            </w:r>
            <w:r>
              <w:rPr>
                <w:rFonts w:hint="eastAsia" w:ascii="宋体" w:hAnsi="宋体" w:eastAsia="宋体" w:cs="宋体"/>
                <w:color w:val="auto"/>
                <w:sz w:val="21"/>
                <w:szCs w:val="21"/>
                <w:highlight w:val="none"/>
                <w:lang w:eastAsia="zh-CN"/>
              </w:rPr>
              <w:t>。</w:t>
            </w:r>
          </w:p>
        </w:tc>
        <w:tc>
          <w:tcPr>
            <w:tcW w:w="864" w:type="dxa"/>
            <w:vMerge w:val="continue"/>
            <w:noWrap w:val="0"/>
            <w:vAlign w:val="center"/>
          </w:tcPr>
          <w:p w14:paraId="779417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0BC399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5101E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458FCA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5DB887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62FE22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仓库按六常法服务标准摆放整齐，调物料分开，存储量符合库房管理要求</w:t>
            </w:r>
            <w:r>
              <w:rPr>
                <w:rFonts w:hint="eastAsia" w:ascii="宋体" w:hAnsi="宋体" w:eastAsia="宋体" w:cs="宋体"/>
                <w:color w:val="auto"/>
                <w:sz w:val="21"/>
                <w:szCs w:val="21"/>
                <w:highlight w:val="none"/>
                <w:lang w:eastAsia="zh-CN"/>
              </w:rPr>
              <w:t>。</w:t>
            </w:r>
          </w:p>
        </w:tc>
        <w:tc>
          <w:tcPr>
            <w:tcW w:w="864" w:type="dxa"/>
            <w:vMerge w:val="continue"/>
            <w:noWrap w:val="0"/>
            <w:vAlign w:val="center"/>
          </w:tcPr>
          <w:p w14:paraId="4E8655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4CE26C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73A41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27449C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6D1D99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2340C0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按六常法服务标准做好所有用具复位工作</w:t>
            </w:r>
            <w:r>
              <w:rPr>
                <w:rFonts w:hint="eastAsia" w:ascii="宋体" w:hAnsi="宋体" w:eastAsia="宋体" w:cs="宋体"/>
                <w:color w:val="auto"/>
                <w:sz w:val="21"/>
                <w:szCs w:val="21"/>
                <w:highlight w:val="none"/>
                <w:lang w:eastAsia="zh-CN"/>
              </w:rPr>
              <w:t>。</w:t>
            </w:r>
          </w:p>
        </w:tc>
        <w:tc>
          <w:tcPr>
            <w:tcW w:w="864" w:type="dxa"/>
            <w:vMerge w:val="continue"/>
            <w:noWrap w:val="0"/>
            <w:vAlign w:val="center"/>
          </w:tcPr>
          <w:p w14:paraId="603F19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6DC661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6E45B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restart"/>
            <w:noWrap w:val="0"/>
            <w:vAlign w:val="center"/>
          </w:tcPr>
          <w:p w14:paraId="5073A8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10" w:type="dxa"/>
            <w:vMerge w:val="restart"/>
            <w:noWrap w:val="0"/>
            <w:vAlign w:val="center"/>
          </w:tcPr>
          <w:p w14:paraId="11BA5D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安全、卫生管理</w:t>
            </w:r>
          </w:p>
        </w:tc>
        <w:tc>
          <w:tcPr>
            <w:tcW w:w="4683" w:type="dxa"/>
            <w:noWrap w:val="0"/>
            <w:vAlign w:val="center"/>
          </w:tcPr>
          <w:p w14:paraId="719544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操作工作区、加工区严禁非工作人员进入</w:t>
            </w:r>
            <w:r>
              <w:rPr>
                <w:rFonts w:hint="eastAsia" w:ascii="宋体" w:hAnsi="宋体" w:eastAsia="宋体" w:cs="宋体"/>
                <w:color w:val="auto"/>
                <w:sz w:val="21"/>
                <w:szCs w:val="21"/>
                <w:highlight w:val="none"/>
                <w:lang w:eastAsia="zh-CN"/>
              </w:rPr>
              <w:t>。</w:t>
            </w:r>
          </w:p>
        </w:tc>
        <w:tc>
          <w:tcPr>
            <w:tcW w:w="864" w:type="dxa"/>
            <w:vMerge w:val="restart"/>
            <w:noWrap w:val="0"/>
            <w:vAlign w:val="center"/>
          </w:tcPr>
          <w:p w14:paraId="1E453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1842" w:type="dxa"/>
            <w:noWrap w:val="0"/>
            <w:vAlign w:val="center"/>
          </w:tcPr>
          <w:p w14:paraId="076243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5808A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7F821B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013B98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43717A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按六常法服务标准做到：生熟炊具应分开存放、分开使用；待加工食品与直接入口食品、原料与成品应分开放置，离地隔墙</w:t>
            </w:r>
            <w:r>
              <w:rPr>
                <w:rFonts w:hint="eastAsia" w:ascii="宋体" w:hAnsi="宋体" w:eastAsia="宋体" w:cs="宋体"/>
                <w:color w:val="auto"/>
                <w:sz w:val="21"/>
                <w:szCs w:val="21"/>
                <w:highlight w:val="none"/>
                <w:lang w:eastAsia="zh-CN"/>
              </w:rPr>
              <w:t>。</w:t>
            </w:r>
          </w:p>
        </w:tc>
        <w:tc>
          <w:tcPr>
            <w:tcW w:w="864" w:type="dxa"/>
            <w:vMerge w:val="continue"/>
            <w:noWrap w:val="0"/>
            <w:vAlign w:val="center"/>
          </w:tcPr>
          <w:p w14:paraId="1BD5E0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613467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40D94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5F7BE6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008F15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788631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所有餐具（调羹、味碟、盘子、饭碗）干净无水渍、无异物，每日消毒工作规范，消毒记录完整</w:t>
            </w:r>
            <w:r>
              <w:rPr>
                <w:rFonts w:hint="eastAsia" w:ascii="宋体" w:hAnsi="宋体" w:eastAsia="宋体" w:cs="宋体"/>
                <w:color w:val="auto"/>
                <w:sz w:val="21"/>
                <w:szCs w:val="21"/>
                <w:highlight w:val="none"/>
                <w:lang w:eastAsia="zh-CN"/>
              </w:rPr>
              <w:t>。</w:t>
            </w:r>
          </w:p>
        </w:tc>
        <w:tc>
          <w:tcPr>
            <w:tcW w:w="864" w:type="dxa"/>
            <w:vMerge w:val="continue"/>
            <w:noWrap w:val="0"/>
            <w:vAlign w:val="center"/>
          </w:tcPr>
          <w:p w14:paraId="4AF258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75A511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7F962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444F00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2875F9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7B1DA3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区域范围内无鼠、无虫，消杀记录完整</w:t>
            </w:r>
            <w:r>
              <w:rPr>
                <w:rFonts w:hint="eastAsia" w:ascii="宋体" w:hAnsi="宋体" w:eastAsia="宋体" w:cs="宋体"/>
                <w:color w:val="auto"/>
                <w:sz w:val="21"/>
                <w:szCs w:val="21"/>
                <w:highlight w:val="none"/>
                <w:lang w:eastAsia="zh-CN"/>
              </w:rPr>
              <w:t>。</w:t>
            </w:r>
          </w:p>
        </w:tc>
        <w:tc>
          <w:tcPr>
            <w:tcW w:w="864" w:type="dxa"/>
            <w:vMerge w:val="continue"/>
            <w:noWrap w:val="0"/>
            <w:vAlign w:val="center"/>
          </w:tcPr>
          <w:p w14:paraId="65C322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24DF03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45212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096062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6976FC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6C3457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食堂工作人员有发热、腹泻、皮肤伤口或感染、咽部炎症等有碍食品卫生病症的，应立即调离工作岗位</w:t>
            </w:r>
            <w:r>
              <w:rPr>
                <w:rFonts w:hint="eastAsia" w:ascii="宋体" w:hAnsi="宋体" w:eastAsia="宋体" w:cs="宋体"/>
                <w:color w:val="auto"/>
                <w:sz w:val="21"/>
                <w:szCs w:val="21"/>
                <w:highlight w:val="none"/>
                <w:lang w:eastAsia="zh-CN"/>
              </w:rPr>
              <w:t>。</w:t>
            </w:r>
          </w:p>
        </w:tc>
        <w:tc>
          <w:tcPr>
            <w:tcW w:w="864" w:type="dxa"/>
            <w:vMerge w:val="continue"/>
            <w:noWrap w:val="0"/>
            <w:vAlign w:val="center"/>
          </w:tcPr>
          <w:p w14:paraId="6EDF51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7A888F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3EFE5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15F27D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65CD57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4ECF2D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食品加工安全，留样齐全，记录完整，无中毒事件发生，无三无产品和过期食品</w:t>
            </w:r>
            <w:r>
              <w:rPr>
                <w:rFonts w:hint="eastAsia" w:ascii="宋体" w:hAnsi="宋体" w:eastAsia="宋体" w:cs="宋体"/>
                <w:color w:val="auto"/>
                <w:sz w:val="21"/>
                <w:szCs w:val="21"/>
                <w:highlight w:val="none"/>
                <w:lang w:eastAsia="zh-CN"/>
              </w:rPr>
              <w:t>。</w:t>
            </w:r>
          </w:p>
        </w:tc>
        <w:tc>
          <w:tcPr>
            <w:tcW w:w="864" w:type="dxa"/>
            <w:vMerge w:val="continue"/>
            <w:noWrap w:val="0"/>
            <w:vAlign w:val="center"/>
          </w:tcPr>
          <w:p w14:paraId="50F88A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7E820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78CA5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285A24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0D46D2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07984A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定期做好消防培训</w:t>
            </w:r>
            <w:r>
              <w:rPr>
                <w:rFonts w:hint="eastAsia" w:ascii="宋体" w:hAnsi="宋体" w:eastAsia="宋体" w:cs="宋体"/>
                <w:color w:val="auto"/>
                <w:sz w:val="21"/>
                <w:szCs w:val="21"/>
                <w:highlight w:val="none"/>
                <w:lang w:eastAsia="zh-CN"/>
              </w:rPr>
              <w:t>。</w:t>
            </w:r>
          </w:p>
        </w:tc>
        <w:tc>
          <w:tcPr>
            <w:tcW w:w="864" w:type="dxa"/>
            <w:vMerge w:val="continue"/>
            <w:noWrap w:val="0"/>
            <w:vAlign w:val="center"/>
          </w:tcPr>
          <w:p w14:paraId="2D514E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18CABE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0FFC2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restart"/>
            <w:noWrap w:val="0"/>
            <w:vAlign w:val="center"/>
          </w:tcPr>
          <w:p w14:paraId="2A7CD3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10" w:type="dxa"/>
            <w:vMerge w:val="restart"/>
            <w:noWrap w:val="0"/>
            <w:vAlign w:val="center"/>
          </w:tcPr>
          <w:p w14:paraId="57AA69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节能管理</w:t>
            </w:r>
          </w:p>
        </w:tc>
        <w:tc>
          <w:tcPr>
            <w:tcW w:w="4683" w:type="dxa"/>
            <w:vMerge w:val="restart"/>
            <w:noWrap w:val="0"/>
            <w:vAlign w:val="center"/>
          </w:tcPr>
          <w:p w14:paraId="1D8FDF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水、电、蒸汽、燃气等按规定开启关闭。</w:t>
            </w:r>
          </w:p>
        </w:tc>
        <w:tc>
          <w:tcPr>
            <w:tcW w:w="864" w:type="dxa"/>
            <w:vMerge w:val="restart"/>
            <w:noWrap w:val="0"/>
            <w:vAlign w:val="center"/>
          </w:tcPr>
          <w:p w14:paraId="4473A7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1842" w:type="dxa"/>
            <w:noWrap w:val="0"/>
            <w:vAlign w:val="bottom"/>
          </w:tcPr>
          <w:p w14:paraId="3430A8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23FEA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239A8B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0696D3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vMerge w:val="continue"/>
            <w:noWrap w:val="0"/>
            <w:vAlign w:val="center"/>
          </w:tcPr>
          <w:p w14:paraId="72E189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p>
        </w:tc>
        <w:tc>
          <w:tcPr>
            <w:tcW w:w="864" w:type="dxa"/>
            <w:vMerge w:val="continue"/>
            <w:noWrap w:val="0"/>
            <w:vAlign w:val="center"/>
          </w:tcPr>
          <w:p w14:paraId="59160E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bottom"/>
          </w:tcPr>
          <w:p w14:paraId="0C85BD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p>
        </w:tc>
      </w:tr>
      <w:tr w14:paraId="279EA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44798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07C8C8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6DFF52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按六常法服务标准做好节能管理工作</w:t>
            </w:r>
            <w:r>
              <w:rPr>
                <w:rFonts w:hint="eastAsia" w:ascii="宋体" w:hAnsi="宋体" w:eastAsia="宋体" w:cs="宋体"/>
                <w:color w:val="auto"/>
                <w:sz w:val="21"/>
                <w:szCs w:val="21"/>
                <w:highlight w:val="none"/>
                <w:lang w:eastAsia="zh-CN"/>
              </w:rPr>
              <w:t>。</w:t>
            </w:r>
          </w:p>
        </w:tc>
        <w:tc>
          <w:tcPr>
            <w:tcW w:w="864" w:type="dxa"/>
            <w:vMerge w:val="continue"/>
            <w:noWrap w:val="0"/>
            <w:vAlign w:val="center"/>
          </w:tcPr>
          <w:p w14:paraId="0CA5D9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05027F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4881F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restart"/>
            <w:noWrap w:val="0"/>
            <w:vAlign w:val="center"/>
          </w:tcPr>
          <w:p w14:paraId="7629BF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10" w:type="dxa"/>
            <w:vMerge w:val="restart"/>
            <w:noWrap w:val="0"/>
            <w:vAlign w:val="center"/>
          </w:tcPr>
          <w:p w14:paraId="7C42DB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部门管理</w:t>
            </w:r>
          </w:p>
        </w:tc>
        <w:tc>
          <w:tcPr>
            <w:tcW w:w="4683" w:type="dxa"/>
            <w:noWrap w:val="0"/>
            <w:vAlign w:val="center"/>
          </w:tcPr>
          <w:p w14:paraId="329961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分工合理，责任明确，组织到位，责任到人</w:t>
            </w:r>
            <w:r>
              <w:rPr>
                <w:rFonts w:hint="eastAsia" w:ascii="宋体" w:hAnsi="宋体" w:eastAsia="宋体" w:cs="宋体"/>
                <w:color w:val="auto"/>
                <w:sz w:val="21"/>
                <w:szCs w:val="21"/>
                <w:highlight w:val="none"/>
                <w:lang w:eastAsia="zh-CN"/>
              </w:rPr>
              <w:t>。</w:t>
            </w:r>
          </w:p>
        </w:tc>
        <w:tc>
          <w:tcPr>
            <w:tcW w:w="864" w:type="dxa"/>
            <w:vMerge w:val="restart"/>
            <w:noWrap w:val="0"/>
            <w:vAlign w:val="center"/>
          </w:tcPr>
          <w:p w14:paraId="494B33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1842" w:type="dxa"/>
            <w:noWrap w:val="0"/>
            <w:vAlign w:val="center"/>
          </w:tcPr>
          <w:p w14:paraId="0862C0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59F08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321BF2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6AB15B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573E1E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易耗品损耗及餐具报损合理控制</w:t>
            </w:r>
            <w:r>
              <w:rPr>
                <w:rFonts w:hint="eastAsia" w:ascii="宋体" w:hAnsi="宋体" w:eastAsia="宋体" w:cs="宋体"/>
                <w:color w:val="auto"/>
                <w:sz w:val="21"/>
                <w:szCs w:val="21"/>
                <w:highlight w:val="none"/>
                <w:lang w:eastAsia="zh-CN"/>
              </w:rPr>
              <w:t>。</w:t>
            </w:r>
          </w:p>
        </w:tc>
        <w:tc>
          <w:tcPr>
            <w:tcW w:w="864" w:type="dxa"/>
            <w:vMerge w:val="continue"/>
            <w:noWrap w:val="0"/>
            <w:vAlign w:val="center"/>
          </w:tcPr>
          <w:p w14:paraId="6EDFD7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6AA48A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40E39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3AD8F4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183173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0BE720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工作计划、培训计划、人员岗位安排表、时段分工安排表、考勤表等</w:t>
            </w:r>
            <w:r>
              <w:rPr>
                <w:rFonts w:hint="eastAsia" w:ascii="宋体" w:hAnsi="宋体" w:eastAsia="宋体" w:cs="宋体"/>
                <w:color w:val="auto"/>
                <w:sz w:val="21"/>
                <w:szCs w:val="21"/>
                <w:highlight w:val="none"/>
                <w:lang w:eastAsia="zh-CN"/>
              </w:rPr>
              <w:t>。</w:t>
            </w:r>
          </w:p>
        </w:tc>
        <w:tc>
          <w:tcPr>
            <w:tcW w:w="864" w:type="dxa"/>
            <w:vMerge w:val="continue"/>
            <w:noWrap w:val="0"/>
            <w:vAlign w:val="center"/>
          </w:tcPr>
          <w:p w14:paraId="20126A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504B0E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每少1样扣1分</w:t>
            </w:r>
          </w:p>
        </w:tc>
      </w:tr>
      <w:tr w14:paraId="57506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vMerge w:val="continue"/>
            <w:noWrap w:val="0"/>
            <w:vAlign w:val="center"/>
          </w:tcPr>
          <w:p w14:paraId="530E6C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110" w:type="dxa"/>
            <w:vMerge w:val="continue"/>
            <w:noWrap w:val="0"/>
            <w:vAlign w:val="center"/>
          </w:tcPr>
          <w:p w14:paraId="043431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4683" w:type="dxa"/>
            <w:noWrap w:val="0"/>
            <w:vAlign w:val="center"/>
          </w:tcPr>
          <w:p w14:paraId="318A60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对监管部门的工作安排及时贯彻落实</w:t>
            </w:r>
            <w:r>
              <w:rPr>
                <w:rFonts w:hint="eastAsia" w:ascii="宋体" w:hAnsi="宋体" w:eastAsia="宋体" w:cs="宋体"/>
                <w:color w:val="auto"/>
                <w:sz w:val="21"/>
                <w:szCs w:val="21"/>
                <w:highlight w:val="none"/>
                <w:lang w:eastAsia="zh-CN"/>
              </w:rPr>
              <w:t>。</w:t>
            </w:r>
          </w:p>
        </w:tc>
        <w:tc>
          <w:tcPr>
            <w:tcW w:w="864" w:type="dxa"/>
            <w:vMerge w:val="continue"/>
            <w:noWrap w:val="0"/>
            <w:vAlign w:val="center"/>
          </w:tcPr>
          <w:p w14:paraId="0F6D0D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p>
        </w:tc>
        <w:tc>
          <w:tcPr>
            <w:tcW w:w="1842" w:type="dxa"/>
            <w:noWrap w:val="0"/>
            <w:vAlign w:val="center"/>
          </w:tcPr>
          <w:p w14:paraId="3E503D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r>
      <w:tr w14:paraId="3E531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6" w:type="dxa"/>
            <w:tcBorders>
              <w:right w:val="single" w:color="auto" w:sz="4" w:space="0"/>
            </w:tcBorders>
            <w:noWrap w:val="0"/>
            <w:vAlign w:val="center"/>
          </w:tcPr>
          <w:p w14:paraId="697AD8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110" w:type="dxa"/>
            <w:tcBorders>
              <w:left w:val="single" w:color="auto" w:sz="4" w:space="0"/>
              <w:right w:val="single" w:color="auto" w:sz="4" w:space="0"/>
            </w:tcBorders>
            <w:noWrap w:val="0"/>
            <w:vAlign w:val="center"/>
          </w:tcPr>
          <w:p w14:paraId="2F96D0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加分项</w:t>
            </w:r>
          </w:p>
        </w:tc>
        <w:tc>
          <w:tcPr>
            <w:tcW w:w="5547" w:type="dxa"/>
            <w:gridSpan w:val="2"/>
            <w:tcBorders>
              <w:left w:val="single" w:color="auto" w:sz="4" w:space="0"/>
              <w:right w:val="single" w:color="auto" w:sz="4" w:space="0"/>
            </w:tcBorders>
            <w:noWrap w:val="0"/>
            <w:vAlign w:val="bottom"/>
          </w:tcPr>
          <w:p w14:paraId="153847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供应商服务管理到位，节支工作出色，在采购方每人次餐标预算范围内有节余，职工综合满意度70%以上的每节余1000元加0.6分，在80%以上的每节余1000元加1分。</w:t>
            </w:r>
          </w:p>
        </w:tc>
        <w:tc>
          <w:tcPr>
            <w:tcW w:w="1842" w:type="dxa"/>
            <w:tcBorders>
              <w:left w:val="single" w:color="auto" w:sz="4" w:space="0"/>
            </w:tcBorders>
            <w:noWrap w:val="0"/>
            <w:vAlign w:val="bottom"/>
          </w:tcPr>
          <w:p w14:paraId="26867E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FF0000"/>
                <w:sz w:val="21"/>
                <w:szCs w:val="21"/>
                <w:highlight w:val="none"/>
                <w:lang w:val="en-US" w:eastAsia="zh-CN"/>
              </w:rPr>
            </w:pPr>
          </w:p>
        </w:tc>
      </w:tr>
      <w:tr w14:paraId="0690F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349" w:type="dxa"/>
            <w:gridSpan w:val="3"/>
            <w:noWrap w:val="0"/>
            <w:vAlign w:val="bottom"/>
          </w:tcPr>
          <w:p w14:paraId="69865E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864" w:type="dxa"/>
            <w:noWrap w:val="0"/>
            <w:vAlign w:val="center"/>
          </w:tcPr>
          <w:p w14:paraId="5A3126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100分</w:t>
            </w:r>
          </w:p>
        </w:tc>
        <w:tc>
          <w:tcPr>
            <w:tcW w:w="1842" w:type="dxa"/>
            <w:noWrap w:val="0"/>
            <w:vAlign w:val="center"/>
          </w:tcPr>
          <w:p w14:paraId="1ACE70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bl>
    <w:p w14:paraId="36E1E47F">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auto"/>
        <w:outlineLvl w:val="9"/>
        <w:rPr>
          <w:rFonts w:hint="eastAsia" w:hAnsi="宋体" w:eastAsia="宋体" w:cs="宋体"/>
          <w:i/>
          <w:szCs w:val="28"/>
          <w:u w:val="singl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可根据项目考核情况及时修改完善餐饮监管考核细则。</w:t>
      </w:r>
      <w:r>
        <w:rPr>
          <w:rFonts w:hint="eastAsia" w:ascii="宋体" w:hAnsi="宋体" w:eastAsia="宋体" w:cs="宋体"/>
          <w:color w:val="auto"/>
          <w:sz w:val="21"/>
          <w:szCs w:val="21"/>
          <w:highlight w:val="none"/>
          <w:lang w:val="en-US" w:eastAsia="zh-CN"/>
        </w:rPr>
        <w:t>（2）每人次标餐预算</w:t>
      </w:r>
      <w:r>
        <w:rPr>
          <w:rFonts w:hint="eastAsia"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元，</w:t>
      </w:r>
      <w:r>
        <w:rPr>
          <w:rFonts w:hint="eastAsia" w:hAnsi="宋体" w:eastAsia="宋体" w:cs="宋体"/>
          <w:color w:val="auto"/>
          <w:sz w:val="21"/>
          <w:szCs w:val="21"/>
          <w:highlight w:val="none"/>
          <w:lang w:val="en-US" w:eastAsia="zh-CN"/>
        </w:rPr>
        <w:t>包括</w:t>
      </w:r>
      <w:r>
        <w:rPr>
          <w:rFonts w:hint="eastAsia" w:ascii="宋体" w:hAnsi="宋体" w:eastAsia="宋体" w:cs="宋体"/>
          <w:color w:val="auto"/>
          <w:sz w:val="21"/>
          <w:szCs w:val="21"/>
          <w:highlight w:val="none"/>
          <w:lang w:val="en-US" w:eastAsia="zh-CN"/>
        </w:rPr>
        <w:t>食材及油盐米醋等辅料，市场价格大幅波动招标人另行调整。</w:t>
      </w:r>
    </w:p>
    <w:p w14:paraId="2E909A81">
      <w:pPr>
        <w:pStyle w:val="2"/>
        <w:rPr>
          <w:rFonts w:hint="eastAsia"/>
          <w:lang w:eastAsia="zh-CN"/>
        </w:rPr>
      </w:pPr>
    </w:p>
    <w:p w14:paraId="17323A98">
      <w:pPr>
        <w:numPr>
          <w:ilvl w:val="0"/>
          <w:numId w:val="0"/>
        </w:numPr>
        <w:spacing w:line="360" w:lineRule="auto"/>
        <w:ind w:firstLine="422" w:firstLineChars="200"/>
        <w:jc w:val="left"/>
        <w:rPr>
          <w:rFonts w:hint="eastAsia" w:ascii="宋体" w:hAnsi="宋体" w:cs="宋体"/>
          <w:b/>
          <w:szCs w:val="21"/>
        </w:rPr>
      </w:pPr>
      <w:r>
        <w:rPr>
          <w:rFonts w:hint="eastAsia" w:ascii="宋体" w:hAnsi="宋体" w:cs="宋体"/>
          <w:b/>
          <w:kern w:val="2"/>
          <w:sz w:val="21"/>
          <w:szCs w:val="21"/>
          <w:lang w:val="en-US" w:eastAsia="zh-CN" w:bidi="ar-SA"/>
        </w:rPr>
        <w:t>六</w:t>
      </w:r>
      <w:r>
        <w:rPr>
          <w:rFonts w:hint="eastAsia" w:ascii="宋体" w:hAnsi="宋体" w:eastAsia="宋体" w:cs="宋体"/>
          <w:b/>
          <w:kern w:val="2"/>
          <w:sz w:val="21"/>
          <w:szCs w:val="21"/>
          <w:lang w:val="en-US" w:eastAsia="zh-CN" w:bidi="ar-SA"/>
        </w:rPr>
        <w:t>、</w:t>
      </w:r>
      <w:r>
        <w:rPr>
          <w:rFonts w:hint="eastAsia" w:ascii="宋体" w:hAnsi="宋体" w:eastAsia="宋体" w:cs="宋体"/>
          <w:color w:val="000000"/>
          <w:kern w:val="0"/>
          <w:sz w:val="21"/>
          <w:szCs w:val="21"/>
          <w:lang w:val="en-US" w:eastAsia="zh-CN" w:bidi="ar"/>
        </w:rPr>
        <w:t xml:space="preserve"> </w:t>
      </w:r>
      <w:r>
        <w:rPr>
          <w:rFonts w:hint="eastAsia" w:ascii="宋体" w:hAnsi="宋体" w:cs="宋体"/>
          <w:b/>
          <w:szCs w:val="21"/>
        </w:rPr>
        <w:t>注意事项</w:t>
      </w:r>
    </w:p>
    <w:p w14:paraId="7FC9BC91">
      <w:pPr>
        <w:numPr>
          <w:ilvl w:val="0"/>
          <w:numId w:val="5"/>
        </w:numPr>
        <w:spacing w:line="360" w:lineRule="auto"/>
        <w:ind w:left="-210" w:leftChars="0" w:firstLine="420" w:firstLineChars="0"/>
        <w:jc w:val="left"/>
        <w:rPr>
          <w:rFonts w:hint="eastAsia" w:ascii="宋体" w:hAnsi="宋体"/>
          <w:szCs w:val="21"/>
        </w:rPr>
      </w:pPr>
      <w:r>
        <w:rPr>
          <w:rFonts w:hint="eastAsia" w:ascii="宋体" w:hAnsi="宋体" w:cs="宋体"/>
          <w:color w:val="auto"/>
          <w:szCs w:val="21"/>
          <w:highlight w:val="none"/>
        </w:rPr>
        <w:t>中标人</w:t>
      </w:r>
      <w:r>
        <w:rPr>
          <w:rFonts w:hint="eastAsia" w:ascii="宋体" w:hAnsi="宋体"/>
          <w:szCs w:val="21"/>
        </w:rPr>
        <w:t>不得损坏甲方的财物，损坏由</w:t>
      </w:r>
      <w:r>
        <w:rPr>
          <w:rFonts w:hint="eastAsia" w:ascii="宋体" w:hAnsi="宋体" w:cs="宋体"/>
          <w:color w:val="auto"/>
          <w:szCs w:val="21"/>
          <w:highlight w:val="none"/>
        </w:rPr>
        <w:t>中标人</w:t>
      </w:r>
      <w:r>
        <w:rPr>
          <w:rFonts w:hint="eastAsia" w:ascii="宋体" w:hAnsi="宋体"/>
          <w:szCs w:val="21"/>
        </w:rPr>
        <w:t>照价赔偿。</w:t>
      </w:r>
    </w:p>
    <w:p w14:paraId="3DCEDDAD">
      <w:pPr>
        <w:numPr>
          <w:ilvl w:val="0"/>
          <w:numId w:val="5"/>
        </w:numPr>
        <w:spacing w:line="360" w:lineRule="auto"/>
        <w:ind w:left="-210" w:leftChars="0" w:firstLine="420" w:firstLineChars="0"/>
        <w:jc w:val="left"/>
        <w:rPr>
          <w:rFonts w:hint="eastAsia" w:ascii="宋体" w:hAnsi="宋体"/>
          <w:szCs w:val="21"/>
        </w:rPr>
      </w:pPr>
      <w:r>
        <w:rPr>
          <w:rFonts w:hint="eastAsia" w:ascii="宋体" w:hAnsi="宋体"/>
          <w:szCs w:val="21"/>
        </w:rPr>
        <w:t>承包期满后：</w:t>
      </w:r>
      <w:r>
        <w:rPr>
          <w:rFonts w:hint="eastAsia" w:ascii="宋体" w:hAnsi="宋体" w:cs="宋体"/>
          <w:color w:val="auto"/>
          <w:szCs w:val="21"/>
          <w:highlight w:val="none"/>
        </w:rPr>
        <w:t>中标人</w:t>
      </w:r>
      <w:r>
        <w:rPr>
          <w:rFonts w:hint="eastAsia" w:ascii="宋体" w:hAnsi="宋体"/>
          <w:szCs w:val="21"/>
        </w:rPr>
        <w:t>将上一年遗留下来的食堂必备用具如快餐盘、碗盘等（说明：有些不是医院要求</w:t>
      </w:r>
      <w:r>
        <w:rPr>
          <w:rFonts w:hint="eastAsia" w:ascii="宋体" w:hAnsi="宋体" w:cs="宋体"/>
          <w:color w:val="auto"/>
          <w:szCs w:val="21"/>
          <w:highlight w:val="none"/>
        </w:rPr>
        <w:t>中标人</w:t>
      </w:r>
      <w:r>
        <w:rPr>
          <w:rFonts w:hint="eastAsia" w:ascii="宋体" w:hAnsi="宋体"/>
          <w:szCs w:val="21"/>
        </w:rPr>
        <w:t>购买的货物，若下一年承包者不接收上一年的承包者的货物，则上一年承包者不能强加于下一年承包者，也不能强加于医院，应由承包者双方协商解决，与</w:t>
      </w:r>
      <w:r>
        <w:rPr>
          <w:rFonts w:hint="eastAsia" w:ascii="宋体" w:hAnsi="宋体"/>
          <w:szCs w:val="21"/>
          <w:lang w:eastAsia="zh-CN"/>
        </w:rPr>
        <w:t>采购人</w:t>
      </w:r>
      <w:r>
        <w:rPr>
          <w:rFonts w:hint="eastAsia" w:ascii="宋体" w:hAnsi="宋体"/>
          <w:szCs w:val="21"/>
        </w:rPr>
        <w:t>无关）。医院固定资产（根据承包前提供的清单）维修完好移交给</w:t>
      </w:r>
      <w:r>
        <w:rPr>
          <w:rFonts w:hint="eastAsia" w:ascii="宋体" w:hAnsi="宋体"/>
          <w:szCs w:val="21"/>
          <w:lang w:eastAsia="zh-CN"/>
        </w:rPr>
        <w:t>采购人</w:t>
      </w:r>
      <w:r>
        <w:rPr>
          <w:rFonts w:hint="eastAsia" w:ascii="宋体" w:hAnsi="宋体"/>
          <w:szCs w:val="21"/>
        </w:rPr>
        <w:t>，损坏无法维修的按价赔偿。其余财产自行处理</w:t>
      </w:r>
    </w:p>
    <w:p w14:paraId="271C2B3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bookmarkStart w:id="16" w:name="其它事项"/>
      <w:r>
        <w:rPr>
          <w:rFonts w:hint="eastAsia" w:ascii="宋体" w:hAnsi="宋体" w:cs="宋体"/>
          <w:color w:val="auto"/>
          <w:szCs w:val="21"/>
          <w:highlight w:val="none"/>
        </w:rPr>
        <w:t>中标人不得将项目非法分包或整体转包给任何单位和个人。否则，采购人有权即刻终止合同，并要求中标人按合同约定赔偿相应损失。</w:t>
      </w:r>
    </w:p>
    <w:bookmarkEnd w:id="16"/>
    <w:p w14:paraId="5786375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、供应商若认为采购文件的技术要求或其他要求有倾向性或不公正性，可在招标答疑阶段提出，以维护招标行为的公平、公正。</w:t>
      </w:r>
    </w:p>
    <w:p w14:paraId="4335E55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、供应商使用的标准必须是国际公认或国家、或地方政府颁布的同等或更高的标准，如供应商使用的标准低于上述标准,评标委员会将有权不予接受，供应商必须列表将明显的差异详细说明。</w:t>
      </w:r>
    </w:p>
    <w:p w14:paraId="30A9B97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bCs/>
          <w:color w:val="auto"/>
          <w:szCs w:val="21"/>
          <w:highlight w:val="none"/>
        </w:rPr>
        <w:t>如供应商提交伪造资质证书、合同文件，一经发现按有关规定进行处罚,没收投标保证金、通报批评，并在宁波市政府采购网上公布</w:t>
      </w:r>
      <w:r>
        <w:rPr>
          <w:rFonts w:hint="eastAsia" w:ascii="宋体" w:hAnsi="宋体" w:cs="宋体"/>
          <w:color w:val="auto"/>
          <w:szCs w:val="21"/>
          <w:highlight w:val="none"/>
        </w:rPr>
        <w:t>。</w:t>
      </w:r>
    </w:p>
    <w:p w14:paraId="55889A2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、违反招标文件规定及在投标过程中违法违纪，或以任何形式采取不正当竞争手段的，一经查实，由招标单位按规定给予处罚，取消本次投标资格，已经中标的终止委托管理合同，一切后果由责任者自负。</w:t>
      </w:r>
    </w:p>
    <w:p w14:paraId="37ACCDDF">
      <w:pPr>
        <w:autoSpaceDE w:val="0"/>
        <w:autoSpaceDN w:val="0"/>
        <w:adjustRightInd w:val="0"/>
        <w:spacing w:before="10" w:line="360" w:lineRule="auto"/>
        <w:ind w:left="25" w:right="60" w:firstLine="420" w:firstLineChars="200"/>
        <w:jc w:val="left"/>
        <w:rPr>
          <w:rFonts w:ascii="宋体" w:hAnsi="宋体" w:cs="宋体"/>
          <w:color w:val="auto"/>
          <w:kern w:val="0"/>
          <w:highlight w:val="none"/>
        </w:rPr>
      </w:pPr>
      <w:r>
        <w:rPr>
          <w:rFonts w:hint="eastAsia" w:ascii="宋体" w:hAnsi="宋体" w:cs="Arial"/>
          <w:color w:val="auto"/>
          <w:kern w:val="0"/>
          <w:highlight w:val="none"/>
          <w:lang w:val="en-US" w:eastAsia="zh-CN"/>
        </w:rPr>
        <w:t>8</w:t>
      </w:r>
      <w:r>
        <w:rPr>
          <w:rFonts w:hint="eastAsia" w:ascii="宋体" w:hAnsi="宋体" w:cs="Arial"/>
          <w:color w:val="auto"/>
          <w:kern w:val="0"/>
          <w:highlight w:val="none"/>
        </w:rPr>
        <w:t>、</w:t>
      </w:r>
      <w:r>
        <w:rPr>
          <w:rFonts w:hint="eastAsia" w:ascii="宋体" w:hAnsi="宋体" w:cs="宋体"/>
          <w:color w:val="auto"/>
          <w:kern w:val="0"/>
          <w:highlight w:val="none"/>
        </w:rPr>
        <w:t>供应商应符合国家卫生许可相关管理规定；</w:t>
      </w:r>
    </w:p>
    <w:p w14:paraId="2DC92687">
      <w:pPr>
        <w:autoSpaceDE w:val="0"/>
        <w:autoSpaceDN w:val="0"/>
        <w:adjustRightInd w:val="0"/>
        <w:spacing w:line="360" w:lineRule="auto"/>
        <w:ind w:left="482" w:right="57"/>
        <w:jc w:val="left"/>
        <w:rPr>
          <w:rFonts w:hint="eastAsia" w:ascii="宋体" w:hAnsi="宋体" w:cs="宋体"/>
          <w:color w:val="auto"/>
          <w:kern w:val="0"/>
          <w:highlight w:val="none"/>
        </w:rPr>
      </w:pPr>
      <w:r>
        <w:rPr>
          <w:rFonts w:hint="eastAsia" w:ascii="宋体" w:hAnsi="宋体"/>
          <w:color w:val="auto"/>
          <w:kern w:val="0"/>
          <w:highlight w:val="none"/>
          <w:lang w:val="en-US" w:eastAsia="zh-CN"/>
        </w:rPr>
        <w:t>9</w:t>
      </w:r>
      <w:r>
        <w:rPr>
          <w:rFonts w:hint="eastAsia" w:ascii="宋体" w:hAnsi="宋体" w:cs="宋体"/>
          <w:color w:val="auto"/>
          <w:kern w:val="0"/>
          <w:highlight w:val="none"/>
        </w:rPr>
        <w:t>、中标单位提供办公电脑和打印机等办公设备及耗材</w:t>
      </w:r>
      <w:r>
        <w:rPr>
          <w:rFonts w:ascii="宋体" w:hAnsi="宋体" w:cs="宋体"/>
          <w:color w:val="auto"/>
          <w:kern w:val="0"/>
          <w:highlight w:val="none"/>
        </w:rPr>
        <w:t>:</w:t>
      </w:r>
      <w:r>
        <w:rPr>
          <w:rFonts w:hint="eastAsia" w:ascii="宋体" w:hAnsi="宋体" w:cs="宋体"/>
          <w:color w:val="auto"/>
          <w:kern w:val="0"/>
          <w:highlight w:val="none"/>
        </w:rPr>
        <w:t>中标单位负责所有办公桌椅</w:t>
      </w:r>
      <w:r>
        <w:rPr>
          <w:rFonts w:hint="eastAsia" w:ascii="宋体" w:hAnsi="宋体" w:cs="宋体"/>
          <w:color w:val="auto"/>
          <w:kern w:val="0"/>
          <w:highlight w:val="none"/>
          <w:lang w:val="zh-CN"/>
        </w:rPr>
        <w:t>柜等办公家私和员工更衣柜。</w:t>
      </w:r>
    </w:p>
    <w:p w14:paraId="3064AC34">
      <w:pPr>
        <w:autoSpaceDE w:val="0"/>
        <w:autoSpaceDN w:val="0"/>
        <w:adjustRightInd w:val="0"/>
        <w:spacing w:line="360" w:lineRule="auto"/>
        <w:ind w:left="475" w:right="212"/>
        <w:jc w:val="left"/>
        <w:rPr>
          <w:rFonts w:hint="eastAsia" w:ascii="宋体" w:hAnsi="宋体" w:cs="宋体"/>
          <w:color w:val="auto"/>
          <w:kern w:val="0"/>
          <w:highlight w:val="none"/>
        </w:rPr>
      </w:pPr>
      <w:r>
        <w:rPr>
          <w:rFonts w:hint="eastAsia" w:ascii="宋体" w:hAnsi="宋体" w:cs="Arial"/>
          <w:color w:val="auto"/>
          <w:kern w:val="0"/>
          <w:highlight w:val="none"/>
          <w:lang w:val="en-US" w:eastAsia="zh-CN"/>
        </w:rPr>
        <w:t>10</w:t>
      </w:r>
      <w:r>
        <w:rPr>
          <w:rFonts w:hint="eastAsia" w:ascii="宋体" w:hAnsi="宋体" w:cs="宋体"/>
          <w:color w:val="auto"/>
          <w:kern w:val="0"/>
          <w:highlight w:val="none"/>
        </w:rPr>
        <w:t>、中标单位的各岗位员工要统一服装，并由中标单位负责其员工工服配备和洗涤。</w:t>
      </w:r>
    </w:p>
    <w:p w14:paraId="4CA769C3">
      <w:pPr>
        <w:autoSpaceDE w:val="0"/>
        <w:autoSpaceDN w:val="0"/>
        <w:adjustRightInd w:val="0"/>
        <w:spacing w:line="360" w:lineRule="auto"/>
        <w:ind w:left="475" w:right="212"/>
        <w:jc w:val="left"/>
        <w:rPr>
          <w:rFonts w:ascii="宋体" w:hAnsi="宋体" w:cs="宋体"/>
          <w:color w:val="auto"/>
          <w:kern w:val="0"/>
          <w:highlight w:val="none"/>
        </w:rPr>
      </w:pPr>
      <w:r>
        <w:rPr>
          <w:rFonts w:hint="eastAsia" w:ascii="宋体" w:hAnsi="宋体"/>
          <w:color w:val="auto"/>
          <w:kern w:val="0"/>
          <w:highlight w:val="none"/>
        </w:rPr>
        <w:t>1</w:t>
      </w:r>
      <w:r>
        <w:rPr>
          <w:rFonts w:hint="eastAsia" w:ascii="宋体" w:hAnsi="宋体"/>
          <w:color w:val="auto"/>
          <w:kern w:val="0"/>
          <w:highlight w:val="none"/>
          <w:lang w:val="en-US" w:eastAsia="zh-CN"/>
        </w:rPr>
        <w:t>1</w:t>
      </w:r>
      <w:r>
        <w:rPr>
          <w:rFonts w:hint="eastAsia" w:ascii="宋体" w:hAnsi="宋体" w:cs="宋体"/>
          <w:color w:val="auto"/>
          <w:kern w:val="0"/>
          <w:highlight w:val="none"/>
        </w:rPr>
        <w:t>、中标单位有岗前培训机构，服务人员</w:t>
      </w:r>
      <w:r>
        <w:rPr>
          <w:rFonts w:ascii="宋体" w:hAnsi="宋体"/>
          <w:color w:val="auto"/>
          <w:kern w:val="0"/>
          <w:highlight w:val="none"/>
        </w:rPr>
        <w:t>100%</w:t>
      </w:r>
      <w:r>
        <w:rPr>
          <w:rFonts w:hint="eastAsia" w:ascii="宋体" w:hAnsi="宋体" w:cs="宋体"/>
          <w:color w:val="auto"/>
          <w:kern w:val="0"/>
          <w:highlight w:val="none"/>
        </w:rPr>
        <w:t>经过岗前培训合格才能上岗。</w:t>
      </w:r>
      <w:r>
        <w:rPr>
          <w:rFonts w:ascii="宋体" w:hAnsi="宋体" w:cs="宋体"/>
          <w:color w:val="auto"/>
          <w:kern w:val="0"/>
          <w:highlight w:val="none"/>
        </w:rPr>
        <w:t xml:space="preserve"> </w:t>
      </w:r>
    </w:p>
    <w:p w14:paraId="3FDDA351">
      <w:pPr>
        <w:autoSpaceDE w:val="0"/>
        <w:autoSpaceDN w:val="0"/>
        <w:adjustRightInd w:val="0"/>
        <w:spacing w:line="360" w:lineRule="auto"/>
        <w:ind w:left="28" w:right="64" w:firstLine="453"/>
        <w:jc w:val="left"/>
        <w:rPr>
          <w:rFonts w:ascii="宋体" w:hAnsi="宋体" w:cs="宋体"/>
          <w:color w:val="auto"/>
          <w:kern w:val="0"/>
          <w:highlight w:val="none"/>
        </w:rPr>
      </w:pPr>
      <w:r>
        <w:rPr>
          <w:rFonts w:hint="eastAsia" w:ascii="宋体" w:hAnsi="宋体" w:cs="Arial"/>
          <w:color w:val="auto"/>
          <w:kern w:val="0"/>
          <w:highlight w:val="none"/>
        </w:rPr>
        <w:t>1</w:t>
      </w:r>
      <w:r>
        <w:rPr>
          <w:rFonts w:hint="eastAsia" w:ascii="宋体" w:hAnsi="宋体" w:cs="Arial"/>
          <w:color w:val="auto"/>
          <w:kern w:val="0"/>
          <w:highlight w:val="none"/>
          <w:lang w:val="en-US" w:eastAsia="zh-CN"/>
        </w:rPr>
        <w:t>2</w:t>
      </w:r>
      <w:r>
        <w:rPr>
          <w:rFonts w:hint="eastAsia" w:ascii="宋体" w:hAnsi="宋体" w:cs="宋体"/>
          <w:color w:val="auto"/>
          <w:kern w:val="0"/>
          <w:highlight w:val="none"/>
        </w:rPr>
        <w:t>、中标单位须严格按照标准化的操作程序、完善的培训体系和质量控制体系完成本项目，以保证整个系统安全、高效、有序和有计划地运转。</w:t>
      </w:r>
    </w:p>
    <w:p w14:paraId="37B731B5">
      <w:pPr>
        <w:autoSpaceDE w:val="0"/>
        <w:autoSpaceDN w:val="0"/>
        <w:adjustRightInd w:val="0"/>
        <w:spacing w:line="360" w:lineRule="auto"/>
        <w:ind w:left="28" w:right="64" w:firstLine="453"/>
        <w:jc w:val="left"/>
        <w:rPr>
          <w:rFonts w:ascii="宋体" w:hAnsi="宋体" w:cs="宋体"/>
          <w:color w:val="auto"/>
          <w:kern w:val="0"/>
          <w:highlight w:val="none"/>
        </w:rPr>
      </w:pPr>
      <w:r>
        <w:rPr>
          <w:rFonts w:hint="eastAsia" w:ascii="宋体" w:hAnsi="宋体" w:cs="Arial"/>
          <w:color w:val="auto"/>
          <w:kern w:val="0"/>
          <w:highlight w:val="none"/>
        </w:rPr>
        <w:t>1</w:t>
      </w:r>
      <w:r>
        <w:rPr>
          <w:rFonts w:hint="eastAsia" w:ascii="宋体" w:hAnsi="宋体" w:cs="Arial"/>
          <w:color w:val="auto"/>
          <w:kern w:val="0"/>
          <w:highlight w:val="none"/>
          <w:lang w:val="en-US" w:eastAsia="zh-CN"/>
        </w:rPr>
        <w:t>3</w:t>
      </w:r>
      <w:r>
        <w:rPr>
          <w:rFonts w:hint="eastAsia" w:ascii="宋体" w:hAnsi="宋体" w:cs="宋体"/>
          <w:color w:val="auto"/>
          <w:kern w:val="0"/>
          <w:highlight w:val="none"/>
        </w:rPr>
        <w:t>、中标单位须严格按照国家规定给所有符合社保缴纳要求的员工缴纳各种社会保险</w:t>
      </w:r>
      <w:r>
        <w:rPr>
          <w:rFonts w:ascii="宋体" w:hAnsi="宋体" w:cs="宋体"/>
          <w:color w:val="auto"/>
          <w:kern w:val="0"/>
          <w:highlight w:val="none"/>
        </w:rPr>
        <w:t>(</w:t>
      </w:r>
      <w:r>
        <w:rPr>
          <w:rFonts w:hint="eastAsia" w:ascii="宋体" w:hAnsi="宋体" w:cs="宋体"/>
          <w:color w:val="auto"/>
          <w:kern w:val="0"/>
          <w:highlight w:val="none"/>
        </w:rPr>
        <w:t>包括养老、医疗、工伤、生育险、失业保险等</w:t>
      </w:r>
      <w:r>
        <w:rPr>
          <w:rFonts w:ascii="宋体" w:hAnsi="宋体" w:cs="宋体"/>
          <w:color w:val="auto"/>
          <w:kern w:val="0"/>
          <w:highlight w:val="none"/>
        </w:rPr>
        <w:t>)</w:t>
      </w:r>
      <w:r>
        <w:rPr>
          <w:rFonts w:hint="eastAsia" w:ascii="宋体" w:hAnsi="宋体" w:cs="宋体"/>
          <w:color w:val="auto"/>
          <w:kern w:val="0"/>
          <w:highlight w:val="none"/>
        </w:rPr>
        <w:t>和住房公积金。</w:t>
      </w:r>
    </w:p>
    <w:p w14:paraId="0F744745">
      <w:pPr>
        <w:autoSpaceDE w:val="0"/>
        <w:autoSpaceDN w:val="0"/>
        <w:adjustRightInd w:val="0"/>
        <w:spacing w:line="360" w:lineRule="auto"/>
        <w:ind w:left="64" w:right="21" w:firstLine="453"/>
        <w:jc w:val="left"/>
        <w:rPr>
          <w:rFonts w:ascii="宋体" w:hAnsi="宋体" w:cs="宋体"/>
          <w:color w:val="auto"/>
          <w:kern w:val="0"/>
          <w:highlight w:val="none"/>
        </w:rPr>
      </w:pPr>
      <w:r>
        <w:rPr>
          <w:rFonts w:hint="eastAsia" w:ascii="宋体" w:hAnsi="宋体" w:cs="Arial"/>
          <w:color w:val="auto"/>
          <w:kern w:val="0"/>
          <w:highlight w:val="none"/>
        </w:rPr>
        <w:t>1</w:t>
      </w:r>
      <w:r>
        <w:rPr>
          <w:rFonts w:hint="eastAsia" w:ascii="宋体" w:hAnsi="宋体" w:cs="Arial"/>
          <w:color w:val="auto"/>
          <w:kern w:val="0"/>
          <w:highlight w:val="none"/>
          <w:lang w:val="en-US" w:eastAsia="zh-CN"/>
        </w:rPr>
        <w:t>4</w:t>
      </w:r>
      <w:r>
        <w:rPr>
          <w:rFonts w:hint="eastAsia" w:ascii="宋体" w:hAnsi="宋体" w:cs="宋体"/>
          <w:color w:val="auto"/>
          <w:kern w:val="0"/>
          <w:highlight w:val="none"/>
        </w:rPr>
        <w:t>、全部服务人员的工作时间应严格按国家有关法律、法规要求的标准执行，因工作原因产生的加班</w:t>
      </w:r>
      <w:r>
        <w:rPr>
          <w:rFonts w:ascii="宋体" w:hAnsi="宋体" w:cs="宋体"/>
          <w:color w:val="auto"/>
          <w:kern w:val="0"/>
          <w:highlight w:val="none"/>
        </w:rPr>
        <w:t>(</w:t>
      </w:r>
      <w:r>
        <w:rPr>
          <w:rFonts w:hint="eastAsia" w:ascii="宋体" w:hAnsi="宋体" w:cs="宋体"/>
          <w:color w:val="auto"/>
          <w:kern w:val="0"/>
          <w:highlight w:val="none"/>
        </w:rPr>
        <w:t>含节假日加班</w:t>
      </w:r>
      <w:r>
        <w:rPr>
          <w:rFonts w:ascii="宋体" w:hAnsi="宋体" w:cs="宋体"/>
          <w:color w:val="auto"/>
          <w:kern w:val="0"/>
          <w:highlight w:val="none"/>
        </w:rPr>
        <w:t>)</w:t>
      </w:r>
      <w:r>
        <w:rPr>
          <w:rFonts w:hint="eastAsia" w:ascii="宋体" w:hAnsi="宋体" w:cs="宋体"/>
          <w:color w:val="auto"/>
          <w:kern w:val="0"/>
          <w:highlight w:val="none"/>
        </w:rPr>
        <w:t>应严格按国家有关法律、法规要求的标准给付员工加班薪资。并包含国家规定的员工年假费用；业主方不另外增加费用。</w:t>
      </w:r>
    </w:p>
    <w:p w14:paraId="2C4A7795">
      <w:pPr>
        <w:autoSpaceDE w:val="0"/>
        <w:autoSpaceDN w:val="0"/>
        <w:adjustRightInd w:val="0"/>
        <w:spacing w:line="360" w:lineRule="auto"/>
        <w:ind w:left="529"/>
        <w:jc w:val="left"/>
        <w:rPr>
          <w:rFonts w:hint="eastAsia" w:ascii="宋体" w:hAnsi="宋体" w:cs="宋体"/>
          <w:color w:val="auto"/>
          <w:kern w:val="0"/>
          <w:highlight w:val="none"/>
        </w:rPr>
      </w:pPr>
      <w:r>
        <w:rPr>
          <w:rFonts w:hint="eastAsia" w:ascii="宋体" w:hAnsi="宋体"/>
          <w:color w:val="auto"/>
          <w:kern w:val="0"/>
          <w:highlight w:val="none"/>
        </w:rPr>
        <w:t>1</w:t>
      </w:r>
      <w:r>
        <w:rPr>
          <w:rFonts w:hint="eastAsia" w:ascii="宋体" w:hAnsi="宋体"/>
          <w:color w:val="auto"/>
          <w:kern w:val="0"/>
          <w:highlight w:val="none"/>
          <w:lang w:val="en-US" w:eastAsia="zh-CN"/>
        </w:rPr>
        <w:t>5</w:t>
      </w:r>
      <w:r>
        <w:rPr>
          <w:rFonts w:hint="eastAsia" w:ascii="宋体" w:hAnsi="宋体" w:cs="宋体"/>
          <w:color w:val="auto"/>
          <w:kern w:val="0"/>
          <w:highlight w:val="none"/>
        </w:rPr>
        <w:t>、所有员工入职服务时都必须体检，并且合格后才能持证上岗。（注：投标文件中需提供相关承诺，否则视为无效。）</w:t>
      </w:r>
    </w:p>
    <w:p w14:paraId="36AA4713">
      <w:pPr>
        <w:autoSpaceDE w:val="0"/>
        <w:autoSpaceDN w:val="0"/>
        <w:adjustRightInd w:val="0"/>
        <w:spacing w:line="360" w:lineRule="auto"/>
        <w:ind w:left="100" w:right="7" w:firstLine="446"/>
        <w:jc w:val="left"/>
      </w:pPr>
      <w:r>
        <w:rPr>
          <w:rFonts w:hint="eastAsia" w:ascii="宋体" w:hAnsi="宋体"/>
          <w:color w:val="auto"/>
          <w:kern w:val="0"/>
          <w:highlight w:val="none"/>
        </w:rPr>
        <w:t>1</w:t>
      </w:r>
      <w:r>
        <w:rPr>
          <w:rFonts w:hint="eastAsia" w:ascii="宋体" w:hAnsi="宋体"/>
          <w:color w:val="auto"/>
          <w:kern w:val="0"/>
          <w:highlight w:val="none"/>
          <w:lang w:val="en-US" w:eastAsia="zh-CN"/>
        </w:rPr>
        <w:t>6</w:t>
      </w:r>
      <w:r>
        <w:rPr>
          <w:rFonts w:hint="eastAsia" w:ascii="宋体" w:hAnsi="宋体" w:cs="宋体"/>
          <w:color w:val="auto"/>
          <w:kern w:val="0"/>
          <w:highlight w:val="none"/>
        </w:rPr>
        <w:t>、因供应商违反《</w:t>
      </w:r>
      <w:r>
        <w:rPr>
          <w:rFonts w:hint="eastAsia" w:ascii="宋体" w:hAnsi="宋体" w:cs="宋体"/>
          <w:color w:val="auto"/>
          <w:kern w:val="0"/>
          <w:highlight w:val="none"/>
          <w:lang w:eastAsia="zh-CN"/>
        </w:rPr>
        <w:t>民法典</w:t>
      </w:r>
      <w:r>
        <w:rPr>
          <w:rFonts w:hint="eastAsia" w:ascii="宋体" w:hAnsi="宋体" w:cs="宋体"/>
          <w:color w:val="auto"/>
          <w:kern w:val="0"/>
          <w:highlight w:val="none"/>
        </w:rPr>
        <w:t>》等法律法规而造成甲方的连带责任和损失全部由投标方承担。</w:t>
      </w:r>
    </w:p>
    <w:p w14:paraId="732AD8C3">
      <w:pPr>
        <w:tabs>
          <w:tab w:val="right" w:leader="dot" w:pos="9180"/>
        </w:tabs>
        <w:spacing w:before="120" w:beforeLines="50" w:after="120" w:afterLines="50" w:line="360" w:lineRule="auto"/>
        <w:ind w:right="-420" w:rightChars="-200" w:firstLine="643" w:firstLineChars="200"/>
        <w:jc w:val="center"/>
        <w:rPr>
          <w:rFonts w:hint="eastAsia"/>
          <w:b/>
          <w:color w:val="auto"/>
          <w:sz w:val="32"/>
          <w:szCs w:val="32"/>
        </w:rPr>
      </w:pPr>
    </w:p>
    <w:p w14:paraId="11341680">
      <w:pPr>
        <w:rPr>
          <w:rFonts w:hint="eastAsia"/>
          <w:lang w:eastAsia="zh-CN"/>
        </w:rPr>
      </w:pPr>
    </w:p>
    <w:p w14:paraId="4C758BAC">
      <w:pPr>
        <w:pStyle w:val="2"/>
        <w:rPr>
          <w:rFonts w:hint="eastAsia"/>
          <w:lang w:eastAsia="zh-CN"/>
        </w:rPr>
      </w:pPr>
    </w:p>
    <w:p w14:paraId="59280992">
      <w:pPr>
        <w:rPr>
          <w:rFonts w:hint="eastAsia"/>
          <w:lang w:eastAsia="zh-CN"/>
        </w:rPr>
      </w:pPr>
    </w:p>
    <w:p w14:paraId="691CD78D">
      <w:pPr>
        <w:pStyle w:val="2"/>
        <w:rPr>
          <w:rFonts w:hint="eastAsia"/>
          <w:lang w:eastAsia="zh-CN"/>
        </w:rPr>
      </w:pPr>
    </w:p>
    <w:p w14:paraId="4BE2086B">
      <w:pPr>
        <w:rPr>
          <w:rFonts w:hint="eastAsia"/>
          <w:lang w:eastAsia="zh-CN"/>
        </w:rPr>
      </w:pPr>
    </w:p>
    <w:p w14:paraId="1DDFF554">
      <w:pPr>
        <w:pStyle w:val="2"/>
        <w:rPr>
          <w:rFonts w:hint="eastAsia"/>
          <w:lang w:eastAsia="zh-CN"/>
        </w:rPr>
      </w:pPr>
    </w:p>
    <w:p w14:paraId="1DA44054">
      <w:pPr>
        <w:rPr>
          <w:rFonts w:hint="eastAsia"/>
          <w:lang w:eastAsia="zh-CN"/>
        </w:rPr>
      </w:pPr>
    </w:p>
    <w:p w14:paraId="06A83DA9">
      <w:pPr>
        <w:pStyle w:val="2"/>
        <w:rPr>
          <w:rFonts w:hint="eastAsia"/>
          <w:lang w:eastAsia="zh-CN"/>
        </w:rPr>
      </w:pPr>
    </w:p>
    <w:p w14:paraId="4DE10D75">
      <w:pPr>
        <w:rPr>
          <w:rFonts w:hint="eastAsia"/>
          <w:lang w:eastAsia="zh-CN"/>
        </w:rPr>
      </w:pPr>
    </w:p>
    <w:p w14:paraId="65D66C58">
      <w:pPr>
        <w:pStyle w:val="2"/>
        <w:rPr>
          <w:rFonts w:hint="eastAsia"/>
          <w:lang w:eastAsia="zh-CN"/>
        </w:rPr>
      </w:pPr>
    </w:p>
    <w:p w14:paraId="2EB74528">
      <w:pPr>
        <w:rPr>
          <w:rFonts w:hint="eastAsia"/>
          <w:lang w:eastAsia="zh-CN"/>
        </w:rPr>
      </w:pPr>
    </w:p>
    <w:p w14:paraId="27949260">
      <w:pPr>
        <w:pStyle w:val="2"/>
        <w:rPr>
          <w:rFonts w:hint="eastAsia"/>
          <w:lang w:eastAsia="zh-CN"/>
        </w:rPr>
      </w:pPr>
    </w:p>
    <w:p w14:paraId="45262995">
      <w:pPr>
        <w:rPr>
          <w:rFonts w:hint="eastAsia"/>
          <w:lang w:eastAsia="zh-CN"/>
        </w:rPr>
      </w:pPr>
    </w:p>
    <w:p w14:paraId="787E17EE">
      <w:pPr>
        <w:pStyle w:val="2"/>
        <w:rPr>
          <w:rFonts w:hint="eastAsia"/>
          <w:lang w:eastAsia="zh-CN"/>
        </w:rPr>
      </w:pPr>
    </w:p>
    <w:p w14:paraId="1F7A6985">
      <w:pPr>
        <w:rPr>
          <w:rFonts w:hint="eastAsia"/>
          <w:lang w:eastAsia="zh-CN"/>
        </w:rPr>
      </w:pPr>
    </w:p>
    <w:p w14:paraId="2EB94212">
      <w:pPr>
        <w:pStyle w:val="2"/>
        <w:rPr>
          <w:rFonts w:hint="eastAsia"/>
          <w:lang w:eastAsia="zh-CN"/>
        </w:rPr>
      </w:pPr>
    </w:p>
    <w:p w14:paraId="59FE881C">
      <w:pPr>
        <w:rPr>
          <w:rFonts w:hint="eastAsia"/>
          <w:lang w:eastAsia="zh-CN"/>
        </w:rPr>
      </w:pPr>
    </w:p>
    <w:p w14:paraId="30F253F8">
      <w:pPr>
        <w:pStyle w:val="2"/>
        <w:rPr>
          <w:rFonts w:hint="eastAsia"/>
          <w:lang w:eastAsia="zh-CN"/>
        </w:rPr>
      </w:pPr>
    </w:p>
    <w:p w14:paraId="1DA8D80B">
      <w:pPr>
        <w:rPr>
          <w:rFonts w:hint="eastAsia"/>
          <w:lang w:eastAsia="zh-CN"/>
        </w:rPr>
      </w:pPr>
    </w:p>
    <w:p w14:paraId="7AB61A11">
      <w:pPr>
        <w:pStyle w:val="2"/>
        <w:rPr>
          <w:rFonts w:hint="eastAsia"/>
          <w:lang w:eastAsia="zh-CN"/>
        </w:rPr>
      </w:pPr>
    </w:p>
    <w:p w14:paraId="64CA93B8">
      <w:pPr>
        <w:rPr>
          <w:rFonts w:hint="eastAsia"/>
          <w:lang w:eastAsia="zh-CN"/>
        </w:rPr>
      </w:pPr>
    </w:p>
    <w:p w14:paraId="2554BCFC">
      <w:pPr>
        <w:pStyle w:val="2"/>
        <w:rPr>
          <w:rFonts w:hint="eastAsia"/>
          <w:lang w:eastAsia="zh-CN"/>
        </w:rPr>
      </w:pPr>
    </w:p>
    <w:p w14:paraId="10D496D3">
      <w:pPr>
        <w:rPr>
          <w:rFonts w:hint="eastAsia"/>
          <w:lang w:eastAsia="zh-CN"/>
        </w:rPr>
      </w:pPr>
    </w:p>
    <w:p w14:paraId="2A61F1B1">
      <w:pPr>
        <w:pStyle w:val="2"/>
        <w:rPr>
          <w:rFonts w:hint="eastAsia"/>
          <w:lang w:eastAsia="zh-CN"/>
        </w:rPr>
      </w:pPr>
    </w:p>
    <w:p w14:paraId="6DB229CA">
      <w:pPr>
        <w:rPr>
          <w:rFonts w:hint="eastAsia"/>
          <w:lang w:eastAsia="zh-CN"/>
        </w:rPr>
      </w:pPr>
    </w:p>
    <w:p w14:paraId="0535887C">
      <w:pPr>
        <w:pStyle w:val="2"/>
        <w:rPr>
          <w:rFonts w:hint="eastAsia"/>
          <w:lang w:eastAsia="zh-CN"/>
        </w:rPr>
      </w:pPr>
    </w:p>
    <w:p w14:paraId="608E063B">
      <w:pPr>
        <w:rPr>
          <w:rFonts w:hint="eastAsia"/>
          <w:lang w:eastAsia="zh-CN"/>
        </w:rPr>
      </w:pPr>
    </w:p>
    <w:p w14:paraId="365F74FF">
      <w:pPr>
        <w:pStyle w:val="2"/>
        <w:rPr>
          <w:rFonts w:hint="eastAsia"/>
          <w:lang w:eastAsia="zh-CN"/>
        </w:rPr>
      </w:pPr>
    </w:p>
    <w:p w14:paraId="0DFE5F2C">
      <w:pPr>
        <w:rPr>
          <w:rFonts w:hint="eastAsia"/>
          <w:lang w:eastAsia="zh-CN"/>
        </w:rPr>
      </w:pPr>
    </w:p>
    <w:p w14:paraId="1F64F890">
      <w:pPr>
        <w:pStyle w:val="2"/>
        <w:jc w:val="both"/>
        <w:rPr>
          <w:rFonts w:hint="eastAsia"/>
          <w:lang w:eastAsia="zh-CN"/>
        </w:rPr>
      </w:pPr>
    </w:p>
    <w:bookmarkEnd w:id="4"/>
    <w:p w14:paraId="4E856E7F">
      <w:pPr>
        <w:adjustRightInd/>
        <w:spacing w:line="360" w:lineRule="auto"/>
        <w:jc w:val="both"/>
        <w:outlineLvl w:val="0"/>
        <w:rPr>
          <w:rFonts w:hint="eastAsia" w:ascii="宋体" w:hAnsi="宋体" w:eastAsia="宋体" w:cs="宋体"/>
          <w:b/>
          <w:color w:val="auto"/>
          <w:sz w:val="36"/>
          <w:szCs w:val="36"/>
          <w:highlight w:val="none"/>
        </w:rPr>
      </w:pPr>
      <w:bookmarkStart w:id="17" w:name="_Toc8594"/>
    </w:p>
    <w:p w14:paraId="0E7BA971">
      <w:pPr>
        <w:adjustRightInd/>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评审方法及评审标准</w:t>
      </w:r>
      <w:bookmarkEnd w:id="17"/>
    </w:p>
    <w:p w14:paraId="63412ABE">
      <w:pPr>
        <w:pStyle w:val="79"/>
        <w:spacing w:before="0" w:line="240" w:lineRule="auto"/>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评审方法前附表</w:t>
      </w:r>
    </w:p>
    <w:p w14:paraId="77B8C678">
      <w:pPr>
        <w:widowControl/>
        <w:kinsoku/>
        <w:wordWrap/>
        <w:overflowPunct/>
        <w:topLinePunct w:val="0"/>
        <w:bidi w:val="0"/>
        <w:adjustRightInd/>
        <w:spacing w:line="240" w:lineRule="auto"/>
        <w:jc w:val="center"/>
        <w:outlineLvl w:val="9"/>
        <w:rPr>
          <w:rFonts w:hint="eastAsia" w:ascii="宋体" w:hAnsi="宋体" w:eastAsia="宋体" w:cs="宋体"/>
          <w:b/>
          <w:color w:val="auto"/>
          <w:sz w:val="32"/>
          <w:highlight w:val="none"/>
        </w:rPr>
      </w:pPr>
      <w:r>
        <w:rPr>
          <w:rFonts w:hint="eastAsia" w:ascii="宋体" w:hAnsi="宋体" w:eastAsia="宋体" w:cs="宋体"/>
          <w:b/>
          <w:bCs/>
          <w:color w:val="auto"/>
          <w:kern w:val="0"/>
          <w:sz w:val="32"/>
          <w:szCs w:val="40"/>
          <w:highlight w:val="none"/>
        </w:rPr>
        <w:t>评分标准表</w:t>
      </w:r>
    </w:p>
    <w:tbl>
      <w:tblPr>
        <w:tblStyle w:val="31"/>
        <w:tblpPr w:leftFromText="180" w:rightFromText="180" w:vertAnchor="text" w:horzAnchor="page" w:tblpX="1133" w:tblpY="618"/>
        <w:tblOverlap w:val="never"/>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126"/>
        <w:gridCol w:w="7377"/>
      </w:tblGrid>
      <w:tr w14:paraId="67F8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317" w:type="dxa"/>
            <w:noWrap w:val="0"/>
            <w:vAlign w:val="center"/>
          </w:tcPr>
          <w:p w14:paraId="4DAE234D">
            <w:pPr>
              <w:keepNext w:val="0"/>
              <w:keepLines w:val="0"/>
              <w:suppressLineNumbers w:val="0"/>
              <w:spacing w:before="0" w:beforeAutospacing="0" w:after="0" w:afterAutospacing="0" w:line="240" w:lineRule="auto"/>
              <w:ind w:left="0" w:right="0" w:firstLine="105" w:firstLineChars="50"/>
              <w:jc w:val="center"/>
              <w:rPr>
                <w:rFonts w:hint="eastAsia" w:ascii="宋体" w:hAnsi="宋体" w:eastAsia="宋体" w:cs="宋体"/>
                <w:b/>
                <w:sz w:val="21"/>
                <w:szCs w:val="21"/>
              </w:rPr>
            </w:pPr>
            <w:r>
              <w:rPr>
                <w:rFonts w:hint="eastAsia" w:ascii="宋体" w:hAnsi="宋体" w:eastAsia="宋体" w:cs="宋体"/>
                <w:b/>
                <w:sz w:val="21"/>
                <w:szCs w:val="21"/>
              </w:rPr>
              <w:t>评标项目</w:t>
            </w:r>
          </w:p>
        </w:tc>
        <w:tc>
          <w:tcPr>
            <w:tcW w:w="1126" w:type="dxa"/>
            <w:noWrap w:val="0"/>
            <w:vAlign w:val="center"/>
          </w:tcPr>
          <w:p w14:paraId="1417713E">
            <w:pPr>
              <w:keepNext w:val="0"/>
              <w:keepLines w:val="0"/>
              <w:suppressLineNumbers w:val="0"/>
              <w:spacing w:before="0" w:beforeAutospacing="0" w:after="0" w:afterAutospacing="0" w:line="240" w:lineRule="auto"/>
              <w:ind w:left="0" w:right="0" w:firstLine="105" w:firstLineChars="50"/>
              <w:jc w:val="center"/>
              <w:rPr>
                <w:rFonts w:hint="eastAsia" w:ascii="宋体" w:hAnsi="宋体" w:eastAsia="宋体" w:cs="宋体"/>
                <w:b/>
                <w:sz w:val="21"/>
                <w:szCs w:val="21"/>
              </w:rPr>
            </w:pPr>
            <w:r>
              <w:rPr>
                <w:rFonts w:hint="eastAsia" w:ascii="宋体" w:hAnsi="宋体" w:eastAsia="宋体" w:cs="宋体"/>
                <w:b/>
                <w:sz w:val="21"/>
                <w:szCs w:val="21"/>
              </w:rPr>
              <w:t>分值</w:t>
            </w:r>
          </w:p>
        </w:tc>
        <w:tc>
          <w:tcPr>
            <w:tcW w:w="7377" w:type="dxa"/>
            <w:noWrap w:val="0"/>
            <w:vAlign w:val="center"/>
          </w:tcPr>
          <w:p w14:paraId="2EB6A03A">
            <w:pPr>
              <w:keepNext w:val="0"/>
              <w:keepLines w:val="0"/>
              <w:suppressLineNumbers w:val="0"/>
              <w:spacing w:before="0" w:beforeAutospacing="0" w:after="0" w:afterAutospacing="0" w:line="240" w:lineRule="auto"/>
              <w:ind w:left="0" w:right="0" w:firstLine="105" w:firstLineChars="50"/>
              <w:jc w:val="center"/>
              <w:rPr>
                <w:rFonts w:hint="eastAsia" w:ascii="宋体" w:hAnsi="宋体" w:eastAsia="宋体" w:cs="宋体"/>
                <w:b/>
                <w:sz w:val="21"/>
                <w:szCs w:val="21"/>
              </w:rPr>
            </w:pPr>
            <w:r>
              <w:rPr>
                <w:rFonts w:hint="eastAsia" w:ascii="宋体" w:hAnsi="宋体" w:eastAsia="宋体" w:cs="宋体"/>
                <w:b/>
                <w:sz w:val="21"/>
                <w:szCs w:val="21"/>
              </w:rPr>
              <w:t>评标要点说明</w:t>
            </w:r>
          </w:p>
        </w:tc>
      </w:tr>
      <w:tr w14:paraId="6CCE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17" w:type="dxa"/>
            <w:noWrap w:val="0"/>
            <w:vAlign w:val="center"/>
          </w:tcPr>
          <w:p w14:paraId="4F4ED6AB">
            <w:pPr>
              <w:keepNext w:val="0"/>
              <w:keepLines w:val="0"/>
              <w:suppressLineNumbers w:val="0"/>
              <w:spacing w:before="0" w:beforeAutospacing="0" w:after="0" w:afterAutospacing="0" w:line="420" w:lineRule="exact"/>
              <w:ind w:left="0" w:right="0"/>
              <w:jc w:val="center"/>
              <w:rPr>
                <w:rFonts w:hint="eastAsia" w:ascii="宋体" w:hAnsi="宋体" w:eastAsia="宋体" w:cs="宋体"/>
                <w:sz w:val="21"/>
                <w:szCs w:val="21"/>
              </w:rPr>
            </w:pPr>
            <w:r>
              <w:rPr>
                <w:rFonts w:hint="eastAsia" w:ascii="宋体" w:hAnsi="宋体" w:eastAsia="宋体" w:cs="宋体"/>
                <w:sz w:val="21"/>
                <w:szCs w:val="21"/>
              </w:rPr>
              <w:t>投标报价</w:t>
            </w:r>
          </w:p>
          <w:p w14:paraId="3EBBAC7C">
            <w:pPr>
              <w:keepNext w:val="0"/>
              <w:keepLines w:val="0"/>
              <w:suppressLineNumbers w:val="0"/>
              <w:spacing w:before="0" w:beforeAutospacing="0" w:after="0" w:afterAutospacing="0" w:line="420" w:lineRule="exact"/>
              <w:ind w:left="0" w:right="0"/>
              <w:jc w:val="center"/>
              <w:rPr>
                <w:rFonts w:hint="eastAsia" w:ascii="宋体" w:hAnsi="宋体" w:eastAsia="宋体" w:cs="宋体"/>
                <w:sz w:val="21"/>
                <w:szCs w:val="21"/>
              </w:rPr>
            </w:pPr>
            <w:r>
              <w:rPr>
                <w:rFonts w:hint="eastAsia" w:ascii="宋体" w:hAnsi="宋体" w:eastAsia="宋体" w:cs="宋体"/>
                <w:sz w:val="21"/>
                <w:szCs w:val="21"/>
              </w:rPr>
              <w:t>（30分）</w:t>
            </w:r>
          </w:p>
        </w:tc>
        <w:tc>
          <w:tcPr>
            <w:tcW w:w="1126" w:type="dxa"/>
            <w:noWrap w:val="0"/>
            <w:vAlign w:val="center"/>
          </w:tcPr>
          <w:p w14:paraId="192D8BB3">
            <w:pPr>
              <w:keepNext w:val="0"/>
              <w:keepLines w:val="0"/>
              <w:suppressLineNumbers w:val="0"/>
              <w:spacing w:before="0" w:beforeAutospacing="0" w:after="0" w:afterAutospacing="0" w:line="420" w:lineRule="exact"/>
              <w:ind w:left="0" w:right="0"/>
              <w:jc w:val="center"/>
              <w:rPr>
                <w:rFonts w:hint="eastAsia" w:ascii="宋体" w:hAnsi="宋体" w:eastAsia="宋体" w:cs="宋体"/>
                <w:sz w:val="21"/>
                <w:szCs w:val="21"/>
              </w:rPr>
            </w:pPr>
            <w:r>
              <w:rPr>
                <w:rFonts w:hint="eastAsia" w:ascii="宋体" w:hAnsi="宋体" w:eastAsia="宋体" w:cs="宋体"/>
                <w:sz w:val="21"/>
                <w:szCs w:val="21"/>
              </w:rPr>
              <w:t>30分</w:t>
            </w:r>
          </w:p>
        </w:tc>
        <w:tc>
          <w:tcPr>
            <w:tcW w:w="7377" w:type="dxa"/>
            <w:noWrap w:val="0"/>
            <w:vAlign w:val="center"/>
          </w:tcPr>
          <w:p w14:paraId="3C021FA4">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参与评审的价格=投标报价；</w:t>
            </w:r>
          </w:p>
          <w:p w14:paraId="65168710">
            <w:pPr>
              <w:pStyle w:val="44"/>
              <w:keepNext w:val="0"/>
              <w:keepLines w:val="0"/>
              <w:suppressLineNumbers w:val="0"/>
              <w:spacing w:before="0" w:beforeAutospacing="0" w:after="0" w:afterAutospacing="0"/>
              <w:ind w:left="0" w:leftChars="0" w:right="0" w:firstLine="0" w:firstLineChars="0"/>
              <w:rPr>
                <w:rFonts w:hint="default" w:ascii="宋体" w:hAnsi="宋体" w:eastAsia="宋体" w:cs="Times New Roman"/>
                <w:b w:val="0"/>
                <w:bCs w:val="0"/>
                <w:color w:val="000000"/>
                <w:kern w:val="2"/>
                <w:sz w:val="21"/>
                <w:szCs w:val="20"/>
                <w:lang w:val="en-US" w:eastAsia="zh-CN" w:bidi="ar-SA"/>
              </w:rPr>
            </w:pPr>
            <w:r>
              <w:rPr>
                <w:rFonts w:hint="default" w:ascii="宋体" w:hAnsi="宋体" w:eastAsia="宋体" w:cs="Times New Roman"/>
                <w:b w:val="0"/>
                <w:bCs w:val="0"/>
                <w:color w:val="000000"/>
                <w:kern w:val="2"/>
                <w:sz w:val="21"/>
                <w:szCs w:val="20"/>
                <w:lang w:val="en-US" w:eastAsia="zh-CN" w:bidi="ar-SA"/>
              </w:rPr>
              <w:t>满足采购要求的有效投标且参与评审的价格最低的参与评审的价格为评标基准价，得</w:t>
            </w:r>
            <w:r>
              <w:rPr>
                <w:rFonts w:hint="eastAsia" w:ascii="宋体" w:hAnsi="宋体" w:eastAsia="宋体" w:cs="Times New Roman"/>
                <w:b w:val="0"/>
                <w:bCs w:val="0"/>
                <w:color w:val="000000"/>
                <w:kern w:val="2"/>
                <w:sz w:val="21"/>
                <w:szCs w:val="20"/>
                <w:lang w:val="en-US" w:eastAsia="zh-CN" w:bidi="ar-SA"/>
              </w:rPr>
              <w:t>30</w:t>
            </w:r>
            <w:r>
              <w:rPr>
                <w:rFonts w:hint="default" w:ascii="宋体" w:hAnsi="宋体" w:eastAsia="宋体" w:cs="Times New Roman"/>
                <w:b w:val="0"/>
                <w:bCs w:val="0"/>
                <w:color w:val="000000"/>
                <w:kern w:val="2"/>
                <w:sz w:val="21"/>
                <w:szCs w:val="20"/>
                <w:lang w:val="en-US" w:eastAsia="zh-CN" w:bidi="ar-SA"/>
              </w:rPr>
              <w:t>分；</w:t>
            </w:r>
          </w:p>
          <w:p w14:paraId="115AAECC">
            <w:pPr>
              <w:pStyle w:val="44"/>
              <w:keepNext w:val="0"/>
              <w:keepLines w:val="0"/>
              <w:suppressLineNumbers w:val="0"/>
              <w:spacing w:before="0" w:beforeAutospacing="0" w:after="0" w:afterAutospacing="0"/>
              <w:ind w:left="0" w:leftChars="0" w:right="0" w:firstLine="0" w:firstLineChars="0"/>
              <w:rPr>
                <w:rFonts w:hint="eastAsia" w:ascii="宋体" w:hAnsi="宋体" w:eastAsia="宋体" w:cs="宋体"/>
                <w:sz w:val="21"/>
                <w:szCs w:val="21"/>
              </w:rPr>
            </w:pPr>
            <w:r>
              <w:rPr>
                <w:rFonts w:hint="default" w:ascii="宋体" w:hAnsi="宋体" w:eastAsia="宋体" w:cs="Times New Roman"/>
                <w:b w:val="0"/>
                <w:bCs w:val="0"/>
                <w:color w:val="000000"/>
                <w:kern w:val="2"/>
                <w:sz w:val="21"/>
                <w:szCs w:val="20"/>
                <w:lang w:val="en-US" w:eastAsia="zh-CN" w:bidi="ar-SA"/>
              </w:rPr>
              <w:t>其他投标报价得分计算公式如下：投标报价得分=（评标基准价/参与评审的价格）×</w:t>
            </w:r>
            <w:r>
              <w:rPr>
                <w:rFonts w:hint="eastAsia" w:ascii="宋体" w:hAnsi="宋体" w:eastAsia="宋体" w:cs="Times New Roman"/>
                <w:b w:val="0"/>
                <w:bCs w:val="0"/>
                <w:color w:val="000000"/>
                <w:kern w:val="2"/>
                <w:sz w:val="21"/>
                <w:szCs w:val="20"/>
                <w:lang w:val="en-US" w:eastAsia="zh-CN" w:bidi="ar-SA"/>
              </w:rPr>
              <w:t>30</w:t>
            </w:r>
            <w:r>
              <w:rPr>
                <w:rFonts w:hint="default" w:ascii="宋体" w:hAnsi="宋体" w:eastAsia="宋体" w:cs="Times New Roman"/>
                <w:b w:val="0"/>
                <w:bCs w:val="0"/>
                <w:color w:val="000000"/>
                <w:kern w:val="2"/>
                <w:sz w:val="21"/>
                <w:szCs w:val="20"/>
                <w:lang w:val="en-US" w:eastAsia="zh-CN" w:bidi="ar-SA"/>
              </w:rPr>
              <w:t>%×100。</w:t>
            </w:r>
          </w:p>
        </w:tc>
      </w:tr>
      <w:tr w14:paraId="6A8C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7" w:type="dxa"/>
            <w:vMerge w:val="restart"/>
            <w:noWrap w:val="0"/>
            <w:vAlign w:val="center"/>
          </w:tcPr>
          <w:p w14:paraId="50284725">
            <w:pPr>
              <w:keepNext w:val="0"/>
              <w:keepLines w:val="0"/>
              <w:suppressLineNumbers w:val="0"/>
              <w:spacing w:before="0" w:beforeAutospacing="0" w:after="0" w:afterAutospacing="0" w:line="420" w:lineRule="exact"/>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技术商务（70分）</w:t>
            </w:r>
          </w:p>
        </w:tc>
        <w:tc>
          <w:tcPr>
            <w:tcW w:w="1126" w:type="dxa"/>
            <w:noWrap w:val="0"/>
            <w:vAlign w:val="center"/>
          </w:tcPr>
          <w:p w14:paraId="180DD6D5">
            <w:pPr>
              <w:keepNext w:val="0"/>
              <w:keepLines w:val="0"/>
              <w:suppressLineNumbers w:val="0"/>
              <w:spacing w:before="0" w:beforeAutospacing="0" w:after="0" w:afterAutospacing="0" w:line="420" w:lineRule="exact"/>
              <w:ind w:left="0" w:right="0"/>
              <w:jc w:val="center"/>
              <w:rPr>
                <w:rFonts w:hint="default" w:ascii="宋体" w:hAnsi="宋体" w:eastAsia="宋体" w:cs="宋体"/>
                <w:kern w:val="0"/>
                <w:sz w:val="21"/>
                <w:szCs w:val="21"/>
                <w:lang w:val="en-US" w:eastAsia="zh-CN"/>
              </w:rPr>
            </w:pPr>
            <w:r>
              <w:rPr>
                <w:rFonts w:hint="eastAsia" w:ascii="宋体" w:hAnsi="宋体" w:cs="宋体"/>
                <w:color w:val="auto"/>
                <w:szCs w:val="21"/>
                <w:highlight w:val="none"/>
                <w:lang w:val="en-US" w:eastAsia="zh-CN"/>
              </w:rPr>
              <w:t>针对本项目的重难点及解决措施（4分）</w:t>
            </w:r>
          </w:p>
        </w:tc>
        <w:tc>
          <w:tcPr>
            <w:tcW w:w="7377" w:type="dxa"/>
            <w:noWrap w:val="0"/>
            <w:vAlign w:val="center"/>
          </w:tcPr>
          <w:p w14:paraId="702E9731">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1.1、评委根据投标人针对本项目服务区域的熟悉程度、现状考察、调研后提出的服务工作的重点、难点及解决方案等进行综合评议。</w:t>
            </w:r>
          </w:p>
          <w:p w14:paraId="758BAB6A">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①方案内容编制全面，能很好契合项目实际情况，完全符合采购人需求的得4分；</w:t>
            </w:r>
          </w:p>
          <w:p w14:paraId="724B8095">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②方案内容编制合理、基本契合项目情况的得3分；</w:t>
            </w:r>
          </w:p>
          <w:p w14:paraId="3D3A1D42">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 xml:space="preserve">③方案基本完整，但存在一定瑕疵，基本符合采购人需求的得2分； </w:t>
            </w:r>
          </w:p>
          <w:p w14:paraId="47EBFA22">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④方案内容欠缺，存在明显问题，不能满足采购人需求的得1分；</w:t>
            </w:r>
          </w:p>
          <w:p w14:paraId="4B7962CB">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未提供相关内容的不得分。</w:t>
            </w:r>
          </w:p>
        </w:tc>
      </w:tr>
      <w:tr w14:paraId="3701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7" w:type="dxa"/>
            <w:vMerge w:val="continue"/>
            <w:noWrap w:val="0"/>
            <w:vAlign w:val="center"/>
          </w:tcPr>
          <w:p w14:paraId="76F86E82">
            <w:pPr>
              <w:keepNext w:val="0"/>
              <w:keepLines w:val="0"/>
              <w:suppressLineNumbers w:val="0"/>
              <w:spacing w:before="0" w:beforeAutospacing="0" w:after="0" w:afterAutospacing="0" w:line="420" w:lineRule="exact"/>
              <w:ind w:left="0" w:right="0"/>
              <w:jc w:val="center"/>
              <w:rPr>
                <w:rFonts w:hint="default" w:ascii="宋体" w:hAnsi="宋体" w:eastAsia="宋体" w:cs="宋体"/>
                <w:sz w:val="21"/>
                <w:szCs w:val="21"/>
                <w:lang w:val="en-US" w:eastAsia="zh-CN"/>
              </w:rPr>
            </w:pPr>
          </w:p>
        </w:tc>
        <w:tc>
          <w:tcPr>
            <w:tcW w:w="1126" w:type="dxa"/>
            <w:vMerge w:val="restart"/>
            <w:noWrap w:val="0"/>
            <w:vAlign w:val="center"/>
          </w:tcPr>
          <w:p w14:paraId="72B78F20">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项目管理能力</w:t>
            </w:r>
          </w:p>
          <w:p w14:paraId="65C2364B">
            <w:pPr>
              <w:keepNext w:val="0"/>
              <w:keepLines w:val="0"/>
              <w:suppressLineNumbers w:val="0"/>
              <w:spacing w:before="0" w:beforeAutospacing="0" w:after="0" w:afterAutospacing="0" w:line="420" w:lineRule="exact"/>
              <w:ind w:left="0" w:right="0"/>
              <w:jc w:val="center"/>
              <w:rPr>
                <w:rFonts w:hint="default" w:ascii="宋体" w:hAnsi="宋体" w:eastAsia="宋体" w:cs="宋体"/>
                <w:sz w:val="21"/>
                <w:szCs w:val="21"/>
                <w:lang w:val="en-US" w:eastAsia="zh-CN"/>
              </w:rPr>
            </w:pPr>
            <w:r>
              <w:rPr>
                <w:rFonts w:hint="eastAsia" w:ascii="宋体" w:hAnsi="宋体" w:eastAsia="宋体" w:cs="宋体"/>
                <w:kern w:val="0"/>
                <w:sz w:val="21"/>
                <w:szCs w:val="21"/>
                <w:lang w:eastAsia="zh-CN"/>
              </w:rPr>
              <w:t>（</w:t>
            </w:r>
            <w:r>
              <w:rPr>
                <w:rFonts w:hint="eastAsia" w:ascii="宋体" w:hAnsi="宋体" w:cs="宋体"/>
                <w:kern w:val="0"/>
                <w:sz w:val="21"/>
                <w:szCs w:val="21"/>
                <w:lang w:val="en-US" w:eastAsia="zh-CN"/>
              </w:rPr>
              <w:t>8</w:t>
            </w:r>
            <w:r>
              <w:rPr>
                <w:rFonts w:hint="eastAsia" w:ascii="宋体" w:hAnsi="宋体" w:eastAsia="宋体" w:cs="宋体"/>
                <w:kern w:val="0"/>
                <w:sz w:val="21"/>
                <w:szCs w:val="21"/>
                <w:lang w:val="en-US" w:eastAsia="zh-CN"/>
              </w:rPr>
              <w:t>分）</w:t>
            </w:r>
          </w:p>
        </w:tc>
        <w:tc>
          <w:tcPr>
            <w:tcW w:w="7377" w:type="dxa"/>
            <w:noWrap w:val="0"/>
            <w:vAlign w:val="center"/>
          </w:tcPr>
          <w:p w14:paraId="0AD9C556">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2.1 、整体管理实施方案进行综合评议（满分4分）：</w:t>
            </w:r>
          </w:p>
          <w:p w14:paraId="44FDCE62">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①方案内容编制全面，能很好契合项目实际情况，完全符合采购人需求的得4分；</w:t>
            </w:r>
          </w:p>
          <w:p w14:paraId="25920D54">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②方案内容编制合理、基本契合项目情况，符合采购人需求的得3分；</w:t>
            </w:r>
          </w:p>
          <w:p w14:paraId="2C8A50CF">
            <w:pPr>
              <w:pStyle w:val="44"/>
              <w:keepNext w:val="0"/>
              <w:keepLines w:val="0"/>
              <w:suppressLineNumbers w:val="0"/>
              <w:spacing w:before="0" w:beforeAutospacing="0" w:after="0" w:afterAutospacing="0"/>
              <w:ind w:left="0" w:leftChars="0" w:right="0" w:firstLine="0" w:firstLineChars="0"/>
              <w:rPr>
                <w:rFonts w:hint="default"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③方案基本完整，但存在一定瑕疵，基本符合采购人需求的得2分；</w:t>
            </w:r>
          </w:p>
          <w:p w14:paraId="1D9FF175">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④方案内容欠缺，存在明显问题，不能满足采购人需求的得1分；</w:t>
            </w:r>
          </w:p>
          <w:p w14:paraId="46A2CFFB">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zh-CN" w:eastAsia="zh-CN" w:bidi="ar-SA"/>
              </w:rPr>
            </w:pPr>
            <w:r>
              <w:rPr>
                <w:rFonts w:hint="eastAsia" w:ascii="宋体" w:hAnsi="宋体" w:eastAsia="宋体" w:cs="Times New Roman"/>
                <w:b w:val="0"/>
                <w:bCs w:val="0"/>
                <w:color w:val="000000"/>
                <w:kern w:val="2"/>
                <w:sz w:val="21"/>
                <w:szCs w:val="20"/>
                <w:lang w:val="en-US" w:eastAsia="zh-CN" w:bidi="ar-SA"/>
              </w:rPr>
              <w:t>未提供相关内容的不得分。</w:t>
            </w:r>
          </w:p>
        </w:tc>
      </w:tr>
      <w:tr w14:paraId="752C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317" w:type="dxa"/>
            <w:vMerge w:val="continue"/>
            <w:noWrap w:val="0"/>
            <w:vAlign w:val="center"/>
          </w:tcPr>
          <w:p w14:paraId="20954E65">
            <w:pPr>
              <w:keepNext w:val="0"/>
              <w:keepLines w:val="0"/>
              <w:suppressLineNumbers w:val="0"/>
              <w:spacing w:before="0" w:beforeAutospacing="0" w:after="0" w:afterAutospacing="0" w:line="420" w:lineRule="exact"/>
              <w:ind w:left="0" w:right="0"/>
              <w:jc w:val="center"/>
              <w:rPr>
                <w:rFonts w:hint="default" w:ascii="宋体" w:hAnsi="宋体" w:eastAsia="宋体" w:cs="宋体"/>
                <w:sz w:val="21"/>
                <w:szCs w:val="21"/>
                <w:lang w:val="en-US" w:eastAsia="zh-CN"/>
              </w:rPr>
            </w:pPr>
          </w:p>
        </w:tc>
        <w:tc>
          <w:tcPr>
            <w:tcW w:w="1126" w:type="dxa"/>
            <w:vMerge w:val="continue"/>
            <w:noWrap w:val="0"/>
            <w:vAlign w:val="center"/>
          </w:tcPr>
          <w:p w14:paraId="284CC226">
            <w:pPr>
              <w:keepNext w:val="0"/>
              <w:keepLines w:val="0"/>
              <w:suppressLineNumbers w:val="0"/>
              <w:spacing w:before="0" w:beforeAutospacing="0" w:after="0" w:afterAutospacing="0" w:line="420" w:lineRule="exact"/>
              <w:ind w:left="0" w:right="0"/>
              <w:jc w:val="center"/>
              <w:rPr>
                <w:rFonts w:hint="default" w:ascii="宋体" w:hAnsi="宋体" w:eastAsia="宋体" w:cs="宋体"/>
                <w:sz w:val="21"/>
                <w:szCs w:val="21"/>
                <w:lang w:val="en-US" w:eastAsia="zh-CN"/>
              </w:rPr>
            </w:pPr>
          </w:p>
        </w:tc>
        <w:tc>
          <w:tcPr>
            <w:tcW w:w="7377" w:type="dxa"/>
            <w:noWrap w:val="0"/>
            <w:vAlign w:val="center"/>
          </w:tcPr>
          <w:p w14:paraId="3F4A21E0">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2.2 、各项服务内容目标、承诺、工作计划进行综合评议（满分4分）：</w:t>
            </w:r>
          </w:p>
          <w:p w14:paraId="3D985C86">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①服务内容目标、承诺、工作计划安排得当、各时间节点明确、具有充分可靠计划的得4分；</w:t>
            </w:r>
          </w:p>
          <w:p w14:paraId="0E6EC520">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②服务内容目标、承诺、工作计划安排较为得当、各时间节点及项目工期能有基本保障的得3分</w:t>
            </w:r>
          </w:p>
          <w:p w14:paraId="12172E6B">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③服务内容目标、承诺、工作计划安排尚能满足工期需求、部分时间节点不够明确或存在前松后紧的得2分；</w:t>
            </w:r>
          </w:p>
          <w:p w14:paraId="6124AC5F">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④服务内容目标、承诺、工作计划安排存在明显不合理之处、或时间节点混乱、难以保障项目工期的得1分。</w:t>
            </w:r>
          </w:p>
          <w:p w14:paraId="776D4743">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未提供相关内容不得分。</w:t>
            </w:r>
          </w:p>
        </w:tc>
      </w:tr>
      <w:tr w14:paraId="2D03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317" w:type="dxa"/>
            <w:vMerge w:val="continue"/>
            <w:noWrap w:val="0"/>
            <w:vAlign w:val="center"/>
          </w:tcPr>
          <w:p w14:paraId="2FEE51E3">
            <w:pPr>
              <w:keepNext w:val="0"/>
              <w:keepLines w:val="0"/>
              <w:suppressLineNumbers w:val="0"/>
              <w:spacing w:before="0" w:beforeAutospacing="0" w:after="0" w:afterAutospacing="0" w:line="420" w:lineRule="exact"/>
              <w:ind w:left="315" w:leftChars="100" w:right="0" w:hanging="105" w:hangingChars="50"/>
              <w:rPr>
                <w:rFonts w:hint="eastAsia" w:ascii="宋体" w:hAnsi="宋体" w:eastAsia="宋体" w:cs="宋体"/>
                <w:sz w:val="21"/>
                <w:szCs w:val="21"/>
              </w:rPr>
            </w:pPr>
          </w:p>
        </w:tc>
        <w:tc>
          <w:tcPr>
            <w:tcW w:w="1126" w:type="dxa"/>
            <w:vMerge w:val="restart"/>
            <w:noWrap w:val="0"/>
            <w:vAlign w:val="center"/>
          </w:tcPr>
          <w:p w14:paraId="201E88EA">
            <w:pPr>
              <w:keepNext w:val="0"/>
              <w:keepLines w:val="0"/>
              <w:suppressLineNumbers w:val="0"/>
              <w:spacing w:before="0" w:beforeAutospacing="0" w:after="0" w:afterAutospacing="0"/>
              <w:ind w:left="0" w:right="0"/>
              <w:jc w:val="center"/>
              <w:rPr>
                <w:rFonts w:hint="default" w:ascii="宋体" w:hAnsi="宋体" w:eastAsia="宋体"/>
                <w:color w:val="000000"/>
                <w:szCs w:val="20"/>
              </w:rPr>
            </w:pPr>
            <w:r>
              <w:rPr>
                <w:rFonts w:hint="eastAsia" w:ascii="宋体" w:hAnsi="宋体" w:eastAsia="宋体" w:cs="宋体"/>
                <w:color w:val="auto"/>
                <w:szCs w:val="21"/>
                <w:highlight w:val="none"/>
                <w:lang w:eastAsia="zh-CN"/>
              </w:rPr>
              <w:t>整体就餐管理方案</w:t>
            </w:r>
          </w:p>
          <w:p w14:paraId="1848CD43">
            <w:pPr>
              <w:keepNext w:val="0"/>
              <w:keepLines w:val="0"/>
              <w:suppressLineNumbers w:val="0"/>
              <w:spacing w:before="0" w:beforeAutospacing="0" w:after="0" w:afterAutospacing="0" w:line="400" w:lineRule="exact"/>
              <w:ind w:left="0" w:right="0"/>
              <w:rPr>
                <w:rFonts w:hint="default" w:ascii="宋体" w:hAnsi="宋体" w:eastAsia="宋体" w:cs="宋体"/>
                <w:b/>
                <w:sz w:val="21"/>
                <w:szCs w:val="21"/>
                <w:lang w:val="en-US"/>
              </w:rPr>
            </w:pPr>
            <w:r>
              <w:rPr>
                <w:rFonts w:hint="eastAsia" w:ascii="宋体" w:hAnsi="宋体" w:eastAsia="宋体"/>
                <w:color w:val="000000"/>
                <w:szCs w:val="20"/>
              </w:rPr>
              <w:t>（</w:t>
            </w:r>
            <w:r>
              <w:rPr>
                <w:rFonts w:hint="eastAsia" w:ascii="宋体" w:hAnsi="宋体"/>
                <w:color w:val="000000"/>
                <w:szCs w:val="20"/>
                <w:lang w:val="en-US" w:eastAsia="zh-CN"/>
              </w:rPr>
              <w:t>24</w:t>
            </w:r>
            <w:r>
              <w:rPr>
                <w:rFonts w:hint="eastAsia" w:ascii="宋体" w:hAnsi="宋体" w:eastAsia="宋体"/>
                <w:color w:val="000000"/>
                <w:szCs w:val="20"/>
              </w:rPr>
              <w:t>分）</w:t>
            </w:r>
          </w:p>
        </w:tc>
        <w:tc>
          <w:tcPr>
            <w:tcW w:w="7377" w:type="dxa"/>
            <w:noWrap w:val="0"/>
            <w:vAlign w:val="center"/>
          </w:tcPr>
          <w:p w14:paraId="0D3ABA73">
            <w:pPr>
              <w:pStyle w:val="44"/>
              <w:keepNext w:val="0"/>
              <w:keepLines w:val="0"/>
              <w:suppressLineNumbers w:val="0"/>
              <w:spacing w:before="0" w:beforeAutospacing="0" w:after="0" w:afterAutospacing="0"/>
              <w:ind w:left="0" w:leftChars="0" w:right="0" w:firstLine="0" w:firstLineChars="0"/>
              <w:rPr>
                <w:rFonts w:hint="default"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3.1、 根据招标需求，提供合理的配餐方案，针对一年四季制定的菜谱方案、配餐新鲜、营养、荤素搭配切实可行的方案进行评审（满分4分）:</w:t>
            </w:r>
          </w:p>
          <w:p w14:paraId="6DAE6924">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①方案完整，科学合理，能很好契合项目实际情况，完全符合采购人需求的得4分；</w:t>
            </w:r>
          </w:p>
          <w:p w14:paraId="387D3ECA">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②方案完整，科学合理、基本契合项目情况，符合采购人需求的得3分；</w:t>
            </w:r>
          </w:p>
          <w:p w14:paraId="767CEE71">
            <w:pPr>
              <w:pStyle w:val="44"/>
              <w:keepNext w:val="0"/>
              <w:keepLines w:val="0"/>
              <w:suppressLineNumbers w:val="0"/>
              <w:spacing w:before="0" w:beforeAutospacing="0" w:after="0" w:afterAutospacing="0"/>
              <w:ind w:left="0" w:leftChars="0" w:right="0" w:firstLine="0" w:firstLineChars="0"/>
              <w:rPr>
                <w:rFonts w:hint="default"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③方案基本完整，但存在一定瑕疵，基本符合采购人需求的得2分；</w:t>
            </w:r>
          </w:p>
          <w:p w14:paraId="7AA16A31">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④方案内容欠缺，存在明显问题，不能满足采购人需求的得1分；</w:t>
            </w:r>
          </w:p>
          <w:p w14:paraId="3DCADFA8">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未提供相关内容的不得分。</w:t>
            </w:r>
          </w:p>
        </w:tc>
      </w:tr>
      <w:tr w14:paraId="7790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17" w:type="dxa"/>
            <w:vMerge w:val="continue"/>
            <w:noWrap w:val="0"/>
            <w:vAlign w:val="center"/>
          </w:tcPr>
          <w:p w14:paraId="2063288A">
            <w:pPr>
              <w:keepNext w:val="0"/>
              <w:keepLines w:val="0"/>
              <w:suppressLineNumbers w:val="0"/>
              <w:spacing w:before="0" w:beforeAutospacing="0" w:after="0" w:afterAutospacing="0" w:line="420" w:lineRule="exact"/>
              <w:ind w:left="315" w:leftChars="100" w:right="0" w:hanging="105" w:hangingChars="50"/>
              <w:rPr>
                <w:rFonts w:hint="eastAsia" w:ascii="宋体" w:hAnsi="宋体" w:eastAsia="宋体" w:cs="宋体"/>
                <w:sz w:val="21"/>
                <w:szCs w:val="21"/>
              </w:rPr>
            </w:pPr>
          </w:p>
        </w:tc>
        <w:tc>
          <w:tcPr>
            <w:tcW w:w="1126" w:type="dxa"/>
            <w:vMerge w:val="continue"/>
            <w:noWrap w:val="0"/>
            <w:vAlign w:val="center"/>
          </w:tcPr>
          <w:p w14:paraId="029DD44C">
            <w:pPr>
              <w:keepNext w:val="0"/>
              <w:keepLines w:val="0"/>
              <w:suppressLineNumbers w:val="0"/>
              <w:spacing w:before="0" w:beforeAutospacing="0" w:after="0" w:afterAutospacing="0" w:line="400" w:lineRule="exact"/>
              <w:ind w:left="0" w:right="0"/>
              <w:rPr>
                <w:rFonts w:hint="eastAsia" w:ascii="宋体" w:hAnsi="宋体" w:eastAsia="宋体"/>
                <w:color w:val="000000"/>
                <w:szCs w:val="20"/>
              </w:rPr>
            </w:pPr>
          </w:p>
        </w:tc>
        <w:tc>
          <w:tcPr>
            <w:tcW w:w="7377" w:type="dxa"/>
            <w:noWrap w:val="0"/>
            <w:vAlign w:val="center"/>
          </w:tcPr>
          <w:p w14:paraId="29931E65">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3.2、 根据评委对供应商提供的特色服务方案进行综合评议（满分4分）：</w:t>
            </w:r>
          </w:p>
          <w:p w14:paraId="11F7D5E9">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①方案内容编制全面，能很好契合项目实际情况，完全符合采购人需求的得4分；</w:t>
            </w:r>
          </w:p>
          <w:p w14:paraId="7FD76FAE">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②方案内容编制合理、基本契合项目情况，符合采购人需求的得3分；</w:t>
            </w:r>
          </w:p>
          <w:p w14:paraId="40F71F77">
            <w:pPr>
              <w:pStyle w:val="44"/>
              <w:keepNext w:val="0"/>
              <w:keepLines w:val="0"/>
              <w:suppressLineNumbers w:val="0"/>
              <w:spacing w:before="0" w:beforeAutospacing="0" w:after="0" w:afterAutospacing="0"/>
              <w:ind w:left="0" w:leftChars="0" w:right="0" w:firstLine="0" w:firstLineChars="0"/>
              <w:rPr>
                <w:rFonts w:hint="default"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③方案基本完整，但存在一定瑕疵，基本符合采购人需求的得2分；</w:t>
            </w:r>
          </w:p>
          <w:p w14:paraId="4DB099B2">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④方案内容欠缺，存在明显问题，不能满足采购人需求的得1分；</w:t>
            </w:r>
          </w:p>
          <w:p w14:paraId="3C5A80B6">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未提供相关内容的不得分。</w:t>
            </w:r>
          </w:p>
        </w:tc>
      </w:tr>
      <w:tr w14:paraId="7848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17" w:type="dxa"/>
            <w:vMerge w:val="continue"/>
            <w:noWrap w:val="0"/>
            <w:vAlign w:val="center"/>
          </w:tcPr>
          <w:p w14:paraId="310DDB26">
            <w:pPr>
              <w:keepNext w:val="0"/>
              <w:keepLines w:val="0"/>
              <w:suppressLineNumbers w:val="0"/>
              <w:spacing w:before="0" w:beforeAutospacing="0" w:after="0" w:afterAutospacing="0" w:line="420" w:lineRule="exact"/>
              <w:ind w:left="315" w:leftChars="100" w:right="0" w:hanging="105" w:hangingChars="50"/>
              <w:rPr>
                <w:rFonts w:hint="eastAsia" w:ascii="宋体" w:hAnsi="宋体" w:eastAsia="宋体" w:cs="宋体"/>
                <w:sz w:val="21"/>
                <w:szCs w:val="21"/>
              </w:rPr>
            </w:pPr>
          </w:p>
        </w:tc>
        <w:tc>
          <w:tcPr>
            <w:tcW w:w="1126" w:type="dxa"/>
            <w:vMerge w:val="continue"/>
            <w:noWrap w:val="0"/>
            <w:vAlign w:val="center"/>
          </w:tcPr>
          <w:p w14:paraId="76D9F7D4">
            <w:pPr>
              <w:keepNext w:val="0"/>
              <w:keepLines w:val="0"/>
              <w:suppressLineNumbers w:val="0"/>
              <w:spacing w:before="0" w:beforeAutospacing="0" w:after="0" w:afterAutospacing="0" w:line="400" w:lineRule="exact"/>
              <w:ind w:left="0" w:right="0"/>
              <w:rPr>
                <w:rFonts w:hint="eastAsia" w:ascii="宋体" w:hAnsi="宋体" w:eastAsia="宋体"/>
                <w:color w:val="000000"/>
                <w:szCs w:val="20"/>
              </w:rPr>
            </w:pPr>
          </w:p>
        </w:tc>
        <w:tc>
          <w:tcPr>
            <w:tcW w:w="7377" w:type="dxa"/>
            <w:noWrap w:val="0"/>
            <w:vAlign w:val="center"/>
          </w:tcPr>
          <w:p w14:paraId="6BA10D5E">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2.3 、根据评委对供应商提供的服务的质量承诺的完整性、合理性、符合性进行综合评议（满分4分）：</w:t>
            </w:r>
          </w:p>
          <w:p w14:paraId="652020B8">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①方案内容编制全面，能很好契合项目实际情况，完全符合采购人需求的得4分；</w:t>
            </w:r>
          </w:p>
          <w:p w14:paraId="4853B54A">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②方案内容编制合理、基本契合项目情况，符合采购人需求的得3分；</w:t>
            </w:r>
          </w:p>
          <w:p w14:paraId="31E896D3">
            <w:pPr>
              <w:pStyle w:val="44"/>
              <w:keepNext w:val="0"/>
              <w:keepLines w:val="0"/>
              <w:suppressLineNumbers w:val="0"/>
              <w:spacing w:before="0" w:beforeAutospacing="0" w:after="0" w:afterAutospacing="0"/>
              <w:ind w:left="0" w:leftChars="0" w:right="0" w:firstLine="0" w:firstLineChars="0"/>
              <w:rPr>
                <w:rFonts w:hint="default"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③方案基本完整，但存在一定瑕疵，基本符合采购人需求的得2分；</w:t>
            </w:r>
          </w:p>
          <w:p w14:paraId="324AF58A">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④方案内容欠缺，存在明显问题，不能满足采购人需求的得1分；</w:t>
            </w:r>
          </w:p>
          <w:p w14:paraId="27F9500B">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未提供相关内容的不得分。</w:t>
            </w:r>
          </w:p>
        </w:tc>
      </w:tr>
      <w:tr w14:paraId="005E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17" w:type="dxa"/>
            <w:vMerge w:val="continue"/>
            <w:noWrap w:val="0"/>
            <w:vAlign w:val="center"/>
          </w:tcPr>
          <w:p w14:paraId="70FB158F">
            <w:pPr>
              <w:keepNext w:val="0"/>
              <w:keepLines w:val="0"/>
              <w:suppressLineNumbers w:val="0"/>
              <w:spacing w:before="0" w:beforeAutospacing="0" w:after="0" w:afterAutospacing="0" w:line="420" w:lineRule="exact"/>
              <w:ind w:left="315" w:leftChars="100" w:right="0" w:hanging="105" w:hangingChars="50"/>
              <w:rPr>
                <w:rFonts w:hint="eastAsia" w:ascii="宋体" w:hAnsi="宋体" w:eastAsia="宋体" w:cs="宋体"/>
                <w:sz w:val="21"/>
                <w:szCs w:val="21"/>
              </w:rPr>
            </w:pPr>
          </w:p>
        </w:tc>
        <w:tc>
          <w:tcPr>
            <w:tcW w:w="1126" w:type="dxa"/>
            <w:vMerge w:val="continue"/>
            <w:noWrap w:val="0"/>
            <w:vAlign w:val="center"/>
          </w:tcPr>
          <w:p w14:paraId="389E37DA">
            <w:pPr>
              <w:keepNext w:val="0"/>
              <w:keepLines w:val="0"/>
              <w:suppressLineNumbers w:val="0"/>
              <w:spacing w:before="0" w:beforeAutospacing="0" w:after="0" w:afterAutospacing="0" w:line="400" w:lineRule="exact"/>
              <w:ind w:left="0" w:right="0"/>
              <w:rPr>
                <w:rFonts w:hint="eastAsia" w:ascii="宋体" w:hAnsi="宋体" w:eastAsia="宋体"/>
                <w:color w:val="000000"/>
                <w:szCs w:val="20"/>
              </w:rPr>
            </w:pPr>
          </w:p>
        </w:tc>
        <w:tc>
          <w:tcPr>
            <w:tcW w:w="7377" w:type="dxa"/>
            <w:noWrap w:val="0"/>
            <w:vAlign w:val="center"/>
          </w:tcPr>
          <w:p w14:paraId="798396B7">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3.4、 评委根据供应商针对本项目食材的安全卫生管理，评委酌情打分（满分4分）：</w:t>
            </w:r>
          </w:p>
          <w:p w14:paraId="31DAF3A0">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①方案内容编制全面，能很好契合项目实际情况，完全符合采购人需求的得4分；</w:t>
            </w:r>
          </w:p>
          <w:p w14:paraId="4D6C084C">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②方案内容编制合理、基本契合项目情况，符合采购人需求的得3分；</w:t>
            </w:r>
          </w:p>
          <w:p w14:paraId="1F39B446">
            <w:pPr>
              <w:pStyle w:val="44"/>
              <w:keepNext w:val="0"/>
              <w:keepLines w:val="0"/>
              <w:suppressLineNumbers w:val="0"/>
              <w:spacing w:before="0" w:beforeAutospacing="0" w:after="0" w:afterAutospacing="0"/>
              <w:ind w:left="0" w:leftChars="0" w:right="0" w:firstLine="0" w:firstLineChars="0"/>
              <w:rPr>
                <w:rFonts w:hint="default"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③方案基本完整，但存在一定瑕疵，基本符合采购人需求的得2分；</w:t>
            </w:r>
          </w:p>
          <w:p w14:paraId="31B637F1">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④方案内容欠缺，存在明显问题，不能满足采购人需求的得1分；</w:t>
            </w:r>
          </w:p>
          <w:p w14:paraId="0CD14000">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未提供相关内容的不得分。</w:t>
            </w:r>
          </w:p>
        </w:tc>
      </w:tr>
      <w:tr w14:paraId="7D7A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17" w:type="dxa"/>
            <w:vMerge w:val="continue"/>
            <w:noWrap w:val="0"/>
            <w:vAlign w:val="center"/>
          </w:tcPr>
          <w:p w14:paraId="32E746B2">
            <w:pPr>
              <w:keepNext w:val="0"/>
              <w:keepLines w:val="0"/>
              <w:suppressLineNumbers w:val="0"/>
              <w:spacing w:before="0" w:beforeAutospacing="0" w:after="0" w:afterAutospacing="0" w:line="420" w:lineRule="exact"/>
              <w:ind w:left="315" w:leftChars="100" w:right="0" w:hanging="105" w:hangingChars="50"/>
              <w:rPr>
                <w:rFonts w:hint="eastAsia" w:ascii="宋体" w:hAnsi="宋体" w:eastAsia="宋体" w:cs="宋体"/>
                <w:sz w:val="21"/>
                <w:szCs w:val="21"/>
              </w:rPr>
            </w:pPr>
          </w:p>
        </w:tc>
        <w:tc>
          <w:tcPr>
            <w:tcW w:w="1126" w:type="dxa"/>
            <w:vMerge w:val="continue"/>
            <w:noWrap w:val="0"/>
            <w:vAlign w:val="center"/>
          </w:tcPr>
          <w:p w14:paraId="750A2A50">
            <w:pPr>
              <w:keepNext w:val="0"/>
              <w:keepLines w:val="0"/>
              <w:suppressLineNumbers w:val="0"/>
              <w:spacing w:before="0" w:beforeAutospacing="0" w:after="0" w:afterAutospacing="0" w:line="400" w:lineRule="exact"/>
              <w:ind w:left="0" w:right="0"/>
              <w:rPr>
                <w:rFonts w:hint="eastAsia" w:ascii="宋体" w:hAnsi="宋体" w:eastAsia="宋体"/>
                <w:color w:val="000000"/>
                <w:szCs w:val="20"/>
              </w:rPr>
            </w:pPr>
          </w:p>
        </w:tc>
        <w:tc>
          <w:tcPr>
            <w:tcW w:w="7377" w:type="dxa"/>
            <w:noWrap w:val="0"/>
            <w:vAlign w:val="center"/>
          </w:tcPr>
          <w:p w14:paraId="194B4236">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3.5、 评委根据供应商针对本项目节能管理措施，评委酌情打分（满分4分）：</w:t>
            </w:r>
          </w:p>
          <w:p w14:paraId="74EDA8E8">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①方案完整，科学合理，能很好契合项目实际情况，完全符合采购人需求的得4分；</w:t>
            </w:r>
          </w:p>
          <w:p w14:paraId="748D9756">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②方案完整，科学合理、基本契合项目情况的得3分；</w:t>
            </w:r>
          </w:p>
          <w:p w14:paraId="6908F0EF">
            <w:pPr>
              <w:pStyle w:val="44"/>
              <w:keepNext w:val="0"/>
              <w:keepLines w:val="0"/>
              <w:suppressLineNumbers w:val="0"/>
              <w:spacing w:before="0" w:beforeAutospacing="0" w:after="0" w:afterAutospacing="0"/>
              <w:ind w:left="0" w:leftChars="0" w:right="0" w:firstLine="0" w:firstLineChars="0"/>
              <w:rPr>
                <w:rFonts w:hint="default"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③方案基本完整，但存在一定瑕疵，基本符合采购人需求的得2分；</w:t>
            </w:r>
          </w:p>
          <w:p w14:paraId="754FE117">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④ 方案内容欠缺，存在明显问题，不能满足采购人需求的得1分；</w:t>
            </w:r>
          </w:p>
          <w:p w14:paraId="59C0EEDA">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未提供相关内容的不得分</w:t>
            </w:r>
          </w:p>
        </w:tc>
      </w:tr>
      <w:tr w14:paraId="3F61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17" w:type="dxa"/>
            <w:vMerge w:val="continue"/>
            <w:noWrap w:val="0"/>
            <w:vAlign w:val="center"/>
          </w:tcPr>
          <w:p w14:paraId="24FDEFCD">
            <w:pPr>
              <w:keepNext w:val="0"/>
              <w:keepLines w:val="0"/>
              <w:suppressLineNumbers w:val="0"/>
              <w:spacing w:before="0" w:beforeAutospacing="0" w:after="0" w:afterAutospacing="0" w:line="420" w:lineRule="exact"/>
              <w:ind w:left="315" w:leftChars="100" w:right="0" w:hanging="105" w:hangingChars="50"/>
              <w:rPr>
                <w:rFonts w:hint="eastAsia" w:ascii="宋体" w:hAnsi="宋体" w:eastAsia="宋体" w:cs="宋体"/>
                <w:sz w:val="21"/>
                <w:szCs w:val="21"/>
              </w:rPr>
            </w:pPr>
          </w:p>
        </w:tc>
        <w:tc>
          <w:tcPr>
            <w:tcW w:w="1126" w:type="dxa"/>
            <w:vMerge w:val="continue"/>
            <w:noWrap w:val="0"/>
            <w:vAlign w:val="center"/>
          </w:tcPr>
          <w:p w14:paraId="46029BB6">
            <w:pPr>
              <w:keepNext w:val="0"/>
              <w:keepLines w:val="0"/>
              <w:suppressLineNumbers w:val="0"/>
              <w:spacing w:before="0" w:beforeAutospacing="0" w:after="0" w:afterAutospacing="0" w:line="400" w:lineRule="exact"/>
              <w:ind w:left="0" w:right="0"/>
              <w:rPr>
                <w:rFonts w:hint="eastAsia" w:ascii="宋体" w:hAnsi="宋体" w:eastAsia="宋体"/>
                <w:color w:val="000000"/>
                <w:szCs w:val="20"/>
              </w:rPr>
            </w:pPr>
          </w:p>
        </w:tc>
        <w:tc>
          <w:tcPr>
            <w:tcW w:w="7377" w:type="dxa"/>
            <w:noWrap w:val="0"/>
            <w:vAlign w:val="center"/>
          </w:tcPr>
          <w:p w14:paraId="105784FB">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3.6 、根据供应商拟定的针对设施设备的使用方式、保管管理制度等进行综合评议（满分4分）：</w:t>
            </w:r>
          </w:p>
          <w:p w14:paraId="251F4D47">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①方案内容编制全面，能很好契合项目实际情况，完全符合采购人需求的得4分；</w:t>
            </w:r>
          </w:p>
          <w:p w14:paraId="39FFE22A">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②方案内容编制合理、基本契合项目情况的得3分；</w:t>
            </w:r>
          </w:p>
          <w:p w14:paraId="44A0A609">
            <w:pPr>
              <w:pStyle w:val="44"/>
              <w:keepNext w:val="0"/>
              <w:keepLines w:val="0"/>
              <w:suppressLineNumbers w:val="0"/>
              <w:spacing w:before="0" w:beforeAutospacing="0" w:after="0" w:afterAutospacing="0"/>
              <w:ind w:left="0" w:leftChars="0" w:right="0" w:firstLine="0" w:firstLineChars="0"/>
              <w:rPr>
                <w:rFonts w:hint="default"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③方案基本完整，但存在一定瑕疵，基本符合采购人需求的得2分；</w:t>
            </w:r>
          </w:p>
          <w:p w14:paraId="3AF16812">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b w:val="0"/>
                <w:bCs w:val="0"/>
                <w:color w:val="000000"/>
                <w:kern w:val="2"/>
                <w:sz w:val="21"/>
                <w:szCs w:val="20"/>
                <w:lang w:val="en-US" w:eastAsia="zh-CN" w:bidi="ar-SA"/>
              </w:rPr>
            </w:pPr>
            <w:r>
              <w:rPr>
                <w:rFonts w:hint="eastAsia" w:ascii="宋体" w:hAnsi="宋体" w:eastAsia="宋体" w:cs="Times New Roman"/>
                <w:b w:val="0"/>
                <w:bCs w:val="0"/>
                <w:color w:val="000000"/>
                <w:kern w:val="2"/>
                <w:sz w:val="21"/>
                <w:szCs w:val="20"/>
                <w:lang w:val="en-US" w:eastAsia="zh-CN" w:bidi="ar-SA"/>
              </w:rPr>
              <w:t>④方案内容欠缺，存在明显问题，不能满足采购人需求的得1分；</w:t>
            </w:r>
          </w:p>
          <w:p w14:paraId="0D08899D">
            <w:pPr>
              <w:pStyle w:val="44"/>
              <w:keepNext w:val="0"/>
              <w:keepLines w:val="0"/>
              <w:suppressLineNumbers w:val="0"/>
              <w:spacing w:before="0" w:beforeAutospacing="0" w:after="0" w:afterAutospacing="0"/>
              <w:ind w:left="0" w:leftChars="0" w:right="0" w:firstLine="0" w:firstLineChars="0"/>
              <w:rPr>
                <w:rFonts w:hint="eastAsia" w:ascii="Times New Roman" w:hAnsi="Times New Roman" w:eastAsia="宋体" w:cs="宋体"/>
                <w:b w:val="0"/>
                <w:bCs w:val="0"/>
                <w:color w:val="000000"/>
                <w:kern w:val="1"/>
                <w:sz w:val="21"/>
                <w:szCs w:val="21"/>
                <w:highlight w:val="none"/>
                <w:lang w:val="en-US" w:eastAsia="zh-CN" w:bidi="ar-SA"/>
              </w:rPr>
            </w:pPr>
            <w:r>
              <w:rPr>
                <w:rFonts w:hint="eastAsia" w:ascii="宋体" w:hAnsi="宋体" w:eastAsia="宋体" w:cs="Times New Roman"/>
                <w:b w:val="0"/>
                <w:bCs w:val="0"/>
                <w:color w:val="000000"/>
                <w:kern w:val="2"/>
                <w:sz w:val="21"/>
                <w:szCs w:val="20"/>
                <w:lang w:val="en-US" w:eastAsia="zh-CN" w:bidi="ar-SA"/>
              </w:rPr>
              <w:t>未提供相关内容的不得分。</w:t>
            </w:r>
          </w:p>
        </w:tc>
      </w:tr>
      <w:tr w14:paraId="7E20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1317" w:type="dxa"/>
            <w:vMerge w:val="continue"/>
            <w:noWrap w:val="0"/>
            <w:vAlign w:val="center"/>
          </w:tcPr>
          <w:p w14:paraId="1614A925">
            <w:pPr>
              <w:keepNext w:val="0"/>
              <w:keepLines w:val="0"/>
              <w:suppressLineNumbers w:val="0"/>
              <w:spacing w:before="0" w:beforeAutospacing="0" w:after="0" w:afterAutospacing="0" w:line="420" w:lineRule="exact"/>
              <w:ind w:left="315" w:leftChars="100" w:right="0" w:hanging="105" w:hangingChars="50"/>
              <w:rPr>
                <w:rFonts w:hint="eastAsia" w:ascii="宋体" w:hAnsi="宋体" w:eastAsia="宋体" w:cs="宋体"/>
                <w:sz w:val="21"/>
                <w:szCs w:val="21"/>
              </w:rPr>
            </w:pPr>
          </w:p>
        </w:tc>
        <w:tc>
          <w:tcPr>
            <w:tcW w:w="1126" w:type="dxa"/>
            <w:noWrap w:val="0"/>
            <w:vAlign w:val="center"/>
          </w:tcPr>
          <w:p w14:paraId="23824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olor w:val="000000"/>
                <w:szCs w:val="20"/>
              </w:rPr>
            </w:pPr>
            <w:r>
              <w:rPr>
                <w:rFonts w:hint="eastAsia" w:ascii="宋体" w:hAnsi="宋体" w:eastAsia="宋体" w:cs="宋体"/>
                <w:b w:val="0"/>
                <w:bCs/>
                <w:color w:val="auto"/>
                <w:sz w:val="21"/>
                <w:szCs w:val="21"/>
                <w:highlight w:val="none"/>
                <w:lang w:val="zh-CN"/>
              </w:rPr>
              <w:t>组织机构和人员配备</w:t>
            </w:r>
          </w:p>
          <w:p w14:paraId="55954037">
            <w:pPr>
              <w:keepNext w:val="0"/>
              <w:keepLines w:val="0"/>
              <w:suppressLineNumbers w:val="0"/>
              <w:spacing w:before="0" w:beforeAutospacing="0" w:after="0" w:afterAutospacing="0" w:line="400" w:lineRule="exact"/>
              <w:ind w:left="0" w:right="0"/>
              <w:rPr>
                <w:rFonts w:hint="eastAsia" w:ascii="宋体" w:hAnsi="宋体" w:eastAsia="宋体"/>
                <w:color w:val="000000"/>
                <w:szCs w:val="20"/>
              </w:rPr>
            </w:pPr>
            <w:r>
              <w:rPr>
                <w:rFonts w:hint="eastAsia" w:ascii="宋体" w:hAnsi="宋体" w:eastAsia="宋体"/>
                <w:color w:val="000000"/>
                <w:szCs w:val="20"/>
              </w:rPr>
              <w:t>（</w:t>
            </w:r>
            <w:r>
              <w:rPr>
                <w:rFonts w:hint="eastAsia" w:ascii="宋体" w:hAnsi="宋体"/>
                <w:color w:val="000000"/>
                <w:szCs w:val="20"/>
                <w:lang w:val="en-US" w:eastAsia="zh-CN"/>
              </w:rPr>
              <w:t>4</w:t>
            </w:r>
            <w:r>
              <w:rPr>
                <w:rFonts w:hint="eastAsia" w:ascii="宋体" w:hAnsi="宋体" w:eastAsia="宋体"/>
                <w:color w:val="000000"/>
                <w:szCs w:val="20"/>
              </w:rPr>
              <w:t>分）</w:t>
            </w:r>
          </w:p>
          <w:p w14:paraId="2C8F2FA5">
            <w:pPr>
              <w:keepNext w:val="0"/>
              <w:keepLines w:val="0"/>
              <w:suppressLineNumbers w:val="0"/>
              <w:spacing w:before="0" w:beforeAutospacing="0" w:after="0" w:afterAutospacing="0" w:line="400" w:lineRule="exact"/>
              <w:ind w:left="0" w:right="0"/>
              <w:rPr>
                <w:rFonts w:hint="default" w:ascii="宋体" w:hAnsi="宋体" w:eastAsia="宋体" w:cs="宋体"/>
                <w:b/>
                <w:sz w:val="21"/>
                <w:szCs w:val="21"/>
                <w:lang w:val="en-US"/>
              </w:rPr>
            </w:pPr>
          </w:p>
        </w:tc>
        <w:tc>
          <w:tcPr>
            <w:tcW w:w="7377" w:type="dxa"/>
            <w:noWrap w:val="0"/>
            <w:vAlign w:val="center"/>
          </w:tcPr>
          <w:p w14:paraId="0DAEB2F4">
            <w:pPr>
              <w:pStyle w:val="44"/>
              <w:keepNext w:val="0"/>
              <w:keepLines w:val="0"/>
              <w:suppressLineNumbers w:val="0"/>
              <w:spacing w:before="0" w:beforeAutospacing="0" w:after="0" w:afterAutospacing="0"/>
              <w:ind w:left="0" w:leftChars="0" w:right="0" w:firstLine="0" w:firstLineChars="0"/>
              <w:rPr>
                <w:rFonts w:hint="default" w:ascii="宋体" w:hAnsi="宋体" w:eastAsia="宋体" w:cs="Times New Roman"/>
                <w:b w:val="0"/>
                <w:bCs w:val="0"/>
                <w:color w:val="000000"/>
                <w:kern w:val="2"/>
                <w:sz w:val="21"/>
                <w:szCs w:val="20"/>
                <w:lang w:val="en-US" w:eastAsia="zh-CN" w:bidi="ar-SA"/>
              </w:rPr>
            </w:pPr>
            <w:r>
              <w:rPr>
                <w:rFonts w:hint="eastAsia" w:hAnsi="宋体" w:cs="Times New Roman"/>
                <w:b w:val="0"/>
                <w:bCs w:val="0"/>
                <w:color w:val="000000"/>
                <w:kern w:val="2"/>
                <w:sz w:val="21"/>
                <w:szCs w:val="20"/>
                <w:lang w:val="en-US" w:eastAsia="zh-CN" w:bidi="ar-SA"/>
              </w:rPr>
              <w:t>4、</w:t>
            </w:r>
            <w:r>
              <w:rPr>
                <w:rFonts w:hint="default" w:ascii="宋体" w:hAnsi="宋体" w:eastAsia="宋体" w:cs="Times New Roman"/>
                <w:b w:val="0"/>
                <w:bCs w:val="0"/>
                <w:color w:val="000000"/>
                <w:kern w:val="2"/>
                <w:sz w:val="21"/>
                <w:szCs w:val="20"/>
                <w:lang w:val="en-US" w:eastAsia="zh-CN" w:bidi="ar-SA"/>
              </w:rPr>
              <w:t>拟投入本项目的组织结构和各类人员配备合理，素质优秀等进行综合评议</w:t>
            </w:r>
            <w:r>
              <w:rPr>
                <w:rFonts w:hint="eastAsia" w:ascii="宋体" w:hAnsi="宋体" w:eastAsia="宋体" w:cs="Times New Roman"/>
                <w:b w:val="0"/>
                <w:bCs w:val="0"/>
                <w:color w:val="000000"/>
                <w:kern w:val="2"/>
                <w:sz w:val="21"/>
                <w:szCs w:val="20"/>
                <w:lang w:val="en-US" w:eastAsia="zh-CN" w:bidi="ar-SA"/>
              </w:rPr>
              <w:t>（满分4分）</w:t>
            </w:r>
            <w:r>
              <w:rPr>
                <w:rFonts w:hint="default" w:ascii="宋体" w:hAnsi="宋体" w:eastAsia="宋体" w:cs="Times New Roman"/>
                <w:b w:val="0"/>
                <w:bCs w:val="0"/>
                <w:color w:val="000000"/>
                <w:kern w:val="2"/>
                <w:sz w:val="21"/>
                <w:szCs w:val="20"/>
                <w:lang w:val="en-US" w:eastAsia="zh-CN" w:bidi="ar-SA"/>
              </w:rPr>
              <w:t>：</w:t>
            </w:r>
          </w:p>
          <w:p w14:paraId="0E74FB0C">
            <w:pPr>
              <w:pStyle w:val="44"/>
              <w:keepNext w:val="0"/>
              <w:keepLines w:val="0"/>
              <w:suppressLineNumbers w:val="0"/>
              <w:spacing w:before="0" w:beforeAutospacing="0" w:after="0" w:afterAutospacing="0"/>
              <w:ind w:left="0" w:leftChars="0" w:right="0" w:firstLine="0" w:firstLineChars="0"/>
              <w:rPr>
                <w:rFonts w:hint="default" w:ascii="宋体" w:hAnsi="宋体" w:eastAsia="宋体" w:cs="Times New Roman"/>
                <w:b w:val="0"/>
                <w:bCs w:val="0"/>
                <w:color w:val="000000"/>
                <w:kern w:val="2"/>
                <w:sz w:val="21"/>
                <w:szCs w:val="20"/>
                <w:lang w:val="en-US" w:eastAsia="zh-CN" w:bidi="ar-SA"/>
              </w:rPr>
            </w:pPr>
            <w:r>
              <w:rPr>
                <w:rFonts w:hint="default" w:ascii="宋体" w:hAnsi="宋体" w:eastAsia="宋体" w:cs="Times New Roman"/>
                <w:b w:val="0"/>
                <w:bCs w:val="0"/>
                <w:color w:val="000000"/>
                <w:kern w:val="2"/>
                <w:sz w:val="21"/>
                <w:szCs w:val="20"/>
                <w:lang w:val="en-US" w:eastAsia="zh-CN" w:bidi="ar-SA"/>
              </w:rPr>
              <w:t>①方案完整，科学合理，能很好契合项目实际情况，完全符合采购人需求的得4分；</w:t>
            </w:r>
          </w:p>
          <w:p w14:paraId="4E5C8326">
            <w:pPr>
              <w:pStyle w:val="44"/>
              <w:keepNext w:val="0"/>
              <w:keepLines w:val="0"/>
              <w:suppressLineNumbers w:val="0"/>
              <w:spacing w:before="0" w:beforeAutospacing="0" w:after="0" w:afterAutospacing="0"/>
              <w:ind w:left="0" w:leftChars="0" w:right="0" w:firstLine="0" w:firstLineChars="0"/>
              <w:rPr>
                <w:rFonts w:hint="default" w:ascii="宋体" w:hAnsi="宋体" w:eastAsia="宋体" w:cs="Times New Roman"/>
                <w:b w:val="0"/>
                <w:bCs w:val="0"/>
                <w:color w:val="000000"/>
                <w:kern w:val="2"/>
                <w:sz w:val="21"/>
                <w:szCs w:val="20"/>
                <w:lang w:val="en-US" w:eastAsia="zh-CN" w:bidi="ar-SA"/>
              </w:rPr>
            </w:pPr>
            <w:r>
              <w:rPr>
                <w:rFonts w:hint="default" w:ascii="宋体" w:hAnsi="宋体" w:eastAsia="宋体" w:cs="Times New Roman"/>
                <w:b w:val="0"/>
                <w:bCs w:val="0"/>
                <w:color w:val="000000"/>
                <w:kern w:val="2"/>
                <w:sz w:val="21"/>
                <w:szCs w:val="20"/>
                <w:lang w:val="en-US" w:eastAsia="zh-CN" w:bidi="ar-SA"/>
              </w:rPr>
              <w:t>②方案完整，科学合理、基本契合项目情况的得3分；</w:t>
            </w:r>
          </w:p>
          <w:p w14:paraId="219A8097">
            <w:pPr>
              <w:pStyle w:val="44"/>
              <w:keepNext w:val="0"/>
              <w:keepLines w:val="0"/>
              <w:suppressLineNumbers w:val="0"/>
              <w:spacing w:before="0" w:beforeAutospacing="0" w:after="0" w:afterAutospacing="0"/>
              <w:ind w:left="0" w:leftChars="0" w:right="0" w:firstLine="0" w:firstLineChars="0"/>
              <w:rPr>
                <w:rFonts w:hint="default" w:ascii="宋体" w:hAnsi="宋体" w:eastAsia="宋体" w:cs="Times New Roman"/>
                <w:b w:val="0"/>
                <w:bCs w:val="0"/>
                <w:color w:val="000000"/>
                <w:kern w:val="2"/>
                <w:sz w:val="21"/>
                <w:szCs w:val="20"/>
                <w:lang w:val="en-US" w:eastAsia="zh-CN" w:bidi="ar-SA"/>
              </w:rPr>
            </w:pPr>
            <w:r>
              <w:rPr>
                <w:rFonts w:hint="default" w:ascii="宋体" w:hAnsi="宋体" w:eastAsia="宋体" w:cs="Times New Roman"/>
                <w:b w:val="0"/>
                <w:bCs w:val="0"/>
                <w:color w:val="000000"/>
                <w:kern w:val="2"/>
                <w:sz w:val="21"/>
                <w:szCs w:val="20"/>
                <w:lang w:val="en-US" w:eastAsia="zh-CN" w:bidi="ar-SA"/>
              </w:rPr>
              <w:t>③方案基本完整，但存在一定瑕疵，基本符合采购人需求的得2分；</w:t>
            </w:r>
          </w:p>
          <w:p w14:paraId="439F2D7D">
            <w:pPr>
              <w:pStyle w:val="44"/>
              <w:keepNext w:val="0"/>
              <w:keepLines w:val="0"/>
              <w:suppressLineNumbers w:val="0"/>
              <w:spacing w:before="0" w:beforeAutospacing="0" w:after="0" w:afterAutospacing="0"/>
              <w:ind w:left="0" w:leftChars="0" w:right="0" w:firstLine="0" w:firstLineChars="0"/>
              <w:rPr>
                <w:rFonts w:hint="default" w:ascii="宋体" w:hAnsi="宋体" w:eastAsia="宋体" w:cs="Times New Roman"/>
                <w:b w:val="0"/>
                <w:bCs w:val="0"/>
                <w:color w:val="000000"/>
                <w:kern w:val="2"/>
                <w:sz w:val="21"/>
                <w:szCs w:val="20"/>
                <w:lang w:val="en-US" w:eastAsia="zh-CN" w:bidi="ar-SA"/>
              </w:rPr>
            </w:pPr>
            <w:r>
              <w:rPr>
                <w:rFonts w:hint="default" w:ascii="宋体" w:hAnsi="宋体" w:eastAsia="宋体" w:cs="Times New Roman"/>
                <w:b w:val="0"/>
                <w:bCs w:val="0"/>
                <w:color w:val="000000"/>
                <w:kern w:val="2"/>
                <w:sz w:val="21"/>
                <w:szCs w:val="20"/>
                <w:lang w:val="en-US" w:eastAsia="zh-CN" w:bidi="ar-SA"/>
              </w:rPr>
              <w:t>④方案内容欠缺，存在明显问题，不能满足采购人需求的得1分；</w:t>
            </w:r>
          </w:p>
          <w:p w14:paraId="1A425437">
            <w:pPr>
              <w:pStyle w:val="44"/>
              <w:keepNext w:val="0"/>
              <w:keepLines w:val="0"/>
              <w:suppressLineNumbers w:val="0"/>
              <w:spacing w:before="0" w:beforeAutospacing="0" w:after="0" w:afterAutospacing="0"/>
              <w:ind w:left="0" w:leftChars="0" w:right="0" w:firstLine="0" w:firstLineChars="0"/>
              <w:rPr>
                <w:rFonts w:hint="default" w:ascii="宋体" w:hAnsi="宋体" w:eastAsia="宋体" w:cs="Times New Roman"/>
                <w:b w:val="0"/>
                <w:bCs w:val="0"/>
                <w:color w:val="000000"/>
                <w:kern w:val="2"/>
                <w:sz w:val="21"/>
                <w:szCs w:val="20"/>
                <w:lang w:val="en-US" w:eastAsia="zh-CN" w:bidi="ar-SA"/>
              </w:rPr>
            </w:pPr>
            <w:r>
              <w:rPr>
                <w:rFonts w:hint="default" w:ascii="宋体" w:hAnsi="宋体" w:eastAsia="宋体" w:cs="Times New Roman"/>
                <w:b w:val="0"/>
                <w:bCs w:val="0"/>
                <w:color w:val="000000"/>
                <w:kern w:val="2"/>
                <w:sz w:val="21"/>
                <w:szCs w:val="20"/>
                <w:lang w:val="en-US" w:eastAsia="zh-CN" w:bidi="ar-SA"/>
              </w:rPr>
              <w:t>未提供相关内容的不得分</w:t>
            </w:r>
          </w:p>
        </w:tc>
      </w:tr>
      <w:tr w14:paraId="332D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1317" w:type="dxa"/>
            <w:vMerge w:val="continue"/>
            <w:noWrap w:val="0"/>
            <w:vAlign w:val="center"/>
          </w:tcPr>
          <w:p w14:paraId="5D07F390">
            <w:pPr>
              <w:keepNext w:val="0"/>
              <w:keepLines w:val="0"/>
              <w:suppressLineNumbers w:val="0"/>
              <w:spacing w:before="0" w:beforeAutospacing="0" w:after="0" w:afterAutospacing="0" w:line="420" w:lineRule="exact"/>
              <w:ind w:left="315" w:leftChars="100" w:right="0" w:hanging="105" w:hangingChars="50"/>
              <w:rPr>
                <w:rFonts w:hint="eastAsia" w:ascii="宋体" w:hAnsi="宋体" w:eastAsia="宋体" w:cs="宋体"/>
                <w:sz w:val="21"/>
                <w:szCs w:val="21"/>
              </w:rPr>
            </w:pPr>
          </w:p>
        </w:tc>
        <w:tc>
          <w:tcPr>
            <w:tcW w:w="1126" w:type="dxa"/>
            <w:vMerge w:val="restart"/>
            <w:noWrap w:val="0"/>
            <w:vAlign w:val="center"/>
          </w:tcPr>
          <w:p w14:paraId="6ACB7375">
            <w:pPr>
              <w:keepNext w:val="0"/>
              <w:keepLines w:val="0"/>
              <w:pageBreakBefore w:val="0"/>
              <w:widowControl/>
              <w:suppressLineNumbers w:val="0"/>
              <w:tabs>
                <w:tab w:val="left" w:pos="4915"/>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sz w:val="21"/>
                <w:szCs w:val="21"/>
                <w:highlight w:val="none"/>
                <w:lang w:eastAsia="zh-CN"/>
              </w:rPr>
              <w:t>人员</w:t>
            </w:r>
            <w:r>
              <w:rPr>
                <w:rFonts w:hint="eastAsia" w:ascii="宋体" w:hAnsi="宋体" w:eastAsia="宋体" w:cs="宋体"/>
                <w:bCs w:val="0"/>
                <w:color w:val="auto"/>
                <w:sz w:val="21"/>
                <w:szCs w:val="21"/>
                <w:highlight w:val="none"/>
              </w:rPr>
              <w:t>培训与管理</w:t>
            </w:r>
            <w:r>
              <w:rPr>
                <w:rFonts w:hint="eastAsia" w:ascii="宋体" w:hAnsi="宋体" w:eastAsia="宋体" w:cs="宋体"/>
                <w:bCs w:val="0"/>
                <w:color w:val="auto"/>
                <w:sz w:val="21"/>
                <w:szCs w:val="21"/>
                <w:highlight w:val="none"/>
                <w:lang w:eastAsia="zh-CN"/>
              </w:rPr>
              <w:t>（</w:t>
            </w:r>
            <w:r>
              <w:rPr>
                <w:rFonts w:hint="eastAsia" w:ascii="宋体" w:hAnsi="宋体" w:eastAsia="宋体" w:cs="宋体"/>
                <w:bCs w:val="0"/>
                <w:color w:val="auto"/>
                <w:sz w:val="21"/>
                <w:szCs w:val="21"/>
                <w:highlight w:val="none"/>
                <w:lang w:val="en-US" w:eastAsia="zh-CN"/>
              </w:rPr>
              <w:t>12分）</w:t>
            </w:r>
          </w:p>
          <w:p w14:paraId="1F89AFEB">
            <w:pPr>
              <w:keepNext w:val="0"/>
              <w:keepLines w:val="0"/>
              <w:suppressLineNumbers w:val="0"/>
              <w:spacing w:before="0" w:beforeAutospacing="0" w:after="0" w:afterAutospacing="0" w:line="400" w:lineRule="exact"/>
              <w:ind w:left="0" w:right="0"/>
              <w:rPr>
                <w:rFonts w:hint="default" w:ascii="宋体" w:hAnsi="宋体" w:eastAsia="宋体" w:cs="宋体"/>
                <w:b/>
                <w:sz w:val="21"/>
                <w:szCs w:val="21"/>
                <w:lang w:val="en-US"/>
              </w:rPr>
            </w:pPr>
          </w:p>
        </w:tc>
        <w:tc>
          <w:tcPr>
            <w:tcW w:w="7377" w:type="dxa"/>
            <w:noWrap w:val="0"/>
            <w:vAlign w:val="center"/>
          </w:tcPr>
          <w:p w14:paraId="21C3095D">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kern w:val="2"/>
                <w:sz w:val="21"/>
                <w:szCs w:val="21"/>
                <w:lang w:val="en-US" w:eastAsia="zh-CN" w:bidi="ar-SA"/>
              </w:rPr>
            </w:pPr>
            <w:r>
              <w:rPr>
                <w:rFonts w:hint="eastAsia" w:hAnsi="宋体" w:cs="Times New Roman"/>
                <w:kern w:val="2"/>
                <w:sz w:val="21"/>
                <w:szCs w:val="21"/>
                <w:lang w:val="en-US" w:eastAsia="zh-CN" w:bidi="ar-SA"/>
              </w:rPr>
              <w:t>5</w:t>
            </w:r>
            <w:r>
              <w:rPr>
                <w:rFonts w:hint="eastAsia" w:ascii="宋体" w:hAnsi="宋体" w:eastAsia="宋体" w:cs="Times New Roman"/>
                <w:kern w:val="2"/>
                <w:sz w:val="21"/>
                <w:szCs w:val="21"/>
                <w:lang w:val="en-US" w:eastAsia="zh-CN" w:bidi="ar-SA"/>
              </w:rPr>
              <w:t>.1</w:t>
            </w:r>
            <w:r>
              <w:rPr>
                <w:rFonts w:hint="eastAsia"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 xml:space="preserve"> 针对本项目的人员培训计划、内容、目标等情况进行综合评议</w:t>
            </w:r>
            <w:r>
              <w:rPr>
                <w:rFonts w:hint="eastAsia" w:ascii="宋体" w:hAnsi="宋体" w:eastAsia="宋体" w:cs="Times New Roman"/>
                <w:b w:val="0"/>
                <w:bCs w:val="0"/>
                <w:color w:val="000000"/>
                <w:kern w:val="2"/>
                <w:sz w:val="21"/>
                <w:szCs w:val="20"/>
                <w:lang w:val="en-US" w:eastAsia="zh-CN" w:bidi="ar-SA"/>
              </w:rPr>
              <w:t>（满分4分）</w:t>
            </w:r>
            <w:r>
              <w:rPr>
                <w:rFonts w:hint="eastAsia" w:ascii="宋体" w:hAnsi="宋体" w:eastAsia="宋体" w:cs="Times New Roman"/>
                <w:kern w:val="2"/>
                <w:sz w:val="21"/>
                <w:szCs w:val="21"/>
                <w:lang w:val="en-US" w:eastAsia="zh-CN" w:bidi="ar-SA"/>
              </w:rPr>
              <w:t>：</w:t>
            </w:r>
          </w:p>
          <w:p w14:paraId="025CC9E8">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①方案完整，科学合理，能很好契合项目实际情况，完全符合采购人需求的得4分；</w:t>
            </w:r>
          </w:p>
          <w:p w14:paraId="171023A4">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②方案完整，科学合理、基本契合项目情况，符合采购人需求的得3分；</w:t>
            </w:r>
          </w:p>
          <w:p w14:paraId="1CBF5F5E">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③方案基本完整，但存在一定瑕疵，基本符合采购人需求的得2分；</w:t>
            </w:r>
          </w:p>
          <w:p w14:paraId="56DF5F3B">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④方案内容编制存在瑕疵，与项目实际情况存在出入，操作性一般的得1分； </w:t>
            </w:r>
          </w:p>
          <w:p w14:paraId="0975636D">
            <w:pPr>
              <w:pStyle w:val="44"/>
              <w:keepNext w:val="0"/>
              <w:keepLines w:val="0"/>
              <w:suppressLineNumbers w:val="0"/>
              <w:spacing w:before="0" w:beforeAutospacing="0" w:after="0" w:afterAutospacing="0"/>
              <w:ind w:left="0" w:leftChars="0" w:right="0" w:firstLine="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未提供相关内容的不得分</w:t>
            </w:r>
          </w:p>
        </w:tc>
      </w:tr>
      <w:tr w14:paraId="7945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317" w:type="dxa"/>
            <w:vMerge w:val="continue"/>
            <w:noWrap w:val="0"/>
            <w:vAlign w:val="center"/>
          </w:tcPr>
          <w:p w14:paraId="363A3B76">
            <w:pPr>
              <w:keepNext w:val="0"/>
              <w:keepLines w:val="0"/>
              <w:suppressLineNumbers w:val="0"/>
              <w:spacing w:before="0" w:beforeAutospacing="0" w:after="0" w:afterAutospacing="0" w:line="420" w:lineRule="exact"/>
              <w:ind w:left="315" w:leftChars="100" w:right="0" w:hanging="105" w:hangingChars="50"/>
              <w:rPr>
                <w:rFonts w:hint="eastAsia" w:ascii="宋体" w:hAnsi="宋体" w:eastAsia="宋体" w:cs="宋体"/>
                <w:sz w:val="21"/>
                <w:szCs w:val="21"/>
              </w:rPr>
            </w:pPr>
          </w:p>
        </w:tc>
        <w:tc>
          <w:tcPr>
            <w:tcW w:w="1126" w:type="dxa"/>
            <w:vMerge w:val="continue"/>
            <w:noWrap w:val="0"/>
            <w:vAlign w:val="center"/>
          </w:tcPr>
          <w:p w14:paraId="1BF5E759">
            <w:pPr>
              <w:keepNext w:val="0"/>
              <w:keepLines w:val="0"/>
              <w:suppressLineNumbers w:val="0"/>
              <w:spacing w:before="0" w:beforeAutospacing="0" w:after="0" w:afterAutospacing="0" w:line="400" w:lineRule="exact"/>
              <w:ind w:left="0" w:right="0"/>
              <w:rPr>
                <w:rFonts w:hint="eastAsia" w:ascii="宋体" w:hAnsi="宋体" w:eastAsia="宋体" w:cs="宋体"/>
                <w:b/>
                <w:sz w:val="21"/>
                <w:szCs w:val="21"/>
              </w:rPr>
            </w:pPr>
          </w:p>
        </w:tc>
        <w:tc>
          <w:tcPr>
            <w:tcW w:w="7377" w:type="dxa"/>
            <w:noWrap w:val="0"/>
            <w:vAlign w:val="center"/>
          </w:tcPr>
          <w:p w14:paraId="66F977FA">
            <w:pPr>
              <w:pStyle w:val="44"/>
              <w:keepNext w:val="0"/>
              <w:keepLines w:val="0"/>
              <w:suppressLineNumbers w:val="0"/>
              <w:spacing w:before="0" w:beforeAutospacing="0" w:after="0" w:afterAutospacing="0"/>
              <w:ind w:left="0" w:leftChars="0" w:right="0" w:firstLine="0" w:firstLineChars="0"/>
              <w:rPr>
                <w:rFonts w:hint="eastAsia" w:ascii="Times New Roman" w:eastAsia="宋体"/>
                <w:kern w:val="2"/>
                <w:sz w:val="21"/>
                <w:szCs w:val="20"/>
                <w:lang w:val="en-US" w:eastAsia="zh-CN"/>
              </w:rPr>
            </w:pPr>
            <w:r>
              <w:rPr>
                <w:rFonts w:hint="eastAsia" w:ascii="Times New Roman"/>
                <w:kern w:val="2"/>
                <w:sz w:val="21"/>
                <w:szCs w:val="20"/>
                <w:lang w:val="en-US" w:eastAsia="zh-CN"/>
              </w:rPr>
              <w:t>5</w:t>
            </w:r>
            <w:r>
              <w:rPr>
                <w:rFonts w:hint="eastAsia" w:ascii="Times New Roman" w:eastAsia="宋体"/>
                <w:kern w:val="2"/>
                <w:sz w:val="21"/>
                <w:szCs w:val="20"/>
                <w:lang w:val="en-US" w:eastAsia="zh-CN"/>
              </w:rPr>
              <w:t>.2</w:t>
            </w:r>
            <w:r>
              <w:rPr>
                <w:rFonts w:hint="eastAsia" w:ascii="Times New Roman"/>
                <w:kern w:val="2"/>
                <w:sz w:val="21"/>
                <w:szCs w:val="20"/>
                <w:lang w:val="en-US" w:eastAsia="zh-CN"/>
              </w:rPr>
              <w:t>、</w:t>
            </w:r>
            <w:r>
              <w:rPr>
                <w:rFonts w:hint="eastAsia" w:ascii="Times New Roman" w:eastAsia="宋体"/>
                <w:kern w:val="2"/>
                <w:sz w:val="21"/>
                <w:szCs w:val="20"/>
                <w:lang w:val="en-US" w:eastAsia="zh-CN"/>
              </w:rPr>
              <w:t xml:space="preserve"> 针对本项目的人员录用与考核有标准、措施、奖罚淘汰制等情况进行综合评议</w:t>
            </w:r>
            <w:r>
              <w:rPr>
                <w:rFonts w:hint="eastAsia" w:ascii="宋体" w:hAnsi="宋体" w:eastAsia="宋体" w:cs="Times New Roman"/>
                <w:b w:val="0"/>
                <w:bCs w:val="0"/>
                <w:color w:val="000000"/>
                <w:kern w:val="2"/>
                <w:sz w:val="21"/>
                <w:szCs w:val="20"/>
                <w:lang w:val="en-US" w:eastAsia="zh-CN" w:bidi="ar-SA"/>
              </w:rPr>
              <w:t>（满分4分）</w:t>
            </w:r>
            <w:r>
              <w:rPr>
                <w:rFonts w:hint="eastAsia" w:ascii="Times New Roman" w:eastAsia="宋体"/>
                <w:kern w:val="2"/>
                <w:sz w:val="21"/>
                <w:szCs w:val="20"/>
                <w:lang w:val="en-US" w:eastAsia="zh-CN"/>
              </w:rPr>
              <w:t>：</w:t>
            </w:r>
          </w:p>
          <w:p w14:paraId="50204352">
            <w:pPr>
              <w:pStyle w:val="44"/>
              <w:keepNext w:val="0"/>
              <w:keepLines w:val="0"/>
              <w:suppressLineNumbers w:val="0"/>
              <w:spacing w:before="0" w:beforeAutospacing="0" w:after="0" w:afterAutospacing="0"/>
              <w:ind w:left="0" w:leftChars="0" w:right="0" w:firstLine="0" w:firstLineChars="0"/>
              <w:rPr>
                <w:rFonts w:hint="eastAsia" w:ascii="Times New Roman" w:eastAsia="宋体"/>
                <w:kern w:val="2"/>
                <w:sz w:val="21"/>
                <w:szCs w:val="20"/>
                <w:lang w:val="en-US" w:eastAsia="zh-CN"/>
              </w:rPr>
            </w:pPr>
            <w:r>
              <w:rPr>
                <w:rFonts w:hint="eastAsia" w:ascii="Times New Roman" w:eastAsia="宋体"/>
                <w:kern w:val="2"/>
                <w:sz w:val="21"/>
                <w:szCs w:val="20"/>
                <w:lang w:val="en-US" w:eastAsia="zh-CN"/>
              </w:rPr>
              <w:t>①方案完整，科学合理，完全符合采购人需求的得4分；</w:t>
            </w:r>
          </w:p>
          <w:p w14:paraId="6C761B44">
            <w:pPr>
              <w:pStyle w:val="44"/>
              <w:keepNext w:val="0"/>
              <w:keepLines w:val="0"/>
              <w:suppressLineNumbers w:val="0"/>
              <w:spacing w:before="0" w:beforeAutospacing="0" w:after="0" w:afterAutospacing="0"/>
              <w:ind w:left="0" w:leftChars="0" w:right="0" w:firstLine="0" w:firstLineChars="0"/>
              <w:rPr>
                <w:rFonts w:hint="eastAsia" w:ascii="Times New Roman" w:eastAsia="宋体"/>
                <w:kern w:val="2"/>
                <w:sz w:val="21"/>
                <w:szCs w:val="20"/>
                <w:lang w:val="en-US" w:eastAsia="zh-CN"/>
              </w:rPr>
            </w:pPr>
            <w:r>
              <w:rPr>
                <w:rFonts w:hint="eastAsia" w:ascii="Times New Roman" w:eastAsia="宋体"/>
                <w:kern w:val="2"/>
                <w:sz w:val="21"/>
                <w:szCs w:val="20"/>
                <w:lang w:val="en-US" w:eastAsia="zh-CN"/>
              </w:rPr>
              <w:t>②方案完整，科学合理、基本契合项目情况得3分；</w:t>
            </w:r>
          </w:p>
          <w:p w14:paraId="16FF1002">
            <w:pPr>
              <w:pStyle w:val="44"/>
              <w:keepNext w:val="0"/>
              <w:keepLines w:val="0"/>
              <w:suppressLineNumbers w:val="0"/>
              <w:spacing w:before="0" w:beforeAutospacing="0" w:after="0" w:afterAutospacing="0"/>
              <w:ind w:left="0" w:leftChars="0" w:right="0" w:firstLine="0" w:firstLineChars="0"/>
              <w:rPr>
                <w:rFonts w:hint="eastAsia" w:ascii="Times New Roman" w:eastAsia="宋体"/>
                <w:kern w:val="2"/>
                <w:sz w:val="21"/>
                <w:szCs w:val="20"/>
                <w:lang w:val="en-US" w:eastAsia="zh-CN"/>
              </w:rPr>
            </w:pPr>
            <w:r>
              <w:rPr>
                <w:rFonts w:hint="eastAsia" w:ascii="Times New Roman" w:eastAsia="宋体"/>
                <w:kern w:val="2"/>
                <w:sz w:val="21"/>
                <w:szCs w:val="20"/>
                <w:lang w:val="en-US" w:eastAsia="zh-CN"/>
              </w:rPr>
              <w:t>③方案基本完整，但存在一定瑕疵，基本符合采购人需求的得2分；</w:t>
            </w:r>
          </w:p>
          <w:p w14:paraId="54DB6975">
            <w:pPr>
              <w:pStyle w:val="44"/>
              <w:keepNext w:val="0"/>
              <w:keepLines w:val="0"/>
              <w:suppressLineNumbers w:val="0"/>
              <w:spacing w:before="0" w:beforeAutospacing="0" w:after="0" w:afterAutospacing="0"/>
              <w:ind w:left="0" w:leftChars="0" w:right="0" w:firstLine="0" w:firstLineChars="0"/>
              <w:rPr>
                <w:rFonts w:hint="eastAsia" w:ascii="Times New Roman" w:eastAsia="宋体"/>
                <w:kern w:val="2"/>
                <w:sz w:val="21"/>
                <w:szCs w:val="20"/>
                <w:lang w:val="en-US" w:eastAsia="zh-CN"/>
              </w:rPr>
            </w:pPr>
            <w:r>
              <w:rPr>
                <w:rFonts w:hint="eastAsia" w:ascii="Times New Roman" w:eastAsia="宋体"/>
                <w:kern w:val="2"/>
                <w:sz w:val="21"/>
                <w:szCs w:val="20"/>
                <w:lang w:val="en-US" w:eastAsia="zh-CN"/>
              </w:rPr>
              <w:t>④方案内容欠缺，存在明显问题，不能满足采购人需求的得1分；</w:t>
            </w:r>
          </w:p>
          <w:p w14:paraId="73556726">
            <w:pPr>
              <w:pStyle w:val="44"/>
              <w:keepNext w:val="0"/>
              <w:keepLines w:val="0"/>
              <w:suppressLineNumbers w:val="0"/>
              <w:spacing w:before="0" w:beforeAutospacing="0" w:after="0" w:afterAutospacing="0"/>
              <w:ind w:left="0" w:leftChars="0" w:right="0" w:firstLine="0" w:firstLineChars="0"/>
              <w:rPr>
                <w:rFonts w:hint="eastAsia" w:ascii="Times New Roman" w:eastAsia="宋体"/>
                <w:kern w:val="2"/>
                <w:sz w:val="21"/>
                <w:szCs w:val="20"/>
                <w:lang w:val="en-US" w:eastAsia="zh-CN"/>
              </w:rPr>
            </w:pPr>
            <w:r>
              <w:rPr>
                <w:rFonts w:hint="eastAsia" w:ascii="Times New Roman" w:eastAsia="宋体"/>
                <w:kern w:val="2"/>
                <w:sz w:val="21"/>
                <w:szCs w:val="20"/>
                <w:lang w:val="en-US" w:eastAsia="zh-CN"/>
              </w:rPr>
              <w:t>未提供相关内容的不得分。</w:t>
            </w:r>
          </w:p>
        </w:tc>
      </w:tr>
      <w:tr w14:paraId="4E84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317" w:type="dxa"/>
            <w:vMerge w:val="continue"/>
            <w:noWrap w:val="0"/>
            <w:vAlign w:val="center"/>
          </w:tcPr>
          <w:p w14:paraId="1A7A0BD3">
            <w:pPr>
              <w:keepNext w:val="0"/>
              <w:keepLines w:val="0"/>
              <w:suppressLineNumbers w:val="0"/>
              <w:spacing w:before="0" w:beforeAutospacing="0" w:after="0" w:afterAutospacing="0" w:line="420" w:lineRule="exact"/>
              <w:ind w:left="315" w:leftChars="100" w:right="0" w:hanging="105" w:hangingChars="50"/>
              <w:rPr>
                <w:rFonts w:hint="eastAsia" w:ascii="宋体" w:hAnsi="宋体" w:eastAsia="宋体" w:cs="宋体"/>
                <w:sz w:val="21"/>
                <w:szCs w:val="21"/>
              </w:rPr>
            </w:pPr>
          </w:p>
        </w:tc>
        <w:tc>
          <w:tcPr>
            <w:tcW w:w="1126" w:type="dxa"/>
            <w:vMerge w:val="continue"/>
            <w:noWrap w:val="0"/>
            <w:vAlign w:val="center"/>
          </w:tcPr>
          <w:p w14:paraId="3ACAD91B">
            <w:pPr>
              <w:keepNext w:val="0"/>
              <w:keepLines w:val="0"/>
              <w:suppressLineNumbers w:val="0"/>
              <w:spacing w:before="0" w:beforeAutospacing="0" w:after="0" w:afterAutospacing="0" w:line="400" w:lineRule="exact"/>
              <w:ind w:left="0" w:right="0"/>
              <w:rPr>
                <w:rFonts w:hint="eastAsia" w:ascii="宋体" w:hAnsi="宋体" w:eastAsia="宋体" w:cs="宋体"/>
                <w:b/>
                <w:sz w:val="21"/>
                <w:szCs w:val="21"/>
              </w:rPr>
            </w:pPr>
          </w:p>
        </w:tc>
        <w:tc>
          <w:tcPr>
            <w:tcW w:w="7377" w:type="dxa"/>
            <w:noWrap w:val="0"/>
            <w:vAlign w:val="center"/>
          </w:tcPr>
          <w:p w14:paraId="5CBF941F">
            <w:pPr>
              <w:pStyle w:val="44"/>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5.3、</w:t>
            </w:r>
            <w:r>
              <w:rPr>
                <w:rFonts w:hint="eastAsia" w:ascii="宋体" w:hAnsi="宋体" w:eastAsia="宋体" w:cs="宋体"/>
                <w:color w:val="auto"/>
                <w:kern w:val="2"/>
                <w:sz w:val="21"/>
                <w:szCs w:val="21"/>
                <w:lang w:val="en-US" w:eastAsia="zh-CN" w:bidi="ar-SA"/>
              </w:rPr>
              <w:t>针对供应商对稳定服务人员队伍等做出的特殊承诺及措施进行综合评议（包括对厨师每季度轮流换岗等承诺）</w:t>
            </w:r>
            <w:r>
              <w:rPr>
                <w:rFonts w:hint="eastAsia" w:ascii="宋体" w:hAnsi="宋体" w:eastAsia="宋体" w:cs="Times New Roman"/>
                <w:b w:val="0"/>
                <w:bCs w:val="0"/>
                <w:color w:val="000000"/>
                <w:kern w:val="2"/>
                <w:sz w:val="21"/>
                <w:szCs w:val="20"/>
                <w:lang w:val="en-US" w:eastAsia="zh-CN" w:bidi="ar-SA"/>
              </w:rPr>
              <w:t>（满分4分）</w:t>
            </w:r>
            <w:r>
              <w:rPr>
                <w:rFonts w:hint="eastAsia" w:ascii="宋体" w:hAnsi="宋体" w:eastAsia="宋体" w:cs="宋体"/>
                <w:color w:val="auto"/>
                <w:kern w:val="2"/>
                <w:sz w:val="21"/>
                <w:szCs w:val="21"/>
                <w:lang w:val="en-US" w:eastAsia="zh-CN" w:bidi="ar-SA"/>
              </w:rPr>
              <w:t>：</w:t>
            </w:r>
          </w:p>
          <w:p w14:paraId="2C813F3C">
            <w:pPr>
              <w:pStyle w:val="44"/>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①方案完整，科学合理，完全符合采购人需求的得4分；</w:t>
            </w:r>
          </w:p>
          <w:p w14:paraId="7D4CD1A5">
            <w:pPr>
              <w:pStyle w:val="44"/>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②方案完整，科学合理、基本契合项目情况得3分；</w:t>
            </w:r>
          </w:p>
          <w:p w14:paraId="2B582872">
            <w:pPr>
              <w:pStyle w:val="44"/>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③方案基本完整，但存在一定瑕疵，基本符合采购人需求的得2分；</w:t>
            </w:r>
          </w:p>
          <w:p w14:paraId="02E3268C">
            <w:pPr>
              <w:pStyle w:val="44"/>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④方案内容欠缺，存在明显问题，不能满足采购人需求的得1分；</w:t>
            </w:r>
          </w:p>
          <w:p w14:paraId="159CF5D5">
            <w:pPr>
              <w:pStyle w:val="44"/>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未提供相关内容的不得分。</w:t>
            </w:r>
          </w:p>
        </w:tc>
      </w:tr>
      <w:tr w14:paraId="53AD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317" w:type="dxa"/>
            <w:vMerge w:val="continue"/>
            <w:noWrap w:val="0"/>
            <w:vAlign w:val="center"/>
          </w:tcPr>
          <w:p w14:paraId="5983B840">
            <w:pPr>
              <w:keepNext w:val="0"/>
              <w:keepLines w:val="0"/>
              <w:suppressLineNumbers w:val="0"/>
              <w:spacing w:before="0" w:beforeAutospacing="0" w:after="0" w:afterAutospacing="0" w:line="420" w:lineRule="exact"/>
              <w:ind w:left="315" w:leftChars="100" w:right="0" w:hanging="105" w:hangingChars="50"/>
              <w:rPr>
                <w:rFonts w:hint="eastAsia" w:ascii="宋体" w:hAnsi="宋体" w:eastAsia="宋体" w:cs="宋体"/>
                <w:sz w:val="21"/>
                <w:szCs w:val="21"/>
              </w:rPr>
            </w:pPr>
          </w:p>
        </w:tc>
        <w:tc>
          <w:tcPr>
            <w:tcW w:w="1126" w:type="dxa"/>
            <w:noWrap w:val="0"/>
            <w:vAlign w:val="center"/>
          </w:tcPr>
          <w:p w14:paraId="21D28A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突发事件应急管理方案</w:t>
            </w:r>
          </w:p>
          <w:p w14:paraId="20389B2B">
            <w:pPr>
              <w:keepNext w:val="0"/>
              <w:keepLines w:val="0"/>
              <w:suppressLineNumbers w:val="0"/>
              <w:spacing w:before="0" w:beforeAutospacing="0" w:after="0" w:afterAutospacing="0" w:line="400" w:lineRule="exact"/>
              <w:ind w:left="0" w:right="0"/>
              <w:rPr>
                <w:rFonts w:hint="eastAsia" w:ascii="宋体" w:hAnsi="宋体" w:eastAsia="宋体" w:cs="宋体"/>
                <w:b/>
                <w:sz w:val="21"/>
                <w:szCs w:val="21"/>
              </w:rPr>
            </w:pPr>
            <w:r>
              <w:rPr>
                <w:rFonts w:hint="eastAsia" w:ascii="宋体" w:hAnsi="宋体" w:eastAsia="宋体" w:cs="宋体"/>
                <w:b w:val="0"/>
                <w:bCs/>
                <w:sz w:val="21"/>
                <w:szCs w:val="21"/>
                <w:lang w:val="en-US" w:eastAsia="zh-CN"/>
              </w:rPr>
              <w:t>（</w:t>
            </w:r>
            <w:r>
              <w:rPr>
                <w:rFonts w:hint="eastAsia" w:ascii="宋体" w:hAnsi="宋体" w:cs="宋体"/>
                <w:b w:val="0"/>
                <w:bCs/>
                <w:sz w:val="21"/>
                <w:szCs w:val="21"/>
                <w:lang w:val="en-US" w:eastAsia="zh-CN"/>
              </w:rPr>
              <w:t>4</w:t>
            </w:r>
            <w:r>
              <w:rPr>
                <w:rFonts w:hint="eastAsia" w:ascii="宋体" w:hAnsi="宋体" w:eastAsia="宋体" w:cs="宋体"/>
                <w:b w:val="0"/>
                <w:bCs/>
                <w:sz w:val="21"/>
                <w:szCs w:val="21"/>
                <w:lang w:val="en-US" w:eastAsia="zh-CN"/>
              </w:rPr>
              <w:t>分）</w:t>
            </w:r>
          </w:p>
        </w:tc>
        <w:tc>
          <w:tcPr>
            <w:tcW w:w="7377" w:type="dxa"/>
            <w:noWrap w:val="0"/>
            <w:vAlign w:val="center"/>
          </w:tcPr>
          <w:p w14:paraId="078D63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imes New Roman" w:eastAsia="宋体"/>
                <w:kern w:val="2"/>
                <w:sz w:val="21"/>
                <w:szCs w:val="20"/>
                <w:lang w:val="en-US" w:eastAsia="zh-CN"/>
              </w:rPr>
            </w:pPr>
            <w:r>
              <w:rPr>
                <w:rFonts w:hint="eastAsia"/>
                <w:kern w:val="2"/>
                <w:sz w:val="21"/>
                <w:szCs w:val="20"/>
                <w:lang w:val="en-US" w:eastAsia="zh-CN"/>
              </w:rPr>
              <w:t>6、</w:t>
            </w:r>
            <w:r>
              <w:rPr>
                <w:rFonts w:hint="eastAsia" w:ascii="Times New Roman" w:eastAsia="宋体"/>
                <w:kern w:val="2"/>
                <w:sz w:val="21"/>
                <w:szCs w:val="20"/>
                <w:lang w:val="en-US" w:eastAsia="zh-CN"/>
              </w:rPr>
              <w:t>对处理各类突发事件（包括遇到各类重大活动的突击性应急方案、出现台风、暴雨、火灾、暴雪等灾害性天气的预案）的措施预案进行综合评议</w:t>
            </w:r>
            <w:r>
              <w:rPr>
                <w:rFonts w:hint="eastAsia" w:ascii="宋体" w:hAnsi="宋体" w:eastAsia="宋体" w:cs="Times New Roman"/>
                <w:b w:val="0"/>
                <w:bCs w:val="0"/>
                <w:color w:val="000000"/>
                <w:kern w:val="2"/>
                <w:sz w:val="21"/>
                <w:szCs w:val="20"/>
                <w:lang w:val="en-US" w:eastAsia="zh-CN" w:bidi="ar-SA"/>
              </w:rPr>
              <w:t>（满分4分）</w:t>
            </w:r>
            <w:r>
              <w:rPr>
                <w:rFonts w:hint="eastAsia" w:ascii="Times New Roman" w:eastAsia="宋体"/>
                <w:kern w:val="2"/>
                <w:sz w:val="21"/>
                <w:szCs w:val="20"/>
                <w:lang w:val="en-US" w:eastAsia="zh-CN"/>
              </w:rPr>
              <w:t>：</w:t>
            </w:r>
          </w:p>
          <w:p w14:paraId="63AD3D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imes New Roman" w:eastAsia="宋体"/>
                <w:kern w:val="2"/>
                <w:sz w:val="21"/>
                <w:szCs w:val="20"/>
                <w:lang w:val="en-US" w:eastAsia="zh-CN"/>
              </w:rPr>
            </w:pPr>
            <w:r>
              <w:rPr>
                <w:rFonts w:hint="eastAsia" w:ascii="Times New Roman" w:eastAsia="宋体"/>
                <w:kern w:val="2"/>
                <w:sz w:val="21"/>
                <w:szCs w:val="20"/>
                <w:lang w:val="en-US" w:eastAsia="zh-CN"/>
              </w:rPr>
              <w:t>①方案内容编制全面，能很好契合项目实际情况，完全符合采购人需求的得4分；</w:t>
            </w:r>
          </w:p>
          <w:p w14:paraId="76CB99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imes New Roman" w:eastAsia="宋体"/>
                <w:kern w:val="2"/>
                <w:sz w:val="21"/>
                <w:szCs w:val="20"/>
                <w:lang w:val="en-US" w:eastAsia="zh-CN"/>
              </w:rPr>
            </w:pPr>
            <w:r>
              <w:rPr>
                <w:rFonts w:hint="eastAsia" w:ascii="Times New Roman" w:eastAsia="宋体"/>
                <w:kern w:val="2"/>
                <w:sz w:val="21"/>
                <w:szCs w:val="20"/>
                <w:lang w:val="en-US" w:eastAsia="zh-CN"/>
              </w:rPr>
              <w:t>②方案内容编制合理、基本契合项目情况的得3分；</w:t>
            </w:r>
          </w:p>
          <w:p w14:paraId="28EC0B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imes New Roman" w:eastAsia="宋体"/>
                <w:kern w:val="2"/>
                <w:sz w:val="21"/>
                <w:szCs w:val="20"/>
                <w:lang w:val="en-US" w:eastAsia="zh-CN"/>
              </w:rPr>
            </w:pPr>
            <w:r>
              <w:rPr>
                <w:rFonts w:hint="eastAsia" w:ascii="Times New Roman" w:eastAsia="宋体"/>
                <w:kern w:val="2"/>
                <w:sz w:val="21"/>
                <w:szCs w:val="20"/>
                <w:lang w:val="en-US" w:eastAsia="zh-CN"/>
              </w:rPr>
              <w:t xml:space="preserve">③方案基本完整，但存在一定瑕疵，基本符合采购人需求的得2分； </w:t>
            </w:r>
          </w:p>
          <w:p w14:paraId="2D12F7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imes New Roman" w:eastAsia="宋体"/>
                <w:kern w:val="2"/>
                <w:sz w:val="21"/>
                <w:szCs w:val="20"/>
                <w:lang w:val="en-US" w:eastAsia="zh-CN"/>
              </w:rPr>
            </w:pPr>
            <w:r>
              <w:rPr>
                <w:rFonts w:hint="eastAsia" w:ascii="Times New Roman" w:eastAsia="宋体"/>
                <w:kern w:val="2"/>
                <w:sz w:val="21"/>
                <w:szCs w:val="20"/>
                <w:lang w:val="en-US" w:eastAsia="zh-CN"/>
              </w:rPr>
              <w:t>④方案内容欠缺，存在明显问题，不能满足采购人需求的得1分；</w:t>
            </w:r>
          </w:p>
          <w:p w14:paraId="3F4D24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imes New Roman" w:eastAsia="宋体"/>
                <w:kern w:val="2"/>
                <w:sz w:val="21"/>
                <w:szCs w:val="20"/>
                <w:lang w:val="en-US" w:eastAsia="zh-CN"/>
              </w:rPr>
            </w:pPr>
            <w:r>
              <w:rPr>
                <w:rFonts w:hint="eastAsia" w:ascii="Times New Roman" w:eastAsia="宋体"/>
                <w:kern w:val="2"/>
                <w:sz w:val="21"/>
                <w:szCs w:val="20"/>
                <w:lang w:val="en-US" w:eastAsia="zh-CN"/>
              </w:rPr>
              <w:t>未提供相关内容的不得分。</w:t>
            </w:r>
          </w:p>
        </w:tc>
      </w:tr>
      <w:tr w14:paraId="23FA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17" w:type="dxa"/>
            <w:vMerge w:val="continue"/>
            <w:noWrap w:val="0"/>
            <w:vAlign w:val="center"/>
          </w:tcPr>
          <w:p w14:paraId="4BAFDA37">
            <w:pPr>
              <w:keepNext w:val="0"/>
              <w:keepLines w:val="0"/>
              <w:suppressLineNumbers w:val="0"/>
              <w:spacing w:before="0" w:beforeAutospacing="0" w:after="0" w:afterAutospacing="0" w:line="420" w:lineRule="exact"/>
              <w:ind w:left="0" w:right="0" w:firstLine="105" w:firstLineChars="50"/>
              <w:rPr>
                <w:rFonts w:hint="eastAsia" w:ascii="宋体" w:hAnsi="宋体" w:eastAsia="宋体" w:cs="宋体"/>
                <w:sz w:val="21"/>
                <w:szCs w:val="21"/>
              </w:rPr>
            </w:pPr>
          </w:p>
        </w:tc>
        <w:tc>
          <w:tcPr>
            <w:tcW w:w="1126" w:type="dxa"/>
            <w:noWrap w:val="0"/>
            <w:vAlign w:val="center"/>
          </w:tcPr>
          <w:p w14:paraId="4C8508CA">
            <w:pPr>
              <w:keepNext w:val="0"/>
              <w:keepLines w:val="0"/>
              <w:suppressLineNumbers w:val="0"/>
              <w:spacing w:before="0" w:beforeAutospacing="0" w:after="0" w:afterAutospacing="0" w:line="400" w:lineRule="exact"/>
              <w:ind w:left="0" w:right="0"/>
              <w:jc w:val="center"/>
              <w:rPr>
                <w:rFonts w:hint="default" w:ascii="宋体" w:hAnsi="宋体" w:eastAsia="宋体" w:cs="宋体"/>
                <w:b/>
                <w:bCs/>
                <w:sz w:val="21"/>
                <w:szCs w:val="21"/>
                <w:lang w:val="en-US" w:eastAsia="zh-CN"/>
              </w:rPr>
            </w:pPr>
            <w:r>
              <w:rPr>
                <w:rFonts w:hint="eastAsia" w:ascii="宋体" w:hAnsi="宋体" w:cs="宋体"/>
                <w:bCs/>
                <w:sz w:val="21"/>
                <w:szCs w:val="21"/>
                <w:highlight w:val="none"/>
              </w:rPr>
              <w:t>合理化建议</w:t>
            </w:r>
            <w:r>
              <w:rPr>
                <w:rFonts w:hint="eastAsia" w:ascii="宋体" w:hAnsi="宋体" w:eastAsia="宋体" w:cs="宋体"/>
                <w:kern w:val="0"/>
                <w:sz w:val="21"/>
                <w:szCs w:val="21"/>
                <w:lang w:eastAsia="zh-CN"/>
              </w:rPr>
              <w:t>（</w:t>
            </w: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分）</w:t>
            </w:r>
          </w:p>
        </w:tc>
        <w:tc>
          <w:tcPr>
            <w:tcW w:w="7377" w:type="dxa"/>
            <w:noWrap w:val="0"/>
            <w:vAlign w:val="center"/>
          </w:tcPr>
          <w:p w14:paraId="71853527">
            <w:pPr>
              <w:pStyle w:val="44"/>
              <w:keepNext w:val="0"/>
              <w:keepLines w:val="0"/>
              <w:suppressLineNumbers w:val="0"/>
              <w:spacing w:before="0" w:beforeAutospacing="0" w:after="0" w:afterAutospacing="0"/>
              <w:ind w:left="0" w:leftChars="0" w:right="0" w:firstLine="0" w:firstLineChars="0"/>
              <w:rPr>
                <w:rFonts w:hint="default"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7、</w:t>
            </w:r>
            <w:r>
              <w:rPr>
                <w:rFonts w:hint="default" w:ascii="宋体" w:hAnsi="宋体" w:eastAsia="宋体" w:cs="宋体"/>
                <w:color w:val="auto"/>
                <w:kern w:val="2"/>
                <w:sz w:val="21"/>
                <w:szCs w:val="21"/>
                <w:lang w:val="en-US" w:eastAsia="zh-CN" w:bidi="ar-SA"/>
              </w:rPr>
              <w:t>评委根据供应商提供的合理化建议进行评审</w:t>
            </w:r>
            <w:r>
              <w:rPr>
                <w:rFonts w:hint="eastAsia" w:ascii="宋体" w:hAnsi="宋体" w:eastAsia="宋体" w:cs="Times New Roman"/>
                <w:b w:val="0"/>
                <w:bCs w:val="0"/>
                <w:color w:val="000000"/>
                <w:kern w:val="2"/>
                <w:sz w:val="21"/>
                <w:szCs w:val="20"/>
                <w:lang w:val="en-US" w:eastAsia="zh-CN" w:bidi="ar-SA"/>
              </w:rPr>
              <w:t>（满分4分）</w:t>
            </w:r>
            <w:r>
              <w:rPr>
                <w:rFonts w:hint="default" w:ascii="宋体" w:hAnsi="宋体" w:eastAsia="宋体" w:cs="宋体"/>
                <w:color w:val="auto"/>
                <w:kern w:val="2"/>
                <w:sz w:val="21"/>
                <w:szCs w:val="21"/>
                <w:lang w:val="en-US" w:eastAsia="zh-CN" w:bidi="ar-SA"/>
              </w:rPr>
              <w:t>：</w:t>
            </w:r>
          </w:p>
          <w:p w14:paraId="219EBCC3">
            <w:pPr>
              <w:pStyle w:val="44"/>
              <w:keepNext w:val="0"/>
              <w:keepLines w:val="0"/>
              <w:suppressLineNumbers w:val="0"/>
              <w:spacing w:before="0" w:beforeAutospacing="0" w:after="0" w:afterAutospacing="0"/>
              <w:ind w:left="0" w:leftChars="0" w:right="0" w:firstLine="0" w:firstLineChars="0"/>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①方案完整，科学合理，能很好契合项目实际情况，完全符合采购人需求的得4分；</w:t>
            </w:r>
          </w:p>
          <w:p w14:paraId="09434434">
            <w:pPr>
              <w:pStyle w:val="44"/>
              <w:keepNext w:val="0"/>
              <w:keepLines w:val="0"/>
              <w:suppressLineNumbers w:val="0"/>
              <w:spacing w:before="0" w:beforeAutospacing="0" w:after="0" w:afterAutospacing="0"/>
              <w:ind w:left="0" w:leftChars="0" w:right="0" w:firstLine="0" w:firstLineChars="0"/>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②方案完整，科学合理、基本契合项目情况的得3分；</w:t>
            </w:r>
          </w:p>
          <w:p w14:paraId="530EAF5B">
            <w:pPr>
              <w:pStyle w:val="44"/>
              <w:keepNext w:val="0"/>
              <w:keepLines w:val="0"/>
              <w:suppressLineNumbers w:val="0"/>
              <w:spacing w:before="0" w:beforeAutospacing="0" w:after="0" w:afterAutospacing="0"/>
              <w:ind w:left="0" w:leftChars="0" w:right="0" w:firstLine="0" w:firstLineChars="0"/>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③方案基本完整，但存在一定瑕疵，基本符合采购人需求的得2分；</w:t>
            </w:r>
          </w:p>
          <w:p w14:paraId="7D5F2C7A">
            <w:pPr>
              <w:pStyle w:val="44"/>
              <w:keepNext w:val="0"/>
              <w:keepLines w:val="0"/>
              <w:suppressLineNumbers w:val="0"/>
              <w:spacing w:before="0" w:beforeAutospacing="0" w:after="0" w:afterAutospacing="0"/>
              <w:ind w:left="0" w:leftChars="0" w:right="0" w:firstLine="0" w:firstLineChars="0"/>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④方案内容编制存在瑕疵，与项目实际情况存在出入，操作性一般的得1分； 未提供相关内容的不得分</w:t>
            </w:r>
          </w:p>
        </w:tc>
      </w:tr>
      <w:tr w14:paraId="6A18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17" w:type="dxa"/>
            <w:vMerge w:val="continue"/>
            <w:noWrap w:val="0"/>
            <w:vAlign w:val="center"/>
          </w:tcPr>
          <w:p w14:paraId="46966DF3">
            <w:pPr>
              <w:keepNext w:val="0"/>
              <w:keepLines w:val="0"/>
              <w:suppressLineNumbers w:val="0"/>
              <w:spacing w:before="0" w:beforeAutospacing="0" w:after="0" w:afterAutospacing="0" w:line="420" w:lineRule="exact"/>
              <w:ind w:left="0" w:right="0" w:firstLine="105" w:firstLineChars="50"/>
              <w:rPr>
                <w:rFonts w:hint="eastAsia" w:ascii="宋体" w:hAnsi="宋体" w:eastAsia="宋体" w:cs="宋体"/>
                <w:sz w:val="21"/>
                <w:szCs w:val="21"/>
              </w:rPr>
            </w:pPr>
          </w:p>
        </w:tc>
        <w:tc>
          <w:tcPr>
            <w:tcW w:w="1126" w:type="dxa"/>
            <w:vMerge w:val="restart"/>
            <w:noWrap w:val="0"/>
            <w:vAlign w:val="center"/>
          </w:tcPr>
          <w:p w14:paraId="79C5D62E">
            <w:pPr>
              <w:keepNext w:val="0"/>
              <w:keepLines w:val="0"/>
              <w:suppressLineNumbers w:val="0"/>
              <w:bidi w:val="0"/>
              <w:spacing w:before="0" w:beforeAutospacing="0" w:after="0" w:afterAutospacing="0" w:line="360" w:lineRule="auto"/>
              <w:ind w:left="0" w:right="0"/>
              <w:rPr>
                <w:rFonts w:hint="default" w:ascii="宋体" w:hAnsi="宋体" w:eastAsia="宋体" w:cs="宋体"/>
                <w:b/>
                <w:bCs/>
                <w:color w:val="auto"/>
                <w:sz w:val="21"/>
                <w:szCs w:val="21"/>
                <w:lang w:val="en-US" w:eastAsia="zh-CN"/>
              </w:rPr>
            </w:pPr>
            <w:r>
              <w:rPr>
                <w:rFonts w:hint="eastAsia" w:ascii="宋体" w:hAnsi="宋体" w:eastAsia="宋体" w:cs="宋体"/>
                <w:color w:val="auto"/>
                <w:szCs w:val="21"/>
                <w:highlight w:val="none"/>
                <w:lang w:eastAsia="zh-CN"/>
              </w:rPr>
              <w:t>履约能力（</w:t>
            </w:r>
            <w:r>
              <w:rPr>
                <w:rFonts w:hint="eastAsia" w:ascii="宋体" w:hAnsi="宋体" w:eastAsia="宋体" w:cs="宋体"/>
                <w:color w:val="auto"/>
                <w:szCs w:val="21"/>
                <w:highlight w:val="none"/>
                <w:lang w:val="en-US" w:eastAsia="zh-CN"/>
              </w:rPr>
              <w:t>7分）</w:t>
            </w:r>
          </w:p>
        </w:tc>
        <w:tc>
          <w:tcPr>
            <w:tcW w:w="7377" w:type="dxa"/>
            <w:noWrap w:val="0"/>
            <w:vAlign w:val="center"/>
          </w:tcPr>
          <w:p w14:paraId="373F58C0">
            <w:pPr>
              <w:keepNext w:val="0"/>
              <w:keepLines w:val="0"/>
              <w:numPr>
                <w:ilvl w:val="0"/>
                <w:numId w:val="0"/>
              </w:numPr>
              <w:suppressLineNumbers w:val="0"/>
              <w:spacing w:before="0" w:beforeAutospacing="0" w:after="0" w:afterAutospacing="0" w:line="400" w:lineRule="exact"/>
              <w:ind w:left="0" w:leftChars="0" w:right="0" w:rightChars="0"/>
              <w:rPr>
                <w:rFonts w:hint="eastAsia" w:ascii="新宋体" w:hAnsi="新宋体" w:eastAsia="宋体" w:cs="新宋体"/>
                <w:b w:val="0"/>
                <w:bCs w:val="0"/>
                <w:color w:val="auto"/>
                <w:kern w:val="0"/>
                <w:sz w:val="22"/>
                <w:szCs w:val="22"/>
                <w:highlight w:val="none"/>
                <w:lang w:val="en-US" w:eastAsia="zh-CN"/>
              </w:rPr>
            </w:pPr>
            <w:r>
              <w:rPr>
                <w:rFonts w:hint="eastAsia" w:ascii="宋体" w:hAnsi="宋体" w:cs="宋体"/>
                <w:bCs/>
                <w:color w:val="auto"/>
                <w:kern w:val="0"/>
                <w:sz w:val="21"/>
                <w:szCs w:val="21"/>
                <w:highlight w:val="none"/>
                <w:lang w:val="en-US" w:eastAsia="zh-CN"/>
              </w:rPr>
              <w:t>8.1、</w:t>
            </w:r>
            <w:r>
              <w:rPr>
                <w:rFonts w:hint="eastAsia" w:ascii="宋体" w:hAnsi="宋体" w:eastAsia="宋体" w:cs="宋体"/>
                <w:bCs/>
                <w:color w:val="auto"/>
                <w:kern w:val="0"/>
                <w:sz w:val="21"/>
                <w:szCs w:val="21"/>
                <w:highlight w:val="none"/>
                <w:lang w:val="en-US" w:eastAsia="zh-CN"/>
              </w:rPr>
              <w:t>供应商</w:t>
            </w:r>
            <w:r>
              <w:rPr>
                <w:rFonts w:hint="eastAsia" w:ascii="宋体" w:hAnsi="宋体" w:eastAsia="宋体" w:cs="宋体"/>
                <w:bCs/>
                <w:color w:val="auto"/>
                <w:kern w:val="0"/>
                <w:sz w:val="21"/>
                <w:szCs w:val="21"/>
                <w:highlight w:val="none"/>
              </w:rPr>
              <w:t>具有有效的质量管理体系认证证书</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环境管理体系认证证书</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职业健康安全管理体系认证证书</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食品安全管理体系认证证书的</w:t>
            </w:r>
            <w:r>
              <w:rPr>
                <w:rFonts w:hint="eastAsia" w:ascii="宋体" w:hAnsi="宋体" w:eastAsia="宋体" w:cs="宋体"/>
                <w:bCs/>
                <w:color w:val="auto"/>
                <w:kern w:val="0"/>
                <w:sz w:val="21"/>
                <w:szCs w:val="21"/>
                <w:highlight w:val="none"/>
                <w:lang w:eastAsia="zh-CN"/>
              </w:rPr>
              <w:t>每项</w:t>
            </w:r>
            <w:r>
              <w:rPr>
                <w:rFonts w:hint="eastAsia" w:ascii="宋体" w:hAnsi="宋体" w:eastAsia="宋体" w:cs="宋体"/>
                <w:bCs/>
                <w:color w:val="auto"/>
                <w:kern w:val="0"/>
                <w:sz w:val="21"/>
                <w:szCs w:val="21"/>
                <w:highlight w:val="none"/>
              </w:rPr>
              <w:t>得</w:t>
            </w: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eastAsia="zh-CN"/>
              </w:rPr>
              <w:t>，最高</w:t>
            </w:r>
            <w:r>
              <w:rPr>
                <w:rFonts w:hint="eastAsia" w:ascii="宋体" w:hAnsi="宋体" w:eastAsia="宋体" w:cs="宋体"/>
                <w:bCs/>
                <w:color w:val="auto"/>
                <w:kern w:val="0"/>
                <w:sz w:val="21"/>
                <w:szCs w:val="21"/>
                <w:highlight w:val="none"/>
                <w:lang w:val="en-US" w:eastAsia="zh-CN"/>
              </w:rPr>
              <w:t>4分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投标文件中附证书复印件</w:t>
            </w:r>
            <w:r>
              <w:rPr>
                <w:rFonts w:hint="eastAsia" w:ascii="宋体" w:hAnsi="宋体" w:eastAsia="宋体" w:cs="宋体"/>
                <w:bCs/>
                <w:color w:val="auto"/>
                <w:kern w:val="0"/>
                <w:sz w:val="21"/>
                <w:szCs w:val="21"/>
                <w:highlight w:val="none"/>
                <w:lang w:val="en-US" w:eastAsia="zh-CN"/>
              </w:rPr>
              <w:t>并加盖供应商公章</w:t>
            </w:r>
            <w:r>
              <w:rPr>
                <w:rFonts w:hint="eastAsia" w:ascii="宋体" w:hAnsi="宋体" w:eastAsia="宋体" w:cs="宋体"/>
                <w:bCs/>
                <w:color w:val="auto"/>
                <w:kern w:val="0"/>
                <w:sz w:val="21"/>
                <w:szCs w:val="21"/>
                <w:highlight w:val="none"/>
                <w:lang w:eastAsia="zh-CN"/>
              </w:rPr>
              <w:t>）</w:t>
            </w:r>
          </w:p>
        </w:tc>
      </w:tr>
      <w:tr w14:paraId="27B7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17" w:type="dxa"/>
            <w:vMerge w:val="continue"/>
            <w:noWrap w:val="0"/>
            <w:vAlign w:val="center"/>
          </w:tcPr>
          <w:p w14:paraId="032CD8BC">
            <w:pPr>
              <w:keepNext w:val="0"/>
              <w:keepLines w:val="0"/>
              <w:suppressLineNumbers w:val="0"/>
              <w:spacing w:before="0" w:beforeAutospacing="0" w:after="0" w:afterAutospacing="0" w:line="420" w:lineRule="exact"/>
              <w:ind w:left="0" w:right="0" w:firstLine="105" w:firstLineChars="50"/>
              <w:rPr>
                <w:rFonts w:hint="eastAsia" w:ascii="宋体" w:hAnsi="宋体" w:eastAsia="宋体" w:cs="宋体"/>
                <w:sz w:val="21"/>
                <w:szCs w:val="21"/>
              </w:rPr>
            </w:pPr>
          </w:p>
        </w:tc>
        <w:tc>
          <w:tcPr>
            <w:tcW w:w="1126" w:type="dxa"/>
            <w:vMerge w:val="continue"/>
            <w:noWrap w:val="0"/>
            <w:vAlign w:val="center"/>
          </w:tcPr>
          <w:p w14:paraId="266CF5AA">
            <w:pPr>
              <w:keepNext w:val="0"/>
              <w:keepLines w:val="0"/>
              <w:suppressLineNumbers w:val="0"/>
              <w:bidi w:val="0"/>
              <w:spacing w:before="0" w:beforeAutospacing="0" w:after="0" w:afterAutospacing="0" w:line="360" w:lineRule="auto"/>
              <w:ind w:left="0" w:right="0"/>
              <w:rPr>
                <w:rFonts w:hint="eastAsia" w:ascii="宋体" w:hAnsi="宋体" w:eastAsia="宋体" w:cs="宋体"/>
                <w:color w:val="auto"/>
                <w:szCs w:val="21"/>
                <w:highlight w:val="none"/>
                <w:lang w:eastAsia="zh-CN"/>
              </w:rPr>
            </w:pPr>
          </w:p>
        </w:tc>
        <w:tc>
          <w:tcPr>
            <w:tcW w:w="7377" w:type="dxa"/>
            <w:noWrap w:val="0"/>
            <w:vAlign w:val="center"/>
          </w:tcPr>
          <w:p w14:paraId="4B835A57">
            <w:pPr>
              <w:keepNext w:val="0"/>
              <w:keepLines w:val="0"/>
              <w:pageBreakBefore w:val="0"/>
              <w:suppressLineNumbers w:val="0"/>
              <w:kinsoku/>
              <w:wordWrap/>
              <w:overflowPunct/>
              <w:topLinePunct w:val="0"/>
              <w:autoSpaceDE/>
              <w:autoSpaceDN/>
              <w:bidi w:val="0"/>
              <w:snapToGrid/>
              <w:spacing w:before="0" w:beforeAutospacing="0" w:after="0" w:afterAutospacing="0" w:line="280" w:lineRule="exact"/>
              <w:ind w:left="0" w:right="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8.2</w:t>
            </w:r>
            <w:r>
              <w:rPr>
                <w:rFonts w:hint="eastAsia" w:ascii="宋体" w:hAnsi="宋体" w:eastAsia="宋体" w:cs="宋体"/>
                <w:bCs/>
                <w:color w:val="auto"/>
                <w:kern w:val="0"/>
                <w:sz w:val="21"/>
                <w:szCs w:val="21"/>
                <w:highlight w:val="none"/>
              </w:rPr>
              <w:t>投标人</w:t>
            </w:r>
            <w:r>
              <w:rPr>
                <w:rFonts w:hint="eastAsia" w:ascii="宋体" w:hAnsi="宋体" w:eastAsia="宋体" w:cs="宋体"/>
                <w:bCs/>
                <w:color w:val="auto"/>
                <w:kern w:val="0"/>
                <w:sz w:val="21"/>
                <w:szCs w:val="21"/>
                <w:highlight w:val="none"/>
                <w:lang w:eastAsia="zh-CN"/>
              </w:rPr>
              <w:t>组成人员</w:t>
            </w:r>
            <w:r>
              <w:rPr>
                <w:rFonts w:hint="eastAsia" w:ascii="宋体" w:hAnsi="宋体" w:eastAsia="宋体" w:cs="宋体"/>
                <w:bCs/>
                <w:color w:val="auto"/>
                <w:kern w:val="0"/>
                <w:sz w:val="21"/>
                <w:szCs w:val="21"/>
                <w:highlight w:val="none"/>
              </w:rPr>
              <w:t>具有</w:t>
            </w:r>
            <w:r>
              <w:rPr>
                <w:rFonts w:hint="eastAsia" w:ascii="宋体" w:hAnsi="宋体" w:cs="宋体"/>
                <w:bCs/>
                <w:color w:val="auto"/>
                <w:kern w:val="0"/>
                <w:sz w:val="21"/>
                <w:szCs w:val="21"/>
                <w:highlight w:val="none"/>
                <w:lang w:val="en-US" w:eastAsia="zh-CN"/>
              </w:rPr>
              <w:t>二级/技师及以上中式烹调师职业资格证书的得2分</w:t>
            </w:r>
            <w:r>
              <w:rPr>
                <w:rFonts w:hint="eastAsia" w:ascii="宋体" w:hAnsi="宋体" w:eastAsia="宋体" w:cs="宋体"/>
                <w:bCs/>
                <w:color w:val="auto"/>
                <w:kern w:val="0"/>
                <w:sz w:val="21"/>
                <w:szCs w:val="21"/>
                <w:highlight w:val="none"/>
                <w:lang w:eastAsia="zh-CN"/>
              </w:rPr>
              <w:t>；</w:t>
            </w:r>
            <w:r>
              <w:rPr>
                <w:rFonts w:hint="eastAsia" w:ascii="宋体" w:hAnsi="宋体" w:cs="宋体"/>
                <w:bCs/>
                <w:color w:val="auto"/>
                <w:kern w:val="0"/>
                <w:sz w:val="21"/>
                <w:szCs w:val="21"/>
                <w:highlight w:val="none"/>
                <w:lang w:val="en-US" w:eastAsia="zh-CN"/>
              </w:rPr>
              <w:t>具有</w:t>
            </w:r>
            <w:r>
              <w:rPr>
                <w:rFonts w:hint="eastAsia" w:ascii="宋体" w:hAnsi="宋体" w:eastAsia="宋体" w:cs="宋体"/>
                <w:bCs/>
                <w:color w:val="auto"/>
                <w:kern w:val="0"/>
                <w:sz w:val="21"/>
                <w:szCs w:val="21"/>
                <w:highlight w:val="none"/>
                <w:lang w:val="en-US" w:eastAsia="zh-CN"/>
              </w:rPr>
              <w:t>食品安全管理员证</w:t>
            </w:r>
            <w:r>
              <w:rPr>
                <w:rFonts w:hint="eastAsia" w:ascii="宋体" w:hAnsi="宋体" w:cs="宋体"/>
                <w:bCs/>
                <w:color w:val="auto"/>
                <w:kern w:val="0"/>
                <w:sz w:val="21"/>
                <w:szCs w:val="21"/>
                <w:highlight w:val="none"/>
                <w:lang w:val="en-US" w:eastAsia="zh-CN"/>
              </w:rPr>
              <w:t>的</w:t>
            </w:r>
            <w:r>
              <w:rPr>
                <w:rFonts w:hint="eastAsia" w:ascii="宋体" w:hAnsi="宋体" w:eastAsia="宋体" w:cs="宋体"/>
                <w:bCs/>
                <w:color w:val="auto"/>
                <w:kern w:val="0"/>
                <w:sz w:val="21"/>
                <w:szCs w:val="21"/>
                <w:highlight w:val="none"/>
                <w:lang w:eastAsia="zh-CN"/>
              </w:rPr>
              <w:t>得1分，最高</w:t>
            </w:r>
            <w:r>
              <w:rPr>
                <w:rFonts w:hint="eastAsia" w:ascii="宋体" w:hAnsi="宋体" w:eastAsia="宋体" w:cs="宋体"/>
                <w:bCs/>
                <w:color w:val="auto"/>
                <w:kern w:val="0"/>
                <w:sz w:val="21"/>
                <w:szCs w:val="21"/>
                <w:highlight w:val="none"/>
                <w:lang w:val="en-US" w:eastAsia="zh-CN"/>
              </w:rPr>
              <w:t>3分。</w:t>
            </w:r>
          </w:p>
          <w:p w14:paraId="2207D19B">
            <w:pPr>
              <w:keepNext w:val="0"/>
              <w:keepLines w:val="0"/>
              <w:numPr>
                <w:ilvl w:val="0"/>
                <w:numId w:val="0"/>
              </w:numPr>
              <w:suppressLineNumbers w:val="0"/>
              <w:spacing w:before="0" w:beforeAutospacing="0" w:after="0" w:afterAutospacing="0" w:line="400" w:lineRule="exact"/>
              <w:ind w:left="0" w:leftChars="0" w:right="0" w:rightChars="0"/>
              <w:rPr>
                <w:rFonts w:hint="eastAsia" w:ascii="宋体" w:hAnsi="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w:t>
            </w:r>
            <w:r>
              <w:rPr>
                <w:rFonts w:hint="eastAsia" w:ascii="仿宋" w:hAnsi="仿宋" w:eastAsia="仿宋" w:cs="Times New Roman"/>
                <w:color w:val="auto"/>
                <w:szCs w:val="21"/>
                <w:highlight w:val="none"/>
                <w:lang w:val="en-US" w:eastAsia="zh-CN"/>
              </w:rPr>
              <w:t>1.以上拟派人员须提供至开标之日前一个月在本企业缴纳的社保证明及健康证；2.拟派食品安全管理员其他人员均不得为同一人，否则按1人计算，分数就高计取。）</w:t>
            </w:r>
          </w:p>
        </w:tc>
      </w:tr>
      <w:tr w14:paraId="29A8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17" w:type="dxa"/>
            <w:noWrap w:val="0"/>
            <w:vAlign w:val="center"/>
          </w:tcPr>
          <w:p w14:paraId="093EADD9">
            <w:pPr>
              <w:keepNext w:val="0"/>
              <w:keepLines w:val="0"/>
              <w:suppressLineNumbers w:val="0"/>
              <w:spacing w:before="0" w:beforeAutospacing="0" w:after="0" w:afterAutospacing="0" w:line="400" w:lineRule="exact"/>
              <w:ind w:left="0" w:right="0"/>
              <w:rPr>
                <w:rFonts w:hint="default"/>
                <w:color w:val="auto"/>
                <w:szCs w:val="20"/>
              </w:rPr>
            </w:pPr>
          </w:p>
        </w:tc>
        <w:tc>
          <w:tcPr>
            <w:tcW w:w="1126" w:type="dxa"/>
            <w:noWrap w:val="0"/>
            <w:vAlign w:val="center"/>
          </w:tcPr>
          <w:p w14:paraId="69FDA668">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业绩</w:t>
            </w:r>
          </w:p>
          <w:p w14:paraId="7CAB9746">
            <w:pPr>
              <w:keepNext w:val="0"/>
              <w:keepLines w:val="0"/>
              <w:suppressLineNumbers w:val="0"/>
              <w:spacing w:before="0" w:beforeAutospacing="0" w:after="0" w:afterAutospacing="0" w:line="400" w:lineRule="exact"/>
              <w:ind w:left="0" w:right="0"/>
              <w:jc w:val="center"/>
              <w:rPr>
                <w:rFonts w:hint="default"/>
                <w:color w:val="auto"/>
                <w:szCs w:val="20"/>
              </w:rPr>
            </w:pPr>
            <w:r>
              <w:rPr>
                <w:rFonts w:hint="eastAsia" w:ascii="宋体" w:hAnsi="宋体" w:eastAsia="宋体" w:cs="宋体"/>
                <w:b/>
                <w:color w:val="auto"/>
                <w:sz w:val="21"/>
                <w:szCs w:val="21"/>
              </w:rPr>
              <w:t>（</w:t>
            </w:r>
            <w:r>
              <w:rPr>
                <w:rFonts w:hint="eastAsia" w:ascii="宋体" w:hAnsi="宋体" w:cs="宋体"/>
                <w:b/>
                <w:color w:val="auto"/>
                <w:sz w:val="21"/>
                <w:szCs w:val="21"/>
                <w:lang w:val="en-US" w:eastAsia="zh-CN"/>
              </w:rPr>
              <w:t>3</w:t>
            </w:r>
            <w:r>
              <w:rPr>
                <w:rFonts w:hint="eastAsia" w:ascii="宋体" w:hAnsi="宋体" w:eastAsia="宋体" w:cs="宋体"/>
                <w:b/>
                <w:color w:val="auto"/>
                <w:sz w:val="21"/>
                <w:szCs w:val="21"/>
              </w:rPr>
              <w:t>分）</w:t>
            </w:r>
          </w:p>
        </w:tc>
        <w:tc>
          <w:tcPr>
            <w:tcW w:w="7377" w:type="dxa"/>
            <w:noWrap w:val="0"/>
            <w:vAlign w:val="center"/>
          </w:tcPr>
          <w:p w14:paraId="386DA3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outlineLvl w:val="9"/>
              <w:rPr>
                <w:rFonts w:hint="eastAsia" w:eastAsia="宋体"/>
                <w:szCs w:val="20"/>
                <w:lang w:val="en-US" w:eastAsia="zh-CN"/>
              </w:rPr>
            </w:pPr>
            <w:r>
              <w:rPr>
                <w:rFonts w:hint="eastAsia" w:ascii="宋体" w:hAnsi="宋体" w:eastAsia="宋体" w:cs="宋体"/>
                <w:color w:val="auto"/>
                <w:sz w:val="21"/>
                <w:szCs w:val="21"/>
                <w:highlight w:val="none"/>
                <w:lang w:val="en-US" w:eastAsia="zh-CN"/>
              </w:rPr>
              <w:t>2022年1月1日至今（以合同签订时间为准），</w:t>
            </w:r>
            <w:r>
              <w:rPr>
                <w:rFonts w:hint="eastAsia" w:ascii="宋体" w:hAnsi="宋体" w:cs="宋体"/>
                <w:color w:val="auto"/>
                <w:sz w:val="21"/>
                <w:szCs w:val="21"/>
                <w:highlight w:val="none"/>
                <w:lang w:val="en-US" w:eastAsia="zh-CN"/>
              </w:rPr>
              <w:t>投标人具有类似食堂服务的每个业绩得1分</w:t>
            </w:r>
            <w:r>
              <w:rPr>
                <w:rFonts w:hint="eastAsia" w:ascii="宋体" w:hAnsi="宋体" w:eastAsia="宋体" w:cs="宋体"/>
                <w:color w:val="auto"/>
                <w:sz w:val="21"/>
                <w:szCs w:val="21"/>
                <w:highlight w:val="none"/>
                <w:lang w:val="en-US" w:eastAsia="zh-CN"/>
              </w:rPr>
              <w:t>，最高3分</w:t>
            </w:r>
            <w:r>
              <w:rPr>
                <w:rFonts w:hint="eastAsia" w:ascii="宋体" w:hAnsi="宋体" w:eastAsia="宋体" w:cs="宋体"/>
                <w:color w:val="auto"/>
                <w:sz w:val="21"/>
                <w:szCs w:val="21"/>
              </w:rPr>
              <w:t>（需提供中标通知书</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rPr>
              <w:t>合同）</w:t>
            </w:r>
            <w:r>
              <w:rPr>
                <w:rFonts w:hint="eastAsia" w:ascii="宋体" w:hAnsi="宋体" w:eastAsia="宋体" w:cs="宋体"/>
                <w:color w:val="auto"/>
                <w:sz w:val="21"/>
                <w:szCs w:val="21"/>
                <w:lang w:eastAsia="zh-CN"/>
              </w:rPr>
              <w:t>。</w:t>
            </w:r>
          </w:p>
        </w:tc>
      </w:tr>
    </w:tbl>
    <w:p w14:paraId="113856C7">
      <w:pPr>
        <w:adjustRightInd/>
        <w:spacing w:line="360" w:lineRule="auto"/>
        <w:jc w:val="left"/>
        <w:rPr>
          <w:rFonts w:hint="eastAsia" w:ascii="宋体" w:hAnsi="宋体" w:eastAsia="宋体" w:cs="宋体"/>
          <w:b/>
          <w:kern w:val="0"/>
          <w:sz w:val="24"/>
          <w:highlight w:val="none"/>
          <w:lang w:val="en-US" w:eastAsia="zh-CN"/>
        </w:rPr>
      </w:pPr>
      <w:r>
        <w:rPr>
          <w:rFonts w:hint="eastAsia" w:ascii="宋体" w:hAnsi="宋体" w:eastAsia="宋体" w:cs="宋体"/>
          <w:b/>
          <w:kern w:val="0"/>
          <w:sz w:val="24"/>
          <w:highlight w:val="none"/>
        </w:rPr>
        <w:t>备注：供应商编制响应文件时，建议按此目录（序号和内容）提供评审标准相应的商务技术资料。</w:t>
      </w:r>
      <w:r>
        <w:rPr>
          <w:rFonts w:hint="eastAsia" w:ascii="宋体" w:hAnsi="宋体" w:eastAsia="宋体" w:cs="宋体"/>
          <w:b/>
          <w:kern w:val="0"/>
          <w:sz w:val="24"/>
          <w:highlight w:val="none"/>
          <w:lang w:val="en-US" w:eastAsia="zh-CN"/>
        </w:rPr>
        <w:t>小数点后保留一位小数。</w:t>
      </w:r>
    </w:p>
    <w:p w14:paraId="75111C4E">
      <w:pPr>
        <w:pStyle w:val="14"/>
        <w:snapToGrid w:val="0"/>
        <w:spacing w:beforeLines="0" w:afterLines="0"/>
        <w:ind w:left="982" w:hanging="562"/>
        <w:jc w:val="center"/>
        <w:outlineLvl w:val="0"/>
        <w:rPr>
          <w:rFonts w:hint="eastAsia" w:ascii="黑体" w:hAnsi="宋体" w:eastAsia="黑体"/>
          <w:b/>
          <w:bCs/>
          <w:color w:val="auto"/>
          <w:sz w:val="28"/>
          <w:szCs w:val="28"/>
          <w:highlight w:val="none"/>
        </w:rPr>
      </w:pPr>
      <w:bookmarkStart w:id="18" w:name="_Toc462908589"/>
      <w:r>
        <w:rPr>
          <w:rFonts w:hint="eastAsia" w:cs="宋体"/>
          <w:sz w:val="21"/>
          <w:szCs w:val="21"/>
          <w:lang w:val="en-US" w:eastAsia="zh-CN"/>
        </w:rPr>
        <w:t xml:space="preserve"> </w:t>
      </w:r>
    </w:p>
    <w:p w14:paraId="019AA195">
      <w:pPr>
        <w:pStyle w:val="14"/>
        <w:snapToGrid w:val="0"/>
        <w:spacing w:beforeLines="0" w:afterLines="0"/>
        <w:ind w:left="982" w:hanging="562"/>
        <w:jc w:val="center"/>
        <w:outlineLvl w:val="0"/>
        <w:rPr>
          <w:rFonts w:hint="eastAsia" w:ascii="黑体" w:hAnsi="宋体" w:eastAsia="黑体"/>
          <w:b/>
          <w:bCs/>
          <w:color w:val="auto"/>
          <w:sz w:val="28"/>
          <w:szCs w:val="28"/>
          <w:highlight w:val="none"/>
        </w:rPr>
      </w:pPr>
    </w:p>
    <w:p w14:paraId="511A60A4">
      <w:pPr>
        <w:pStyle w:val="14"/>
        <w:snapToGrid w:val="0"/>
        <w:spacing w:beforeLines="0" w:afterLines="0"/>
        <w:ind w:left="982" w:hanging="562"/>
        <w:jc w:val="center"/>
        <w:outlineLvl w:val="0"/>
        <w:rPr>
          <w:rFonts w:hint="eastAsia" w:ascii="黑体" w:hAnsi="宋体" w:eastAsia="黑体"/>
          <w:b/>
          <w:bCs/>
          <w:color w:val="auto"/>
          <w:sz w:val="28"/>
          <w:szCs w:val="28"/>
          <w:highlight w:val="none"/>
        </w:rPr>
      </w:pPr>
    </w:p>
    <w:p w14:paraId="6D31CFAD">
      <w:pPr>
        <w:pStyle w:val="14"/>
        <w:snapToGrid w:val="0"/>
        <w:spacing w:beforeLines="0" w:afterLines="0"/>
        <w:ind w:left="982" w:hanging="562"/>
        <w:jc w:val="center"/>
        <w:outlineLvl w:val="0"/>
        <w:rPr>
          <w:rFonts w:hint="eastAsia" w:ascii="黑体" w:hAnsi="宋体" w:eastAsia="黑体"/>
          <w:b/>
          <w:bCs/>
          <w:color w:val="auto"/>
          <w:sz w:val="28"/>
          <w:szCs w:val="28"/>
          <w:highlight w:val="none"/>
        </w:rPr>
      </w:pPr>
    </w:p>
    <w:p w14:paraId="1B8C0C93">
      <w:pPr>
        <w:pStyle w:val="14"/>
        <w:snapToGrid w:val="0"/>
        <w:spacing w:beforeLines="0" w:afterLines="0"/>
        <w:ind w:left="982" w:hanging="562"/>
        <w:jc w:val="center"/>
        <w:outlineLvl w:val="0"/>
        <w:rPr>
          <w:rFonts w:hint="eastAsia" w:ascii="黑体" w:hAnsi="宋体" w:eastAsia="黑体"/>
          <w:b/>
          <w:bCs/>
          <w:color w:val="auto"/>
          <w:sz w:val="28"/>
          <w:szCs w:val="28"/>
          <w:highlight w:val="none"/>
        </w:rPr>
      </w:pPr>
    </w:p>
    <w:p w14:paraId="09855B8B">
      <w:pPr>
        <w:pStyle w:val="14"/>
        <w:snapToGrid w:val="0"/>
        <w:spacing w:beforeLines="0" w:afterLines="0"/>
        <w:ind w:left="982" w:hanging="562"/>
        <w:jc w:val="center"/>
        <w:outlineLvl w:val="0"/>
        <w:rPr>
          <w:rFonts w:hint="eastAsia" w:ascii="黑体" w:hAnsi="宋体" w:eastAsia="黑体"/>
          <w:b/>
          <w:bCs/>
          <w:color w:val="auto"/>
          <w:sz w:val="28"/>
          <w:szCs w:val="28"/>
          <w:highlight w:val="none"/>
        </w:rPr>
      </w:pPr>
    </w:p>
    <w:p w14:paraId="77F1DACE">
      <w:pPr>
        <w:pStyle w:val="14"/>
        <w:snapToGrid w:val="0"/>
        <w:spacing w:beforeLines="0" w:afterLines="0"/>
        <w:ind w:left="982" w:hanging="562"/>
        <w:jc w:val="center"/>
        <w:outlineLvl w:val="0"/>
        <w:rPr>
          <w:rFonts w:hint="eastAsia" w:ascii="黑体" w:hAnsi="宋体" w:eastAsia="黑体"/>
          <w:b/>
          <w:bCs/>
          <w:color w:val="auto"/>
          <w:sz w:val="28"/>
          <w:szCs w:val="28"/>
          <w:highlight w:val="none"/>
        </w:rPr>
      </w:pPr>
    </w:p>
    <w:p w14:paraId="55B0958D">
      <w:pPr>
        <w:pStyle w:val="14"/>
        <w:snapToGrid w:val="0"/>
        <w:spacing w:beforeLines="0" w:afterLines="0"/>
        <w:ind w:left="982" w:hanging="562"/>
        <w:jc w:val="center"/>
        <w:outlineLvl w:val="0"/>
        <w:rPr>
          <w:rFonts w:hint="eastAsia" w:ascii="黑体" w:hAnsi="宋体" w:eastAsia="黑体"/>
          <w:b/>
          <w:bCs/>
          <w:color w:val="auto"/>
          <w:sz w:val="28"/>
          <w:szCs w:val="28"/>
          <w:highlight w:val="none"/>
        </w:rPr>
      </w:pPr>
    </w:p>
    <w:p w14:paraId="031ED1E3">
      <w:pPr>
        <w:pStyle w:val="14"/>
        <w:snapToGrid w:val="0"/>
        <w:spacing w:beforeLines="0" w:afterLines="0"/>
        <w:ind w:left="982" w:hanging="562"/>
        <w:jc w:val="center"/>
        <w:outlineLvl w:val="0"/>
        <w:rPr>
          <w:rFonts w:hint="eastAsia" w:ascii="黑体" w:hAnsi="宋体" w:eastAsia="黑体"/>
          <w:b/>
          <w:bCs/>
          <w:color w:val="auto"/>
          <w:sz w:val="28"/>
          <w:szCs w:val="28"/>
          <w:highlight w:val="none"/>
        </w:rPr>
      </w:pPr>
    </w:p>
    <w:p w14:paraId="6385BEA7">
      <w:pPr>
        <w:pStyle w:val="14"/>
        <w:snapToGrid w:val="0"/>
        <w:spacing w:beforeLines="0" w:afterLines="0"/>
        <w:ind w:left="982" w:hanging="562"/>
        <w:jc w:val="center"/>
        <w:outlineLvl w:val="0"/>
        <w:rPr>
          <w:rFonts w:hint="eastAsia" w:ascii="黑体" w:hAnsi="宋体" w:eastAsia="黑体"/>
          <w:b/>
          <w:bCs/>
          <w:color w:val="auto"/>
          <w:sz w:val="28"/>
          <w:szCs w:val="28"/>
          <w:highlight w:val="none"/>
        </w:rPr>
      </w:pPr>
    </w:p>
    <w:p w14:paraId="5D6DFBF9">
      <w:pPr>
        <w:pStyle w:val="14"/>
        <w:snapToGrid w:val="0"/>
        <w:spacing w:beforeLines="0" w:afterLines="0"/>
        <w:ind w:left="982" w:hanging="562"/>
        <w:jc w:val="center"/>
        <w:outlineLvl w:val="0"/>
        <w:rPr>
          <w:rFonts w:hint="eastAsia" w:ascii="黑体" w:hAnsi="宋体" w:eastAsia="黑体"/>
          <w:b/>
          <w:bCs/>
          <w:color w:val="auto"/>
          <w:sz w:val="28"/>
          <w:szCs w:val="28"/>
          <w:highlight w:val="none"/>
        </w:rPr>
      </w:pPr>
    </w:p>
    <w:p w14:paraId="64414D0B">
      <w:pPr>
        <w:pStyle w:val="14"/>
        <w:snapToGrid w:val="0"/>
        <w:spacing w:beforeLines="0" w:afterLines="0"/>
        <w:ind w:left="982" w:hanging="562"/>
        <w:jc w:val="center"/>
        <w:outlineLvl w:val="0"/>
        <w:rPr>
          <w:rFonts w:hint="eastAsia" w:ascii="黑体" w:hAnsi="宋体" w:eastAsia="黑体"/>
          <w:b/>
          <w:bCs/>
          <w:color w:val="auto"/>
          <w:sz w:val="28"/>
          <w:szCs w:val="28"/>
          <w:highlight w:val="none"/>
        </w:rPr>
      </w:pPr>
    </w:p>
    <w:p w14:paraId="5CBD9F09">
      <w:pPr>
        <w:pStyle w:val="14"/>
        <w:snapToGrid w:val="0"/>
        <w:spacing w:beforeLines="0" w:afterLines="0"/>
        <w:ind w:left="982" w:hanging="562"/>
        <w:jc w:val="center"/>
        <w:outlineLvl w:val="0"/>
        <w:rPr>
          <w:rFonts w:hint="eastAsia" w:ascii="黑体" w:hAnsi="宋体" w:eastAsia="黑体"/>
          <w:b/>
          <w:bCs/>
          <w:color w:val="auto"/>
          <w:sz w:val="28"/>
          <w:szCs w:val="28"/>
          <w:highlight w:val="none"/>
        </w:rPr>
      </w:pPr>
    </w:p>
    <w:p w14:paraId="3F2519C9">
      <w:pPr>
        <w:pStyle w:val="14"/>
        <w:snapToGrid w:val="0"/>
        <w:spacing w:beforeLines="0" w:afterLines="0"/>
        <w:ind w:left="982" w:hanging="562"/>
        <w:jc w:val="center"/>
        <w:outlineLvl w:val="0"/>
        <w:rPr>
          <w:rFonts w:hint="eastAsia" w:ascii="黑体" w:hAnsi="宋体" w:eastAsia="黑体"/>
          <w:b/>
          <w:bCs/>
          <w:color w:val="auto"/>
          <w:sz w:val="28"/>
          <w:szCs w:val="28"/>
          <w:highlight w:val="none"/>
        </w:rPr>
      </w:pPr>
    </w:p>
    <w:p w14:paraId="1392DB18">
      <w:pPr>
        <w:pStyle w:val="14"/>
        <w:snapToGrid w:val="0"/>
        <w:spacing w:beforeLines="0" w:afterLines="0"/>
        <w:ind w:left="982" w:hanging="562"/>
        <w:jc w:val="center"/>
        <w:outlineLvl w:val="0"/>
        <w:rPr>
          <w:rFonts w:hint="eastAsia" w:ascii="黑体" w:hAnsi="宋体" w:eastAsia="黑体"/>
          <w:b/>
          <w:bCs/>
          <w:color w:val="auto"/>
          <w:sz w:val="28"/>
          <w:szCs w:val="28"/>
          <w:highlight w:val="none"/>
        </w:rPr>
      </w:pPr>
    </w:p>
    <w:p w14:paraId="2A7B4F06">
      <w:pPr>
        <w:pStyle w:val="14"/>
        <w:snapToGrid w:val="0"/>
        <w:spacing w:beforeLines="0" w:afterLines="0"/>
        <w:ind w:left="982" w:hanging="562"/>
        <w:jc w:val="center"/>
        <w:outlineLvl w:val="0"/>
        <w:rPr>
          <w:rFonts w:hint="eastAsia" w:ascii="黑体" w:hAnsi="宋体" w:eastAsia="黑体"/>
          <w:b/>
          <w:bCs/>
          <w:color w:val="auto"/>
          <w:sz w:val="28"/>
          <w:szCs w:val="28"/>
          <w:highlight w:val="none"/>
        </w:rPr>
      </w:pPr>
    </w:p>
    <w:p w14:paraId="691F152F">
      <w:pPr>
        <w:pStyle w:val="14"/>
        <w:snapToGrid w:val="0"/>
        <w:spacing w:beforeLines="0" w:afterLines="0"/>
        <w:jc w:val="both"/>
        <w:outlineLvl w:val="0"/>
        <w:rPr>
          <w:rFonts w:hint="eastAsia" w:ascii="黑体" w:hAnsi="宋体" w:eastAsia="黑体"/>
          <w:b/>
          <w:bCs/>
          <w:color w:val="auto"/>
          <w:sz w:val="28"/>
          <w:szCs w:val="28"/>
          <w:highlight w:val="none"/>
        </w:rPr>
      </w:pPr>
    </w:p>
    <w:p w14:paraId="7BD8B3F2">
      <w:pPr>
        <w:pStyle w:val="79"/>
        <w:spacing w:before="0"/>
        <w:ind w:firstLine="643"/>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一、评审方法</w:t>
      </w:r>
    </w:p>
    <w:p w14:paraId="06BB4377">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1.综合评分法。</w:t>
      </w:r>
      <w:r>
        <w:rPr>
          <w:rFonts w:hint="eastAsia" w:ascii="宋体" w:hAnsi="宋体" w:eastAsia="宋体" w:cs="宋体"/>
          <w:color w:val="auto"/>
          <w:kern w:val="0"/>
          <w:sz w:val="24"/>
          <w:highlight w:val="none"/>
        </w:rPr>
        <w:t>综合评分法，是指响应文件满足磋商文件全部实质性要求，且按照评审因素的量化指标评审得分最高的供应商为成交候选人的评审方法。</w:t>
      </w:r>
    </w:p>
    <w:p w14:paraId="04A8981E">
      <w:pPr>
        <w:adjustRightInd/>
        <w:spacing w:line="360" w:lineRule="auto"/>
        <w:rPr>
          <w:rFonts w:hint="eastAsia" w:ascii="宋体" w:hAnsi="宋体" w:eastAsia="宋体" w:cs="宋体"/>
          <w:color w:val="auto"/>
          <w:kern w:val="0"/>
          <w:sz w:val="24"/>
          <w:highlight w:val="none"/>
        </w:rPr>
      </w:pPr>
    </w:p>
    <w:p w14:paraId="7EEFA32B">
      <w:pPr>
        <w:snapToGrid w:val="0"/>
        <w:spacing w:line="360" w:lineRule="auto"/>
        <w:ind w:left="120" w:leftChars="57" w:firstLine="42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32"/>
          <w:highlight w:val="none"/>
        </w:rPr>
        <w:t>二、磋商小组的组成</w:t>
      </w:r>
    </w:p>
    <w:p w14:paraId="7716F92A">
      <w:pPr>
        <w:pStyle w:val="79"/>
        <w:spacing w:before="0"/>
        <w:ind w:firstLine="0" w:firstLineChars="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1.磋商小组的组成。</w:t>
      </w:r>
    </w:p>
    <w:p w14:paraId="516951D2">
      <w:pPr>
        <w:pStyle w:val="7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人员不得参加本机构代理的采购项目的评审。</w:t>
      </w:r>
    </w:p>
    <w:p w14:paraId="6EF64656">
      <w:pPr>
        <w:pStyle w:val="7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采用竞争性磋商方式的政府采购项目，评审专家应当从政府采购评审专家库内相关专业的专家名单中随机抽取。符合《政府采购竞争性磋商采购方式管理暂行办法》的通知</w:t>
      </w:r>
      <w:r>
        <w:rPr>
          <w:rFonts w:hint="eastAsia" w:ascii="宋体" w:hAnsi="宋体" w:cs="宋体"/>
          <w:color w:val="auto"/>
          <w:highlight w:val="none"/>
          <w:lang w:eastAsia="zh-CN"/>
        </w:rPr>
        <w:t>（</w:t>
      </w:r>
      <w:r>
        <w:rPr>
          <w:rFonts w:hint="eastAsia" w:ascii="宋体" w:hAnsi="宋体" w:eastAsia="宋体" w:cs="宋体"/>
          <w:color w:val="auto"/>
          <w:highlight w:val="none"/>
        </w:rPr>
        <w:t>财库〔2014〕214号</w:t>
      </w:r>
      <w:r>
        <w:rPr>
          <w:rFonts w:hint="eastAsia" w:ascii="宋体" w:hAnsi="宋体" w:cs="宋体"/>
          <w:color w:val="auto"/>
          <w:highlight w:val="none"/>
          <w:lang w:eastAsia="zh-CN"/>
        </w:rPr>
        <w:t>）</w:t>
      </w:r>
      <w:r>
        <w:rPr>
          <w:rFonts w:hint="eastAsia" w:ascii="宋体" w:hAnsi="宋体" w:eastAsia="宋体" w:cs="宋体"/>
          <w:color w:val="auto"/>
          <w:highlight w:val="none"/>
        </w:rPr>
        <w:t>第三条第四项规定情形的项目，以及情况特殊、通过随机方式难以确定合适的评审专家的项目，经主管预算单位同意，可以自行选定评审专家。技术复杂、专业性强的采购项目，评审专家中应当包含1名法律专家。</w:t>
      </w:r>
    </w:p>
    <w:p w14:paraId="7878958B">
      <w:pPr>
        <w:snapToGrid w:val="0"/>
        <w:spacing w:line="360" w:lineRule="auto"/>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5535C000">
      <w:pPr>
        <w:pStyle w:val="7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在政府采购活动中，磋商小组的组成人员与供应商有下列利害关系之一的，应当回避：</w:t>
      </w:r>
    </w:p>
    <w:p w14:paraId="16EF5635">
      <w:pPr>
        <w:pStyle w:val="79"/>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2.1参加采购活动前3年内与供应商存在劳动关系；</w:t>
      </w:r>
    </w:p>
    <w:p w14:paraId="2189B896">
      <w:pPr>
        <w:pStyle w:val="79"/>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2.2参加采购活动前3年内担任供应商的董事、监事；</w:t>
      </w:r>
    </w:p>
    <w:p w14:paraId="718B0C2E">
      <w:pPr>
        <w:pStyle w:val="79"/>
        <w:spacing w:before="0"/>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　　2.3参加采购活动前3年内是供应商的控股股东或者实际控制人；</w:t>
      </w:r>
    </w:p>
    <w:p w14:paraId="1D67BD0D">
      <w:pPr>
        <w:pStyle w:val="79"/>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2.4与供应商的法定代表人或者负责人有夫妻、直系血亲、三代以内旁系血亲或者近姻亲关系；</w:t>
      </w:r>
    </w:p>
    <w:p w14:paraId="65E515B1">
      <w:pPr>
        <w:pStyle w:val="79"/>
        <w:spacing w:before="0"/>
        <w:ind w:firstLine="48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2.5与供应商有其他可能影响政府采购活动公平、公正进行的关系。</w:t>
      </w:r>
    </w:p>
    <w:p w14:paraId="05A18FA9">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6B0DBF04">
      <w:pPr>
        <w:snapToGrid w:val="0"/>
        <w:spacing w:line="360" w:lineRule="auto"/>
        <w:ind w:left="120" w:leftChars="57" w:firstLine="482" w:firstLineChars="1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rPr>
        <w:t>三、磋商小组的职责</w:t>
      </w:r>
    </w:p>
    <w:p w14:paraId="6229D7F4">
      <w:pPr>
        <w:pStyle w:val="79"/>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1.磋商小组负责具体评审事务，并独立履行下列职责：</w:t>
      </w:r>
    </w:p>
    <w:p w14:paraId="3FBDC8F1">
      <w:pPr>
        <w:pStyle w:val="7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4"/>
          <w:highlight w:val="none"/>
        </w:rPr>
        <w:t>对供应商的资格进行审查；</w:t>
      </w:r>
      <w:r>
        <w:rPr>
          <w:rFonts w:hint="eastAsia" w:ascii="宋体" w:hAnsi="宋体" w:eastAsia="宋体" w:cs="宋体"/>
          <w:color w:val="auto"/>
          <w:highlight w:val="none"/>
        </w:rPr>
        <w:t>对响应文件的有效性、完整性和响应程度进行审查；</w:t>
      </w:r>
    </w:p>
    <w:p w14:paraId="6A5E7B13">
      <w:pPr>
        <w:pStyle w:val="7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1.2审查、评价响应文件是否符合磋商文件的商务、技术等实质性要求；</w:t>
      </w:r>
    </w:p>
    <w:p w14:paraId="0D42DA59">
      <w:pPr>
        <w:pStyle w:val="7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1.3要求供应商对响应文件有关事项作出澄清、说明或者更正；</w:t>
      </w:r>
    </w:p>
    <w:p w14:paraId="47AC2A10">
      <w:pPr>
        <w:pStyle w:val="7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1.4磋商小组集中与单一供应商分别进行磋商；</w:t>
      </w:r>
    </w:p>
    <w:p w14:paraId="2136DF34">
      <w:pPr>
        <w:pStyle w:val="7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1.5确定磋商文件的变动情况，并确定提交最后报价的供应商；</w:t>
      </w:r>
    </w:p>
    <w:p w14:paraId="5E37DF60">
      <w:pPr>
        <w:pStyle w:val="7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1.6根据磋商文件确定的评审办法及评审标准对提交最后报价的供应商的响应文件和最后报价采用综合评分法进行综合评分；</w:t>
      </w:r>
    </w:p>
    <w:p w14:paraId="3A665498">
      <w:pPr>
        <w:pStyle w:val="7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1.7编制评审报告，确定成交候选人名单，以及根据采购人委托直接确定成交人；</w:t>
      </w:r>
    </w:p>
    <w:p w14:paraId="20BEA929">
      <w:pPr>
        <w:pStyle w:val="7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1.8向采购人、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或者有关部门报告评审中发现的违法行为；</w:t>
      </w:r>
    </w:p>
    <w:p w14:paraId="7AA773C5">
      <w:pPr>
        <w:pStyle w:val="7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1.9法律、法规、规章、磋商文件等规定的其它事项。</w:t>
      </w:r>
    </w:p>
    <w:p w14:paraId="0650CE82">
      <w:pPr>
        <w:pStyle w:val="79"/>
        <w:spacing w:before="0"/>
        <w:ind w:firstLine="0" w:firstLineChars="0"/>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2.磋商小组及其成员不得有下列行为：</w:t>
      </w:r>
    </w:p>
    <w:p w14:paraId="0FA53B84">
      <w:pPr>
        <w:pStyle w:val="7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2.1确定参与本项目至评审结束前私自接触供应商；</w:t>
      </w:r>
    </w:p>
    <w:p w14:paraId="446DCA7F">
      <w:pPr>
        <w:pStyle w:val="7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2.2接受供应商提出的“超出响应文件的范围或者改变响应文件的实质性内容”的澄清、说明或者更正； </w:t>
      </w:r>
    </w:p>
    <w:p w14:paraId="453B382C">
      <w:pPr>
        <w:pStyle w:val="7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2.3违反评审纪律发表倾向性意见或者征询采购人的倾向性意见；</w:t>
      </w:r>
    </w:p>
    <w:p w14:paraId="75766852">
      <w:pPr>
        <w:pStyle w:val="7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2.4对需要专业判断的主观评审因素协商评分；</w:t>
      </w:r>
    </w:p>
    <w:p w14:paraId="0D26838D">
      <w:pPr>
        <w:pStyle w:val="7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2.5在评审过程中擅离职守，影响评审程序正常进行的；</w:t>
      </w:r>
    </w:p>
    <w:p w14:paraId="0C0AE126">
      <w:pPr>
        <w:pStyle w:val="7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2.6记录、复制或者带走任何评审资料；</w:t>
      </w:r>
    </w:p>
    <w:p w14:paraId="2FF674C7">
      <w:pPr>
        <w:pStyle w:val="7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2.7其他不遵守评审纪律的行为。</w:t>
      </w:r>
    </w:p>
    <w:p w14:paraId="49610737">
      <w:pPr>
        <w:pStyle w:val="7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磋商小组成员有2.1-2.5行为之一的，其评审意见无效，并不得获取评审劳务报酬和报销异地评审差旅费。</w:t>
      </w:r>
    </w:p>
    <w:p w14:paraId="38ECACE2">
      <w:pPr>
        <w:pStyle w:val="79"/>
        <w:spacing w:before="0"/>
        <w:ind w:firstLine="0" w:firstLineChars="0"/>
        <w:rPr>
          <w:rFonts w:hint="eastAsia" w:ascii="宋体" w:hAnsi="宋体" w:eastAsia="宋体" w:cs="宋体"/>
          <w:b/>
          <w:color w:val="auto"/>
          <w:highlight w:val="none"/>
        </w:rPr>
      </w:pPr>
    </w:p>
    <w:p w14:paraId="7C78C083">
      <w:pPr>
        <w:pStyle w:val="79"/>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四、评审程序</w:t>
      </w:r>
    </w:p>
    <w:p w14:paraId="23DA35A6">
      <w:pPr>
        <w:pStyle w:val="79"/>
        <w:spacing w:before="0"/>
        <w:ind w:firstLine="472" w:firstLineChars="196"/>
        <w:rPr>
          <w:rFonts w:hint="eastAsia" w:ascii="宋体" w:hAnsi="宋体" w:eastAsia="宋体" w:cs="宋体"/>
          <w:b/>
          <w:color w:val="auto"/>
          <w:highlight w:val="none"/>
        </w:rPr>
      </w:pPr>
      <w:r>
        <w:rPr>
          <w:rFonts w:hint="eastAsia" w:ascii="宋体" w:hAnsi="宋体" w:eastAsia="宋体" w:cs="宋体"/>
          <w:b/>
          <w:color w:val="auto"/>
          <w:highlight w:val="none"/>
        </w:rPr>
        <w:t>详见磋商文件“第二部分 竞争性磋商流程”。</w:t>
      </w:r>
    </w:p>
    <w:p w14:paraId="087AC9DA">
      <w:pPr>
        <w:pStyle w:val="79"/>
        <w:spacing w:before="0"/>
        <w:ind w:firstLine="0" w:firstLineChars="0"/>
        <w:rPr>
          <w:rFonts w:hint="eastAsia" w:ascii="宋体" w:hAnsi="宋体" w:eastAsia="宋体" w:cs="宋体"/>
          <w:b/>
          <w:color w:val="auto"/>
          <w:highlight w:val="none"/>
        </w:rPr>
      </w:pPr>
    </w:p>
    <w:p w14:paraId="413EFEC4">
      <w:pPr>
        <w:pStyle w:val="79"/>
        <w:spacing w:before="0"/>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五、评审须知</w:t>
      </w:r>
    </w:p>
    <w:p w14:paraId="1CC1489C">
      <w:pPr>
        <w:pStyle w:val="7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 响应文件的澄清</w:t>
      </w:r>
    </w:p>
    <w:p w14:paraId="185D67A3">
      <w:pPr>
        <w:keepNext w:val="0"/>
        <w:keepLines w:val="0"/>
        <w:pageBreakBefore w:val="0"/>
        <w:widowControl w:val="0"/>
        <w:kinsoku/>
        <w:wordWrap/>
        <w:overflowPunct/>
        <w:topLinePunct w:val="0"/>
        <w:autoSpaceDE/>
        <w:autoSpaceDN/>
        <w:bidi w:val="0"/>
        <w:adjustRightInd/>
        <w:spacing w:line="336"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37F84C1">
      <w:pPr>
        <w:pStyle w:val="79"/>
        <w:keepNext w:val="0"/>
        <w:keepLines w:val="0"/>
        <w:pageBreakBefore w:val="0"/>
        <w:widowControl w:val="0"/>
        <w:kinsoku/>
        <w:wordWrap/>
        <w:overflowPunct/>
        <w:topLinePunct w:val="0"/>
        <w:autoSpaceDE/>
        <w:autoSpaceDN/>
        <w:bidi w:val="0"/>
        <w:adjustRightInd/>
        <w:spacing w:before="0" w:line="336"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highlight w:val="none"/>
        </w:rPr>
        <w:t>2.最后报价的修正原则</w:t>
      </w:r>
    </w:p>
    <w:p w14:paraId="51A0AA04">
      <w:pPr>
        <w:spacing w:line="348" w:lineRule="auto"/>
        <w:ind w:firstLine="48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215E5DE4">
      <w:pPr>
        <w:spacing w:line="348"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2.1磋商文件中报价一览表（初次报价）内容与磋商文件中相应内容不一致的，以报价一览表（初次报价）为准；</w:t>
      </w:r>
    </w:p>
    <w:p w14:paraId="24BFBF96">
      <w:pPr>
        <w:spacing w:line="348"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53F8EE9A">
      <w:pPr>
        <w:spacing w:line="348"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2.3单价金额小数点或者百分比有明显错位的，以《报价一览表（初次报价）》的总价为准，并修改单价；</w:t>
      </w:r>
    </w:p>
    <w:p w14:paraId="2A1C7DF1">
      <w:pPr>
        <w:spacing w:line="348"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7FA2136A">
      <w:pPr>
        <w:spacing w:line="348"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34446F14">
      <w:pPr>
        <w:spacing w:line="348"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12848856">
      <w:pPr>
        <w:spacing w:line="348"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2.7政采云平台填报的报价一览表中的价格与上传的报价文件中报价一览表（初次报价）的报价不一致的，以上传的报价文件为准。</w:t>
      </w:r>
    </w:p>
    <w:p w14:paraId="732B4761">
      <w:pPr>
        <w:keepNext w:val="0"/>
        <w:keepLines w:val="0"/>
        <w:pageBreakBefore w:val="0"/>
        <w:widowControl w:val="0"/>
        <w:kinsoku/>
        <w:wordWrap/>
        <w:overflowPunct/>
        <w:topLinePunct w:val="0"/>
        <w:autoSpaceDE/>
        <w:autoSpaceDN/>
        <w:bidi w:val="0"/>
        <w:adjustRightInd/>
        <w:spacing w:line="336" w:lineRule="auto"/>
        <w:textAlignment w:val="auto"/>
        <w:rPr>
          <w:rFonts w:hint="eastAsia" w:ascii="宋体" w:hAnsi="宋体" w:eastAsia="宋体" w:cs="宋体"/>
          <w:b/>
          <w:bCs/>
          <w:color w:val="auto"/>
          <w:sz w:val="24"/>
          <w:highlight w:val="none"/>
        </w:rPr>
      </w:pPr>
      <w:r>
        <w:rPr>
          <w:rFonts w:hint="eastAsia" w:cs="仿宋_GB2312" w:asciiTheme="minorEastAsia" w:hAnsiTheme="minorEastAsia" w:eastAsiaTheme="minorEastAsia"/>
          <w:bCs/>
          <w:sz w:val="24"/>
        </w:rPr>
        <w:t>▲</w:t>
      </w:r>
      <w:r>
        <w:rPr>
          <w:rFonts w:hint="eastAsia" w:ascii="宋体" w:hAnsi="宋体" w:eastAsia="宋体" w:cs="宋体"/>
          <w:b/>
          <w:bCs/>
          <w:color w:val="auto"/>
          <w:sz w:val="24"/>
          <w:highlight w:val="none"/>
        </w:rPr>
        <w:t>供应商对根据修正原则修正后的最后报价不确认的，响应无效。</w:t>
      </w:r>
    </w:p>
    <w:p w14:paraId="4D56AFDC">
      <w:pPr>
        <w:pStyle w:val="79"/>
        <w:keepNext w:val="0"/>
        <w:keepLines w:val="0"/>
        <w:pageBreakBefore w:val="0"/>
        <w:widowControl w:val="0"/>
        <w:kinsoku/>
        <w:wordWrap/>
        <w:overflowPunct/>
        <w:topLinePunct w:val="0"/>
        <w:autoSpaceDE/>
        <w:autoSpaceDN/>
        <w:bidi w:val="0"/>
        <w:adjustRightInd/>
        <w:spacing w:before="0" w:line="336"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highlight w:val="none"/>
        </w:rPr>
        <w:t>3.</w:t>
      </w:r>
      <w:r>
        <w:rPr>
          <w:rFonts w:hint="eastAsia" w:ascii="宋体" w:hAnsi="宋体" w:eastAsia="宋体" w:cs="宋体"/>
          <w:b/>
          <w:color w:val="auto"/>
          <w:spacing w:val="20"/>
          <w:highlight w:val="none"/>
        </w:rPr>
        <w:t>响应无效</w:t>
      </w:r>
    </w:p>
    <w:p w14:paraId="19ADF222">
      <w:pPr>
        <w:pStyle w:val="13"/>
        <w:keepNext w:val="0"/>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有下列情况之一的，响应无效：</w:t>
      </w:r>
    </w:p>
    <w:p w14:paraId="11EC3067">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highlight w:val="none"/>
        </w:rPr>
        <w:t>3.1</w:t>
      </w:r>
      <w:r>
        <w:rPr>
          <w:rFonts w:hint="eastAsia" w:ascii="宋体" w:hAnsi="宋体" w:eastAsia="宋体" w:cs="宋体"/>
          <w:color w:val="auto"/>
          <w:sz w:val="24"/>
          <w:szCs w:val="21"/>
          <w:highlight w:val="none"/>
        </w:rPr>
        <w:t>单位负责人为同一人或者存在直接控股、管理关系的不同供应商参加同一合同项下的政府采购活动的（均无效）；</w:t>
      </w:r>
    </w:p>
    <w:p w14:paraId="7546F50A">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3.2为采购项目提供整体设计、规范编制或者项目管理、监理、检测等服务的供应商再参加该采购项目的其他采购活动的； </w:t>
      </w:r>
    </w:p>
    <w:p w14:paraId="7751360F">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3.3供应商不具备磋商文件中规定的资格要求的（供应商未提供有效的资格证明文件的，视为供应商不具备磋商文件中规定的资格要求）；</w:t>
      </w:r>
    </w:p>
    <w:p w14:paraId="7A82EFB3">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3.4如以联合体形式参加政府采购活动的，联合协议不符合磋商文件规定的联合协议要求的；</w:t>
      </w:r>
    </w:p>
    <w:p w14:paraId="14BEF10B">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3.5响应文件未按磋商文件的澄清、修改的内容编制，又不符合实质性要求的；</w:t>
      </w:r>
    </w:p>
    <w:p w14:paraId="335E89D5">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3.6响应文件组成漏项，内容不全或内容字迹模糊辨认不清的；</w:t>
      </w:r>
    </w:p>
    <w:p w14:paraId="0EE4780A">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3.7响应文件中法人授权书所载内容与本项目内容有异的；</w:t>
      </w:r>
    </w:p>
    <w:p w14:paraId="5FF0B2E7">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3.8响应文件未按照磋商文件要求签署、盖章的；</w:t>
      </w:r>
    </w:p>
    <w:p w14:paraId="08A0E4B2">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3.9</w:t>
      </w:r>
      <w:r>
        <w:rPr>
          <w:rFonts w:hint="eastAsia" w:ascii="宋体" w:hAnsi="宋体" w:eastAsia="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r>
        <w:rPr>
          <w:rFonts w:hint="eastAsia" w:ascii="宋体" w:hAnsi="宋体" w:eastAsia="宋体" w:cs="宋体"/>
          <w:color w:val="auto"/>
          <w:sz w:val="24"/>
          <w:highlight w:val="none"/>
        </w:rPr>
        <w:t xml:space="preserve"> </w:t>
      </w:r>
    </w:p>
    <w:p w14:paraId="5E97D7F7">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3.10响应文件含有采购人不能接受的附加条件的；</w:t>
      </w:r>
    </w:p>
    <w:p w14:paraId="30EF7A9E">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3.11响应文件中承诺的响应有效期少于磋商文件中载明的响应有效期的；</w:t>
      </w:r>
    </w:p>
    <w:p w14:paraId="717BDB43">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3.12供应商所投内容不符合磋商文件中实质性要求的；</w:t>
      </w:r>
    </w:p>
    <w:p w14:paraId="2CECB281">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3.13所提交的《最后报价一览表》中出现不是唯一的、有选择性的报价的</w:t>
      </w:r>
      <w:r>
        <w:rPr>
          <w:rFonts w:hint="eastAsia" w:ascii="宋体" w:hAnsi="宋体" w:cs="宋体"/>
          <w:color w:val="auto"/>
          <w:sz w:val="24"/>
          <w:highlight w:val="none"/>
          <w:lang w:eastAsia="zh-CN"/>
        </w:rPr>
        <w:t>；</w:t>
      </w:r>
    </w:p>
    <w:p w14:paraId="62036E3E">
      <w:pPr>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3.14最后报价高于本项目采购预算或者最高限价的</w:t>
      </w:r>
      <w:r>
        <w:rPr>
          <w:rFonts w:hint="eastAsia" w:ascii="宋体" w:hAnsi="宋体" w:cs="宋体"/>
          <w:color w:val="auto"/>
          <w:sz w:val="24"/>
          <w:highlight w:val="none"/>
          <w:lang w:eastAsia="zh-CN"/>
        </w:rPr>
        <w:t>；</w:t>
      </w:r>
    </w:p>
    <w:p w14:paraId="53745111">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宋体" w:hAnsi="宋体" w:cs="宋体"/>
          <w:color w:val="auto"/>
          <w:sz w:val="24"/>
          <w:highlight w:val="none"/>
          <w:lang w:eastAsia="zh-CN"/>
        </w:rPr>
        <w:t>；</w:t>
      </w:r>
    </w:p>
    <w:p w14:paraId="3AEB54F8">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3.16《最后报价一览表》填写不完整或字迹不能辨认或有漏项的；</w:t>
      </w:r>
    </w:p>
    <w:p w14:paraId="0C331B9F">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3.17供应商对根据修正原则修正后的最后报价不确认的；</w:t>
      </w:r>
    </w:p>
    <w:p w14:paraId="22DB9687">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3.18供应商提供虚假材料响应的（包括但不限于以下情节）；</w:t>
      </w:r>
    </w:p>
    <w:p w14:paraId="74262772">
      <w:pPr>
        <w:pStyle w:val="59"/>
        <w:keepNext w:val="0"/>
        <w:keepLines w:val="0"/>
        <w:pageBreakBefore w:val="0"/>
        <w:widowControl w:val="0"/>
        <w:numPr>
          <w:ilvl w:val="0"/>
          <w:numId w:val="6"/>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使用伪造、变造的许可证件；</w:t>
      </w:r>
    </w:p>
    <w:p w14:paraId="28D5DB71">
      <w:pPr>
        <w:pStyle w:val="59"/>
        <w:keepNext w:val="0"/>
        <w:keepLines w:val="0"/>
        <w:pageBreakBefore w:val="0"/>
        <w:widowControl w:val="0"/>
        <w:numPr>
          <w:ilvl w:val="0"/>
          <w:numId w:val="6"/>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提供虚假的财务状况或者业绩；</w:t>
      </w:r>
    </w:p>
    <w:p w14:paraId="6F20087E">
      <w:pPr>
        <w:pStyle w:val="59"/>
        <w:keepNext w:val="0"/>
        <w:keepLines w:val="0"/>
        <w:pageBreakBefore w:val="0"/>
        <w:widowControl w:val="0"/>
        <w:numPr>
          <w:ilvl w:val="0"/>
          <w:numId w:val="6"/>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提供虚假的项目负责人或者主要技术人员简历、劳动关系证明；</w:t>
      </w:r>
    </w:p>
    <w:p w14:paraId="3362D28F">
      <w:pPr>
        <w:pStyle w:val="59"/>
        <w:keepNext w:val="0"/>
        <w:keepLines w:val="0"/>
        <w:pageBreakBefore w:val="0"/>
        <w:widowControl w:val="0"/>
        <w:numPr>
          <w:ilvl w:val="0"/>
          <w:numId w:val="6"/>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提供虚假的信用状况；</w:t>
      </w:r>
    </w:p>
    <w:p w14:paraId="0AE20E2C">
      <w:pPr>
        <w:pStyle w:val="59"/>
        <w:keepNext w:val="0"/>
        <w:keepLines w:val="0"/>
        <w:pageBreakBefore w:val="0"/>
        <w:widowControl w:val="0"/>
        <w:numPr>
          <w:ilvl w:val="0"/>
          <w:numId w:val="6"/>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其他弄虚作假的行为。</w:t>
      </w:r>
    </w:p>
    <w:p w14:paraId="53BA79E7">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3.19供应商有恶意串通、妨碍其他供应商的竞争行为、损害采购人或者其他供应商的合法权益情形的。</w:t>
      </w:r>
    </w:p>
    <w:p w14:paraId="240C82A2">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有下列情形之一的，属于或视为恶意串通，其响应无效：</w:t>
      </w:r>
    </w:p>
    <w:p w14:paraId="5B837EF0">
      <w:pPr>
        <w:pStyle w:val="59"/>
        <w:keepNext w:val="0"/>
        <w:keepLines w:val="0"/>
        <w:pageBreakBefore w:val="0"/>
        <w:widowControl w:val="0"/>
        <w:numPr>
          <w:ilvl w:val="0"/>
          <w:numId w:val="6"/>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供应商直接或者间接从采购人或者采购代理机构处获得其他供应商的相关情况并修改其响应文件；</w:t>
      </w:r>
    </w:p>
    <w:p w14:paraId="253F4587">
      <w:pPr>
        <w:pStyle w:val="59"/>
        <w:keepNext w:val="0"/>
        <w:keepLines w:val="0"/>
        <w:pageBreakBefore w:val="0"/>
        <w:widowControl w:val="0"/>
        <w:numPr>
          <w:ilvl w:val="0"/>
          <w:numId w:val="6"/>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供应商按照采购人或者采购代理机构的授意撤换、修改投标文件或者响应文件；</w:t>
      </w:r>
    </w:p>
    <w:p w14:paraId="6A4B45A8">
      <w:pPr>
        <w:pStyle w:val="59"/>
        <w:keepNext w:val="0"/>
        <w:keepLines w:val="0"/>
        <w:pageBreakBefore w:val="0"/>
        <w:widowControl w:val="0"/>
        <w:numPr>
          <w:ilvl w:val="0"/>
          <w:numId w:val="7"/>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供应商之间协商报价、技术方案等投标文件或者响应文件的实质性内容；</w:t>
      </w:r>
    </w:p>
    <w:p w14:paraId="79DA2861">
      <w:pPr>
        <w:pStyle w:val="59"/>
        <w:keepNext w:val="0"/>
        <w:keepLines w:val="0"/>
        <w:pageBreakBefore w:val="0"/>
        <w:widowControl w:val="0"/>
        <w:numPr>
          <w:ilvl w:val="0"/>
          <w:numId w:val="7"/>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属于同一集团、协会、商会等组织成员的供应商按照该组织要求协同参加政府采购活动；</w:t>
      </w:r>
    </w:p>
    <w:p w14:paraId="7F428EEE">
      <w:pPr>
        <w:pStyle w:val="59"/>
        <w:keepNext w:val="0"/>
        <w:keepLines w:val="0"/>
        <w:pageBreakBefore w:val="0"/>
        <w:widowControl w:val="0"/>
        <w:numPr>
          <w:ilvl w:val="0"/>
          <w:numId w:val="7"/>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供应商之间事先约定由某一特定供应商中标、成交；</w:t>
      </w:r>
    </w:p>
    <w:p w14:paraId="5407F3A6">
      <w:pPr>
        <w:pStyle w:val="59"/>
        <w:keepNext w:val="0"/>
        <w:keepLines w:val="0"/>
        <w:pageBreakBefore w:val="0"/>
        <w:widowControl w:val="0"/>
        <w:numPr>
          <w:ilvl w:val="0"/>
          <w:numId w:val="7"/>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供应商之间商定部分供应商放弃参加政府采购活动或者放弃中标、成交；</w:t>
      </w:r>
    </w:p>
    <w:p w14:paraId="483822E7">
      <w:pPr>
        <w:pStyle w:val="59"/>
        <w:keepNext w:val="0"/>
        <w:keepLines w:val="0"/>
        <w:pageBreakBefore w:val="0"/>
        <w:widowControl w:val="0"/>
        <w:numPr>
          <w:ilvl w:val="0"/>
          <w:numId w:val="7"/>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供应商与采购人或者采购代理机构之间、供应商相互之间，为谋求特定供应商中标、成交或者排斥其他供应商的其他串通行为。</w:t>
      </w:r>
    </w:p>
    <w:p w14:paraId="3395BB16">
      <w:pPr>
        <w:pStyle w:val="59"/>
        <w:keepNext w:val="0"/>
        <w:keepLines w:val="0"/>
        <w:pageBreakBefore w:val="0"/>
        <w:widowControl w:val="0"/>
        <w:numPr>
          <w:ilvl w:val="0"/>
          <w:numId w:val="7"/>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不同供应商的响应文件由同一单位或者个人编制；</w:t>
      </w:r>
    </w:p>
    <w:p w14:paraId="5BBEB828">
      <w:pPr>
        <w:pStyle w:val="59"/>
        <w:keepNext w:val="0"/>
        <w:keepLines w:val="0"/>
        <w:pageBreakBefore w:val="0"/>
        <w:widowControl w:val="0"/>
        <w:numPr>
          <w:ilvl w:val="0"/>
          <w:numId w:val="7"/>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不同供应商委托同一单位或者个人办理响应事宜；</w:t>
      </w:r>
    </w:p>
    <w:p w14:paraId="1265DFBE">
      <w:pPr>
        <w:pStyle w:val="59"/>
        <w:keepNext w:val="0"/>
        <w:keepLines w:val="0"/>
        <w:pageBreakBefore w:val="0"/>
        <w:widowControl w:val="0"/>
        <w:numPr>
          <w:ilvl w:val="0"/>
          <w:numId w:val="7"/>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不同供应商的响应文件载明的项目管理成员或者联系人员为同一人；</w:t>
      </w:r>
    </w:p>
    <w:p w14:paraId="1A837E10">
      <w:pPr>
        <w:pStyle w:val="59"/>
        <w:keepNext w:val="0"/>
        <w:keepLines w:val="0"/>
        <w:pageBreakBefore w:val="0"/>
        <w:widowControl w:val="0"/>
        <w:numPr>
          <w:ilvl w:val="0"/>
          <w:numId w:val="7"/>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不同供应商的响应文件异常一致或者最后报价呈规律性差异；</w:t>
      </w:r>
    </w:p>
    <w:p w14:paraId="22915DD1">
      <w:pPr>
        <w:pStyle w:val="59"/>
        <w:keepNext w:val="0"/>
        <w:keepLines w:val="0"/>
        <w:pageBreakBefore w:val="0"/>
        <w:widowControl w:val="0"/>
        <w:numPr>
          <w:ilvl w:val="0"/>
          <w:numId w:val="7"/>
        </w:numPr>
        <w:kinsoku/>
        <w:wordWrap/>
        <w:overflowPunct/>
        <w:topLinePunct w:val="0"/>
        <w:autoSpaceDE/>
        <w:autoSpaceDN/>
        <w:bidi w:val="0"/>
        <w:adjustRightInd/>
        <w:snapToGrid/>
        <w:spacing w:line="336" w:lineRule="auto"/>
        <w:ind w:firstLineChars="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不同供应商的响应文件相互混装。</w:t>
      </w:r>
    </w:p>
    <w:p w14:paraId="60F90FC7">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3.20供应商仅提交备份响应文件，没有在电子交易平台传输提交响应文件的，响应无效；</w:t>
      </w:r>
    </w:p>
    <w:p w14:paraId="663ACAF8">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3.21法律、法规、规章（适用本市的）及省级以上规范性文件（适用本市的）规定的其他无效情形。</w:t>
      </w:r>
    </w:p>
    <w:p w14:paraId="360396E6">
      <w:pPr>
        <w:pStyle w:val="79"/>
        <w:keepNext w:val="0"/>
        <w:keepLines w:val="0"/>
        <w:pageBreakBefore w:val="0"/>
        <w:widowControl w:val="0"/>
        <w:kinsoku/>
        <w:wordWrap/>
        <w:overflowPunct/>
        <w:topLinePunct w:val="0"/>
        <w:autoSpaceDE/>
        <w:autoSpaceDN/>
        <w:bidi w:val="0"/>
        <w:adjustRightInd/>
        <w:snapToGrid/>
        <w:spacing w:before="0" w:line="336"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4. 重新开展采购活动</w:t>
      </w:r>
    </w:p>
    <w:p w14:paraId="22D2BA97">
      <w:pPr>
        <w:keepNext w:val="0"/>
        <w:keepLines w:val="0"/>
        <w:pageBreakBefore w:val="0"/>
        <w:widowControl w:val="0"/>
        <w:kinsoku/>
        <w:wordWrap/>
        <w:overflowPunct/>
        <w:topLinePunct w:val="0"/>
        <w:autoSpaceDE/>
        <w:autoSpaceDN/>
        <w:bidi w:val="0"/>
        <w:adjustRightInd/>
        <w:snapToGrid/>
        <w:spacing w:line="336" w:lineRule="auto"/>
        <w:ind w:firstLine="407" w:firstLineChars="194"/>
        <w:textAlignment w:val="auto"/>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1"/>
          <w:highlight w:val="none"/>
        </w:rPr>
        <w:t>出现下列情形之一的，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应当终止竞争性磋商采购活动，通过电子交易平台发布项目终止公告并说明原因，重新开展采购活动：</w:t>
      </w:r>
    </w:p>
    <w:p w14:paraId="6B41A12F">
      <w:pPr>
        <w:keepNext w:val="0"/>
        <w:keepLines w:val="0"/>
        <w:pageBreakBefore w:val="0"/>
        <w:widowControl w:val="0"/>
        <w:kinsoku/>
        <w:wordWrap/>
        <w:overflowPunct/>
        <w:topLinePunct w:val="0"/>
        <w:autoSpaceDE/>
        <w:autoSpaceDN/>
        <w:bidi w:val="0"/>
        <w:adjustRightInd/>
        <w:spacing w:line="336" w:lineRule="auto"/>
        <w:ind w:firstLine="465" w:firstLineChars="194"/>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（1）因情况变化，不再符合规定的竞争性磋商采购方式适用情形的；</w:t>
      </w:r>
    </w:p>
    <w:p w14:paraId="3AD80DAE">
      <w:pPr>
        <w:keepNext w:val="0"/>
        <w:keepLines w:val="0"/>
        <w:pageBreakBefore w:val="0"/>
        <w:widowControl w:val="0"/>
        <w:kinsoku/>
        <w:wordWrap/>
        <w:overflowPunct/>
        <w:topLinePunct w:val="0"/>
        <w:autoSpaceDE/>
        <w:autoSpaceDN/>
        <w:bidi w:val="0"/>
        <w:adjustRightInd/>
        <w:spacing w:line="336" w:lineRule="auto"/>
        <w:ind w:firstLine="465" w:firstLineChars="194"/>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（2）出现影响采购公正的违法、违规行为的；</w:t>
      </w:r>
    </w:p>
    <w:p w14:paraId="4BE9B222">
      <w:pPr>
        <w:keepNext w:val="0"/>
        <w:keepLines w:val="0"/>
        <w:pageBreakBefore w:val="0"/>
        <w:widowControl w:val="0"/>
        <w:kinsoku/>
        <w:wordWrap/>
        <w:overflowPunct/>
        <w:topLinePunct w:val="0"/>
        <w:autoSpaceDE/>
        <w:autoSpaceDN/>
        <w:bidi w:val="0"/>
        <w:adjustRightInd/>
        <w:spacing w:line="336" w:lineRule="auto"/>
        <w:ind w:firstLine="465" w:firstLineChars="194"/>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（3）在采购过程中符合要求的供应商或者最后报价未超过采购预算的供应商不足3家的（有特殊规定的从其规定）。</w:t>
      </w:r>
    </w:p>
    <w:p w14:paraId="5C601BA7">
      <w:pPr>
        <w:pStyle w:val="79"/>
        <w:keepNext w:val="0"/>
        <w:keepLines w:val="0"/>
        <w:pageBreakBefore w:val="0"/>
        <w:widowControl w:val="0"/>
        <w:kinsoku/>
        <w:wordWrap/>
        <w:overflowPunct/>
        <w:topLinePunct w:val="0"/>
        <w:autoSpaceDE/>
        <w:autoSpaceDN/>
        <w:bidi w:val="0"/>
        <w:adjustRightInd/>
        <w:spacing w:before="0" w:line="336"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5. 终止采购活动</w:t>
      </w:r>
    </w:p>
    <w:p w14:paraId="1667DB01">
      <w:pPr>
        <w:keepNext w:val="0"/>
        <w:keepLines w:val="0"/>
        <w:pageBreakBefore w:val="0"/>
        <w:widowControl w:val="0"/>
        <w:kinsoku/>
        <w:wordWrap/>
        <w:overflowPunct/>
        <w:topLinePunct w:val="0"/>
        <w:autoSpaceDE/>
        <w:autoSpaceDN/>
        <w:bidi w:val="0"/>
        <w:adjustRightInd/>
        <w:spacing w:line="336" w:lineRule="auto"/>
        <w:ind w:firstLine="465" w:firstLineChars="194"/>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在采购活动中因重大变故，采购任务取消的，</w:t>
      </w:r>
      <w:r>
        <w:rPr>
          <w:rFonts w:hint="eastAsia" w:ascii="宋体" w:hAnsi="宋体" w:eastAsia="宋体" w:cs="宋体"/>
          <w:color w:val="auto"/>
          <w:sz w:val="24"/>
          <w:szCs w:val="21"/>
          <w:highlight w:val="none"/>
          <w:lang w:eastAsia="zh-CN"/>
        </w:rPr>
        <w:t>采购代理机构</w:t>
      </w:r>
      <w:r>
        <w:rPr>
          <w:rFonts w:hint="eastAsia" w:ascii="宋体" w:hAnsi="宋体" w:eastAsia="宋体" w:cs="宋体"/>
          <w:color w:val="auto"/>
          <w:sz w:val="24"/>
          <w:szCs w:val="21"/>
          <w:highlight w:val="none"/>
        </w:rPr>
        <w:t>将终止采购活动，通过电子交易平台通知所有参加采购活动的供应商，并将项目实施情况和采购任务取消原因报送本级财政部门。</w:t>
      </w:r>
    </w:p>
    <w:p w14:paraId="35D5BA9D">
      <w:pPr>
        <w:keepNext w:val="0"/>
        <w:keepLines w:val="0"/>
        <w:pageBreakBefore w:val="0"/>
        <w:widowControl w:val="0"/>
        <w:kinsoku/>
        <w:wordWrap/>
        <w:overflowPunct/>
        <w:topLinePunct w:val="0"/>
        <w:autoSpaceDE/>
        <w:autoSpaceDN/>
        <w:bidi w:val="0"/>
        <w:adjustRightInd/>
        <w:spacing w:line="336"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6. </w:t>
      </w:r>
      <w:r>
        <w:rPr>
          <w:rFonts w:hint="eastAsia" w:ascii="宋体" w:hAnsi="宋体" w:eastAsia="宋体" w:cs="宋体"/>
          <w:b/>
          <w:color w:val="auto"/>
          <w:sz w:val="24"/>
          <w:highlight w:val="none"/>
          <w:lang w:eastAsia="zh-CN"/>
        </w:rPr>
        <w:t>采购代理机构</w:t>
      </w:r>
      <w:r>
        <w:rPr>
          <w:rFonts w:hint="eastAsia" w:ascii="宋体" w:hAnsi="宋体" w:eastAsia="宋体" w:cs="宋体"/>
          <w:b/>
          <w:color w:val="auto"/>
          <w:sz w:val="24"/>
          <w:highlight w:val="none"/>
        </w:rPr>
        <w:t>有权对磋商小组各成员的评分情况和评审意见进行合理性和合规性审查</w:t>
      </w:r>
      <w:r>
        <w:rPr>
          <w:rFonts w:hint="eastAsia" w:ascii="宋体" w:hAnsi="宋体" w:eastAsia="宋体" w:cs="宋体"/>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审查的，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将向同级政府采购监督管理部门报告并予以处理。</w:t>
      </w:r>
    </w:p>
    <w:p w14:paraId="037B4EFA">
      <w:pPr>
        <w:pStyle w:val="79"/>
        <w:keepNext w:val="0"/>
        <w:keepLines w:val="0"/>
        <w:pageBreakBefore w:val="0"/>
        <w:widowControl w:val="0"/>
        <w:kinsoku/>
        <w:wordWrap/>
        <w:overflowPunct/>
        <w:topLinePunct w:val="0"/>
        <w:autoSpaceDE/>
        <w:autoSpaceDN/>
        <w:bidi w:val="0"/>
        <w:adjustRightInd/>
        <w:spacing w:before="0" w:line="336" w:lineRule="auto"/>
        <w:ind w:firstLine="0" w:firstLineChars="0"/>
        <w:textAlignment w:val="auto"/>
        <w:rPr>
          <w:rFonts w:hint="eastAsia" w:ascii="宋体" w:hAnsi="宋体" w:eastAsia="宋体" w:cs="宋体"/>
          <w:b/>
          <w:color w:val="auto"/>
          <w:highlight w:val="none"/>
        </w:rPr>
      </w:pPr>
    </w:p>
    <w:p w14:paraId="17BDB33E">
      <w:pPr>
        <w:keepNext w:val="0"/>
        <w:keepLines w:val="0"/>
        <w:pageBreakBefore w:val="0"/>
        <w:widowControl w:val="0"/>
        <w:kinsoku/>
        <w:wordWrap/>
        <w:overflowPunct/>
        <w:topLinePunct w:val="0"/>
        <w:autoSpaceDE/>
        <w:autoSpaceDN/>
        <w:bidi w:val="0"/>
        <w:adjustRightInd/>
        <w:snapToGrid w:val="0"/>
        <w:spacing w:line="336"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六、评审过程的保密与录像</w:t>
      </w:r>
    </w:p>
    <w:p w14:paraId="763BE6AC">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1.保密。</w:t>
      </w:r>
      <w:r>
        <w:rPr>
          <w:rFonts w:hint="eastAsia" w:ascii="宋体" w:hAnsi="宋体" w:eastAsia="宋体" w:cs="宋体"/>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工作人员、相关监督人员等与评审有关的人员应当予以保密。</w:t>
      </w:r>
    </w:p>
    <w:p w14:paraId="7715D7D3">
      <w:pPr>
        <w:widowControl/>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2.录音录像。</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对评审工作现场进行全过程录音录像，录音录像资料作为采购项目文件随其他文件一并存档。</w:t>
      </w:r>
    </w:p>
    <w:p w14:paraId="15995507">
      <w:pPr>
        <w:widowControl/>
        <w:adjustRightInd/>
        <w:jc w:val="left"/>
        <w:rPr>
          <w:rFonts w:hint="eastAsia" w:ascii="黑体" w:hAnsi="宋体" w:eastAsia="黑体"/>
          <w:b/>
          <w:bCs/>
          <w:color w:val="auto"/>
          <w:sz w:val="28"/>
          <w:szCs w:val="28"/>
          <w:highlight w:val="none"/>
        </w:rPr>
      </w:pPr>
      <w:r>
        <w:rPr>
          <w:rFonts w:hint="eastAsia" w:ascii="宋体" w:hAnsi="宋体" w:eastAsia="宋体" w:cs="宋体"/>
          <w:b/>
          <w:color w:val="auto"/>
          <w:sz w:val="36"/>
          <w:szCs w:val="36"/>
          <w:highlight w:val="none"/>
        </w:rPr>
        <w:br w:type="page"/>
      </w:r>
    </w:p>
    <w:bookmarkEnd w:id="18"/>
    <w:p w14:paraId="7BA43619">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61CD50D">
      <w:pPr>
        <w:rPr>
          <w:rFonts w:hint="eastAsia" w:ascii="宋体" w:hAnsi="宋体" w:cs="宋体"/>
          <w:color w:val="auto"/>
          <w:sz w:val="24"/>
          <w:highlight w:val="none"/>
        </w:rPr>
      </w:pPr>
    </w:p>
    <w:p w14:paraId="4C905D33">
      <w:pPr>
        <w:rPr>
          <w:rFonts w:hint="eastAsia" w:ascii="宋体" w:hAnsi="宋体" w:cs="宋体"/>
          <w:color w:val="auto"/>
          <w:sz w:val="24"/>
          <w:highlight w:val="none"/>
        </w:rPr>
      </w:pPr>
    </w:p>
    <w:p w14:paraId="16141EFE">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510FEB7">
      <w:pPr>
        <w:spacing w:line="480" w:lineRule="auto"/>
        <w:jc w:val="center"/>
        <w:rPr>
          <w:rFonts w:ascii="宋体" w:hAnsi="宋体" w:cs="宋体"/>
          <w:b/>
          <w:color w:val="auto"/>
          <w:sz w:val="28"/>
          <w:szCs w:val="28"/>
          <w:highlight w:val="none"/>
        </w:rPr>
      </w:pPr>
    </w:p>
    <w:p w14:paraId="1C94126C">
      <w:pPr>
        <w:spacing w:line="480" w:lineRule="auto"/>
        <w:jc w:val="center"/>
        <w:rPr>
          <w:rFonts w:ascii="宋体" w:hAnsi="宋体" w:cs="宋体"/>
          <w:b/>
          <w:color w:val="auto"/>
          <w:sz w:val="24"/>
          <w:highlight w:val="none"/>
        </w:rPr>
      </w:pPr>
    </w:p>
    <w:p w14:paraId="48D992DA">
      <w:pPr>
        <w:spacing w:line="480" w:lineRule="auto"/>
        <w:jc w:val="center"/>
        <w:rPr>
          <w:rFonts w:ascii="宋体" w:hAnsi="宋体" w:cs="宋体"/>
          <w:b/>
          <w:color w:val="auto"/>
          <w:sz w:val="24"/>
          <w:highlight w:val="none"/>
        </w:rPr>
      </w:pPr>
    </w:p>
    <w:p w14:paraId="3971D7DD">
      <w:pPr>
        <w:autoSpaceDE w:val="0"/>
        <w:autoSpaceDN w:val="0"/>
        <w:snapToGrid w:val="0"/>
        <w:spacing w:after="120" w:line="360" w:lineRule="auto"/>
        <w:ind w:left="420" w:leftChars="200" w:firstLine="2843" w:firstLineChars="1180"/>
        <w:rPr>
          <w:rFonts w:ascii="宋体" w:hAnsi="宋体" w:cs="宋体"/>
          <w:b/>
          <w:color w:val="auto"/>
          <w:sz w:val="24"/>
          <w:highlight w:val="none"/>
        </w:rPr>
      </w:pPr>
      <w:r>
        <w:rPr>
          <w:rFonts w:hint="eastAsia" w:ascii="宋体" w:hAnsi="宋体" w:cs="宋体"/>
          <w:b/>
          <w:color w:val="auto"/>
          <w:sz w:val="24"/>
          <w:highlight w:val="none"/>
        </w:rPr>
        <w:t>第一部分 合同书</w:t>
      </w:r>
    </w:p>
    <w:p w14:paraId="6ABB3933">
      <w:pPr>
        <w:spacing w:before="120" w:line="22" w:lineRule="atLeast"/>
        <w:rPr>
          <w:rFonts w:ascii="宋体" w:hAnsi="宋体" w:cs="宋体"/>
          <w:color w:val="auto"/>
          <w:sz w:val="24"/>
          <w:highlight w:val="none"/>
        </w:rPr>
      </w:pPr>
    </w:p>
    <w:p w14:paraId="0DC9A978">
      <w:pPr>
        <w:keepNext w:val="0"/>
        <w:keepLines w:val="0"/>
        <w:adjustRightInd/>
        <w:spacing w:line="240" w:lineRule="auto"/>
        <w:ind w:left="0" w:firstLine="0"/>
        <w:jc w:val="left"/>
        <w:outlineLvl w:val="9"/>
        <w:rPr>
          <w:color w:val="auto"/>
          <w:highlight w:val="none"/>
          <w:lang w:val="zh-CN"/>
        </w:rPr>
      </w:pPr>
    </w:p>
    <w:p w14:paraId="64B5586C">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宁海县第一医院医疗健康集团北部医院食堂外包服务项目</w:t>
      </w:r>
      <w:r>
        <w:rPr>
          <w:rFonts w:hint="eastAsia" w:ascii="宋体" w:hAnsi="宋体" w:cs="宋体"/>
          <w:color w:val="auto"/>
          <w:sz w:val="24"/>
          <w:highlight w:val="none"/>
          <w:u w:val="single"/>
        </w:rPr>
        <w:t xml:space="preserve">  </w:t>
      </w:r>
    </w:p>
    <w:p w14:paraId="026E6A37">
      <w:pPr>
        <w:adjustRightInd/>
        <w:spacing w:before="120" w:line="22" w:lineRule="atLeast"/>
        <w:rPr>
          <w:rFonts w:ascii="宋体" w:hAnsi="宋体" w:cs="宋体"/>
          <w:color w:val="auto"/>
          <w:sz w:val="24"/>
          <w:highlight w:val="none"/>
        </w:rPr>
      </w:pPr>
    </w:p>
    <w:p w14:paraId="082715CA">
      <w:pPr>
        <w:rPr>
          <w:rFonts w:ascii="宋体" w:hAnsi="宋体" w:cs="宋体"/>
          <w:color w:val="auto"/>
          <w:sz w:val="24"/>
          <w:highlight w:val="none"/>
        </w:rPr>
      </w:pPr>
    </w:p>
    <w:p w14:paraId="5D7D67E3">
      <w:pPr>
        <w:spacing w:before="120" w:line="22" w:lineRule="atLeast"/>
        <w:ind w:left="1920" w:leftChars="457" w:hanging="960" w:hangingChars="40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eastAsia="zh-CN"/>
        </w:rPr>
        <w:t>宁海县梅林街道社区卫生服务中心（宁海县第一医院医疗健康集团北部医院）</w:t>
      </w:r>
      <w:r>
        <w:rPr>
          <w:rFonts w:hint="eastAsia" w:ascii="宋体" w:hAnsi="宋体" w:cs="宋体"/>
          <w:color w:val="auto"/>
          <w:sz w:val="24"/>
          <w:highlight w:val="none"/>
          <w:u w:val="single"/>
        </w:rPr>
        <w:t xml:space="preserve">         </w:t>
      </w:r>
    </w:p>
    <w:p w14:paraId="22F7BA32">
      <w:pPr>
        <w:spacing w:before="120" w:line="22" w:lineRule="atLeast"/>
        <w:rPr>
          <w:rFonts w:ascii="宋体" w:hAnsi="宋体" w:cs="宋体"/>
          <w:color w:val="auto"/>
          <w:sz w:val="24"/>
          <w:highlight w:val="none"/>
        </w:rPr>
      </w:pPr>
    </w:p>
    <w:p w14:paraId="3B96CD2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279F0A6">
      <w:pPr>
        <w:spacing w:before="120" w:line="22" w:lineRule="atLeast"/>
        <w:rPr>
          <w:rFonts w:ascii="宋体" w:hAnsi="宋体" w:cs="宋体"/>
          <w:color w:val="auto"/>
          <w:sz w:val="24"/>
          <w:highlight w:val="none"/>
        </w:rPr>
      </w:pPr>
    </w:p>
    <w:p w14:paraId="738CBDE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B4276B6">
      <w:pPr>
        <w:spacing w:before="120" w:line="22" w:lineRule="atLeast"/>
        <w:rPr>
          <w:rFonts w:ascii="宋体" w:hAnsi="宋体" w:cs="宋体"/>
          <w:color w:val="auto"/>
          <w:sz w:val="24"/>
          <w:highlight w:val="none"/>
        </w:rPr>
      </w:pPr>
    </w:p>
    <w:p w14:paraId="6C61D7B4">
      <w:pPr>
        <w:spacing w:before="120" w:line="22" w:lineRule="atLeast"/>
        <w:ind w:firstLine="960" w:firstLineChars="400"/>
        <w:rPr>
          <w:rFonts w:ascii="宋体" w:hAnsi="宋体" w:cs="宋体"/>
          <w:color w:val="auto"/>
          <w:kern w:val="0"/>
          <w:sz w:val="24"/>
          <w:highlight w:val="none"/>
        </w:rPr>
        <w:sectPr>
          <w:pgSz w:w="11907" w:h="16840"/>
          <w:pgMar w:top="1474" w:right="1814" w:bottom="1474" w:left="1814" w:header="851" w:footer="851" w:gutter="0"/>
          <w:pgNumType w:fmt="decimal"/>
          <w:cols w:space="720" w:num="1"/>
        </w:sect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2B3A21F">
      <w:pPr>
        <w:pStyle w:val="14"/>
        <w:snapToGrid w:val="0"/>
        <w:spacing w:before="120" w:after="120" w:line="36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（本合同条款为参考格式，具体由甲乙双方协商签订，与前款冲突之处以前款约定为准）</w:t>
      </w:r>
    </w:p>
    <w:p w14:paraId="3CEF1B17">
      <w:pPr>
        <w:pStyle w:val="14"/>
        <w:snapToGrid w:val="0"/>
        <w:spacing w:before="120" w:after="120" w:line="360" w:lineRule="exact"/>
        <w:rPr>
          <w:rFonts w:hint="eastAsia" w:ascii="宋体" w:hAnsi="宋体" w:eastAsia="宋体" w:cs="宋体"/>
          <w:b w:val="0"/>
          <w:bCs w:val="0"/>
          <w:color w:val="auto"/>
          <w:kern w:val="2"/>
          <w:sz w:val="21"/>
          <w:szCs w:val="21"/>
          <w:lang w:val="en-US" w:eastAsia="zh-CN" w:bidi="ar-SA"/>
        </w:rPr>
      </w:pPr>
    </w:p>
    <w:p w14:paraId="79E698FD">
      <w:pPr>
        <w:pStyle w:val="14"/>
        <w:snapToGrid w:val="0"/>
        <w:spacing w:before="120" w:after="120" w:line="36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甲方：</w:t>
      </w:r>
      <w:r>
        <w:rPr>
          <w:rFonts w:hint="eastAsia" w:ascii="宋体" w:hAnsi="宋体" w:eastAsia="宋体" w:cs="宋体"/>
          <w:b w:val="0"/>
          <w:bCs w:val="0"/>
          <w:color w:val="auto"/>
          <w:kern w:val="2"/>
          <w:sz w:val="21"/>
          <w:szCs w:val="21"/>
          <w:u w:val="single"/>
          <w:lang w:val="en-US" w:eastAsia="zh-CN" w:bidi="ar-SA"/>
        </w:rPr>
        <w:t xml:space="preserve">                          </w:t>
      </w:r>
      <w:r>
        <w:rPr>
          <w:rFonts w:hint="eastAsia" w:ascii="宋体" w:hAnsi="宋体" w:eastAsia="宋体" w:cs="宋体"/>
          <w:b w:val="0"/>
          <w:bCs w:val="0"/>
          <w:color w:val="auto"/>
          <w:kern w:val="2"/>
          <w:sz w:val="21"/>
          <w:szCs w:val="21"/>
          <w:lang w:val="en-US" w:eastAsia="zh-CN" w:bidi="ar-SA"/>
        </w:rPr>
        <w:t>（以下简称甲方）</w:t>
      </w:r>
    </w:p>
    <w:p w14:paraId="64DEF444">
      <w:pPr>
        <w:pStyle w:val="14"/>
        <w:snapToGrid w:val="0"/>
        <w:spacing w:before="120" w:after="120" w:line="360" w:lineRule="exac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乙方：</w:t>
      </w:r>
      <w:r>
        <w:rPr>
          <w:rFonts w:hint="eastAsia" w:ascii="宋体" w:hAnsi="宋体" w:eastAsia="宋体" w:cs="宋体"/>
          <w:b w:val="0"/>
          <w:bCs w:val="0"/>
          <w:color w:val="auto"/>
          <w:kern w:val="2"/>
          <w:sz w:val="21"/>
          <w:szCs w:val="21"/>
          <w:u w:val="single"/>
          <w:lang w:val="en-US" w:eastAsia="zh-CN" w:bidi="ar-SA"/>
        </w:rPr>
        <w:t xml:space="preserve">                          </w:t>
      </w:r>
      <w:r>
        <w:rPr>
          <w:rFonts w:hint="eastAsia" w:ascii="宋体" w:hAnsi="宋体" w:eastAsia="宋体" w:cs="宋体"/>
          <w:b w:val="0"/>
          <w:bCs w:val="0"/>
          <w:color w:val="auto"/>
          <w:kern w:val="2"/>
          <w:sz w:val="21"/>
          <w:szCs w:val="21"/>
          <w:lang w:val="en-US" w:eastAsia="zh-CN" w:bidi="ar-SA"/>
        </w:rPr>
        <w:t>（以下简称乙方）</w:t>
      </w:r>
    </w:p>
    <w:p w14:paraId="07245862">
      <w:pPr>
        <w:pStyle w:val="14"/>
        <w:snapToGrid w:val="0"/>
        <w:spacing w:before="120" w:after="120" w:line="360" w:lineRule="exact"/>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根据《中华人民共和国政府采购法》、《中华人民共和国政府采购法实施条例》等法律法规，项目名称（项目编号：）于</w:t>
      </w:r>
      <w:r>
        <w:rPr>
          <w:rFonts w:hint="eastAsia" w:ascii="宋体" w:hAnsi="宋体" w:eastAsia="宋体" w:cs="宋体"/>
          <w:b w:val="0"/>
          <w:bCs w:val="0"/>
          <w:color w:val="auto"/>
          <w:kern w:val="2"/>
          <w:sz w:val="21"/>
          <w:szCs w:val="21"/>
          <w:u w:val="single"/>
          <w:lang w:val="en-US" w:eastAsia="zh-CN" w:bidi="ar-SA"/>
        </w:rPr>
        <w:t xml:space="preserve">      </w:t>
      </w:r>
      <w:r>
        <w:rPr>
          <w:rFonts w:hint="eastAsia" w:ascii="宋体" w:hAnsi="宋体" w:eastAsia="宋体" w:cs="宋体"/>
          <w:b w:val="0"/>
          <w:bCs w:val="0"/>
          <w:color w:val="auto"/>
          <w:kern w:val="2"/>
          <w:sz w:val="21"/>
          <w:szCs w:val="21"/>
          <w:lang w:val="en-US" w:eastAsia="zh-CN" w:bidi="ar-SA"/>
        </w:rPr>
        <w:t xml:space="preserve"> 年 </w:t>
      </w:r>
      <w:r>
        <w:rPr>
          <w:rFonts w:hint="eastAsia" w:ascii="宋体" w:hAnsi="宋体" w:eastAsia="宋体" w:cs="宋体"/>
          <w:b w:val="0"/>
          <w:bCs w:val="0"/>
          <w:color w:val="auto"/>
          <w:kern w:val="2"/>
          <w:sz w:val="21"/>
          <w:szCs w:val="21"/>
          <w:u w:val="single"/>
          <w:lang w:val="en-US" w:eastAsia="zh-CN" w:bidi="ar-SA"/>
        </w:rPr>
        <w:t xml:space="preserve">    </w:t>
      </w:r>
      <w:r>
        <w:rPr>
          <w:rFonts w:hint="eastAsia" w:ascii="宋体" w:hAnsi="宋体" w:eastAsia="宋体" w:cs="宋体"/>
          <w:b w:val="0"/>
          <w:bCs w:val="0"/>
          <w:color w:val="auto"/>
          <w:kern w:val="2"/>
          <w:sz w:val="21"/>
          <w:szCs w:val="21"/>
          <w:lang w:val="en-US" w:eastAsia="zh-CN" w:bidi="ar-SA"/>
        </w:rPr>
        <w:t xml:space="preserve">月 </w:t>
      </w:r>
      <w:r>
        <w:rPr>
          <w:rFonts w:hint="eastAsia" w:ascii="宋体" w:hAnsi="宋体" w:eastAsia="宋体" w:cs="宋体"/>
          <w:b w:val="0"/>
          <w:bCs w:val="0"/>
          <w:color w:val="auto"/>
          <w:kern w:val="2"/>
          <w:sz w:val="21"/>
          <w:szCs w:val="21"/>
          <w:u w:val="single"/>
          <w:lang w:val="en-US" w:eastAsia="zh-CN" w:bidi="ar-SA"/>
        </w:rPr>
        <w:t xml:space="preserve">    </w:t>
      </w:r>
      <w:r>
        <w:rPr>
          <w:rFonts w:hint="eastAsia" w:ascii="宋体" w:hAnsi="宋体" w:eastAsia="宋体" w:cs="宋体"/>
          <w:b w:val="0"/>
          <w:bCs w:val="0"/>
          <w:color w:val="auto"/>
          <w:kern w:val="2"/>
          <w:sz w:val="21"/>
          <w:szCs w:val="21"/>
          <w:lang w:val="en-US" w:eastAsia="zh-CN" w:bidi="ar-SA"/>
        </w:rPr>
        <w:t>日，在宁海县公共资源交易中小进行公开招标采购，确定由乙方中标。按照《中华人民共和国民法典》的有关规定，在自愿、平等、公平、诚信的基础上，经双方协商一致，签订本合同。</w:t>
      </w:r>
    </w:p>
    <w:p w14:paraId="1B69E61B">
      <w:pPr>
        <w:pStyle w:val="14"/>
        <w:snapToGrid w:val="0"/>
        <w:spacing w:before="120" w:after="120" w:line="360" w:lineRule="exact"/>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下述文件作为附件，是合同的一部分，并与本合同一起阅读和解释：</w:t>
      </w:r>
    </w:p>
    <w:p w14:paraId="1F3EB9DC">
      <w:pPr>
        <w:pStyle w:val="14"/>
        <w:snapToGrid w:val="0"/>
        <w:spacing w:before="120" w:after="120" w:line="360" w:lineRule="exact"/>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a.招标文件；</w:t>
      </w:r>
    </w:p>
    <w:p w14:paraId="0E15DCAA">
      <w:pPr>
        <w:pStyle w:val="14"/>
        <w:snapToGrid w:val="0"/>
        <w:spacing w:before="120" w:after="120" w:line="360" w:lineRule="exact"/>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b.投标文件及澄清文件；</w:t>
      </w:r>
    </w:p>
    <w:p w14:paraId="08EDF098">
      <w:pPr>
        <w:pStyle w:val="14"/>
        <w:snapToGrid w:val="0"/>
        <w:spacing w:before="120" w:after="120" w:line="360" w:lineRule="exact"/>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c.中标通知书；</w:t>
      </w:r>
    </w:p>
    <w:p w14:paraId="75C97667">
      <w:pPr>
        <w:pStyle w:val="14"/>
        <w:snapToGrid w:val="0"/>
        <w:spacing w:before="120" w:after="120" w:line="360" w:lineRule="exact"/>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上述文件与合同若有不一致之处，优先次序第一应为合同、第二应为附件(附件的优先次序为 c,b,a)。</w:t>
      </w:r>
    </w:p>
    <w:p w14:paraId="09782606">
      <w:pPr>
        <w:pStyle w:val="14"/>
        <w:snapToGrid w:val="0"/>
        <w:spacing w:before="120" w:after="120" w:line="360" w:lineRule="exact"/>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一、项目名称、合同履行期限、服务内容</w:t>
      </w:r>
    </w:p>
    <w:p w14:paraId="5700C4A3">
      <w:pPr>
        <w:pStyle w:val="14"/>
        <w:snapToGrid w:val="0"/>
        <w:spacing w:before="120" w:after="120" w:line="360" w:lineRule="exact"/>
        <w:ind w:firstLine="422"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1.1项目名称</w:t>
      </w:r>
      <w:r>
        <w:rPr>
          <w:rFonts w:hint="eastAsia" w:ascii="宋体" w:hAnsi="宋体" w:eastAsia="宋体" w:cs="宋体"/>
          <w:b w:val="0"/>
          <w:bCs w:val="0"/>
          <w:color w:val="auto"/>
          <w:kern w:val="2"/>
          <w:sz w:val="21"/>
          <w:szCs w:val="21"/>
          <w:lang w:val="en-US" w:eastAsia="zh-CN" w:bidi="ar-SA"/>
        </w:rPr>
        <w:t>：宁海县第一医院医疗健康集团北部医院食堂外包服务项目</w:t>
      </w:r>
    </w:p>
    <w:p w14:paraId="734A1684">
      <w:pPr>
        <w:pStyle w:val="14"/>
        <w:snapToGrid w:val="0"/>
        <w:spacing w:before="120" w:after="120" w:line="360" w:lineRule="exact"/>
        <w:ind w:firstLine="422"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1.2合同履行期限</w:t>
      </w:r>
      <w:r>
        <w:rPr>
          <w:rFonts w:hint="eastAsia" w:ascii="宋体" w:hAnsi="宋体" w:eastAsia="宋体" w:cs="宋体"/>
          <w:b w:val="0"/>
          <w:bCs w:val="0"/>
          <w:color w:val="auto"/>
          <w:kern w:val="2"/>
          <w:sz w:val="21"/>
          <w:szCs w:val="21"/>
          <w:lang w:val="en-US" w:eastAsia="zh-CN" w:bidi="ar-SA"/>
        </w:rPr>
        <w:t>：本服务项目一招暂定三年，合同须一年一签。合同应符合政府采购预算安排要求，申报政府采购计划，经批准，并经甲方考核，双方同意后，方可续订下一年度的合同。合同续签后，应经原政府采购代理机构见证及备案，并报宁海县政府采购管理办公室。</w:t>
      </w:r>
    </w:p>
    <w:p w14:paraId="46713CC1">
      <w:pPr>
        <w:pStyle w:val="14"/>
        <w:snapToGrid w:val="0"/>
        <w:spacing w:before="120" w:after="120" w:line="360" w:lineRule="exact"/>
        <w:ind w:firstLine="422" w:firstLineChars="200"/>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1.3服务内容：</w:t>
      </w:r>
    </w:p>
    <w:p w14:paraId="4B7A576B">
      <w:pPr>
        <w:keepNext w:val="0"/>
        <w:keepLines w:val="0"/>
        <w:pageBreakBefore w:val="0"/>
        <w:kinsoku/>
        <w:wordWrap/>
        <w:overflowPunct/>
        <w:topLinePunct w:val="0"/>
        <w:bidi w:val="0"/>
        <w:adjustRightInd w:val="0"/>
        <w:snapToGrid w:val="0"/>
        <w:spacing w:line="440" w:lineRule="exact"/>
        <w:ind w:firstLine="420" w:firstLineChars="200"/>
        <w:outlineLvl w:val="9"/>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供应商负责提供专业的管理团队（主要包括管理人员、厨师队伍、服务人员等）进行管理，并负责主副食的加工供应。院方免费提供场地、水、电及相关厨具等设施设备及能耗费用。菜肴采用零利润定价方式，菜价中只包括原材料、调料、大米等费用。</w:t>
      </w:r>
    </w:p>
    <w:p w14:paraId="72D73FE6">
      <w:pPr>
        <w:keepNext w:val="0"/>
        <w:keepLines w:val="0"/>
        <w:pageBreakBefore w:val="0"/>
        <w:kinsoku/>
        <w:wordWrap/>
        <w:overflowPunct/>
        <w:topLinePunct w:val="0"/>
        <w:bidi w:val="0"/>
        <w:adjustRightInd w:val="0"/>
        <w:snapToGrid w:val="0"/>
        <w:spacing w:line="440" w:lineRule="exact"/>
        <w:ind w:firstLine="420" w:firstLineChars="200"/>
        <w:outlineLvl w:val="9"/>
        <w:rPr>
          <w:rFonts w:hint="eastAsia" w:ascii="宋体" w:hAnsi="宋体" w:eastAsia="宋体" w:cs="宋体"/>
          <w:sz w:val="21"/>
          <w:szCs w:val="21"/>
          <w:lang w:eastAsia="zh-CN"/>
        </w:rPr>
      </w:pPr>
      <w:r>
        <w:rPr>
          <w:rFonts w:hint="eastAsia" w:ascii="宋体" w:hAnsi="宋体" w:cs="宋体"/>
          <w:b w:val="0"/>
          <w:bCs w:val="0"/>
          <w:kern w:val="2"/>
          <w:sz w:val="21"/>
          <w:szCs w:val="21"/>
          <w:lang w:val="en-US" w:eastAsia="zh-CN" w:bidi="ar-SA"/>
        </w:rPr>
        <w:t>1.2</w:t>
      </w:r>
      <w:r>
        <w:rPr>
          <w:rFonts w:hint="eastAsia" w:ascii="宋体" w:hAnsi="宋体" w:eastAsia="宋体" w:cs="宋体"/>
          <w:b w:val="0"/>
          <w:bCs w:val="0"/>
          <w:kern w:val="2"/>
          <w:sz w:val="21"/>
          <w:szCs w:val="21"/>
          <w:lang w:val="en-US" w:eastAsia="zh-CN" w:bidi="ar-SA"/>
        </w:rPr>
        <w:t>.投标方承担费用包括以下：(1)人员费用(工资、津贴、各种社会保险、福利、行政办公费用、服装费、培训</w:t>
      </w:r>
      <w:r>
        <w:rPr>
          <w:rFonts w:hint="eastAsia" w:ascii="宋体" w:hAnsi="宋体" w:eastAsia="宋体" w:cs="宋体"/>
          <w:sz w:val="21"/>
          <w:szCs w:val="21"/>
          <w:lang w:eastAsia="zh-CN"/>
        </w:rPr>
        <w:t>费、食宿费</w:t>
      </w:r>
      <w:r>
        <w:rPr>
          <w:rFonts w:hint="eastAsia" w:ascii="宋体" w:hAnsi="宋体" w:cs="宋体"/>
          <w:sz w:val="21"/>
          <w:szCs w:val="21"/>
          <w:lang w:eastAsia="zh-CN"/>
        </w:rPr>
        <w:t>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)管理费等完成本项目所需的所有一切费用。(投标人提供专业的管理团队</w:t>
      </w:r>
      <w:r>
        <w:rPr>
          <w:rFonts w:hint="eastAsia" w:ascii="宋体" w:hAnsi="宋体" w:cs="宋体"/>
          <w:sz w:val="21"/>
          <w:szCs w:val="21"/>
          <w:lang w:eastAsia="zh-CN"/>
        </w:rPr>
        <w:t>：</w:t>
      </w:r>
      <w:r>
        <w:rPr>
          <w:rFonts w:hint="eastAsia" w:ascii="宋体" w:hAnsi="宋体" w:eastAsia="宋体" w:cs="宋体"/>
          <w:sz w:val="21"/>
          <w:szCs w:val="21"/>
          <w:lang w:eastAsia="zh-CN"/>
        </w:rPr>
        <w:t>主要包括主厨、配厨、面点师、服务人员等进行管理，自行负责管理团队的食宿问题。)</w:t>
      </w:r>
    </w:p>
    <w:p w14:paraId="524632E8">
      <w:pPr>
        <w:keepNext w:val="0"/>
        <w:keepLines w:val="0"/>
        <w:pageBreakBefore w:val="0"/>
        <w:widowControl/>
        <w:numPr>
          <w:ilvl w:val="0"/>
          <w:numId w:val="0"/>
        </w:numPr>
        <w:kinsoku/>
        <w:wordWrap/>
        <w:overflowPunct/>
        <w:topLinePunct w:val="0"/>
        <w:bidi w:val="0"/>
        <w:spacing w:before="150" w:after="150" w:line="440" w:lineRule="exact"/>
        <w:ind w:firstLine="210" w:firstLineChars="100"/>
        <w:jc w:val="left"/>
        <w:outlineLvl w:val="9"/>
        <w:rPr>
          <w:rFonts w:hint="eastAsia" w:ascii="宋体" w:hAnsi="宋体" w:eastAsia="宋体" w:cs="宋体"/>
          <w:sz w:val="21"/>
          <w:szCs w:val="21"/>
          <w:lang w:eastAsia="zh-CN"/>
        </w:rPr>
      </w:pPr>
      <w:r>
        <w:rPr>
          <w:rFonts w:hint="eastAsia" w:ascii="宋体" w:hAnsi="宋体" w:cs="宋体"/>
          <w:sz w:val="21"/>
          <w:szCs w:val="21"/>
          <w:lang w:val="en-US" w:eastAsia="zh-CN"/>
        </w:rPr>
        <w:t>1.3</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招标方应承担的费用：(1)食材原料；(2) 厨房设备、及用水、用电；(3) 燃气；(4) 调料及餐巾纸、牙签、洗洁精等低值易耗品等；(5)规定费用：有关管理部门收取的检测、测试费用以及排污、垃圾清运等费用。(招标方负责原材料采购、配有蒸煮、烹饪、切配、拆洗、消毒等工作间，以及节能大灶、蒸饭车、冰箱、工作台</w:t>
      </w:r>
      <w:r>
        <w:rPr>
          <w:rFonts w:hint="eastAsia" w:ascii="宋体" w:hAnsi="宋体" w:cs="宋体"/>
          <w:sz w:val="21"/>
          <w:szCs w:val="21"/>
          <w:lang w:eastAsia="zh-CN"/>
        </w:rPr>
        <w:t>、</w:t>
      </w:r>
      <w:r>
        <w:rPr>
          <w:rFonts w:hint="eastAsia" w:ascii="宋体" w:hAnsi="宋体" w:eastAsia="宋体" w:cs="宋体"/>
          <w:sz w:val="21"/>
          <w:szCs w:val="21"/>
          <w:lang w:eastAsia="zh-CN"/>
        </w:rPr>
        <w:t>用具维护等设备设施)</w:t>
      </w:r>
    </w:p>
    <w:p w14:paraId="63190E24">
      <w:pPr>
        <w:pStyle w:val="14"/>
        <w:snapToGrid w:val="0"/>
        <w:spacing w:before="120" w:after="120" w:line="360" w:lineRule="exact"/>
        <w:ind w:firstLine="422" w:firstLineChars="200"/>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1.3.2</w:t>
      </w:r>
      <w:r>
        <w:rPr>
          <w:rFonts w:hint="default" w:ascii="宋体" w:hAnsi="宋体" w:eastAsia="宋体" w:cs="宋体"/>
          <w:b/>
          <w:bCs/>
          <w:color w:val="auto"/>
          <w:kern w:val="2"/>
          <w:sz w:val="21"/>
          <w:szCs w:val="21"/>
          <w:lang w:val="en-US" w:eastAsia="zh-CN" w:bidi="ar-SA"/>
        </w:rPr>
        <w:t>餐饮服务总体内容</w:t>
      </w:r>
    </w:p>
    <w:p w14:paraId="76C547A8">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 投标人须配备专业的管理团队（主要包括厨师、</w:t>
      </w:r>
      <w:r>
        <w:rPr>
          <w:rFonts w:hint="eastAsia" w:ascii="宋体" w:hAnsi="宋体" w:eastAsia="宋体" w:cs="宋体"/>
          <w:color w:val="auto"/>
          <w:kern w:val="0"/>
          <w:sz w:val="21"/>
          <w:szCs w:val="21"/>
          <w:highlight w:val="none"/>
          <w:lang w:val="en-US" w:eastAsia="zh-CN"/>
        </w:rPr>
        <w:t>面点师</w:t>
      </w:r>
      <w:r>
        <w:rPr>
          <w:rFonts w:hint="eastAsia"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勤杂工</w:t>
      </w:r>
      <w:r>
        <w:rPr>
          <w:rFonts w:hint="eastAsia" w:ascii="宋体" w:hAnsi="宋体" w:eastAsia="宋体" w:cs="宋体"/>
          <w:color w:val="auto"/>
          <w:kern w:val="0"/>
          <w:sz w:val="21"/>
          <w:szCs w:val="21"/>
          <w:highlight w:val="none"/>
          <w:lang w:val="en-US" w:eastAsia="zh-CN" w:bidi="ar"/>
        </w:rPr>
        <w:t>等）进行餐饮管理服务，为医院职工及住院部病患提供营养、健康、科学、合理的工作餐</w:t>
      </w:r>
      <w:r>
        <w:rPr>
          <w:rFonts w:hint="eastAsia" w:hAnsi="宋体" w:eastAsia="宋体" w:cs="宋体"/>
          <w:color w:val="auto"/>
          <w:kern w:val="0"/>
          <w:sz w:val="21"/>
          <w:szCs w:val="21"/>
          <w:highlight w:val="none"/>
          <w:lang w:val="en-US" w:eastAsia="zh-CN" w:bidi="ar"/>
        </w:rPr>
        <w:t>。要求管理专业，服务热情，保证餐厅有序运作，确保干部职工满意率达标。现阶段医院职工208人，早餐就餐人数约50人，中餐就餐人数约120人，晚餐就餐人员约30人。</w:t>
      </w:r>
    </w:p>
    <w:p w14:paraId="50F6ABA3">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 投标人负责根据主副食、原材料的大致市场价格，结合招标人确定的餐费标准，制定采购计划、数量质量验收和价格监督、加工供应、人员管理、卫生管理、厨房设备及安全管理、菜肴供应量与质量管理等。招标人负责按采购计划进行采购，并按要求对投标人的服务质量管理进行监督考核。</w:t>
      </w:r>
    </w:p>
    <w:p w14:paraId="6DAE7717">
      <w:pPr>
        <w:pStyle w:val="14"/>
        <w:snapToGrid w:val="0"/>
        <w:spacing w:before="120" w:after="120" w:line="360" w:lineRule="exact"/>
        <w:ind w:firstLine="422" w:firstLineChars="200"/>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1.3.3</w:t>
      </w:r>
      <w:r>
        <w:rPr>
          <w:rFonts w:hint="default" w:ascii="宋体" w:hAnsi="宋体" w:eastAsia="宋体" w:cs="宋体"/>
          <w:b/>
          <w:bCs/>
          <w:color w:val="auto"/>
          <w:kern w:val="2"/>
          <w:sz w:val="21"/>
          <w:szCs w:val="21"/>
          <w:lang w:val="en-US" w:eastAsia="zh-CN" w:bidi="ar-SA"/>
        </w:rPr>
        <w:t>餐厅及用餐情况</w:t>
      </w:r>
    </w:p>
    <w:p w14:paraId="705D9B4C">
      <w:pPr>
        <w:autoSpaceDE w:val="0"/>
        <w:autoSpaceDN w:val="0"/>
        <w:adjustRightInd w:val="0"/>
        <w:snapToGrid w:val="0"/>
        <w:spacing w:line="360" w:lineRule="auto"/>
        <w:ind w:firstLine="316" w:firstLineChars="150"/>
        <w:textAlignment w:val="bottom"/>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、餐厅及用餐情况</w:t>
      </w:r>
    </w:p>
    <w:p w14:paraId="270580F8">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2、食堂及用餐情况</w:t>
      </w:r>
    </w:p>
    <w:p w14:paraId="1B59C395">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 职工食堂用餐方式为早餐自选，中餐、晚餐套餐制。住院部病患用餐方式为中餐及晚餐的送餐服务。医务人员误餐</w:t>
      </w:r>
      <w:r>
        <w:rPr>
          <w:rFonts w:hint="eastAsia" w:hAnsi="宋体" w:eastAsia="宋体" w:cs="宋体"/>
          <w:color w:val="auto"/>
          <w:kern w:val="0"/>
          <w:sz w:val="21"/>
          <w:szCs w:val="21"/>
          <w:highlight w:val="none"/>
          <w:lang w:val="en-US" w:eastAsia="zh-CN" w:bidi="ar"/>
        </w:rPr>
        <w:t>的需要提供</w:t>
      </w:r>
      <w:r>
        <w:rPr>
          <w:rFonts w:hint="eastAsia" w:ascii="宋体" w:hAnsi="宋体" w:eastAsia="宋体" w:cs="宋体"/>
          <w:color w:val="auto"/>
          <w:kern w:val="0"/>
          <w:sz w:val="21"/>
          <w:szCs w:val="21"/>
          <w:highlight w:val="none"/>
          <w:lang w:val="en-US" w:eastAsia="zh-CN" w:bidi="ar"/>
        </w:rPr>
        <w:t>送餐服务</w:t>
      </w:r>
      <w:r>
        <w:rPr>
          <w:rFonts w:hint="eastAsia" w:hAnsi="宋体" w:eastAsia="宋体" w:cs="宋体"/>
          <w:color w:val="auto"/>
          <w:kern w:val="0"/>
          <w:sz w:val="21"/>
          <w:szCs w:val="21"/>
          <w:highlight w:val="none"/>
          <w:lang w:val="en-US" w:eastAsia="zh-CN" w:bidi="ar"/>
        </w:rPr>
        <w:t>。</w:t>
      </w:r>
    </w:p>
    <w:p w14:paraId="34992D4E">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 常规性餐饮服务：全年无休的早餐、中餐、晚餐三餐</w:t>
      </w:r>
      <w:r>
        <w:rPr>
          <w:rFonts w:hint="eastAsia"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误餐（需要送餐）</w:t>
      </w:r>
      <w:r>
        <w:rPr>
          <w:rFonts w:hint="eastAsia" w:hAnsi="宋体" w:eastAsia="宋体" w:cs="宋体"/>
          <w:color w:val="auto"/>
          <w:kern w:val="0"/>
          <w:sz w:val="21"/>
          <w:szCs w:val="21"/>
          <w:highlight w:val="none"/>
          <w:lang w:val="en-US" w:eastAsia="zh-CN" w:bidi="ar"/>
        </w:rPr>
        <w:t>和</w:t>
      </w:r>
      <w:r>
        <w:rPr>
          <w:rFonts w:hint="eastAsia" w:ascii="宋体" w:hAnsi="宋体" w:eastAsia="宋体" w:cs="宋体"/>
          <w:color w:val="auto"/>
          <w:kern w:val="0"/>
          <w:sz w:val="21"/>
          <w:szCs w:val="21"/>
          <w:highlight w:val="none"/>
          <w:lang w:val="en-US" w:eastAsia="zh-CN" w:bidi="ar"/>
        </w:rPr>
        <w:t>接待用餐服务，其中：晚餐就餐人员为值班人员，投标人必须保证一名食堂工作人员在岗。</w:t>
      </w:r>
    </w:p>
    <w:p w14:paraId="56B5347D">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2.2.3 其他招标人要求的临时性或应急性就餐需求。</w:t>
      </w:r>
    </w:p>
    <w:p w14:paraId="1A6C1686">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3、餐饮服务具体要求</w:t>
      </w:r>
    </w:p>
    <w:p w14:paraId="6E36555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315" w:firstLineChars="15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对进入窗口的饭菜品种（以宁</w:t>
      </w:r>
      <w:r>
        <w:rPr>
          <w:rFonts w:hint="eastAsia" w:ascii="宋体" w:hAnsi="宋体" w:eastAsia="宋体" w:cs="宋体"/>
          <w:color w:val="auto"/>
          <w:sz w:val="21"/>
          <w:szCs w:val="21"/>
          <w:highlight w:val="none"/>
          <w:lang w:val="en-US" w:eastAsia="zh-CN"/>
        </w:rPr>
        <w:t>海</w:t>
      </w:r>
      <w:r>
        <w:rPr>
          <w:rFonts w:hint="eastAsia" w:ascii="宋体" w:hAnsi="宋体" w:eastAsia="宋体" w:cs="宋体"/>
          <w:color w:val="auto"/>
          <w:sz w:val="21"/>
          <w:szCs w:val="21"/>
          <w:highlight w:val="none"/>
        </w:rPr>
        <w:t>当地菜品为主），菜谱一周一定。具体配菜要求如下：</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750"/>
        <w:gridCol w:w="5393"/>
      </w:tblGrid>
      <w:tr w14:paraId="1877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noWrap w:val="0"/>
            <w:vAlign w:val="center"/>
          </w:tcPr>
          <w:p w14:paraId="29699C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餐别</w:t>
            </w:r>
          </w:p>
        </w:tc>
        <w:tc>
          <w:tcPr>
            <w:tcW w:w="1750" w:type="dxa"/>
            <w:noWrap w:val="0"/>
            <w:vAlign w:val="center"/>
          </w:tcPr>
          <w:p w14:paraId="73ECD3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餐费标准</w:t>
            </w:r>
          </w:p>
        </w:tc>
        <w:tc>
          <w:tcPr>
            <w:tcW w:w="5393" w:type="dxa"/>
            <w:noWrap w:val="0"/>
            <w:vAlign w:val="center"/>
          </w:tcPr>
          <w:p w14:paraId="16CB4A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配餐标准</w:t>
            </w:r>
          </w:p>
        </w:tc>
      </w:tr>
      <w:tr w14:paraId="1996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noWrap w:val="0"/>
            <w:vAlign w:val="center"/>
          </w:tcPr>
          <w:p w14:paraId="6080A6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早餐</w:t>
            </w:r>
          </w:p>
        </w:tc>
        <w:tc>
          <w:tcPr>
            <w:tcW w:w="1750" w:type="dxa"/>
            <w:noWrap w:val="0"/>
            <w:vAlign w:val="center"/>
          </w:tcPr>
          <w:p w14:paraId="09937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售价以食材成本价上浮50%内</w:t>
            </w:r>
          </w:p>
        </w:tc>
        <w:tc>
          <w:tcPr>
            <w:tcW w:w="5393" w:type="dxa"/>
            <w:noWrap w:val="0"/>
            <w:vAlign w:val="center"/>
          </w:tcPr>
          <w:p w14:paraId="4D1B9C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baseline"/>
              <w:outlineLvl w:val="1"/>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主食</w:t>
            </w:r>
            <w:r>
              <w:rPr>
                <w:rFonts w:hint="eastAsia" w:ascii="宋体" w:hAnsi="宋体" w:eastAsia="宋体" w:cs="宋体"/>
                <w:bCs/>
                <w:color w:val="auto"/>
                <w:sz w:val="21"/>
                <w:szCs w:val="21"/>
                <w:highlight w:val="none"/>
              </w:rPr>
              <w:t>品种提供不少于</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种品类，</w:t>
            </w:r>
            <w:r>
              <w:rPr>
                <w:rFonts w:hint="eastAsia" w:ascii="宋体" w:hAnsi="宋体" w:eastAsia="宋体" w:cs="宋体"/>
                <w:bCs/>
                <w:color w:val="auto"/>
                <w:sz w:val="21"/>
                <w:szCs w:val="21"/>
                <w:highlight w:val="none"/>
                <w:lang w:eastAsia="zh-CN"/>
              </w:rPr>
              <w:t>包含面点类、粥类等；</w:t>
            </w:r>
          </w:p>
        </w:tc>
      </w:tr>
      <w:tr w14:paraId="0243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noWrap w:val="0"/>
            <w:vAlign w:val="center"/>
          </w:tcPr>
          <w:p w14:paraId="19A885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中餐</w:t>
            </w:r>
          </w:p>
        </w:tc>
        <w:tc>
          <w:tcPr>
            <w:tcW w:w="1750" w:type="dxa"/>
            <w:noWrap w:val="0"/>
            <w:vAlign w:val="center"/>
          </w:tcPr>
          <w:p w14:paraId="4E9C75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元/人/次</w:t>
            </w:r>
          </w:p>
        </w:tc>
        <w:tc>
          <w:tcPr>
            <w:tcW w:w="5393" w:type="dxa"/>
            <w:noWrap w:val="0"/>
            <w:vAlign w:val="center"/>
          </w:tcPr>
          <w:p w14:paraId="2A02EA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baseline"/>
              <w:outlineLvl w:val="1"/>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大荤（至少</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种可供选择）、小荤（至少</w:t>
            </w:r>
            <w:r>
              <w:rPr>
                <w:rFonts w:hint="eastAsia" w:ascii="宋体" w:hAnsi="宋体" w:eastAsia="宋体" w:cs="宋体"/>
                <w:bCs/>
                <w:color w:val="auto"/>
                <w:sz w:val="21"/>
                <w:szCs w:val="21"/>
                <w:highlight w:val="none"/>
                <w:lang w:val="en-US" w:eastAsia="zh-CN"/>
              </w:rPr>
              <w:t>2-3</w:t>
            </w:r>
            <w:r>
              <w:rPr>
                <w:rFonts w:hint="eastAsia" w:ascii="宋体" w:hAnsi="宋体" w:eastAsia="宋体" w:cs="宋体"/>
                <w:bCs/>
                <w:color w:val="auto"/>
                <w:sz w:val="21"/>
                <w:szCs w:val="21"/>
                <w:highlight w:val="none"/>
              </w:rPr>
              <w:t>种可供选择）、素菜（至少</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种可供选择）、一汤、米饭；</w:t>
            </w:r>
          </w:p>
        </w:tc>
      </w:tr>
      <w:tr w14:paraId="050E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noWrap w:val="0"/>
            <w:vAlign w:val="center"/>
          </w:tcPr>
          <w:p w14:paraId="5503A5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晚餐</w:t>
            </w:r>
          </w:p>
        </w:tc>
        <w:tc>
          <w:tcPr>
            <w:tcW w:w="1750" w:type="dxa"/>
            <w:noWrap w:val="0"/>
            <w:vAlign w:val="center"/>
          </w:tcPr>
          <w:p w14:paraId="00E96D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元/人/次</w:t>
            </w:r>
          </w:p>
        </w:tc>
        <w:tc>
          <w:tcPr>
            <w:tcW w:w="5393" w:type="dxa"/>
            <w:noWrap w:val="0"/>
            <w:vAlign w:val="center"/>
          </w:tcPr>
          <w:p w14:paraId="79D90E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种大荤，</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种小荤，</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种素菜</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汤、米饭</w:t>
            </w:r>
            <w:r>
              <w:rPr>
                <w:rFonts w:hint="eastAsia" w:ascii="宋体" w:hAnsi="宋体" w:eastAsia="宋体" w:cs="宋体"/>
                <w:bCs/>
                <w:color w:val="auto"/>
                <w:sz w:val="21"/>
                <w:szCs w:val="21"/>
                <w:highlight w:val="none"/>
                <w:lang w:eastAsia="zh-CN"/>
              </w:rPr>
              <w:t>。</w:t>
            </w:r>
          </w:p>
        </w:tc>
      </w:tr>
    </w:tbl>
    <w:p w14:paraId="190F0886">
      <w:pPr>
        <w:keepNext w:val="0"/>
        <w:keepLines w:val="0"/>
        <w:pageBreakBefore w:val="0"/>
        <w:widowControl w:val="0"/>
        <w:kinsoku/>
        <w:wordWrap/>
        <w:overflowPunct/>
        <w:topLinePunct w:val="0"/>
        <w:bidi w:val="0"/>
        <w:adjustRightInd/>
        <w:snapToGrid/>
        <w:spacing w:line="360" w:lineRule="auto"/>
        <w:ind w:left="0" w:leftChars="0" w:firstLine="630" w:firstLineChars="300"/>
        <w:outlineLvl w:val="1"/>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注：以上为食材餐费标准，不包括油、盐、米、醋、气等</w:t>
      </w: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并由</w:t>
      </w:r>
      <w:r>
        <w:rPr>
          <w:rFonts w:hint="eastAsia" w:hAnsi="宋体" w:eastAsia="宋体" w:cs="宋体"/>
          <w:b w:val="0"/>
          <w:bCs/>
          <w:color w:val="auto"/>
          <w:sz w:val="21"/>
          <w:szCs w:val="21"/>
          <w:highlight w:val="none"/>
          <w:lang w:eastAsia="zh-CN"/>
        </w:rPr>
        <w:t>招标人</w:t>
      </w:r>
      <w:r>
        <w:rPr>
          <w:rFonts w:hint="eastAsia" w:ascii="宋体" w:hAnsi="宋体" w:eastAsia="宋体" w:cs="宋体"/>
          <w:b w:val="0"/>
          <w:bCs/>
          <w:color w:val="auto"/>
          <w:sz w:val="21"/>
          <w:szCs w:val="21"/>
          <w:highlight w:val="none"/>
        </w:rPr>
        <w:t>根据市场价格浮动等实际情况讨论决定。有公务接待餐时，</w:t>
      </w:r>
      <w:r>
        <w:rPr>
          <w:rFonts w:hint="eastAsia" w:hAnsi="宋体" w:eastAsia="宋体" w:cs="宋体"/>
          <w:b w:val="0"/>
          <w:bCs/>
          <w:color w:val="auto"/>
          <w:sz w:val="21"/>
          <w:szCs w:val="21"/>
          <w:highlight w:val="none"/>
          <w:lang w:val="en-US" w:eastAsia="zh-CN"/>
        </w:rPr>
        <w:t>5人以下（包括5人）的补助50元</w:t>
      </w:r>
      <w:r>
        <w:rPr>
          <w:rFonts w:hint="eastAsia" w:ascii="宋体" w:hAnsi="宋体" w:eastAsia="宋体" w:cs="宋体"/>
          <w:b w:val="0"/>
          <w:bCs/>
          <w:color w:val="auto"/>
          <w:sz w:val="21"/>
          <w:szCs w:val="21"/>
          <w:highlight w:val="none"/>
        </w:rPr>
        <w:t>加工费</w:t>
      </w:r>
      <w:r>
        <w:rPr>
          <w:rFonts w:hint="eastAsia" w:hAnsi="宋体" w:eastAsia="宋体" w:cs="宋体"/>
          <w:b w:val="0"/>
          <w:bCs/>
          <w:color w:val="auto"/>
          <w:sz w:val="21"/>
          <w:szCs w:val="21"/>
          <w:highlight w:val="none"/>
          <w:lang w:eastAsia="zh-CN"/>
        </w:rPr>
        <w:t>，</w:t>
      </w:r>
      <w:r>
        <w:rPr>
          <w:rFonts w:hint="eastAsia" w:hAnsi="宋体" w:eastAsia="宋体" w:cs="宋体"/>
          <w:b w:val="0"/>
          <w:bCs/>
          <w:color w:val="auto"/>
          <w:sz w:val="21"/>
          <w:szCs w:val="21"/>
          <w:highlight w:val="none"/>
          <w:lang w:val="en-US" w:eastAsia="zh-CN"/>
        </w:rPr>
        <w:t>5人以上的按15元/人补助</w:t>
      </w:r>
      <w:r>
        <w:rPr>
          <w:rFonts w:hint="eastAsia" w:ascii="宋体" w:hAnsi="宋体" w:eastAsia="宋体" w:cs="宋体"/>
          <w:b w:val="0"/>
          <w:bCs/>
          <w:color w:val="auto"/>
          <w:sz w:val="21"/>
          <w:szCs w:val="21"/>
          <w:highlight w:val="none"/>
        </w:rPr>
        <w:t>。</w:t>
      </w:r>
    </w:p>
    <w:p w14:paraId="43F4F434">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315" w:firstLineChars="15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 </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负责督查食堂的饮食安全卫生、饭菜质量、售出数量、服务质量、环境卫生（包括食堂区域及地下天井处）等相关事务，加强与</w:t>
      </w:r>
      <w:r>
        <w:rPr>
          <w:rFonts w:hint="eastAsia"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的联系和沟通，协调处理各种突发事件，转达干部职工对托管经营服务质量的意见和要求，负责各项规章制度的制定、检查和考核工作，切实加强综合督查管理。</w:t>
      </w:r>
      <w:r>
        <w:rPr>
          <w:rFonts w:hint="eastAsia"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严格执行</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所制订的各项规章制度，并制订配套的内部管理制度。</w:t>
      </w:r>
    </w:p>
    <w:p w14:paraId="6780B208">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315" w:firstLineChars="15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3.3 </w:t>
      </w:r>
      <w:r>
        <w:rPr>
          <w:rFonts w:hint="eastAsia"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要爱护</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提供的房产和餐饮炊具等设备，负责日常使用管理，如损坏需要更换或维修应报</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审批。</w:t>
      </w:r>
    </w:p>
    <w:p w14:paraId="0443BC4D">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315" w:firstLineChars="150"/>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3.4 </w:t>
      </w:r>
      <w:r>
        <w:rPr>
          <w:rFonts w:hint="eastAsia" w:hAnsi="宋体" w:eastAsia="宋体" w:cs="宋体"/>
          <w:b w:val="0"/>
          <w:bCs w:val="0"/>
          <w:color w:val="auto"/>
          <w:sz w:val="21"/>
          <w:szCs w:val="21"/>
          <w:highlight w:val="none"/>
          <w:lang w:eastAsia="zh-CN"/>
        </w:rPr>
        <w:t>投标人确保所用人员均按要求进行健康体检，持有健康证、统一着装上岗。</w:t>
      </w:r>
    </w:p>
    <w:p w14:paraId="001B21B5">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315" w:firstLineChars="15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坚持“服务第一”宗旨，按</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规定时间为干部职工提供优质服务，不得无故提前或延迟开饭时间，做到文明待人、热情服务。</w:t>
      </w:r>
    </w:p>
    <w:p w14:paraId="48A4540A">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3.6 </w:t>
      </w:r>
      <w:r>
        <w:rPr>
          <w:rFonts w:hint="eastAsia"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严格执行事故责任追究制度。如出现食物中毒、违法违纪等损害干部职工身体健康和影响信誉的事故，</w:t>
      </w:r>
      <w:r>
        <w:rPr>
          <w:rFonts w:hint="eastAsia"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必须承担由此造成的相应责任并赔偿经济损失。在服务期内如果所聘人员不符合</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要求，必须及时调整或更换，否则，</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有权扣除其相应费用，直至中止合同。</w:t>
      </w:r>
    </w:p>
    <w:p w14:paraId="4CAA8ED0">
      <w:pPr>
        <w:pStyle w:val="2"/>
        <w:jc w:val="both"/>
        <w:rPr>
          <w:rFonts w:hint="default" w:eastAsia="宋体"/>
          <w:lang w:val="en-US" w:eastAsia="zh-CN"/>
        </w:rPr>
      </w:pPr>
      <w:r>
        <w:rPr>
          <w:rFonts w:hint="eastAsia" w:hAnsi="宋体" w:cs="宋体"/>
          <w:color w:val="auto"/>
          <w:sz w:val="21"/>
          <w:szCs w:val="21"/>
          <w:highlight w:val="none"/>
          <w:lang w:val="en-US" w:eastAsia="zh-CN"/>
        </w:rPr>
        <w:t xml:space="preserve">   </w:t>
      </w:r>
      <w:r>
        <w:rPr>
          <w:rFonts w:hint="eastAsia" w:hAnsi="宋体" w:cs="宋体"/>
          <w:color w:val="FF0000"/>
          <w:sz w:val="21"/>
          <w:szCs w:val="21"/>
          <w:highlight w:val="none"/>
          <w:lang w:val="en-US" w:eastAsia="zh-CN"/>
        </w:rPr>
        <w:t xml:space="preserve"> </w:t>
      </w:r>
      <w:r>
        <w:rPr>
          <w:rFonts w:hint="eastAsia" w:ascii="宋体" w:hAnsi="宋体" w:eastAsia="宋体" w:cs="宋体"/>
          <w:b w:val="0"/>
          <w:bCs w:val="0"/>
          <w:color w:val="auto"/>
          <w:kern w:val="2"/>
          <w:sz w:val="21"/>
          <w:szCs w:val="21"/>
          <w:highlight w:val="none"/>
          <w:lang w:val="en-US" w:eastAsia="zh-CN" w:bidi="ar-SA"/>
        </w:rPr>
        <w:t>3.7</w:t>
      </w:r>
      <w:r>
        <w:rPr>
          <w:rFonts w:hint="eastAsia" w:hAnsi="宋体" w:cs="宋体"/>
          <w:b w:val="0"/>
          <w:bCs w:val="0"/>
          <w:color w:val="auto"/>
          <w:kern w:val="2"/>
          <w:sz w:val="21"/>
          <w:szCs w:val="21"/>
          <w:highlight w:val="none"/>
          <w:lang w:val="en-US" w:eastAsia="zh-CN" w:bidi="ar-SA"/>
        </w:rPr>
        <w:t>合同履行期间，根据实际情况确需增加工作人员（帮工），经甲方同意，可予以不超过4000元/月/位的人员费用补助。</w:t>
      </w:r>
    </w:p>
    <w:p w14:paraId="5971E556">
      <w:pPr>
        <w:pStyle w:val="14"/>
        <w:snapToGrid w:val="0"/>
        <w:spacing w:before="120" w:after="120" w:line="360" w:lineRule="exact"/>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1.3.4双方权利及义务</w:t>
      </w:r>
    </w:p>
    <w:p w14:paraId="28BE005C">
      <w:pPr>
        <w:pStyle w:val="14"/>
        <w:snapToGrid w:val="0"/>
        <w:spacing w:before="120" w:after="120" w:line="360" w:lineRule="exact"/>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（一）甲方的权利义务</w:t>
      </w:r>
    </w:p>
    <w:p w14:paraId="79C4D9E8">
      <w:pPr>
        <w:pStyle w:val="14"/>
        <w:snapToGrid w:val="0"/>
        <w:spacing w:before="120" w:after="120" w:line="360" w:lineRule="exact"/>
        <w:ind w:firstLine="420" w:firstLineChars="200"/>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1、甲方按承包合同规定监督乙方依法经营、履行合同，做好协调工作。</w:t>
      </w:r>
    </w:p>
    <w:p w14:paraId="68A27184">
      <w:pPr>
        <w:pStyle w:val="14"/>
        <w:snapToGrid w:val="0"/>
        <w:spacing w:before="120" w:after="120" w:line="360" w:lineRule="exact"/>
        <w:ind w:firstLine="420" w:firstLineChars="200"/>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2、甲方享有对乙方的管理权、监督权，有权对乙方的食品安全卫生和经营状况进行监督管理并定期检查、核算及考核，提出改进要求。</w:t>
      </w:r>
    </w:p>
    <w:p w14:paraId="56F9511D">
      <w:pPr>
        <w:pStyle w:val="14"/>
        <w:snapToGrid w:val="0"/>
        <w:spacing w:before="120" w:after="120" w:line="360" w:lineRule="exact"/>
        <w:ind w:firstLine="420" w:firstLineChars="200"/>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3、在服务期内乙方所聘工作人员均须报甲方备案政审后方可上岗。如果所聘人员不符合甲方要求，必须及时调整或更换，否则，甲方有权扣除其相应费用，直至中止合同。</w:t>
      </w:r>
    </w:p>
    <w:p w14:paraId="55391476">
      <w:pPr>
        <w:pStyle w:val="14"/>
        <w:snapToGrid w:val="0"/>
        <w:spacing w:before="120" w:after="120" w:line="360" w:lineRule="exact"/>
        <w:ind w:firstLine="420" w:firstLineChars="200"/>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4、甲方向乙方无偿提供场所和必要的设施，遗失照价赔偿，损坏自行维修。</w:t>
      </w:r>
    </w:p>
    <w:p w14:paraId="489D35FD">
      <w:pPr>
        <w:pStyle w:val="14"/>
        <w:snapToGrid w:val="0"/>
        <w:spacing w:before="120" w:after="120" w:line="360" w:lineRule="exact"/>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（二）乙方的权利义务</w:t>
      </w:r>
    </w:p>
    <w:p w14:paraId="2A6FCD5A">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315" w:firstLineChars="15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对进入窗口的饭菜品种（以宁</w:t>
      </w:r>
      <w:r>
        <w:rPr>
          <w:rFonts w:hint="eastAsia" w:ascii="宋体" w:hAnsi="宋体" w:eastAsia="宋体" w:cs="宋体"/>
          <w:color w:val="auto"/>
          <w:sz w:val="21"/>
          <w:szCs w:val="21"/>
          <w:highlight w:val="none"/>
          <w:lang w:val="en-US" w:eastAsia="zh-CN"/>
        </w:rPr>
        <w:t>海</w:t>
      </w:r>
      <w:r>
        <w:rPr>
          <w:rFonts w:hint="eastAsia" w:ascii="宋体" w:hAnsi="宋体" w:eastAsia="宋体" w:cs="宋体"/>
          <w:color w:val="auto"/>
          <w:sz w:val="21"/>
          <w:szCs w:val="21"/>
          <w:highlight w:val="none"/>
        </w:rPr>
        <w:t>当地菜品为主），菜谱一周一定。具体配菜要求如下：</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750"/>
        <w:gridCol w:w="5393"/>
      </w:tblGrid>
      <w:tr w14:paraId="3DD2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noWrap w:val="0"/>
            <w:vAlign w:val="center"/>
          </w:tcPr>
          <w:p w14:paraId="049723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餐别</w:t>
            </w:r>
          </w:p>
        </w:tc>
        <w:tc>
          <w:tcPr>
            <w:tcW w:w="1750" w:type="dxa"/>
            <w:noWrap w:val="0"/>
            <w:vAlign w:val="center"/>
          </w:tcPr>
          <w:p w14:paraId="64D078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餐费标准</w:t>
            </w:r>
          </w:p>
        </w:tc>
        <w:tc>
          <w:tcPr>
            <w:tcW w:w="5393" w:type="dxa"/>
            <w:noWrap w:val="0"/>
            <w:vAlign w:val="center"/>
          </w:tcPr>
          <w:p w14:paraId="7BFA2C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配餐标准</w:t>
            </w:r>
          </w:p>
        </w:tc>
      </w:tr>
      <w:tr w14:paraId="5D01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noWrap w:val="0"/>
            <w:vAlign w:val="center"/>
          </w:tcPr>
          <w:p w14:paraId="6AA5C8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早餐</w:t>
            </w:r>
          </w:p>
        </w:tc>
        <w:tc>
          <w:tcPr>
            <w:tcW w:w="1750" w:type="dxa"/>
            <w:noWrap w:val="0"/>
            <w:vAlign w:val="center"/>
          </w:tcPr>
          <w:p w14:paraId="7FFBA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售价以食材成本价上浮50%内</w:t>
            </w:r>
          </w:p>
        </w:tc>
        <w:tc>
          <w:tcPr>
            <w:tcW w:w="5393" w:type="dxa"/>
            <w:noWrap w:val="0"/>
            <w:vAlign w:val="center"/>
          </w:tcPr>
          <w:p w14:paraId="775816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baseline"/>
              <w:outlineLvl w:val="1"/>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主食</w:t>
            </w:r>
            <w:r>
              <w:rPr>
                <w:rFonts w:hint="eastAsia" w:ascii="宋体" w:hAnsi="宋体" w:eastAsia="宋体" w:cs="宋体"/>
                <w:bCs/>
                <w:color w:val="auto"/>
                <w:sz w:val="21"/>
                <w:szCs w:val="21"/>
                <w:highlight w:val="none"/>
              </w:rPr>
              <w:t>品种提供不少于</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种品类，</w:t>
            </w:r>
            <w:r>
              <w:rPr>
                <w:rFonts w:hint="eastAsia" w:ascii="宋体" w:hAnsi="宋体" w:eastAsia="宋体" w:cs="宋体"/>
                <w:bCs/>
                <w:color w:val="auto"/>
                <w:sz w:val="21"/>
                <w:szCs w:val="21"/>
                <w:highlight w:val="none"/>
                <w:lang w:eastAsia="zh-CN"/>
              </w:rPr>
              <w:t>包含面点类、粥类等；</w:t>
            </w:r>
          </w:p>
        </w:tc>
      </w:tr>
      <w:tr w14:paraId="061A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noWrap w:val="0"/>
            <w:vAlign w:val="center"/>
          </w:tcPr>
          <w:p w14:paraId="52ABE8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中餐</w:t>
            </w:r>
          </w:p>
        </w:tc>
        <w:tc>
          <w:tcPr>
            <w:tcW w:w="1750" w:type="dxa"/>
            <w:noWrap w:val="0"/>
            <w:vAlign w:val="center"/>
          </w:tcPr>
          <w:p w14:paraId="3BBF04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元/人/次</w:t>
            </w:r>
          </w:p>
        </w:tc>
        <w:tc>
          <w:tcPr>
            <w:tcW w:w="5393" w:type="dxa"/>
            <w:noWrap w:val="0"/>
            <w:vAlign w:val="center"/>
          </w:tcPr>
          <w:p w14:paraId="07E8CB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baseline"/>
              <w:outlineLvl w:val="1"/>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大荤（至少</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种可供选择）、小荤（至少</w:t>
            </w:r>
            <w:r>
              <w:rPr>
                <w:rFonts w:hint="eastAsia" w:ascii="宋体" w:hAnsi="宋体" w:eastAsia="宋体" w:cs="宋体"/>
                <w:bCs/>
                <w:color w:val="auto"/>
                <w:sz w:val="21"/>
                <w:szCs w:val="21"/>
                <w:highlight w:val="none"/>
                <w:lang w:val="en-US" w:eastAsia="zh-CN"/>
              </w:rPr>
              <w:t>2-3</w:t>
            </w:r>
            <w:r>
              <w:rPr>
                <w:rFonts w:hint="eastAsia" w:ascii="宋体" w:hAnsi="宋体" w:eastAsia="宋体" w:cs="宋体"/>
                <w:bCs/>
                <w:color w:val="auto"/>
                <w:sz w:val="21"/>
                <w:szCs w:val="21"/>
                <w:highlight w:val="none"/>
              </w:rPr>
              <w:t>种可供选择）、素菜（至少</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种可供选择）、一汤、米饭；</w:t>
            </w:r>
          </w:p>
        </w:tc>
      </w:tr>
      <w:tr w14:paraId="09D6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noWrap w:val="0"/>
            <w:vAlign w:val="center"/>
          </w:tcPr>
          <w:p w14:paraId="6F7258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晚餐</w:t>
            </w:r>
          </w:p>
        </w:tc>
        <w:tc>
          <w:tcPr>
            <w:tcW w:w="1750" w:type="dxa"/>
            <w:noWrap w:val="0"/>
            <w:vAlign w:val="center"/>
          </w:tcPr>
          <w:p w14:paraId="52E559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元/人/次</w:t>
            </w:r>
          </w:p>
        </w:tc>
        <w:tc>
          <w:tcPr>
            <w:tcW w:w="5393" w:type="dxa"/>
            <w:noWrap w:val="0"/>
            <w:vAlign w:val="center"/>
          </w:tcPr>
          <w:p w14:paraId="5416BC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种大荤，</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种小荤，</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种素菜</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汤、米饭</w:t>
            </w:r>
            <w:r>
              <w:rPr>
                <w:rFonts w:hint="eastAsia" w:ascii="宋体" w:hAnsi="宋体" w:eastAsia="宋体" w:cs="宋体"/>
                <w:bCs/>
                <w:color w:val="auto"/>
                <w:sz w:val="21"/>
                <w:szCs w:val="21"/>
                <w:highlight w:val="none"/>
                <w:lang w:eastAsia="zh-CN"/>
              </w:rPr>
              <w:t>。</w:t>
            </w:r>
          </w:p>
        </w:tc>
      </w:tr>
    </w:tbl>
    <w:p w14:paraId="1713F2FC">
      <w:pPr>
        <w:keepNext w:val="0"/>
        <w:keepLines w:val="0"/>
        <w:pageBreakBefore w:val="0"/>
        <w:widowControl w:val="0"/>
        <w:kinsoku/>
        <w:wordWrap/>
        <w:overflowPunct/>
        <w:topLinePunct w:val="0"/>
        <w:bidi w:val="0"/>
        <w:adjustRightInd/>
        <w:snapToGrid/>
        <w:spacing w:line="360" w:lineRule="auto"/>
        <w:ind w:left="0" w:leftChars="0" w:firstLine="630" w:firstLineChars="300"/>
        <w:outlineLvl w:val="1"/>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注：以上为食材餐费标准，不包括油、盐、米、醋、气等</w:t>
      </w: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并由</w:t>
      </w:r>
      <w:r>
        <w:rPr>
          <w:rFonts w:hint="eastAsia" w:hAnsi="宋体" w:eastAsia="宋体" w:cs="宋体"/>
          <w:b w:val="0"/>
          <w:bCs/>
          <w:color w:val="auto"/>
          <w:sz w:val="21"/>
          <w:szCs w:val="21"/>
          <w:highlight w:val="none"/>
          <w:lang w:eastAsia="zh-CN"/>
        </w:rPr>
        <w:t>招标人</w:t>
      </w:r>
      <w:r>
        <w:rPr>
          <w:rFonts w:hint="eastAsia" w:ascii="宋体" w:hAnsi="宋体" w:eastAsia="宋体" w:cs="宋体"/>
          <w:b w:val="0"/>
          <w:bCs/>
          <w:color w:val="auto"/>
          <w:sz w:val="21"/>
          <w:szCs w:val="21"/>
          <w:highlight w:val="none"/>
        </w:rPr>
        <w:t>根据市场价格浮动等实际情况讨论决定。有公务接待餐时，</w:t>
      </w:r>
      <w:r>
        <w:rPr>
          <w:rFonts w:hint="eastAsia" w:hAnsi="宋体" w:eastAsia="宋体" w:cs="宋体"/>
          <w:b w:val="0"/>
          <w:bCs/>
          <w:color w:val="auto"/>
          <w:sz w:val="21"/>
          <w:szCs w:val="21"/>
          <w:highlight w:val="none"/>
          <w:lang w:val="en-US" w:eastAsia="zh-CN"/>
        </w:rPr>
        <w:t>5人以下（包括5人）的补助50元</w:t>
      </w:r>
      <w:r>
        <w:rPr>
          <w:rFonts w:hint="eastAsia" w:ascii="宋体" w:hAnsi="宋体" w:eastAsia="宋体" w:cs="宋体"/>
          <w:b w:val="0"/>
          <w:bCs/>
          <w:color w:val="auto"/>
          <w:sz w:val="21"/>
          <w:szCs w:val="21"/>
          <w:highlight w:val="none"/>
        </w:rPr>
        <w:t>加工费</w:t>
      </w:r>
      <w:r>
        <w:rPr>
          <w:rFonts w:hint="eastAsia" w:hAnsi="宋体" w:eastAsia="宋体" w:cs="宋体"/>
          <w:b w:val="0"/>
          <w:bCs/>
          <w:color w:val="auto"/>
          <w:sz w:val="21"/>
          <w:szCs w:val="21"/>
          <w:highlight w:val="none"/>
          <w:lang w:eastAsia="zh-CN"/>
        </w:rPr>
        <w:t>，</w:t>
      </w:r>
      <w:r>
        <w:rPr>
          <w:rFonts w:hint="eastAsia" w:hAnsi="宋体" w:eastAsia="宋体" w:cs="宋体"/>
          <w:b w:val="0"/>
          <w:bCs/>
          <w:color w:val="auto"/>
          <w:sz w:val="21"/>
          <w:szCs w:val="21"/>
          <w:highlight w:val="none"/>
          <w:lang w:val="en-US" w:eastAsia="zh-CN"/>
        </w:rPr>
        <w:t>5人以上的按15元/人补助</w:t>
      </w:r>
      <w:r>
        <w:rPr>
          <w:rFonts w:hint="eastAsia" w:ascii="宋体" w:hAnsi="宋体" w:eastAsia="宋体" w:cs="宋体"/>
          <w:b w:val="0"/>
          <w:bCs/>
          <w:color w:val="auto"/>
          <w:sz w:val="21"/>
          <w:szCs w:val="21"/>
          <w:highlight w:val="none"/>
        </w:rPr>
        <w:t>。</w:t>
      </w:r>
    </w:p>
    <w:p w14:paraId="3A2EE1E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315" w:firstLineChars="15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负责督查食堂的饮食安全卫生、饭菜质量、售出数量、服务质量、环境卫生（包括食堂区域及地下天井处）等相关事务，加强与</w:t>
      </w:r>
      <w:r>
        <w:rPr>
          <w:rFonts w:hint="eastAsia"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的联系和沟通，协调处理各种突发事件，转达干部职工对托管经营服务质量的意见和要求，负责各项规章制度的制定、检查和考核工作，切实加强综合督查管理。</w:t>
      </w:r>
      <w:r>
        <w:rPr>
          <w:rFonts w:hint="eastAsia"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严格执行</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所制订的各项规章制度，并制订配套的内部管理制度。</w:t>
      </w:r>
    </w:p>
    <w:p w14:paraId="4E8AB09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315" w:firstLineChars="15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要爱护</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提供的房产和餐饮炊具等设备，负责日常使用管理，如损坏需要更换或维修应报</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审批。</w:t>
      </w:r>
    </w:p>
    <w:p w14:paraId="7B997E9C">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315" w:firstLineChars="150"/>
        <w:textAlignment w:val="bottom"/>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 xml:space="preserve"> </w:t>
      </w:r>
      <w:r>
        <w:rPr>
          <w:rFonts w:hint="eastAsia" w:hAnsi="宋体" w:eastAsia="宋体" w:cs="宋体"/>
          <w:b w:val="0"/>
          <w:bCs w:val="0"/>
          <w:color w:val="auto"/>
          <w:sz w:val="21"/>
          <w:szCs w:val="21"/>
          <w:highlight w:val="none"/>
          <w:lang w:eastAsia="zh-CN"/>
        </w:rPr>
        <w:t>投标人确保所用人员均按要求进行健康体检，持有健康证、统一着装上岗。</w:t>
      </w:r>
    </w:p>
    <w:p w14:paraId="79859DC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315" w:firstLineChars="15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坚持“服务第一”宗旨，按</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规定时间为干部职工提供优质服务，不得无故提前或延迟开饭时间，做到文明待人、热情服务。</w:t>
      </w:r>
    </w:p>
    <w:p w14:paraId="4D657F7D">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default" w:ascii="宋体" w:hAnsi="宋体" w:eastAsia="宋体" w:cs="宋体"/>
          <w:b/>
          <w:color w:val="auto"/>
          <w:kern w:val="0"/>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w:t>
      </w:r>
      <w:r>
        <w:rPr>
          <w:rFonts w:hint="eastAsia"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严格执行事故责任追究制度。如出现食物中毒、违法违纪等损害干部职工身体健康和影响信誉的事故，</w:t>
      </w:r>
      <w:r>
        <w:rPr>
          <w:rFonts w:hint="eastAsia"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必须承担由此造成的相应责任并赔偿经济损失。在服务期内如果所聘人员不符合</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要求，必须及时调整或更换，否则，</w:t>
      </w:r>
      <w:r>
        <w:rPr>
          <w:rFonts w:hint="eastAsia"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有权扣除其相应费用，直至中止合同。</w:t>
      </w:r>
    </w:p>
    <w:p w14:paraId="18D45599">
      <w:pPr>
        <w:autoSpaceDE w:val="0"/>
        <w:autoSpaceDN w:val="0"/>
        <w:adjustRightInd w:val="0"/>
        <w:spacing w:line="360" w:lineRule="auto"/>
        <w:ind w:left="61"/>
        <w:jc w:val="left"/>
        <w:rPr>
          <w:rFonts w:ascii="宋体" w:hAnsi="宋体" w:cs="宋体"/>
          <w:b/>
          <w:color w:val="auto"/>
          <w:kern w:val="0"/>
          <w:highlight w:val="none"/>
          <w:lang w:val="zh-CN"/>
        </w:rPr>
      </w:pPr>
      <w:r>
        <w:rPr>
          <w:rFonts w:hint="eastAsia" w:ascii="宋体" w:hAnsi="宋体" w:cs="宋体"/>
          <w:b/>
          <w:color w:val="auto"/>
          <w:kern w:val="0"/>
          <w:highlight w:val="none"/>
          <w:lang w:val="zh-CN"/>
        </w:rPr>
        <w:t>三、管理要求</w:t>
      </w:r>
      <w:r>
        <w:rPr>
          <w:rFonts w:ascii="宋体" w:hAnsi="宋体" w:cs="宋体"/>
          <w:b/>
          <w:color w:val="auto"/>
          <w:kern w:val="0"/>
          <w:highlight w:val="none"/>
          <w:lang w:val="zh-CN"/>
        </w:rPr>
        <w:t>:</w:t>
      </w:r>
    </w:p>
    <w:p w14:paraId="04F64514">
      <w:pPr>
        <w:widowControl/>
        <w:spacing w:before="150" w:after="150" w:line="360" w:lineRule="auto"/>
        <w:jc w:val="left"/>
        <w:rPr>
          <w:rFonts w:hint="eastAsia" w:ascii="宋体" w:hAnsi="宋体" w:cs="宋体"/>
          <w:b/>
          <w:bCs w:val="0"/>
          <w:kern w:val="0"/>
          <w:szCs w:val="21"/>
          <w:lang w:eastAsia="zh-CN"/>
        </w:rPr>
      </w:pPr>
      <w:r>
        <w:rPr>
          <w:rFonts w:hint="eastAsia" w:ascii="宋体" w:hAnsi="宋体" w:cs="宋体"/>
          <w:b/>
          <w:bCs w:val="0"/>
          <w:kern w:val="0"/>
          <w:szCs w:val="21"/>
          <w:lang w:eastAsia="zh-CN"/>
        </w:rPr>
        <w:t>（一）采购人职责</w:t>
      </w:r>
    </w:p>
    <w:p w14:paraId="442B117F">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1、完善食堂场地、水、电、煤气配置，落实食堂运营所需的设备设施、餐厨具，监督食堂运行状况及运营成本帐务。</w:t>
      </w:r>
    </w:p>
    <w:p w14:paraId="34CFCBAF">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2、每月对投标人开展检查考核。协助投标人做好与各相关部门的沟通协调工作。根据就餐人员集中反映的意见，出具《限期整改书》，要求投标人限期内改进，以保证餐饮服务品质。如整改未见成效或餐饮服务长期达不到规定要求的，采购人随时解除或者提前终止合同，没收履约保证金，不承担违约责任。食堂运营中一旦发生食物中毒、煤气泄漏、违法违纪等重大责任事故，采购人有权立即单方面终止合同，没收履约保证金，不承担违约责任。</w:t>
      </w:r>
    </w:p>
    <w:p w14:paraId="1BDF3A6D">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3、一旦发现投标人将项目分包或整体转包给任何单位和个人的，有权即刻终止合同，并要求投标人承担责任，赔偿相应损失。</w:t>
      </w:r>
    </w:p>
    <w:p w14:paraId="6DF5DDCF">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4、合同签订生效后，无特殊情况，采购人不得无故提前终止合同。若确需提前终止合同，应提前两个月以书面形式通知投标人，并妥善处理遗留问题。</w:t>
      </w:r>
    </w:p>
    <w:p w14:paraId="0C15A4BC">
      <w:pPr>
        <w:widowControl/>
        <w:spacing w:before="150" w:after="150" w:line="360" w:lineRule="auto"/>
        <w:jc w:val="left"/>
        <w:rPr>
          <w:rFonts w:hint="eastAsia" w:ascii="宋体" w:hAnsi="宋体" w:cs="宋体"/>
          <w:b/>
          <w:bCs w:val="0"/>
          <w:kern w:val="0"/>
          <w:szCs w:val="21"/>
          <w:lang w:eastAsia="zh-CN"/>
        </w:rPr>
      </w:pPr>
      <w:r>
        <w:rPr>
          <w:rFonts w:hint="eastAsia" w:ascii="宋体" w:hAnsi="宋体" w:cs="宋体"/>
          <w:b/>
          <w:bCs w:val="0"/>
          <w:kern w:val="0"/>
          <w:szCs w:val="21"/>
          <w:lang w:eastAsia="zh-CN"/>
        </w:rPr>
        <w:t>（二）投标人职责</w:t>
      </w:r>
    </w:p>
    <w:p w14:paraId="7763235A">
      <w:pPr>
        <w:widowControl/>
        <w:spacing w:before="150" w:after="150" w:line="360" w:lineRule="auto"/>
        <w:ind w:firstLine="420" w:firstLineChars="200"/>
        <w:jc w:val="left"/>
        <w:rPr>
          <w:rFonts w:hint="eastAsia" w:ascii="宋体" w:hAnsi="宋体" w:cs="宋体"/>
          <w:b w:val="0"/>
          <w:bCs/>
          <w:color w:val="auto"/>
          <w:kern w:val="0"/>
          <w:szCs w:val="21"/>
          <w:lang w:eastAsia="zh-CN"/>
        </w:rPr>
      </w:pPr>
      <w:r>
        <w:rPr>
          <w:rFonts w:hint="eastAsia" w:ascii="宋体" w:hAnsi="宋体" w:cs="宋体"/>
          <w:b w:val="0"/>
          <w:bCs/>
          <w:color w:val="auto"/>
          <w:kern w:val="0"/>
          <w:szCs w:val="21"/>
          <w:lang w:eastAsia="zh-CN"/>
        </w:rPr>
        <w:t>1、根据采购人的实际需求提供各项餐饮服务，在食堂运营中做好节约与服务，实现食堂在经济上的收支平衡，要求院内食堂职工就餐率不低于每日</w:t>
      </w:r>
      <w:r>
        <w:rPr>
          <w:rFonts w:hint="eastAsia" w:ascii="宋体" w:hAnsi="宋体" w:cs="宋体"/>
          <w:b w:val="0"/>
          <w:bCs/>
          <w:color w:val="auto"/>
          <w:kern w:val="0"/>
          <w:szCs w:val="21"/>
          <w:lang w:val="en-US" w:eastAsia="zh-CN"/>
        </w:rPr>
        <w:t>2</w:t>
      </w:r>
      <w:r>
        <w:rPr>
          <w:rFonts w:hint="eastAsia" w:ascii="宋体" w:hAnsi="宋体" w:cs="宋体"/>
          <w:b w:val="0"/>
          <w:bCs/>
          <w:color w:val="auto"/>
          <w:kern w:val="0"/>
          <w:szCs w:val="21"/>
          <w:lang w:eastAsia="zh-CN"/>
        </w:rPr>
        <w:t>00人，并满足突发事件600人极端就餐服务。</w:t>
      </w:r>
    </w:p>
    <w:p w14:paraId="6D3F1918">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2、须在采购人选定采购配送范围内，合理领用及保存好食堂运营所需的各种食品材料，应做好成本控制，并接受采购人不定时的监督。投标人不得私自采用过期、变质、劣质食品和假冒伪劣商品，并承担由此产生的后果。</w:t>
      </w:r>
    </w:p>
    <w:p w14:paraId="26D84B44">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3、负责食堂的食品安全卫生，严格遵守国家和地方食品安全法和环境卫生的标准规定，禁止加工、销售腐烂变质食品，保证菜肴的新鲜和卫生，保证粮食、食油及所有辅料的使用安全。严格落实“五常法”管理评比制度。每天应留出足够的时间，专人负责对餐厅、加工间、餐厨具、灶台、灶下、水池、下水道、炊事用品等场所设备进行环境卫生打扫和冰箱除霜等的卫生工作。安排专人准确及时清理处置剩饭剩菜，做好餐具消毒工作与餐饮垃圾的管理。</w:t>
      </w:r>
    </w:p>
    <w:p w14:paraId="4F4321DC">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4、节约用水、电、煤气，采购人将每月对水、电、气使用进行考核。爱护场地和食堂所有设备、设施和物品，并负责日常检查和养护管理，不得随意更换设施设备，使用设备及容器等</w:t>
      </w:r>
      <w:r>
        <w:rPr>
          <w:rFonts w:hint="eastAsia" w:ascii="宋体" w:hAnsi="宋体" w:cs="宋体"/>
          <w:b w:val="0"/>
          <w:bCs/>
          <w:kern w:val="0"/>
          <w:szCs w:val="21"/>
          <w:lang w:val="en-US" w:eastAsia="zh-CN"/>
        </w:rPr>
        <w:t>时，在</w:t>
      </w:r>
      <w:r>
        <w:rPr>
          <w:rFonts w:hint="eastAsia" w:ascii="宋体" w:hAnsi="宋体" w:cs="宋体"/>
          <w:b w:val="0"/>
          <w:bCs/>
          <w:kern w:val="0"/>
          <w:szCs w:val="21"/>
          <w:lang w:eastAsia="zh-CN"/>
        </w:rPr>
        <w:t>规定时间内损坏按价赔偿。合同履行完毕后，应交出除合理损耗部份外的全部设备、设施和物品，遗损赔偿。</w:t>
      </w:r>
    </w:p>
    <w:p w14:paraId="399DA1B1">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5、积极配合食品卫生监督部门对半成品、成品的随时抽样实地检验，做好质量监控，预防和检查生产中是否有异物污染等问题。积极配合卫生监管部门的监督与采购人的检查考核，如有问题被被查处或投诉，视事件程度承担相应责任，并服从采购人扣除相应的考核奖金与餐饮服务费的安排。</w:t>
      </w:r>
    </w:p>
    <w:p w14:paraId="7D9FE486">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6、严格控制进入生产厨房间的人数，仅限于本区域操作人员以及经过批准的人员进入。对进入生产加工厨房的临时外来人员（包括参观人员）进行指导和监督，对进入洁净室的人员进行登记制度。</w:t>
      </w:r>
    </w:p>
    <w:p w14:paraId="1CD07727">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7、应派专人负责生产区域内用具的日常管理。有使用区域范围的用具不得随意传出本区域；用具应做到定数、定量、定置、无不必要的物品；用具宜选用无脱落物、容易清洗、易消毒、不生锈、不长菌的材质。</w:t>
      </w:r>
    </w:p>
    <w:p w14:paraId="468F1245">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8、使用的生产运输工具应该符合卫生要求，要根据产品的特点配备防雨、防尘、冷藏、保温等设施。运输作业中需避免强烈震荡、撞击，轻拿轻放，防止损伤，并且不得与有害物品混装、混运。作业完毕后，督促搬运人员立即撤离工作场地，防止污染食品。</w:t>
      </w:r>
    </w:p>
    <w:p w14:paraId="321A0292">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9、应设专人管理物品、菜肴储存的场地和仓库，配置防鼠、防虫、防火等设施。建立管理制度，定期检查场地和仓库的卫生状况，按时清扫、消毒、通风换气，确保设施的正常使用</w:t>
      </w:r>
    </w:p>
    <w:p w14:paraId="4EFC836B">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10、应设专人管理洗手消毒池，鞋帽、更衣室、淋浴室、厕所等卫生设施，建立管理制度，做到责任到人，确保良好使用状态。</w:t>
      </w:r>
    </w:p>
    <w:p w14:paraId="4012DDE4">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11、从业人员使用的工作服每年保持夏季二套、冬季二套，统一着装上岗，进行定期清洗保洁。工作服、工作帽、工作手套等款式及颜色需经采购人认可，费用由投标人负责。</w:t>
      </w:r>
    </w:p>
    <w:p w14:paraId="6240669A">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12、负责从业人员的卫生、技能教育，确保从业人员持有有效的健康证、服务证及相关工作上岗证。应安排从业人员每年至少一次的体格检查，对没有取得卫生监督机构颁发的体检合格证者，禁止其从事厨房生产工作；对直接接触入口食品的人员还须进行粪便培养和病毒性肝炎带毒试验，不合格者不得从事相关工作。所需费用由投标人自理。并与采购人签订饮食安全卫生责任书。</w:t>
      </w:r>
    </w:p>
    <w:p w14:paraId="1FB2D47B">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13、应加强防火、防盗、防爆、防投毒等安全保障工作，经常检查电源、火源，妥善保管易燃易爆物品，负责对所属人员进行安全教育，确保无安全事故。如发生意外伤残、伤亡及其它安全事故，承担全部责任后果和经济补偿。</w:t>
      </w:r>
    </w:p>
    <w:p w14:paraId="275D67B3">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14、原则上不得改变、改动及无故损坏场地的房屋结构，不得变换基本设施。若确因服务需要，需进行装修，改动现有设备、设施和物品的，需书面报告采购人。</w:t>
      </w:r>
    </w:p>
    <w:p w14:paraId="012FF131">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15、合同签订生效后，无特殊情况，不得无故提前终止合同。若确需提前终止合同，应提前两个月以书面形式通知采购人，并妥善处理遗留问题。</w:t>
      </w:r>
    </w:p>
    <w:p w14:paraId="72ECD12B">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16、如遇采购人食堂室内改造，应提供合理的送餐服务方案，以保证采购人工作的正常运转。</w:t>
      </w:r>
    </w:p>
    <w:p w14:paraId="5C2CCB2A">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17、负责对从业人员的遵纪守法教育。如违反国家法律法规和地方规章制度，所造成的一切后果由投标人负责。若出现损害就餐人员身体健康和影响采购人声誉的事件，承担由此造成的一切责任和损失。</w:t>
      </w:r>
    </w:p>
    <w:p w14:paraId="4F2D9B81">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18、应设专人接收甲方的职工（含微信订餐）及病员订餐系统（含流动餐厅），承担起甲方的订餐工作及系统资金管理和系统维护工作。负责甲方所有订餐系统的就餐卡开卡、补卡及卡片进销存管理工作。如有资金损失或卡片遗失，需照价赔偿，情况严重的采购人有权终止合同，并在保证金中扣除相应的资金损失。</w:t>
      </w:r>
    </w:p>
    <w:p w14:paraId="60C47C0B">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19、做好配餐服务，提前一周公布职工食堂及病人订餐的菜单，每月菜品不得重复，并根据订餐率控制好配餐原料，避免采购浪费的现象。</w:t>
      </w:r>
    </w:p>
    <w:p w14:paraId="1B3A31F0">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20、考虑到部分临床科室工作繁忙，无暇到职工餐厅就餐。投标方需管理好微信订餐管理系统（订餐时间段为每日8:00-10:00），完善一日三餐菜单品种，方便职工微信订餐。订餐餐标享受职工餐厅同样价格及刷卡频率，但需加收餐盒工本费。承包方负责订餐数量品种汇总，及刷卡收费工作。</w:t>
      </w:r>
    </w:p>
    <w:p w14:paraId="53CC23DC">
      <w:pPr>
        <w:widowControl/>
        <w:spacing w:before="150" w:after="150" w:line="360" w:lineRule="auto"/>
        <w:ind w:firstLine="420" w:firstLineChars="200"/>
        <w:jc w:val="left"/>
        <w:rPr>
          <w:rFonts w:hint="eastAsia" w:ascii="宋体" w:hAnsi="宋体"/>
          <w:szCs w:val="21"/>
        </w:rPr>
      </w:pPr>
      <w:r>
        <w:rPr>
          <w:rFonts w:hint="eastAsia" w:ascii="宋体" w:hAnsi="宋体" w:cs="宋体"/>
          <w:b w:val="0"/>
          <w:bCs/>
          <w:kern w:val="0"/>
          <w:szCs w:val="21"/>
          <w:lang w:val="en-US" w:eastAsia="zh-CN"/>
        </w:rPr>
        <w:t>21.</w:t>
      </w:r>
      <w:r>
        <w:rPr>
          <w:rFonts w:hint="eastAsia" w:ascii="宋体" w:hAnsi="宋体"/>
          <w:szCs w:val="21"/>
        </w:rPr>
        <w:t>保证食堂现场、室内外环境卫生必须符合有关餐饮业卫生要求，并执行</w:t>
      </w:r>
      <w:r>
        <w:rPr>
          <w:rFonts w:hint="eastAsia" w:ascii="宋体" w:hAnsi="宋体"/>
          <w:color w:val="000000"/>
          <w:szCs w:val="21"/>
          <w:lang w:val="en-US" w:eastAsia="zh-CN"/>
        </w:rPr>
        <w:t>6</w:t>
      </w:r>
      <w:r>
        <w:rPr>
          <w:rFonts w:hint="eastAsia" w:ascii="宋体" w:hAnsi="宋体"/>
          <w:color w:val="000000"/>
          <w:szCs w:val="21"/>
        </w:rPr>
        <w:t>S</w:t>
      </w:r>
      <w:r>
        <w:rPr>
          <w:rFonts w:hint="eastAsia" w:ascii="宋体" w:hAnsi="宋体"/>
          <w:szCs w:val="21"/>
        </w:rPr>
        <w:t>管理，做好医院划定卫生工作，特别是食堂内通道。</w:t>
      </w:r>
    </w:p>
    <w:p w14:paraId="71B722E9">
      <w:pPr>
        <w:widowControl/>
        <w:spacing w:before="150" w:after="150" w:line="360" w:lineRule="auto"/>
        <w:jc w:val="left"/>
        <w:rPr>
          <w:rFonts w:hint="eastAsia" w:ascii="宋体" w:hAnsi="宋体" w:cs="宋体"/>
          <w:b/>
          <w:bCs w:val="0"/>
          <w:kern w:val="0"/>
          <w:szCs w:val="21"/>
          <w:lang w:eastAsia="zh-CN"/>
        </w:rPr>
      </w:pPr>
      <w:r>
        <w:rPr>
          <w:rFonts w:hint="eastAsia" w:ascii="宋体" w:hAnsi="宋体" w:cs="宋体"/>
          <w:b/>
          <w:bCs w:val="0"/>
          <w:kern w:val="0"/>
          <w:szCs w:val="21"/>
          <w:lang w:eastAsia="zh-CN"/>
        </w:rPr>
        <w:t>（三）从业人员职责</w:t>
      </w:r>
    </w:p>
    <w:p w14:paraId="76DB2291">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1、具有良好的个人卫生习惯，需勤剪指甲、勤洗澡。直接与原料、半成品和成品接触的人员不得戴耳环、戒指、手镯、项链、手表、手机，不允许化妆、染指甲、喷洒香水。</w:t>
      </w:r>
    </w:p>
    <w:p w14:paraId="58DFEA48">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2、必须按生产区域洁净级别进行规范着装，穿戴各自岗位指定的工衣、工帽、工鞋，经更衣室洗手消毒后，进入指定工作区域。工作服需盖住外衣,头发不得露于帽外,并且洗</w:t>
      </w:r>
      <w:r>
        <w:rPr>
          <w:rFonts w:hint="eastAsia" w:ascii="宋体" w:hAnsi="宋体" w:cs="宋体"/>
          <w:b w:val="0"/>
          <w:bCs/>
          <w:color w:val="000000"/>
          <w:kern w:val="0"/>
          <w:szCs w:val="21"/>
          <w:lang w:eastAsia="zh-CN"/>
        </w:rPr>
        <w:t>净</w:t>
      </w:r>
      <w:r>
        <w:rPr>
          <w:rFonts w:hint="eastAsia" w:ascii="宋体" w:hAnsi="宋体" w:cs="宋体"/>
          <w:b w:val="0"/>
          <w:bCs/>
          <w:kern w:val="0"/>
          <w:szCs w:val="21"/>
          <w:lang w:eastAsia="zh-CN"/>
        </w:rPr>
        <w:t>双手，不得穿拖鞋进入岗位操作。</w:t>
      </w:r>
    </w:p>
    <w:p w14:paraId="39962475">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3、工作时应关闭操作间的门，并尽量减少出入次数。不得穿戴工衣、工帽、工鞋离开生产加工场所。如接触赃物、上厕所、吸烟、用餐后需重新洗手消毒，方可穿戴工作服进入相应岗位。</w:t>
      </w:r>
    </w:p>
    <w:p w14:paraId="09B0C34F">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4、不得在厨房间内吸烟、饮食；不得在厨房间内睡觉、嬉戏,追跑、打闹；不得将个人生活用品如衣物、食品、烟酒、化妆品等带入或存放至生产加工场所；不得在生产操作时从事与操作无关的活动及不必要的交谈；不得在生产区域接听电话，必要时，需离开生产区域接听；当出现操作有误时，任何人员都有权指出其错误，并且要求马上改正。</w:t>
      </w:r>
    </w:p>
    <w:p w14:paraId="581ADEDF">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5、生产操作前必须检查厨房卫生状况。合格内容包括:地面、墙壁清洁干净、门窗洁净无尘、水槽、地漏畅通无阻、设备表面无残留污迹、油污、杂物，操作间无上批剩余物料。</w:t>
      </w:r>
    </w:p>
    <w:p w14:paraId="54C2B132">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6、工作时需提前三十分钟打开冷菜间、面点间的紫外灭菌灯，待彻底消毒后，方可进行操作。操作时应打开厨房间排气扇，按要求换气，保证厨房间的湿度和通风。</w:t>
      </w:r>
    </w:p>
    <w:p w14:paraId="71D6636B">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7、交接班时，应认真做好卫生交接工作，卫生不合格不接班。卫生要求地面无积水，无卫生死角，无灰尘，工具、器具统一定点放置。</w:t>
      </w:r>
    </w:p>
    <w:p w14:paraId="2F5BE1EB">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8、必须在指定地点先行将各种物料进行解包、清洁、表面擦拭等处理工作后方允许其进入生产区域。</w:t>
      </w:r>
    </w:p>
    <w:p w14:paraId="3188F5B6">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9、烹调前应认真检查设备是否已清洗干净，是否有上批剩余物料,若有必须要重新清洗，需消毒到位后方可投料烹调。烹饪结束后所有的原、辅料应及时清理回收，不允许乱放和随意丢弃。</w:t>
      </w:r>
    </w:p>
    <w:p w14:paraId="0268BAFE">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10、按生产烹饪的先后次序和菜肴的特点，将各种原、辅料预处理、半成品处理和加工、包装材料和盛菜工具的清洗消毒、面点间的成品包装和检验、成品储存等工序分开设置，防止前后工序相互交叉污染。</w:t>
      </w:r>
    </w:p>
    <w:p w14:paraId="0F6317EB">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11、必须认真填写菜肴留样记录表，不得随意涂改，并妥善保存，随着烹饪进程，逐步传递到下一个工序，每批菜肴生产结束后，将记录表一并交与厨房管理部存档备案。</w:t>
      </w:r>
    </w:p>
    <w:p w14:paraId="1CEBDB20">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12、用于生产操作的所有用具、工具、设备、容器、物品等需检验合格后方可使用，使用前后必须经过严格清洁、彻底消毒。在使用过程中</w:t>
      </w:r>
      <w:r>
        <w:rPr>
          <w:rFonts w:hint="eastAsia" w:ascii="宋体" w:hAnsi="宋体" w:cs="宋体"/>
          <w:b w:val="0"/>
          <w:bCs/>
          <w:kern w:val="0"/>
          <w:szCs w:val="21"/>
          <w:lang w:val="en-US" w:eastAsia="zh-CN"/>
        </w:rPr>
        <w:t>(</w:t>
      </w:r>
      <w:r>
        <w:rPr>
          <w:rFonts w:hint="eastAsia" w:ascii="宋体" w:hAnsi="宋体" w:cs="宋体"/>
          <w:b w:val="0"/>
          <w:bCs/>
          <w:kern w:val="0"/>
          <w:szCs w:val="21"/>
          <w:lang w:eastAsia="zh-CN"/>
        </w:rPr>
        <w:t>设备及容器等</w:t>
      </w:r>
      <w:r>
        <w:rPr>
          <w:rFonts w:hint="eastAsia" w:ascii="宋体" w:hAnsi="宋体" w:cs="宋体"/>
          <w:b w:val="0"/>
          <w:bCs/>
          <w:kern w:val="0"/>
          <w:szCs w:val="21"/>
          <w:lang w:val="en-US" w:eastAsia="zh-CN"/>
        </w:rPr>
        <w:t>)因</w:t>
      </w:r>
      <w:r>
        <w:rPr>
          <w:rFonts w:hint="eastAsia" w:ascii="宋体" w:hAnsi="宋体" w:cs="宋体"/>
          <w:b w:val="0"/>
          <w:bCs/>
          <w:kern w:val="0"/>
          <w:szCs w:val="21"/>
          <w:lang w:eastAsia="zh-CN"/>
        </w:rPr>
        <w:t>人为因素损坏的须按原物赔偿及出维修费。</w:t>
      </w:r>
    </w:p>
    <w:p w14:paraId="75EEE3E7">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13、日常维修、检查设备时，不得污染食品及相关物料。严禁洗涤设备时发生水溢厨房事件，防止造成交叉污染。</w:t>
      </w:r>
    </w:p>
    <w:p w14:paraId="04976E56">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14、每周对厨房生产区、更衣室、走廊、大厅等区域进行一次全面的清洁消毒工作。做到墙体内外表面洁净、完好，门、窗、地面、各种管道、灯具以及其他设施，墙壁与地面的交界处保持洁净无灰尘。定期检查门窗、排水口、排污管等处的防虫、防蝇、防鼠装置。及时清理地漏、并保持清洁及盖上盖子状态。遵照食品卫生法中对厨房间照明的有关规定，确保明亮、安全、无灰尘、无污染。</w:t>
      </w:r>
    </w:p>
    <w:p w14:paraId="6D0DB6C2">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15、及时清理洗手池、器具洁具清洗池等设施，应保持内外洁净、无灰尘、垢斑和水迹。</w:t>
      </w:r>
    </w:p>
    <w:p w14:paraId="7AF1359C">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16、及时将生产过程中的废弃物品装入不产生尘埃的容器或口袋中（宜为一次性的），密闭放在指定的地点，待生产结束后及时清除。</w:t>
      </w:r>
    </w:p>
    <w:p w14:paraId="1EA75CD7">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17、及时清洗干净、消毒并干燥使用过的清洁工具，放置在规定的位置，至于通风良好处。使用前后要检查拖布和抹布是否会脱落纤维。不同生产区域的工具，不能混淆使用。</w:t>
      </w:r>
    </w:p>
    <w:p w14:paraId="12A71322">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18、按照品种分类分批储存各种原材料，不同类别的原料应该有明显标志，同一仓库内不得储存相互影响的原料。储存中物品、菜肴、内外包材需离地面、墙壁并且与屋顶保持一定距离，垛与垛之间应保持适当的距离。</w:t>
      </w:r>
    </w:p>
    <w:p w14:paraId="5449DA3B">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19、根据不同的要求，按规定的温度、湿度合理储存各类冷库内物品，及时剔除不符合质量和卫生标准的物品、菜肴、内外包材，并按规定的方法进行处理，防止二次污染。</w:t>
      </w:r>
    </w:p>
    <w:p w14:paraId="043C080E">
      <w:pPr>
        <w:widowControl/>
        <w:spacing w:before="150" w:after="150" w:line="360" w:lineRule="auto"/>
        <w:ind w:firstLine="420" w:firstLineChars="200"/>
        <w:jc w:val="left"/>
        <w:rPr>
          <w:rFonts w:hint="eastAsia" w:ascii="宋体" w:hAnsi="宋体" w:cs="宋体"/>
          <w:b w:val="0"/>
          <w:bCs/>
          <w:kern w:val="0"/>
          <w:szCs w:val="21"/>
          <w:lang w:eastAsia="zh-CN"/>
        </w:rPr>
      </w:pPr>
      <w:r>
        <w:rPr>
          <w:rFonts w:hint="eastAsia" w:ascii="宋体" w:hAnsi="宋体" w:cs="宋体"/>
          <w:b w:val="0"/>
          <w:bCs/>
          <w:kern w:val="0"/>
          <w:szCs w:val="21"/>
          <w:lang w:eastAsia="zh-CN"/>
        </w:rPr>
        <w:t>20、经检验合格的成品菜肴应照先进先出原则储存于成品出菜间，并按品种、批次分类存放、防止相互混淆。成品出菜间不得储存有毒、有害物品及其他易腐烂、易燃烧物品。</w:t>
      </w:r>
    </w:p>
    <w:p w14:paraId="28969276">
      <w:pPr>
        <w:pStyle w:val="14"/>
        <w:snapToGrid w:val="0"/>
        <w:spacing w:before="120" w:after="120" w:line="360" w:lineRule="exact"/>
        <w:ind w:firstLine="422" w:firstLineChars="200"/>
        <w:rPr>
          <w:rFonts w:hint="default"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1.4</w:t>
      </w:r>
      <w:r>
        <w:rPr>
          <w:rFonts w:hint="default" w:ascii="宋体" w:hAnsi="宋体" w:eastAsia="宋体" w:cs="宋体"/>
          <w:b/>
          <w:bCs w:val="0"/>
          <w:color w:val="auto"/>
          <w:kern w:val="0"/>
          <w:sz w:val="21"/>
          <w:szCs w:val="21"/>
          <w:lang w:val="en-US" w:eastAsia="zh-CN" w:bidi="ar-SA"/>
        </w:rPr>
        <w:t>其他要求</w:t>
      </w:r>
    </w:p>
    <w:p w14:paraId="5EDC2531">
      <w:pPr>
        <w:pStyle w:val="14"/>
        <w:snapToGrid w:val="0"/>
        <w:spacing w:before="120" w:after="120" w:line="360" w:lineRule="exact"/>
        <w:ind w:firstLine="420" w:firstLineChars="200"/>
        <w:rPr>
          <w:rFonts w:hint="default"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1</w:t>
      </w:r>
      <w:r>
        <w:rPr>
          <w:rFonts w:hint="default" w:ascii="宋体" w:hAnsi="宋体" w:eastAsia="宋体" w:cs="宋体"/>
          <w:b w:val="0"/>
          <w:bCs/>
          <w:color w:val="auto"/>
          <w:kern w:val="0"/>
          <w:sz w:val="21"/>
          <w:szCs w:val="21"/>
          <w:lang w:val="en-US" w:eastAsia="zh-CN" w:bidi="ar-SA"/>
        </w:rPr>
        <w:t>）</w:t>
      </w:r>
      <w:r>
        <w:rPr>
          <w:rFonts w:hint="eastAsia" w:ascii="宋体" w:hAnsi="宋体" w:eastAsia="宋体" w:cs="宋体"/>
          <w:b w:val="0"/>
          <w:bCs/>
          <w:color w:val="auto"/>
          <w:kern w:val="0"/>
          <w:sz w:val="21"/>
          <w:szCs w:val="21"/>
          <w:lang w:val="en-US" w:eastAsia="zh-CN" w:bidi="ar-SA"/>
        </w:rPr>
        <w:t>乙方</w:t>
      </w:r>
      <w:r>
        <w:rPr>
          <w:rFonts w:hint="default" w:ascii="宋体" w:hAnsi="宋体" w:eastAsia="宋体" w:cs="宋体"/>
          <w:b w:val="0"/>
          <w:bCs/>
          <w:color w:val="auto"/>
          <w:kern w:val="0"/>
          <w:sz w:val="21"/>
          <w:szCs w:val="21"/>
          <w:lang w:val="en-US" w:eastAsia="zh-CN" w:bidi="ar-SA"/>
        </w:rPr>
        <w:t>不得将项目非法分包或整体转包给任何单位和个人。否则，</w:t>
      </w:r>
      <w:r>
        <w:rPr>
          <w:rFonts w:hint="eastAsia" w:ascii="宋体" w:hAnsi="宋体" w:eastAsia="宋体" w:cs="宋体"/>
          <w:b w:val="0"/>
          <w:bCs/>
          <w:color w:val="auto"/>
          <w:kern w:val="0"/>
          <w:sz w:val="21"/>
          <w:szCs w:val="21"/>
          <w:lang w:val="en-US" w:eastAsia="zh-CN" w:bidi="ar-SA"/>
        </w:rPr>
        <w:t>甲方</w:t>
      </w:r>
      <w:r>
        <w:rPr>
          <w:rFonts w:hint="default" w:ascii="宋体" w:hAnsi="宋体" w:eastAsia="宋体" w:cs="宋体"/>
          <w:b w:val="0"/>
          <w:bCs/>
          <w:color w:val="auto"/>
          <w:kern w:val="0"/>
          <w:sz w:val="21"/>
          <w:szCs w:val="21"/>
          <w:lang w:val="en-US" w:eastAsia="zh-CN" w:bidi="ar-SA"/>
        </w:rPr>
        <w:t>有权即刻终止合同，并要求</w:t>
      </w:r>
      <w:r>
        <w:rPr>
          <w:rFonts w:hint="eastAsia" w:ascii="宋体" w:hAnsi="宋体" w:eastAsia="宋体" w:cs="宋体"/>
          <w:b w:val="0"/>
          <w:bCs/>
          <w:color w:val="auto"/>
          <w:kern w:val="0"/>
          <w:sz w:val="21"/>
          <w:szCs w:val="21"/>
          <w:lang w:val="en-US" w:eastAsia="zh-CN" w:bidi="ar-SA"/>
        </w:rPr>
        <w:t>乙方</w:t>
      </w:r>
      <w:r>
        <w:rPr>
          <w:rFonts w:hint="default" w:ascii="宋体" w:hAnsi="宋体" w:eastAsia="宋体" w:cs="宋体"/>
          <w:b w:val="0"/>
          <w:bCs/>
          <w:color w:val="auto"/>
          <w:kern w:val="0"/>
          <w:sz w:val="21"/>
          <w:szCs w:val="21"/>
          <w:lang w:val="en-US" w:eastAsia="zh-CN" w:bidi="ar-SA"/>
        </w:rPr>
        <w:t>按合同约定赔偿相应损失。</w:t>
      </w:r>
    </w:p>
    <w:p w14:paraId="3ED03101">
      <w:pPr>
        <w:pStyle w:val="14"/>
        <w:snapToGrid w:val="0"/>
        <w:spacing w:before="120" w:after="120" w:line="360" w:lineRule="exact"/>
        <w:ind w:firstLine="420" w:firstLineChars="200"/>
        <w:rPr>
          <w:rFonts w:hint="default"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2</w:t>
      </w:r>
      <w:r>
        <w:rPr>
          <w:rFonts w:hint="default" w:ascii="宋体" w:hAnsi="宋体" w:eastAsia="宋体" w:cs="宋体"/>
          <w:b w:val="0"/>
          <w:bCs/>
          <w:color w:val="auto"/>
          <w:kern w:val="0"/>
          <w:sz w:val="21"/>
          <w:szCs w:val="21"/>
          <w:lang w:val="en-US" w:eastAsia="zh-CN" w:bidi="ar-SA"/>
        </w:rPr>
        <w:t>）</w:t>
      </w:r>
      <w:r>
        <w:rPr>
          <w:rFonts w:hint="eastAsia" w:ascii="宋体" w:hAnsi="宋体" w:eastAsia="宋体" w:cs="宋体"/>
          <w:b w:val="0"/>
          <w:bCs/>
          <w:color w:val="auto"/>
          <w:kern w:val="0"/>
          <w:sz w:val="21"/>
          <w:szCs w:val="21"/>
          <w:lang w:val="en-US" w:eastAsia="zh-CN" w:bidi="ar-SA"/>
        </w:rPr>
        <w:t>乙方</w:t>
      </w:r>
      <w:r>
        <w:rPr>
          <w:rFonts w:hint="default" w:ascii="宋体" w:hAnsi="宋体" w:eastAsia="宋体" w:cs="宋体"/>
          <w:b w:val="0"/>
          <w:bCs/>
          <w:color w:val="auto"/>
          <w:kern w:val="0"/>
          <w:sz w:val="21"/>
          <w:szCs w:val="21"/>
          <w:lang w:val="en-US" w:eastAsia="zh-CN" w:bidi="ar-SA"/>
        </w:rPr>
        <w:t>应符合国家卫生许可相关管理规定；</w:t>
      </w:r>
    </w:p>
    <w:p w14:paraId="7E511612">
      <w:pPr>
        <w:pStyle w:val="14"/>
        <w:snapToGrid w:val="0"/>
        <w:spacing w:before="120" w:after="120" w:line="360" w:lineRule="exact"/>
        <w:ind w:firstLine="420" w:firstLineChars="200"/>
        <w:rPr>
          <w:rFonts w:hint="default"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3</w:t>
      </w:r>
      <w:r>
        <w:rPr>
          <w:rFonts w:hint="default" w:ascii="宋体" w:hAnsi="宋体" w:eastAsia="宋体" w:cs="宋体"/>
          <w:b w:val="0"/>
          <w:bCs/>
          <w:color w:val="auto"/>
          <w:kern w:val="0"/>
          <w:sz w:val="21"/>
          <w:szCs w:val="21"/>
          <w:lang w:val="en-US" w:eastAsia="zh-CN" w:bidi="ar-SA"/>
        </w:rPr>
        <w:t>）</w:t>
      </w:r>
      <w:r>
        <w:rPr>
          <w:rFonts w:hint="eastAsia" w:ascii="宋体" w:hAnsi="宋体" w:eastAsia="宋体" w:cs="宋体"/>
          <w:b w:val="0"/>
          <w:bCs/>
          <w:color w:val="auto"/>
          <w:kern w:val="0"/>
          <w:sz w:val="21"/>
          <w:szCs w:val="21"/>
          <w:lang w:val="en-US" w:eastAsia="zh-CN" w:bidi="ar-SA"/>
        </w:rPr>
        <w:t>乙方</w:t>
      </w:r>
      <w:r>
        <w:rPr>
          <w:rFonts w:hint="default" w:ascii="宋体" w:hAnsi="宋体" w:eastAsia="宋体" w:cs="宋体"/>
          <w:b w:val="0"/>
          <w:bCs/>
          <w:color w:val="auto"/>
          <w:kern w:val="0"/>
          <w:sz w:val="21"/>
          <w:szCs w:val="21"/>
          <w:lang w:val="en-US" w:eastAsia="zh-CN" w:bidi="ar-SA"/>
        </w:rPr>
        <w:t>提供办公电脑和打印机等办公设备及耗材:</w:t>
      </w:r>
      <w:r>
        <w:rPr>
          <w:rFonts w:hint="eastAsia" w:ascii="宋体" w:hAnsi="宋体" w:eastAsia="宋体" w:cs="宋体"/>
          <w:b w:val="0"/>
          <w:bCs/>
          <w:color w:val="auto"/>
          <w:kern w:val="0"/>
          <w:sz w:val="21"/>
          <w:szCs w:val="21"/>
          <w:lang w:val="en-US" w:eastAsia="zh-CN" w:bidi="ar-SA"/>
        </w:rPr>
        <w:t>乙方</w:t>
      </w:r>
      <w:r>
        <w:rPr>
          <w:rFonts w:hint="default" w:ascii="宋体" w:hAnsi="宋体" w:eastAsia="宋体" w:cs="宋体"/>
          <w:b w:val="0"/>
          <w:bCs/>
          <w:color w:val="auto"/>
          <w:kern w:val="0"/>
          <w:sz w:val="21"/>
          <w:szCs w:val="21"/>
          <w:lang w:val="en-US" w:eastAsia="zh-CN" w:bidi="ar-SA"/>
        </w:rPr>
        <w:t>负责所有办公桌椅柜等办公家私和员工更衣柜。</w:t>
      </w:r>
    </w:p>
    <w:p w14:paraId="12A10290">
      <w:pPr>
        <w:pStyle w:val="14"/>
        <w:snapToGrid w:val="0"/>
        <w:spacing w:before="120" w:after="120" w:line="360" w:lineRule="exact"/>
        <w:ind w:firstLine="420" w:firstLineChars="200"/>
        <w:rPr>
          <w:rFonts w:hint="default"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4</w:t>
      </w:r>
      <w:r>
        <w:rPr>
          <w:rFonts w:hint="default" w:ascii="宋体" w:hAnsi="宋体" w:eastAsia="宋体" w:cs="宋体"/>
          <w:b w:val="0"/>
          <w:bCs/>
          <w:color w:val="auto"/>
          <w:kern w:val="0"/>
          <w:sz w:val="21"/>
          <w:szCs w:val="21"/>
          <w:lang w:val="en-US" w:eastAsia="zh-CN" w:bidi="ar-SA"/>
        </w:rPr>
        <w:t>）</w:t>
      </w:r>
      <w:r>
        <w:rPr>
          <w:rFonts w:hint="eastAsia" w:ascii="宋体" w:hAnsi="宋体" w:eastAsia="宋体" w:cs="宋体"/>
          <w:b w:val="0"/>
          <w:bCs/>
          <w:color w:val="auto"/>
          <w:kern w:val="0"/>
          <w:sz w:val="21"/>
          <w:szCs w:val="21"/>
          <w:lang w:val="en-US" w:eastAsia="zh-CN" w:bidi="ar-SA"/>
        </w:rPr>
        <w:t>乙方</w:t>
      </w:r>
      <w:r>
        <w:rPr>
          <w:rFonts w:hint="default" w:ascii="宋体" w:hAnsi="宋体" w:eastAsia="宋体" w:cs="宋体"/>
          <w:b w:val="0"/>
          <w:bCs/>
          <w:color w:val="auto"/>
          <w:kern w:val="0"/>
          <w:sz w:val="21"/>
          <w:szCs w:val="21"/>
          <w:lang w:val="en-US" w:eastAsia="zh-CN" w:bidi="ar-SA"/>
        </w:rPr>
        <w:t>的各岗位员工要统一服装，并由</w:t>
      </w:r>
      <w:r>
        <w:rPr>
          <w:rFonts w:hint="eastAsia" w:ascii="宋体" w:hAnsi="宋体" w:eastAsia="宋体" w:cs="宋体"/>
          <w:b w:val="0"/>
          <w:bCs/>
          <w:color w:val="auto"/>
          <w:kern w:val="0"/>
          <w:sz w:val="21"/>
          <w:szCs w:val="21"/>
          <w:lang w:val="en-US" w:eastAsia="zh-CN" w:bidi="ar-SA"/>
        </w:rPr>
        <w:t>乙方</w:t>
      </w:r>
      <w:r>
        <w:rPr>
          <w:rFonts w:hint="default" w:ascii="宋体" w:hAnsi="宋体" w:eastAsia="宋体" w:cs="宋体"/>
          <w:b w:val="0"/>
          <w:bCs/>
          <w:color w:val="auto"/>
          <w:kern w:val="0"/>
          <w:sz w:val="21"/>
          <w:szCs w:val="21"/>
          <w:lang w:val="en-US" w:eastAsia="zh-CN" w:bidi="ar-SA"/>
        </w:rPr>
        <w:t>负责其员工工服配备和洗涤。</w:t>
      </w:r>
    </w:p>
    <w:p w14:paraId="10E71A50">
      <w:pPr>
        <w:pStyle w:val="14"/>
        <w:snapToGrid w:val="0"/>
        <w:spacing w:before="120" w:after="120" w:line="360" w:lineRule="exact"/>
        <w:ind w:firstLine="420" w:firstLineChars="200"/>
        <w:rPr>
          <w:rFonts w:hint="default"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5</w:t>
      </w:r>
      <w:r>
        <w:rPr>
          <w:rFonts w:hint="default" w:ascii="宋体" w:hAnsi="宋体" w:eastAsia="宋体" w:cs="宋体"/>
          <w:b w:val="0"/>
          <w:bCs/>
          <w:color w:val="auto"/>
          <w:kern w:val="0"/>
          <w:sz w:val="21"/>
          <w:szCs w:val="21"/>
          <w:lang w:val="en-US" w:eastAsia="zh-CN" w:bidi="ar-SA"/>
        </w:rPr>
        <w:t>）</w:t>
      </w:r>
      <w:r>
        <w:rPr>
          <w:rFonts w:hint="eastAsia" w:ascii="宋体" w:hAnsi="宋体" w:eastAsia="宋体" w:cs="宋体"/>
          <w:b w:val="0"/>
          <w:bCs/>
          <w:color w:val="auto"/>
          <w:kern w:val="0"/>
          <w:sz w:val="21"/>
          <w:szCs w:val="21"/>
          <w:lang w:val="en-US" w:eastAsia="zh-CN" w:bidi="ar-SA"/>
        </w:rPr>
        <w:t>乙方</w:t>
      </w:r>
      <w:r>
        <w:rPr>
          <w:rFonts w:hint="default" w:ascii="宋体" w:hAnsi="宋体" w:eastAsia="宋体" w:cs="宋体"/>
          <w:b w:val="0"/>
          <w:bCs/>
          <w:color w:val="auto"/>
          <w:kern w:val="0"/>
          <w:sz w:val="21"/>
          <w:szCs w:val="21"/>
          <w:lang w:val="en-US" w:eastAsia="zh-CN" w:bidi="ar-SA"/>
        </w:rPr>
        <w:t xml:space="preserve">有岗前培训机构，服务人员100%经过岗前培训合格才能上岗。 </w:t>
      </w:r>
    </w:p>
    <w:p w14:paraId="3B8C6EEB">
      <w:pPr>
        <w:pStyle w:val="14"/>
        <w:snapToGrid w:val="0"/>
        <w:spacing w:before="120" w:after="120" w:line="360" w:lineRule="exact"/>
        <w:ind w:firstLine="420" w:firstLineChars="200"/>
        <w:rPr>
          <w:rFonts w:hint="default"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6</w:t>
      </w:r>
      <w:r>
        <w:rPr>
          <w:rFonts w:hint="default" w:ascii="宋体" w:hAnsi="宋体" w:eastAsia="宋体" w:cs="宋体"/>
          <w:b w:val="0"/>
          <w:bCs/>
          <w:color w:val="auto"/>
          <w:kern w:val="0"/>
          <w:sz w:val="21"/>
          <w:szCs w:val="21"/>
          <w:lang w:val="en-US" w:eastAsia="zh-CN" w:bidi="ar-SA"/>
        </w:rPr>
        <w:t>）</w:t>
      </w:r>
      <w:r>
        <w:rPr>
          <w:rFonts w:hint="eastAsia" w:ascii="宋体" w:hAnsi="宋体" w:eastAsia="宋体" w:cs="宋体"/>
          <w:b w:val="0"/>
          <w:bCs/>
          <w:color w:val="auto"/>
          <w:kern w:val="0"/>
          <w:sz w:val="21"/>
          <w:szCs w:val="21"/>
          <w:lang w:val="en-US" w:eastAsia="zh-CN" w:bidi="ar-SA"/>
        </w:rPr>
        <w:t>乙方</w:t>
      </w:r>
      <w:r>
        <w:rPr>
          <w:rFonts w:hint="default" w:ascii="宋体" w:hAnsi="宋体" w:eastAsia="宋体" w:cs="宋体"/>
          <w:b w:val="0"/>
          <w:bCs/>
          <w:color w:val="auto"/>
          <w:kern w:val="0"/>
          <w:sz w:val="21"/>
          <w:szCs w:val="21"/>
          <w:lang w:val="en-US" w:eastAsia="zh-CN" w:bidi="ar-SA"/>
        </w:rPr>
        <w:t>须严格按照标准化的操作程序、完善的培训体系和质量控制体系完成本项目，以保证整个系统安全、高效、有序和有计划地运转。</w:t>
      </w:r>
    </w:p>
    <w:p w14:paraId="104468E6">
      <w:pPr>
        <w:pStyle w:val="14"/>
        <w:snapToGrid w:val="0"/>
        <w:spacing w:before="120" w:after="120" w:line="360" w:lineRule="exact"/>
        <w:ind w:firstLine="420" w:firstLineChars="200"/>
        <w:rPr>
          <w:rFonts w:hint="default"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7</w:t>
      </w:r>
      <w:r>
        <w:rPr>
          <w:rFonts w:hint="default" w:ascii="宋体" w:hAnsi="宋体" w:eastAsia="宋体" w:cs="宋体"/>
          <w:b w:val="0"/>
          <w:bCs/>
          <w:color w:val="auto"/>
          <w:kern w:val="0"/>
          <w:sz w:val="21"/>
          <w:szCs w:val="21"/>
          <w:lang w:val="en-US" w:eastAsia="zh-CN" w:bidi="ar-SA"/>
        </w:rPr>
        <w:t>）</w:t>
      </w:r>
      <w:r>
        <w:rPr>
          <w:rFonts w:hint="eastAsia" w:ascii="宋体" w:hAnsi="宋体" w:eastAsia="宋体" w:cs="宋体"/>
          <w:b w:val="0"/>
          <w:bCs/>
          <w:color w:val="auto"/>
          <w:kern w:val="0"/>
          <w:sz w:val="21"/>
          <w:szCs w:val="21"/>
          <w:lang w:val="en-US" w:eastAsia="zh-CN" w:bidi="ar-SA"/>
        </w:rPr>
        <w:t>乙方</w:t>
      </w:r>
      <w:r>
        <w:rPr>
          <w:rFonts w:hint="default" w:ascii="宋体" w:hAnsi="宋体" w:eastAsia="宋体" w:cs="宋体"/>
          <w:b w:val="0"/>
          <w:bCs/>
          <w:color w:val="auto"/>
          <w:kern w:val="0"/>
          <w:sz w:val="21"/>
          <w:szCs w:val="21"/>
          <w:lang w:val="en-US" w:eastAsia="zh-CN" w:bidi="ar-SA"/>
        </w:rPr>
        <w:t>须严格按照国家规定给所有符合社保缴纳要求的员工缴纳各种社会保险(包括养老、医疗、工伤、生育险、失业保险等)和住房公积金。</w:t>
      </w:r>
    </w:p>
    <w:p w14:paraId="4AEE25FA">
      <w:pPr>
        <w:pStyle w:val="14"/>
        <w:snapToGrid w:val="0"/>
        <w:spacing w:before="120" w:after="120" w:line="360" w:lineRule="exact"/>
        <w:ind w:firstLine="420" w:firstLineChars="200"/>
        <w:rPr>
          <w:rFonts w:hint="default"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8</w:t>
      </w:r>
      <w:r>
        <w:rPr>
          <w:rFonts w:hint="default" w:ascii="宋体" w:hAnsi="宋体" w:eastAsia="宋体" w:cs="宋体"/>
          <w:b w:val="0"/>
          <w:bCs/>
          <w:color w:val="auto"/>
          <w:kern w:val="0"/>
          <w:sz w:val="21"/>
          <w:szCs w:val="21"/>
          <w:lang w:val="en-US" w:eastAsia="zh-CN" w:bidi="ar-SA"/>
        </w:rPr>
        <w:t>）全部服务人员的工作时间应严格按国家有关法律、法规要求的标准执行，因工作原因产生的加班(含节假日加班)应严格按国家有关法律、法规要求的标准给付员工加班薪资。并包含国家规定的员工年假费用；</w:t>
      </w:r>
      <w:r>
        <w:rPr>
          <w:rFonts w:hint="eastAsia" w:ascii="宋体" w:hAnsi="宋体" w:eastAsia="宋体" w:cs="宋体"/>
          <w:b w:val="0"/>
          <w:bCs/>
          <w:color w:val="auto"/>
          <w:kern w:val="0"/>
          <w:sz w:val="21"/>
          <w:szCs w:val="21"/>
          <w:lang w:val="en-US" w:eastAsia="zh-CN" w:bidi="ar-SA"/>
        </w:rPr>
        <w:t>甲方</w:t>
      </w:r>
      <w:r>
        <w:rPr>
          <w:rFonts w:hint="default" w:ascii="宋体" w:hAnsi="宋体" w:eastAsia="宋体" w:cs="宋体"/>
          <w:b w:val="0"/>
          <w:bCs/>
          <w:color w:val="auto"/>
          <w:kern w:val="0"/>
          <w:sz w:val="21"/>
          <w:szCs w:val="21"/>
          <w:lang w:val="en-US" w:eastAsia="zh-CN" w:bidi="ar-SA"/>
        </w:rPr>
        <w:t>不另外增加费用。</w:t>
      </w:r>
    </w:p>
    <w:p w14:paraId="0D1F4D8B">
      <w:pPr>
        <w:pStyle w:val="14"/>
        <w:snapToGrid w:val="0"/>
        <w:spacing w:before="120" w:after="120" w:line="360" w:lineRule="exact"/>
        <w:ind w:firstLine="420" w:firstLineChars="200"/>
        <w:rPr>
          <w:rFonts w:hint="default"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9</w:t>
      </w:r>
      <w:r>
        <w:rPr>
          <w:rFonts w:hint="default" w:ascii="宋体" w:hAnsi="宋体" w:eastAsia="宋体" w:cs="宋体"/>
          <w:b w:val="0"/>
          <w:bCs/>
          <w:color w:val="auto"/>
          <w:kern w:val="0"/>
          <w:sz w:val="21"/>
          <w:szCs w:val="21"/>
          <w:lang w:val="en-US" w:eastAsia="zh-CN" w:bidi="ar-SA"/>
        </w:rPr>
        <w:t>）所有员工入职服务时都必须体检，并且合格后才能持证上岗。</w:t>
      </w:r>
    </w:p>
    <w:p w14:paraId="1B8631D4">
      <w:pPr>
        <w:pStyle w:val="14"/>
        <w:snapToGrid w:val="0"/>
        <w:spacing w:before="120" w:after="120" w:line="360" w:lineRule="exact"/>
        <w:ind w:firstLine="420" w:firstLineChars="200"/>
        <w:rPr>
          <w:rFonts w:hint="default"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10</w:t>
      </w:r>
      <w:r>
        <w:rPr>
          <w:rFonts w:hint="default" w:ascii="宋体" w:hAnsi="宋体" w:eastAsia="宋体" w:cs="宋体"/>
          <w:b w:val="0"/>
          <w:bCs/>
          <w:color w:val="auto"/>
          <w:kern w:val="0"/>
          <w:sz w:val="21"/>
          <w:szCs w:val="21"/>
          <w:lang w:val="en-US" w:eastAsia="zh-CN" w:bidi="ar-SA"/>
        </w:rPr>
        <w:t>）因</w:t>
      </w:r>
      <w:r>
        <w:rPr>
          <w:rFonts w:hint="eastAsia" w:ascii="宋体" w:hAnsi="宋体" w:eastAsia="宋体" w:cs="宋体"/>
          <w:b w:val="0"/>
          <w:bCs/>
          <w:color w:val="auto"/>
          <w:kern w:val="0"/>
          <w:sz w:val="21"/>
          <w:szCs w:val="21"/>
          <w:lang w:val="en-US" w:eastAsia="zh-CN" w:bidi="ar-SA"/>
        </w:rPr>
        <w:t>乙方</w:t>
      </w:r>
      <w:r>
        <w:rPr>
          <w:rFonts w:hint="default" w:ascii="宋体" w:hAnsi="宋体" w:eastAsia="宋体" w:cs="宋体"/>
          <w:b w:val="0"/>
          <w:bCs/>
          <w:color w:val="auto"/>
          <w:kern w:val="0"/>
          <w:sz w:val="21"/>
          <w:szCs w:val="21"/>
          <w:lang w:val="en-US" w:eastAsia="zh-CN" w:bidi="ar-SA"/>
        </w:rPr>
        <w:t>违反《劳动法》等法律法规而造成甲方的连带责任和损失全部由供应商承担。</w:t>
      </w:r>
    </w:p>
    <w:p w14:paraId="25EE3B4C">
      <w:pPr>
        <w:pStyle w:val="14"/>
        <w:snapToGrid w:val="0"/>
        <w:spacing w:before="120" w:after="120" w:line="360" w:lineRule="exact"/>
        <w:rPr>
          <w:rFonts w:hint="eastAsia" w:ascii="宋体" w:hAnsi="宋体" w:eastAsia="宋体" w:cs="宋体"/>
          <w:b/>
          <w:bCs/>
          <w:color w:val="auto"/>
          <w:highlight w:val="none"/>
        </w:rPr>
      </w:pPr>
      <w:r>
        <w:rPr>
          <w:rFonts w:hint="eastAsia" w:ascii="宋体" w:hAnsi="宋体" w:eastAsia="宋体" w:cs="宋体"/>
          <w:b/>
          <w:bCs w:val="0"/>
          <w:color w:val="auto"/>
          <w:kern w:val="0"/>
          <w:sz w:val="21"/>
          <w:szCs w:val="21"/>
          <w:lang w:val="en-US" w:eastAsia="zh-CN" w:bidi="ar-SA"/>
        </w:rPr>
        <w:t>二、合同金额</w:t>
      </w:r>
    </w:p>
    <w:p w14:paraId="76848C90">
      <w:pPr>
        <w:pStyle w:val="14"/>
        <w:snapToGrid w:val="0"/>
        <w:spacing w:before="120" w:after="120" w:line="360" w:lineRule="exact"/>
        <w:ind w:firstLine="420" w:firstLineChars="200"/>
        <w:rPr>
          <w:rFonts w:hint="eastAsia" w:ascii="宋体" w:hAnsi="宋体" w:eastAsia="宋体" w:cs="宋体"/>
          <w:color w:val="auto"/>
          <w:highlight w:val="none"/>
        </w:rPr>
      </w:pPr>
      <w:r>
        <w:rPr>
          <w:rFonts w:hint="eastAsia" w:ascii="宋体" w:hAnsi="宋体" w:eastAsia="宋体" w:cs="宋体"/>
          <w:b w:val="0"/>
          <w:bCs/>
          <w:color w:val="auto"/>
          <w:kern w:val="0"/>
          <w:sz w:val="21"/>
          <w:szCs w:val="21"/>
          <w:lang w:val="en-US" w:eastAsia="zh-CN" w:bidi="ar-SA"/>
        </w:rPr>
        <w:t>2.1本合同金额为（大写）：               元（￥                元）人民币。</w:t>
      </w:r>
    </w:p>
    <w:p w14:paraId="76E53E7A">
      <w:pPr>
        <w:pStyle w:val="14"/>
        <w:snapToGrid w:val="0"/>
        <w:spacing w:before="120" w:after="120" w:line="360" w:lineRule="exact"/>
        <w:rPr>
          <w:rFonts w:hint="eastAsia" w:ascii="宋体" w:hAnsi="宋体" w:eastAsia="宋体" w:cs="宋体"/>
          <w:b/>
          <w:bCs/>
          <w:color w:val="auto"/>
          <w:highlight w:val="none"/>
        </w:rPr>
      </w:pPr>
      <w:r>
        <w:rPr>
          <w:rFonts w:hint="eastAsia" w:ascii="宋体" w:hAnsi="宋体" w:eastAsia="宋体" w:cs="宋体"/>
          <w:b/>
          <w:bCs w:val="0"/>
          <w:color w:val="auto"/>
          <w:kern w:val="0"/>
          <w:sz w:val="21"/>
          <w:szCs w:val="21"/>
          <w:lang w:val="en-US" w:eastAsia="zh-CN" w:bidi="ar-SA"/>
        </w:rPr>
        <w:t>三、转包或分包</w:t>
      </w:r>
    </w:p>
    <w:p w14:paraId="5FB67D52">
      <w:pPr>
        <w:pStyle w:val="14"/>
        <w:snapToGrid w:val="0"/>
        <w:spacing w:before="120" w:after="120" w:line="36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b w:val="0"/>
          <w:bCs/>
          <w:color w:val="auto"/>
          <w:kern w:val="0"/>
          <w:sz w:val="21"/>
          <w:szCs w:val="21"/>
          <w:lang w:val="en-US" w:eastAsia="zh-CN" w:bidi="ar-SA"/>
        </w:rPr>
        <w:t>3.1本合同范围的服务，应由乙方直接提供，不得转让他人。</w:t>
      </w:r>
    </w:p>
    <w:p w14:paraId="0F140E5D">
      <w:pPr>
        <w:pStyle w:val="14"/>
        <w:snapToGrid w:val="0"/>
        <w:spacing w:before="120" w:after="120" w:line="360" w:lineRule="exact"/>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四、合同付款方法</w:t>
      </w:r>
    </w:p>
    <w:p w14:paraId="0E0B93AB">
      <w:pPr>
        <w:pStyle w:val="14"/>
        <w:snapToGrid w:val="0"/>
        <w:spacing w:before="120" w:after="120" w:line="36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4.1每月考核，根据考核结果，按月支付。每个月末乙方向甲方开具发票，核对无误后，次月10日前甲方向乙方支付上月服务费；</w:t>
      </w:r>
    </w:p>
    <w:p w14:paraId="650026AF">
      <w:pPr>
        <w:pStyle w:val="14"/>
        <w:snapToGrid w:val="0"/>
        <w:spacing w:before="120" w:after="120" w:line="36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4.2解除或终结合同后，在全年考核结束后结清余款。注：月度服务费=年度合同金额/12-月度考核扣除金额（如有）</w:t>
      </w:r>
    </w:p>
    <w:p w14:paraId="3D753CF4">
      <w:pPr>
        <w:pStyle w:val="14"/>
        <w:snapToGrid w:val="0"/>
        <w:spacing w:before="120" w:after="120" w:line="360" w:lineRule="exact"/>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五、税</w:t>
      </w:r>
    </w:p>
    <w:p w14:paraId="48B2E955">
      <w:pPr>
        <w:pStyle w:val="14"/>
        <w:snapToGrid w:val="0"/>
        <w:spacing w:before="120" w:after="120" w:line="36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5.1本合同执行中相关的一切税费均由乙方负担。</w:t>
      </w:r>
    </w:p>
    <w:p w14:paraId="2A2394B6">
      <w:pPr>
        <w:pStyle w:val="14"/>
        <w:snapToGrid w:val="0"/>
        <w:spacing w:before="120" w:after="120" w:line="360" w:lineRule="exact"/>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六、完成质量要求</w:t>
      </w:r>
    </w:p>
    <w:p w14:paraId="1DBF870A">
      <w:pPr>
        <w:pStyle w:val="14"/>
        <w:snapToGrid w:val="0"/>
        <w:spacing w:before="120" w:after="120" w:line="36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6.1 服务期间乙方不得随意更换项目负责人，如有特殊情况需要更换，须经甲方同意确认。</w:t>
      </w:r>
    </w:p>
    <w:p w14:paraId="01688204">
      <w:pPr>
        <w:pStyle w:val="14"/>
        <w:snapToGrid w:val="0"/>
        <w:spacing w:before="120" w:after="120" w:line="36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6.2服务期间，乙方须配备足够的人员和设备。</w:t>
      </w:r>
    </w:p>
    <w:p w14:paraId="5E343DFD">
      <w:pPr>
        <w:pStyle w:val="14"/>
        <w:snapToGrid w:val="0"/>
        <w:spacing w:before="120" w:after="120" w:line="36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6.3合同执行过程中，乙方如有弄虚作假行为，甲方有权单方面解除合同，由此引起的所以损失由乙方承担。</w:t>
      </w:r>
    </w:p>
    <w:p w14:paraId="6AC8EAF3">
      <w:pPr>
        <w:pStyle w:val="14"/>
        <w:snapToGrid w:val="0"/>
        <w:spacing w:before="120" w:after="120" w:line="360" w:lineRule="exact"/>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七、违约责任</w:t>
      </w:r>
    </w:p>
    <w:p w14:paraId="2E95CE06">
      <w:pPr>
        <w:pStyle w:val="14"/>
        <w:snapToGrid w:val="0"/>
        <w:spacing w:before="120" w:after="120" w:line="36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7.1甲方无正当理由拒收接受服务的，甲方向乙方偿付合同款项5%作为违约金。</w:t>
      </w:r>
    </w:p>
    <w:p w14:paraId="474DD3EA">
      <w:pPr>
        <w:pStyle w:val="14"/>
        <w:snapToGrid w:val="0"/>
        <w:spacing w:before="120" w:after="120" w:line="36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 xml:space="preserve">7.2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76EC4161">
      <w:pPr>
        <w:pStyle w:val="14"/>
        <w:snapToGrid w:val="0"/>
        <w:spacing w:before="120" w:after="120" w:line="360" w:lineRule="exact"/>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八、不可抗力事件处理</w:t>
      </w:r>
    </w:p>
    <w:p w14:paraId="0833DABF">
      <w:pPr>
        <w:pStyle w:val="14"/>
        <w:snapToGrid w:val="0"/>
        <w:spacing w:before="120" w:after="120" w:line="36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8.1 在合同有效期内，任何一方因不可抗力事件导致不能履行合同，则合同履行期可延长，其延长期与不可抗力影响期相同。</w:t>
      </w:r>
    </w:p>
    <w:p w14:paraId="033AEE89">
      <w:pPr>
        <w:pStyle w:val="14"/>
        <w:snapToGrid w:val="0"/>
        <w:spacing w:before="120" w:after="120" w:line="36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8.2 不可抗力事件发生后，应立即通知对方，并寄送有关权威机构出具的证明。</w:t>
      </w:r>
    </w:p>
    <w:p w14:paraId="2AD8DCEA">
      <w:pPr>
        <w:pStyle w:val="14"/>
        <w:snapToGrid w:val="0"/>
        <w:spacing w:before="120" w:after="120" w:line="36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8.3 不可抗力事件延续120天以上，双方应通过友好协商，确定是否继续履行合同。</w:t>
      </w:r>
    </w:p>
    <w:p w14:paraId="20F607E3">
      <w:pPr>
        <w:pStyle w:val="14"/>
        <w:snapToGrid w:val="0"/>
        <w:spacing w:before="120" w:after="120" w:line="360" w:lineRule="exact"/>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九、诉讼</w:t>
      </w:r>
    </w:p>
    <w:p w14:paraId="1E37F88D">
      <w:pPr>
        <w:pStyle w:val="14"/>
        <w:snapToGrid w:val="0"/>
        <w:spacing w:before="120" w:after="120" w:line="36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9.1 双方在执行合同中所发生的一切争议，应通过协商解决。如协商不成，可向合同签订地法院起诉。</w:t>
      </w:r>
    </w:p>
    <w:p w14:paraId="13B396D5">
      <w:pPr>
        <w:pStyle w:val="14"/>
        <w:snapToGrid w:val="0"/>
        <w:spacing w:before="120" w:after="120" w:line="360" w:lineRule="exact"/>
        <w:rPr>
          <w:rFonts w:hint="eastAsia" w:ascii="宋体" w:hAnsi="宋体" w:eastAsia="宋体" w:cs="宋体"/>
          <w:b/>
          <w:bCs w:val="0"/>
          <w:color w:val="auto"/>
          <w:kern w:val="0"/>
          <w:sz w:val="21"/>
          <w:szCs w:val="21"/>
          <w:lang w:val="en-US" w:eastAsia="zh-CN" w:bidi="ar-SA"/>
        </w:rPr>
      </w:pPr>
      <w:r>
        <w:rPr>
          <w:rFonts w:hint="eastAsia" w:ascii="宋体" w:hAnsi="宋体" w:eastAsia="宋体" w:cs="宋体"/>
          <w:b/>
          <w:bCs w:val="0"/>
          <w:color w:val="auto"/>
          <w:kern w:val="0"/>
          <w:sz w:val="21"/>
          <w:szCs w:val="21"/>
          <w:lang w:val="en-US" w:eastAsia="zh-CN" w:bidi="ar-SA"/>
        </w:rPr>
        <w:t>十、合同生效及其它</w:t>
      </w:r>
    </w:p>
    <w:p w14:paraId="3AD0469F">
      <w:pPr>
        <w:pStyle w:val="14"/>
        <w:snapToGrid w:val="0"/>
        <w:spacing w:before="120" w:after="120" w:line="36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10.1 合同经双方法定代表人或授权委托代理人签字并加盖单位公章后生效。</w:t>
      </w:r>
    </w:p>
    <w:p w14:paraId="40B0CB1D">
      <w:pPr>
        <w:pStyle w:val="14"/>
        <w:snapToGrid w:val="0"/>
        <w:spacing w:before="120" w:after="120" w:line="36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10.2合同执行中涉及采购资金和采购内容修改或补充的，须经财政部门审批，并签书面补充协议报政府采购监督管理部门备案，方可作为主合同不可分割的一部分。</w:t>
      </w:r>
    </w:p>
    <w:p w14:paraId="4BCF6F1E">
      <w:pPr>
        <w:pStyle w:val="14"/>
        <w:snapToGrid w:val="0"/>
        <w:spacing w:before="120" w:after="120" w:line="36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10.3本合同未尽事宜，遵照《民法典》有关条文、补充协议、投标承诺、响应文件、采购文件及补充执行。</w:t>
      </w:r>
    </w:p>
    <w:p w14:paraId="28DEF353">
      <w:pPr>
        <w:pStyle w:val="14"/>
        <w:snapToGrid w:val="0"/>
        <w:spacing w:before="120" w:after="120" w:line="36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10.4 本合同正本一式两份，甲乙双方各执一 份；副本</w:t>
      </w:r>
      <w:r>
        <w:rPr>
          <w:rFonts w:hint="eastAsia" w:cs="宋体"/>
          <w:b w:val="0"/>
          <w:bCs/>
          <w:color w:val="auto"/>
          <w:kern w:val="0"/>
          <w:sz w:val="21"/>
          <w:szCs w:val="21"/>
          <w:lang w:val="en-US" w:eastAsia="zh-CN" w:bidi="ar-SA"/>
        </w:rPr>
        <w:t>陆</w:t>
      </w:r>
      <w:r>
        <w:rPr>
          <w:rFonts w:hint="eastAsia" w:ascii="宋体" w:hAnsi="宋体" w:eastAsia="宋体" w:cs="宋体"/>
          <w:b w:val="0"/>
          <w:bCs/>
          <w:color w:val="auto"/>
          <w:kern w:val="0"/>
          <w:sz w:val="21"/>
          <w:szCs w:val="21"/>
          <w:lang w:val="en-US" w:eastAsia="zh-CN" w:bidi="ar-SA"/>
        </w:rPr>
        <w:t>份，甲乙双方各执</w:t>
      </w:r>
      <w:r>
        <w:rPr>
          <w:rFonts w:hint="eastAsia" w:cs="宋体"/>
          <w:b w:val="0"/>
          <w:bCs/>
          <w:color w:val="auto"/>
          <w:kern w:val="0"/>
          <w:sz w:val="21"/>
          <w:szCs w:val="21"/>
          <w:lang w:val="en-US" w:eastAsia="zh-CN" w:bidi="ar-SA"/>
        </w:rPr>
        <w:t>三</w:t>
      </w:r>
      <w:r>
        <w:rPr>
          <w:rFonts w:hint="eastAsia" w:ascii="宋体" w:hAnsi="宋体" w:eastAsia="宋体" w:cs="宋体"/>
          <w:b w:val="0"/>
          <w:bCs/>
          <w:color w:val="auto"/>
          <w:kern w:val="0"/>
          <w:sz w:val="21"/>
          <w:szCs w:val="21"/>
          <w:lang w:val="en-US" w:eastAsia="zh-CN" w:bidi="ar-SA"/>
        </w:rPr>
        <w:t xml:space="preserve"> 份。</w:t>
      </w:r>
    </w:p>
    <w:p w14:paraId="276A2552">
      <w:pPr>
        <w:pStyle w:val="14"/>
        <w:snapToGrid w:val="0"/>
        <w:spacing w:before="120" w:after="120" w:line="36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 xml:space="preserve">附1： </w:t>
      </w:r>
      <w:r>
        <w:rPr>
          <w:rFonts w:hint="eastAsia" w:ascii="宋体" w:hAnsi="宋体" w:eastAsia="宋体" w:cs="宋体"/>
          <w:color w:val="auto"/>
          <w:sz w:val="21"/>
          <w:szCs w:val="21"/>
          <w:highlight w:val="none"/>
          <w:lang w:val="en-US" w:eastAsia="zh-CN"/>
        </w:rPr>
        <w:t>餐饮监管考核细则</w:t>
      </w:r>
      <w:r>
        <w:rPr>
          <w:rFonts w:hint="eastAsia" w:ascii="宋体" w:hAnsi="宋体" w:eastAsia="宋体" w:cs="宋体"/>
          <w:b w:val="0"/>
          <w:bCs/>
          <w:color w:val="auto"/>
          <w:kern w:val="0"/>
          <w:sz w:val="21"/>
          <w:szCs w:val="21"/>
          <w:lang w:val="en-US" w:eastAsia="zh-CN" w:bidi="ar-SA"/>
        </w:rPr>
        <w:t>（包括</w:t>
      </w:r>
      <w:r>
        <w:rPr>
          <w:rFonts w:hint="eastAsia" w:cs="宋体"/>
          <w:b w:val="0"/>
          <w:bCs/>
          <w:color w:val="auto"/>
          <w:kern w:val="0"/>
          <w:sz w:val="21"/>
          <w:szCs w:val="21"/>
          <w:lang w:val="en-US" w:eastAsia="zh-CN" w:bidi="ar-SA"/>
        </w:rPr>
        <w:t>绩效奖惩细则、</w:t>
      </w:r>
      <w:r>
        <w:rPr>
          <w:rFonts w:hint="eastAsia" w:ascii="宋体" w:hAnsi="宋体" w:eastAsia="宋体" w:cs="宋体"/>
          <w:b w:val="0"/>
          <w:bCs/>
          <w:color w:val="auto"/>
          <w:kern w:val="0"/>
          <w:sz w:val="21"/>
          <w:szCs w:val="21"/>
          <w:lang w:val="en-US" w:eastAsia="zh-CN" w:bidi="ar-SA"/>
        </w:rPr>
        <w:t>考核办法）</w:t>
      </w:r>
    </w:p>
    <w:p w14:paraId="029A03E3">
      <w:pPr>
        <w:pStyle w:val="14"/>
        <w:snapToGrid w:val="0"/>
        <w:spacing w:before="120" w:after="120" w:line="360" w:lineRule="exact"/>
        <w:ind w:firstLine="420" w:firstLineChars="200"/>
        <w:rPr>
          <w:rFonts w:hint="default"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附2： 膳食管理小组季度监管检查表</w:t>
      </w:r>
    </w:p>
    <w:p w14:paraId="74553D09">
      <w:pPr>
        <w:pStyle w:val="14"/>
        <w:snapToGrid w:val="0"/>
        <w:spacing w:before="120" w:after="120" w:line="36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 xml:space="preserve">甲方（盖章）：                      </w:t>
      </w:r>
      <w:r>
        <w:rPr>
          <w:rFonts w:hint="eastAsia" w:ascii="宋体" w:hAnsi="宋体" w:eastAsia="宋体" w:cs="宋体"/>
          <w:b w:val="0"/>
          <w:bCs/>
          <w:color w:val="auto"/>
          <w:kern w:val="0"/>
          <w:sz w:val="21"/>
          <w:szCs w:val="21"/>
          <w:lang w:val="en-US" w:eastAsia="zh-CN" w:bidi="ar-SA"/>
        </w:rPr>
        <w:tab/>
      </w:r>
      <w:r>
        <w:rPr>
          <w:rFonts w:hint="eastAsia" w:ascii="宋体" w:hAnsi="宋体" w:eastAsia="宋体" w:cs="宋体"/>
          <w:b w:val="0"/>
          <w:bCs/>
          <w:color w:val="auto"/>
          <w:kern w:val="0"/>
          <w:sz w:val="21"/>
          <w:szCs w:val="21"/>
          <w:lang w:val="en-US" w:eastAsia="zh-CN" w:bidi="ar-SA"/>
        </w:rPr>
        <w:t xml:space="preserve">           乙方（盖章）：</w:t>
      </w:r>
    </w:p>
    <w:p w14:paraId="7EA28A23">
      <w:pPr>
        <w:pStyle w:val="14"/>
        <w:snapToGrid w:val="0"/>
        <w:spacing w:before="120" w:after="120" w:line="36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地址：</w:t>
      </w:r>
      <w:r>
        <w:rPr>
          <w:rFonts w:hint="eastAsia" w:ascii="宋体" w:hAnsi="宋体" w:eastAsia="宋体" w:cs="宋体"/>
          <w:b w:val="0"/>
          <w:bCs/>
          <w:color w:val="auto"/>
          <w:kern w:val="0"/>
          <w:sz w:val="21"/>
          <w:szCs w:val="21"/>
          <w:lang w:val="en-US" w:eastAsia="zh-CN" w:bidi="ar-SA"/>
        </w:rPr>
        <w:tab/>
      </w:r>
      <w:r>
        <w:rPr>
          <w:rFonts w:hint="eastAsia" w:ascii="宋体" w:hAnsi="宋体" w:eastAsia="宋体" w:cs="宋体"/>
          <w:b w:val="0"/>
          <w:bCs/>
          <w:color w:val="auto"/>
          <w:kern w:val="0"/>
          <w:sz w:val="21"/>
          <w:szCs w:val="21"/>
          <w:lang w:val="en-US" w:eastAsia="zh-CN" w:bidi="ar-SA"/>
        </w:rPr>
        <w:t xml:space="preserve">                                           地址：</w:t>
      </w:r>
    </w:p>
    <w:p w14:paraId="3DF3DC5A">
      <w:pPr>
        <w:pStyle w:val="14"/>
        <w:snapToGrid w:val="0"/>
        <w:spacing w:before="120" w:after="120" w:line="36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法定代表人：</w:t>
      </w:r>
      <w:r>
        <w:rPr>
          <w:rFonts w:hint="eastAsia" w:ascii="宋体" w:hAnsi="宋体" w:eastAsia="宋体" w:cs="宋体"/>
          <w:b w:val="0"/>
          <w:bCs/>
          <w:color w:val="auto"/>
          <w:kern w:val="0"/>
          <w:sz w:val="21"/>
          <w:szCs w:val="21"/>
          <w:lang w:val="en-US" w:eastAsia="zh-CN" w:bidi="ar-SA"/>
        </w:rPr>
        <w:tab/>
      </w:r>
      <w:r>
        <w:rPr>
          <w:rFonts w:hint="eastAsia" w:ascii="宋体" w:hAnsi="宋体" w:eastAsia="宋体" w:cs="宋体"/>
          <w:b w:val="0"/>
          <w:bCs/>
          <w:color w:val="auto"/>
          <w:kern w:val="0"/>
          <w:sz w:val="21"/>
          <w:szCs w:val="21"/>
          <w:lang w:val="en-US" w:eastAsia="zh-CN" w:bidi="ar-SA"/>
        </w:rPr>
        <w:t xml:space="preserve">                                   法定代表人：</w:t>
      </w:r>
    </w:p>
    <w:p w14:paraId="3F47E69B">
      <w:pPr>
        <w:pStyle w:val="14"/>
        <w:snapToGrid w:val="0"/>
        <w:spacing w:before="120" w:after="120" w:line="36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电话：</w:t>
      </w:r>
      <w:r>
        <w:rPr>
          <w:rFonts w:hint="eastAsia" w:ascii="宋体" w:hAnsi="宋体" w:eastAsia="宋体" w:cs="宋体"/>
          <w:b w:val="0"/>
          <w:bCs/>
          <w:color w:val="auto"/>
          <w:kern w:val="0"/>
          <w:sz w:val="21"/>
          <w:szCs w:val="21"/>
          <w:lang w:val="en-US" w:eastAsia="zh-CN" w:bidi="ar-SA"/>
        </w:rPr>
        <w:tab/>
      </w:r>
      <w:r>
        <w:rPr>
          <w:rFonts w:hint="eastAsia" w:ascii="宋体" w:hAnsi="宋体" w:eastAsia="宋体" w:cs="宋体"/>
          <w:b w:val="0"/>
          <w:bCs/>
          <w:color w:val="auto"/>
          <w:kern w:val="0"/>
          <w:sz w:val="21"/>
          <w:szCs w:val="21"/>
          <w:lang w:val="en-US" w:eastAsia="zh-CN" w:bidi="ar-SA"/>
        </w:rPr>
        <w:t xml:space="preserve">                                           电话：</w:t>
      </w:r>
    </w:p>
    <w:p w14:paraId="2C593DD2">
      <w:pPr>
        <w:pStyle w:val="14"/>
        <w:snapToGrid w:val="0"/>
        <w:spacing w:before="120" w:after="120" w:line="360" w:lineRule="exact"/>
        <w:ind w:firstLine="420" w:firstLineChars="200"/>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 xml:space="preserve">时间：    </w:t>
      </w:r>
      <w:r>
        <w:rPr>
          <w:rFonts w:hint="eastAsia" w:ascii="宋体" w:hAnsi="宋体" w:eastAsia="宋体" w:cs="宋体"/>
          <w:b w:val="0"/>
          <w:bCs/>
          <w:color w:val="auto"/>
          <w:kern w:val="0"/>
          <w:sz w:val="21"/>
          <w:szCs w:val="21"/>
          <w:lang w:val="en-US" w:eastAsia="zh-CN" w:bidi="ar-SA"/>
        </w:rPr>
        <w:tab/>
      </w:r>
      <w:r>
        <w:rPr>
          <w:rFonts w:hint="eastAsia" w:ascii="宋体" w:hAnsi="宋体" w:eastAsia="宋体" w:cs="宋体"/>
          <w:b w:val="0"/>
          <w:bCs/>
          <w:color w:val="auto"/>
          <w:kern w:val="0"/>
          <w:sz w:val="21"/>
          <w:szCs w:val="21"/>
          <w:lang w:val="en-US" w:eastAsia="zh-CN" w:bidi="ar-SA"/>
        </w:rPr>
        <w:t xml:space="preserve">                                       时间：</w:t>
      </w:r>
    </w:p>
    <w:p w14:paraId="45F27B72">
      <w:pPr>
        <w:pStyle w:val="14"/>
        <w:snapToGrid w:val="0"/>
        <w:spacing w:before="120" w:after="120" w:line="320" w:lineRule="exact"/>
        <w:rPr>
          <w:rFonts w:hint="eastAsia" w:ascii="宋体" w:hAnsi="宋体" w:eastAsia="宋体" w:cs="宋体"/>
          <w:color w:val="auto"/>
          <w:sz w:val="21"/>
          <w:szCs w:val="21"/>
          <w:highlight w:val="none"/>
        </w:rPr>
      </w:pPr>
      <w:r>
        <w:rPr>
          <w:rFonts w:hint="eastAsia" w:ascii="宋体" w:hAnsi="宋体" w:eastAsia="宋体" w:cs="宋体"/>
          <w:color w:val="auto"/>
          <w:highlight w:val="none"/>
        </w:rPr>
        <w:t xml:space="preserve">  </w:t>
      </w:r>
    </w:p>
    <w:p w14:paraId="0FC57E63">
      <w:pPr>
        <w:pStyle w:val="11"/>
        <w:keepNext w:val="0"/>
        <w:keepLines w:val="0"/>
        <w:pageBreakBefore w:val="0"/>
        <w:widowControl/>
        <w:kinsoku w:val="0"/>
        <w:wordWrap/>
        <w:overflowPunct w:val="0"/>
        <w:topLinePunct w:val="0"/>
        <w:bidi w:val="0"/>
        <w:adjustRightInd w:val="0"/>
        <w:spacing w:line="360" w:lineRule="auto"/>
        <w:jc w:val="left"/>
        <w:rPr>
          <w:rFonts w:hint="eastAsia" w:ascii="宋体" w:hAnsi="宋体" w:eastAsia="宋体" w:cs="宋体"/>
          <w:b/>
          <w:color w:val="auto"/>
          <w:highlight w:val="none"/>
        </w:rPr>
        <w:sectPr>
          <w:pgSz w:w="11906" w:h="16838"/>
          <w:pgMar w:top="1474" w:right="1797" w:bottom="1247" w:left="1797" w:header="851" w:footer="851" w:gutter="0"/>
          <w:pgNumType w:fmt="decimal"/>
          <w:cols w:space="720" w:num="1"/>
          <w:docGrid w:linePitch="312" w:charSpace="0"/>
        </w:sectPr>
      </w:pPr>
      <w:r>
        <w:rPr>
          <w:rFonts w:hint="eastAsia" w:ascii="宋体" w:hAnsi="宋体" w:eastAsia="宋体" w:cs="宋体"/>
          <w:color w:val="auto"/>
          <w:sz w:val="21"/>
          <w:szCs w:val="21"/>
          <w:highlight w:val="none"/>
        </w:rPr>
        <w:t>见证方：</w:t>
      </w:r>
      <w:r>
        <w:rPr>
          <w:rFonts w:hint="eastAsia" w:ascii="宋体" w:hAnsi="宋体" w:cs="宋体"/>
          <w:color w:val="auto"/>
          <w:sz w:val="21"/>
          <w:szCs w:val="21"/>
          <w:highlight w:val="none"/>
          <w:lang w:eastAsia="zh-CN"/>
        </w:rPr>
        <w:t>浙江信望工程咨询有限公司</w:t>
      </w:r>
    </w:p>
    <w:p w14:paraId="0910AAAE">
      <w:pPr>
        <w:snapToGrid w:val="0"/>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第七部分  应提交的有关格式范例</w:t>
      </w:r>
    </w:p>
    <w:p w14:paraId="72027A71">
      <w:pPr>
        <w:spacing w:line="500" w:lineRule="exact"/>
        <w:jc w:val="center"/>
        <w:rPr>
          <w:rFonts w:hint="eastAsia" w:hAnsi="宋体" w:cs="宋体"/>
          <w:b/>
          <w:color w:val="auto"/>
          <w:sz w:val="28"/>
          <w:szCs w:val="28"/>
        </w:rPr>
      </w:pPr>
    </w:p>
    <w:p w14:paraId="1FEEFFB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231AA579">
      <w:pPr>
        <w:spacing w:line="360" w:lineRule="auto"/>
        <w:ind w:firstLine="480" w:firstLineChars="200"/>
        <w:rPr>
          <w:rFonts w:cs="仿宋_GB2312" w:asciiTheme="minorEastAsia" w:hAnsiTheme="minorEastAsia" w:eastAsiaTheme="minorEastAsia"/>
          <w:color w:val="auto"/>
          <w:sz w:val="24"/>
          <w:highlight w:val="none"/>
        </w:rPr>
      </w:pPr>
    </w:p>
    <w:p w14:paraId="54F8047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3142A3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0BC2F12">
      <w:pPr>
        <w:spacing w:line="360" w:lineRule="auto"/>
        <w:jc w:val="center"/>
        <w:outlineLvl w:val="0"/>
        <w:rPr>
          <w:rFonts w:ascii="宋体" w:hAnsi="宋体" w:cs="宋体"/>
          <w:b/>
          <w:color w:val="auto"/>
          <w:kern w:val="0"/>
          <w:sz w:val="36"/>
          <w:szCs w:val="36"/>
          <w:highlight w:val="none"/>
        </w:rPr>
      </w:pPr>
    </w:p>
    <w:p w14:paraId="046B98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0681F5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8A042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D0BA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B86B228">
      <w:pPr>
        <w:pStyle w:val="7"/>
        <w:ind w:right="-420" w:rightChars="-200" w:firstLine="0" w:firstLineChars="0"/>
        <w:rPr>
          <w:rFonts w:hint="eastAsia"/>
          <w:b/>
          <w:color w:val="auto"/>
          <w:szCs w:val="21"/>
        </w:rPr>
      </w:pPr>
    </w:p>
    <w:p w14:paraId="4E785CF0">
      <w:pPr>
        <w:rPr>
          <w:rFonts w:hint="eastAsia"/>
          <w:b/>
          <w:color w:val="auto"/>
          <w:szCs w:val="21"/>
        </w:rPr>
      </w:pPr>
    </w:p>
    <w:p w14:paraId="764E1A7C">
      <w:pPr>
        <w:pStyle w:val="2"/>
        <w:rPr>
          <w:rFonts w:hint="eastAsia"/>
          <w:b/>
          <w:color w:val="auto"/>
          <w:szCs w:val="21"/>
        </w:rPr>
      </w:pPr>
    </w:p>
    <w:p w14:paraId="3A09A6BA">
      <w:pPr>
        <w:rPr>
          <w:rFonts w:hint="eastAsia"/>
          <w:b/>
          <w:color w:val="auto"/>
          <w:szCs w:val="21"/>
        </w:rPr>
      </w:pPr>
    </w:p>
    <w:p w14:paraId="7B43B883">
      <w:pPr>
        <w:pStyle w:val="2"/>
        <w:rPr>
          <w:rFonts w:hint="eastAsia"/>
          <w:b/>
          <w:color w:val="auto"/>
          <w:szCs w:val="21"/>
        </w:rPr>
      </w:pPr>
    </w:p>
    <w:p w14:paraId="67EFE87F">
      <w:pPr>
        <w:rPr>
          <w:rFonts w:hint="eastAsia"/>
          <w:b/>
          <w:color w:val="auto"/>
          <w:szCs w:val="21"/>
        </w:rPr>
      </w:pPr>
    </w:p>
    <w:p w14:paraId="381023FE">
      <w:pPr>
        <w:pStyle w:val="2"/>
        <w:rPr>
          <w:rFonts w:hint="eastAsia"/>
          <w:b/>
          <w:color w:val="auto"/>
          <w:szCs w:val="21"/>
        </w:rPr>
      </w:pPr>
    </w:p>
    <w:p w14:paraId="26992627">
      <w:pPr>
        <w:rPr>
          <w:rFonts w:hint="eastAsia"/>
          <w:b/>
          <w:color w:val="auto"/>
          <w:szCs w:val="21"/>
        </w:rPr>
      </w:pPr>
    </w:p>
    <w:p w14:paraId="13241CE2">
      <w:pPr>
        <w:pStyle w:val="2"/>
        <w:rPr>
          <w:rFonts w:hint="eastAsia"/>
          <w:b/>
          <w:color w:val="auto"/>
          <w:szCs w:val="21"/>
        </w:rPr>
      </w:pPr>
    </w:p>
    <w:p w14:paraId="40D6F8AE">
      <w:pPr>
        <w:rPr>
          <w:rFonts w:hint="eastAsia"/>
          <w:b/>
          <w:color w:val="auto"/>
          <w:szCs w:val="21"/>
        </w:rPr>
      </w:pPr>
    </w:p>
    <w:p w14:paraId="4E05D53A">
      <w:pPr>
        <w:pStyle w:val="2"/>
        <w:rPr>
          <w:rFonts w:hint="eastAsia"/>
          <w:b/>
          <w:color w:val="auto"/>
          <w:szCs w:val="21"/>
        </w:rPr>
      </w:pPr>
    </w:p>
    <w:p w14:paraId="7043153C">
      <w:pPr>
        <w:rPr>
          <w:rFonts w:hint="eastAsia"/>
          <w:b/>
          <w:color w:val="auto"/>
          <w:szCs w:val="21"/>
        </w:rPr>
      </w:pPr>
    </w:p>
    <w:p w14:paraId="4282B836">
      <w:pPr>
        <w:pStyle w:val="2"/>
        <w:rPr>
          <w:rFonts w:hint="eastAsia"/>
        </w:rPr>
      </w:pPr>
    </w:p>
    <w:p w14:paraId="2C019CAA">
      <w:pPr>
        <w:pStyle w:val="7"/>
        <w:ind w:right="-420" w:rightChars="-200" w:firstLine="0" w:firstLineChars="0"/>
        <w:rPr>
          <w:rFonts w:hint="eastAsia"/>
          <w:b/>
          <w:color w:val="auto"/>
          <w:szCs w:val="21"/>
        </w:rPr>
      </w:pPr>
    </w:p>
    <w:p w14:paraId="16C3EB5B">
      <w:pPr>
        <w:pStyle w:val="7"/>
        <w:ind w:right="-420" w:rightChars="-200" w:firstLine="0" w:firstLineChars="0"/>
        <w:rPr>
          <w:rFonts w:hint="eastAsia"/>
          <w:b/>
          <w:color w:val="auto"/>
          <w:szCs w:val="21"/>
        </w:rPr>
      </w:pPr>
    </w:p>
    <w:p w14:paraId="11E0E39E">
      <w:pPr>
        <w:pStyle w:val="7"/>
        <w:ind w:right="-420" w:rightChars="-200" w:firstLine="0" w:firstLineChars="0"/>
        <w:rPr>
          <w:rFonts w:hint="eastAsia"/>
          <w:b/>
          <w:color w:val="auto"/>
          <w:szCs w:val="21"/>
        </w:rPr>
      </w:pPr>
    </w:p>
    <w:p w14:paraId="484DA083">
      <w:pPr>
        <w:pStyle w:val="7"/>
        <w:ind w:right="-420" w:rightChars="-200" w:firstLine="0" w:firstLineChars="0"/>
        <w:rPr>
          <w:rFonts w:hint="eastAsia"/>
          <w:b/>
          <w:color w:val="auto"/>
          <w:sz w:val="28"/>
          <w:szCs w:val="28"/>
        </w:rPr>
      </w:pPr>
    </w:p>
    <w:p w14:paraId="6B26B1A4">
      <w:pPr>
        <w:pStyle w:val="7"/>
        <w:ind w:right="-420" w:rightChars="-200" w:firstLine="0" w:firstLineChars="0"/>
        <w:rPr>
          <w:rFonts w:hint="eastAsia"/>
          <w:b/>
          <w:color w:val="auto"/>
          <w:sz w:val="28"/>
          <w:szCs w:val="28"/>
        </w:rPr>
      </w:pPr>
    </w:p>
    <w:p w14:paraId="3EE25F4E">
      <w:pPr>
        <w:pStyle w:val="7"/>
        <w:ind w:right="-420" w:rightChars="-200" w:firstLine="0" w:firstLineChars="0"/>
        <w:rPr>
          <w:rFonts w:hint="eastAsia"/>
          <w:b/>
          <w:color w:val="auto"/>
          <w:sz w:val="28"/>
          <w:szCs w:val="28"/>
        </w:rPr>
      </w:pPr>
    </w:p>
    <w:p w14:paraId="67DD8F01">
      <w:pPr>
        <w:pStyle w:val="7"/>
        <w:ind w:right="-420" w:rightChars="-200" w:firstLine="0" w:firstLineChars="0"/>
        <w:rPr>
          <w:rFonts w:hint="eastAsia"/>
          <w:b/>
          <w:color w:val="auto"/>
          <w:sz w:val="28"/>
          <w:szCs w:val="28"/>
        </w:rPr>
      </w:pPr>
    </w:p>
    <w:p w14:paraId="6CA970DD">
      <w:pPr>
        <w:pStyle w:val="7"/>
        <w:ind w:right="-420" w:rightChars="-200" w:firstLine="0" w:firstLineChars="0"/>
        <w:rPr>
          <w:rFonts w:hint="eastAsia"/>
          <w:b/>
          <w:color w:val="auto"/>
          <w:sz w:val="28"/>
          <w:szCs w:val="28"/>
        </w:rPr>
      </w:pPr>
    </w:p>
    <w:p w14:paraId="29BE43A2">
      <w:pPr>
        <w:pStyle w:val="7"/>
        <w:ind w:right="-420" w:rightChars="-200" w:firstLine="0" w:firstLineChars="0"/>
        <w:rPr>
          <w:rFonts w:hint="eastAsia" w:hAnsi="宋体" w:cs="宋体"/>
          <w:b/>
          <w:color w:val="auto"/>
          <w:sz w:val="24"/>
        </w:rPr>
      </w:pPr>
    </w:p>
    <w:p w14:paraId="5FD9745B">
      <w:pPr>
        <w:pStyle w:val="7"/>
        <w:ind w:right="-420" w:rightChars="-200" w:firstLine="0" w:firstLineChars="0"/>
        <w:rPr>
          <w:rFonts w:hint="eastAsia" w:hAnsi="宋体" w:cs="宋体"/>
          <w:b/>
          <w:color w:val="auto"/>
          <w:sz w:val="24"/>
        </w:rPr>
      </w:pPr>
    </w:p>
    <w:p w14:paraId="467362CD">
      <w:pPr>
        <w:rPr>
          <w:rFonts w:hint="eastAsia" w:hAnsi="宋体" w:cs="宋体"/>
          <w:b/>
          <w:color w:val="auto"/>
          <w:sz w:val="24"/>
        </w:rPr>
      </w:pPr>
    </w:p>
    <w:p w14:paraId="7E5C3D73">
      <w:pPr>
        <w:pStyle w:val="11"/>
        <w:rPr>
          <w:rFonts w:hint="eastAsia"/>
        </w:rPr>
      </w:pPr>
    </w:p>
    <w:p w14:paraId="2B34B614">
      <w:pPr>
        <w:pStyle w:val="7"/>
        <w:ind w:right="-420" w:rightChars="-200" w:firstLine="0" w:firstLineChars="0"/>
        <w:rPr>
          <w:rFonts w:hint="eastAsia" w:hAnsi="宋体" w:cs="宋体"/>
          <w:b/>
          <w:color w:val="auto"/>
          <w:sz w:val="24"/>
        </w:rPr>
      </w:pPr>
    </w:p>
    <w:p w14:paraId="5080240B">
      <w:pPr>
        <w:pStyle w:val="7"/>
        <w:ind w:right="-420" w:rightChars="-200" w:firstLine="0" w:firstLineChars="0"/>
        <w:rPr>
          <w:rFonts w:hint="eastAsia"/>
          <w:b/>
          <w:color w:val="auto"/>
          <w:sz w:val="28"/>
          <w:szCs w:val="28"/>
        </w:rPr>
      </w:pPr>
    </w:p>
    <w:p w14:paraId="560B389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 符合参加政府采购活动应当具备的一般条件的承诺函</w:t>
      </w:r>
    </w:p>
    <w:p w14:paraId="47D18C0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zh-CN" w:eastAsia="zh-CN"/>
        </w:rPr>
        <w:t>宁海县梅林街道社区卫生服务中心（宁海县第一医院医疗健康集团北部医院）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浙江信望工程咨询有限公司</w:t>
      </w:r>
      <w:r>
        <w:rPr>
          <w:rFonts w:hint="eastAsia" w:ascii="宋体" w:hAnsi="宋体" w:cs="宋体"/>
          <w:color w:val="auto"/>
          <w:sz w:val="24"/>
          <w:highlight w:val="none"/>
        </w:rPr>
        <w:t>：</w:t>
      </w:r>
    </w:p>
    <w:p w14:paraId="6B6A4A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宁海县第一医院医疗健康集团北部医院食堂管理外包服务项目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浙信基招【202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】第NH001号</w:t>
      </w:r>
      <w:r>
        <w:rPr>
          <w:rFonts w:hint="eastAsia" w:ascii="宋体" w:hAnsi="宋体" w:cs="宋体"/>
          <w:color w:val="auto"/>
          <w:sz w:val="24"/>
          <w:highlight w:val="none"/>
        </w:rPr>
        <w:t>】政府采购活动，郑重承诺：</w:t>
      </w:r>
    </w:p>
    <w:p w14:paraId="3569259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2D8A7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86CAD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F2E4F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1584A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E1824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B517C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2473B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3B2C7D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5BED4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78EB2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7288C1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52C1CF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D59F235">
      <w:pPr>
        <w:snapToGrid w:val="0"/>
        <w:spacing w:line="360" w:lineRule="auto"/>
        <w:ind w:right="480"/>
        <w:jc w:val="center"/>
        <w:rPr>
          <w:rFonts w:ascii="宋体" w:hAnsi="宋体" w:cs="宋体"/>
          <w:b/>
          <w:color w:val="auto"/>
          <w:kern w:val="0"/>
          <w:sz w:val="32"/>
          <w:szCs w:val="32"/>
          <w:highlight w:val="none"/>
        </w:rPr>
      </w:pPr>
    </w:p>
    <w:p w14:paraId="609F45C4">
      <w:pPr>
        <w:snapToGrid w:val="0"/>
        <w:spacing w:line="360" w:lineRule="auto"/>
        <w:ind w:right="480"/>
        <w:jc w:val="center"/>
        <w:rPr>
          <w:rFonts w:ascii="宋体" w:hAnsi="宋体" w:cs="宋体"/>
          <w:b/>
          <w:color w:val="auto"/>
          <w:kern w:val="0"/>
          <w:sz w:val="32"/>
          <w:szCs w:val="32"/>
          <w:highlight w:val="none"/>
        </w:rPr>
      </w:pPr>
    </w:p>
    <w:p w14:paraId="79883E02">
      <w:pPr>
        <w:snapToGrid w:val="0"/>
        <w:spacing w:line="360" w:lineRule="auto"/>
        <w:ind w:right="480"/>
        <w:jc w:val="center"/>
        <w:rPr>
          <w:rFonts w:ascii="宋体" w:hAnsi="宋体" w:cs="宋体"/>
          <w:b/>
          <w:color w:val="auto"/>
          <w:kern w:val="0"/>
          <w:sz w:val="32"/>
          <w:szCs w:val="32"/>
          <w:highlight w:val="none"/>
        </w:rPr>
      </w:pPr>
    </w:p>
    <w:p w14:paraId="2FBE480E">
      <w:pPr>
        <w:rPr>
          <w:rFonts w:ascii="宋体" w:hAnsi="宋体" w:cs="宋体"/>
          <w:color w:val="auto"/>
          <w:highlight w:val="none"/>
        </w:rPr>
      </w:pPr>
    </w:p>
    <w:p w14:paraId="22E8BA99">
      <w:pPr>
        <w:snapToGrid w:val="0"/>
        <w:spacing w:line="360" w:lineRule="auto"/>
        <w:ind w:right="480"/>
        <w:jc w:val="center"/>
        <w:rPr>
          <w:rFonts w:ascii="宋体" w:hAnsi="宋体" w:cs="宋体"/>
          <w:b/>
          <w:color w:val="auto"/>
          <w:kern w:val="0"/>
          <w:sz w:val="32"/>
          <w:szCs w:val="32"/>
          <w:highlight w:val="none"/>
        </w:rPr>
      </w:pPr>
    </w:p>
    <w:p w14:paraId="48341320">
      <w:pPr>
        <w:snapToGrid w:val="0"/>
        <w:spacing w:line="360" w:lineRule="auto"/>
        <w:ind w:right="480"/>
        <w:jc w:val="center"/>
        <w:rPr>
          <w:rFonts w:ascii="宋体" w:hAnsi="宋体" w:cs="宋体"/>
          <w:b/>
          <w:color w:val="auto"/>
          <w:kern w:val="0"/>
          <w:sz w:val="32"/>
          <w:szCs w:val="32"/>
          <w:highlight w:val="none"/>
        </w:rPr>
      </w:pPr>
    </w:p>
    <w:p w14:paraId="18B05916">
      <w:pPr>
        <w:snapToGrid w:val="0"/>
        <w:spacing w:line="360" w:lineRule="auto"/>
        <w:ind w:right="480"/>
        <w:jc w:val="center"/>
        <w:rPr>
          <w:rFonts w:ascii="宋体" w:hAnsi="宋体" w:cs="宋体"/>
          <w:b/>
          <w:color w:val="auto"/>
          <w:kern w:val="0"/>
          <w:sz w:val="32"/>
          <w:szCs w:val="32"/>
          <w:highlight w:val="none"/>
        </w:rPr>
      </w:pPr>
    </w:p>
    <w:p w14:paraId="5C5D25D6">
      <w:pPr>
        <w:widowControl/>
        <w:adjustRightInd/>
        <w:spacing w:line="240" w:lineRule="auto"/>
        <w:ind w:firstLine="0" w:firstLineChars="0"/>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12DC57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FAAEDD8">
      <w:pPr>
        <w:snapToGrid w:val="0"/>
        <w:spacing w:line="360" w:lineRule="auto"/>
        <w:ind w:right="480"/>
        <w:jc w:val="center"/>
        <w:rPr>
          <w:rFonts w:hint="eastAsia" w:ascii="宋体" w:hAnsi="宋体" w:cs="宋体"/>
          <w:b/>
          <w:color w:val="auto"/>
          <w:kern w:val="0"/>
          <w:sz w:val="32"/>
          <w:szCs w:val="32"/>
          <w:highlight w:val="none"/>
        </w:rPr>
      </w:pPr>
    </w:p>
    <w:p w14:paraId="361DBF47">
      <w:pPr>
        <w:snapToGrid/>
        <w:spacing w:line="240" w:lineRule="auto"/>
        <w:ind w:right="0"/>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D2C04EB">
      <w:pPr>
        <w:pStyle w:val="3"/>
        <w:tabs>
          <w:tab w:val="left" w:pos="432"/>
        </w:tabs>
        <w:rPr>
          <w:color w:val="auto"/>
          <w:highlight w:val="none"/>
        </w:rPr>
      </w:pPr>
    </w:p>
    <w:p w14:paraId="790AF80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2F960A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BB1357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9E15D9A">
      <w:pPr>
        <w:widowControl/>
        <w:spacing w:line="360" w:lineRule="auto"/>
        <w:ind w:firstLine="480"/>
        <w:jc w:val="left"/>
        <w:rPr>
          <w:rFonts w:ascii="宋体" w:hAnsi="宋体" w:cs="宋体"/>
          <w:color w:val="auto"/>
          <w:sz w:val="24"/>
          <w:highlight w:val="none"/>
        </w:rPr>
      </w:pPr>
    </w:p>
    <w:p w14:paraId="117618B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863AFD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90ACB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5F2ADDF">
      <w:pPr>
        <w:widowControl/>
        <w:spacing w:line="360" w:lineRule="auto"/>
        <w:ind w:left="150"/>
        <w:jc w:val="center"/>
        <w:rPr>
          <w:rFonts w:ascii="宋体" w:hAnsi="宋体" w:cs="宋体"/>
          <w:b/>
          <w:color w:val="auto"/>
          <w:kern w:val="0"/>
          <w:sz w:val="32"/>
          <w:szCs w:val="32"/>
          <w:highlight w:val="none"/>
        </w:rPr>
      </w:pPr>
    </w:p>
    <w:p w14:paraId="16C746A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0DF79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67EE0AE">
      <w:pPr>
        <w:rPr>
          <w:rFonts w:ascii="宋体" w:hAnsi="宋体" w:cs="宋体"/>
          <w:color w:val="auto"/>
          <w:highlight w:val="none"/>
        </w:rPr>
      </w:pPr>
    </w:p>
    <w:p w14:paraId="3C57CED0">
      <w:pPr>
        <w:snapToGrid w:val="0"/>
        <w:spacing w:line="360" w:lineRule="auto"/>
        <w:ind w:right="480"/>
        <w:jc w:val="center"/>
        <w:rPr>
          <w:rFonts w:ascii="宋体" w:hAnsi="宋体" w:cs="宋体"/>
          <w:b/>
          <w:color w:val="auto"/>
          <w:kern w:val="0"/>
          <w:sz w:val="32"/>
          <w:szCs w:val="32"/>
          <w:highlight w:val="none"/>
        </w:rPr>
      </w:pPr>
    </w:p>
    <w:p w14:paraId="763E41BC">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151C05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EDD77BB">
      <w:pPr>
        <w:spacing w:line="360" w:lineRule="auto"/>
        <w:jc w:val="center"/>
        <w:outlineLvl w:val="0"/>
        <w:rPr>
          <w:rFonts w:ascii="宋体" w:hAnsi="宋体" w:cs="宋体"/>
          <w:b/>
          <w:color w:val="auto"/>
          <w:kern w:val="0"/>
          <w:sz w:val="24"/>
          <w:highlight w:val="none"/>
        </w:rPr>
      </w:pPr>
    </w:p>
    <w:p w14:paraId="66F2742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7A7116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9FB158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EFE201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CC704E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E2F7C5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BA15984">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66A5CB4">
      <w:pPr>
        <w:pStyle w:val="2"/>
        <w:rPr>
          <w:rFonts w:hint="eastAsia" w:cs="仿宋_GB2312" w:asciiTheme="minorEastAsia" w:hAnsiTheme="minorEastAsia" w:eastAsiaTheme="minorEastAsia"/>
          <w:b/>
          <w:color w:val="auto"/>
          <w:kern w:val="0"/>
          <w:sz w:val="32"/>
          <w:szCs w:val="32"/>
          <w:highlight w:val="none"/>
          <w:lang w:val="zh-CN"/>
        </w:rPr>
      </w:pPr>
    </w:p>
    <w:p w14:paraId="480D336C">
      <w:pPr>
        <w:rPr>
          <w:rFonts w:hint="eastAsia" w:cs="仿宋_GB2312" w:asciiTheme="minorEastAsia" w:hAnsiTheme="minorEastAsia" w:eastAsiaTheme="minorEastAsia"/>
          <w:b/>
          <w:color w:val="auto"/>
          <w:kern w:val="0"/>
          <w:sz w:val="32"/>
          <w:szCs w:val="32"/>
          <w:highlight w:val="none"/>
          <w:lang w:val="zh-CN"/>
        </w:rPr>
      </w:pPr>
    </w:p>
    <w:p w14:paraId="76285E33">
      <w:pPr>
        <w:pStyle w:val="2"/>
        <w:rPr>
          <w:rFonts w:hint="eastAsia" w:cs="仿宋_GB2312" w:asciiTheme="minorEastAsia" w:hAnsiTheme="minorEastAsia" w:eastAsiaTheme="minorEastAsia"/>
          <w:b/>
          <w:color w:val="auto"/>
          <w:kern w:val="0"/>
          <w:sz w:val="32"/>
          <w:szCs w:val="32"/>
          <w:highlight w:val="none"/>
          <w:lang w:val="zh-CN"/>
        </w:rPr>
      </w:pPr>
    </w:p>
    <w:p w14:paraId="14673523">
      <w:pPr>
        <w:rPr>
          <w:rFonts w:hint="eastAsia" w:cs="仿宋_GB2312" w:asciiTheme="minorEastAsia" w:hAnsiTheme="minorEastAsia" w:eastAsiaTheme="minorEastAsia"/>
          <w:b/>
          <w:color w:val="auto"/>
          <w:kern w:val="0"/>
          <w:sz w:val="32"/>
          <w:szCs w:val="32"/>
          <w:highlight w:val="none"/>
          <w:lang w:val="zh-CN"/>
        </w:rPr>
      </w:pPr>
    </w:p>
    <w:p w14:paraId="32F7C1E1">
      <w:pPr>
        <w:pStyle w:val="2"/>
        <w:rPr>
          <w:rFonts w:hint="eastAsia" w:cs="仿宋_GB2312" w:asciiTheme="minorEastAsia" w:hAnsiTheme="minorEastAsia" w:eastAsiaTheme="minorEastAsia"/>
          <w:b/>
          <w:color w:val="auto"/>
          <w:kern w:val="0"/>
          <w:sz w:val="32"/>
          <w:szCs w:val="32"/>
          <w:highlight w:val="none"/>
          <w:lang w:val="zh-CN"/>
        </w:rPr>
      </w:pPr>
    </w:p>
    <w:p w14:paraId="61BF70C8">
      <w:pPr>
        <w:rPr>
          <w:rFonts w:hint="eastAsia" w:cs="仿宋_GB2312" w:asciiTheme="minorEastAsia" w:hAnsiTheme="minorEastAsia" w:eastAsiaTheme="minorEastAsia"/>
          <w:b/>
          <w:color w:val="auto"/>
          <w:kern w:val="0"/>
          <w:sz w:val="32"/>
          <w:szCs w:val="32"/>
          <w:highlight w:val="none"/>
          <w:lang w:val="zh-CN"/>
        </w:rPr>
      </w:pPr>
    </w:p>
    <w:p w14:paraId="4FD4684F">
      <w:pPr>
        <w:pStyle w:val="2"/>
        <w:rPr>
          <w:rFonts w:hint="eastAsia" w:cs="仿宋_GB2312" w:asciiTheme="minorEastAsia" w:hAnsiTheme="minorEastAsia" w:eastAsiaTheme="minorEastAsia"/>
          <w:b/>
          <w:color w:val="auto"/>
          <w:kern w:val="0"/>
          <w:sz w:val="32"/>
          <w:szCs w:val="32"/>
          <w:highlight w:val="none"/>
          <w:lang w:val="zh-CN"/>
        </w:rPr>
      </w:pPr>
    </w:p>
    <w:p w14:paraId="25978511">
      <w:pPr>
        <w:rPr>
          <w:rFonts w:hint="eastAsia" w:cs="仿宋_GB2312" w:asciiTheme="minorEastAsia" w:hAnsiTheme="minorEastAsia" w:eastAsiaTheme="minorEastAsia"/>
          <w:b/>
          <w:color w:val="auto"/>
          <w:kern w:val="0"/>
          <w:sz w:val="32"/>
          <w:szCs w:val="32"/>
          <w:highlight w:val="none"/>
          <w:lang w:val="zh-CN"/>
        </w:rPr>
      </w:pPr>
    </w:p>
    <w:p w14:paraId="483EE81E">
      <w:pPr>
        <w:pStyle w:val="2"/>
        <w:rPr>
          <w:rFonts w:hint="eastAsia" w:cs="仿宋_GB2312" w:asciiTheme="minorEastAsia" w:hAnsiTheme="minorEastAsia" w:eastAsiaTheme="minorEastAsia"/>
          <w:b/>
          <w:color w:val="auto"/>
          <w:kern w:val="0"/>
          <w:sz w:val="32"/>
          <w:szCs w:val="32"/>
          <w:highlight w:val="none"/>
          <w:lang w:val="zh-CN"/>
        </w:rPr>
      </w:pPr>
    </w:p>
    <w:p w14:paraId="11728069">
      <w:pPr>
        <w:rPr>
          <w:rFonts w:hint="eastAsia" w:cs="仿宋_GB2312" w:asciiTheme="minorEastAsia" w:hAnsiTheme="minorEastAsia" w:eastAsiaTheme="minorEastAsia"/>
          <w:b/>
          <w:color w:val="auto"/>
          <w:kern w:val="0"/>
          <w:sz w:val="32"/>
          <w:szCs w:val="32"/>
          <w:highlight w:val="none"/>
          <w:lang w:val="zh-CN"/>
        </w:rPr>
      </w:pPr>
    </w:p>
    <w:p w14:paraId="1E384E5E">
      <w:pPr>
        <w:pStyle w:val="2"/>
        <w:rPr>
          <w:rFonts w:hint="eastAsia" w:cs="仿宋_GB2312" w:asciiTheme="minorEastAsia" w:hAnsiTheme="minorEastAsia" w:eastAsiaTheme="minorEastAsia"/>
          <w:b/>
          <w:color w:val="auto"/>
          <w:kern w:val="0"/>
          <w:sz w:val="32"/>
          <w:szCs w:val="32"/>
          <w:highlight w:val="none"/>
          <w:lang w:val="zh-CN"/>
        </w:rPr>
      </w:pPr>
    </w:p>
    <w:p w14:paraId="6DE4F745">
      <w:pPr>
        <w:rPr>
          <w:rFonts w:hint="eastAsia" w:cs="仿宋_GB2312" w:asciiTheme="minorEastAsia" w:hAnsiTheme="minorEastAsia" w:eastAsiaTheme="minorEastAsia"/>
          <w:b/>
          <w:color w:val="auto"/>
          <w:kern w:val="0"/>
          <w:sz w:val="32"/>
          <w:szCs w:val="32"/>
          <w:highlight w:val="none"/>
          <w:lang w:val="zh-CN"/>
        </w:rPr>
      </w:pPr>
    </w:p>
    <w:p w14:paraId="483D1A77">
      <w:pPr>
        <w:pStyle w:val="2"/>
        <w:rPr>
          <w:rFonts w:hint="eastAsia" w:cs="仿宋_GB2312" w:asciiTheme="minorEastAsia" w:hAnsiTheme="minorEastAsia" w:eastAsiaTheme="minorEastAsia"/>
          <w:b/>
          <w:color w:val="auto"/>
          <w:kern w:val="0"/>
          <w:sz w:val="32"/>
          <w:szCs w:val="32"/>
          <w:highlight w:val="none"/>
          <w:lang w:val="zh-CN"/>
        </w:rPr>
      </w:pPr>
    </w:p>
    <w:p w14:paraId="7D4DC1B5">
      <w:pPr>
        <w:rPr>
          <w:rFonts w:hint="eastAsia" w:cs="仿宋_GB2312" w:asciiTheme="minorEastAsia" w:hAnsiTheme="minorEastAsia" w:eastAsiaTheme="minorEastAsia"/>
          <w:b/>
          <w:color w:val="auto"/>
          <w:kern w:val="0"/>
          <w:sz w:val="32"/>
          <w:szCs w:val="32"/>
          <w:highlight w:val="none"/>
          <w:lang w:val="zh-CN"/>
        </w:rPr>
      </w:pPr>
    </w:p>
    <w:p w14:paraId="2AA93E79">
      <w:pPr>
        <w:pStyle w:val="2"/>
        <w:rPr>
          <w:rFonts w:hint="eastAsia" w:cs="仿宋_GB2312" w:asciiTheme="minorEastAsia" w:hAnsiTheme="minorEastAsia" w:eastAsiaTheme="minorEastAsia"/>
          <w:b/>
          <w:color w:val="auto"/>
          <w:kern w:val="0"/>
          <w:sz w:val="32"/>
          <w:szCs w:val="32"/>
          <w:highlight w:val="none"/>
          <w:lang w:val="zh-CN"/>
        </w:rPr>
      </w:pPr>
    </w:p>
    <w:p w14:paraId="473496EF">
      <w:pPr>
        <w:rPr>
          <w:rFonts w:hint="eastAsia" w:cs="仿宋_GB2312" w:asciiTheme="minorEastAsia" w:hAnsiTheme="minorEastAsia" w:eastAsiaTheme="minorEastAsia"/>
          <w:b/>
          <w:color w:val="auto"/>
          <w:kern w:val="0"/>
          <w:sz w:val="32"/>
          <w:szCs w:val="32"/>
          <w:highlight w:val="none"/>
          <w:lang w:val="zh-CN"/>
        </w:rPr>
      </w:pPr>
    </w:p>
    <w:p w14:paraId="089BA85F">
      <w:pPr>
        <w:pStyle w:val="2"/>
        <w:rPr>
          <w:rFonts w:hint="eastAsia" w:cs="仿宋_GB2312" w:asciiTheme="minorEastAsia" w:hAnsiTheme="minorEastAsia" w:eastAsiaTheme="minorEastAsia"/>
          <w:b/>
          <w:color w:val="auto"/>
          <w:kern w:val="0"/>
          <w:sz w:val="32"/>
          <w:szCs w:val="32"/>
          <w:highlight w:val="none"/>
          <w:lang w:val="zh-CN"/>
        </w:rPr>
      </w:pPr>
    </w:p>
    <w:p w14:paraId="740F9B82">
      <w:pPr>
        <w:rPr>
          <w:rFonts w:hint="eastAsia" w:cs="仿宋_GB2312" w:asciiTheme="minorEastAsia" w:hAnsiTheme="minorEastAsia" w:eastAsiaTheme="minorEastAsia"/>
          <w:b/>
          <w:color w:val="auto"/>
          <w:kern w:val="0"/>
          <w:sz w:val="32"/>
          <w:szCs w:val="32"/>
          <w:highlight w:val="none"/>
          <w:lang w:val="zh-CN"/>
        </w:rPr>
      </w:pPr>
    </w:p>
    <w:p w14:paraId="62D0776D">
      <w:pPr>
        <w:pStyle w:val="2"/>
        <w:rPr>
          <w:rFonts w:hint="eastAsia"/>
          <w:lang w:val="zh-CN"/>
        </w:rPr>
      </w:pPr>
    </w:p>
    <w:p w14:paraId="37AB82A1">
      <w:pPr>
        <w:pStyle w:val="2"/>
        <w:jc w:val="both"/>
        <w:rPr>
          <w:rFonts w:hint="eastAsia"/>
          <w:lang w:val="zh-CN"/>
        </w:rPr>
      </w:pPr>
    </w:p>
    <w:p w14:paraId="082AEF6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C090E5F">
      <w:pPr>
        <w:keepNext w:val="0"/>
        <w:keepLines w:val="0"/>
        <w:pageBreakBefore w:val="0"/>
        <w:widowControl w:val="0"/>
        <w:kinsoku/>
        <w:wordWrap/>
        <w:overflowPunct/>
        <w:topLinePunct w:val="0"/>
        <w:autoSpaceDE/>
        <w:autoSpaceDN/>
        <w:bidi w:val="0"/>
        <w:snapToGrid w:val="0"/>
        <w:spacing w:line="312"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zh-CN" w:eastAsia="zh-CN"/>
        </w:rPr>
        <w:t>宁海县梅林街道社区卫生服务中心（宁海县第一医院医疗健康集团北部医院）</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浙江信望工程咨询有限公司</w:t>
      </w:r>
      <w:r>
        <w:rPr>
          <w:rFonts w:hint="eastAsia" w:ascii="宋体" w:hAnsi="宋体" w:cs="宋体"/>
          <w:color w:val="auto"/>
          <w:sz w:val="21"/>
          <w:szCs w:val="21"/>
          <w:highlight w:val="none"/>
        </w:rPr>
        <w:t>：</w:t>
      </w:r>
    </w:p>
    <w:p w14:paraId="504EA8FD">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宁海县第一医院医疗健康集团北部医院食堂管理外包服务项目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浙信基招【2025】第NH001号</w:t>
      </w:r>
      <w:r>
        <w:rPr>
          <w:rFonts w:hint="eastAsia" w:ascii="宋体" w:hAnsi="宋体" w:cs="宋体"/>
          <w:color w:val="auto"/>
          <w:sz w:val="21"/>
          <w:szCs w:val="21"/>
          <w:highlight w:val="none"/>
        </w:rPr>
        <w:t>】招标的有关活动，并对此项目进行投标。为此：</w:t>
      </w:r>
    </w:p>
    <w:p w14:paraId="4922FA61">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14:paraId="10E64942">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14:paraId="190B058B">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1A22B025">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3A43D159">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w:t>
      </w:r>
      <w:bookmarkStart w:id="19" w:name="_Hlk101257010"/>
      <w:r>
        <w:rPr>
          <w:rFonts w:hint="eastAsia" w:ascii="宋体" w:hAnsi="宋体" w:cs="宋体"/>
          <w:color w:val="auto"/>
          <w:sz w:val="21"/>
          <w:szCs w:val="21"/>
          <w:highlight w:val="none"/>
        </w:rPr>
        <w:t>（如果有)</w:t>
      </w:r>
      <w:bookmarkEnd w:id="19"/>
      <w:r>
        <w:rPr>
          <w:rFonts w:hint="eastAsia" w:ascii="宋体" w:hAnsi="宋体" w:cs="宋体"/>
          <w:snapToGrid w:val="0"/>
          <w:color w:val="auto"/>
          <w:kern w:val="28"/>
          <w:sz w:val="21"/>
          <w:szCs w:val="21"/>
          <w:highlight w:val="none"/>
        </w:rPr>
        <w:t>；</w:t>
      </w:r>
    </w:p>
    <w:p w14:paraId="6904C4A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.1.3</w:t>
      </w:r>
      <w:r>
        <w:rPr>
          <w:rFonts w:hint="eastAsia" w:ascii="宋体" w:hAnsi="宋体" w:cs="宋体"/>
          <w:color w:val="auto"/>
          <w:sz w:val="21"/>
          <w:szCs w:val="21"/>
          <w:highlight w:val="none"/>
        </w:rPr>
        <w:t>落实政府采购政策需满足的资格要求（如果有）；</w:t>
      </w:r>
    </w:p>
    <w:p w14:paraId="6E293320">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本项目的特定资格要求（如果有)。</w:t>
      </w:r>
    </w:p>
    <w:p w14:paraId="15CEB777">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0CB5797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2.2.1投标函；</w:t>
      </w:r>
      <w:r>
        <w:rPr>
          <w:rFonts w:hint="eastAsia" w:ascii="宋体" w:hAnsi="宋体" w:cs="宋体"/>
          <w:color w:val="auto"/>
          <w:sz w:val="21"/>
          <w:szCs w:val="21"/>
          <w:highlight w:val="none"/>
          <w:lang w:val="zh-CN"/>
        </w:rPr>
        <w:t xml:space="preserve"> </w:t>
      </w:r>
    </w:p>
    <w:p w14:paraId="0BC287B9">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5D51B534">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分包意向协议（如果有)；</w:t>
      </w:r>
    </w:p>
    <w:p w14:paraId="57F194D5">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4E910E01">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w:t>
      </w:r>
    </w:p>
    <w:p w14:paraId="7E264711">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6</w:t>
      </w:r>
      <w:r>
        <w:rPr>
          <w:rFonts w:hint="eastAsia" w:ascii="宋体" w:hAnsi="宋体" w:cs="宋体"/>
          <w:color w:val="auto"/>
          <w:sz w:val="21"/>
          <w:szCs w:val="21"/>
          <w:highlight w:val="none"/>
        </w:rPr>
        <w:t>投标标的清单；</w:t>
      </w:r>
    </w:p>
    <w:p w14:paraId="5C08CB86">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7C4F5E3F">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p>
    <w:p w14:paraId="033B7EAE">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263AB648">
      <w:pPr>
        <w:keepNext w:val="0"/>
        <w:keepLines w:val="0"/>
        <w:pageBreakBefore w:val="0"/>
        <w:widowControl w:val="0"/>
        <w:kinsoku/>
        <w:wordWrap/>
        <w:overflowPunct/>
        <w:topLinePunct w:val="0"/>
        <w:autoSpaceDE/>
        <w:autoSpaceDN/>
        <w:bidi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2.3.1开标一览表（报价表）；</w:t>
      </w:r>
    </w:p>
    <w:p w14:paraId="0E4C1091">
      <w:pPr>
        <w:keepNext w:val="0"/>
        <w:keepLines w:val="0"/>
        <w:pageBreakBefore w:val="0"/>
        <w:widowControl w:val="0"/>
        <w:kinsoku/>
        <w:wordWrap/>
        <w:overflowPunct/>
        <w:topLinePunct w:val="0"/>
        <w:autoSpaceDE/>
        <w:autoSpaceDN/>
        <w:bidi w:val="0"/>
        <w:spacing w:line="312" w:lineRule="auto"/>
        <w:ind w:left="420" w:leftChars="200" w:firstLine="420" w:firstLineChars="200"/>
        <w:textAlignment w:val="auto"/>
        <w:rPr>
          <w:rFonts w:eastAsia="仿宋_GB2312"/>
          <w:color w:val="auto"/>
          <w:sz w:val="21"/>
          <w:szCs w:val="21"/>
          <w:highlight w:val="none"/>
        </w:rPr>
      </w:pPr>
      <w:r>
        <w:rPr>
          <w:rFonts w:hint="eastAsia" w:ascii="宋体" w:hAnsi="宋体" w:cs="宋体"/>
          <w:color w:val="auto"/>
          <w:sz w:val="21"/>
          <w:szCs w:val="21"/>
          <w:highlight w:val="none"/>
        </w:rPr>
        <w:t>2.3.2 报价情况说明（如果有）</w:t>
      </w:r>
    </w:p>
    <w:p w14:paraId="4516B5D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2.3.2中小企业声明函（如果有）。</w:t>
      </w:r>
    </w:p>
    <w:p w14:paraId="3ECC4517">
      <w:pPr>
        <w:pStyle w:val="99"/>
        <w:keepNext w:val="0"/>
        <w:keepLines w:val="0"/>
        <w:pageBreakBefore w:val="0"/>
        <w:widowControl w:val="0"/>
        <w:kinsoku/>
        <w:wordWrap/>
        <w:overflowPunct/>
        <w:topLinePunct w:val="0"/>
        <w:autoSpaceDE/>
        <w:autoSpaceDN/>
        <w:bidi w:val="0"/>
        <w:spacing w:line="312" w:lineRule="auto"/>
        <w:ind w:firstLine="840" w:firstLineChars="4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3、我方承诺除商务技术偏离表列出的偏离外，我方响应招标文件的全部要求。对投标文件中材料的真实性、合法性负责。</w:t>
      </w:r>
    </w:p>
    <w:p w14:paraId="0E7FB48F">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72101FEB">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325D0B6C">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44139E47">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4.3按照招标文件要求提交履约保证金； </w:t>
      </w:r>
    </w:p>
    <w:p w14:paraId="6B0AEEA4">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1F4158E5">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7143210">
      <w:pPr>
        <w:keepNext w:val="0"/>
        <w:keepLines w:val="0"/>
        <w:pageBreakBefore w:val="0"/>
        <w:widowControl w:val="0"/>
        <w:kinsoku/>
        <w:wordWrap/>
        <w:overflowPunct/>
        <w:topLinePunct w:val="0"/>
        <w:autoSpaceDE/>
        <w:autoSpaceDN/>
        <w:bidi w:val="0"/>
        <w:spacing w:line="312" w:lineRule="auto"/>
        <w:ind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投标人名称（电子签名）：                          </w:t>
      </w:r>
    </w:p>
    <w:p w14:paraId="7F33EA7B">
      <w:pPr>
        <w:keepNext w:val="0"/>
        <w:keepLines w:val="0"/>
        <w:pageBreakBefore w:val="0"/>
        <w:widowControl w:val="0"/>
        <w:kinsoku/>
        <w:wordWrap/>
        <w:overflowPunct/>
        <w:topLinePunct w:val="0"/>
        <w:autoSpaceDE/>
        <w:autoSpaceDN/>
        <w:bidi w:val="0"/>
        <w:spacing w:line="312"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272818C1">
      <w:pPr>
        <w:keepNext w:val="0"/>
        <w:keepLines w:val="0"/>
        <w:pageBreakBefore w:val="0"/>
        <w:widowControl w:val="0"/>
        <w:kinsoku/>
        <w:wordWrap/>
        <w:overflowPunct/>
        <w:topLinePunct w:val="0"/>
        <w:autoSpaceDE/>
        <w:autoSpaceDN/>
        <w:bidi w:val="0"/>
        <w:spacing w:line="312"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31F91F9C">
      <w:pPr>
        <w:jc w:val="both"/>
        <w:rPr>
          <w:rFonts w:ascii="宋体" w:hAnsi="宋体" w:cs="宋体"/>
          <w:b/>
          <w:color w:val="auto"/>
          <w:kern w:val="0"/>
          <w:sz w:val="32"/>
          <w:szCs w:val="32"/>
          <w:highlight w:val="none"/>
        </w:rPr>
      </w:pPr>
    </w:p>
    <w:p w14:paraId="4DF2D6D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03B23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475DB0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A227A73">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val="zh-CN" w:eastAsia="zh-CN"/>
        </w:rPr>
        <w:t>宁海县梅林街道社区卫生服务中心（宁海县第一医院医疗健康集团北部医院）</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浙江信望工程咨询有限公司</w:t>
      </w:r>
      <w:r>
        <w:rPr>
          <w:rFonts w:hint="eastAsia" w:ascii="宋体" w:hAnsi="宋体" w:cs="宋体"/>
          <w:color w:val="auto"/>
          <w:kern w:val="0"/>
          <w:sz w:val="21"/>
          <w:szCs w:val="21"/>
          <w:highlight w:val="none"/>
          <w:lang w:val="zh-CN"/>
        </w:rPr>
        <w:t>：</w:t>
      </w:r>
    </w:p>
    <w:p w14:paraId="7EE6BFB0">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rPr>
        <w:t>，所在单位：</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宁海县第一医院医疗健康集团北部医院食堂管理外包服务项目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浙信基招【2025】第NH001号</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558D0D6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0D0B02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775F42B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投标人名称(电子签名)：</w:t>
      </w:r>
    </w:p>
    <w:p w14:paraId="0FFAC29C">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4CA36EDF">
      <w:pPr>
        <w:snapToGrid w:val="0"/>
        <w:spacing w:line="360" w:lineRule="auto"/>
        <w:rPr>
          <w:rFonts w:ascii="宋体" w:hAnsi="宋体" w:cs="宋体"/>
          <w:color w:val="auto"/>
          <w:sz w:val="24"/>
          <w:highlight w:val="none"/>
        </w:rPr>
      </w:pPr>
    </w:p>
    <w:p w14:paraId="1C14308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47991A5">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val="zh-CN" w:eastAsia="zh-CN"/>
        </w:rPr>
        <w:t>宁海县梅林街道社区卫生服务中心（宁海县第一医院医疗健康集团北部医院）</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浙江信望工程咨询有限公司</w:t>
      </w:r>
      <w:r>
        <w:rPr>
          <w:rFonts w:hint="eastAsia" w:ascii="宋体" w:hAnsi="宋体" w:cs="宋体"/>
          <w:color w:val="auto"/>
          <w:kern w:val="0"/>
          <w:sz w:val="21"/>
          <w:szCs w:val="21"/>
          <w:highlight w:val="none"/>
          <w:lang w:val="zh-CN"/>
        </w:rPr>
        <w:t>：</w:t>
      </w:r>
    </w:p>
    <w:p w14:paraId="447E2D9B">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rPr>
        <w:t>，所在单位：</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宁海县第一医院医疗健康集团北部医院食堂管理外包服务项目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浙信基招【2025】第NH001号</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660D5C6A">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05DBEB90">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6C5B8810">
      <w:pPr>
        <w:jc w:val="center"/>
        <w:rPr>
          <w:rFonts w:ascii="宋体" w:hAnsi="宋体" w:cs="宋体"/>
          <w:b/>
          <w:color w:val="auto"/>
          <w:kern w:val="0"/>
          <w:sz w:val="21"/>
          <w:szCs w:val="21"/>
          <w:highlight w:val="none"/>
        </w:rPr>
      </w:pPr>
    </w:p>
    <w:p w14:paraId="131094A3">
      <w:pPr>
        <w:rPr>
          <w:rFonts w:ascii="宋体" w:hAnsi="宋体" w:cs="宋体"/>
          <w:color w:val="auto"/>
          <w:szCs w:val="21"/>
          <w:highlight w:val="none"/>
        </w:rPr>
      </w:pPr>
    </w:p>
    <w:p w14:paraId="525A17B3">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6F227B7D">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E6F2427">
      <w:pPr>
        <w:snapToGrid w:val="0"/>
        <w:spacing w:line="360" w:lineRule="auto"/>
        <w:ind w:firstLine="5040" w:firstLineChars="2400"/>
        <w:rPr>
          <w:rFonts w:ascii="宋体" w:hAnsi="宋体" w:cs="宋体"/>
          <w:color w:val="auto"/>
          <w:szCs w:val="21"/>
          <w:highlight w:val="none"/>
        </w:rPr>
      </w:pPr>
      <w:r>
        <w:rPr>
          <w:rFonts w:hint="eastAsia" w:ascii="宋体" w:hAnsi="宋体" w:cs="宋体"/>
          <w:color w:val="auto"/>
          <w:kern w:val="0"/>
          <w:sz w:val="21"/>
          <w:szCs w:val="21"/>
          <w:highlight w:val="none"/>
          <w:lang w:val="zh-CN"/>
        </w:rPr>
        <w:t>……</w:t>
      </w:r>
    </w:p>
    <w:p w14:paraId="7813BF77">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47CFFDD4">
      <w:pPr>
        <w:autoSpaceDE w:val="0"/>
        <w:autoSpaceDN w:val="0"/>
        <w:spacing w:line="360" w:lineRule="auto"/>
        <w:jc w:val="center"/>
        <w:rPr>
          <w:rFonts w:ascii="宋体" w:hAnsi="宋体" w:cs="宋体"/>
          <w:b/>
          <w:color w:val="auto"/>
          <w:kern w:val="0"/>
          <w:sz w:val="32"/>
          <w:szCs w:val="32"/>
          <w:highlight w:val="none"/>
          <w:lang w:val="zh-CN"/>
        </w:rPr>
      </w:pPr>
    </w:p>
    <w:p w14:paraId="54F60223">
      <w:pPr>
        <w:autoSpaceDE w:val="0"/>
        <w:autoSpaceDN w:val="0"/>
        <w:spacing w:line="360" w:lineRule="auto"/>
        <w:jc w:val="center"/>
        <w:rPr>
          <w:rFonts w:ascii="宋体" w:hAnsi="宋体" w:cs="宋体"/>
          <w:b/>
          <w:color w:val="auto"/>
          <w:kern w:val="0"/>
          <w:sz w:val="32"/>
          <w:szCs w:val="32"/>
          <w:highlight w:val="none"/>
          <w:lang w:val="zh-CN"/>
        </w:rPr>
      </w:pPr>
    </w:p>
    <w:p w14:paraId="628F7C66">
      <w:pPr>
        <w:autoSpaceDE w:val="0"/>
        <w:autoSpaceDN w:val="0"/>
        <w:spacing w:line="360" w:lineRule="auto"/>
        <w:jc w:val="both"/>
        <w:rPr>
          <w:rFonts w:hint="eastAsia" w:ascii="宋体" w:hAnsi="宋体" w:cs="宋体"/>
          <w:b/>
          <w:color w:val="auto"/>
          <w:kern w:val="0"/>
          <w:sz w:val="32"/>
          <w:szCs w:val="32"/>
          <w:highlight w:val="none"/>
          <w:lang w:val="zh-CN"/>
        </w:rPr>
      </w:pPr>
    </w:p>
    <w:p w14:paraId="0ED3622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FCAE9D5">
      <w:pPr>
        <w:pStyle w:val="8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B4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0204C3">
            <w:pPr>
              <w:pStyle w:val="81"/>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r>
              <w:rPr>
                <w:rFonts w:hint="eastAsia" w:hAnsi="宋体" w:cs="宋体"/>
                <w:bCs/>
                <w:color w:val="auto"/>
                <w:sz w:val="24"/>
                <w:highlight w:val="none"/>
              </w:rPr>
              <w:t>正面：                                 反面：</w:t>
            </w:r>
          </w:p>
          <w:p w14:paraId="2B00AAC8">
            <w:pPr>
              <w:pStyle w:val="81"/>
              <w:keepNext w:val="0"/>
              <w:keepLines w:val="0"/>
              <w:suppressLineNumbers w:val="0"/>
              <w:adjustRightInd w:val="0"/>
              <w:spacing w:before="0" w:beforeAutospacing="0" w:after="0" w:afterAutospacing="0" w:line="360" w:lineRule="auto"/>
              <w:ind w:left="0" w:right="0"/>
              <w:rPr>
                <w:rFonts w:hint="default" w:hAnsi="宋体" w:cs="宋体"/>
                <w:bCs/>
                <w:color w:val="auto"/>
                <w:sz w:val="24"/>
                <w:highlight w:val="none"/>
              </w:rPr>
            </w:pPr>
          </w:p>
        </w:tc>
      </w:tr>
    </w:tbl>
    <w:p w14:paraId="5DC2EAD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A2919F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4C7B30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EC112F6">
      <w:pPr>
        <w:jc w:val="center"/>
        <w:rPr>
          <w:rFonts w:ascii="宋体" w:hAnsi="宋体" w:cs="宋体"/>
          <w:b/>
          <w:color w:val="auto"/>
          <w:kern w:val="0"/>
          <w:sz w:val="32"/>
          <w:szCs w:val="32"/>
          <w:highlight w:val="none"/>
        </w:rPr>
      </w:pPr>
    </w:p>
    <w:p w14:paraId="0E0ADBC6">
      <w:pPr>
        <w:jc w:val="center"/>
        <w:rPr>
          <w:rFonts w:ascii="宋体" w:hAnsi="宋体" w:cs="宋体"/>
          <w:b/>
          <w:color w:val="auto"/>
          <w:kern w:val="0"/>
          <w:sz w:val="32"/>
          <w:szCs w:val="32"/>
          <w:highlight w:val="none"/>
        </w:rPr>
      </w:pPr>
    </w:p>
    <w:p w14:paraId="0554A98B">
      <w:pPr>
        <w:jc w:val="center"/>
        <w:rPr>
          <w:rFonts w:ascii="宋体" w:hAnsi="宋体" w:cs="宋体"/>
          <w:b/>
          <w:color w:val="auto"/>
          <w:kern w:val="0"/>
          <w:sz w:val="32"/>
          <w:szCs w:val="32"/>
          <w:highlight w:val="none"/>
        </w:rPr>
      </w:pPr>
    </w:p>
    <w:p w14:paraId="4072329C">
      <w:pPr>
        <w:jc w:val="center"/>
        <w:rPr>
          <w:rFonts w:ascii="宋体" w:hAnsi="宋体" w:cs="宋体"/>
          <w:b/>
          <w:color w:val="auto"/>
          <w:kern w:val="0"/>
          <w:sz w:val="32"/>
          <w:szCs w:val="32"/>
          <w:highlight w:val="none"/>
        </w:rPr>
      </w:pPr>
    </w:p>
    <w:p w14:paraId="3949578B">
      <w:pPr>
        <w:jc w:val="center"/>
        <w:rPr>
          <w:rFonts w:ascii="宋体" w:hAnsi="宋体" w:cs="宋体"/>
          <w:b/>
          <w:color w:val="auto"/>
          <w:kern w:val="0"/>
          <w:sz w:val="32"/>
          <w:szCs w:val="32"/>
          <w:highlight w:val="none"/>
        </w:rPr>
      </w:pPr>
    </w:p>
    <w:p w14:paraId="3D92D93B">
      <w:pPr>
        <w:jc w:val="center"/>
        <w:rPr>
          <w:rFonts w:ascii="宋体" w:hAnsi="宋体" w:cs="宋体"/>
          <w:b/>
          <w:color w:val="auto"/>
          <w:kern w:val="0"/>
          <w:sz w:val="32"/>
          <w:szCs w:val="32"/>
          <w:highlight w:val="none"/>
        </w:rPr>
      </w:pPr>
    </w:p>
    <w:p w14:paraId="201065C3">
      <w:pPr>
        <w:jc w:val="center"/>
        <w:rPr>
          <w:rFonts w:ascii="宋体" w:hAnsi="宋体" w:cs="宋体"/>
          <w:b/>
          <w:color w:val="auto"/>
          <w:kern w:val="0"/>
          <w:sz w:val="32"/>
          <w:szCs w:val="32"/>
          <w:highlight w:val="none"/>
        </w:rPr>
      </w:pPr>
    </w:p>
    <w:p w14:paraId="7EDD4573">
      <w:pPr>
        <w:jc w:val="center"/>
        <w:rPr>
          <w:rFonts w:ascii="宋体" w:hAnsi="宋体" w:cs="宋体"/>
          <w:b/>
          <w:color w:val="auto"/>
          <w:kern w:val="0"/>
          <w:sz w:val="32"/>
          <w:szCs w:val="32"/>
          <w:highlight w:val="none"/>
        </w:rPr>
      </w:pPr>
    </w:p>
    <w:p w14:paraId="006DEC56">
      <w:pPr>
        <w:jc w:val="center"/>
        <w:rPr>
          <w:rFonts w:ascii="宋体" w:hAnsi="宋体" w:cs="宋体"/>
          <w:b/>
          <w:color w:val="auto"/>
          <w:kern w:val="0"/>
          <w:sz w:val="32"/>
          <w:szCs w:val="32"/>
          <w:highlight w:val="none"/>
        </w:rPr>
      </w:pPr>
    </w:p>
    <w:p w14:paraId="218AA958">
      <w:pPr>
        <w:jc w:val="center"/>
        <w:rPr>
          <w:rFonts w:ascii="宋体" w:hAnsi="宋体" w:cs="宋体"/>
          <w:b/>
          <w:color w:val="auto"/>
          <w:kern w:val="0"/>
          <w:sz w:val="32"/>
          <w:szCs w:val="32"/>
          <w:highlight w:val="none"/>
        </w:rPr>
      </w:pPr>
    </w:p>
    <w:p w14:paraId="001B1806">
      <w:pPr>
        <w:snapToGrid w:val="0"/>
        <w:spacing w:line="360" w:lineRule="auto"/>
        <w:ind w:right="480"/>
        <w:rPr>
          <w:rFonts w:ascii="宋体" w:hAnsi="宋体" w:cs="宋体"/>
          <w:b/>
          <w:color w:val="auto"/>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14:paraId="08EF0A8D">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30847E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BA5A6F0">
      <w:pPr>
        <w:snapToGrid w:val="0"/>
        <w:spacing w:line="360" w:lineRule="auto"/>
        <w:rPr>
          <w:rFonts w:ascii="宋体" w:hAnsi="宋体" w:cs="宋体"/>
          <w:color w:val="auto"/>
          <w:kern w:val="0"/>
          <w:sz w:val="24"/>
          <w:highlight w:val="none"/>
        </w:rPr>
      </w:pPr>
    </w:p>
    <w:p w14:paraId="70FE987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310B5C0">
      <w:pPr>
        <w:jc w:val="center"/>
        <w:rPr>
          <w:rFonts w:ascii="宋体" w:hAnsi="宋体" w:cs="宋体"/>
          <w:b/>
          <w:color w:val="auto"/>
          <w:kern w:val="0"/>
          <w:sz w:val="32"/>
          <w:szCs w:val="32"/>
          <w:highlight w:val="none"/>
        </w:rPr>
      </w:pPr>
    </w:p>
    <w:tbl>
      <w:tblPr>
        <w:tblStyle w:val="3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C81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FE5CBA2">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3638A004">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2900824B">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5A404EEB">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投标文件中的</w:t>
            </w:r>
          </w:p>
          <w:p w14:paraId="26057CE6">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3187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27B16F">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vAlign w:val="center"/>
          </w:tcPr>
          <w:p w14:paraId="39D4A59D">
            <w:pPr>
              <w:keepNext w:val="0"/>
              <w:keepLines w:val="0"/>
              <w:suppressLineNumbers w:val="0"/>
              <w:spacing w:before="0" w:beforeAutospacing="0" w:after="0" w:afterAutospacing="0" w:line="360" w:lineRule="auto"/>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投标文件按照招标文件要求签署、盖章。</w:t>
            </w:r>
          </w:p>
        </w:tc>
        <w:tc>
          <w:tcPr>
            <w:tcW w:w="2551" w:type="dxa"/>
            <w:vAlign w:val="center"/>
          </w:tcPr>
          <w:p w14:paraId="34A0A2A6">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需要使用电子签名或者签字盖章的投标文件的组成部分</w:t>
            </w:r>
          </w:p>
        </w:tc>
        <w:tc>
          <w:tcPr>
            <w:tcW w:w="1418" w:type="dxa"/>
            <w:vAlign w:val="center"/>
          </w:tcPr>
          <w:p w14:paraId="6052DF5D">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rPr>
            </w:pPr>
          </w:p>
          <w:p w14:paraId="4FB2900F">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见投标文件</w:t>
            </w:r>
          </w:p>
          <w:p w14:paraId="246BD4B0">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1CAC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13FC16">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vAlign w:val="center"/>
          </w:tcPr>
          <w:p w14:paraId="739BA38B">
            <w:pPr>
              <w:keepNext w:val="0"/>
              <w:keepLines w:val="0"/>
              <w:suppressLineNumbers w:val="0"/>
              <w:spacing w:before="0" w:beforeAutospacing="0" w:after="0" w:afterAutospacing="0" w:line="360" w:lineRule="auto"/>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投标文件中承诺的投标有效期不少于招标文件中载明的投标有效期。</w:t>
            </w:r>
          </w:p>
        </w:tc>
        <w:tc>
          <w:tcPr>
            <w:tcW w:w="2551" w:type="dxa"/>
            <w:vAlign w:val="center"/>
          </w:tcPr>
          <w:p w14:paraId="450129CD">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投标函</w:t>
            </w:r>
          </w:p>
        </w:tc>
        <w:tc>
          <w:tcPr>
            <w:tcW w:w="1418" w:type="dxa"/>
            <w:vAlign w:val="center"/>
          </w:tcPr>
          <w:p w14:paraId="7ED00DF9">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0FBF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304DFB">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3</w:t>
            </w:r>
          </w:p>
        </w:tc>
        <w:tc>
          <w:tcPr>
            <w:tcW w:w="4991" w:type="dxa"/>
            <w:vAlign w:val="center"/>
          </w:tcPr>
          <w:p w14:paraId="1DC77AF7">
            <w:pPr>
              <w:keepNext w:val="0"/>
              <w:keepLines w:val="0"/>
              <w:suppressLineNumbers w:val="0"/>
              <w:spacing w:before="0" w:beforeAutospacing="0" w:after="0" w:afterAutospacing="0" w:line="360" w:lineRule="auto"/>
              <w:ind w:left="0" w:right="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投标文件满足招标文件的其它实质性要求。</w:t>
            </w:r>
          </w:p>
        </w:tc>
        <w:tc>
          <w:tcPr>
            <w:tcW w:w="2551" w:type="dxa"/>
            <w:vAlign w:val="center"/>
          </w:tcPr>
          <w:p w14:paraId="25D95E46">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kern w:val="0"/>
                <w:sz w:val="21"/>
                <w:szCs w:val="21"/>
                <w:highlight w:val="none"/>
              </w:rPr>
              <w:t>招标文件其它实质性要求相应的材料（“▲” 系指实质性要求条款，招标文件无其它实质性要求的，无需提供）</w:t>
            </w:r>
          </w:p>
        </w:tc>
        <w:tc>
          <w:tcPr>
            <w:tcW w:w="1418" w:type="dxa"/>
            <w:vAlign w:val="center"/>
          </w:tcPr>
          <w:p w14:paraId="78F7E926">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5CD89C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82F752">
      <w:pPr>
        <w:jc w:val="center"/>
        <w:rPr>
          <w:rFonts w:ascii="宋体" w:hAnsi="宋体" w:cs="宋体"/>
          <w:b/>
          <w:color w:val="auto"/>
          <w:kern w:val="0"/>
          <w:sz w:val="32"/>
          <w:szCs w:val="32"/>
          <w:highlight w:val="none"/>
        </w:rPr>
      </w:pPr>
    </w:p>
    <w:p w14:paraId="2A0FD05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DD911FB">
      <w:pPr>
        <w:jc w:val="center"/>
        <w:rPr>
          <w:rFonts w:ascii="宋体" w:hAnsi="宋体" w:cs="宋体"/>
          <w:b/>
          <w:color w:val="auto"/>
          <w:kern w:val="0"/>
          <w:sz w:val="32"/>
          <w:szCs w:val="32"/>
          <w:highlight w:val="none"/>
        </w:rPr>
      </w:pPr>
    </w:p>
    <w:p w14:paraId="65E2FB9A">
      <w:pPr>
        <w:jc w:val="center"/>
        <w:rPr>
          <w:rFonts w:ascii="宋体" w:hAnsi="宋体" w:cs="宋体"/>
          <w:b/>
          <w:color w:val="auto"/>
          <w:kern w:val="0"/>
          <w:sz w:val="32"/>
          <w:szCs w:val="32"/>
          <w:highlight w:val="none"/>
        </w:rPr>
      </w:pPr>
    </w:p>
    <w:p w14:paraId="59BB2270">
      <w:pPr>
        <w:jc w:val="center"/>
        <w:rPr>
          <w:rFonts w:ascii="宋体" w:hAnsi="宋体" w:cs="宋体"/>
          <w:b/>
          <w:color w:val="auto"/>
          <w:kern w:val="0"/>
          <w:sz w:val="32"/>
          <w:szCs w:val="32"/>
          <w:highlight w:val="none"/>
        </w:rPr>
      </w:pPr>
    </w:p>
    <w:p w14:paraId="7DBA006D">
      <w:pPr>
        <w:jc w:val="center"/>
        <w:rPr>
          <w:rFonts w:ascii="宋体" w:hAnsi="宋体" w:cs="宋体"/>
          <w:b/>
          <w:color w:val="auto"/>
          <w:kern w:val="0"/>
          <w:sz w:val="32"/>
          <w:szCs w:val="32"/>
          <w:highlight w:val="none"/>
        </w:rPr>
      </w:pPr>
    </w:p>
    <w:p w14:paraId="3DDD9378">
      <w:pPr>
        <w:jc w:val="center"/>
        <w:rPr>
          <w:rFonts w:ascii="宋体" w:hAnsi="宋体" w:cs="宋体"/>
          <w:b/>
          <w:color w:val="auto"/>
          <w:kern w:val="0"/>
          <w:sz w:val="32"/>
          <w:szCs w:val="32"/>
          <w:highlight w:val="none"/>
        </w:rPr>
      </w:pPr>
    </w:p>
    <w:p w14:paraId="157FE048">
      <w:pPr>
        <w:jc w:val="center"/>
        <w:rPr>
          <w:rFonts w:ascii="宋体" w:hAnsi="宋体" w:cs="宋体"/>
          <w:b/>
          <w:color w:val="auto"/>
          <w:kern w:val="0"/>
          <w:sz w:val="32"/>
          <w:szCs w:val="32"/>
          <w:highlight w:val="none"/>
        </w:rPr>
      </w:pPr>
    </w:p>
    <w:p w14:paraId="0000179B">
      <w:pPr>
        <w:jc w:val="center"/>
        <w:rPr>
          <w:rFonts w:ascii="宋体" w:hAnsi="宋体" w:cs="宋体"/>
          <w:b/>
          <w:color w:val="auto"/>
          <w:kern w:val="0"/>
          <w:sz w:val="32"/>
          <w:szCs w:val="32"/>
          <w:highlight w:val="none"/>
        </w:rPr>
      </w:pPr>
    </w:p>
    <w:p w14:paraId="31B57ED2">
      <w:pPr>
        <w:jc w:val="center"/>
        <w:rPr>
          <w:rFonts w:ascii="宋体" w:hAnsi="宋体" w:cs="宋体"/>
          <w:b/>
          <w:color w:val="auto"/>
          <w:kern w:val="0"/>
          <w:sz w:val="32"/>
          <w:szCs w:val="32"/>
          <w:highlight w:val="none"/>
        </w:rPr>
      </w:pPr>
    </w:p>
    <w:p w14:paraId="66AF8AF2">
      <w:pPr>
        <w:jc w:val="center"/>
        <w:rPr>
          <w:rFonts w:ascii="宋体" w:hAnsi="宋体" w:cs="宋体"/>
          <w:b/>
          <w:color w:val="auto"/>
          <w:kern w:val="0"/>
          <w:sz w:val="32"/>
          <w:szCs w:val="32"/>
          <w:highlight w:val="none"/>
        </w:rPr>
      </w:pPr>
    </w:p>
    <w:p w14:paraId="6681DF90">
      <w:pPr>
        <w:jc w:val="center"/>
        <w:rPr>
          <w:rFonts w:ascii="宋体" w:hAnsi="宋体" w:cs="宋体"/>
          <w:b/>
          <w:color w:val="auto"/>
          <w:kern w:val="0"/>
          <w:sz w:val="32"/>
          <w:szCs w:val="32"/>
          <w:highlight w:val="none"/>
        </w:rPr>
      </w:pPr>
    </w:p>
    <w:p w14:paraId="4C3E41DF">
      <w:pPr>
        <w:pStyle w:val="2"/>
      </w:pPr>
    </w:p>
    <w:p w14:paraId="758B10C0">
      <w:pPr>
        <w:jc w:val="center"/>
        <w:rPr>
          <w:rFonts w:ascii="宋体" w:hAnsi="宋体" w:cs="宋体"/>
          <w:b/>
          <w:color w:val="auto"/>
          <w:kern w:val="0"/>
          <w:sz w:val="32"/>
          <w:szCs w:val="32"/>
          <w:highlight w:val="none"/>
        </w:rPr>
      </w:pPr>
    </w:p>
    <w:p w14:paraId="16EECED7">
      <w:pPr>
        <w:pStyle w:val="2"/>
        <w:tabs>
          <w:tab w:val="left" w:pos="432"/>
        </w:tabs>
      </w:pPr>
    </w:p>
    <w:p w14:paraId="242A6951">
      <w:pPr>
        <w:jc w:val="center"/>
        <w:rPr>
          <w:rFonts w:ascii="宋体" w:hAnsi="宋体" w:cs="宋体"/>
          <w:b/>
          <w:color w:val="auto"/>
          <w:kern w:val="0"/>
          <w:sz w:val="32"/>
          <w:szCs w:val="32"/>
          <w:highlight w:val="none"/>
        </w:rPr>
      </w:pPr>
    </w:p>
    <w:p w14:paraId="3D0CD50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A3A366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B019778">
      <w:pPr>
        <w:jc w:val="center"/>
        <w:rPr>
          <w:rFonts w:ascii="宋体" w:hAnsi="宋体" w:cs="宋体"/>
          <w:b/>
          <w:color w:val="auto"/>
          <w:kern w:val="0"/>
          <w:sz w:val="32"/>
          <w:szCs w:val="32"/>
          <w:highlight w:val="none"/>
        </w:rPr>
      </w:pPr>
    </w:p>
    <w:p w14:paraId="18BDD7DE">
      <w:pPr>
        <w:jc w:val="center"/>
        <w:rPr>
          <w:rFonts w:ascii="宋体" w:hAnsi="宋体" w:cs="宋体"/>
          <w:b/>
          <w:color w:val="auto"/>
          <w:kern w:val="0"/>
          <w:sz w:val="32"/>
          <w:szCs w:val="32"/>
          <w:highlight w:val="none"/>
        </w:rPr>
      </w:pPr>
    </w:p>
    <w:p w14:paraId="13CEF8DE">
      <w:pPr>
        <w:jc w:val="center"/>
        <w:rPr>
          <w:rFonts w:ascii="宋体" w:hAnsi="宋体" w:cs="宋体"/>
          <w:b/>
          <w:color w:val="auto"/>
          <w:kern w:val="0"/>
          <w:sz w:val="32"/>
          <w:szCs w:val="32"/>
          <w:highlight w:val="none"/>
        </w:rPr>
      </w:pPr>
    </w:p>
    <w:p w14:paraId="42B1D2F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3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9E5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59F1B4">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5622919">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2323E11">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szCs w:val="20"/>
                <w:highlight w:val="none"/>
              </w:rPr>
            </w:pPr>
          </w:p>
          <w:p w14:paraId="343ECF5F">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A73AB6D">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618AC55">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3DEA303">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8F0424E">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szCs w:val="20"/>
                <w:highlight w:val="none"/>
              </w:rPr>
            </w:pPr>
          </w:p>
          <w:p w14:paraId="0249F75E">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739C4FFA">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szCs w:val="20"/>
                <w:highlight w:val="none"/>
              </w:rPr>
            </w:pPr>
          </w:p>
        </w:tc>
      </w:tr>
      <w:tr w14:paraId="6F18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9149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325EF73">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5D127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0638F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B8FB0AA">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A8D9E8">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47850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0"/>
                <w:highlight w:val="none"/>
              </w:rPr>
            </w:pPr>
          </w:p>
        </w:tc>
      </w:tr>
      <w:tr w14:paraId="5283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2B540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11BF3FA">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80290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08731FB">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E852C9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2B3FC4B">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748F28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0"/>
                <w:highlight w:val="none"/>
              </w:rPr>
            </w:pPr>
          </w:p>
        </w:tc>
      </w:tr>
      <w:tr w14:paraId="727B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22436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914EB6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DED2AC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C51EAC">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0A86E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F4EE4C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0D8F430">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0"/>
                <w:highlight w:val="none"/>
              </w:rPr>
            </w:pPr>
          </w:p>
        </w:tc>
      </w:tr>
    </w:tbl>
    <w:p w14:paraId="4D392D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823EA3">
      <w:pPr>
        <w:jc w:val="center"/>
        <w:rPr>
          <w:rFonts w:ascii="宋体" w:hAnsi="宋体" w:cs="宋体"/>
          <w:b/>
          <w:color w:val="auto"/>
          <w:kern w:val="0"/>
          <w:sz w:val="32"/>
          <w:szCs w:val="32"/>
          <w:highlight w:val="none"/>
        </w:rPr>
      </w:pPr>
    </w:p>
    <w:p w14:paraId="38112E67">
      <w:pPr>
        <w:jc w:val="center"/>
        <w:rPr>
          <w:rFonts w:ascii="宋体" w:hAnsi="宋体" w:cs="宋体"/>
          <w:b/>
          <w:color w:val="auto"/>
          <w:kern w:val="0"/>
          <w:sz w:val="32"/>
          <w:szCs w:val="32"/>
          <w:highlight w:val="none"/>
        </w:rPr>
      </w:pPr>
    </w:p>
    <w:p w14:paraId="654154D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3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D23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ABC10D">
            <w:pPr>
              <w:keepNext w:val="0"/>
              <w:keepLines w:val="0"/>
              <w:suppressLineNumbers w:val="0"/>
              <w:spacing w:before="0" w:beforeAutospacing="0" w:after="0" w:afterAutospacing="0"/>
              <w:ind w:left="0" w:right="0"/>
              <w:jc w:val="center"/>
              <w:rPr>
                <w:rFonts w:hint="default" w:ascii="宋体" w:hAnsi="宋体" w:cs="宋体"/>
                <w:b/>
                <w:bCs/>
                <w:color w:val="auto"/>
                <w:sz w:val="24"/>
                <w:szCs w:val="20"/>
                <w:highlight w:val="none"/>
              </w:rPr>
            </w:pPr>
            <w:r>
              <w:rPr>
                <w:rFonts w:hint="eastAsia" w:ascii="宋体" w:hAnsi="宋体" w:cs="宋体"/>
                <w:b/>
                <w:bCs/>
                <w:color w:val="auto"/>
                <w:sz w:val="24"/>
                <w:szCs w:val="20"/>
                <w:highlight w:val="none"/>
              </w:rPr>
              <w:t>序号</w:t>
            </w:r>
          </w:p>
        </w:tc>
        <w:tc>
          <w:tcPr>
            <w:tcW w:w="3683" w:type="dxa"/>
          </w:tcPr>
          <w:p w14:paraId="71346496">
            <w:pPr>
              <w:keepNext w:val="0"/>
              <w:keepLines w:val="0"/>
              <w:suppressLineNumbers w:val="0"/>
              <w:spacing w:before="0" w:beforeAutospacing="0" w:after="0" w:afterAutospacing="0"/>
              <w:ind w:left="0" w:right="0"/>
              <w:jc w:val="center"/>
              <w:rPr>
                <w:rFonts w:hint="default" w:ascii="宋体" w:hAnsi="宋体" w:cs="宋体"/>
                <w:b/>
                <w:bCs/>
                <w:color w:val="auto"/>
                <w:sz w:val="24"/>
                <w:szCs w:val="20"/>
                <w:highlight w:val="none"/>
              </w:rPr>
            </w:pPr>
            <w:r>
              <w:rPr>
                <w:rFonts w:hint="eastAsia" w:ascii="宋体" w:hAnsi="宋体" w:cs="宋体"/>
                <w:b/>
                <w:bCs/>
                <w:color w:val="auto"/>
                <w:sz w:val="24"/>
                <w:szCs w:val="20"/>
                <w:highlight w:val="none"/>
              </w:rPr>
              <w:t>招标文件章节及具体内容</w:t>
            </w:r>
          </w:p>
        </w:tc>
        <w:tc>
          <w:tcPr>
            <w:tcW w:w="3546" w:type="dxa"/>
          </w:tcPr>
          <w:p w14:paraId="2F742EA8">
            <w:pPr>
              <w:keepNext w:val="0"/>
              <w:keepLines w:val="0"/>
              <w:suppressLineNumbers w:val="0"/>
              <w:spacing w:before="0" w:beforeAutospacing="0" w:after="0" w:afterAutospacing="0"/>
              <w:ind w:left="0" w:right="0"/>
              <w:jc w:val="center"/>
              <w:rPr>
                <w:rFonts w:hint="default" w:ascii="宋体" w:hAnsi="宋体" w:cs="宋体"/>
                <w:b/>
                <w:bCs/>
                <w:color w:val="auto"/>
                <w:sz w:val="24"/>
                <w:szCs w:val="20"/>
                <w:highlight w:val="none"/>
              </w:rPr>
            </w:pPr>
            <w:r>
              <w:rPr>
                <w:rFonts w:hint="eastAsia" w:ascii="宋体" w:hAnsi="宋体" w:cs="宋体"/>
                <w:b/>
                <w:bCs/>
                <w:color w:val="auto"/>
                <w:sz w:val="24"/>
                <w:szCs w:val="20"/>
                <w:highlight w:val="none"/>
              </w:rPr>
              <w:t>投标文件章节及具体内容</w:t>
            </w:r>
          </w:p>
        </w:tc>
        <w:tc>
          <w:tcPr>
            <w:tcW w:w="1276" w:type="dxa"/>
          </w:tcPr>
          <w:p w14:paraId="6C9AC0AF">
            <w:pPr>
              <w:keepNext w:val="0"/>
              <w:keepLines w:val="0"/>
              <w:suppressLineNumbers w:val="0"/>
              <w:spacing w:before="0" w:beforeAutospacing="0" w:after="0" w:afterAutospacing="0"/>
              <w:ind w:left="0" w:right="0"/>
              <w:jc w:val="center"/>
              <w:rPr>
                <w:rFonts w:hint="default" w:ascii="宋体" w:hAnsi="宋体" w:cs="宋体"/>
                <w:b/>
                <w:bCs/>
                <w:color w:val="auto"/>
                <w:sz w:val="24"/>
                <w:szCs w:val="20"/>
                <w:highlight w:val="none"/>
              </w:rPr>
            </w:pPr>
            <w:r>
              <w:rPr>
                <w:rFonts w:hint="eastAsia" w:ascii="宋体" w:hAnsi="宋体" w:cs="宋体"/>
                <w:b/>
                <w:bCs/>
                <w:color w:val="auto"/>
                <w:sz w:val="24"/>
                <w:szCs w:val="20"/>
                <w:highlight w:val="none"/>
              </w:rPr>
              <w:t>偏离说明</w:t>
            </w:r>
          </w:p>
        </w:tc>
      </w:tr>
      <w:tr w14:paraId="17E5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800885">
            <w:pPr>
              <w:keepNext w:val="0"/>
              <w:keepLines w:val="0"/>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1</w:t>
            </w:r>
          </w:p>
        </w:tc>
        <w:tc>
          <w:tcPr>
            <w:tcW w:w="3683" w:type="dxa"/>
          </w:tcPr>
          <w:p w14:paraId="6946F3FB">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14:paraId="1CBC3604">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14:paraId="3303CC6F">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14:paraId="0796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6FF21A">
            <w:pPr>
              <w:keepNext w:val="0"/>
              <w:keepLines w:val="0"/>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2</w:t>
            </w:r>
          </w:p>
        </w:tc>
        <w:tc>
          <w:tcPr>
            <w:tcW w:w="3683" w:type="dxa"/>
          </w:tcPr>
          <w:p w14:paraId="1A9526A8">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14:paraId="305EFB6F">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14:paraId="7040C4C0">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r w14:paraId="77F7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EFED39">
            <w:pPr>
              <w:keepNext w:val="0"/>
              <w:keepLines w:val="0"/>
              <w:suppressLineNumbers w:val="0"/>
              <w:spacing w:before="0" w:beforeAutospacing="0" w:after="0" w:afterAutospacing="0"/>
              <w:ind w:left="0" w:right="0"/>
              <w:jc w:val="center"/>
              <w:rPr>
                <w:rFonts w:hint="default" w:ascii="宋体" w:hAnsi="宋体" w:cs="宋体"/>
                <w:color w:val="auto"/>
                <w:kern w:val="0"/>
                <w:sz w:val="24"/>
                <w:szCs w:val="20"/>
                <w:highlight w:val="none"/>
              </w:rPr>
            </w:pPr>
            <w:r>
              <w:rPr>
                <w:rFonts w:hint="eastAsia" w:ascii="宋体" w:hAnsi="宋体" w:cs="宋体"/>
                <w:color w:val="auto"/>
                <w:kern w:val="0"/>
                <w:sz w:val="24"/>
                <w:szCs w:val="20"/>
                <w:highlight w:val="none"/>
              </w:rPr>
              <w:t>……</w:t>
            </w:r>
          </w:p>
        </w:tc>
        <w:tc>
          <w:tcPr>
            <w:tcW w:w="3683" w:type="dxa"/>
          </w:tcPr>
          <w:p w14:paraId="0A7BDDCF">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3546" w:type="dxa"/>
          </w:tcPr>
          <w:p w14:paraId="470D6083">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c>
          <w:tcPr>
            <w:tcW w:w="1276" w:type="dxa"/>
          </w:tcPr>
          <w:p w14:paraId="1ADF43C9">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highlight w:val="none"/>
              </w:rPr>
            </w:pPr>
          </w:p>
        </w:tc>
      </w:tr>
    </w:tbl>
    <w:p w14:paraId="462B8E7C">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3E8E1E2">
      <w:pPr>
        <w:jc w:val="center"/>
        <w:rPr>
          <w:rFonts w:ascii="宋体" w:hAnsi="宋体" w:cs="宋体"/>
          <w:b/>
          <w:color w:val="auto"/>
          <w:kern w:val="0"/>
          <w:sz w:val="32"/>
          <w:szCs w:val="32"/>
          <w:highlight w:val="none"/>
        </w:rPr>
      </w:pPr>
    </w:p>
    <w:p w14:paraId="4C4F56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EDCEFB2">
      <w:pPr>
        <w:ind w:firstLine="1911" w:firstLineChars="595"/>
        <w:rPr>
          <w:rFonts w:ascii="宋体" w:hAnsi="宋体" w:cs="宋体"/>
          <w:b/>
          <w:bCs/>
          <w:color w:val="auto"/>
          <w:sz w:val="32"/>
          <w:szCs w:val="32"/>
          <w:highlight w:val="none"/>
        </w:rPr>
      </w:pPr>
    </w:p>
    <w:p w14:paraId="08E92023">
      <w:pPr>
        <w:ind w:firstLine="1911" w:firstLineChars="595"/>
        <w:rPr>
          <w:rFonts w:ascii="宋体" w:hAnsi="宋体" w:cs="宋体"/>
          <w:b/>
          <w:bCs/>
          <w:color w:val="auto"/>
          <w:sz w:val="32"/>
          <w:szCs w:val="32"/>
          <w:highlight w:val="none"/>
        </w:rPr>
      </w:pPr>
    </w:p>
    <w:p w14:paraId="0EC0D351">
      <w:pPr>
        <w:pStyle w:val="2"/>
        <w:rPr>
          <w:rFonts w:ascii="宋体" w:hAnsi="宋体" w:cs="宋体"/>
          <w:b/>
          <w:bCs/>
          <w:color w:val="auto"/>
          <w:sz w:val="32"/>
          <w:szCs w:val="32"/>
          <w:highlight w:val="none"/>
        </w:rPr>
      </w:pPr>
    </w:p>
    <w:p w14:paraId="70FA33FD">
      <w:pPr>
        <w:rPr>
          <w:rFonts w:ascii="宋体" w:hAnsi="宋体" w:cs="宋体"/>
          <w:b/>
          <w:bCs/>
          <w:color w:val="auto"/>
          <w:sz w:val="32"/>
          <w:szCs w:val="32"/>
          <w:highlight w:val="none"/>
        </w:rPr>
      </w:pPr>
    </w:p>
    <w:p w14:paraId="452EAFEC">
      <w:pPr>
        <w:pStyle w:val="2"/>
        <w:rPr>
          <w:rFonts w:ascii="宋体" w:hAnsi="宋体" w:cs="宋体"/>
          <w:b/>
          <w:bCs/>
          <w:color w:val="auto"/>
          <w:sz w:val="32"/>
          <w:szCs w:val="32"/>
          <w:highlight w:val="none"/>
        </w:rPr>
      </w:pPr>
    </w:p>
    <w:p w14:paraId="4B7F66A4">
      <w:pPr>
        <w:rPr>
          <w:rFonts w:ascii="宋体" w:hAnsi="宋体" w:cs="宋体"/>
          <w:b/>
          <w:bCs/>
          <w:color w:val="auto"/>
          <w:sz w:val="32"/>
          <w:szCs w:val="32"/>
          <w:highlight w:val="none"/>
        </w:rPr>
      </w:pPr>
    </w:p>
    <w:p w14:paraId="6FB669A7">
      <w:pPr>
        <w:pStyle w:val="2"/>
      </w:pPr>
    </w:p>
    <w:p w14:paraId="2CC1CC4E">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C1ACDDE">
      <w:pPr>
        <w:snapToGrid w:val="0"/>
        <w:spacing w:line="360" w:lineRule="auto"/>
        <w:rPr>
          <w:rFonts w:ascii="宋体" w:hAnsi="宋体" w:cs="宋体"/>
          <w:color w:val="auto"/>
          <w:sz w:val="24"/>
          <w:highlight w:val="none"/>
        </w:rPr>
      </w:pPr>
    </w:p>
    <w:p w14:paraId="4B0D3726">
      <w:pPr>
        <w:snapToGrid w:val="0"/>
        <w:spacing w:line="48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val="zh-CN" w:eastAsia="zh-CN"/>
        </w:rPr>
        <w:t>宁海县梅林街道社区卫生服务中心（宁海县第一医院医疗健康集团北部医院）</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浙江信望工程咨询有限公司</w:t>
      </w:r>
      <w:r>
        <w:rPr>
          <w:rFonts w:hint="eastAsia" w:ascii="宋体" w:hAnsi="宋体" w:cs="宋体"/>
          <w:color w:val="auto"/>
          <w:kern w:val="0"/>
          <w:sz w:val="21"/>
          <w:szCs w:val="21"/>
          <w:highlight w:val="none"/>
          <w:lang w:val="zh-CN"/>
        </w:rPr>
        <w:t>：</w:t>
      </w:r>
    </w:p>
    <w:p w14:paraId="0930F695">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7D9F27F7">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57DA19DA">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0A57108B">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77707FAE">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6869CEC8">
      <w:pPr>
        <w:autoSpaceDE w:val="0"/>
        <w:autoSpaceDN w:val="0"/>
        <w:spacing w:line="48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w:t>
      </w:r>
    </w:p>
    <w:p w14:paraId="544DBC5E">
      <w:pPr>
        <w:autoSpaceDE w:val="0"/>
        <w:autoSpaceDN w:val="0"/>
        <w:spacing w:line="48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好处；</w:t>
      </w:r>
    </w:p>
    <w:p w14:paraId="508F4723">
      <w:pPr>
        <w:autoSpaceDE w:val="0"/>
        <w:autoSpaceDN w:val="0"/>
        <w:spacing w:line="48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六、严格遵守《</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政府采购法》《</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招标投标</w:t>
      </w:r>
    </w:p>
    <w:p w14:paraId="6DB06F39">
      <w:pPr>
        <w:autoSpaceDE w:val="0"/>
        <w:autoSpaceDN w:val="0"/>
        <w:spacing w:line="48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法》</w:t>
      </w:r>
      <w:r>
        <w:rPr>
          <w:rFonts w:hint="eastAsia" w:ascii="宋体" w:hAnsi="宋体" w:cs="宋体"/>
          <w:color w:val="auto"/>
          <w:sz w:val="21"/>
          <w:szCs w:val="21"/>
          <w:highlight w:val="none"/>
          <w:lang w:val="zh-CN"/>
        </w:rPr>
        <w:t>《中华人民共和国民法典》</w:t>
      </w:r>
      <w:r>
        <w:rPr>
          <w:rFonts w:hint="eastAsia" w:ascii="宋体" w:hAnsi="宋体" w:cs="宋体"/>
          <w:color w:val="auto"/>
          <w:kern w:val="0"/>
          <w:sz w:val="21"/>
          <w:szCs w:val="21"/>
          <w:highlight w:val="none"/>
          <w:lang w:val="zh-CN"/>
        </w:rPr>
        <w:t xml:space="preserve">等法律法规，诚实守信，合法经营，坚决抵制各种违法违纪行为。 </w:t>
      </w:r>
    </w:p>
    <w:p w14:paraId="54340416">
      <w:pPr>
        <w:autoSpaceDE w:val="0"/>
        <w:autoSpaceDN w:val="0"/>
        <w:spacing w:line="48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14:paraId="4BF0BD8A">
      <w:pPr>
        <w:autoSpaceDE w:val="0"/>
        <w:autoSpaceDN w:val="0"/>
        <w:spacing w:line="480" w:lineRule="auto"/>
        <w:ind w:left="2"/>
        <w:jc w:val="left"/>
        <w:rPr>
          <w:rFonts w:ascii="宋体" w:hAnsi="宋体" w:cs="宋体"/>
          <w:color w:val="auto"/>
          <w:kern w:val="0"/>
          <w:sz w:val="21"/>
          <w:szCs w:val="21"/>
          <w:highlight w:val="none"/>
          <w:lang w:val="zh-CN"/>
        </w:rPr>
      </w:pPr>
    </w:p>
    <w:p w14:paraId="7F41A814">
      <w:pPr>
        <w:autoSpaceDE w:val="0"/>
        <w:autoSpaceDN w:val="0"/>
        <w:spacing w:line="480" w:lineRule="auto"/>
        <w:ind w:left="2"/>
        <w:jc w:val="left"/>
        <w:rPr>
          <w:rFonts w:ascii="宋体" w:hAnsi="宋体" w:cs="宋体"/>
          <w:color w:val="auto"/>
          <w:kern w:val="0"/>
          <w:sz w:val="21"/>
          <w:szCs w:val="21"/>
          <w:highlight w:val="none"/>
          <w:lang w:val="zh-CN"/>
        </w:rPr>
      </w:pPr>
    </w:p>
    <w:p w14:paraId="25FF678D">
      <w:pPr>
        <w:autoSpaceDE w:val="0"/>
        <w:autoSpaceDN w:val="0"/>
        <w:spacing w:line="480" w:lineRule="auto"/>
        <w:ind w:left="2"/>
        <w:jc w:val="left"/>
        <w:rPr>
          <w:rFonts w:ascii="宋体" w:hAnsi="宋体" w:cs="宋体"/>
          <w:color w:val="auto"/>
          <w:kern w:val="0"/>
          <w:sz w:val="21"/>
          <w:szCs w:val="21"/>
          <w:highlight w:val="none"/>
          <w:lang w:val="zh-CN"/>
        </w:rPr>
      </w:pPr>
    </w:p>
    <w:p w14:paraId="5E7F966B">
      <w:pPr>
        <w:autoSpaceDE w:val="0"/>
        <w:autoSpaceDN w:val="0"/>
        <w:spacing w:line="480" w:lineRule="auto"/>
        <w:ind w:left="2" w:leftChars="1" w:right="1120" w:firstLine="3990" w:firstLineChars="19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37E73535">
      <w:pPr>
        <w:spacing w:line="48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41661099">
      <w:pPr>
        <w:spacing w:line="480" w:lineRule="auto"/>
        <w:jc w:val="center"/>
        <w:rPr>
          <w:rFonts w:ascii="宋体" w:hAnsi="宋体" w:cs="宋体"/>
          <w:b/>
          <w:bCs/>
          <w:color w:val="auto"/>
          <w:sz w:val="24"/>
          <w:highlight w:val="none"/>
        </w:rPr>
      </w:pPr>
    </w:p>
    <w:p w14:paraId="7E557367">
      <w:pPr>
        <w:autoSpaceDE w:val="0"/>
        <w:autoSpaceDN w:val="0"/>
        <w:spacing w:line="480" w:lineRule="auto"/>
        <w:ind w:left="2" w:leftChars="1" w:right="1120" w:firstLine="3990" w:firstLineChars="19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注：按本格式和要求提供。</w:t>
      </w:r>
    </w:p>
    <w:p w14:paraId="795C667B">
      <w:pPr>
        <w:spacing w:line="480" w:lineRule="auto"/>
        <w:jc w:val="center"/>
        <w:rPr>
          <w:rFonts w:ascii="宋体" w:hAnsi="宋体" w:cs="宋体"/>
          <w:b/>
          <w:bCs/>
          <w:color w:val="auto"/>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14:paraId="6CD2C18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31261B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9F6699">
      <w:pPr>
        <w:spacing w:line="360" w:lineRule="auto"/>
        <w:jc w:val="center"/>
        <w:outlineLvl w:val="0"/>
        <w:rPr>
          <w:rFonts w:ascii="宋体" w:hAnsi="宋体" w:cs="宋体"/>
          <w:b/>
          <w:color w:val="auto"/>
          <w:kern w:val="0"/>
          <w:sz w:val="36"/>
          <w:szCs w:val="36"/>
          <w:highlight w:val="none"/>
        </w:rPr>
      </w:pPr>
    </w:p>
    <w:p w14:paraId="0E46BE8C">
      <w:pPr>
        <w:numPr>
          <w:ilvl w:val="0"/>
          <w:numId w:val="8"/>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08B61D1D">
      <w:pPr>
        <w:spacing w:line="360" w:lineRule="auto"/>
        <w:rPr>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661F2E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56CC47E7">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49F54BD1">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7D8710C6">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2312EFD2">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3BA64431">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11A8FEEB">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7F4CC068">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551ED53F">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63683990">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5FD2F8F5">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1CF77534">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5963E92B">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68A5B3C4">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03304355">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65F8719C">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263F095D">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0E4D1583">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0071E603">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p>
    <w:p w14:paraId="65B676EA">
      <w:pPr>
        <w:pStyle w:val="8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9A60668">
      <w:pPr>
        <w:snapToGrid w:val="0"/>
        <w:spacing w:line="48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val="zh-CN" w:eastAsia="zh-CN"/>
        </w:rPr>
        <w:t>宁海县梅林街道社区卫生服务中心（宁海县第一医院医疗健康集团北部医院）</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浙江信望工程咨询有限公司</w:t>
      </w:r>
      <w:r>
        <w:rPr>
          <w:rFonts w:hint="eastAsia" w:ascii="宋体" w:hAnsi="宋体" w:cs="宋体"/>
          <w:color w:val="auto"/>
          <w:kern w:val="0"/>
          <w:sz w:val="21"/>
          <w:szCs w:val="21"/>
          <w:highlight w:val="none"/>
          <w:lang w:val="zh-CN"/>
        </w:rPr>
        <w:t>：</w:t>
      </w:r>
    </w:p>
    <w:p w14:paraId="45D49DCA">
      <w:pPr>
        <w:snapToGrid w:val="0"/>
        <w:spacing w:line="480" w:lineRule="auto"/>
        <w:ind w:firstLine="482"/>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1"/>
          <w:szCs w:val="21"/>
          <w:highlight w:val="none"/>
          <w:lang w:eastAsia="zh-CN"/>
        </w:rPr>
        <w:t>宁海县第一医院医疗健康集团北部医院食堂管理外包服务项目</w:t>
      </w:r>
      <w:r>
        <w:rPr>
          <w:rFonts w:hint="eastAsia" w:ascii="宋体" w:hAnsi="宋体" w:cs="宋体"/>
          <w:color w:val="auto"/>
          <w:kern w:val="0"/>
          <w:sz w:val="21"/>
          <w:szCs w:val="21"/>
          <w:highlight w:val="none"/>
          <w:lang w:val="zh-CN"/>
        </w:rPr>
        <w:t>【招标编号：</w:t>
      </w:r>
      <w:r>
        <w:rPr>
          <w:rFonts w:hint="eastAsia" w:ascii="宋体" w:hAnsi="宋体" w:cs="宋体"/>
          <w:color w:val="auto"/>
          <w:sz w:val="21"/>
          <w:szCs w:val="21"/>
          <w:highlight w:val="none"/>
          <w:lang w:eastAsia="zh-CN"/>
        </w:rPr>
        <w:t>浙信基招【2025】第NH001号</w:t>
      </w:r>
      <w:r>
        <w:rPr>
          <w:rFonts w:hint="eastAsia" w:ascii="宋体" w:hAnsi="宋体" w:cs="宋体"/>
          <w:color w:val="auto"/>
          <w:sz w:val="21"/>
          <w:szCs w:val="21"/>
          <w:highlight w:val="none"/>
        </w:rPr>
        <w:t>】的实施</w:t>
      </w:r>
      <w:r>
        <w:rPr>
          <w:rFonts w:hint="eastAsia" w:ascii="宋体" w:hAnsi="宋体" w:cs="宋体"/>
          <w:color w:val="auto"/>
          <w:kern w:val="0"/>
          <w:sz w:val="21"/>
          <w:szCs w:val="21"/>
          <w:highlight w:val="none"/>
          <w:lang w:val="zh-CN"/>
        </w:rPr>
        <w:t>。</w:t>
      </w:r>
    </w:p>
    <w:tbl>
      <w:tblPr>
        <w:tblStyle w:val="31"/>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874"/>
        <w:gridCol w:w="1020"/>
        <w:gridCol w:w="1105"/>
        <w:gridCol w:w="1265"/>
        <w:gridCol w:w="1145"/>
        <w:gridCol w:w="1370"/>
      </w:tblGrid>
      <w:tr w14:paraId="138B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956" w:type="dxa"/>
            <w:noWrap w:val="0"/>
            <w:vAlign w:val="center"/>
          </w:tcPr>
          <w:p w14:paraId="6DC3A2FA">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序号</w:t>
            </w:r>
          </w:p>
        </w:tc>
        <w:tc>
          <w:tcPr>
            <w:tcW w:w="1874" w:type="dxa"/>
            <w:noWrap w:val="0"/>
            <w:vAlign w:val="center"/>
          </w:tcPr>
          <w:p w14:paraId="5B257944">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服务内容</w:t>
            </w:r>
          </w:p>
        </w:tc>
        <w:tc>
          <w:tcPr>
            <w:tcW w:w="1020" w:type="dxa"/>
            <w:noWrap w:val="0"/>
            <w:vAlign w:val="center"/>
          </w:tcPr>
          <w:p w14:paraId="1BDBD163">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数量</w:t>
            </w:r>
          </w:p>
        </w:tc>
        <w:tc>
          <w:tcPr>
            <w:tcW w:w="1105" w:type="dxa"/>
            <w:noWrap w:val="0"/>
            <w:vAlign w:val="center"/>
          </w:tcPr>
          <w:p w14:paraId="1010310C">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单位</w:t>
            </w:r>
          </w:p>
        </w:tc>
        <w:tc>
          <w:tcPr>
            <w:tcW w:w="1265" w:type="dxa"/>
            <w:noWrap w:val="0"/>
            <w:vAlign w:val="center"/>
          </w:tcPr>
          <w:p w14:paraId="71EF8D76">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单价（元/年）</w:t>
            </w:r>
          </w:p>
        </w:tc>
        <w:tc>
          <w:tcPr>
            <w:tcW w:w="1145" w:type="dxa"/>
            <w:noWrap w:val="0"/>
            <w:vAlign w:val="center"/>
          </w:tcPr>
          <w:p w14:paraId="3726B6CB">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三年投标</w:t>
            </w:r>
          </w:p>
          <w:p w14:paraId="2C299238">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总价</w:t>
            </w:r>
          </w:p>
        </w:tc>
        <w:tc>
          <w:tcPr>
            <w:tcW w:w="1370" w:type="dxa"/>
            <w:noWrap w:val="0"/>
            <w:vAlign w:val="center"/>
          </w:tcPr>
          <w:p w14:paraId="77A0317E">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备注</w:t>
            </w:r>
          </w:p>
        </w:tc>
      </w:tr>
      <w:tr w14:paraId="3094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956" w:type="dxa"/>
            <w:noWrap w:val="0"/>
            <w:vAlign w:val="center"/>
          </w:tcPr>
          <w:p w14:paraId="34CA1333">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1</w:t>
            </w:r>
          </w:p>
        </w:tc>
        <w:tc>
          <w:tcPr>
            <w:tcW w:w="1874" w:type="dxa"/>
            <w:noWrap w:val="0"/>
            <w:vAlign w:val="center"/>
          </w:tcPr>
          <w:p w14:paraId="1CFACD2E">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p>
        </w:tc>
        <w:tc>
          <w:tcPr>
            <w:tcW w:w="1020" w:type="dxa"/>
            <w:noWrap w:val="0"/>
            <w:vAlign w:val="center"/>
          </w:tcPr>
          <w:p w14:paraId="3071436C">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3</w:t>
            </w:r>
          </w:p>
        </w:tc>
        <w:tc>
          <w:tcPr>
            <w:tcW w:w="1105" w:type="dxa"/>
            <w:noWrap w:val="0"/>
            <w:vAlign w:val="center"/>
          </w:tcPr>
          <w:p w14:paraId="02926CAA">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年</w:t>
            </w:r>
          </w:p>
        </w:tc>
        <w:tc>
          <w:tcPr>
            <w:tcW w:w="1265" w:type="dxa"/>
            <w:noWrap w:val="0"/>
            <w:vAlign w:val="center"/>
          </w:tcPr>
          <w:p w14:paraId="71FEF866">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p>
        </w:tc>
        <w:tc>
          <w:tcPr>
            <w:tcW w:w="1145" w:type="dxa"/>
            <w:noWrap w:val="0"/>
            <w:vAlign w:val="center"/>
          </w:tcPr>
          <w:p w14:paraId="397A3DB6">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p>
        </w:tc>
        <w:tc>
          <w:tcPr>
            <w:tcW w:w="1370" w:type="dxa"/>
            <w:noWrap w:val="0"/>
            <w:vAlign w:val="center"/>
          </w:tcPr>
          <w:p w14:paraId="7C793D10">
            <w:pPr>
              <w:keepNext w:val="0"/>
              <w:keepLines w:val="0"/>
              <w:suppressLineNumbers w:val="0"/>
              <w:spacing w:before="0" w:beforeAutospacing="0" w:after="0" w:afterAutospacing="0" w:line="480" w:lineRule="auto"/>
              <w:ind w:left="0" w:right="0"/>
              <w:jc w:val="center"/>
              <w:rPr>
                <w:rFonts w:hint="default" w:ascii="宋体" w:hAnsi="宋体" w:eastAsia="宋体"/>
                <w:color w:val="auto"/>
                <w:szCs w:val="21"/>
                <w:highlight w:val="none"/>
              </w:rPr>
            </w:pPr>
          </w:p>
        </w:tc>
      </w:tr>
      <w:tr w14:paraId="7FFA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735" w:type="dxa"/>
            <w:gridSpan w:val="7"/>
            <w:noWrap w:val="0"/>
            <w:vAlign w:val="center"/>
          </w:tcPr>
          <w:p w14:paraId="5796D638">
            <w:pPr>
              <w:keepNext w:val="0"/>
              <w:keepLines w:val="0"/>
              <w:suppressLineNumbers w:val="0"/>
              <w:spacing w:before="0" w:beforeAutospacing="0" w:after="0" w:afterAutospacing="0" w:line="480"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三年投标总价金额大写：                               小写</w:t>
            </w:r>
            <w:r>
              <w:rPr>
                <w:rFonts w:hint="eastAsia" w:ascii="宋体" w:hAnsi="宋体" w:eastAsia="宋体"/>
                <w:color w:val="auto"/>
                <w:szCs w:val="21"/>
                <w:highlight w:val="none"/>
                <w:shd w:val="clear" w:color="auto" w:fill="FFFFFF"/>
              </w:rPr>
              <w:t>¥</w:t>
            </w:r>
            <w:r>
              <w:rPr>
                <w:rFonts w:hint="eastAsia" w:ascii="宋体" w:hAnsi="宋体" w:eastAsia="宋体"/>
                <w:color w:val="auto"/>
                <w:szCs w:val="21"/>
                <w:highlight w:val="none"/>
              </w:rPr>
              <w:t>：</w:t>
            </w:r>
          </w:p>
        </w:tc>
      </w:tr>
    </w:tbl>
    <w:p w14:paraId="3565F0F2">
      <w:pPr>
        <w:snapToGrid w:val="0"/>
        <w:spacing w:line="480" w:lineRule="auto"/>
        <w:ind w:left="480"/>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注：</w:t>
      </w:r>
    </w:p>
    <w:p w14:paraId="5C74741B">
      <w:pPr>
        <w:spacing w:line="480" w:lineRule="auto"/>
        <w:ind w:left="-2" w:leftChars="-1"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1、投标人需按本表格式填写</w:t>
      </w: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rPr>
        <w:t>否则视为</w:t>
      </w:r>
      <w:r>
        <w:rPr>
          <w:rFonts w:hint="eastAsia" w:ascii="宋体" w:hAnsi="宋体" w:cs="宋体"/>
          <w:b/>
          <w:color w:val="auto"/>
          <w:sz w:val="21"/>
          <w:szCs w:val="21"/>
          <w:highlight w:val="none"/>
        </w:rPr>
        <w:t>投标文件含有采购人不能接受的附加条件，投标无效</w:t>
      </w:r>
      <w:r>
        <w:rPr>
          <w:rFonts w:hint="eastAsia" w:ascii="宋体" w:hAnsi="宋体" w:cs="宋体"/>
          <w:b/>
          <w:color w:val="auto"/>
          <w:kern w:val="0"/>
          <w:sz w:val="21"/>
          <w:szCs w:val="21"/>
          <w:highlight w:val="none"/>
          <w:lang w:val="zh-CN"/>
        </w:rPr>
        <w:t>；</w:t>
      </w:r>
      <w:r>
        <w:rPr>
          <w:rFonts w:hint="eastAsia" w:ascii="宋体" w:hAnsi="宋体" w:cs="宋体"/>
          <w:color w:val="auto"/>
          <w:kern w:val="0"/>
          <w:sz w:val="21"/>
          <w:szCs w:val="21"/>
          <w:highlight w:val="none"/>
          <w:lang w:val="zh-CN"/>
        </w:rPr>
        <w:t>。</w:t>
      </w:r>
    </w:p>
    <w:p w14:paraId="41EA0945">
      <w:pPr>
        <w:spacing w:line="48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2、有关本项目实施所涉及的一切费用均计入报价。</w:t>
      </w:r>
      <w:r>
        <w:rPr>
          <w:rFonts w:hint="eastAsia" w:ascii="宋体" w:hAnsi="宋体" w:cs="宋体"/>
          <w:color w:val="auto"/>
          <w:kern w:val="0"/>
          <w:sz w:val="21"/>
          <w:szCs w:val="21"/>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1"/>
          <w:szCs w:val="21"/>
          <w:highlight w:val="none"/>
          <w:lang w:val="zh-CN"/>
        </w:rPr>
        <w:t>采购内容未包含在《开标一览表（报价表）》名称栏中，投标人不能作出合理解释的，</w:t>
      </w:r>
      <w:r>
        <w:rPr>
          <w:rFonts w:hint="eastAsia" w:ascii="宋体" w:hAnsi="宋体" w:cs="宋体"/>
          <w:b/>
          <w:color w:val="auto"/>
          <w:kern w:val="0"/>
          <w:sz w:val="21"/>
          <w:szCs w:val="21"/>
          <w:highlight w:val="none"/>
        </w:rPr>
        <w:t>视为</w:t>
      </w:r>
      <w:r>
        <w:rPr>
          <w:rFonts w:hint="eastAsia" w:ascii="宋体" w:hAnsi="宋体" w:cs="宋体"/>
          <w:b/>
          <w:color w:val="auto"/>
          <w:sz w:val="21"/>
          <w:szCs w:val="21"/>
          <w:highlight w:val="none"/>
        </w:rPr>
        <w:t>投标文件含有采购人不能接受的附加条件的，投标无效。</w:t>
      </w:r>
    </w:p>
    <w:p w14:paraId="45F48454">
      <w:pPr>
        <w:snapToGrid w:val="0"/>
        <w:spacing w:line="48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3、特别提示：采购代理机构将对项目名称和项目编号，中标供应商名称、地址和中标金额，主要中标标的名称、服务范围、服务要求、服务时间、服务标准等予以公示。</w:t>
      </w:r>
    </w:p>
    <w:p w14:paraId="5891961B">
      <w:pPr>
        <w:snapToGrid w:val="0"/>
        <w:spacing w:line="480" w:lineRule="auto"/>
        <w:ind w:firstLine="420" w:firstLineChars="200"/>
        <w:jc w:val="left"/>
        <w:rPr>
          <w:rFonts w:ascii="宋体" w:hAnsi="宋体" w:cs="宋体"/>
          <w:color w:val="auto"/>
          <w:kern w:val="0"/>
          <w:sz w:val="21"/>
          <w:szCs w:val="21"/>
          <w:highlight w:val="none"/>
          <w:lang w:val="zh-CN"/>
        </w:rPr>
      </w:pPr>
      <w:r>
        <w:rPr>
          <w:rFonts w:ascii="宋体" w:hAnsi="宋体" w:cs="宋体"/>
          <w:color w:val="auto"/>
          <w:kern w:val="0"/>
          <w:sz w:val="21"/>
          <w:szCs w:val="21"/>
          <w:highlight w:val="none"/>
          <w:lang w:val="zh-CN"/>
        </w:rPr>
        <w:t>4</w:t>
      </w:r>
      <w:r>
        <w:rPr>
          <w:rFonts w:hint="eastAsia" w:ascii="宋体" w:hAnsi="宋体" w:cs="宋体"/>
          <w:color w:val="auto"/>
          <w:kern w:val="0"/>
          <w:sz w:val="21"/>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E09EBE6">
      <w:pPr>
        <w:spacing w:line="400" w:lineRule="exact"/>
        <w:rPr>
          <w:rFonts w:ascii="宋体" w:hAnsi="宋体" w:cs="仿宋_GB2312"/>
          <w:color w:val="auto"/>
          <w:sz w:val="24"/>
        </w:rPr>
      </w:pPr>
    </w:p>
    <w:p w14:paraId="30D2BA54">
      <w:pPr>
        <w:spacing w:line="400" w:lineRule="exact"/>
        <w:rPr>
          <w:rFonts w:ascii="仿宋" w:hAnsi="仿宋" w:eastAsia="仿宋"/>
          <w:color w:val="auto"/>
          <w:sz w:val="30"/>
          <w:szCs w:val="30"/>
        </w:rPr>
      </w:pPr>
      <w:r>
        <w:rPr>
          <w:rFonts w:ascii="宋体" w:hAnsi="宋体" w:cs="仿宋_GB2312"/>
          <w:color w:val="auto"/>
          <w:sz w:val="24"/>
        </w:rPr>
        <w:t>附件</w:t>
      </w:r>
      <w:r>
        <w:rPr>
          <w:rFonts w:hint="eastAsia" w:ascii="宋体" w:hAnsi="宋体" w:cs="仿宋_GB2312"/>
          <w:color w:val="auto"/>
          <w:sz w:val="24"/>
          <w:lang w:eastAsia="zh-CN"/>
        </w:rPr>
        <w:t>二</w:t>
      </w:r>
    </w:p>
    <w:p w14:paraId="61D7AEFA">
      <w:pPr>
        <w:pStyle w:val="14"/>
        <w:snapToGrid w:val="0"/>
        <w:spacing w:before="120" w:after="120"/>
        <w:jc w:val="center"/>
        <w:rPr>
          <w:rFonts w:hint="eastAsia" w:hAnsi="宋体"/>
          <w:b/>
          <w:sz w:val="30"/>
          <w:szCs w:val="30"/>
        </w:rPr>
      </w:pPr>
      <w:r>
        <w:rPr>
          <w:rFonts w:hint="eastAsia" w:hAnsi="宋体"/>
          <w:b/>
          <w:sz w:val="30"/>
          <w:szCs w:val="30"/>
        </w:rPr>
        <w:t>费</w:t>
      </w:r>
      <w:r>
        <w:rPr>
          <w:rFonts w:hint="eastAsia" w:hAnsi="宋体"/>
          <w:b/>
          <w:sz w:val="30"/>
          <w:szCs w:val="30"/>
          <w:lang w:eastAsia="zh-CN"/>
        </w:rPr>
        <w:t>用</w:t>
      </w:r>
      <w:r>
        <w:rPr>
          <w:rFonts w:hint="eastAsia" w:hAnsi="宋体"/>
          <w:b/>
          <w:sz w:val="30"/>
          <w:szCs w:val="30"/>
        </w:rPr>
        <w:t>构成明细报价</w:t>
      </w:r>
    </w:p>
    <w:p w14:paraId="52D86CE8">
      <w:pPr>
        <w:pStyle w:val="14"/>
        <w:snapToGrid w:val="0"/>
        <w:spacing w:beforeLines="0" w:afterLines="0"/>
        <w:jc w:val="center"/>
        <w:rPr>
          <w:rFonts w:ascii="宋体" w:hAnsi="宋体" w:eastAsia="宋体"/>
          <w:color w:val="auto"/>
          <w:sz w:val="21"/>
          <w:szCs w:val="21"/>
          <w:highlight w:val="none"/>
        </w:rPr>
      </w:pPr>
    </w:p>
    <w:p w14:paraId="0845B1CF">
      <w:pPr>
        <w:tabs>
          <w:tab w:val="left" w:pos="1418"/>
        </w:tabs>
        <w:snapToGrid w:val="0"/>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项目名称：　　　　　　　　　　　　　　　　　　　　项目编号：</w:t>
      </w:r>
    </w:p>
    <w:p w14:paraId="4C16BD2E">
      <w:pPr>
        <w:tabs>
          <w:tab w:val="left" w:pos="1418"/>
        </w:tabs>
        <w:snapToGrid w:val="0"/>
        <w:spacing w:line="400" w:lineRule="exact"/>
        <w:ind w:firstLine="5985" w:firstLineChars="2850"/>
        <w:rPr>
          <w:rFonts w:ascii="宋体" w:hAnsi="宋体" w:eastAsia="宋体"/>
          <w:color w:val="auto"/>
          <w:szCs w:val="21"/>
          <w:highlight w:val="none"/>
        </w:rPr>
      </w:pPr>
      <w:r>
        <w:rPr>
          <w:rFonts w:hint="eastAsia" w:ascii="宋体" w:hAnsi="宋体" w:eastAsia="宋体"/>
          <w:color w:val="auto"/>
          <w:szCs w:val="21"/>
          <w:highlight w:val="none"/>
        </w:rPr>
        <w:t>单位：</w:t>
      </w:r>
      <w:r>
        <w:rPr>
          <w:rFonts w:hint="eastAsia" w:ascii="宋体" w:hAnsi="宋体" w:eastAsia="宋体"/>
          <w:color w:val="auto"/>
          <w:szCs w:val="21"/>
          <w:highlight w:val="none"/>
          <w:lang w:val="zh-CN"/>
        </w:rPr>
        <w:t>元（人民币）</w:t>
      </w:r>
    </w:p>
    <w:tbl>
      <w:tblPr>
        <w:tblStyle w:val="31"/>
        <w:tblW w:w="8529" w:type="dxa"/>
        <w:jc w:val="center"/>
        <w:tblLayout w:type="fixed"/>
        <w:tblCellMar>
          <w:top w:w="0" w:type="dxa"/>
          <w:left w:w="108" w:type="dxa"/>
          <w:bottom w:w="0" w:type="dxa"/>
          <w:right w:w="108" w:type="dxa"/>
        </w:tblCellMar>
      </w:tblPr>
      <w:tblGrid>
        <w:gridCol w:w="747"/>
        <w:gridCol w:w="2430"/>
        <w:gridCol w:w="1575"/>
        <w:gridCol w:w="1950"/>
        <w:gridCol w:w="1826"/>
        <w:gridCol w:w="1"/>
      </w:tblGrid>
      <w:tr w14:paraId="445449B9">
        <w:tblPrEx>
          <w:tblCellMar>
            <w:top w:w="0" w:type="dxa"/>
            <w:left w:w="108" w:type="dxa"/>
            <w:bottom w:w="0" w:type="dxa"/>
            <w:right w:w="108" w:type="dxa"/>
          </w:tblCellMar>
        </w:tblPrEx>
        <w:trPr>
          <w:gridAfter w:val="1"/>
          <w:wAfter w:w="1" w:type="dxa"/>
          <w:trHeight w:val="491"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9C837">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cs="Tahoma"/>
                <w:b w:val="0"/>
                <w:bCs w:val="0"/>
                <w:color w:val="000000"/>
                <w:kern w:val="0"/>
                <w:szCs w:val="20"/>
                <w:highlight w:val="none"/>
              </w:rPr>
            </w:pPr>
            <w:r>
              <w:rPr>
                <w:rFonts w:hint="eastAsia" w:ascii="宋体" w:hAnsi="宋体" w:cs="Tahoma"/>
                <w:b w:val="0"/>
                <w:bCs w:val="0"/>
                <w:color w:val="000000"/>
                <w:kern w:val="0"/>
                <w:szCs w:val="20"/>
                <w:highlight w:val="none"/>
              </w:rPr>
              <w:t>序号</w:t>
            </w:r>
          </w:p>
        </w:tc>
        <w:tc>
          <w:tcPr>
            <w:tcW w:w="2430" w:type="dxa"/>
            <w:tcBorders>
              <w:top w:val="single" w:color="000000" w:sz="4" w:space="0"/>
              <w:left w:val="nil"/>
              <w:bottom w:val="single" w:color="000000" w:sz="4" w:space="0"/>
              <w:right w:val="single" w:color="auto" w:sz="4" w:space="0"/>
            </w:tcBorders>
            <w:shd w:val="clear" w:color="auto" w:fill="FFFFFF"/>
            <w:noWrap w:val="0"/>
            <w:vAlign w:val="center"/>
          </w:tcPr>
          <w:p w14:paraId="39B2C8B1">
            <w:pPr>
              <w:keepNext w:val="0"/>
              <w:keepLines w:val="0"/>
              <w:pageBreakBefore w:val="0"/>
              <w:widowControl/>
              <w:suppressLineNumbers w:val="0"/>
              <w:kinsoku/>
              <w:wordWrap/>
              <w:overflowPunct/>
              <w:topLinePunct w:val="0"/>
              <w:bidi w:val="0"/>
              <w:adjustRightInd/>
              <w:spacing w:before="0" w:beforeAutospacing="0" w:after="0" w:afterAutospacing="0" w:line="720" w:lineRule="auto"/>
              <w:ind w:left="0" w:right="0"/>
              <w:jc w:val="center"/>
              <w:rPr>
                <w:rFonts w:hint="default" w:ascii="宋体" w:hAnsi="宋体" w:cs="Tahoma"/>
                <w:b w:val="0"/>
                <w:bCs w:val="0"/>
                <w:color w:val="000000"/>
                <w:kern w:val="0"/>
                <w:szCs w:val="20"/>
                <w:highlight w:val="none"/>
              </w:rPr>
            </w:pPr>
            <w:r>
              <w:rPr>
                <w:rFonts w:hint="eastAsia" w:ascii="宋体" w:hAnsi="宋体" w:eastAsia="宋体" w:cs="宋体"/>
                <w:color w:val="auto"/>
                <w:szCs w:val="21"/>
                <w:highlight w:val="none"/>
              </w:rPr>
              <w:t>服务费用</w:t>
            </w:r>
          </w:p>
        </w:tc>
        <w:tc>
          <w:tcPr>
            <w:tcW w:w="1575" w:type="dxa"/>
            <w:tcBorders>
              <w:top w:val="single" w:color="000000" w:sz="4" w:space="0"/>
              <w:left w:val="nil"/>
              <w:bottom w:val="single" w:color="000000" w:sz="4" w:space="0"/>
              <w:right w:val="single" w:color="auto" w:sz="4" w:space="0"/>
            </w:tcBorders>
            <w:shd w:val="clear" w:color="auto" w:fill="FFFFFF"/>
            <w:noWrap w:val="0"/>
            <w:vAlign w:val="center"/>
          </w:tcPr>
          <w:p w14:paraId="7668FA57">
            <w:pPr>
              <w:keepNext w:val="0"/>
              <w:keepLines w:val="0"/>
              <w:pageBreakBefore w:val="0"/>
              <w:widowControl/>
              <w:suppressLineNumbers w:val="0"/>
              <w:kinsoku/>
              <w:wordWrap/>
              <w:overflowPunct/>
              <w:topLinePunct w:val="0"/>
              <w:bidi w:val="0"/>
              <w:adjustRightInd/>
              <w:spacing w:before="0" w:beforeAutospacing="0" w:after="0" w:afterAutospacing="0" w:line="720" w:lineRule="auto"/>
              <w:ind w:left="0" w:right="0"/>
              <w:jc w:val="center"/>
              <w:rPr>
                <w:rFonts w:hint="default" w:ascii="宋体" w:hAnsi="宋体" w:cs="Tahoma"/>
                <w:b w:val="0"/>
                <w:bCs w:val="0"/>
                <w:color w:val="000000"/>
                <w:kern w:val="0"/>
                <w:szCs w:val="20"/>
                <w:highlight w:val="none"/>
              </w:rPr>
            </w:pPr>
            <w:r>
              <w:rPr>
                <w:rFonts w:hint="eastAsia"/>
                <w:szCs w:val="20"/>
                <w:highlight w:val="none"/>
              </w:rPr>
              <w:t>单价（元/年）</w:t>
            </w:r>
          </w:p>
        </w:tc>
        <w:tc>
          <w:tcPr>
            <w:tcW w:w="1950" w:type="dxa"/>
            <w:tcBorders>
              <w:top w:val="single" w:color="000000" w:sz="4" w:space="0"/>
              <w:left w:val="nil"/>
              <w:bottom w:val="single" w:color="000000" w:sz="4" w:space="0"/>
              <w:right w:val="single" w:color="auto" w:sz="4" w:space="0"/>
            </w:tcBorders>
            <w:shd w:val="clear" w:color="auto" w:fill="FFFFFF"/>
            <w:noWrap w:val="0"/>
            <w:vAlign w:val="center"/>
          </w:tcPr>
          <w:p w14:paraId="3589002A">
            <w:pPr>
              <w:keepNext w:val="0"/>
              <w:keepLines w:val="0"/>
              <w:pageBreakBefore w:val="0"/>
              <w:widowControl/>
              <w:suppressLineNumbers w:val="0"/>
              <w:kinsoku/>
              <w:wordWrap/>
              <w:overflowPunct/>
              <w:topLinePunct w:val="0"/>
              <w:bidi w:val="0"/>
              <w:adjustRightInd/>
              <w:spacing w:before="0" w:beforeAutospacing="0" w:after="0" w:afterAutospacing="0" w:line="720" w:lineRule="auto"/>
              <w:ind w:left="0" w:right="0"/>
              <w:jc w:val="center"/>
              <w:rPr>
                <w:rFonts w:hint="default" w:ascii="宋体" w:hAnsi="宋体" w:cs="Tahoma"/>
                <w:b w:val="0"/>
                <w:bCs w:val="0"/>
                <w:color w:val="000000"/>
                <w:kern w:val="0"/>
                <w:szCs w:val="20"/>
                <w:highlight w:val="none"/>
              </w:rPr>
            </w:pPr>
            <w:r>
              <w:rPr>
                <w:rFonts w:hint="eastAsia"/>
                <w:szCs w:val="20"/>
                <w:highlight w:val="none"/>
              </w:rPr>
              <w:t>三年投标总价</w:t>
            </w:r>
          </w:p>
        </w:tc>
        <w:tc>
          <w:tcPr>
            <w:tcW w:w="1826" w:type="dxa"/>
            <w:tcBorders>
              <w:top w:val="single" w:color="000000" w:sz="4" w:space="0"/>
              <w:left w:val="nil"/>
              <w:bottom w:val="single" w:color="000000" w:sz="4" w:space="0"/>
              <w:right w:val="single" w:color="auto" w:sz="4" w:space="0"/>
            </w:tcBorders>
            <w:shd w:val="clear" w:color="auto" w:fill="FFFFFF"/>
            <w:noWrap w:val="0"/>
            <w:vAlign w:val="center"/>
          </w:tcPr>
          <w:p w14:paraId="299FB3F9">
            <w:pPr>
              <w:keepNext w:val="0"/>
              <w:keepLines w:val="0"/>
              <w:pageBreakBefore w:val="0"/>
              <w:widowControl/>
              <w:suppressLineNumbers w:val="0"/>
              <w:kinsoku/>
              <w:wordWrap/>
              <w:overflowPunct/>
              <w:topLinePunct w:val="0"/>
              <w:bidi w:val="0"/>
              <w:adjustRightInd/>
              <w:spacing w:before="0" w:beforeAutospacing="0" w:after="0" w:afterAutospacing="0" w:line="720" w:lineRule="auto"/>
              <w:ind w:left="0" w:right="0"/>
              <w:jc w:val="center"/>
              <w:rPr>
                <w:rFonts w:hint="default" w:ascii="宋体" w:hAnsi="宋体" w:cs="Tahoma"/>
                <w:b w:val="0"/>
                <w:bCs w:val="0"/>
                <w:color w:val="000000"/>
                <w:kern w:val="0"/>
                <w:szCs w:val="20"/>
                <w:highlight w:val="none"/>
              </w:rPr>
            </w:pPr>
            <w:r>
              <w:rPr>
                <w:rFonts w:hint="eastAsia" w:ascii="宋体" w:hAnsi="宋体" w:cs="Tahoma"/>
                <w:b w:val="0"/>
                <w:bCs w:val="0"/>
                <w:color w:val="000000"/>
                <w:kern w:val="0"/>
                <w:szCs w:val="20"/>
                <w:highlight w:val="none"/>
              </w:rPr>
              <w:t>说明</w:t>
            </w:r>
          </w:p>
        </w:tc>
      </w:tr>
      <w:tr w14:paraId="425CA33E">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000000" w:sz="4" w:space="0"/>
            </w:tcBorders>
            <w:shd w:val="clear" w:color="auto" w:fill="FFFFFF"/>
            <w:noWrap w:val="0"/>
            <w:vAlign w:val="center"/>
          </w:tcPr>
          <w:p w14:paraId="18A23369">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cs="Tahoma"/>
                <w:b w:val="0"/>
                <w:bCs w:val="0"/>
                <w:color w:val="000000"/>
                <w:kern w:val="0"/>
                <w:szCs w:val="20"/>
                <w:highlight w:val="none"/>
              </w:rPr>
            </w:pPr>
          </w:p>
        </w:tc>
        <w:tc>
          <w:tcPr>
            <w:tcW w:w="2430" w:type="dxa"/>
            <w:tcBorders>
              <w:top w:val="nil"/>
              <w:left w:val="nil"/>
              <w:bottom w:val="single" w:color="000000" w:sz="4" w:space="0"/>
              <w:right w:val="single" w:color="auto" w:sz="4" w:space="0"/>
            </w:tcBorders>
            <w:shd w:val="clear" w:color="auto" w:fill="FFFFFF"/>
            <w:noWrap w:val="0"/>
            <w:vAlign w:val="center"/>
          </w:tcPr>
          <w:p w14:paraId="67B44163">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cs="Tahoma"/>
                <w:b w:val="0"/>
                <w:bCs w:val="0"/>
                <w:color w:val="000000"/>
                <w:kern w:val="0"/>
                <w:szCs w:val="20"/>
                <w:highlight w:val="none"/>
              </w:rPr>
            </w:pPr>
          </w:p>
        </w:tc>
        <w:tc>
          <w:tcPr>
            <w:tcW w:w="1575" w:type="dxa"/>
            <w:tcBorders>
              <w:top w:val="nil"/>
              <w:left w:val="nil"/>
              <w:bottom w:val="single" w:color="000000" w:sz="4" w:space="0"/>
              <w:right w:val="single" w:color="auto" w:sz="4" w:space="0"/>
            </w:tcBorders>
            <w:shd w:val="clear" w:color="auto" w:fill="FFFFFF"/>
            <w:noWrap w:val="0"/>
            <w:vAlign w:val="center"/>
          </w:tcPr>
          <w:p w14:paraId="0C06108D">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left"/>
              <w:textAlignment w:val="center"/>
              <w:rPr>
                <w:rFonts w:hint="default" w:ascii="宋体" w:hAnsi="宋体" w:cs="Tahoma"/>
                <w:b w:val="0"/>
                <w:bCs w:val="0"/>
                <w:color w:val="000000"/>
                <w:kern w:val="0"/>
                <w:szCs w:val="20"/>
                <w:highlight w:val="none"/>
              </w:rPr>
            </w:pPr>
          </w:p>
        </w:tc>
        <w:tc>
          <w:tcPr>
            <w:tcW w:w="1950" w:type="dxa"/>
            <w:tcBorders>
              <w:top w:val="nil"/>
              <w:left w:val="nil"/>
              <w:bottom w:val="single" w:color="000000" w:sz="4" w:space="0"/>
              <w:right w:val="single" w:color="auto" w:sz="4" w:space="0"/>
            </w:tcBorders>
            <w:shd w:val="clear" w:color="auto" w:fill="FFFFFF"/>
            <w:noWrap w:val="0"/>
            <w:vAlign w:val="top"/>
          </w:tcPr>
          <w:p w14:paraId="48B170E3">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cs="Tahoma"/>
                <w:b w:val="0"/>
                <w:bCs w:val="0"/>
                <w:color w:val="000000"/>
                <w:kern w:val="0"/>
                <w:szCs w:val="20"/>
                <w:highlight w:val="none"/>
              </w:rPr>
            </w:pPr>
          </w:p>
        </w:tc>
        <w:tc>
          <w:tcPr>
            <w:tcW w:w="1826" w:type="dxa"/>
            <w:tcBorders>
              <w:top w:val="nil"/>
              <w:left w:val="nil"/>
              <w:bottom w:val="single" w:color="000000" w:sz="4" w:space="0"/>
              <w:right w:val="single" w:color="auto" w:sz="4" w:space="0"/>
            </w:tcBorders>
            <w:shd w:val="clear" w:color="auto" w:fill="FFFFFF"/>
            <w:noWrap w:val="0"/>
            <w:vAlign w:val="top"/>
          </w:tcPr>
          <w:p w14:paraId="5D7C2C46">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cs="Tahoma"/>
                <w:b w:val="0"/>
                <w:bCs w:val="0"/>
                <w:color w:val="000000"/>
                <w:kern w:val="0"/>
                <w:szCs w:val="20"/>
                <w:highlight w:val="none"/>
              </w:rPr>
            </w:pPr>
          </w:p>
        </w:tc>
      </w:tr>
      <w:tr w14:paraId="5BB55F31">
        <w:tblPrEx>
          <w:tblCellMar>
            <w:top w:w="0" w:type="dxa"/>
            <w:left w:w="108" w:type="dxa"/>
            <w:bottom w:w="0" w:type="dxa"/>
            <w:right w:w="108" w:type="dxa"/>
          </w:tblCellMar>
        </w:tblPrEx>
        <w:trPr>
          <w:gridAfter w:val="1"/>
          <w:wAfter w:w="1" w:type="dxa"/>
          <w:trHeight w:val="454" w:hRule="atLeast"/>
          <w:jc w:val="center"/>
        </w:trPr>
        <w:tc>
          <w:tcPr>
            <w:tcW w:w="74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178CCB80">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cs="Tahoma"/>
                <w:b w:val="0"/>
                <w:bCs w:val="0"/>
                <w:color w:val="000000"/>
                <w:kern w:val="0"/>
                <w:szCs w:val="20"/>
                <w:highlight w:val="none"/>
              </w:rPr>
            </w:pPr>
          </w:p>
        </w:tc>
        <w:tc>
          <w:tcPr>
            <w:tcW w:w="2430" w:type="dxa"/>
            <w:tcBorders>
              <w:top w:val="nil"/>
              <w:left w:val="nil"/>
              <w:bottom w:val="single" w:color="auto" w:sz="4" w:space="0"/>
              <w:right w:val="single" w:color="auto" w:sz="4" w:space="0"/>
            </w:tcBorders>
            <w:shd w:val="clear" w:color="auto" w:fill="FFFFFF"/>
            <w:noWrap w:val="0"/>
            <w:vAlign w:val="center"/>
          </w:tcPr>
          <w:p w14:paraId="43DC0462">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cs="Tahoma"/>
                <w:b w:val="0"/>
                <w:bCs w:val="0"/>
                <w:color w:val="000000"/>
                <w:kern w:val="0"/>
                <w:szCs w:val="20"/>
                <w:highlight w:val="none"/>
              </w:rPr>
            </w:pPr>
          </w:p>
        </w:tc>
        <w:tc>
          <w:tcPr>
            <w:tcW w:w="1575" w:type="dxa"/>
            <w:tcBorders>
              <w:top w:val="nil"/>
              <w:left w:val="nil"/>
              <w:bottom w:val="single" w:color="auto" w:sz="4" w:space="0"/>
              <w:right w:val="single" w:color="auto" w:sz="4" w:space="0"/>
            </w:tcBorders>
            <w:shd w:val="clear" w:color="auto" w:fill="FFFFFF"/>
            <w:noWrap w:val="0"/>
            <w:vAlign w:val="center"/>
          </w:tcPr>
          <w:p w14:paraId="214B5AFF">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szCs w:val="20"/>
                <w:highlight w:val="none"/>
              </w:rPr>
            </w:pPr>
          </w:p>
        </w:tc>
        <w:tc>
          <w:tcPr>
            <w:tcW w:w="1950" w:type="dxa"/>
            <w:tcBorders>
              <w:top w:val="nil"/>
              <w:left w:val="nil"/>
              <w:bottom w:val="single" w:color="auto" w:sz="4" w:space="0"/>
              <w:right w:val="single" w:color="auto" w:sz="4" w:space="0"/>
            </w:tcBorders>
            <w:shd w:val="clear" w:color="auto" w:fill="FFFFFF"/>
            <w:noWrap w:val="0"/>
            <w:vAlign w:val="top"/>
          </w:tcPr>
          <w:p w14:paraId="4ADF2040">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b w:val="0"/>
                <w:bCs w:val="0"/>
                <w:szCs w:val="20"/>
                <w:highlight w:val="none"/>
              </w:rPr>
            </w:pPr>
          </w:p>
        </w:tc>
        <w:tc>
          <w:tcPr>
            <w:tcW w:w="1826" w:type="dxa"/>
            <w:tcBorders>
              <w:top w:val="nil"/>
              <w:left w:val="nil"/>
              <w:bottom w:val="single" w:color="auto" w:sz="4" w:space="0"/>
              <w:right w:val="single" w:color="auto" w:sz="4" w:space="0"/>
            </w:tcBorders>
            <w:shd w:val="clear" w:color="auto" w:fill="FFFFFF"/>
            <w:noWrap w:val="0"/>
            <w:vAlign w:val="top"/>
          </w:tcPr>
          <w:p w14:paraId="4F59D5D5">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b w:val="0"/>
                <w:bCs w:val="0"/>
                <w:szCs w:val="20"/>
                <w:highlight w:val="none"/>
              </w:rPr>
            </w:pPr>
          </w:p>
        </w:tc>
      </w:tr>
      <w:tr w14:paraId="3A28F504">
        <w:tblPrEx>
          <w:tblCellMar>
            <w:top w:w="0" w:type="dxa"/>
            <w:left w:w="108" w:type="dxa"/>
            <w:bottom w:w="0" w:type="dxa"/>
            <w:right w:w="108" w:type="dxa"/>
          </w:tblCellMar>
        </w:tblPrEx>
        <w:trPr>
          <w:gridAfter w:val="1"/>
          <w:wAfter w:w="1" w:type="dxa"/>
          <w:trHeight w:val="454" w:hRule="atLeast"/>
          <w:jc w:val="center"/>
        </w:trPr>
        <w:tc>
          <w:tcPr>
            <w:tcW w:w="747"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72825064">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cs="Tahoma"/>
                <w:b w:val="0"/>
                <w:bCs w:val="0"/>
                <w:color w:val="000000"/>
                <w:kern w:val="0"/>
                <w:szCs w:val="20"/>
                <w:highlight w:val="none"/>
              </w:rPr>
            </w:pPr>
          </w:p>
        </w:tc>
        <w:tc>
          <w:tcPr>
            <w:tcW w:w="2430" w:type="dxa"/>
            <w:tcBorders>
              <w:top w:val="nil"/>
              <w:left w:val="nil"/>
              <w:bottom w:val="single" w:color="auto" w:sz="4" w:space="0"/>
              <w:right w:val="single" w:color="auto" w:sz="4" w:space="0"/>
            </w:tcBorders>
            <w:shd w:val="clear" w:color="auto" w:fill="FFFFFF"/>
            <w:noWrap w:val="0"/>
            <w:vAlign w:val="center"/>
          </w:tcPr>
          <w:p w14:paraId="74779BCD">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cs="Tahoma"/>
                <w:b w:val="0"/>
                <w:bCs w:val="0"/>
                <w:color w:val="000000"/>
                <w:kern w:val="0"/>
                <w:szCs w:val="20"/>
                <w:highlight w:val="none"/>
              </w:rPr>
            </w:pPr>
          </w:p>
        </w:tc>
        <w:tc>
          <w:tcPr>
            <w:tcW w:w="1575" w:type="dxa"/>
            <w:tcBorders>
              <w:top w:val="nil"/>
              <w:left w:val="nil"/>
              <w:bottom w:val="single" w:color="auto" w:sz="4" w:space="0"/>
              <w:right w:val="single" w:color="auto" w:sz="4" w:space="0"/>
            </w:tcBorders>
            <w:shd w:val="clear" w:color="auto" w:fill="FFFFFF"/>
            <w:noWrap w:val="0"/>
            <w:vAlign w:val="center"/>
          </w:tcPr>
          <w:p w14:paraId="3C5FCD15">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szCs w:val="20"/>
                <w:highlight w:val="none"/>
              </w:rPr>
            </w:pPr>
          </w:p>
        </w:tc>
        <w:tc>
          <w:tcPr>
            <w:tcW w:w="1950" w:type="dxa"/>
            <w:tcBorders>
              <w:top w:val="nil"/>
              <w:left w:val="nil"/>
              <w:bottom w:val="single" w:color="auto" w:sz="4" w:space="0"/>
              <w:right w:val="single" w:color="auto" w:sz="4" w:space="0"/>
            </w:tcBorders>
            <w:shd w:val="clear" w:color="auto" w:fill="FFFFFF"/>
            <w:noWrap w:val="0"/>
            <w:vAlign w:val="top"/>
          </w:tcPr>
          <w:p w14:paraId="505E8627">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cs="Tahoma"/>
                <w:b w:val="0"/>
                <w:bCs w:val="0"/>
                <w:kern w:val="0"/>
                <w:szCs w:val="20"/>
                <w:highlight w:val="none"/>
              </w:rPr>
            </w:pPr>
          </w:p>
        </w:tc>
        <w:tc>
          <w:tcPr>
            <w:tcW w:w="1826" w:type="dxa"/>
            <w:tcBorders>
              <w:top w:val="nil"/>
              <w:left w:val="nil"/>
              <w:bottom w:val="single" w:color="auto" w:sz="4" w:space="0"/>
              <w:right w:val="single" w:color="auto" w:sz="4" w:space="0"/>
            </w:tcBorders>
            <w:shd w:val="clear" w:color="auto" w:fill="FFFFFF"/>
            <w:noWrap w:val="0"/>
            <w:vAlign w:val="top"/>
          </w:tcPr>
          <w:p w14:paraId="58122993">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b w:val="0"/>
                <w:bCs w:val="0"/>
                <w:szCs w:val="20"/>
                <w:highlight w:val="none"/>
              </w:rPr>
            </w:pPr>
          </w:p>
        </w:tc>
      </w:tr>
      <w:tr w14:paraId="56CE1BD7">
        <w:tblPrEx>
          <w:tblCellMar>
            <w:top w:w="0" w:type="dxa"/>
            <w:left w:w="108" w:type="dxa"/>
            <w:bottom w:w="0" w:type="dxa"/>
            <w:right w:w="108" w:type="dxa"/>
          </w:tblCellMar>
        </w:tblPrEx>
        <w:trPr>
          <w:gridAfter w:val="1"/>
          <w:wAfter w:w="1" w:type="dxa"/>
          <w:trHeight w:val="45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A6299">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cs="Tahoma"/>
                <w:b w:val="0"/>
                <w:bCs w:val="0"/>
                <w:color w:val="000000"/>
                <w:kern w:val="0"/>
                <w:szCs w:val="20"/>
                <w:highlight w:val="none"/>
              </w:rPr>
            </w:pPr>
          </w:p>
        </w:tc>
        <w:tc>
          <w:tcPr>
            <w:tcW w:w="2430" w:type="dxa"/>
            <w:tcBorders>
              <w:top w:val="single" w:color="000000" w:sz="4" w:space="0"/>
              <w:left w:val="nil"/>
              <w:bottom w:val="single" w:color="000000" w:sz="4" w:space="0"/>
              <w:right w:val="single" w:color="000000" w:sz="4" w:space="0"/>
            </w:tcBorders>
            <w:shd w:val="clear" w:color="auto" w:fill="FFFFFF"/>
            <w:noWrap w:val="0"/>
            <w:vAlign w:val="center"/>
          </w:tcPr>
          <w:p w14:paraId="02DC47DE">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left"/>
              <w:rPr>
                <w:rFonts w:hint="default" w:ascii="宋体" w:hAnsi="宋体" w:cs="Tahoma"/>
                <w:b w:val="0"/>
                <w:bCs w:val="0"/>
                <w:color w:val="000000"/>
                <w:kern w:val="0"/>
                <w:szCs w:val="2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38489E5A">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szCs w:val="2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05FA4BE9">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szCs w:val="2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42F6F5CB">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szCs w:val="20"/>
                <w:highlight w:val="none"/>
              </w:rPr>
            </w:pPr>
          </w:p>
        </w:tc>
      </w:tr>
      <w:tr w14:paraId="03FD98E0">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7149EB29">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szCs w:val="2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394FB396">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b w:val="0"/>
                <w:bCs w:val="0"/>
                <w:color w:val="000000"/>
                <w:kern w:val="0"/>
                <w:szCs w:val="2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25969A99">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szCs w:val="2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0D2F7CF5">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szCs w:val="2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5218BDA3">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szCs w:val="20"/>
                <w:highlight w:val="none"/>
              </w:rPr>
            </w:pPr>
          </w:p>
        </w:tc>
      </w:tr>
      <w:tr w14:paraId="63ED74A5">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1C00D037">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szCs w:val="2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19764238">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b w:val="0"/>
                <w:bCs w:val="0"/>
                <w:color w:val="000000"/>
                <w:kern w:val="0"/>
                <w:szCs w:val="2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536C71D7">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szCs w:val="2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1F8CEB5D">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szCs w:val="2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5380CB40">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szCs w:val="20"/>
                <w:highlight w:val="none"/>
              </w:rPr>
            </w:pPr>
          </w:p>
        </w:tc>
      </w:tr>
      <w:tr w14:paraId="0D2ED31C">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0105730A">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szCs w:val="2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5770DC80">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b w:val="0"/>
                <w:bCs w:val="0"/>
                <w:color w:val="000000"/>
                <w:kern w:val="0"/>
                <w:szCs w:val="2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43FD10EC">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szCs w:val="2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25874CD0">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szCs w:val="2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6ED66063">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szCs w:val="20"/>
                <w:highlight w:val="none"/>
              </w:rPr>
            </w:pPr>
          </w:p>
        </w:tc>
      </w:tr>
      <w:tr w14:paraId="30C10FDD">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718B6324">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szCs w:val="2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4DA36F5A">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b w:val="0"/>
                <w:bCs w:val="0"/>
                <w:color w:val="000000"/>
                <w:kern w:val="0"/>
                <w:szCs w:val="2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78E7A0A7">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szCs w:val="2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28E5324C">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szCs w:val="2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438AA803">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szCs w:val="20"/>
                <w:highlight w:val="none"/>
              </w:rPr>
            </w:pPr>
          </w:p>
        </w:tc>
      </w:tr>
      <w:tr w14:paraId="3EE77760">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401A2B92">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szCs w:val="2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1A6E703E">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b w:val="0"/>
                <w:bCs w:val="0"/>
                <w:color w:val="000000"/>
                <w:kern w:val="0"/>
                <w:szCs w:val="2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4A823EF7">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szCs w:val="2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1BBB987E">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szCs w:val="2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676EF63F">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szCs w:val="20"/>
                <w:highlight w:val="none"/>
              </w:rPr>
            </w:pPr>
          </w:p>
        </w:tc>
      </w:tr>
      <w:tr w14:paraId="3ED4D76E">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29EB9AAE">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szCs w:val="2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272772A7">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b w:val="0"/>
                <w:bCs w:val="0"/>
                <w:color w:val="000000"/>
                <w:kern w:val="0"/>
                <w:szCs w:val="2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420DE64A">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szCs w:val="2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516E081C">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szCs w:val="2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25350E74">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szCs w:val="20"/>
                <w:highlight w:val="none"/>
              </w:rPr>
            </w:pPr>
          </w:p>
        </w:tc>
      </w:tr>
      <w:tr w14:paraId="208ADE7F">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6F34969E">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szCs w:val="2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603C471B">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eastAsia" w:ascii="宋体" w:hAnsi="宋体" w:eastAsia="宋体"/>
                <w:b w:val="0"/>
                <w:bCs w:val="0"/>
                <w:color w:val="000000"/>
                <w:kern w:val="0"/>
                <w:szCs w:val="20"/>
                <w:highlight w:val="none"/>
                <w:lang w:eastAsia="zh-CN"/>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67191C73">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szCs w:val="2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2D8B76A1">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szCs w:val="2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20517DA6">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szCs w:val="20"/>
                <w:highlight w:val="none"/>
              </w:rPr>
            </w:pPr>
          </w:p>
        </w:tc>
      </w:tr>
      <w:tr w14:paraId="4766BE8A">
        <w:tblPrEx>
          <w:tblCellMar>
            <w:top w:w="0" w:type="dxa"/>
            <w:left w:w="108" w:type="dxa"/>
            <w:bottom w:w="0" w:type="dxa"/>
            <w:right w:w="108" w:type="dxa"/>
          </w:tblCellMar>
        </w:tblPrEx>
        <w:trPr>
          <w:gridAfter w:val="1"/>
          <w:wAfter w:w="1" w:type="dxa"/>
          <w:trHeight w:val="454" w:hRule="atLeast"/>
          <w:jc w:val="center"/>
        </w:trPr>
        <w:tc>
          <w:tcPr>
            <w:tcW w:w="747" w:type="dxa"/>
            <w:tcBorders>
              <w:top w:val="nil"/>
              <w:left w:val="single" w:color="000000" w:sz="4" w:space="0"/>
              <w:bottom w:val="single" w:color="auto" w:sz="4" w:space="0"/>
              <w:right w:val="single" w:color="auto" w:sz="4" w:space="0"/>
            </w:tcBorders>
            <w:shd w:val="clear" w:color="auto" w:fill="FFFFFF"/>
            <w:noWrap w:val="0"/>
            <w:vAlign w:val="center"/>
          </w:tcPr>
          <w:p w14:paraId="1F862418">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b w:val="0"/>
                <w:bCs w:val="0"/>
                <w:color w:val="000000"/>
                <w:kern w:val="0"/>
                <w:szCs w:val="20"/>
                <w:highlight w:val="none"/>
              </w:rPr>
            </w:pPr>
          </w:p>
        </w:tc>
        <w:tc>
          <w:tcPr>
            <w:tcW w:w="2430" w:type="dxa"/>
            <w:tcBorders>
              <w:top w:val="single" w:color="auto" w:sz="4" w:space="0"/>
              <w:left w:val="nil"/>
              <w:bottom w:val="single" w:color="auto" w:sz="4" w:space="0"/>
              <w:right w:val="single" w:color="000000" w:sz="4" w:space="0"/>
            </w:tcBorders>
            <w:shd w:val="clear" w:color="auto" w:fill="FFFFFF"/>
            <w:noWrap w:val="0"/>
            <w:vAlign w:val="center"/>
          </w:tcPr>
          <w:p w14:paraId="5454CBA1">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rPr>
                <w:rFonts w:hint="default" w:ascii="宋体" w:hAnsi="宋体"/>
                <w:b w:val="0"/>
                <w:bCs w:val="0"/>
                <w:color w:val="000000"/>
                <w:kern w:val="0"/>
                <w:szCs w:val="20"/>
                <w:highlight w:val="none"/>
              </w:rPr>
            </w:pP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3D0A4858">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szCs w:val="2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0055BCD6">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szCs w:val="2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4638A998">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szCs w:val="20"/>
                <w:highlight w:val="none"/>
              </w:rPr>
            </w:pPr>
          </w:p>
        </w:tc>
      </w:tr>
      <w:tr w14:paraId="17E98E40">
        <w:tblPrEx>
          <w:tblCellMar>
            <w:top w:w="0" w:type="dxa"/>
            <w:left w:w="108" w:type="dxa"/>
            <w:bottom w:w="0" w:type="dxa"/>
            <w:right w:w="108" w:type="dxa"/>
          </w:tblCellMar>
        </w:tblPrEx>
        <w:trPr>
          <w:gridAfter w:val="1"/>
          <w:wAfter w:w="1" w:type="dxa"/>
          <w:trHeight w:val="454" w:hRule="atLeast"/>
          <w:jc w:val="center"/>
        </w:trPr>
        <w:tc>
          <w:tcPr>
            <w:tcW w:w="3177" w:type="dxa"/>
            <w:gridSpan w:val="2"/>
            <w:tcBorders>
              <w:top w:val="nil"/>
              <w:left w:val="single" w:color="000000" w:sz="4" w:space="0"/>
              <w:bottom w:val="single" w:color="auto" w:sz="4" w:space="0"/>
              <w:right w:val="single" w:color="000000" w:sz="4" w:space="0"/>
            </w:tcBorders>
            <w:shd w:val="clear" w:color="auto" w:fill="FFFFFF"/>
            <w:noWrap w:val="0"/>
            <w:vAlign w:val="center"/>
          </w:tcPr>
          <w:p w14:paraId="7C35BDC0">
            <w:pPr>
              <w:keepNext w:val="0"/>
              <w:keepLines w:val="0"/>
              <w:pageBreakBefore w:val="0"/>
              <w:widowControl/>
              <w:suppressLineNumbers w:val="0"/>
              <w:kinsoku/>
              <w:wordWrap/>
              <w:overflowPunct/>
              <w:topLinePunct w:val="0"/>
              <w:bidi w:val="0"/>
              <w:adjustRightInd/>
              <w:spacing w:before="0" w:beforeAutospacing="0" w:after="0" w:afterAutospacing="0" w:line="380" w:lineRule="exact"/>
              <w:ind w:left="0" w:right="0"/>
              <w:jc w:val="center"/>
              <w:rPr>
                <w:rFonts w:hint="default" w:ascii="宋体" w:hAnsi="宋体" w:eastAsia="宋体"/>
                <w:b w:val="0"/>
                <w:bCs w:val="0"/>
                <w:color w:val="000000"/>
                <w:kern w:val="0"/>
                <w:szCs w:val="20"/>
                <w:highlight w:val="none"/>
                <w:lang w:val="en-US" w:eastAsia="zh-CN"/>
              </w:rPr>
            </w:pPr>
            <w:r>
              <w:rPr>
                <w:rFonts w:hint="eastAsia" w:ascii="宋体" w:hAnsi="宋体"/>
                <w:b w:val="0"/>
                <w:bCs w:val="0"/>
                <w:color w:val="000000"/>
                <w:kern w:val="0"/>
                <w:szCs w:val="20"/>
                <w:highlight w:val="none"/>
                <w:lang w:val="en-US" w:eastAsia="zh-CN"/>
              </w:rPr>
              <w:t>合计</w:t>
            </w:r>
          </w:p>
        </w:tc>
        <w:tc>
          <w:tcPr>
            <w:tcW w:w="1575" w:type="dxa"/>
            <w:tcBorders>
              <w:top w:val="single" w:color="000000" w:sz="4" w:space="0"/>
              <w:left w:val="nil"/>
              <w:bottom w:val="single" w:color="000000" w:sz="4" w:space="0"/>
              <w:right w:val="single" w:color="000000" w:sz="4" w:space="0"/>
            </w:tcBorders>
            <w:shd w:val="clear" w:color="auto" w:fill="FFFFFF"/>
            <w:noWrap w:val="0"/>
            <w:vAlign w:val="center"/>
          </w:tcPr>
          <w:p w14:paraId="214FF562">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jc w:val="right"/>
              <w:rPr>
                <w:rFonts w:hint="default" w:ascii="宋体" w:hAnsi="宋体" w:cs="Tahoma"/>
                <w:b w:val="0"/>
                <w:bCs w:val="0"/>
                <w:color w:val="000000"/>
                <w:kern w:val="0"/>
                <w:szCs w:val="20"/>
                <w:highlight w:val="none"/>
              </w:rPr>
            </w:pPr>
          </w:p>
        </w:tc>
        <w:tc>
          <w:tcPr>
            <w:tcW w:w="1950" w:type="dxa"/>
            <w:tcBorders>
              <w:top w:val="single" w:color="000000" w:sz="4" w:space="0"/>
              <w:left w:val="nil"/>
              <w:bottom w:val="single" w:color="000000" w:sz="4" w:space="0"/>
              <w:right w:val="single" w:color="000000" w:sz="4" w:space="0"/>
            </w:tcBorders>
            <w:shd w:val="clear" w:color="auto" w:fill="FFFFFF"/>
            <w:noWrap w:val="0"/>
            <w:vAlign w:val="center"/>
          </w:tcPr>
          <w:p w14:paraId="1A6D1906">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szCs w:val="20"/>
                <w:highlight w:val="none"/>
              </w:rPr>
            </w:pPr>
          </w:p>
        </w:tc>
        <w:tc>
          <w:tcPr>
            <w:tcW w:w="1826" w:type="dxa"/>
            <w:tcBorders>
              <w:top w:val="single" w:color="000000" w:sz="4" w:space="0"/>
              <w:left w:val="nil"/>
              <w:bottom w:val="single" w:color="000000" w:sz="4" w:space="0"/>
              <w:right w:val="single" w:color="000000" w:sz="4" w:space="0"/>
            </w:tcBorders>
            <w:shd w:val="clear" w:color="auto" w:fill="FFFFFF"/>
            <w:noWrap w:val="0"/>
            <w:vAlign w:val="center"/>
          </w:tcPr>
          <w:p w14:paraId="7C8DE3E5">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szCs w:val="20"/>
                <w:highlight w:val="none"/>
              </w:rPr>
            </w:pPr>
          </w:p>
        </w:tc>
      </w:tr>
      <w:tr w14:paraId="3835EB77">
        <w:tblPrEx>
          <w:tblCellMar>
            <w:top w:w="0" w:type="dxa"/>
            <w:left w:w="108" w:type="dxa"/>
            <w:bottom w:w="0" w:type="dxa"/>
            <w:right w:w="108" w:type="dxa"/>
          </w:tblCellMar>
        </w:tblPrEx>
        <w:trPr>
          <w:trHeight w:val="454" w:hRule="atLeast"/>
          <w:jc w:val="center"/>
        </w:trPr>
        <w:tc>
          <w:tcPr>
            <w:tcW w:w="8529" w:type="dxa"/>
            <w:gridSpan w:val="6"/>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3952E276">
            <w:pPr>
              <w:keepNext w:val="0"/>
              <w:keepLines w:val="0"/>
              <w:pageBreakBefore w:val="0"/>
              <w:suppressLineNumbers w:val="0"/>
              <w:kinsoku/>
              <w:wordWrap/>
              <w:overflowPunct/>
              <w:topLinePunct w:val="0"/>
              <w:bidi w:val="0"/>
              <w:adjustRightInd/>
              <w:spacing w:before="0" w:beforeAutospacing="0" w:after="0" w:afterAutospacing="0" w:line="380" w:lineRule="exact"/>
              <w:ind w:left="0" w:right="0"/>
              <w:rPr>
                <w:rFonts w:hint="default" w:ascii="宋体" w:hAnsi="宋体" w:cs="Tahoma"/>
                <w:b w:val="0"/>
                <w:bCs w:val="0"/>
                <w:color w:val="000000"/>
                <w:kern w:val="0"/>
                <w:szCs w:val="20"/>
                <w:highlight w:val="none"/>
              </w:rPr>
            </w:pPr>
            <w:r>
              <w:rPr>
                <w:rFonts w:hint="eastAsia" w:ascii="宋体" w:hAnsi="宋体" w:eastAsia="宋体"/>
                <w:color w:val="auto"/>
                <w:szCs w:val="21"/>
                <w:highlight w:val="none"/>
              </w:rPr>
              <w:t>三年投标总价</w:t>
            </w:r>
            <w:r>
              <w:rPr>
                <w:rFonts w:hint="eastAsia" w:ascii="宋体" w:hAnsi="宋体"/>
                <w:b w:val="0"/>
                <w:bCs w:val="0"/>
                <w:szCs w:val="20"/>
                <w:highlight w:val="none"/>
              </w:rPr>
              <w:t xml:space="preserve">金额大写：                                  </w:t>
            </w:r>
          </w:p>
        </w:tc>
      </w:tr>
    </w:tbl>
    <w:p w14:paraId="56E4BB6B">
      <w:pPr>
        <w:pStyle w:val="13"/>
        <w:spacing w:after="0" w:line="400" w:lineRule="exact"/>
        <w:ind w:firstLine="480" w:firstLineChars="200"/>
        <w:rPr>
          <w:rFonts w:ascii="宋体" w:hAnsi="宋体" w:eastAsia="宋体"/>
          <w:color w:val="auto"/>
          <w:szCs w:val="21"/>
          <w:highlight w:val="none"/>
        </w:rPr>
      </w:pPr>
    </w:p>
    <w:p w14:paraId="59960331">
      <w:pPr>
        <w:pStyle w:val="13"/>
        <w:spacing w:after="0" w:line="400" w:lineRule="exact"/>
        <w:ind w:firstLine="480" w:firstLineChars="200"/>
        <w:rPr>
          <w:rFonts w:ascii="宋体" w:hAnsi="宋体" w:eastAsia="宋体"/>
          <w:color w:val="auto"/>
          <w:szCs w:val="21"/>
          <w:highlight w:val="none"/>
        </w:rPr>
      </w:pPr>
    </w:p>
    <w:p w14:paraId="3AD378DC">
      <w:pPr>
        <w:pStyle w:val="13"/>
        <w:spacing w:after="0" w:line="400" w:lineRule="exact"/>
        <w:ind w:firstLine="480" w:firstLineChars="200"/>
        <w:rPr>
          <w:rFonts w:ascii="宋体" w:hAnsi="宋体" w:eastAsia="宋体"/>
          <w:color w:val="auto"/>
          <w:szCs w:val="21"/>
          <w:highlight w:val="none"/>
        </w:rPr>
      </w:pPr>
    </w:p>
    <w:p w14:paraId="2ACC591E">
      <w:pPr>
        <w:spacing w:line="360" w:lineRule="auto"/>
        <w:ind w:right="960" w:firstLine="240" w:firstLineChars="100"/>
        <w:jc w:val="right"/>
        <w:rPr>
          <w:rFonts w:ascii="仿宋" w:hAnsi="仿宋" w:eastAsia="仿宋" w:cs="仿宋_GB2312"/>
          <w:color w:val="auto"/>
          <w:sz w:val="24"/>
          <w:szCs w:val="36"/>
          <w:highlight w:val="none"/>
          <w:lang w:val="zh-CN"/>
        </w:rPr>
        <w:sectPr>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_GB2312"/>
          <w:color w:val="auto"/>
          <w:sz w:val="24"/>
          <w:highlight w:val="none"/>
        </w:rPr>
        <w:t>投标人名称</w:t>
      </w:r>
      <w:r>
        <w:rPr>
          <w:rFonts w:ascii="宋体" w:hAnsi="宋体"/>
          <w:color w:val="000000"/>
          <w:sz w:val="24"/>
        </w:rPr>
        <w:t>（盖章）</w:t>
      </w:r>
      <w:r>
        <w:rPr>
          <w:rFonts w:hint="eastAsia" w:ascii="仿宋" w:hAnsi="仿宋" w:eastAsia="仿宋" w:cs="仿宋_GB2312"/>
          <w:color w:val="auto"/>
          <w:sz w:val="24"/>
          <w:highlight w:val="none"/>
        </w:rPr>
        <w:t>：                                                                                   日期：  年   月   日</w:t>
      </w:r>
    </w:p>
    <w:p w14:paraId="689EC6B9">
      <w:pPr>
        <w:pStyle w:val="83"/>
        <w:keepNext w:val="0"/>
        <w:numPr>
          <w:ilvl w:val="0"/>
          <w:numId w:val="9"/>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14ACEDEE">
      <w:pPr>
        <w:pStyle w:val="3"/>
        <w:keepNext w:val="0"/>
        <w:numPr>
          <w:ilvl w:val="255"/>
          <w:numId w:val="0"/>
        </w:numPr>
        <w:tabs>
          <w:tab w:val="left" w:pos="432"/>
        </w:tabs>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03F2F946">
      <w:pPr>
        <w:pStyle w:val="8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917A159">
      <w:pPr>
        <w:pStyle w:val="8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中小企业声明函（如果有）</w:t>
      </w:r>
    </w:p>
    <w:p w14:paraId="48F730E0">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D302D4C">
      <w:pPr>
        <w:pStyle w:val="99"/>
        <w:ind w:firstLine="482"/>
        <w:rPr>
          <w:rFonts w:ascii="宋体" w:hAnsi="宋体" w:cs="宋体"/>
          <w:b/>
          <w:color w:val="auto"/>
          <w:sz w:val="24"/>
          <w:highlight w:val="none"/>
        </w:rPr>
      </w:pPr>
    </w:p>
    <w:p w14:paraId="42F2B0C7"/>
    <w:p w14:paraId="0CE233DE">
      <w:pPr>
        <w:pStyle w:val="99"/>
        <w:ind w:firstLine="482"/>
        <w:rPr>
          <w:rFonts w:ascii="宋体" w:hAnsi="宋体" w:cs="宋体"/>
          <w:b/>
          <w:color w:val="auto"/>
          <w:sz w:val="24"/>
          <w:highlight w:val="none"/>
        </w:rPr>
      </w:pPr>
    </w:p>
    <w:p w14:paraId="63AB745E">
      <w:pPr>
        <w:pStyle w:val="99"/>
        <w:ind w:firstLine="482"/>
        <w:rPr>
          <w:rFonts w:ascii="宋体" w:hAnsi="宋体" w:cs="宋体"/>
          <w:b/>
          <w:color w:val="auto"/>
          <w:sz w:val="24"/>
          <w:highlight w:val="none"/>
        </w:rPr>
      </w:pPr>
    </w:p>
    <w:p w14:paraId="67BA2A76">
      <w:pPr>
        <w:pStyle w:val="8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97B425F">
      <w:pPr>
        <w:spacing w:line="360" w:lineRule="auto"/>
        <w:ind w:right="420" w:firstLine="3614" w:firstLineChars="1000"/>
        <w:rPr>
          <w:rFonts w:ascii="宋体" w:hAnsi="宋体" w:cs="宋体"/>
          <w:b/>
          <w:color w:val="auto"/>
          <w:kern w:val="0"/>
          <w:sz w:val="36"/>
          <w:szCs w:val="36"/>
          <w:highlight w:val="none"/>
        </w:rPr>
      </w:pPr>
    </w:p>
    <w:p w14:paraId="25A906C4">
      <w:pPr>
        <w:spacing w:line="360" w:lineRule="auto"/>
        <w:ind w:right="420" w:firstLine="3614" w:firstLineChars="1000"/>
        <w:rPr>
          <w:rFonts w:ascii="宋体" w:hAnsi="宋体" w:cs="宋体"/>
          <w:b/>
          <w:color w:val="auto"/>
          <w:kern w:val="0"/>
          <w:sz w:val="36"/>
          <w:szCs w:val="36"/>
          <w:highlight w:val="none"/>
        </w:rPr>
      </w:pPr>
    </w:p>
    <w:p w14:paraId="507554A9">
      <w:pPr>
        <w:spacing w:line="360" w:lineRule="auto"/>
        <w:ind w:right="420" w:firstLine="3614" w:firstLineChars="1000"/>
        <w:rPr>
          <w:rFonts w:ascii="宋体" w:hAnsi="宋体" w:cs="宋体"/>
          <w:b/>
          <w:color w:val="auto"/>
          <w:kern w:val="0"/>
          <w:sz w:val="36"/>
          <w:szCs w:val="36"/>
          <w:highlight w:val="none"/>
        </w:rPr>
      </w:pPr>
    </w:p>
    <w:p w14:paraId="0ADC35E6">
      <w:pPr>
        <w:spacing w:line="360" w:lineRule="auto"/>
        <w:ind w:right="420" w:firstLine="3614" w:firstLineChars="1000"/>
        <w:rPr>
          <w:rFonts w:ascii="宋体" w:hAnsi="宋体" w:cs="宋体"/>
          <w:b/>
          <w:color w:val="auto"/>
          <w:kern w:val="0"/>
          <w:sz w:val="36"/>
          <w:szCs w:val="36"/>
          <w:highlight w:val="none"/>
        </w:rPr>
      </w:pPr>
    </w:p>
    <w:p w14:paraId="6219AD9F">
      <w:pPr>
        <w:spacing w:line="360" w:lineRule="auto"/>
        <w:ind w:right="420" w:firstLine="3614" w:firstLineChars="1000"/>
        <w:rPr>
          <w:rFonts w:ascii="宋体" w:hAnsi="宋体" w:cs="宋体"/>
          <w:b/>
          <w:color w:val="auto"/>
          <w:kern w:val="0"/>
          <w:sz w:val="36"/>
          <w:szCs w:val="36"/>
          <w:highlight w:val="none"/>
        </w:rPr>
      </w:pPr>
    </w:p>
    <w:p w14:paraId="7E84A612">
      <w:pPr>
        <w:spacing w:line="360" w:lineRule="auto"/>
        <w:ind w:right="420" w:firstLine="3614" w:firstLineChars="1000"/>
        <w:rPr>
          <w:rFonts w:ascii="宋体" w:hAnsi="宋体" w:cs="宋体"/>
          <w:b/>
          <w:color w:val="auto"/>
          <w:kern w:val="0"/>
          <w:sz w:val="36"/>
          <w:szCs w:val="36"/>
          <w:highlight w:val="none"/>
        </w:rPr>
      </w:pPr>
    </w:p>
    <w:p w14:paraId="0BA29847">
      <w:pPr>
        <w:spacing w:line="360" w:lineRule="auto"/>
        <w:ind w:right="420" w:firstLine="3614" w:firstLineChars="1000"/>
        <w:rPr>
          <w:rFonts w:ascii="宋体" w:hAnsi="宋体" w:cs="宋体"/>
          <w:b/>
          <w:color w:val="auto"/>
          <w:kern w:val="0"/>
          <w:sz w:val="36"/>
          <w:szCs w:val="36"/>
          <w:highlight w:val="none"/>
        </w:rPr>
      </w:pPr>
    </w:p>
    <w:p w14:paraId="32569990">
      <w:pPr>
        <w:spacing w:line="360" w:lineRule="auto"/>
        <w:ind w:right="420" w:firstLine="3614" w:firstLineChars="1000"/>
        <w:rPr>
          <w:rFonts w:ascii="宋体" w:hAnsi="宋体" w:cs="宋体"/>
          <w:b/>
          <w:color w:val="auto"/>
          <w:kern w:val="0"/>
          <w:sz w:val="36"/>
          <w:szCs w:val="36"/>
          <w:highlight w:val="none"/>
        </w:rPr>
      </w:pPr>
    </w:p>
    <w:p w14:paraId="47A11049">
      <w:pPr>
        <w:spacing w:line="360" w:lineRule="auto"/>
        <w:ind w:right="420" w:firstLine="3614" w:firstLineChars="1000"/>
        <w:rPr>
          <w:rFonts w:ascii="宋体" w:hAnsi="宋体" w:cs="宋体"/>
          <w:b/>
          <w:color w:val="auto"/>
          <w:kern w:val="0"/>
          <w:sz w:val="36"/>
          <w:szCs w:val="36"/>
          <w:highlight w:val="none"/>
        </w:rPr>
      </w:pPr>
    </w:p>
    <w:p w14:paraId="72728D9D">
      <w:pPr>
        <w:widowControl/>
        <w:adjustRightInd/>
        <w:jc w:val="left"/>
        <w:rPr>
          <w:rFonts w:cs="仿宋_GB2312" w:asciiTheme="minorEastAsia" w:hAnsiTheme="minorEastAsia" w:eastAsiaTheme="minorEastAsia"/>
          <w:color w:val="auto"/>
          <w:kern w:val="0"/>
          <w:sz w:val="21"/>
          <w:szCs w:val="21"/>
          <w:highlight w:val="none"/>
          <w:lang w:val="zh-CN"/>
        </w:rPr>
        <w:sectPr>
          <w:headerReference r:id="rId16" w:type="first"/>
          <w:footerReference r:id="rId18" w:type="first"/>
          <w:headerReference r:id="rId15" w:type="default"/>
          <w:footerReference r:id="rId17" w:type="default"/>
          <w:pgSz w:w="11906" w:h="16838"/>
          <w:pgMar w:top="471" w:right="1418" w:bottom="777" w:left="1418" w:header="851" w:footer="992" w:gutter="0"/>
          <w:pgNumType w:fmt="decimal"/>
          <w:cols w:space="720" w:num="1"/>
          <w:titlePg/>
          <w:docGrid w:linePitch="312" w:charSpace="0"/>
        </w:sectPr>
      </w:pPr>
    </w:p>
    <w:p w14:paraId="22460DDE">
      <w:pPr>
        <w:spacing w:line="360" w:lineRule="auto"/>
        <w:rPr>
          <w:rFonts w:ascii="宋体" w:hAnsi="宋体" w:cs="宋体"/>
          <w:b/>
          <w:color w:val="auto"/>
          <w:spacing w:val="6"/>
          <w:sz w:val="32"/>
          <w:szCs w:val="32"/>
          <w:highlight w:val="none"/>
        </w:rPr>
      </w:pPr>
      <w:bookmarkStart w:id="20" w:name="_Toc465665161"/>
      <w:r>
        <w:rPr>
          <w:rFonts w:hint="eastAsia" w:ascii="宋体" w:hAnsi="宋体" w:cs="宋体"/>
          <w:b/>
          <w:color w:val="auto"/>
          <w:spacing w:val="6"/>
          <w:sz w:val="32"/>
          <w:szCs w:val="32"/>
          <w:highlight w:val="none"/>
        </w:rPr>
        <w:t>附件1：</w:t>
      </w:r>
    </w:p>
    <w:p w14:paraId="4EFD17DA">
      <w:pPr>
        <w:spacing w:line="360" w:lineRule="auto"/>
        <w:jc w:val="center"/>
        <w:rPr>
          <w:rFonts w:ascii="宋体" w:hAnsi="宋体" w:cs="宋体"/>
          <w:b/>
          <w:color w:val="auto"/>
          <w:spacing w:val="6"/>
          <w:sz w:val="32"/>
          <w:szCs w:val="32"/>
          <w:highlight w:val="none"/>
        </w:rPr>
      </w:pPr>
      <w:bookmarkStart w:id="21" w:name="OLE_LINK13"/>
      <w:bookmarkStart w:id="22" w:name="OLE_LINK14"/>
      <w:r>
        <w:rPr>
          <w:rFonts w:hint="eastAsia" w:ascii="宋体" w:hAnsi="宋体" w:cs="宋体"/>
          <w:b/>
          <w:color w:val="auto"/>
          <w:spacing w:val="6"/>
          <w:sz w:val="32"/>
          <w:szCs w:val="32"/>
          <w:highlight w:val="none"/>
        </w:rPr>
        <w:t>残疾人福利性单位声明函</w:t>
      </w:r>
    </w:p>
    <w:bookmarkEnd w:id="21"/>
    <w:bookmarkEnd w:id="22"/>
    <w:p w14:paraId="0A8ADCC7">
      <w:pPr>
        <w:spacing w:line="360" w:lineRule="auto"/>
        <w:rPr>
          <w:rFonts w:ascii="宋体" w:hAnsi="宋体" w:cs="宋体"/>
          <w:b/>
          <w:color w:val="auto"/>
          <w:spacing w:val="6"/>
          <w:sz w:val="21"/>
          <w:szCs w:val="21"/>
          <w:highlight w:val="none"/>
        </w:rPr>
      </w:pPr>
    </w:p>
    <w:p w14:paraId="469F288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1"/>
          <w:szCs w:val="21"/>
          <w:highlight w:val="none"/>
          <w:u w:val="single"/>
        </w:rPr>
        <w:t>(采购人)</w:t>
      </w:r>
      <w:r>
        <w:rPr>
          <w:rFonts w:hint="eastAsia" w:ascii="宋体" w:hAnsi="宋体" w:cs="宋体"/>
          <w:color w:val="auto"/>
          <w:sz w:val="21"/>
          <w:szCs w:val="21"/>
          <w:highlight w:val="none"/>
        </w:rPr>
        <w:t>_单位的_</w:t>
      </w:r>
      <w:r>
        <w:rPr>
          <w:rFonts w:hint="eastAsia" w:ascii="宋体" w:hAnsi="宋体" w:cs="宋体"/>
          <w:color w:val="auto"/>
          <w:sz w:val="21"/>
          <w:szCs w:val="21"/>
          <w:highlight w:val="none"/>
          <w:u w:val="single"/>
          <w:lang w:eastAsia="zh-CN"/>
        </w:rPr>
        <w:t>宁海县第一医院医疗健康集团北部医院食堂管理外包服务项目</w:t>
      </w:r>
      <w:r>
        <w:rPr>
          <w:rFonts w:hint="eastAsia" w:ascii="宋体" w:hAnsi="宋体" w:cs="宋体"/>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14:paraId="7091900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31F2F22F">
      <w:pPr>
        <w:spacing w:line="360" w:lineRule="auto"/>
        <w:ind w:firstLine="420" w:firstLineChars="200"/>
        <w:rPr>
          <w:rFonts w:ascii="宋体" w:hAnsi="宋体" w:cs="宋体"/>
          <w:color w:val="auto"/>
          <w:sz w:val="21"/>
          <w:szCs w:val="21"/>
          <w:highlight w:val="none"/>
        </w:rPr>
      </w:pPr>
    </w:p>
    <w:p w14:paraId="7983BEB2">
      <w:pPr>
        <w:spacing w:line="360" w:lineRule="auto"/>
        <w:ind w:firstLine="420" w:firstLineChars="200"/>
        <w:rPr>
          <w:rFonts w:ascii="宋体" w:hAnsi="宋体" w:cs="宋体"/>
          <w:color w:val="auto"/>
          <w:sz w:val="21"/>
          <w:szCs w:val="21"/>
          <w:highlight w:val="none"/>
        </w:rPr>
      </w:pPr>
    </w:p>
    <w:p w14:paraId="498F09BA">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投标人名称（电子签名）</w:t>
      </w:r>
      <w:r>
        <w:rPr>
          <w:rFonts w:hint="eastAsia" w:ascii="宋体" w:hAnsi="宋体" w:cs="宋体"/>
          <w:color w:val="auto"/>
          <w:sz w:val="21"/>
          <w:szCs w:val="21"/>
          <w:highlight w:val="none"/>
        </w:rPr>
        <w:t>：</w:t>
      </w:r>
    </w:p>
    <w:p w14:paraId="38CEC260">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7B6AE69C">
      <w:pPr>
        <w:spacing w:line="360" w:lineRule="auto"/>
        <w:ind w:firstLine="420" w:firstLineChars="200"/>
        <w:rPr>
          <w:rFonts w:ascii="宋体" w:hAnsi="宋体" w:cs="宋体"/>
          <w:color w:val="auto"/>
          <w:sz w:val="21"/>
          <w:szCs w:val="21"/>
          <w:highlight w:val="none"/>
        </w:rPr>
      </w:pPr>
    </w:p>
    <w:bookmarkEnd w:id="20"/>
    <w:p w14:paraId="740D94B2">
      <w:pPr>
        <w:spacing w:line="360" w:lineRule="auto"/>
        <w:jc w:val="left"/>
        <w:rPr>
          <w:rFonts w:hint="eastAsia" w:cs="仿宋_GB2312" w:asciiTheme="minorEastAsia" w:hAnsiTheme="minorEastAsia" w:eastAsiaTheme="minorEastAsia"/>
          <w:b/>
          <w:color w:val="auto"/>
          <w:spacing w:val="6"/>
          <w:sz w:val="32"/>
          <w:szCs w:val="32"/>
          <w:highlight w:val="none"/>
        </w:rPr>
      </w:pPr>
    </w:p>
    <w:p w14:paraId="2C2E76D2">
      <w:pPr>
        <w:spacing w:line="360" w:lineRule="auto"/>
        <w:jc w:val="left"/>
        <w:rPr>
          <w:rFonts w:hint="eastAsia" w:cs="仿宋_GB2312" w:asciiTheme="minorEastAsia" w:hAnsiTheme="minorEastAsia" w:eastAsiaTheme="minorEastAsia"/>
          <w:b/>
          <w:color w:val="auto"/>
          <w:spacing w:val="6"/>
          <w:sz w:val="32"/>
          <w:szCs w:val="32"/>
          <w:highlight w:val="none"/>
        </w:rPr>
      </w:pPr>
    </w:p>
    <w:p w14:paraId="3E8E0B6E">
      <w:pPr>
        <w:spacing w:line="360" w:lineRule="auto"/>
        <w:jc w:val="left"/>
        <w:rPr>
          <w:rFonts w:hint="eastAsia" w:cs="仿宋_GB2312" w:asciiTheme="minorEastAsia" w:hAnsiTheme="minorEastAsia" w:eastAsiaTheme="minorEastAsia"/>
          <w:b/>
          <w:color w:val="auto"/>
          <w:spacing w:val="6"/>
          <w:sz w:val="32"/>
          <w:szCs w:val="32"/>
          <w:highlight w:val="none"/>
        </w:rPr>
      </w:pPr>
    </w:p>
    <w:p w14:paraId="5321703A">
      <w:pPr>
        <w:spacing w:line="360" w:lineRule="auto"/>
        <w:jc w:val="left"/>
        <w:rPr>
          <w:rFonts w:hint="eastAsia" w:cs="仿宋_GB2312" w:asciiTheme="minorEastAsia" w:hAnsiTheme="minorEastAsia" w:eastAsiaTheme="minorEastAsia"/>
          <w:b/>
          <w:color w:val="auto"/>
          <w:spacing w:val="6"/>
          <w:sz w:val="32"/>
          <w:szCs w:val="32"/>
          <w:highlight w:val="none"/>
        </w:rPr>
      </w:pPr>
    </w:p>
    <w:p w14:paraId="0E9AE243">
      <w:pPr>
        <w:spacing w:line="360" w:lineRule="auto"/>
        <w:jc w:val="left"/>
        <w:rPr>
          <w:rFonts w:hint="eastAsia" w:cs="仿宋_GB2312" w:asciiTheme="minorEastAsia" w:hAnsiTheme="minorEastAsia" w:eastAsiaTheme="minorEastAsia"/>
          <w:b/>
          <w:color w:val="auto"/>
          <w:spacing w:val="6"/>
          <w:sz w:val="32"/>
          <w:szCs w:val="32"/>
          <w:highlight w:val="none"/>
        </w:rPr>
      </w:pPr>
    </w:p>
    <w:p w14:paraId="0329B482">
      <w:pPr>
        <w:spacing w:line="360" w:lineRule="auto"/>
        <w:jc w:val="left"/>
        <w:rPr>
          <w:rFonts w:hint="eastAsia" w:cs="仿宋_GB2312" w:asciiTheme="minorEastAsia" w:hAnsiTheme="minorEastAsia" w:eastAsiaTheme="minorEastAsia"/>
          <w:b/>
          <w:color w:val="auto"/>
          <w:spacing w:val="6"/>
          <w:sz w:val="32"/>
          <w:szCs w:val="32"/>
          <w:highlight w:val="none"/>
        </w:rPr>
      </w:pPr>
    </w:p>
    <w:p w14:paraId="0DE2D154">
      <w:pPr>
        <w:spacing w:line="360" w:lineRule="auto"/>
        <w:jc w:val="left"/>
        <w:rPr>
          <w:rFonts w:hint="eastAsia" w:cs="仿宋_GB2312" w:asciiTheme="minorEastAsia" w:hAnsiTheme="minorEastAsia" w:eastAsiaTheme="minorEastAsia"/>
          <w:b/>
          <w:color w:val="auto"/>
          <w:spacing w:val="6"/>
          <w:sz w:val="32"/>
          <w:szCs w:val="32"/>
          <w:highlight w:val="none"/>
        </w:rPr>
      </w:pPr>
    </w:p>
    <w:p w14:paraId="38BCFC81">
      <w:pPr>
        <w:spacing w:line="360" w:lineRule="auto"/>
        <w:jc w:val="left"/>
        <w:rPr>
          <w:rFonts w:hint="eastAsia" w:cs="仿宋_GB2312" w:asciiTheme="minorEastAsia" w:hAnsiTheme="minorEastAsia" w:eastAsiaTheme="minorEastAsia"/>
          <w:b/>
          <w:color w:val="auto"/>
          <w:spacing w:val="6"/>
          <w:sz w:val="32"/>
          <w:szCs w:val="32"/>
          <w:highlight w:val="none"/>
        </w:rPr>
      </w:pPr>
    </w:p>
    <w:p w14:paraId="60DF2E6D">
      <w:pPr>
        <w:spacing w:line="360" w:lineRule="auto"/>
        <w:jc w:val="left"/>
        <w:rPr>
          <w:rFonts w:hint="eastAsia" w:cs="仿宋_GB2312" w:asciiTheme="minorEastAsia" w:hAnsiTheme="minorEastAsia" w:eastAsiaTheme="minorEastAsia"/>
          <w:b/>
          <w:color w:val="auto"/>
          <w:spacing w:val="6"/>
          <w:sz w:val="32"/>
          <w:szCs w:val="32"/>
          <w:highlight w:val="none"/>
        </w:rPr>
      </w:pPr>
    </w:p>
    <w:p w14:paraId="6D78E8CE">
      <w:pPr>
        <w:spacing w:line="360" w:lineRule="auto"/>
        <w:jc w:val="left"/>
        <w:rPr>
          <w:rFonts w:hint="eastAsia" w:cs="仿宋_GB2312" w:asciiTheme="minorEastAsia" w:hAnsiTheme="minorEastAsia" w:eastAsiaTheme="minorEastAsia"/>
          <w:b/>
          <w:color w:val="auto"/>
          <w:spacing w:val="6"/>
          <w:sz w:val="32"/>
          <w:szCs w:val="32"/>
          <w:highlight w:val="none"/>
        </w:rPr>
      </w:pPr>
    </w:p>
    <w:p w14:paraId="01DDB39E">
      <w:pPr>
        <w:spacing w:line="360" w:lineRule="auto"/>
        <w:jc w:val="left"/>
        <w:rPr>
          <w:rFonts w:hint="eastAsia" w:cs="仿宋_GB2312" w:asciiTheme="minorEastAsia" w:hAnsiTheme="minorEastAsia" w:eastAsiaTheme="minorEastAsia"/>
          <w:b/>
          <w:color w:val="auto"/>
          <w:spacing w:val="6"/>
          <w:sz w:val="32"/>
          <w:szCs w:val="32"/>
          <w:highlight w:val="none"/>
        </w:rPr>
      </w:pPr>
    </w:p>
    <w:p w14:paraId="2C336450">
      <w:pPr>
        <w:spacing w:line="360" w:lineRule="auto"/>
        <w:jc w:val="left"/>
        <w:rPr>
          <w:rFonts w:hint="eastAsia" w:cs="仿宋_GB2312" w:asciiTheme="minorEastAsia" w:hAnsiTheme="minorEastAsia" w:eastAsiaTheme="minorEastAsia"/>
          <w:b/>
          <w:color w:val="auto"/>
          <w:spacing w:val="6"/>
          <w:sz w:val="32"/>
          <w:szCs w:val="32"/>
          <w:highlight w:val="none"/>
        </w:rPr>
      </w:pPr>
    </w:p>
    <w:p w14:paraId="771DE7E6">
      <w:pPr>
        <w:spacing w:line="360" w:lineRule="auto"/>
        <w:jc w:val="left"/>
        <w:rPr>
          <w:rFonts w:hint="eastAsia" w:cs="仿宋_GB2312" w:asciiTheme="minorEastAsia" w:hAnsiTheme="minorEastAsia" w:eastAsiaTheme="minorEastAsia"/>
          <w:b/>
          <w:color w:val="auto"/>
          <w:spacing w:val="6"/>
          <w:sz w:val="32"/>
          <w:szCs w:val="32"/>
          <w:highlight w:val="none"/>
        </w:rPr>
      </w:pPr>
    </w:p>
    <w:p w14:paraId="291D4A3A">
      <w:pPr>
        <w:spacing w:line="360" w:lineRule="auto"/>
        <w:jc w:val="left"/>
        <w:rPr>
          <w:rFonts w:hint="eastAsia" w:cs="仿宋_GB2312" w:asciiTheme="minorEastAsia" w:hAnsiTheme="minorEastAsia" w:eastAsiaTheme="minorEastAsia"/>
          <w:b/>
          <w:color w:val="auto"/>
          <w:spacing w:val="6"/>
          <w:sz w:val="32"/>
          <w:szCs w:val="32"/>
          <w:highlight w:val="none"/>
        </w:rPr>
      </w:pPr>
    </w:p>
    <w:p w14:paraId="689FC7BF">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w:t>
      </w:r>
      <w:r>
        <w:rPr>
          <w:rFonts w:hint="eastAsia" w:cs="仿宋_GB2312" w:asciiTheme="minorEastAsia" w:hAnsiTheme="minorEastAsia" w:eastAsiaTheme="minorEastAsia"/>
          <w:b/>
          <w:color w:val="auto"/>
          <w:spacing w:val="6"/>
          <w:sz w:val="32"/>
          <w:szCs w:val="32"/>
          <w:highlight w:val="none"/>
          <w:lang w:val="en-US" w:eastAsia="zh-CN"/>
        </w:rPr>
        <w:t>2</w:t>
      </w:r>
      <w:r>
        <w:rPr>
          <w:rFonts w:hint="eastAsia" w:cs="仿宋_GB2312" w:asciiTheme="minorEastAsia" w:hAnsiTheme="minorEastAsia" w:eastAsiaTheme="minorEastAsia"/>
          <w:b/>
          <w:color w:val="auto"/>
          <w:spacing w:val="6"/>
          <w:sz w:val="32"/>
          <w:szCs w:val="32"/>
          <w:highlight w:val="none"/>
        </w:rPr>
        <w:t>：质疑函范本及制作说明</w:t>
      </w:r>
    </w:p>
    <w:p w14:paraId="6219999F">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716BC060">
      <w:pPr>
        <w:snapToGrid w:val="0"/>
        <w:spacing w:before="240" w:beforeLines="100" w:line="360" w:lineRule="auto"/>
        <w:rPr>
          <w:rFonts w:cs="仿宋_GB2312"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Cs/>
          <w:color w:val="auto"/>
          <w:sz w:val="21"/>
          <w:szCs w:val="21"/>
          <w:highlight w:val="none"/>
        </w:rPr>
        <w:t>一、质疑供应商基本信息</w:t>
      </w:r>
    </w:p>
    <w:p w14:paraId="60DB6233">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质疑供应商：</w:t>
      </w:r>
    </w:p>
    <w:p w14:paraId="50F0F2DE">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地址：邮编：</w:t>
      </w:r>
    </w:p>
    <w:p w14:paraId="5A3EC32C">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联系人：联系电话：</w:t>
      </w:r>
    </w:p>
    <w:p w14:paraId="4765B8F9">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授权代表：</w:t>
      </w:r>
    </w:p>
    <w:p w14:paraId="4FFDA973">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联系电话：</w:t>
      </w:r>
    </w:p>
    <w:p w14:paraId="5E13A331">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地址： 邮编：</w:t>
      </w:r>
    </w:p>
    <w:p w14:paraId="32BB0A6F">
      <w:pPr>
        <w:snapToGrid w:val="0"/>
        <w:spacing w:line="360" w:lineRule="auto"/>
        <w:rPr>
          <w:rFonts w:cs="仿宋_GB2312"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Cs/>
          <w:color w:val="auto"/>
          <w:sz w:val="21"/>
          <w:szCs w:val="21"/>
          <w:highlight w:val="none"/>
        </w:rPr>
        <w:t>二、质疑项目基本情况</w:t>
      </w:r>
    </w:p>
    <w:p w14:paraId="747929DA">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质疑项目的名称：</w:t>
      </w:r>
    </w:p>
    <w:p w14:paraId="11601A66">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质疑项目的编号：包号：</w:t>
      </w:r>
    </w:p>
    <w:p w14:paraId="1CD5FABC">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采购人名称：</w:t>
      </w:r>
    </w:p>
    <w:p w14:paraId="1A0E3907">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采购文件获取日期：</w:t>
      </w:r>
    </w:p>
    <w:p w14:paraId="0340841A">
      <w:pPr>
        <w:snapToGrid w:val="0"/>
        <w:spacing w:line="360" w:lineRule="auto"/>
        <w:rPr>
          <w:rFonts w:cs="仿宋_GB2312"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Cs/>
          <w:color w:val="auto"/>
          <w:sz w:val="21"/>
          <w:szCs w:val="21"/>
          <w:highlight w:val="none"/>
        </w:rPr>
        <w:t>三、质疑事项具体内容</w:t>
      </w:r>
    </w:p>
    <w:p w14:paraId="50F5D3E1">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质疑事项1：</w:t>
      </w:r>
    </w:p>
    <w:p w14:paraId="189171D0">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事实依据：</w:t>
      </w:r>
    </w:p>
    <w:p w14:paraId="73DAD1BF">
      <w:pPr>
        <w:snapToGrid w:val="0"/>
        <w:spacing w:line="360" w:lineRule="auto"/>
        <w:rPr>
          <w:rFonts w:cs="仿宋_GB2312" w:asciiTheme="minorEastAsia" w:hAnsiTheme="minorEastAsia" w:eastAsiaTheme="minorEastAsia"/>
          <w:color w:val="auto"/>
          <w:sz w:val="21"/>
          <w:szCs w:val="21"/>
          <w:highlight w:val="none"/>
        </w:rPr>
      </w:pPr>
    </w:p>
    <w:p w14:paraId="2CDAC50F">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法律依据：</w:t>
      </w:r>
    </w:p>
    <w:p w14:paraId="68246A08">
      <w:pPr>
        <w:snapToGrid w:val="0"/>
        <w:spacing w:line="360" w:lineRule="auto"/>
        <w:rPr>
          <w:rFonts w:cs="仿宋_GB2312" w:asciiTheme="minorEastAsia" w:hAnsiTheme="minorEastAsia" w:eastAsiaTheme="minorEastAsia"/>
          <w:color w:val="auto"/>
          <w:sz w:val="21"/>
          <w:szCs w:val="21"/>
          <w:highlight w:val="none"/>
          <w:u w:val="dotted"/>
        </w:rPr>
      </w:pPr>
    </w:p>
    <w:p w14:paraId="21FE8D83">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质疑事项2</w:t>
      </w:r>
    </w:p>
    <w:p w14:paraId="5F12C295">
      <w:pPr>
        <w:snapToGrid w:val="0"/>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p w14:paraId="05A27521">
      <w:pPr>
        <w:snapToGrid w:val="0"/>
        <w:spacing w:line="360" w:lineRule="auto"/>
        <w:rPr>
          <w:rFonts w:cs="仿宋_GB2312"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Cs/>
          <w:color w:val="auto"/>
          <w:sz w:val="21"/>
          <w:szCs w:val="21"/>
          <w:highlight w:val="none"/>
        </w:rPr>
        <w:t>四、与质疑事项相关的质疑请求</w:t>
      </w:r>
    </w:p>
    <w:p w14:paraId="2FC65B02">
      <w:pPr>
        <w:snapToGrid w:val="0"/>
        <w:spacing w:line="360" w:lineRule="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请求：</w:t>
      </w:r>
    </w:p>
    <w:p w14:paraId="0958EC74">
      <w:pPr>
        <w:spacing w:line="360" w:lineRule="auto"/>
        <w:rPr>
          <w:rFonts w:cs="仿宋_GB2312" w:asciiTheme="minorEastAsia" w:hAnsiTheme="minorEastAsia" w:eastAsiaTheme="minorEastAsia"/>
          <w:color w:val="auto"/>
          <w:sz w:val="21"/>
          <w:szCs w:val="21"/>
          <w:highlight w:val="none"/>
        </w:rPr>
      </w:pPr>
    </w:p>
    <w:p w14:paraId="6F15F07C">
      <w:pPr>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签字(签章)：                   公章：                      </w:t>
      </w:r>
    </w:p>
    <w:p w14:paraId="386F9C87">
      <w:pPr>
        <w:spacing w:line="360" w:lineRule="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日期：    </w:t>
      </w:r>
    </w:p>
    <w:p w14:paraId="3E02A74C">
      <w:pPr>
        <w:spacing w:line="360" w:lineRule="auto"/>
        <w:rPr>
          <w:rFonts w:hint="eastAsia" w:cs="仿宋_GB2312" w:asciiTheme="minorEastAsia" w:hAnsiTheme="minorEastAsia" w:eastAsiaTheme="minorEastAsia"/>
          <w:b/>
          <w:color w:val="auto"/>
          <w:sz w:val="24"/>
          <w:highlight w:val="none"/>
        </w:rPr>
      </w:pPr>
    </w:p>
    <w:p w14:paraId="61CDF873">
      <w:pPr>
        <w:spacing w:line="360" w:lineRule="auto"/>
        <w:rPr>
          <w:rFonts w:hint="eastAsia" w:cs="仿宋_GB2312" w:asciiTheme="minorEastAsia" w:hAnsiTheme="minorEastAsia" w:eastAsiaTheme="minorEastAsia"/>
          <w:b/>
          <w:color w:val="auto"/>
          <w:sz w:val="24"/>
          <w:highlight w:val="none"/>
        </w:rPr>
      </w:pPr>
    </w:p>
    <w:p w14:paraId="0047FC4E">
      <w:pPr>
        <w:spacing w:line="360" w:lineRule="auto"/>
        <w:rPr>
          <w:rFonts w:hint="eastAsia" w:cs="仿宋_GB2312" w:asciiTheme="minorEastAsia" w:hAnsiTheme="minorEastAsia" w:eastAsiaTheme="minorEastAsia"/>
          <w:b/>
          <w:color w:val="auto"/>
          <w:sz w:val="24"/>
          <w:highlight w:val="none"/>
        </w:rPr>
      </w:pPr>
    </w:p>
    <w:p w14:paraId="7055CA44">
      <w:pPr>
        <w:spacing w:line="360" w:lineRule="auto"/>
        <w:rPr>
          <w:rFonts w:hint="eastAsia" w:cs="仿宋_GB2312" w:asciiTheme="minorEastAsia" w:hAnsiTheme="minorEastAsia" w:eastAsiaTheme="minorEastAsia"/>
          <w:b/>
          <w:color w:val="auto"/>
          <w:sz w:val="24"/>
          <w:highlight w:val="none"/>
        </w:rPr>
      </w:pPr>
    </w:p>
    <w:p w14:paraId="00B3F0F1">
      <w:pPr>
        <w:spacing w:line="360" w:lineRule="auto"/>
        <w:rPr>
          <w:rFonts w:hint="eastAsia" w:cs="仿宋_GB2312" w:asciiTheme="minorEastAsia" w:hAnsiTheme="minorEastAsia" w:eastAsiaTheme="minorEastAsia"/>
          <w:b/>
          <w:color w:val="auto"/>
          <w:sz w:val="24"/>
          <w:highlight w:val="none"/>
        </w:rPr>
      </w:pPr>
    </w:p>
    <w:p w14:paraId="61BA4645">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2DCA10F5">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1.供应商提出质疑时，应提交质疑函和必要的证明材料。</w:t>
      </w:r>
    </w:p>
    <w:p w14:paraId="75C3D3B7">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1"/>
          <w:szCs w:val="21"/>
          <w:highlight w:val="none"/>
        </w:rPr>
        <w:t>供应商签署的授权委托书。授权委托书应载明代理人的姓名或者名称、代理事项、具体权限、期限和相关事项。</w:t>
      </w:r>
    </w:p>
    <w:p w14:paraId="782DCBF2">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3.质疑供应商若对项目的某一分包进行质疑，质疑函中应列明具体分包号。</w:t>
      </w:r>
    </w:p>
    <w:p w14:paraId="46CDA2A2">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4.质疑函的质疑事项应具体、明确，并有必要的事实依据和法律依据。</w:t>
      </w:r>
    </w:p>
    <w:p w14:paraId="1D9D72AD">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5.质疑函的质疑请求应与质疑事项相关。</w:t>
      </w:r>
    </w:p>
    <w:p w14:paraId="78BC0E57">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5B4E3E75">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p>
    <w:p w14:paraId="355B6A4E">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w:t>
      </w:r>
      <w:r>
        <w:rPr>
          <w:rFonts w:hint="eastAsia" w:cs="仿宋_GB2312" w:asciiTheme="minorEastAsia" w:hAnsiTheme="minorEastAsia" w:eastAsiaTheme="minorEastAsia"/>
          <w:b/>
          <w:color w:val="auto"/>
          <w:spacing w:val="6"/>
          <w:sz w:val="32"/>
          <w:szCs w:val="32"/>
          <w:highlight w:val="none"/>
          <w:lang w:val="en-US" w:eastAsia="zh-CN"/>
        </w:rPr>
        <w:t>3</w:t>
      </w:r>
      <w:r>
        <w:rPr>
          <w:rFonts w:hint="eastAsia" w:cs="仿宋_GB2312" w:asciiTheme="minorEastAsia" w:hAnsiTheme="minorEastAsia" w:eastAsiaTheme="minorEastAsia"/>
          <w:b/>
          <w:color w:val="auto"/>
          <w:spacing w:val="6"/>
          <w:sz w:val="32"/>
          <w:szCs w:val="32"/>
          <w:highlight w:val="none"/>
        </w:rPr>
        <w:t>：投诉书范本及制作说明</w:t>
      </w:r>
    </w:p>
    <w:p w14:paraId="0C6563D1">
      <w:pPr>
        <w:spacing w:line="360" w:lineRule="auto"/>
        <w:jc w:val="center"/>
        <w:rPr>
          <w:rFonts w:cs="仿宋_GB2312" w:asciiTheme="minorEastAsia" w:hAnsiTheme="minorEastAsia" w:eastAsiaTheme="minorEastAsia"/>
          <w:b/>
          <w:color w:val="auto"/>
          <w:sz w:val="24"/>
          <w:highlight w:val="none"/>
        </w:rPr>
      </w:pPr>
    </w:p>
    <w:p w14:paraId="691BEC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仿宋_GB2312" w:asciiTheme="minorEastAsia" w:hAnsiTheme="minorEastAsia" w:eastAsiaTheme="minorEastAsia"/>
          <w:b/>
          <w:color w:val="auto"/>
          <w:spacing w:val="6"/>
          <w:sz w:val="21"/>
          <w:szCs w:val="21"/>
          <w:highlight w:val="none"/>
        </w:rPr>
      </w:pPr>
      <w:r>
        <w:rPr>
          <w:rFonts w:hint="eastAsia" w:cs="仿宋_GB2312" w:asciiTheme="minorEastAsia" w:hAnsiTheme="minorEastAsia" w:eastAsiaTheme="minorEastAsia"/>
          <w:b/>
          <w:color w:val="auto"/>
          <w:spacing w:val="6"/>
          <w:sz w:val="21"/>
          <w:szCs w:val="21"/>
          <w:highlight w:val="none"/>
        </w:rPr>
        <w:t>投诉书范本</w:t>
      </w:r>
    </w:p>
    <w:p w14:paraId="114EA92F">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一、投诉相关主体基本情况</w:t>
      </w:r>
    </w:p>
    <w:p w14:paraId="3D175208">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投诉人：</w:t>
      </w:r>
    </w:p>
    <w:p w14:paraId="26D5E96E">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地     址：邮编：</w:t>
      </w:r>
    </w:p>
    <w:p w14:paraId="64464DC2">
      <w:pPr>
        <w:keepNext w:val="0"/>
        <w:keepLines w:val="0"/>
        <w:pageBreakBefore w:val="0"/>
        <w:widowControl w:val="0"/>
        <w:tabs>
          <w:tab w:val="left" w:pos="6510"/>
        </w:tabs>
        <w:kinsoku/>
        <w:wordWrap/>
        <w:overflowPunct/>
        <w:topLinePunct w:val="0"/>
        <w:autoSpaceDE/>
        <w:autoSpaceDN/>
        <w:bidi w:val="0"/>
        <w:adjustRightInd/>
        <w:snapToGrid/>
        <w:spacing w:line="300" w:lineRule="exact"/>
        <w:jc w:val="lef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法定代表人/主要负责人：</w:t>
      </w:r>
    </w:p>
    <w:p w14:paraId="65A3A6B3">
      <w:pPr>
        <w:keepNext w:val="0"/>
        <w:keepLines w:val="0"/>
        <w:pageBreakBefore w:val="0"/>
        <w:widowControl w:val="0"/>
        <w:tabs>
          <w:tab w:val="left" w:pos="6510"/>
        </w:tabs>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联系电话：</w:t>
      </w:r>
    </w:p>
    <w:p w14:paraId="5917A051">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授权代表：联系电话</w:t>
      </w:r>
      <w:r>
        <w:rPr>
          <w:rFonts w:hint="eastAsia" w:cs="仿宋_GB2312" w:asciiTheme="minorEastAsia" w:hAnsiTheme="minorEastAsia" w:eastAsiaTheme="minorEastAsia"/>
          <w:color w:val="auto"/>
          <w:sz w:val="21"/>
          <w:szCs w:val="21"/>
          <w:highlight w:val="none"/>
          <w:u w:val="dotted"/>
        </w:rPr>
        <w:t xml:space="preserve">：                  </w:t>
      </w:r>
    </w:p>
    <w:p w14:paraId="435EAAEE">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地     址：邮编：</w:t>
      </w:r>
    </w:p>
    <w:p w14:paraId="2715255A">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被投诉人1：</w:t>
      </w:r>
    </w:p>
    <w:p w14:paraId="1887EA85">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地     址：邮编：</w:t>
      </w:r>
    </w:p>
    <w:p w14:paraId="29F084EB">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联系人：联系电话：</w:t>
      </w:r>
    </w:p>
    <w:p w14:paraId="6DD7906E">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被投诉人2</w:t>
      </w:r>
    </w:p>
    <w:p w14:paraId="574809B9">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w:t>
      </w:r>
    </w:p>
    <w:p w14:paraId="71C3FE2F">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相关供应商：</w:t>
      </w:r>
    </w:p>
    <w:p w14:paraId="00E6D4E5">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地     址：邮编：</w:t>
      </w:r>
    </w:p>
    <w:p w14:paraId="1176C87E">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联系人：联系电话：</w:t>
      </w:r>
    </w:p>
    <w:p w14:paraId="0F9F3EF4">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二、投诉项目基本情况</w:t>
      </w:r>
    </w:p>
    <w:p w14:paraId="1549BB7C">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采购项目名称：</w:t>
      </w:r>
    </w:p>
    <w:p w14:paraId="01AD8105">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采购项目编号：包号：</w:t>
      </w:r>
    </w:p>
    <w:p w14:paraId="74956AEB">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采购人名称：</w:t>
      </w:r>
    </w:p>
    <w:p w14:paraId="0F2F4767">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代理机构名称：</w:t>
      </w:r>
    </w:p>
    <w:p w14:paraId="58760979">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采购文件公告:</w:t>
      </w:r>
      <w:r>
        <w:rPr>
          <w:rFonts w:hint="eastAsia" w:cs="仿宋_GB2312" w:asciiTheme="minorEastAsia" w:hAnsiTheme="minorEastAsia" w:eastAsiaTheme="minorEastAsia"/>
          <w:color w:val="auto"/>
          <w:sz w:val="21"/>
          <w:szCs w:val="21"/>
          <w:highlight w:val="none"/>
          <w:u w:val="dotted"/>
        </w:rPr>
        <w:t xml:space="preserve">是/否 </w:t>
      </w:r>
      <w:r>
        <w:rPr>
          <w:rFonts w:hint="eastAsia" w:cs="仿宋_GB2312" w:asciiTheme="minorEastAsia" w:hAnsiTheme="minorEastAsia" w:eastAsiaTheme="minorEastAsia"/>
          <w:color w:val="auto"/>
          <w:sz w:val="21"/>
          <w:szCs w:val="21"/>
          <w:highlight w:val="none"/>
        </w:rPr>
        <w:t>公告期限：</w:t>
      </w:r>
    </w:p>
    <w:p w14:paraId="0D9E2298">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采购结果公告:</w:t>
      </w:r>
      <w:r>
        <w:rPr>
          <w:rFonts w:hint="eastAsia" w:cs="仿宋_GB2312" w:asciiTheme="minorEastAsia" w:hAnsiTheme="minorEastAsia" w:eastAsiaTheme="minorEastAsia"/>
          <w:color w:val="auto"/>
          <w:sz w:val="21"/>
          <w:szCs w:val="21"/>
          <w:highlight w:val="none"/>
          <w:u w:val="dotted"/>
        </w:rPr>
        <w:t xml:space="preserve">是/否 </w:t>
      </w:r>
      <w:r>
        <w:rPr>
          <w:rFonts w:hint="eastAsia" w:cs="仿宋_GB2312" w:asciiTheme="minorEastAsia" w:hAnsiTheme="minorEastAsia" w:eastAsiaTheme="minorEastAsia"/>
          <w:color w:val="auto"/>
          <w:sz w:val="21"/>
          <w:szCs w:val="21"/>
          <w:highlight w:val="none"/>
        </w:rPr>
        <w:t>公告期限：</w:t>
      </w:r>
    </w:p>
    <w:p w14:paraId="7033EE41">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三、质疑基本情况</w:t>
      </w:r>
    </w:p>
    <w:p w14:paraId="397FC4C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投诉人于年月日,向提出质疑，质疑事项为：</w:t>
      </w:r>
    </w:p>
    <w:p w14:paraId="50931571">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dotted"/>
        </w:rPr>
      </w:pPr>
    </w:p>
    <w:p w14:paraId="2D063E56">
      <w:pPr>
        <w:keepNext w:val="0"/>
        <w:keepLines w:val="0"/>
        <w:pageBreakBefore w:val="0"/>
        <w:widowControl w:val="0"/>
        <w:kinsoku/>
        <w:wordWrap/>
        <w:overflowPunct/>
        <w:topLinePunct w:val="0"/>
        <w:autoSpaceDE/>
        <w:autoSpaceDN/>
        <w:bidi w:val="0"/>
        <w:adjustRightInd/>
        <w:snapToGrid/>
        <w:spacing w:line="300" w:lineRule="exact"/>
        <w:ind w:firstLine="315" w:firstLineChars="150"/>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u w:val="dotted"/>
        </w:rPr>
        <w:t>采购人/代理机构</w:t>
      </w:r>
      <w:r>
        <w:rPr>
          <w:rFonts w:hint="eastAsia" w:cs="仿宋_GB2312" w:asciiTheme="minorEastAsia" w:hAnsiTheme="minorEastAsia" w:eastAsiaTheme="minorEastAsia"/>
          <w:color w:val="auto"/>
          <w:sz w:val="21"/>
          <w:szCs w:val="21"/>
          <w:highlight w:val="none"/>
        </w:rPr>
        <w:t>于年月日,就质疑事项作出了答复/没有在法定期限内作出答复。</w:t>
      </w:r>
    </w:p>
    <w:p w14:paraId="3F3DC4D8">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四、投诉事项具体内容</w:t>
      </w:r>
    </w:p>
    <w:p w14:paraId="1ABFCA20">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投诉事项 1：</w:t>
      </w:r>
    </w:p>
    <w:p w14:paraId="1619F093">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事实依据：</w:t>
      </w:r>
    </w:p>
    <w:p w14:paraId="39BD5B6B">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dotted"/>
        </w:rPr>
      </w:pPr>
    </w:p>
    <w:p w14:paraId="147009ED">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r>
        <w:rPr>
          <w:rFonts w:hint="eastAsia" w:cs="仿宋_GB2312" w:asciiTheme="minorEastAsia" w:hAnsiTheme="minorEastAsia" w:eastAsiaTheme="minorEastAsia"/>
          <w:color w:val="auto"/>
          <w:sz w:val="21"/>
          <w:szCs w:val="21"/>
          <w:highlight w:val="none"/>
        </w:rPr>
        <w:t>法律依据：</w:t>
      </w:r>
    </w:p>
    <w:p w14:paraId="5AE051D9">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dotted"/>
        </w:rPr>
      </w:pPr>
    </w:p>
    <w:p w14:paraId="34B22495">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投诉事项2</w:t>
      </w:r>
    </w:p>
    <w:p w14:paraId="6941468E">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dotted"/>
        </w:rPr>
      </w:pPr>
      <w:r>
        <w:rPr>
          <w:rFonts w:hint="eastAsia" w:cs="仿宋_GB2312" w:asciiTheme="minorEastAsia" w:hAnsiTheme="minorEastAsia" w:eastAsiaTheme="minorEastAsia"/>
          <w:color w:val="auto"/>
          <w:sz w:val="21"/>
          <w:szCs w:val="21"/>
          <w:highlight w:val="none"/>
        </w:rPr>
        <w:t>……</w:t>
      </w:r>
    </w:p>
    <w:p w14:paraId="6D960E08">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五、与投诉事项相关的投诉请求</w:t>
      </w:r>
    </w:p>
    <w:p w14:paraId="260B0CF7">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请求：</w:t>
      </w:r>
    </w:p>
    <w:p w14:paraId="354D864C">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u w:val="single"/>
        </w:rPr>
      </w:pPr>
    </w:p>
    <w:p w14:paraId="181B193D">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签字(签章)：                   公章：                      </w:t>
      </w:r>
    </w:p>
    <w:p w14:paraId="6C67ECF3">
      <w:pPr>
        <w:keepNext w:val="0"/>
        <w:keepLines w:val="0"/>
        <w:pageBreakBefore w:val="0"/>
        <w:widowControl w:val="0"/>
        <w:kinsoku/>
        <w:wordWrap/>
        <w:overflowPunct/>
        <w:topLinePunct w:val="0"/>
        <w:autoSpaceDE/>
        <w:autoSpaceDN/>
        <w:bidi w:val="0"/>
        <w:adjustRightInd/>
        <w:snapToGrid/>
        <w:spacing w:line="300" w:lineRule="exact"/>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日期：    </w:t>
      </w:r>
    </w:p>
    <w:p w14:paraId="462467B8">
      <w:pPr>
        <w:spacing w:line="360" w:lineRule="auto"/>
        <w:rPr>
          <w:rFonts w:cs="仿宋_GB2312" w:asciiTheme="minorEastAsia" w:hAnsiTheme="minorEastAsia" w:eastAsiaTheme="minorEastAsia"/>
          <w:b/>
          <w:color w:val="auto"/>
          <w:sz w:val="21"/>
          <w:szCs w:val="21"/>
          <w:highlight w:val="none"/>
        </w:rPr>
      </w:pPr>
    </w:p>
    <w:p w14:paraId="2C4F8710">
      <w:pPr>
        <w:spacing w:line="360" w:lineRule="auto"/>
        <w:rPr>
          <w:rFonts w:cs="仿宋_GB2312" w:asciiTheme="minorEastAsia" w:hAnsiTheme="minorEastAsia" w:eastAsiaTheme="minorEastAsia"/>
          <w:b/>
          <w:color w:val="auto"/>
          <w:sz w:val="21"/>
          <w:szCs w:val="21"/>
          <w:highlight w:val="none"/>
        </w:rPr>
      </w:pPr>
    </w:p>
    <w:p w14:paraId="4300A9BA">
      <w:pPr>
        <w:spacing w:line="360" w:lineRule="auto"/>
        <w:rPr>
          <w:rFonts w:hint="eastAsia" w:cs="仿宋_GB2312" w:asciiTheme="minorEastAsia" w:hAnsiTheme="minorEastAsia" w:eastAsiaTheme="minorEastAsia"/>
          <w:b/>
          <w:color w:val="auto"/>
          <w:sz w:val="21"/>
          <w:szCs w:val="21"/>
          <w:highlight w:val="none"/>
        </w:rPr>
      </w:pPr>
    </w:p>
    <w:p w14:paraId="54B36080">
      <w:pPr>
        <w:spacing w:line="360" w:lineRule="auto"/>
        <w:rPr>
          <w:rFonts w:hint="eastAsia" w:cs="仿宋_GB2312" w:asciiTheme="minorEastAsia" w:hAnsiTheme="minorEastAsia" w:eastAsiaTheme="minorEastAsia"/>
          <w:b/>
          <w:color w:val="auto"/>
          <w:sz w:val="21"/>
          <w:szCs w:val="21"/>
          <w:highlight w:val="none"/>
        </w:rPr>
      </w:pPr>
    </w:p>
    <w:p w14:paraId="55EE0F2D">
      <w:pPr>
        <w:spacing w:line="360" w:lineRule="auto"/>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投诉书制作说明：</w:t>
      </w:r>
    </w:p>
    <w:p w14:paraId="0F65118E">
      <w:pPr>
        <w:widowControl/>
        <w:spacing w:line="360" w:lineRule="auto"/>
        <w:ind w:firstLine="420" w:firstLineChars="200"/>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sz w:val="21"/>
          <w:szCs w:val="21"/>
          <w:highlight w:val="none"/>
        </w:rPr>
        <w:t>1.投诉人提起投诉时，应当提交投诉书和必要的证明材料，并按照被投诉人和与投诉事项有关的供应商数量提供投诉书副本。</w:t>
      </w:r>
    </w:p>
    <w:p w14:paraId="73EE0660">
      <w:pPr>
        <w:widowControl/>
        <w:spacing w:line="360" w:lineRule="auto"/>
        <w:ind w:firstLine="420" w:firstLineChars="200"/>
        <w:jc w:val="left"/>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sz w:val="21"/>
          <w:szCs w:val="21"/>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1"/>
          <w:szCs w:val="21"/>
          <w:highlight w:val="none"/>
        </w:rPr>
        <w:t>投诉人签署的授权委托书。授权委托书应当载明代理人的姓名或者名称、代理事项、具体权限、期限和相关事项。</w:t>
      </w:r>
    </w:p>
    <w:p w14:paraId="32560720">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3.投诉人若对项目的某一分包进行投诉，投诉书应列明具体分包号。</w:t>
      </w:r>
    </w:p>
    <w:p w14:paraId="6A3CCFC7">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4.投诉书应简要列明质疑事项，质疑函、质疑答复等作为附件材料提供。</w:t>
      </w:r>
    </w:p>
    <w:p w14:paraId="54DAAA22">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5.投诉书的投诉事项应具体、明确，并有必要的事实依据和法律依据。</w:t>
      </w:r>
    </w:p>
    <w:p w14:paraId="155EB850">
      <w:pPr>
        <w:widowControl/>
        <w:spacing w:line="360" w:lineRule="auto"/>
        <w:ind w:firstLine="420" w:firstLineChars="200"/>
        <w:jc w:val="left"/>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6.投诉书的投诉请求应与投诉事项相关。</w:t>
      </w:r>
    </w:p>
    <w:p w14:paraId="36D27660">
      <w:pPr>
        <w:widowControl/>
        <w:spacing w:line="360" w:lineRule="auto"/>
        <w:ind w:firstLine="420" w:firstLineChars="200"/>
        <w:jc w:val="left"/>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7BD93456">
      <w:pPr>
        <w:rPr>
          <w:rFonts w:cs="仿宋_GB2312" w:asciiTheme="minorEastAsia" w:hAnsiTheme="minorEastAsia" w:eastAsiaTheme="minorEastAsia"/>
          <w:b/>
          <w:color w:val="auto"/>
          <w:sz w:val="21"/>
          <w:szCs w:val="21"/>
          <w:highlight w:val="none"/>
        </w:rPr>
      </w:pPr>
    </w:p>
    <w:p w14:paraId="6232A9C6">
      <w:pPr>
        <w:widowControl/>
        <w:adjustRightInd/>
        <w:jc w:val="left"/>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br w:type="page"/>
      </w:r>
    </w:p>
    <w:p w14:paraId="3EEFD2F3">
      <w:pPr>
        <w:autoSpaceDE w:val="0"/>
        <w:autoSpaceDN w:val="0"/>
        <w:jc w:val="left"/>
        <w:rPr>
          <w:rFonts w:hint="eastAsia" w:cs="仿宋_GB2312" w:asciiTheme="minorEastAsia" w:hAnsiTheme="minorEastAsia" w:eastAsiaTheme="minorEastAsia"/>
          <w:b/>
          <w:color w:val="auto"/>
          <w:sz w:val="32"/>
          <w:szCs w:val="32"/>
          <w:highlight w:val="none"/>
        </w:rPr>
      </w:pPr>
    </w:p>
    <w:p w14:paraId="44F94098">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附件4：</w:t>
      </w:r>
    </w:p>
    <w:p w14:paraId="6844B2BA">
      <w:pPr>
        <w:spacing w:line="360" w:lineRule="auto"/>
        <w:jc w:val="left"/>
        <w:rPr>
          <w:rFonts w:hint="eastAsia" w:ascii="宋体" w:hAnsi="宋体" w:eastAsia="宋体" w:cs="宋体"/>
          <w:b/>
          <w:color w:val="auto"/>
          <w:sz w:val="24"/>
          <w:highlight w:val="none"/>
        </w:rPr>
      </w:pPr>
    </w:p>
    <w:p w14:paraId="0E7D8063">
      <w:pPr>
        <w:autoSpaceDE w:val="0"/>
        <w:autoSpaceDN w:val="0"/>
        <w:jc w:val="center"/>
        <w:outlineLvl w:val="0"/>
        <w:rPr>
          <w:rFonts w:hint="eastAsia" w:ascii="宋体" w:hAnsi="宋体" w:eastAsia="宋体" w:cs="宋体"/>
          <w:b/>
          <w:bCs/>
          <w:color w:val="auto"/>
          <w:sz w:val="32"/>
          <w:szCs w:val="32"/>
          <w:highlight w:val="none"/>
        </w:rPr>
      </w:pPr>
      <w:bookmarkStart w:id="23" w:name="_Toc11346"/>
      <w:r>
        <w:rPr>
          <w:rFonts w:hint="eastAsia" w:ascii="宋体" w:hAnsi="宋体" w:eastAsia="宋体" w:cs="宋体"/>
          <w:b/>
          <w:bCs/>
          <w:color w:val="auto"/>
          <w:sz w:val="32"/>
          <w:szCs w:val="32"/>
          <w:highlight w:val="none"/>
        </w:rPr>
        <w:t>业务专用章使用说明函</w:t>
      </w:r>
      <w:bookmarkEnd w:id="23"/>
    </w:p>
    <w:p w14:paraId="094E97FA">
      <w:pPr>
        <w:autoSpaceDE w:val="0"/>
        <w:autoSpaceDN w:val="0"/>
        <w:jc w:val="center"/>
        <w:rPr>
          <w:rFonts w:hint="eastAsia" w:ascii="宋体" w:hAnsi="宋体" w:eastAsia="宋体" w:cs="宋体"/>
          <w:b/>
          <w:bCs/>
          <w:color w:val="auto"/>
          <w:sz w:val="32"/>
          <w:szCs w:val="32"/>
          <w:highlight w:val="none"/>
        </w:rPr>
      </w:pPr>
    </w:p>
    <w:p w14:paraId="21E990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宁海县梅林街道社区卫生服务中心（宁海县第一医院医疗健康集团北部医院）</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浙江信望工程咨询有限公司</w:t>
      </w:r>
      <w:r>
        <w:rPr>
          <w:rFonts w:hint="eastAsia" w:ascii="宋体" w:hAnsi="宋体" w:eastAsia="宋体" w:cs="宋体"/>
          <w:color w:val="auto"/>
          <w:sz w:val="24"/>
          <w:highlight w:val="none"/>
        </w:rPr>
        <w:t>：</w:t>
      </w:r>
    </w:p>
    <w:p w14:paraId="2991A1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w:t>
      </w:r>
      <w:r>
        <w:rPr>
          <w:rFonts w:hint="eastAsia" w:ascii="宋体" w:hAnsi="宋体" w:eastAsia="宋体" w:cs="宋体"/>
          <w:color w:val="auto"/>
          <w:sz w:val="24"/>
          <w:highlight w:val="none"/>
        </w:rPr>
        <w:t>供应商全称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贵方组织的</w:t>
      </w:r>
      <w:r>
        <w:rPr>
          <w:rFonts w:hint="eastAsia" w:ascii="宋体" w:hAnsi="宋体" w:cs="宋体"/>
          <w:color w:val="auto"/>
          <w:sz w:val="24"/>
          <w:highlight w:val="none"/>
          <w:lang w:eastAsia="zh-CN"/>
        </w:rPr>
        <w:t>宁海县民政局地名标牌采购项目</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浙信基招【202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】第NH00</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号</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采购活动中作如下说明：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84181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1D2408BE">
      <w:pPr>
        <w:spacing w:line="360" w:lineRule="auto"/>
        <w:ind w:firstLine="494"/>
        <w:rPr>
          <w:rFonts w:hint="eastAsia" w:ascii="宋体" w:hAnsi="宋体" w:eastAsia="宋体" w:cs="宋体"/>
          <w:color w:val="auto"/>
          <w:sz w:val="24"/>
          <w:highlight w:val="none"/>
        </w:rPr>
      </w:pPr>
    </w:p>
    <w:p w14:paraId="53A94D77">
      <w:pPr>
        <w:spacing w:line="360" w:lineRule="auto"/>
        <w:ind w:firstLine="494"/>
        <w:rPr>
          <w:rFonts w:hint="eastAsia" w:ascii="宋体" w:hAnsi="宋体" w:eastAsia="宋体" w:cs="宋体"/>
          <w:color w:val="auto"/>
          <w:sz w:val="24"/>
          <w:highlight w:val="none"/>
        </w:rPr>
      </w:pPr>
    </w:p>
    <w:p w14:paraId="3028004B">
      <w:pPr>
        <w:spacing w:line="360" w:lineRule="auto"/>
        <w:ind w:firstLine="494"/>
        <w:rPr>
          <w:rFonts w:hint="eastAsia" w:ascii="宋体" w:hAnsi="宋体" w:eastAsia="宋体" w:cs="宋体"/>
          <w:color w:val="auto"/>
          <w:sz w:val="24"/>
          <w:highlight w:val="none"/>
        </w:rPr>
      </w:pPr>
    </w:p>
    <w:p w14:paraId="1A32CE6F">
      <w:pPr>
        <w:spacing w:line="360" w:lineRule="auto"/>
        <w:ind w:firstLine="494"/>
        <w:rPr>
          <w:rFonts w:hint="eastAsia" w:ascii="宋体" w:hAnsi="宋体" w:eastAsia="宋体" w:cs="宋体"/>
          <w:color w:val="auto"/>
          <w:sz w:val="24"/>
          <w:highlight w:val="none"/>
        </w:rPr>
      </w:pPr>
    </w:p>
    <w:p w14:paraId="5AA28CA5">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4927C590">
      <w:pPr>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0774516">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97C9D25">
      <w:pPr>
        <w:spacing w:line="360" w:lineRule="auto"/>
        <w:rPr>
          <w:rFonts w:hint="eastAsia" w:ascii="宋体" w:hAnsi="宋体" w:eastAsia="宋体" w:cs="宋体"/>
          <w:bCs/>
          <w:color w:val="auto"/>
          <w:sz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3150670D">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QpcGToCAAB9BAAADgAAAGRycy9lMm9Eb2MueG1srVTB&#10;btQwEL0j8Q+W72yyYXdLo2arqlURUoFKhQ/wOs7GwvaYsXezy88gceMj+BzEbzBx0mVbOPRADpbH&#10;M36e92YmZ+c7a9hWYdDgKj6d5JwpJ6HWbl3xjx+uX7ziLEThamHAqYrvVeDny+fPzjpfqgJaMLVC&#10;RiAulJ2veBujL7MsyFZZESbglSNnA2hFJBPXWY2iI3RrsiLPF1kHWHsEqUKg06vByUdEfAogNI2W&#10;6grkxioXB1RURkSiFFrtA1+mbJtGyfi+aYKKzFScmMa00iO0X/VrtjwT5RqFb7UcUxBPSeERJyu0&#10;o0cPUFciCrZB/ReU1RIhQBMnEmw2EEmKEItp/kibu1Z4lbiQ1MEfRA//D1a+294i03XFFwvOnLBU&#10;8V9fv//88Y3RAanT+VBS0J2/xZ5f8DcgPwXm4LIVbq0uEKFrlagpp2kfnz240BuBrrJV9xZqwhab&#10;CEmoXYO2ByQJ2C7VY3+oh9pFJumwOMlns8WcM0m+opi/XEzn6Q1R3l/3GOJrBZb1m4ojFTzBi+1N&#10;iH06orwPSemD0fW1NiYZuF5dGmRbQc1xnb4RPRyHGce6ip/Oi3lCfuALxxB5+v4FYXWkmTHaEo3j&#10;IONGwXqNBq3jbrUbZV9BvSfpEIaupZmlTQv4hbOOOrbi4fNGoOLMvHEk/+l0NutbPBmz+UlBBh57&#10;Vsce4SRBVTxyNmwv4zAWG4963dJL00TXwQWVrNFJzL6cQ1Zj3tSVSeNxgvq2P7ZT1J+/x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ZAPP9gAAAAKAQAADwAAAAAAAAABACAAAAAiAAAAZHJzL2Rv&#10;d25yZXYueG1sUEsBAhQAFAAAAAgAh07iQIEKXBk6AgAAfQQAAA4AAAAAAAAAAQAgAAAAJwEAAGRy&#10;cy9lMm9Eb2MueG1sUEsFBgAAAAAGAAYAWQEAANMFAAAAAA==&#10;">
                <v:fill on="t" focussize="0,0"/>
                <v:stroke color="#000000" miterlimit="2" joinstyle="miter"/>
                <v:imagedata o:title=""/>
                <o:lock v:ext="edit" aspectratio="f"/>
                <v:textbox>
                  <w:txbxContent>
                    <w:p w14:paraId="3150670D">
                      <w:pPr>
                        <w:jc w:val="center"/>
                      </w:pPr>
                    </w:p>
                  </w:txbxContent>
                </v:textbox>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93C7D7A">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40yqqzoCAAB9BAAADgAAAGRycy9lMm9Eb2MueG1srVTN&#10;jtMwEL4j8Q6W7zRt6A+NNl2tdlWEtMBKCw/gOk5jYXvM2G1aXgaJGw/B4yBeg4mTXboLhz2Qg+Xx&#10;jD/P981Mzs4P1rC9wqDBlXwyGnOmnIRKu23JP35Yv3jFWYjCVcKAUyU/qsDPV8+fnbW+UDk0YCqF&#10;jEBcKFpf8iZGX2RZkI2yIozAK0fOGtCKSCZuswpFS+jWZPl4PM9awMojSBUCnV71Tj4g4lMAoa61&#10;VFcgd1a52KOiMiISpdBoH/gqZVvXSsb3dR1UZKbkxDSmlR6h/aZbs9WZKLYofKPlkIJ4SgqPOFmh&#10;HT16D3UlomA71H9BWS0RAtRxJMFmPZGkCLGYjB9pc9sIrxIXkjr4e9HD/4OV7/Y3yHRV8vmCMycs&#10;VfzX1+8/f3xjdEDqtD4UFHTrb7DjF/w1yE+BObhshNuqC0RoGyUqymnSxWcPLnRGoKts076FirDF&#10;LkIS6lCj7QBJAnZI9Tje10MdIpN0mM+ni+WMSiXJl+ezl/PJLL0hirvrHkN8rcCyblNypIIneLG/&#10;DrFLRxR3ISl9MLpaa2OSgdvNpUG2F9Qc6/QN6OE0zDjWlnw5y2cJ+YEvnEKM0/cvCKsjzYzRlmic&#10;Bhk3CNZp1GsdD5vDIPsGqiNJh9B3Lc0sbRrAL5y11LElD593AhVn5o0j+ZeT6bRr8WRMZ4ucDDz1&#10;bE49wkmCKnnkrN9exn4sdh71tqGXJomugwsqWa2TmF05+6yGvKkrk8bDBHVtf2qnqD9/jd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YxHptgAAAAKAQAADwAAAAAAAAABACAAAAAiAAAAZHJzL2Rv&#10;d25yZXYueG1sUEsBAhQAFAAAAAgAh07iQONMqqs6AgAAfQQAAA4AAAAAAAAAAQAgAAAAJwEAAGRy&#10;cy9lMm9Eb2MueG1sUEsFBgAAAAAGAAYAWQEAANMFAAAAAA==&#10;">
                <v:fill on="t" focussize="0,0"/>
                <v:stroke color="#000000" miterlimit="2" joinstyle="miter"/>
                <v:imagedata o:title=""/>
                <o:lock v:ext="edit" aspectratio="f"/>
                <v:textbox>
                  <w:txbxContent>
                    <w:p w14:paraId="693C7D7A">
                      <w:pPr>
                        <w:jc w:val="center"/>
                      </w:pPr>
                    </w:p>
                  </w:txbxContent>
                </v:textbox>
              </v:rect>
            </w:pict>
          </mc:Fallback>
        </mc:AlternateContent>
      </w:r>
      <w:r>
        <w:rPr>
          <w:rFonts w:hint="eastAsia" w:ascii="宋体" w:hAnsi="宋体" w:eastAsia="宋体" w:cs="宋体"/>
          <w:color w:val="auto"/>
          <w:sz w:val="24"/>
          <w:highlight w:val="none"/>
        </w:rPr>
        <w:t>供应商法定名称章（印模）                供应商“XX专用章”（印模）</w:t>
      </w:r>
    </w:p>
    <w:p w14:paraId="5A4EFD56">
      <w:pPr>
        <w:widowControl/>
        <w:spacing w:line="360" w:lineRule="auto"/>
        <w:ind w:firstLine="480" w:firstLineChars="200"/>
        <w:jc w:val="left"/>
        <w:rPr>
          <w:rFonts w:hint="eastAsia" w:ascii="宋体" w:hAnsi="宋体" w:eastAsia="宋体" w:cs="宋体"/>
          <w:color w:val="auto"/>
          <w:kern w:val="0"/>
          <w:sz w:val="24"/>
          <w:highlight w:val="none"/>
        </w:rPr>
      </w:pPr>
    </w:p>
    <w:p w14:paraId="476547FB">
      <w:pPr>
        <w:snapToGrid w:val="0"/>
        <w:spacing w:line="360" w:lineRule="auto"/>
        <w:jc w:val="center"/>
        <w:rPr>
          <w:rFonts w:hint="eastAsia" w:ascii="宋体" w:hAnsi="宋体" w:eastAsia="宋体" w:cs="宋体"/>
          <w:b/>
          <w:color w:val="auto"/>
          <w:sz w:val="24"/>
          <w:highlight w:val="none"/>
        </w:rPr>
      </w:pPr>
    </w:p>
    <w:p w14:paraId="05788C1A">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34186405">
      <w:pPr>
        <w:autoSpaceDE w:val="0"/>
        <w:autoSpaceDN w:val="0"/>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7</w:t>
      </w:r>
      <w:r>
        <w:rPr>
          <w:rFonts w:hint="eastAsia" w:ascii="宋体" w:hAnsi="宋体" w:eastAsia="宋体" w:cs="宋体"/>
          <w:b/>
          <w:color w:val="auto"/>
          <w:spacing w:val="6"/>
          <w:sz w:val="32"/>
          <w:szCs w:val="32"/>
          <w:highlight w:val="none"/>
        </w:rPr>
        <w:t>：</w:t>
      </w:r>
    </w:p>
    <w:p w14:paraId="3DC109C6">
      <w:pPr>
        <w:spacing w:line="360" w:lineRule="auto"/>
        <w:jc w:val="center"/>
        <w:rPr>
          <w:rFonts w:cs="宋体" w:asciiTheme="minorEastAsia" w:hAnsiTheme="minorEastAsia" w:eastAsiaTheme="minorEastAsia"/>
          <w:b/>
          <w:color w:val="auto"/>
          <w:sz w:val="32"/>
          <w:szCs w:val="32"/>
          <w:highlight w:val="none"/>
        </w:rPr>
      </w:pPr>
    </w:p>
    <w:p w14:paraId="4A208E15">
      <w:pPr>
        <w:adjustRightInd/>
        <w:spacing w:line="360" w:lineRule="auto"/>
        <w:jc w:val="center"/>
        <w:outlineLvl w:val="0"/>
        <w:rPr>
          <w:rFonts w:cs="宋体"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6"/>
          <w:szCs w:val="36"/>
          <w:highlight w:val="none"/>
        </w:rPr>
        <w:t>中小企业声明函（</w:t>
      </w:r>
      <w:r>
        <w:rPr>
          <w:rFonts w:hint="eastAsia" w:cs="仿宋_GB2312" w:asciiTheme="minorEastAsia" w:hAnsiTheme="minorEastAsia" w:eastAsiaTheme="minorEastAsia"/>
          <w:b/>
          <w:color w:val="auto"/>
          <w:sz w:val="36"/>
          <w:szCs w:val="36"/>
          <w:highlight w:val="none"/>
          <w:lang w:val="en-US" w:eastAsia="zh-CN"/>
        </w:rPr>
        <w:t>服务</w:t>
      </w:r>
      <w:r>
        <w:rPr>
          <w:rFonts w:hint="eastAsia" w:cs="仿宋_GB2312" w:asciiTheme="minorEastAsia" w:hAnsiTheme="minorEastAsia" w:eastAsiaTheme="minorEastAsia"/>
          <w:b/>
          <w:color w:val="auto"/>
          <w:sz w:val="36"/>
          <w:szCs w:val="36"/>
          <w:highlight w:val="none"/>
        </w:rPr>
        <w:t>）</w:t>
      </w:r>
    </w:p>
    <w:p w14:paraId="10D6DB43">
      <w:pPr>
        <w:keepNext w:val="0"/>
        <w:keepLines w:val="0"/>
        <w:pageBreakBefore w:val="0"/>
        <w:widowControl w:val="0"/>
        <w:kinsoku/>
        <w:wordWrap/>
        <w:overflowPunct/>
        <w:topLinePunct w:val="0"/>
        <w:autoSpaceDE/>
        <w:autoSpaceDN/>
        <w:bidi w:val="0"/>
        <w:adjustRightInd/>
        <w:snapToGrid/>
        <w:spacing w:line="340" w:lineRule="exact"/>
        <w:ind w:firstLine="315" w:firstLineChars="15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1"/>
          <w:szCs w:val="21"/>
          <w:highlight w:val="none"/>
          <w:u w:val="single"/>
          <w:lang w:val="zh-CN"/>
        </w:rPr>
        <w:t>宁海县梅林街道社区卫生服务中心（宁海县第一医院医疗健康集团北部医院）</w:t>
      </w:r>
      <w:r>
        <w:rPr>
          <w:rFonts w:hint="eastAsia" w:cs="宋体" w:asciiTheme="minorEastAsia" w:hAnsiTheme="minorEastAsia" w:eastAsiaTheme="minorEastAsia"/>
          <w:color w:val="auto"/>
          <w:sz w:val="21"/>
          <w:szCs w:val="21"/>
          <w:highlight w:val="none"/>
          <w:u w:val="single"/>
          <w:lang w:val="en-US" w:eastAsia="zh-CN"/>
        </w:rPr>
        <w:t xml:space="preserve"> </w:t>
      </w:r>
      <w:r>
        <w:rPr>
          <w:rFonts w:hint="eastAsia" w:cs="宋体" w:asciiTheme="minorEastAsia" w:hAnsiTheme="minorEastAsia" w:eastAsiaTheme="minorEastAsia"/>
          <w:color w:val="auto"/>
          <w:sz w:val="21"/>
          <w:szCs w:val="21"/>
          <w:highlight w:val="none"/>
        </w:rPr>
        <w:t>的</w:t>
      </w:r>
      <w:r>
        <w:rPr>
          <w:rFonts w:hint="eastAsia" w:cs="宋体" w:asciiTheme="minorEastAsia" w:hAnsiTheme="minorEastAsia" w:eastAsiaTheme="minorEastAsia"/>
          <w:color w:val="auto"/>
          <w:sz w:val="21"/>
          <w:szCs w:val="21"/>
          <w:highlight w:val="none"/>
          <w:u w:val="single"/>
          <w:lang w:eastAsia="zh-CN"/>
        </w:rPr>
        <w:t>宁海县第一医院医疗健康集团北部医院食堂外包服务项目</w:t>
      </w:r>
      <w:r>
        <w:rPr>
          <w:rFonts w:hint="eastAsia" w:cs="宋体" w:asciiTheme="minorEastAsia" w:hAnsiTheme="minorEastAsia" w:eastAsiaTheme="minorEastAsia"/>
          <w:color w:val="auto"/>
          <w:sz w:val="21"/>
          <w:szCs w:val="21"/>
          <w:highlight w:val="none"/>
        </w:rPr>
        <w:t>采购活动，服务全部由符合政策要求的中小企业承接。相关企业（含联合体中的中小企业、签订分包意向协议的中小企业）的具体情况如下：</w:t>
      </w:r>
    </w:p>
    <w:p w14:paraId="4F26B129">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r>
        <w:rPr>
          <w:rFonts w:hint="eastAsia" w:cs="宋体" w:asciiTheme="minorEastAsia" w:hAnsiTheme="minorEastAsia" w:eastAsiaTheme="minorEastAsia"/>
          <w:color w:val="auto"/>
          <w:sz w:val="21"/>
          <w:szCs w:val="21"/>
          <w:highlight w:val="none"/>
          <w:u w:val="single"/>
        </w:rPr>
        <w:t>（标的名称）</w:t>
      </w:r>
      <w:r>
        <w:rPr>
          <w:rFonts w:hint="eastAsia" w:cs="宋体" w:asciiTheme="minorEastAsia" w:hAnsiTheme="minorEastAsia" w:eastAsiaTheme="minorEastAsia"/>
          <w:color w:val="auto"/>
          <w:sz w:val="21"/>
          <w:szCs w:val="21"/>
          <w:highlight w:val="none"/>
        </w:rPr>
        <w:t xml:space="preserve">，属于 </w:t>
      </w:r>
      <w:r>
        <w:rPr>
          <w:rFonts w:hint="eastAsia" w:cs="宋体" w:asciiTheme="minorEastAsia" w:hAnsiTheme="minorEastAsia" w:eastAsiaTheme="minorEastAsia"/>
          <w:color w:val="auto"/>
          <w:sz w:val="21"/>
          <w:szCs w:val="21"/>
          <w:highlight w:val="none"/>
          <w:u w:val="single"/>
        </w:rPr>
        <w:t>（采购文件中明确的所属行业）</w:t>
      </w:r>
      <w:r>
        <w:rPr>
          <w:rFonts w:hint="eastAsia" w:cs="宋体" w:asciiTheme="minorEastAsia" w:hAnsiTheme="minorEastAsia" w:eastAsiaTheme="minorEastAsia"/>
          <w:color w:val="auto"/>
          <w:sz w:val="21"/>
          <w:szCs w:val="21"/>
          <w:highlight w:val="none"/>
        </w:rPr>
        <w:t xml:space="preserve"> ；承建（承接）企业为 </w:t>
      </w:r>
      <w:r>
        <w:rPr>
          <w:rFonts w:hint="eastAsia" w:cs="宋体" w:asciiTheme="minorEastAsia" w:hAnsiTheme="minorEastAsia" w:eastAsiaTheme="minorEastAsia"/>
          <w:color w:val="auto"/>
          <w:sz w:val="21"/>
          <w:szCs w:val="21"/>
          <w:highlight w:val="none"/>
          <w:u w:val="single"/>
        </w:rPr>
        <w:t>（企业名称）</w:t>
      </w:r>
      <w:r>
        <w:rPr>
          <w:rFonts w:hint="eastAsia" w:cs="宋体" w:asciiTheme="minorEastAsia" w:hAnsiTheme="minorEastAsia" w:eastAsiaTheme="minorEastAsia"/>
          <w:color w:val="auto"/>
          <w:sz w:val="21"/>
          <w:szCs w:val="21"/>
          <w:highlight w:val="none"/>
        </w:rPr>
        <w:t xml:space="preserve"> ，从业人员人，营业收入为万元，资产总额为万元属于</w:t>
      </w:r>
      <w:r>
        <w:rPr>
          <w:rFonts w:hint="eastAsia" w:cs="宋体" w:asciiTheme="minorEastAsia" w:hAnsiTheme="minorEastAsia" w:eastAsiaTheme="minorEastAsia"/>
          <w:color w:val="auto"/>
          <w:sz w:val="21"/>
          <w:szCs w:val="21"/>
          <w:highlight w:val="none"/>
          <w:u w:val="single"/>
        </w:rPr>
        <w:t xml:space="preserve"> （中型企业、小型企业、微型企业） </w:t>
      </w:r>
      <w:r>
        <w:rPr>
          <w:rFonts w:hint="eastAsia" w:cs="宋体" w:asciiTheme="minorEastAsia" w:hAnsiTheme="minorEastAsia" w:eastAsiaTheme="minorEastAsia"/>
          <w:color w:val="auto"/>
          <w:sz w:val="21"/>
          <w:szCs w:val="21"/>
          <w:highlight w:val="none"/>
        </w:rPr>
        <w:t>；</w:t>
      </w:r>
    </w:p>
    <w:p w14:paraId="0DB3B86E">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p>
    <w:p w14:paraId="17F75F55">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p>
    <w:p w14:paraId="5A882DBD">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以上企业，不属于大企业的分支机构，不存在控股股东为大企业的情形，也不存在与大企业的负责人为同一人的情形。</w:t>
      </w:r>
    </w:p>
    <w:p w14:paraId="5F4564D9">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本企业对上述声明内容的真实性负责。如有虚假，将依法承担相应责任。</w:t>
      </w:r>
    </w:p>
    <w:p w14:paraId="67AF2841">
      <w:pPr>
        <w:keepNext w:val="0"/>
        <w:keepLines w:val="0"/>
        <w:pageBreakBefore w:val="0"/>
        <w:widowControl w:val="0"/>
        <w:kinsoku/>
        <w:wordWrap/>
        <w:overflowPunct/>
        <w:topLinePunct w:val="0"/>
        <w:autoSpaceDE/>
        <w:autoSpaceDN/>
        <w:bidi w:val="0"/>
        <w:adjustRightInd/>
        <w:snapToGrid/>
        <w:spacing w:line="340" w:lineRule="exact"/>
        <w:ind w:right="1760"/>
        <w:jc w:val="righ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供应商名称（电子签名）：</w:t>
      </w:r>
    </w:p>
    <w:p w14:paraId="7EBAD947">
      <w:pPr>
        <w:keepNext w:val="0"/>
        <w:keepLines w:val="0"/>
        <w:pageBreakBefore w:val="0"/>
        <w:widowControl w:val="0"/>
        <w:kinsoku/>
        <w:wordWrap/>
        <w:overflowPunct/>
        <w:topLinePunct w:val="0"/>
        <w:autoSpaceDE/>
        <w:autoSpaceDN/>
        <w:bidi w:val="0"/>
        <w:adjustRightInd/>
        <w:snapToGrid/>
        <w:spacing w:line="340" w:lineRule="exact"/>
        <w:ind w:right="1120" w:firstLine="4515" w:firstLineChars="215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日 期：</w:t>
      </w:r>
    </w:p>
    <w:p w14:paraId="403E186F">
      <w:pPr>
        <w:keepNext w:val="0"/>
        <w:keepLines w:val="0"/>
        <w:pageBreakBefore w:val="0"/>
        <w:widowControl w:val="0"/>
        <w:kinsoku/>
        <w:wordWrap/>
        <w:overflowPunct/>
        <w:topLinePunct w:val="0"/>
        <w:autoSpaceDE/>
        <w:autoSpaceDN/>
        <w:bidi w:val="0"/>
        <w:adjustRightInd/>
        <w:snapToGrid/>
        <w:spacing w:line="340" w:lineRule="exact"/>
        <w:ind w:firstLine="310" w:firstLineChars="147"/>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sz w:val="21"/>
          <w:szCs w:val="21"/>
          <w:highlight w:val="none"/>
        </w:rPr>
        <w:t>从业人员、营业收入、资产总额填报上一年度数据，无上一年度数据的新成立企业可不填报。</w:t>
      </w:r>
    </w:p>
    <w:p w14:paraId="47BDCD91">
      <w:pPr>
        <w:keepNext w:val="0"/>
        <w:keepLines w:val="0"/>
        <w:pageBreakBefore w:val="0"/>
        <w:widowControl w:val="0"/>
        <w:kinsoku/>
        <w:wordWrap/>
        <w:overflowPunct/>
        <w:topLinePunct w:val="0"/>
        <w:autoSpaceDE/>
        <w:autoSpaceDN/>
        <w:bidi w:val="0"/>
        <w:adjustRightInd/>
        <w:snapToGrid/>
        <w:spacing w:line="340" w:lineRule="exact"/>
        <w:ind w:right="42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   注：</w:t>
      </w:r>
    </w:p>
    <w:p w14:paraId="3E0649AB">
      <w:pPr>
        <w:keepNext w:val="0"/>
        <w:keepLines w:val="0"/>
        <w:pageBreakBefore w:val="0"/>
        <w:widowControl w:val="0"/>
        <w:kinsoku/>
        <w:wordWrap/>
        <w:overflowPunct/>
        <w:topLinePunct w:val="0"/>
        <w:autoSpaceDE/>
        <w:autoSpaceDN/>
        <w:bidi w:val="0"/>
        <w:adjustRightInd/>
        <w:snapToGrid/>
        <w:spacing w:line="340" w:lineRule="exact"/>
        <w:ind w:right="420" w:firstLine="420" w:firstLineChars="2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1、填写要求：①“标的名称”、“采购文件中明确的所属行业”依据磋商文件第</w:t>
      </w:r>
      <w:r>
        <w:rPr>
          <w:rFonts w:hint="eastAsia" w:cs="宋体" w:asciiTheme="minorEastAsia" w:hAnsiTheme="minorEastAsia" w:eastAsiaTheme="minorEastAsia"/>
          <w:color w:val="auto"/>
          <w:sz w:val="21"/>
          <w:szCs w:val="21"/>
          <w:highlight w:val="none"/>
          <w:lang w:val="en-US" w:eastAsia="zh-CN"/>
        </w:rPr>
        <w:t>二</w:t>
      </w:r>
      <w:r>
        <w:rPr>
          <w:rFonts w:hint="eastAsia" w:cs="宋体" w:asciiTheme="minorEastAsia" w:hAnsiTheme="minorEastAsia" w:eastAsiaTheme="minorEastAsia"/>
          <w:color w:val="auto"/>
          <w:sz w:val="21"/>
          <w:szCs w:val="21"/>
          <w:highlight w:val="none"/>
          <w:lang w:eastAsia="zh-CN"/>
        </w:rPr>
        <w:t>部分竞争性磋商流程</w:t>
      </w:r>
      <w:r>
        <w:rPr>
          <w:rFonts w:hint="eastAsia" w:cs="宋体" w:asciiTheme="minorEastAsia" w:hAnsiTheme="minorEastAsia" w:eastAsiaTheme="minorEastAsia"/>
          <w:color w:val="auto"/>
          <w:sz w:val="21"/>
          <w:szCs w:val="21"/>
          <w:highlight w:val="none"/>
        </w:rPr>
        <w:t>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016AC6D">
      <w:pPr>
        <w:keepNext w:val="0"/>
        <w:keepLines w:val="0"/>
        <w:pageBreakBefore w:val="0"/>
        <w:widowControl w:val="0"/>
        <w:kinsoku/>
        <w:wordWrap/>
        <w:overflowPunct/>
        <w:topLinePunct w:val="0"/>
        <w:autoSpaceDE/>
        <w:autoSpaceDN/>
        <w:bidi w:val="0"/>
        <w:adjustRightInd/>
        <w:snapToGrid/>
        <w:spacing w:line="340" w:lineRule="exact"/>
        <w:ind w:right="420" w:firstLine="630" w:firstLineChars="3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76F1A65">
      <w:pPr>
        <w:keepNext w:val="0"/>
        <w:keepLines w:val="0"/>
        <w:pageBreakBefore w:val="0"/>
        <w:widowControl w:val="0"/>
        <w:kinsoku/>
        <w:wordWrap/>
        <w:overflowPunct/>
        <w:topLinePunct w:val="0"/>
        <w:autoSpaceDE/>
        <w:autoSpaceDN/>
        <w:bidi w:val="0"/>
        <w:adjustRightInd/>
        <w:snapToGrid/>
        <w:spacing w:line="340" w:lineRule="exact"/>
        <w:textAlignment w:val="auto"/>
        <w:rPr>
          <w:rFonts w:cs="仿宋_GB2312" w:asciiTheme="minorEastAsia" w:hAnsiTheme="minorEastAsia" w:eastAsiaTheme="minorEastAsia"/>
          <w:b/>
          <w:color w:val="auto"/>
          <w:sz w:val="21"/>
          <w:szCs w:val="21"/>
          <w:highlight w:val="none"/>
        </w:rPr>
      </w:pPr>
    </w:p>
    <w:p w14:paraId="55DAAC56">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cs="仿宋_GB2312" w:asciiTheme="minorEastAsia" w:hAnsiTheme="minorEastAsia" w:eastAsiaTheme="minorEastAsia"/>
          <w:b/>
          <w:color w:val="auto"/>
          <w:sz w:val="21"/>
          <w:szCs w:val="21"/>
          <w:highlight w:val="none"/>
        </w:rPr>
      </w:pPr>
    </w:p>
    <w:p w14:paraId="51B8CD57">
      <w:pPr>
        <w:pStyle w:val="13"/>
        <w:keepNext w:val="0"/>
        <w:keepLines w:val="0"/>
        <w:pageBreakBefore w:val="0"/>
        <w:widowControl w:val="0"/>
        <w:kinsoku/>
        <w:wordWrap/>
        <w:overflowPunct/>
        <w:topLinePunct w:val="0"/>
        <w:autoSpaceDE/>
        <w:autoSpaceDN/>
        <w:bidi w:val="0"/>
        <w:adjustRightInd/>
        <w:snapToGrid/>
        <w:spacing w:before="120" w:beforeLines="50" w:line="340" w:lineRule="exact"/>
        <w:ind w:right="-420" w:rightChars="-200" w:firstLine="0"/>
        <w:textAlignment w:val="auto"/>
        <w:rPr>
          <w:rFonts w:eastAsia="宋体"/>
          <w:color w:val="auto"/>
          <w:sz w:val="21"/>
          <w:szCs w:val="21"/>
        </w:rPr>
      </w:pPr>
      <w:r>
        <w:rPr>
          <w:rFonts w:hint="eastAsia" w:eastAsia="宋体"/>
          <w:color w:val="auto"/>
          <w:sz w:val="21"/>
          <w:szCs w:val="21"/>
        </w:rPr>
        <w:t>供应商单位（盖公章）：</w:t>
      </w:r>
    </w:p>
    <w:p w14:paraId="583717F8">
      <w:pPr>
        <w:pStyle w:val="13"/>
        <w:keepNext w:val="0"/>
        <w:keepLines w:val="0"/>
        <w:pageBreakBefore w:val="0"/>
        <w:widowControl w:val="0"/>
        <w:kinsoku/>
        <w:wordWrap/>
        <w:overflowPunct/>
        <w:topLinePunct w:val="0"/>
        <w:autoSpaceDE/>
        <w:autoSpaceDN/>
        <w:bidi w:val="0"/>
        <w:adjustRightInd/>
        <w:snapToGrid/>
        <w:spacing w:before="120" w:beforeLines="50" w:line="340" w:lineRule="exact"/>
        <w:ind w:right="-420" w:rightChars="-200" w:firstLine="0"/>
        <w:textAlignment w:val="auto"/>
        <w:rPr>
          <w:rFonts w:hint="eastAsia" w:eastAsia="宋体"/>
          <w:color w:val="auto"/>
          <w:sz w:val="21"/>
          <w:szCs w:val="21"/>
        </w:rPr>
        <w:sectPr>
          <w:headerReference r:id="rId19" w:type="default"/>
          <w:footerReference r:id="rId20" w:type="default"/>
          <w:pgSz w:w="11907" w:h="16840"/>
          <w:pgMar w:top="1021" w:right="1513" w:bottom="851" w:left="1774" w:header="1134" w:footer="1134" w:gutter="0"/>
          <w:pgNumType w:fmt="decimal"/>
          <w:cols w:space="720" w:num="1"/>
          <w:docGrid w:linePitch="285" w:charSpace="0"/>
        </w:sectPr>
      </w:pPr>
      <w:r>
        <w:rPr>
          <w:rFonts w:hint="eastAsia" w:eastAsia="宋体"/>
          <w:color w:val="auto"/>
          <w:sz w:val="21"/>
          <w:szCs w:val="21"/>
        </w:rPr>
        <w:t>被授权代表人（签字）：</w:t>
      </w:r>
    </w:p>
    <w:p w14:paraId="35864DCC"/>
    <w:p w14:paraId="2EF9EDAF">
      <w:pPr>
        <w:spacing w:line="400" w:lineRule="exact"/>
        <w:ind w:right="-420" w:rightChars="-200"/>
        <w:rPr>
          <w:rFonts w:hint="eastAsia"/>
          <w:color w:val="auto"/>
          <w:szCs w:val="21"/>
        </w:rPr>
      </w:pPr>
      <w:r>
        <w:rPr>
          <w:rFonts w:hint="eastAsia"/>
          <w:color w:val="auto"/>
          <w:szCs w:val="21"/>
        </w:rPr>
        <w:t>日</w:t>
      </w:r>
      <w:r>
        <w:rPr>
          <w:color w:val="auto"/>
          <w:szCs w:val="21"/>
        </w:rPr>
        <w:t xml:space="preserve">      </w:t>
      </w:r>
      <w:r>
        <w:rPr>
          <w:rFonts w:hint="eastAsia"/>
          <w:color w:val="auto"/>
          <w:szCs w:val="21"/>
        </w:rPr>
        <w:t>期：</w:t>
      </w:r>
    </w:p>
    <w:p w14:paraId="3CEC6A59">
      <w:pPr>
        <w:spacing w:line="440" w:lineRule="exact"/>
        <w:ind w:right="-420" w:rightChars="-200"/>
        <w:outlineLvl w:val="0"/>
        <w:rPr>
          <w:rFonts w:hint="eastAsia" w:ascii="宋体" w:hAnsi="宋体" w:cs="Arial"/>
          <w:b/>
          <w:bCs/>
          <w:color w:val="auto"/>
          <w:szCs w:val="21"/>
        </w:rPr>
      </w:pPr>
    </w:p>
    <w:p w14:paraId="412BF96F">
      <w:pPr>
        <w:pStyle w:val="11"/>
        <w:rPr>
          <w:rFonts w:hint="eastAsia" w:ascii="宋体" w:hAnsi="宋体" w:cs="Arial"/>
          <w:b/>
          <w:bCs/>
          <w:color w:val="auto"/>
          <w:sz w:val="30"/>
          <w:szCs w:val="30"/>
        </w:rPr>
      </w:pPr>
    </w:p>
    <w:tbl>
      <w:tblPr>
        <w:tblStyle w:val="31"/>
        <w:tblpPr w:leftFromText="180" w:rightFromText="180" w:vertAnchor="page" w:horzAnchor="margin" w:tblpY="1291"/>
        <w:tblW w:w="0" w:type="auto"/>
        <w:tblInd w:w="0" w:type="dxa"/>
        <w:tblLayout w:type="fixed"/>
        <w:tblCellMar>
          <w:top w:w="0" w:type="dxa"/>
          <w:left w:w="108" w:type="dxa"/>
          <w:bottom w:w="0" w:type="dxa"/>
          <w:right w:w="108" w:type="dxa"/>
        </w:tblCellMar>
      </w:tblPr>
      <w:tblGrid>
        <w:gridCol w:w="2179"/>
        <w:gridCol w:w="1430"/>
        <w:gridCol w:w="1681"/>
        <w:gridCol w:w="1586"/>
        <w:gridCol w:w="1183"/>
        <w:gridCol w:w="1412"/>
        <w:gridCol w:w="1452"/>
        <w:gridCol w:w="1226"/>
        <w:gridCol w:w="1216"/>
        <w:gridCol w:w="1170"/>
      </w:tblGrid>
      <w:tr w14:paraId="6EB88D7D">
        <w:tblPrEx>
          <w:tblCellMar>
            <w:top w:w="0" w:type="dxa"/>
            <w:left w:w="108" w:type="dxa"/>
            <w:bottom w:w="0" w:type="dxa"/>
            <w:right w:w="108" w:type="dxa"/>
          </w:tblCellMar>
        </w:tblPrEx>
        <w:trPr>
          <w:trHeight w:val="190" w:hRule="atLeast"/>
        </w:trPr>
        <w:tc>
          <w:tcPr>
            <w:tcW w:w="14535" w:type="dxa"/>
            <w:gridSpan w:val="10"/>
            <w:tcBorders>
              <w:top w:val="nil"/>
              <w:left w:val="nil"/>
              <w:bottom w:val="nil"/>
              <w:right w:val="nil"/>
            </w:tcBorders>
            <w:noWrap w:val="0"/>
            <w:vAlign w:val="bottom"/>
          </w:tcPr>
          <w:p w14:paraId="6A2D8C42">
            <w:pPr>
              <w:keepNext w:val="0"/>
              <w:keepLines w:val="0"/>
              <w:widowControl/>
              <w:suppressLineNumbers w:val="0"/>
              <w:spacing w:before="0" w:beforeAutospacing="0" w:after="0" w:afterAutospacing="0"/>
              <w:ind w:left="0" w:right="0"/>
              <w:jc w:val="center"/>
              <w:rPr>
                <w:rFonts w:hint="default" w:ascii="Times New Roman" w:hAnsi="Times New Roman" w:cs="宋体"/>
                <w:b/>
                <w:bCs/>
                <w:kern w:val="0"/>
                <w:sz w:val="24"/>
                <w:szCs w:val="24"/>
              </w:rPr>
            </w:pPr>
            <w:r>
              <w:rPr>
                <w:rFonts w:hint="eastAsia" w:ascii="Times New Roman" w:hAnsi="Times New Roman" w:cs="宋体"/>
                <w:b/>
                <w:bCs/>
                <w:kern w:val="0"/>
                <w:sz w:val="24"/>
                <w:szCs w:val="24"/>
              </w:rPr>
              <w:t>中小微行业划型标准规定（根据工信部联企业〔2011〕300号制定）</w:t>
            </w:r>
          </w:p>
        </w:tc>
      </w:tr>
      <w:tr w14:paraId="420A80E5">
        <w:tblPrEx>
          <w:tblCellMar>
            <w:top w:w="0" w:type="dxa"/>
            <w:left w:w="108" w:type="dxa"/>
            <w:bottom w:w="0" w:type="dxa"/>
            <w:right w:w="108" w:type="dxa"/>
          </w:tblCellMar>
        </w:tblPrEx>
        <w:trPr>
          <w:trHeight w:val="326" w:hRule="atLeast"/>
        </w:trPr>
        <w:tc>
          <w:tcPr>
            <w:tcW w:w="2179" w:type="dxa"/>
            <w:vMerge w:val="restart"/>
            <w:tcBorders>
              <w:top w:val="single" w:color="auto" w:sz="8" w:space="0"/>
              <w:left w:val="single" w:color="auto" w:sz="8" w:space="0"/>
              <w:bottom w:val="single" w:color="000000" w:sz="4" w:space="0"/>
              <w:right w:val="single" w:color="auto" w:sz="8" w:space="0"/>
            </w:tcBorders>
            <w:noWrap w:val="0"/>
            <w:vAlign w:val="center"/>
          </w:tcPr>
          <w:p w14:paraId="15F29ABD">
            <w:pPr>
              <w:keepNext w:val="0"/>
              <w:keepLines w:val="0"/>
              <w:widowControl/>
              <w:suppressLineNumbers w:val="0"/>
              <w:spacing w:before="0" w:beforeAutospacing="0" w:after="0" w:afterAutospacing="0"/>
              <w:ind w:left="0" w:right="0"/>
              <w:jc w:val="center"/>
              <w:rPr>
                <w:rFonts w:hint="default" w:ascii="Times New Roman" w:hAnsi="Times New Roman" w:cs="宋体"/>
                <w:b/>
                <w:bCs/>
                <w:kern w:val="0"/>
                <w:sz w:val="18"/>
                <w:szCs w:val="18"/>
              </w:rPr>
            </w:pPr>
            <w:r>
              <w:rPr>
                <w:rFonts w:hint="eastAsia" w:ascii="Times New Roman" w:hAnsi="Times New Roman" w:cs="宋体"/>
                <w:b/>
                <w:bCs/>
                <w:kern w:val="0"/>
                <w:sz w:val="18"/>
                <w:szCs w:val="18"/>
              </w:rPr>
              <w:t>行业</w:t>
            </w:r>
          </w:p>
        </w:tc>
        <w:tc>
          <w:tcPr>
            <w:tcW w:w="4697" w:type="dxa"/>
            <w:gridSpan w:val="3"/>
            <w:tcBorders>
              <w:top w:val="single" w:color="auto" w:sz="8" w:space="0"/>
              <w:left w:val="nil"/>
              <w:bottom w:val="single" w:color="auto" w:sz="4" w:space="0"/>
              <w:right w:val="single" w:color="000000" w:sz="8" w:space="0"/>
            </w:tcBorders>
            <w:noWrap w:val="0"/>
            <w:vAlign w:val="bottom"/>
          </w:tcPr>
          <w:p w14:paraId="2BB367A2">
            <w:pPr>
              <w:keepNext w:val="0"/>
              <w:keepLines w:val="0"/>
              <w:widowControl/>
              <w:suppressLineNumbers w:val="0"/>
              <w:spacing w:before="0" w:beforeAutospacing="0" w:after="0" w:afterAutospacing="0"/>
              <w:ind w:left="0" w:right="0"/>
              <w:jc w:val="center"/>
              <w:rPr>
                <w:rFonts w:hint="default" w:ascii="Times New Roman" w:hAnsi="Times New Roman" w:cs="宋体"/>
                <w:b/>
                <w:bCs/>
                <w:kern w:val="0"/>
                <w:sz w:val="18"/>
                <w:szCs w:val="18"/>
              </w:rPr>
            </w:pPr>
            <w:r>
              <w:rPr>
                <w:rFonts w:hint="eastAsia" w:ascii="Times New Roman" w:hAnsi="Times New Roman" w:cs="宋体"/>
                <w:b/>
                <w:bCs/>
                <w:kern w:val="0"/>
                <w:sz w:val="18"/>
                <w:szCs w:val="18"/>
              </w:rPr>
              <w:t>中型企业</w:t>
            </w:r>
          </w:p>
        </w:tc>
        <w:tc>
          <w:tcPr>
            <w:tcW w:w="4047" w:type="dxa"/>
            <w:gridSpan w:val="3"/>
            <w:tcBorders>
              <w:top w:val="single" w:color="auto" w:sz="8" w:space="0"/>
              <w:left w:val="nil"/>
              <w:bottom w:val="single" w:color="auto" w:sz="4" w:space="0"/>
              <w:right w:val="single" w:color="000000" w:sz="8" w:space="0"/>
            </w:tcBorders>
            <w:noWrap w:val="0"/>
            <w:vAlign w:val="bottom"/>
          </w:tcPr>
          <w:p w14:paraId="30E07008">
            <w:pPr>
              <w:keepNext w:val="0"/>
              <w:keepLines w:val="0"/>
              <w:widowControl/>
              <w:suppressLineNumbers w:val="0"/>
              <w:spacing w:before="0" w:beforeAutospacing="0" w:after="0" w:afterAutospacing="0"/>
              <w:ind w:left="0" w:right="0"/>
              <w:jc w:val="center"/>
              <w:rPr>
                <w:rFonts w:hint="default" w:ascii="Times New Roman" w:hAnsi="Times New Roman" w:cs="宋体"/>
                <w:b/>
                <w:bCs/>
                <w:kern w:val="0"/>
                <w:sz w:val="18"/>
                <w:szCs w:val="18"/>
              </w:rPr>
            </w:pPr>
            <w:r>
              <w:rPr>
                <w:rFonts w:hint="eastAsia" w:ascii="Times New Roman" w:hAnsi="Times New Roman" w:cs="宋体"/>
                <w:b/>
                <w:bCs/>
                <w:kern w:val="0"/>
                <w:sz w:val="18"/>
                <w:szCs w:val="18"/>
              </w:rPr>
              <w:t>小型企业</w:t>
            </w:r>
          </w:p>
        </w:tc>
        <w:tc>
          <w:tcPr>
            <w:tcW w:w="3612" w:type="dxa"/>
            <w:gridSpan w:val="3"/>
            <w:tcBorders>
              <w:top w:val="single" w:color="auto" w:sz="8" w:space="0"/>
              <w:left w:val="nil"/>
              <w:bottom w:val="single" w:color="auto" w:sz="4" w:space="0"/>
              <w:right w:val="single" w:color="000000" w:sz="8" w:space="0"/>
            </w:tcBorders>
            <w:noWrap w:val="0"/>
            <w:vAlign w:val="bottom"/>
          </w:tcPr>
          <w:p w14:paraId="5D9D76EA">
            <w:pPr>
              <w:keepNext w:val="0"/>
              <w:keepLines w:val="0"/>
              <w:widowControl/>
              <w:suppressLineNumbers w:val="0"/>
              <w:spacing w:before="0" w:beforeAutospacing="0" w:after="0" w:afterAutospacing="0"/>
              <w:ind w:left="0" w:right="0"/>
              <w:jc w:val="center"/>
              <w:rPr>
                <w:rFonts w:hint="default" w:ascii="Times New Roman" w:hAnsi="Times New Roman" w:cs="宋体"/>
                <w:b/>
                <w:bCs/>
                <w:kern w:val="0"/>
                <w:sz w:val="18"/>
                <w:szCs w:val="18"/>
              </w:rPr>
            </w:pPr>
            <w:r>
              <w:rPr>
                <w:rFonts w:hint="eastAsia" w:ascii="Times New Roman" w:hAnsi="Times New Roman" w:cs="宋体"/>
                <w:b/>
                <w:bCs/>
                <w:kern w:val="0"/>
                <w:sz w:val="18"/>
                <w:szCs w:val="18"/>
              </w:rPr>
              <w:t>微型企业</w:t>
            </w:r>
          </w:p>
        </w:tc>
      </w:tr>
      <w:tr w14:paraId="2E4DCCBC">
        <w:tblPrEx>
          <w:tblCellMar>
            <w:top w:w="0" w:type="dxa"/>
            <w:left w:w="108" w:type="dxa"/>
            <w:bottom w:w="0" w:type="dxa"/>
            <w:right w:w="108" w:type="dxa"/>
          </w:tblCellMar>
        </w:tblPrEx>
        <w:trPr>
          <w:trHeight w:val="370" w:hRule="atLeast"/>
        </w:trPr>
        <w:tc>
          <w:tcPr>
            <w:tcW w:w="2179" w:type="dxa"/>
            <w:vMerge w:val="continue"/>
            <w:tcBorders>
              <w:top w:val="single" w:color="auto" w:sz="8" w:space="0"/>
              <w:left w:val="single" w:color="auto" w:sz="8" w:space="0"/>
              <w:bottom w:val="single" w:color="000000" w:sz="4" w:space="0"/>
              <w:right w:val="single" w:color="auto" w:sz="8" w:space="0"/>
            </w:tcBorders>
            <w:noWrap w:val="0"/>
            <w:vAlign w:val="center"/>
          </w:tcPr>
          <w:p w14:paraId="20E27592">
            <w:pPr>
              <w:keepNext w:val="0"/>
              <w:keepLines w:val="0"/>
              <w:widowControl/>
              <w:suppressLineNumbers w:val="0"/>
              <w:spacing w:before="0" w:beforeAutospacing="0" w:after="0" w:afterAutospacing="0"/>
              <w:ind w:left="0" w:right="0"/>
              <w:jc w:val="left"/>
              <w:rPr>
                <w:rFonts w:hint="default" w:ascii="Times New Roman" w:hAnsi="Times New Roman" w:cs="宋体"/>
                <w:b/>
                <w:bCs/>
                <w:kern w:val="0"/>
                <w:sz w:val="18"/>
                <w:szCs w:val="18"/>
              </w:rPr>
            </w:pPr>
          </w:p>
        </w:tc>
        <w:tc>
          <w:tcPr>
            <w:tcW w:w="1430" w:type="dxa"/>
            <w:tcBorders>
              <w:top w:val="nil"/>
              <w:left w:val="nil"/>
              <w:bottom w:val="single" w:color="auto" w:sz="4" w:space="0"/>
              <w:right w:val="single" w:color="auto" w:sz="4" w:space="0"/>
            </w:tcBorders>
            <w:noWrap w:val="0"/>
            <w:vAlign w:val="bottom"/>
          </w:tcPr>
          <w:p w14:paraId="0B540A3D">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从业人员X（人）</w:t>
            </w:r>
          </w:p>
        </w:tc>
        <w:tc>
          <w:tcPr>
            <w:tcW w:w="1681" w:type="dxa"/>
            <w:tcBorders>
              <w:top w:val="nil"/>
              <w:left w:val="nil"/>
              <w:bottom w:val="single" w:color="auto" w:sz="4" w:space="0"/>
              <w:right w:val="single" w:color="auto" w:sz="4" w:space="0"/>
            </w:tcBorders>
            <w:noWrap w:val="0"/>
            <w:vAlign w:val="bottom"/>
          </w:tcPr>
          <w:p w14:paraId="439F02A0">
            <w:pPr>
              <w:keepNext w:val="0"/>
              <w:keepLines w:val="0"/>
              <w:widowControl/>
              <w:suppressLineNumbers w:val="0"/>
              <w:spacing w:before="0" w:beforeAutospacing="0" w:after="0" w:afterAutospacing="0"/>
              <w:ind w:left="0" w:right="0"/>
              <w:jc w:val="center"/>
              <w:rPr>
                <w:rFonts w:hint="eastAsia" w:ascii="Times New Roman" w:hAnsi="Times New Roman" w:cs="宋体"/>
                <w:kern w:val="0"/>
                <w:sz w:val="18"/>
                <w:szCs w:val="18"/>
              </w:rPr>
            </w:pPr>
            <w:r>
              <w:rPr>
                <w:rFonts w:hint="eastAsia" w:ascii="Times New Roman" w:hAnsi="Times New Roman" w:cs="宋体"/>
                <w:kern w:val="0"/>
                <w:sz w:val="18"/>
                <w:szCs w:val="18"/>
              </w:rPr>
              <w:t>营业收入Y</w:t>
            </w:r>
          </w:p>
          <w:p w14:paraId="755577EC">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（万元）</w:t>
            </w:r>
          </w:p>
        </w:tc>
        <w:tc>
          <w:tcPr>
            <w:tcW w:w="1586" w:type="dxa"/>
            <w:tcBorders>
              <w:top w:val="nil"/>
              <w:left w:val="nil"/>
              <w:bottom w:val="single" w:color="auto" w:sz="4" w:space="0"/>
              <w:right w:val="single" w:color="auto" w:sz="8" w:space="0"/>
            </w:tcBorders>
            <w:noWrap w:val="0"/>
            <w:vAlign w:val="bottom"/>
          </w:tcPr>
          <w:p w14:paraId="0A98329D">
            <w:pPr>
              <w:keepNext w:val="0"/>
              <w:keepLines w:val="0"/>
              <w:widowControl/>
              <w:suppressLineNumbers w:val="0"/>
              <w:spacing w:before="0" w:beforeAutospacing="0" w:after="0" w:afterAutospacing="0"/>
              <w:ind w:left="0" w:right="0"/>
              <w:jc w:val="center"/>
              <w:rPr>
                <w:rFonts w:hint="eastAsia" w:ascii="Times New Roman" w:hAnsi="Times New Roman" w:cs="宋体"/>
                <w:kern w:val="0"/>
                <w:sz w:val="18"/>
                <w:szCs w:val="18"/>
              </w:rPr>
            </w:pPr>
            <w:r>
              <w:rPr>
                <w:rFonts w:hint="eastAsia" w:ascii="Times New Roman" w:hAnsi="Times New Roman" w:cs="宋体"/>
                <w:kern w:val="0"/>
                <w:sz w:val="18"/>
                <w:szCs w:val="18"/>
              </w:rPr>
              <w:t>资产总额Z</w:t>
            </w:r>
          </w:p>
          <w:p w14:paraId="328A40E6">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（万元）</w:t>
            </w:r>
          </w:p>
        </w:tc>
        <w:tc>
          <w:tcPr>
            <w:tcW w:w="1183" w:type="dxa"/>
            <w:tcBorders>
              <w:top w:val="nil"/>
              <w:left w:val="nil"/>
              <w:bottom w:val="single" w:color="auto" w:sz="4" w:space="0"/>
              <w:right w:val="single" w:color="auto" w:sz="4" w:space="0"/>
            </w:tcBorders>
            <w:noWrap w:val="0"/>
            <w:vAlign w:val="bottom"/>
          </w:tcPr>
          <w:p w14:paraId="1499C82B">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从业人员X（人）</w:t>
            </w:r>
          </w:p>
        </w:tc>
        <w:tc>
          <w:tcPr>
            <w:tcW w:w="1412" w:type="dxa"/>
            <w:tcBorders>
              <w:top w:val="nil"/>
              <w:left w:val="nil"/>
              <w:bottom w:val="single" w:color="auto" w:sz="4" w:space="0"/>
              <w:right w:val="single" w:color="auto" w:sz="4" w:space="0"/>
            </w:tcBorders>
            <w:noWrap w:val="0"/>
            <w:vAlign w:val="bottom"/>
          </w:tcPr>
          <w:p w14:paraId="08B63AB2">
            <w:pPr>
              <w:keepNext w:val="0"/>
              <w:keepLines w:val="0"/>
              <w:widowControl/>
              <w:suppressLineNumbers w:val="0"/>
              <w:spacing w:before="0" w:beforeAutospacing="0" w:after="0" w:afterAutospacing="0"/>
              <w:ind w:left="0" w:right="0"/>
              <w:jc w:val="center"/>
              <w:rPr>
                <w:rFonts w:hint="eastAsia" w:ascii="Times New Roman" w:hAnsi="Times New Roman" w:cs="宋体"/>
                <w:kern w:val="0"/>
                <w:sz w:val="18"/>
                <w:szCs w:val="18"/>
              </w:rPr>
            </w:pPr>
            <w:r>
              <w:rPr>
                <w:rFonts w:hint="eastAsia" w:ascii="Times New Roman" w:hAnsi="Times New Roman" w:cs="宋体"/>
                <w:kern w:val="0"/>
                <w:sz w:val="18"/>
                <w:szCs w:val="18"/>
              </w:rPr>
              <w:t>营业收入Y</w:t>
            </w:r>
          </w:p>
          <w:p w14:paraId="057E69F2">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（万元）</w:t>
            </w:r>
          </w:p>
        </w:tc>
        <w:tc>
          <w:tcPr>
            <w:tcW w:w="1452" w:type="dxa"/>
            <w:tcBorders>
              <w:top w:val="nil"/>
              <w:left w:val="nil"/>
              <w:bottom w:val="single" w:color="auto" w:sz="4" w:space="0"/>
              <w:right w:val="single" w:color="auto" w:sz="8" w:space="0"/>
            </w:tcBorders>
            <w:noWrap w:val="0"/>
            <w:vAlign w:val="bottom"/>
          </w:tcPr>
          <w:p w14:paraId="2150B65C">
            <w:pPr>
              <w:keepNext w:val="0"/>
              <w:keepLines w:val="0"/>
              <w:widowControl/>
              <w:suppressLineNumbers w:val="0"/>
              <w:spacing w:before="0" w:beforeAutospacing="0" w:after="0" w:afterAutospacing="0"/>
              <w:ind w:left="0" w:right="0"/>
              <w:jc w:val="center"/>
              <w:rPr>
                <w:rFonts w:hint="eastAsia" w:ascii="Times New Roman" w:hAnsi="Times New Roman" w:cs="宋体"/>
                <w:kern w:val="0"/>
                <w:sz w:val="18"/>
                <w:szCs w:val="18"/>
              </w:rPr>
            </w:pPr>
            <w:r>
              <w:rPr>
                <w:rFonts w:hint="eastAsia" w:ascii="Times New Roman" w:hAnsi="Times New Roman" w:cs="宋体"/>
                <w:kern w:val="0"/>
                <w:sz w:val="18"/>
                <w:szCs w:val="18"/>
              </w:rPr>
              <w:t>资产总额Z</w:t>
            </w:r>
          </w:p>
          <w:p w14:paraId="615A19CF">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（万元）</w:t>
            </w:r>
          </w:p>
        </w:tc>
        <w:tc>
          <w:tcPr>
            <w:tcW w:w="1226" w:type="dxa"/>
            <w:tcBorders>
              <w:top w:val="nil"/>
              <w:left w:val="nil"/>
              <w:bottom w:val="single" w:color="auto" w:sz="4" w:space="0"/>
              <w:right w:val="single" w:color="auto" w:sz="4" w:space="0"/>
            </w:tcBorders>
            <w:noWrap w:val="0"/>
            <w:vAlign w:val="bottom"/>
          </w:tcPr>
          <w:p w14:paraId="0303F8D4">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从业人员X（人）</w:t>
            </w:r>
          </w:p>
        </w:tc>
        <w:tc>
          <w:tcPr>
            <w:tcW w:w="1216" w:type="dxa"/>
            <w:tcBorders>
              <w:top w:val="nil"/>
              <w:left w:val="nil"/>
              <w:bottom w:val="single" w:color="auto" w:sz="4" w:space="0"/>
              <w:right w:val="single" w:color="auto" w:sz="4" w:space="0"/>
            </w:tcBorders>
            <w:noWrap w:val="0"/>
            <w:vAlign w:val="bottom"/>
          </w:tcPr>
          <w:p w14:paraId="5E614F17">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营业收入Y（万元）</w:t>
            </w:r>
          </w:p>
        </w:tc>
        <w:tc>
          <w:tcPr>
            <w:tcW w:w="1170" w:type="dxa"/>
            <w:tcBorders>
              <w:top w:val="nil"/>
              <w:left w:val="nil"/>
              <w:bottom w:val="single" w:color="auto" w:sz="4" w:space="0"/>
              <w:right w:val="single" w:color="auto" w:sz="8" w:space="0"/>
            </w:tcBorders>
            <w:noWrap w:val="0"/>
            <w:vAlign w:val="bottom"/>
          </w:tcPr>
          <w:p w14:paraId="15C68DCE">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资产总额Z（万元）</w:t>
            </w:r>
          </w:p>
        </w:tc>
      </w:tr>
      <w:tr w14:paraId="31648D1A">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250ECB1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1、农林牧渔业</w:t>
            </w:r>
          </w:p>
        </w:tc>
        <w:tc>
          <w:tcPr>
            <w:tcW w:w="1430" w:type="dxa"/>
            <w:tcBorders>
              <w:top w:val="nil"/>
              <w:left w:val="nil"/>
              <w:bottom w:val="single" w:color="auto" w:sz="4" w:space="0"/>
              <w:right w:val="single" w:color="auto" w:sz="4" w:space="0"/>
            </w:tcBorders>
            <w:noWrap w:val="0"/>
            <w:vAlign w:val="bottom"/>
          </w:tcPr>
          <w:p w14:paraId="2656937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681" w:type="dxa"/>
            <w:tcBorders>
              <w:top w:val="nil"/>
              <w:left w:val="nil"/>
              <w:bottom w:val="single" w:color="auto" w:sz="4" w:space="0"/>
              <w:right w:val="single" w:color="auto" w:sz="4" w:space="0"/>
            </w:tcBorders>
            <w:noWrap w:val="0"/>
            <w:vAlign w:val="bottom"/>
          </w:tcPr>
          <w:p w14:paraId="4CA79BF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500≤Y＜20000</w:t>
            </w:r>
          </w:p>
        </w:tc>
        <w:tc>
          <w:tcPr>
            <w:tcW w:w="1586" w:type="dxa"/>
            <w:tcBorders>
              <w:top w:val="nil"/>
              <w:left w:val="nil"/>
              <w:bottom w:val="single" w:color="auto" w:sz="4" w:space="0"/>
              <w:right w:val="single" w:color="auto" w:sz="8" w:space="0"/>
            </w:tcBorders>
            <w:noWrap w:val="0"/>
            <w:vAlign w:val="bottom"/>
          </w:tcPr>
          <w:p w14:paraId="707918F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32460474">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412" w:type="dxa"/>
            <w:tcBorders>
              <w:top w:val="nil"/>
              <w:left w:val="nil"/>
              <w:bottom w:val="single" w:color="auto" w:sz="4" w:space="0"/>
              <w:right w:val="single" w:color="auto" w:sz="4" w:space="0"/>
            </w:tcBorders>
            <w:noWrap w:val="0"/>
            <w:vAlign w:val="bottom"/>
          </w:tcPr>
          <w:p w14:paraId="54C2339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50≤Y＜500</w:t>
            </w:r>
          </w:p>
        </w:tc>
        <w:tc>
          <w:tcPr>
            <w:tcW w:w="1452" w:type="dxa"/>
            <w:tcBorders>
              <w:top w:val="nil"/>
              <w:left w:val="nil"/>
              <w:bottom w:val="single" w:color="auto" w:sz="4" w:space="0"/>
              <w:right w:val="single" w:color="auto" w:sz="8" w:space="0"/>
            </w:tcBorders>
            <w:noWrap w:val="0"/>
            <w:vAlign w:val="bottom"/>
          </w:tcPr>
          <w:p w14:paraId="4045D7B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746BE2B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16" w:type="dxa"/>
            <w:tcBorders>
              <w:top w:val="nil"/>
              <w:left w:val="nil"/>
              <w:bottom w:val="single" w:color="auto" w:sz="4" w:space="0"/>
              <w:right w:val="single" w:color="auto" w:sz="4" w:space="0"/>
            </w:tcBorders>
            <w:noWrap w:val="0"/>
            <w:vAlign w:val="bottom"/>
          </w:tcPr>
          <w:p w14:paraId="19F7CDC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Y＜50</w:t>
            </w:r>
          </w:p>
        </w:tc>
        <w:tc>
          <w:tcPr>
            <w:tcW w:w="1170" w:type="dxa"/>
            <w:tcBorders>
              <w:top w:val="nil"/>
              <w:left w:val="nil"/>
              <w:bottom w:val="single" w:color="auto" w:sz="4" w:space="0"/>
              <w:right w:val="single" w:color="auto" w:sz="8" w:space="0"/>
            </w:tcBorders>
            <w:noWrap w:val="0"/>
            <w:vAlign w:val="bottom"/>
          </w:tcPr>
          <w:p w14:paraId="711AE19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396D31F4">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03A876A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2、工业</w:t>
            </w:r>
          </w:p>
        </w:tc>
        <w:tc>
          <w:tcPr>
            <w:tcW w:w="1430" w:type="dxa"/>
            <w:tcBorders>
              <w:top w:val="nil"/>
              <w:left w:val="nil"/>
              <w:bottom w:val="single" w:color="auto" w:sz="4" w:space="0"/>
              <w:right w:val="single" w:color="auto" w:sz="4" w:space="0"/>
            </w:tcBorders>
            <w:noWrap w:val="0"/>
            <w:vAlign w:val="bottom"/>
          </w:tcPr>
          <w:p w14:paraId="082532A4">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300≤X＜1000</w:t>
            </w:r>
          </w:p>
        </w:tc>
        <w:tc>
          <w:tcPr>
            <w:tcW w:w="1681" w:type="dxa"/>
            <w:tcBorders>
              <w:top w:val="nil"/>
              <w:left w:val="nil"/>
              <w:bottom w:val="single" w:color="auto" w:sz="4" w:space="0"/>
              <w:right w:val="single" w:color="auto" w:sz="4" w:space="0"/>
            </w:tcBorders>
            <w:noWrap w:val="0"/>
            <w:vAlign w:val="bottom"/>
          </w:tcPr>
          <w:p w14:paraId="6E3A634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2000≤Y＜40000</w:t>
            </w:r>
          </w:p>
        </w:tc>
        <w:tc>
          <w:tcPr>
            <w:tcW w:w="1586" w:type="dxa"/>
            <w:tcBorders>
              <w:top w:val="nil"/>
              <w:left w:val="nil"/>
              <w:bottom w:val="single" w:color="auto" w:sz="4" w:space="0"/>
              <w:right w:val="single" w:color="auto" w:sz="8" w:space="0"/>
            </w:tcBorders>
            <w:noWrap w:val="0"/>
            <w:vAlign w:val="bottom"/>
          </w:tcPr>
          <w:p w14:paraId="294C608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3277836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20≤X＜300</w:t>
            </w:r>
          </w:p>
        </w:tc>
        <w:tc>
          <w:tcPr>
            <w:tcW w:w="1412" w:type="dxa"/>
            <w:tcBorders>
              <w:top w:val="nil"/>
              <w:left w:val="nil"/>
              <w:bottom w:val="single" w:color="auto" w:sz="4" w:space="0"/>
              <w:right w:val="single" w:color="auto" w:sz="4" w:space="0"/>
            </w:tcBorders>
            <w:noWrap w:val="0"/>
            <w:vAlign w:val="bottom"/>
          </w:tcPr>
          <w:p w14:paraId="20EA824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300≤Y＜2000</w:t>
            </w:r>
          </w:p>
        </w:tc>
        <w:tc>
          <w:tcPr>
            <w:tcW w:w="1452" w:type="dxa"/>
            <w:tcBorders>
              <w:top w:val="nil"/>
              <w:left w:val="nil"/>
              <w:bottom w:val="single" w:color="auto" w:sz="4" w:space="0"/>
              <w:right w:val="single" w:color="auto" w:sz="8" w:space="0"/>
            </w:tcBorders>
            <w:noWrap w:val="0"/>
            <w:vAlign w:val="bottom"/>
          </w:tcPr>
          <w:p w14:paraId="05B0C72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5C2B3F4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X＜20</w:t>
            </w:r>
          </w:p>
        </w:tc>
        <w:tc>
          <w:tcPr>
            <w:tcW w:w="1216" w:type="dxa"/>
            <w:tcBorders>
              <w:top w:val="nil"/>
              <w:left w:val="nil"/>
              <w:bottom w:val="single" w:color="auto" w:sz="4" w:space="0"/>
              <w:right w:val="single" w:color="auto" w:sz="4" w:space="0"/>
            </w:tcBorders>
            <w:noWrap w:val="0"/>
            <w:vAlign w:val="bottom"/>
          </w:tcPr>
          <w:p w14:paraId="3CCA84C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Y＜300</w:t>
            </w:r>
          </w:p>
        </w:tc>
        <w:tc>
          <w:tcPr>
            <w:tcW w:w="1170" w:type="dxa"/>
            <w:tcBorders>
              <w:top w:val="nil"/>
              <w:left w:val="nil"/>
              <w:bottom w:val="single" w:color="auto" w:sz="4" w:space="0"/>
              <w:right w:val="single" w:color="auto" w:sz="8" w:space="0"/>
            </w:tcBorders>
            <w:noWrap w:val="0"/>
            <w:vAlign w:val="bottom"/>
          </w:tcPr>
          <w:p w14:paraId="1216B0E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0440C4ED">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5B5A50C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3、建筑业</w:t>
            </w:r>
          </w:p>
        </w:tc>
        <w:tc>
          <w:tcPr>
            <w:tcW w:w="1430" w:type="dxa"/>
            <w:tcBorders>
              <w:top w:val="nil"/>
              <w:left w:val="nil"/>
              <w:bottom w:val="single" w:color="auto" w:sz="4" w:space="0"/>
              <w:right w:val="single" w:color="auto" w:sz="4" w:space="0"/>
            </w:tcBorders>
            <w:noWrap w:val="0"/>
            <w:vAlign w:val="bottom"/>
          </w:tcPr>
          <w:p w14:paraId="0984CF1A">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681" w:type="dxa"/>
            <w:tcBorders>
              <w:top w:val="nil"/>
              <w:left w:val="nil"/>
              <w:bottom w:val="single" w:color="auto" w:sz="4" w:space="0"/>
              <w:right w:val="single" w:color="auto" w:sz="4" w:space="0"/>
            </w:tcBorders>
            <w:noWrap w:val="0"/>
            <w:vAlign w:val="bottom"/>
          </w:tcPr>
          <w:p w14:paraId="2C3E96BA">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6000≤Y＜80000</w:t>
            </w:r>
          </w:p>
        </w:tc>
        <w:tc>
          <w:tcPr>
            <w:tcW w:w="1586" w:type="dxa"/>
            <w:tcBorders>
              <w:top w:val="nil"/>
              <w:left w:val="nil"/>
              <w:bottom w:val="single" w:color="auto" w:sz="4" w:space="0"/>
              <w:right w:val="single" w:color="auto" w:sz="8" w:space="0"/>
            </w:tcBorders>
            <w:noWrap w:val="0"/>
            <w:vAlign w:val="bottom"/>
          </w:tcPr>
          <w:p w14:paraId="26D4EA1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5000≤Z＜80000</w:t>
            </w:r>
          </w:p>
        </w:tc>
        <w:tc>
          <w:tcPr>
            <w:tcW w:w="1183" w:type="dxa"/>
            <w:tcBorders>
              <w:top w:val="nil"/>
              <w:left w:val="nil"/>
              <w:bottom w:val="single" w:color="auto" w:sz="4" w:space="0"/>
              <w:right w:val="single" w:color="auto" w:sz="4" w:space="0"/>
            </w:tcBorders>
            <w:noWrap w:val="0"/>
            <w:vAlign w:val="bottom"/>
          </w:tcPr>
          <w:p w14:paraId="7A42255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412" w:type="dxa"/>
            <w:tcBorders>
              <w:top w:val="nil"/>
              <w:left w:val="nil"/>
              <w:bottom w:val="single" w:color="auto" w:sz="4" w:space="0"/>
              <w:right w:val="single" w:color="auto" w:sz="4" w:space="0"/>
            </w:tcBorders>
            <w:noWrap w:val="0"/>
            <w:vAlign w:val="bottom"/>
          </w:tcPr>
          <w:p w14:paraId="746D1B66">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300≤Y＜6000</w:t>
            </w:r>
          </w:p>
        </w:tc>
        <w:tc>
          <w:tcPr>
            <w:tcW w:w="1452" w:type="dxa"/>
            <w:tcBorders>
              <w:top w:val="nil"/>
              <w:left w:val="nil"/>
              <w:bottom w:val="single" w:color="auto" w:sz="4" w:space="0"/>
              <w:right w:val="single" w:color="auto" w:sz="8" w:space="0"/>
            </w:tcBorders>
            <w:noWrap w:val="0"/>
            <w:vAlign w:val="bottom"/>
          </w:tcPr>
          <w:p w14:paraId="66BE98A4">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300≤Z＜5000</w:t>
            </w:r>
          </w:p>
        </w:tc>
        <w:tc>
          <w:tcPr>
            <w:tcW w:w="1226" w:type="dxa"/>
            <w:tcBorders>
              <w:top w:val="nil"/>
              <w:left w:val="nil"/>
              <w:bottom w:val="single" w:color="auto" w:sz="4" w:space="0"/>
              <w:right w:val="single" w:color="auto" w:sz="4" w:space="0"/>
            </w:tcBorders>
            <w:noWrap w:val="0"/>
            <w:vAlign w:val="bottom"/>
          </w:tcPr>
          <w:p w14:paraId="39F7F73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16" w:type="dxa"/>
            <w:tcBorders>
              <w:top w:val="nil"/>
              <w:left w:val="nil"/>
              <w:bottom w:val="single" w:color="auto" w:sz="4" w:space="0"/>
              <w:right w:val="single" w:color="auto" w:sz="4" w:space="0"/>
            </w:tcBorders>
            <w:noWrap w:val="0"/>
            <w:vAlign w:val="bottom"/>
          </w:tcPr>
          <w:p w14:paraId="57207D2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Y＜300</w:t>
            </w:r>
          </w:p>
        </w:tc>
        <w:tc>
          <w:tcPr>
            <w:tcW w:w="1170" w:type="dxa"/>
            <w:tcBorders>
              <w:top w:val="nil"/>
              <w:left w:val="nil"/>
              <w:bottom w:val="single" w:color="auto" w:sz="4" w:space="0"/>
              <w:right w:val="single" w:color="auto" w:sz="8" w:space="0"/>
            </w:tcBorders>
            <w:noWrap w:val="0"/>
            <w:vAlign w:val="bottom"/>
          </w:tcPr>
          <w:p w14:paraId="61E24C66">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Z＜300</w:t>
            </w:r>
          </w:p>
        </w:tc>
      </w:tr>
      <w:tr w14:paraId="308A839E">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0DF21E4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4、批发业</w:t>
            </w:r>
          </w:p>
        </w:tc>
        <w:tc>
          <w:tcPr>
            <w:tcW w:w="1430" w:type="dxa"/>
            <w:tcBorders>
              <w:top w:val="nil"/>
              <w:left w:val="nil"/>
              <w:bottom w:val="single" w:color="auto" w:sz="4" w:space="0"/>
              <w:right w:val="single" w:color="auto" w:sz="4" w:space="0"/>
            </w:tcBorders>
            <w:noWrap w:val="0"/>
            <w:vAlign w:val="bottom"/>
          </w:tcPr>
          <w:p w14:paraId="611D3584">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20≤X＜200</w:t>
            </w:r>
          </w:p>
        </w:tc>
        <w:tc>
          <w:tcPr>
            <w:tcW w:w="1681" w:type="dxa"/>
            <w:tcBorders>
              <w:top w:val="nil"/>
              <w:left w:val="nil"/>
              <w:bottom w:val="single" w:color="auto" w:sz="4" w:space="0"/>
              <w:right w:val="single" w:color="auto" w:sz="4" w:space="0"/>
            </w:tcBorders>
            <w:noWrap w:val="0"/>
            <w:vAlign w:val="bottom"/>
          </w:tcPr>
          <w:p w14:paraId="71F31E1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5000≤Y＜40000</w:t>
            </w:r>
          </w:p>
        </w:tc>
        <w:tc>
          <w:tcPr>
            <w:tcW w:w="1586" w:type="dxa"/>
            <w:tcBorders>
              <w:top w:val="nil"/>
              <w:left w:val="nil"/>
              <w:bottom w:val="single" w:color="auto" w:sz="4" w:space="0"/>
              <w:right w:val="single" w:color="auto" w:sz="8" w:space="0"/>
            </w:tcBorders>
            <w:noWrap w:val="0"/>
            <w:vAlign w:val="bottom"/>
          </w:tcPr>
          <w:p w14:paraId="6D1DED4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4DAC98A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5≤X＜20</w:t>
            </w:r>
          </w:p>
        </w:tc>
        <w:tc>
          <w:tcPr>
            <w:tcW w:w="1412" w:type="dxa"/>
            <w:tcBorders>
              <w:top w:val="nil"/>
              <w:left w:val="nil"/>
              <w:bottom w:val="single" w:color="auto" w:sz="4" w:space="0"/>
              <w:right w:val="single" w:color="auto" w:sz="4" w:space="0"/>
            </w:tcBorders>
            <w:noWrap w:val="0"/>
            <w:vAlign w:val="bottom"/>
          </w:tcPr>
          <w:p w14:paraId="1F678DDA">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1000≤Y＜5000</w:t>
            </w:r>
          </w:p>
        </w:tc>
        <w:tc>
          <w:tcPr>
            <w:tcW w:w="1452" w:type="dxa"/>
            <w:tcBorders>
              <w:top w:val="nil"/>
              <w:left w:val="nil"/>
              <w:bottom w:val="single" w:color="auto" w:sz="4" w:space="0"/>
              <w:right w:val="single" w:color="auto" w:sz="8" w:space="0"/>
            </w:tcBorders>
            <w:noWrap w:val="0"/>
            <w:vAlign w:val="bottom"/>
          </w:tcPr>
          <w:p w14:paraId="1292142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04826D1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X＜5</w:t>
            </w:r>
          </w:p>
        </w:tc>
        <w:tc>
          <w:tcPr>
            <w:tcW w:w="1216" w:type="dxa"/>
            <w:tcBorders>
              <w:top w:val="nil"/>
              <w:left w:val="nil"/>
              <w:bottom w:val="single" w:color="auto" w:sz="4" w:space="0"/>
              <w:right w:val="single" w:color="auto" w:sz="4" w:space="0"/>
            </w:tcBorders>
            <w:noWrap w:val="0"/>
            <w:vAlign w:val="bottom"/>
          </w:tcPr>
          <w:p w14:paraId="132FE856">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Y＜1000</w:t>
            </w:r>
          </w:p>
        </w:tc>
        <w:tc>
          <w:tcPr>
            <w:tcW w:w="1170" w:type="dxa"/>
            <w:tcBorders>
              <w:top w:val="nil"/>
              <w:left w:val="nil"/>
              <w:bottom w:val="single" w:color="auto" w:sz="4" w:space="0"/>
              <w:right w:val="single" w:color="auto" w:sz="8" w:space="0"/>
            </w:tcBorders>
            <w:noWrap w:val="0"/>
            <w:vAlign w:val="bottom"/>
          </w:tcPr>
          <w:p w14:paraId="1F7482B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3CD31ECC">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3A3CFBB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5、零售业</w:t>
            </w:r>
          </w:p>
        </w:tc>
        <w:tc>
          <w:tcPr>
            <w:tcW w:w="1430" w:type="dxa"/>
            <w:tcBorders>
              <w:top w:val="nil"/>
              <w:left w:val="nil"/>
              <w:bottom w:val="single" w:color="auto" w:sz="4" w:space="0"/>
              <w:right w:val="single" w:color="auto" w:sz="4" w:space="0"/>
            </w:tcBorders>
            <w:noWrap w:val="0"/>
            <w:vAlign w:val="bottom"/>
          </w:tcPr>
          <w:p w14:paraId="685D194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50≤X＜300</w:t>
            </w:r>
          </w:p>
        </w:tc>
        <w:tc>
          <w:tcPr>
            <w:tcW w:w="1681" w:type="dxa"/>
            <w:tcBorders>
              <w:top w:val="nil"/>
              <w:left w:val="nil"/>
              <w:bottom w:val="single" w:color="auto" w:sz="4" w:space="0"/>
              <w:right w:val="single" w:color="auto" w:sz="4" w:space="0"/>
            </w:tcBorders>
            <w:noWrap w:val="0"/>
            <w:vAlign w:val="bottom"/>
          </w:tcPr>
          <w:p w14:paraId="039B38D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500≤Y＜20000</w:t>
            </w:r>
          </w:p>
        </w:tc>
        <w:tc>
          <w:tcPr>
            <w:tcW w:w="1586" w:type="dxa"/>
            <w:tcBorders>
              <w:top w:val="nil"/>
              <w:left w:val="nil"/>
              <w:bottom w:val="single" w:color="auto" w:sz="4" w:space="0"/>
              <w:right w:val="single" w:color="auto" w:sz="8" w:space="0"/>
            </w:tcBorders>
            <w:noWrap w:val="0"/>
            <w:vAlign w:val="bottom"/>
          </w:tcPr>
          <w:p w14:paraId="5524D5A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63377DE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10≤X＜50</w:t>
            </w:r>
          </w:p>
        </w:tc>
        <w:tc>
          <w:tcPr>
            <w:tcW w:w="1412" w:type="dxa"/>
            <w:tcBorders>
              <w:top w:val="nil"/>
              <w:left w:val="nil"/>
              <w:bottom w:val="single" w:color="auto" w:sz="4" w:space="0"/>
              <w:right w:val="single" w:color="auto" w:sz="4" w:space="0"/>
            </w:tcBorders>
            <w:noWrap w:val="0"/>
            <w:vAlign w:val="bottom"/>
          </w:tcPr>
          <w:p w14:paraId="26A9BBFA">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100≤Y＜500</w:t>
            </w:r>
          </w:p>
        </w:tc>
        <w:tc>
          <w:tcPr>
            <w:tcW w:w="1452" w:type="dxa"/>
            <w:tcBorders>
              <w:top w:val="nil"/>
              <w:left w:val="nil"/>
              <w:bottom w:val="single" w:color="auto" w:sz="4" w:space="0"/>
              <w:right w:val="single" w:color="auto" w:sz="8" w:space="0"/>
            </w:tcBorders>
            <w:noWrap w:val="0"/>
            <w:vAlign w:val="bottom"/>
          </w:tcPr>
          <w:p w14:paraId="3DF2B7D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4C2E37F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X＜10</w:t>
            </w:r>
          </w:p>
        </w:tc>
        <w:tc>
          <w:tcPr>
            <w:tcW w:w="1216" w:type="dxa"/>
            <w:tcBorders>
              <w:top w:val="nil"/>
              <w:left w:val="nil"/>
              <w:bottom w:val="single" w:color="auto" w:sz="4" w:space="0"/>
              <w:right w:val="single" w:color="auto" w:sz="4" w:space="0"/>
            </w:tcBorders>
            <w:noWrap w:val="0"/>
            <w:vAlign w:val="bottom"/>
          </w:tcPr>
          <w:p w14:paraId="27477C2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Y＜100</w:t>
            </w:r>
          </w:p>
        </w:tc>
        <w:tc>
          <w:tcPr>
            <w:tcW w:w="1170" w:type="dxa"/>
            <w:tcBorders>
              <w:top w:val="nil"/>
              <w:left w:val="nil"/>
              <w:bottom w:val="single" w:color="auto" w:sz="4" w:space="0"/>
              <w:right w:val="single" w:color="auto" w:sz="8" w:space="0"/>
            </w:tcBorders>
            <w:noWrap w:val="0"/>
            <w:vAlign w:val="bottom"/>
          </w:tcPr>
          <w:p w14:paraId="0D44CA3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0174D34E">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3132B08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6、交通运输业</w:t>
            </w:r>
          </w:p>
        </w:tc>
        <w:tc>
          <w:tcPr>
            <w:tcW w:w="1430" w:type="dxa"/>
            <w:tcBorders>
              <w:top w:val="nil"/>
              <w:left w:val="nil"/>
              <w:bottom w:val="single" w:color="auto" w:sz="4" w:space="0"/>
              <w:right w:val="single" w:color="auto" w:sz="4" w:space="0"/>
            </w:tcBorders>
            <w:noWrap w:val="0"/>
            <w:vAlign w:val="bottom"/>
          </w:tcPr>
          <w:p w14:paraId="1130C49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300≤X＜1000</w:t>
            </w:r>
          </w:p>
        </w:tc>
        <w:tc>
          <w:tcPr>
            <w:tcW w:w="1681" w:type="dxa"/>
            <w:tcBorders>
              <w:top w:val="nil"/>
              <w:left w:val="nil"/>
              <w:bottom w:val="single" w:color="auto" w:sz="4" w:space="0"/>
              <w:right w:val="single" w:color="auto" w:sz="4" w:space="0"/>
            </w:tcBorders>
            <w:noWrap w:val="0"/>
            <w:vAlign w:val="bottom"/>
          </w:tcPr>
          <w:p w14:paraId="72E87E0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3000≤Y＜30000</w:t>
            </w:r>
          </w:p>
        </w:tc>
        <w:tc>
          <w:tcPr>
            <w:tcW w:w="1586" w:type="dxa"/>
            <w:tcBorders>
              <w:top w:val="nil"/>
              <w:left w:val="nil"/>
              <w:bottom w:val="single" w:color="auto" w:sz="4" w:space="0"/>
              <w:right w:val="single" w:color="auto" w:sz="8" w:space="0"/>
            </w:tcBorders>
            <w:noWrap w:val="0"/>
            <w:vAlign w:val="bottom"/>
          </w:tcPr>
          <w:p w14:paraId="0E357E0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11E291C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20≤X＜300</w:t>
            </w:r>
          </w:p>
        </w:tc>
        <w:tc>
          <w:tcPr>
            <w:tcW w:w="1412" w:type="dxa"/>
            <w:tcBorders>
              <w:top w:val="nil"/>
              <w:left w:val="nil"/>
              <w:bottom w:val="single" w:color="auto" w:sz="4" w:space="0"/>
              <w:right w:val="single" w:color="auto" w:sz="4" w:space="0"/>
            </w:tcBorders>
            <w:noWrap w:val="0"/>
            <w:vAlign w:val="bottom"/>
          </w:tcPr>
          <w:p w14:paraId="2034843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200≤Y＜3000</w:t>
            </w:r>
          </w:p>
        </w:tc>
        <w:tc>
          <w:tcPr>
            <w:tcW w:w="1452" w:type="dxa"/>
            <w:tcBorders>
              <w:top w:val="nil"/>
              <w:left w:val="nil"/>
              <w:bottom w:val="single" w:color="auto" w:sz="4" w:space="0"/>
              <w:right w:val="single" w:color="auto" w:sz="8" w:space="0"/>
            </w:tcBorders>
            <w:noWrap w:val="0"/>
            <w:vAlign w:val="bottom"/>
          </w:tcPr>
          <w:p w14:paraId="4FA532D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0F92EE8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X＜20</w:t>
            </w:r>
          </w:p>
        </w:tc>
        <w:tc>
          <w:tcPr>
            <w:tcW w:w="1216" w:type="dxa"/>
            <w:tcBorders>
              <w:top w:val="nil"/>
              <w:left w:val="nil"/>
              <w:bottom w:val="single" w:color="auto" w:sz="4" w:space="0"/>
              <w:right w:val="single" w:color="auto" w:sz="4" w:space="0"/>
            </w:tcBorders>
            <w:noWrap w:val="0"/>
            <w:vAlign w:val="bottom"/>
          </w:tcPr>
          <w:p w14:paraId="08C028E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V＜200</w:t>
            </w:r>
          </w:p>
        </w:tc>
        <w:tc>
          <w:tcPr>
            <w:tcW w:w="1170" w:type="dxa"/>
            <w:tcBorders>
              <w:top w:val="nil"/>
              <w:left w:val="nil"/>
              <w:bottom w:val="single" w:color="auto" w:sz="4" w:space="0"/>
              <w:right w:val="single" w:color="auto" w:sz="8" w:space="0"/>
            </w:tcBorders>
            <w:noWrap w:val="0"/>
            <w:vAlign w:val="bottom"/>
          </w:tcPr>
          <w:p w14:paraId="2B1D6F2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395B1180">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58E7A926">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7、仓储业</w:t>
            </w:r>
          </w:p>
        </w:tc>
        <w:tc>
          <w:tcPr>
            <w:tcW w:w="1430" w:type="dxa"/>
            <w:tcBorders>
              <w:top w:val="nil"/>
              <w:left w:val="nil"/>
              <w:bottom w:val="single" w:color="auto" w:sz="4" w:space="0"/>
              <w:right w:val="single" w:color="auto" w:sz="4" w:space="0"/>
            </w:tcBorders>
            <w:noWrap w:val="0"/>
            <w:vAlign w:val="bottom"/>
          </w:tcPr>
          <w:p w14:paraId="3FD6B65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100≤X＜200</w:t>
            </w:r>
          </w:p>
        </w:tc>
        <w:tc>
          <w:tcPr>
            <w:tcW w:w="1681" w:type="dxa"/>
            <w:tcBorders>
              <w:top w:val="nil"/>
              <w:left w:val="nil"/>
              <w:bottom w:val="single" w:color="auto" w:sz="4" w:space="0"/>
              <w:right w:val="single" w:color="auto" w:sz="4" w:space="0"/>
            </w:tcBorders>
            <w:noWrap w:val="0"/>
            <w:vAlign w:val="bottom"/>
          </w:tcPr>
          <w:p w14:paraId="07AE3F02">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1000≤Y＜30000</w:t>
            </w:r>
          </w:p>
        </w:tc>
        <w:tc>
          <w:tcPr>
            <w:tcW w:w="1586" w:type="dxa"/>
            <w:tcBorders>
              <w:top w:val="nil"/>
              <w:left w:val="nil"/>
              <w:bottom w:val="single" w:color="auto" w:sz="4" w:space="0"/>
              <w:right w:val="single" w:color="auto" w:sz="8" w:space="0"/>
            </w:tcBorders>
            <w:noWrap w:val="0"/>
            <w:vAlign w:val="bottom"/>
          </w:tcPr>
          <w:p w14:paraId="4BEBFCD1">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679DD0F6">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20≤X＜100</w:t>
            </w:r>
          </w:p>
        </w:tc>
        <w:tc>
          <w:tcPr>
            <w:tcW w:w="1412" w:type="dxa"/>
            <w:tcBorders>
              <w:top w:val="nil"/>
              <w:left w:val="nil"/>
              <w:bottom w:val="single" w:color="auto" w:sz="4" w:space="0"/>
              <w:right w:val="single" w:color="auto" w:sz="4" w:space="0"/>
            </w:tcBorders>
            <w:noWrap w:val="0"/>
            <w:vAlign w:val="bottom"/>
          </w:tcPr>
          <w:p w14:paraId="7E04A41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100≤Y＜1000</w:t>
            </w:r>
          </w:p>
        </w:tc>
        <w:tc>
          <w:tcPr>
            <w:tcW w:w="1452" w:type="dxa"/>
            <w:tcBorders>
              <w:top w:val="nil"/>
              <w:left w:val="nil"/>
              <w:bottom w:val="single" w:color="auto" w:sz="4" w:space="0"/>
              <w:right w:val="single" w:color="auto" w:sz="8" w:space="0"/>
            </w:tcBorders>
            <w:noWrap w:val="0"/>
            <w:vAlign w:val="bottom"/>
          </w:tcPr>
          <w:p w14:paraId="11582814">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31343C4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X＜20</w:t>
            </w:r>
          </w:p>
        </w:tc>
        <w:tc>
          <w:tcPr>
            <w:tcW w:w="1216" w:type="dxa"/>
            <w:tcBorders>
              <w:top w:val="nil"/>
              <w:left w:val="nil"/>
              <w:bottom w:val="single" w:color="auto" w:sz="4" w:space="0"/>
              <w:right w:val="single" w:color="auto" w:sz="4" w:space="0"/>
            </w:tcBorders>
            <w:noWrap w:val="0"/>
            <w:vAlign w:val="bottom"/>
          </w:tcPr>
          <w:p w14:paraId="0F2D5E84">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Y＜100</w:t>
            </w:r>
          </w:p>
        </w:tc>
        <w:tc>
          <w:tcPr>
            <w:tcW w:w="1170" w:type="dxa"/>
            <w:tcBorders>
              <w:top w:val="nil"/>
              <w:left w:val="nil"/>
              <w:bottom w:val="single" w:color="auto" w:sz="4" w:space="0"/>
              <w:right w:val="single" w:color="auto" w:sz="8" w:space="0"/>
            </w:tcBorders>
            <w:noWrap w:val="0"/>
            <w:vAlign w:val="bottom"/>
          </w:tcPr>
          <w:p w14:paraId="74F0399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6AA7F7BD">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204E996B">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8、邮政业</w:t>
            </w:r>
          </w:p>
        </w:tc>
        <w:tc>
          <w:tcPr>
            <w:tcW w:w="1430" w:type="dxa"/>
            <w:tcBorders>
              <w:top w:val="nil"/>
              <w:left w:val="nil"/>
              <w:bottom w:val="single" w:color="auto" w:sz="4" w:space="0"/>
              <w:right w:val="single" w:color="auto" w:sz="4" w:space="0"/>
            </w:tcBorders>
            <w:noWrap w:val="0"/>
            <w:vAlign w:val="bottom"/>
          </w:tcPr>
          <w:p w14:paraId="49DCB72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300≤X＜1000</w:t>
            </w:r>
          </w:p>
        </w:tc>
        <w:tc>
          <w:tcPr>
            <w:tcW w:w="1681" w:type="dxa"/>
            <w:tcBorders>
              <w:top w:val="nil"/>
              <w:left w:val="nil"/>
              <w:bottom w:val="single" w:color="auto" w:sz="4" w:space="0"/>
              <w:right w:val="single" w:color="auto" w:sz="4" w:space="0"/>
            </w:tcBorders>
            <w:noWrap w:val="0"/>
            <w:vAlign w:val="bottom"/>
          </w:tcPr>
          <w:p w14:paraId="594A6FA1">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2000≤Y＜30000</w:t>
            </w:r>
          </w:p>
        </w:tc>
        <w:tc>
          <w:tcPr>
            <w:tcW w:w="1586" w:type="dxa"/>
            <w:tcBorders>
              <w:top w:val="nil"/>
              <w:left w:val="nil"/>
              <w:bottom w:val="single" w:color="auto" w:sz="4" w:space="0"/>
              <w:right w:val="single" w:color="auto" w:sz="8" w:space="0"/>
            </w:tcBorders>
            <w:noWrap w:val="0"/>
            <w:vAlign w:val="bottom"/>
          </w:tcPr>
          <w:p w14:paraId="0D810542">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42BCC7C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20≤X＜300</w:t>
            </w:r>
          </w:p>
        </w:tc>
        <w:tc>
          <w:tcPr>
            <w:tcW w:w="1412" w:type="dxa"/>
            <w:tcBorders>
              <w:top w:val="nil"/>
              <w:left w:val="nil"/>
              <w:bottom w:val="single" w:color="auto" w:sz="4" w:space="0"/>
              <w:right w:val="single" w:color="auto" w:sz="4" w:space="0"/>
            </w:tcBorders>
            <w:noWrap w:val="0"/>
            <w:vAlign w:val="bottom"/>
          </w:tcPr>
          <w:p w14:paraId="00E43C6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100≤Y＜2000</w:t>
            </w:r>
          </w:p>
        </w:tc>
        <w:tc>
          <w:tcPr>
            <w:tcW w:w="1452" w:type="dxa"/>
            <w:tcBorders>
              <w:top w:val="nil"/>
              <w:left w:val="nil"/>
              <w:bottom w:val="single" w:color="auto" w:sz="4" w:space="0"/>
              <w:right w:val="single" w:color="auto" w:sz="8" w:space="0"/>
            </w:tcBorders>
            <w:noWrap w:val="0"/>
            <w:vAlign w:val="bottom"/>
          </w:tcPr>
          <w:p w14:paraId="0F8A245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62AE3A4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X＜20</w:t>
            </w:r>
          </w:p>
        </w:tc>
        <w:tc>
          <w:tcPr>
            <w:tcW w:w="1216" w:type="dxa"/>
            <w:tcBorders>
              <w:top w:val="nil"/>
              <w:left w:val="nil"/>
              <w:bottom w:val="single" w:color="auto" w:sz="4" w:space="0"/>
              <w:right w:val="single" w:color="auto" w:sz="4" w:space="0"/>
            </w:tcBorders>
            <w:noWrap w:val="0"/>
            <w:vAlign w:val="bottom"/>
          </w:tcPr>
          <w:p w14:paraId="2B4F5EB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Y＜100</w:t>
            </w:r>
          </w:p>
        </w:tc>
        <w:tc>
          <w:tcPr>
            <w:tcW w:w="1170" w:type="dxa"/>
            <w:tcBorders>
              <w:top w:val="nil"/>
              <w:left w:val="nil"/>
              <w:bottom w:val="single" w:color="auto" w:sz="4" w:space="0"/>
              <w:right w:val="single" w:color="auto" w:sz="8" w:space="0"/>
            </w:tcBorders>
            <w:noWrap w:val="0"/>
            <w:vAlign w:val="bottom"/>
          </w:tcPr>
          <w:p w14:paraId="585917B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6F58CBBB">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008D8DD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9、住宿业</w:t>
            </w:r>
          </w:p>
        </w:tc>
        <w:tc>
          <w:tcPr>
            <w:tcW w:w="1430" w:type="dxa"/>
            <w:tcBorders>
              <w:top w:val="nil"/>
              <w:left w:val="nil"/>
              <w:bottom w:val="single" w:color="auto" w:sz="4" w:space="0"/>
              <w:right w:val="single" w:color="auto" w:sz="4" w:space="0"/>
            </w:tcBorders>
            <w:noWrap w:val="0"/>
            <w:vAlign w:val="bottom"/>
          </w:tcPr>
          <w:p w14:paraId="412E11E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100≤X＜300</w:t>
            </w:r>
          </w:p>
        </w:tc>
        <w:tc>
          <w:tcPr>
            <w:tcW w:w="1681" w:type="dxa"/>
            <w:tcBorders>
              <w:top w:val="nil"/>
              <w:left w:val="nil"/>
              <w:bottom w:val="single" w:color="auto" w:sz="4" w:space="0"/>
              <w:right w:val="single" w:color="auto" w:sz="4" w:space="0"/>
            </w:tcBorders>
            <w:noWrap w:val="0"/>
            <w:vAlign w:val="bottom"/>
          </w:tcPr>
          <w:p w14:paraId="0280164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2000≤Y＜10000</w:t>
            </w:r>
          </w:p>
        </w:tc>
        <w:tc>
          <w:tcPr>
            <w:tcW w:w="1586" w:type="dxa"/>
            <w:tcBorders>
              <w:top w:val="nil"/>
              <w:left w:val="nil"/>
              <w:bottom w:val="single" w:color="auto" w:sz="4" w:space="0"/>
              <w:right w:val="single" w:color="auto" w:sz="8" w:space="0"/>
            </w:tcBorders>
            <w:noWrap w:val="0"/>
            <w:vAlign w:val="bottom"/>
          </w:tcPr>
          <w:p w14:paraId="783B5A4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5EBAC69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10≤X＜100</w:t>
            </w:r>
          </w:p>
        </w:tc>
        <w:tc>
          <w:tcPr>
            <w:tcW w:w="1412" w:type="dxa"/>
            <w:tcBorders>
              <w:top w:val="nil"/>
              <w:left w:val="nil"/>
              <w:bottom w:val="single" w:color="auto" w:sz="4" w:space="0"/>
              <w:right w:val="single" w:color="auto" w:sz="4" w:space="0"/>
            </w:tcBorders>
            <w:noWrap w:val="0"/>
            <w:vAlign w:val="bottom"/>
          </w:tcPr>
          <w:p w14:paraId="7CC5D0D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100≤Y＜2000</w:t>
            </w:r>
          </w:p>
        </w:tc>
        <w:tc>
          <w:tcPr>
            <w:tcW w:w="1452" w:type="dxa"/>
            <w:tcBorders>
              <w:top w:val="nil"/>
              <w:left w:val="nil"/>
              <w:bottom w:val="single" w:color="auto" w:sz="4" w:space="0"/>
              <w:right w:val="single" w:color="auto" w:sz="8" w:space="0"/>
            </w:tcBorders>
            <w:noWrap w:val="0"/>
            <w:vAlign w:val="bottom"/>
          </w:tcPr>
          <w:p w14:paraId="1AA58E1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014D17A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X＜10</w:t>
            </w:r>
          </w:p>
        </w:tc>
        <w:tc>
          <w:tcPr>
            <w:tcW w:w="1216" w:type="dxa"/>
            <w:tcBorders>
              <w:top w:val="nil"/>
              <w:left w:val="nil"/>
              <w:bottom w:val="single" w:color="auto" w:sz="4" w:space="0"/>
              <w:right w:val="single" w:color="auto" w:sz="4" w:space="0"/>
            </w:tcBorders>
            <w:noWrap w:val="0"/>
            <w:vAlign w:val="bottom"/>
          </w:tcPr>
          <w:p w14:paraId="171A77C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Y＜100</w:t>
            </w:r>
          </w:p>
        </w:tc>
        <w:tc>
          <w:tcPr>
            <w:tcW w:w="1170" w:type="dxa"/>
            <w:tcBorders>
              <w:top w:val="nil"/>
              <w:left w:val="nil"/>
              <w:bottom w:val="single" w:color="auto" w:sz="4" w:space="0"/>
              <w:right w:val="single" w:color="auto" w:sz="8" w:space="0"/>
            </w:tcBorders>
            <w:noWrap w:val="0"/>
            <w:vAlign w:val="bottom"/>
          </w:tcPr>
          <w:p w14:paraId="132CD80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6C4A4BDD">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6C485D9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10、餐饮业</w:t>
            </w:r>
          </w:p>
        </w:tc>
        <w:tc>
          <w:tcPr>
            <w:tcW w:w="1430" w:type="dxa"/>
            <w:tcBorders>
              <w:top w:val="nil"/>
              <w:left w:val="nil"/>
              <w:bottom w:val="single" w:color="auto" w:sz="4" w:space="0"/>
              <w:right w:val="single" w:color="auto" w:sz="4" w:space="0"/>
            </w:tcBorders>
            <w:noWrap w:val="0"/>
            <w:vAlign w:val="bottom"/>
          </w:tcPr>
          <w:p w14:paraId="1864305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100≤X＜300</w:t>
            </w:r>
          </w:p>
        </w:tc>
        <w:tc>
          <w:tcPr>
            <w:tcW w:w="1681" w:type="dxa"/>
            <w:tcBorders>
              <w:top w:val="nil"/>
              <w:left w:val="nil"/>
              <w:bottom w:val="single" w:color="auto" w:sz="4" w:space="0"/>
              <w:right w:val="single" w:color="auto" w:sz="4" w:space="0"/>
            </w:tcBorders>
            <w:noWrap w:val="0"/>
            <w:vAlign w:val="bottom"/>
          </w:tcPr>
          <w:p w14:paraId="73E2F83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2000≤Y＜10000</w:t>
            </w:r>
          </w:p>
        </w:tc>
        <w:tc>
          <w:tcPr>
            <w:tcW w:w="1586" w:type="dxa"/>
            <w:tcBorders>
              <w:top w:val="nil"/>
              <w:left w:val="nil"/>
              <w:bottom w:val="single" w:color="auto" w:sz="4" w:space="0"/>
              <w:right w:val="single" w:color="auto" w:sz="8" w:space="0"/>
            </w:tcBorders>
            <w:noWrap w:val="0"/>
            <w:vAlign w:val="bottom"/>
          </w:tcPr>
          <w:p w14:paraId="3F7BFEA2">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49308B5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10≤X＜100</w:t>
            </w:r>
          </w:p>
        </w:tc>
        <w:tc>
          <w:tcPr>
            <w:tcW w:w="1412" w:type="dxa"/>
            <w:tcBorders>
              <w:top w:val="nil"/>
              <w:left w:val="nil"/>
              <w:bottom w:val="single" w:color="auto" w:sz="4" w:space="0"/>
              <w:right w:val="single" w:color="auto" w:sz="4" w:space="0"/>
            </w:tcBorders>
            <w:noWrap w:val="0"/>
            <w:vAlign w:val="bottom"/>
          </w:tcPr>
          <w:p w14:paraId="7115FAB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100≤Y＜2000</w:t>
            </w:r>
          </w:p>
        </w:tc>
        <w:tc>
          <w:tcPr>
            <w:tcW w:w="1452" w:type="dxa"/>
            <w:tcBorders>
              <w:top w:val="nil"/>
              <w:left w:val="nil"/>
              <w:bottom w:val="single" w:color="auto" w:sz="4" w:space="0"/>
              <w:right w:val="single" w:color="auto" w:sz="8" w:space="0"/>
            </w:tcBorders>
            <w:noWrap w:val="0"/>
            <w:vAlign w:val="bottom"/>
          </w:tcPr>
          <w:p w14:paraId="12BCC3E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0962C194">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X＜10</w:t>
            </w:r>
          </w:p>
        </w:tc>
        <w:tc>
          <w:tcPr>
            <w:tcW w:w="1216" w:type="dxa"/>
            <w:tcBorders>
              <w:top w:val="nil"/>
              <w:left w:val="nil"/>
              <w:bottom w:val="single" w:color="auto" w:sz="4" w:space="0"/>
              <w:right w:val="single" w:color="auto" w:sz="4" w:space="0"/>
            </w:tcBorders>
            <w:noWrap w:val="0"/>
            <w:vAlign w:val="bottom"/>
          </w:tcPr>
          <w:p w14:paraId="53C92492">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V＜100</w:t>
            </w:r>
          </w:p>
        </w:tc>
        <w:tc>
          <w:tcPr>
            <w:tcW w:w="1170" w:type="dxa"/>
            <w:tcBorders>
              <w:top w:val="nil"/>
              <w:left w:val="nil"/>
              <w:bottom w:val="single" w:color="auto" w:sz="4" w:space="0"/>
              <w:right w:val="single" w:color="auto" w:sz="8" w:space="0"/>
            </w:tcBorders>
            <w:noWrap w:val="0"/>
            <w:vAlign w:val="bottom"/>
          </w:tcPr>
          <w:p w14:paraId="79969E8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621E0294">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3F26E441">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11、信息传输业</w:t>
            </w:r>
          </w:p>
        </w:tc>
        <w:tc>
          <w:tcPr>
            <w:tcW w:w="1430" w:type="dxa"/>
            <w:tcBorders>
              <w:top w:val="nil"/>
              <w:left w:val="nil"/>
              <w:bottom w:val="single" w:color="auto" w:sz="4" w:space="0"/>
              <w:right w:val="single" w:color="auto" w:sz="4" w:space="0"/>
            </w:tcBorders>
            <w:noWrap w:val="0"/>
            <w:vAlign w:val="bottom"/>
          </w:tcPr>
          <w:p w14:paraId="3F5F4EE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100≤X＜2000</w:t>
            </w:r>
          </w:p>
        </w:tc>
        <w:tc>
          <w:tcPr>
            <w:tcW w:w="1681" w:type="dxa"/>
            <w:tcBorders>
              <w:top w:val="nil"/>
              <w:left w:val="nil"/>
              <w:bottom w:val="single" w:color="auto" w:sz="4" w:space="0"/>
              <w:right w:val="single" w:color="auto" w:sz="4" w:space="0"/>
            </w:tcBorders>
            <w:noWrap w:val="0"/>
            <w:vAlign w:val="bottom"/>
          </w:tcPr>
          <w:p w14:paraId="334469A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1000≤Y＜100000</w:t>
            </w:r>
          </w:p>
        </w:tc>
        <w:tc>
          <w:tcPr>
            <w:tcW w:w="1586" w:type="dxa"/>
            <w:tcBorders>
              <w:top w:val="nil"/>
              <w:left w:val="nil"/>
              <w:bottom w:val="single" w:color="auto" w:sz="4" w:space="0"/>
              <w:right w:val="single" w:color="auto" w:sz="8" w:space="0"/>
            </w:tcBorders>
            <w:noWrap w:val="0"/>
            <w:vAlign w:val="bottom"/>
          </w:tcPr>
          <w:p w14:paraId="4B2C341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0F7B0CBA">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10≤X＜100</w:t>
            </w:r>
          </w:p>
        </w:tc>
        <w:tc>
          <w:tcPr>
            <w:tcW w:w="1412" w:type="dxa"/>
            <w:tcBorders>
              <w:top w:val="nil"/>
              <w:left w:val="nil"/>
              <w:bottom w:val="single" w:color="auto" w:sz="4" w:space="0"/>
              <w:right w:val="single" w:color="auto" w:sz="4" w:space="0"/>
            </w:tcBorders>
            <w:noWrap w:val="0"/>
            <w:vAlign w:val="bottom"/>
          </w:tcPr>
          <w:p w14:paraId="1053A19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100≤Y＜1000</w:t>
            </w:r>
          </w:p>
        </w:tc>
        <w:tc>
          <w:tcPr>
            <w:tcW w:w="1452" w:type="dxa"/>
            <w:tcBorders>
              <w:top w:val="nil"/>
              <w:left w:val="nil"/>
              <w:bottom w:val="single" w:color="auto" w:sz="4" w:space="0"/>
              <w:right w:val="single" w:color="auto" w:sz="8" w:space="0"/>
            </w:tcBorders>
            <w:noWrap w:val="0"/>
            <w:vAlign w:val="bottom"/>
          </w:tcPr>
          <w:p w14:paraId="0D47836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06E175F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X＜10</w:t>
            </w:r>
          </w:p>
        </w:tc>
        <w:tc>
          <w:tcPr>
            <w:tcW w:w="1216" w:type="dxa"/>
            <w:tcBorders>
              <w:top w:val="nil"/>
              <w:left w:val="nil"/>
              <w:bottom w:val="single" w:color="auto" w:sz="4" w:space="0"/>
              <w:right w:val="single" w:color="auto" w:sz="4" w:space="0"/>
            </w:tcBorders>
            <w:noWrap w:val="0"/>
            <w:vAlign w:val="bottom"/>
          </w:tcPr>
          <w:p w14:paraId="219B315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Y＜100</w:t>
            </w:r>
          </w:p>
        </w:tc>
        <w:tc>
          <w:tcPr>
            <w:tcW w:w="1170" w:type="dxa"/>
            <w:tcBorders>
              <w:top w:val="nil"/>
              <w:left w:val="nil"/>
              <w:bottom w:val="single" w:color="auto" w:sz="4" w:space="0"/>
              <w:right w:val="single" w:color="auto" w:sz="8" w:space="0"/>
            </w:tcBorders>
            <w:noWrap w:val="0"/>
            <w:vAlign w:val="bottom"/>
          </w:tcPr>
          <w:p w14:paraId="1FE18DE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5BB0CDEA">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1A3826A9">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12、软件和信息技术服务业</w:t>
            </w:r>
          </w:p>
        </w:tc>
        <w:tc>
          <w:tcPr>
            <w:tcW w:w="1430" w:type="dxa"/>
            <w:tcBorders>
              <w:top w:val="nil"/>
              <w:left w:val="nil"/>
              <w:bottom w:val="single" w:color="auto" w:sz="4" w:space="0"/>
              <w:right w:val="single" w:color="auto" w:sz="4" w:space="0"/>
            </w:tcBorders>
            <w:noWrap w:val="0"/>
            <w:vAlign w:val="bottom"/>
          </w:tcPr>
          <w:p w14:paraId="4ABEB936">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100≤X＜300</w:t>
            </w:r>
          </w:p>
        </w:tc>
        <w:tc>
          <w:tcPr>
            <w:tcW w:w="1681" w:type="dxa"/>
            <w:tcBorders>
              <w:top w:val="nil"/>
              <w:left w:val="nil"/>
              <w:bottom w:val="single" w:color="auto" w:sz="4" w:space="0"/>
              <w:right w:val="single" w:color="auto" w:sz="4" w:space="0"/>
            </w:tcBorders>
            <w:noWrap w:val="0"/>
            <w:vAlign w:val="bottom"/>
          </w:tcPr>
          <w:p w14:paraId="31B8D11D">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1000≤Y＜10000</w:t>
            </w:r>
          </w:p>
        </w:tc>
        <w:tc>
          <w:tcPr>
            <w:tcW w:w="1586" w:type="dxa"/>
            <w:tcBorders>
              <w:top w:val="nil"/>
              <w:left w:val="nil"/>
              <w:bottom w:val="single" w:color="auto" w:sz="4" w:space="0"/>
              <w:right w:val="single" w:color="auto" w:sz="8" w:space="0"/>
            </w:tcBorders>
            <w:noWrap w:val="0"/>
            <w:vAlign w:val="bottom"/>
          </w:tcPr>
          <w:p w14:paraId="6763101C">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　</w:t>
            </w:r>
          </w:p>
        </w:tc>
        <w:tc>
          <w:tcPr>
            <w:tcW w:w="1183" w:type="dxa"/>
            <w:tcBorders>
              <w:top w:val="nil"/>
              <w:left w:val="nil"/>
              <w:bottom w:val="single" w:color="auto" w:sz="4" w:space="0"/>
              <w:right w:val="single" w:color="auto" w:sz="4" w:space="0"/>
            </w:tcBorders>
            <w:noWrap w:val="0"/>
            <w:vAlign w:val="bottom"/>
          </w:tcPr>
          <w:p w14:paraId="532346BA">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10≤X＜100</w:t>
            </w:r>
          </w:p>
        </w:tc>
        <w:tc>
          <w:tcPr>
            <w:tcW w:w="1412" w:type="dxa"/>
            <w:tcBorders>
              <w:top w:val="nil"/>
              <w:left w:val="nil"/>
              <w:bottom w:val="single" w:color="auto" w:sz="4" w:space="0"/>
              <w:right w:val="single" w:color="auto" w:sz="4" w:space="0"/>
            </w:tcBorders>
            <w:noWrap w:val="0"/>
            <w:vAlign w:val="bottom"/>
          </w:tcPr>
          <w:p w14:paraId="3DEAA2D1">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 xml:space="preserve"> 50≤Y＜1000</w:t>
            </w:r>
          </w:p>
        </w:tc>
        <w:tc>
          <w:tcPr>
            <w:tcW w:w="1452" w:type="dxa"/>
            <w:tcBorders>
              <w:top w:val="nil"/>
              <w:left w:val="nil"/>
              <w:bottom w:val="single" w:color="auto" w:sz="4" w:space="0"/>
              <w:right w:val="single" w:color="auto" w:sz="8" w:space="0"/>
            </w:tcBorders>
            <w:noWrap w:val="0"/>
            <w:vAlign w:val="bottom"/>
          </w:tcPr>
          <w:p w14:paraId="55CA0A5D">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　</w:t>
            </w:r>
          </w:p>
        </w:tc>
        <w:tc>
          <w:tcPr>
            <w:tcW w:w="1226" w:type="dxa"/>
            <w:tcBorders>
              <w:top w:val="nil"/>
              <w:left w:val="nil"/>
              <w:bottom w:val="single" w:color="auto" w:sz="4" w:space="0"/>
              <w:right w:val="single" w:color="auto" w:sz="4" w:space="0"/>
            </w:tcBorders>
            <w:noWrap w:val="0"/>
            <w:vAlign w:val="bottom"/>
          </w:tcPr>
          <w:p w14:paraId="478EE3FF">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X＜10</w:t>
            </w:r>
          </w:p>
        </w:tc>
        <w:tc>
          <w:tcPr>
            <w:tcW w:w="1216" w:type="dxa"/>
            <w:tcBorders>
              <w:top w:val="nil"/>
              <w:left w:val="nil"/>
              <w:bottom w:val="single" w:color="auto" w:sz="4" w:space="0"/>
              <w:right w:val="single" w:color="auto" w:sz="4" w:space="0"/>
            </w:tcBorders>
            <w:noWrap w:val="0"/>
            <w:vAlign w:val="bottom"/>
          </w:tcPr>
          <w:p w14:paraId="0DE9958B">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Y＜50</w:t>
            </w:r>
          </w:p>
        </w:tc>
        <w:tc>
          <w:tcPr>
            <w:tcW w:w="1170" w:type="dxa"/>
            <w:tcBorders>
              <w:top w:val="nil"/>
              <w:left w:val="nil"/>
              <w:bottom w:val="single" w:color="auto" w:sz="4" w:space="0"/>
              <w:right w:val="single" w:color="auto" w:sz="8" w:space="0"/>
            </w:tcBorders>
            <w:noWrap w:val="0"/>
            <w:vAlign w:val="bottom"/>
          </w:tcPr>
          <w:p w14:paraId="2F3D3DA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49B36278">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494C99FB">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13、房地产开发经营</w:t>
            </w:r>
          </w:p>
        </w:tc>
        <w:tc>
          <w:tcPr>
            <w:tcW w:w="1430" w:type="dxa"/>
            <w:tcBorders>
              <w:top w:val="nil"/>
              <w:left w:val="nil"/>
              <w:bottom w:val="single" w:color="auto" w:sz="4" w:space="0"/>
              <w:right w:val="single" w:color="auto" w:sz="4" w:space="0"/>
            </w:tcBorders>
            <w:noWrap w:val="0"/>
            <w:vAlign w:val="bottom"/>
          </w:tcPr>
          <w:p w14:paraId="7146D17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681" w:type="dxa"/>
            <w:tcBorders>
              <w:top w:val="nil"/>
              <w:left w:val="nil"/>
              <w:bottom w:val="single" w:color="auto" w:sz="4" w:space="0"/>
              <w:right w:val="single" w:color="auto" w:sz="4" w:space="0"/>
            </w:tcBorders>
            <w:noWrap w:val="0"/>
            <w:vAlign w:val="bottom"/>
          </w:tcPr>
          <w:p w14:paraId="3963BEE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1000≤Y＜200000</w:t>
            </w:r>
          </w:p>
        </w:tc>
        <w:tc>
          <w:tcPr>
            <w:tcW w:w="1586" w:type="dxa"/>
            <w:tcBorders>
              <w:top w:val="nil"/>
              <w:left w:val="nil"/>
              <w:bottom w:val="single" w:color="auto" w:sz="4" w:space="0"/>
              <w:right w:val="single" w:color="auto" w:sz="8" w:space="0"/>
            </w:tcBorders>
            <w:noWrap w:val="0"/>
            <w:vAlign w:val="bottom"/>
          </w:tcPr>
          <w:p w14:paraId="610674FA">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5000≤Z＜10000</w:t>
            </w:r>
          </w:p>
        </w:tc>
        <w:tc>
          <w:tcPr>
            <w:tcW w:w="1183" w:type="dxa"/>
            <w:tcBorders>
              <w:top w:val="nil"/>
              <w:left w:val="nil"/>
              <w:bottom w:val="single" w:color="auto" w:sz="4" w:space="0"/>
              <w:right w:val="single" w:color="auto" w:sz="4" w:space="0"/>
            </w:tcBorders>
            <w:noWrap w:val="0"/>
            <w:vAlign w:val="bottom"/>
          </w:tcPr>
          <w:p w14:paraId="5B8E7E61">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412" w:type="dxa"/>
            <w:tcBorders>
              <w:top w:val="nil"/>
              <w:left w:val="nil"/>
              <w:bottom w:val="single" w:color="auto" w:sz="4" w:space="0"/>
              <w:right w:val="single" w:color="auto" w:sz="4" w:space="0"/>
            </w:tcBorders>
            <w:noWrap w:val="0"/>
            <w:vAlign w:val="bottom"/>
          </w:tcPr>
          <w:p w14:paraId="21424416">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100≤Y＜1000</w:t>
            </w:r>
          </w:p>
        </w:tc>
        <w:tc>
          <w:tcPr>
            <w:tcW w:w="1452" w:type="dxa"/>
            <w:tcBorders>
              <w:top w:val="nil"/>
              <w:left w:val="nil"/>
              <w:bottom w:val="single" w:color="auto" w:sz="4" w:space="0"/>
              <w:right w:val="single" w:color="auto" w:sz="8" w:space="0"/>
            </w:tcBorders>
            <w:noWrap w:val="0"/>
            <w:vAlign w:val="bottom"/>
          </w:tcPr>
          <w:p w14:paraId="4EAC2B1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2000≤Z＜5000</w:t>
            </w:r>
          </w:p>
        </w:tc>
        <w:tc>
          <w:tcPr>
            <w:tcW w:w="1226" w:type="dxa"/>
            <w:tcBorders>
              <w:top w:val="nil"/>
              <w:left w:val="nil"/>
              <w:bottom w:val="single" w:color="auto" w:sz="4" w:space="0"/>
              <w:right w:val="single" w:color="auto" w:sz="4" w:space="0"/>
            </w:tcBorders>
            <w:noWrap w:val="0"/>
            <w:vAlign w:val="bottom"/>
          </w:tcPr>
          <w:p w14:paraId="5FF72F9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16" w:type="dxa"/>
            <w:tcBorders>
              <w:top w:val="nil"/>
              <w:left w:val="nil"/>
              <w:bottom w:val="single" w:color="auto" w:sz="4" w:space="0"/>
              <w:right w:val="single" w:color="auto" w:sz="4" w:space="0"/>
            </w:tcBorders>
            <w:noWrap w:val="0"/>
            <w:vAlign w:val="bottom"/>
          </w:tcPr>
          <w:p w14:paraId="1D45E95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Y＜100</w:t>
            </w:r>
          </w:p>
        </w:tc>
        <w:tc>
          <w:tcPr>
            <w:tcW w:w="1170" w:type="dxa"/>
            <w:tcBorders>
              <w:top w:val="nil"/>
              <w:left w:val="nil"/>
              <w:bottom w:val="single" w:color="auto" w:sz="4" w:space="0"/>
              <w:right w:val="single" w:color="auto" w:sz="8" w:space="0"/>
            </w:tcBorders>
            <w:noWrap w:val="0"/>
            <w:vAlign w:val="bottom"/>
          </w:tcPr>
          <w:p w14:paraId="138EC84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Z＜2000</w:t>
            </w:r>
          </w:p>
        </w:tc>
      </w:tr>
      <w:tr w14:paraId="294900FF">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21E2010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14、物业管理</w:t>
            </w:r>
          </w:p>
        </w:tc>
        <w:tc>
          <w:tcPr>
            <w:tcW w:w="1430" w:type="dxa"/>
            <w:tcBorders>
              <w:top w:val="nil"/>
              <w:left w:val="nil"/>
              <w:bottom w:val="single" w:color="auto" w:sz="4" w:space="0"/>
              <w:right w:val="single" w:color="auto" w:sz="4" w:space="0"/>
            </w:tcBorders>
            <w:noWrap w:val="0"/>
            <w:vAlign w:val="bottom"/>
          </w:tcPr>
          <w:p w14:paraId="0CE28D3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300≤X＜1000</w:t>
            </w:r>
          </w:p>
        </w:tc>
        <w:tc>
          <w:tcPr>
            <w:tcW w:w="1681" w:type="dxa"/>
            <w:tcBorders>
              <w:top w:val="nil"/>
              <w:left w:val="nil"/>
              <w:bottom w:val="single" w:color="auto" w:sz="4" w:space="0"/>
              <w:right w:val="single" w:color="auto" w:sz="4" w:space="0"/>
            </w:tcBorders>
            <w:noWrap w:val="0"/>
            <w:vAlign w:val="bottom"/>
          </w:tcPr>
          <w:p w14:paraId="51C833C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1000≤Y＜5000</w:t>
            </w:r>
          </w:p>
        </w:tc>
        <w:tc>
          <w:tcPr>
            <w:tcW w:w="1586" w:type="dxa"/>
            <w:tcBorders>
              <w:top w:val="nil"/>
              <w:left w:val="nil"/>
              <w:bottom w:val="single" w:color="auto" w:sz="4" w:space="0"/>
              <w:right w:val="single" w:color="auto" w:sz="8" w:space="0"/>
            </w:tcBorders>
            <w:noWrap w:val="0"/>
            <w:vAlign w:val="bottom"/>
          </w:tcPr>
          <w:p w14:paraId="2EDADADB">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2522835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100≤X＜300</w:t>
            </w:r>
          </w:p>
        </w:tc>
        <w:tc>
          <w:tcPr>
            <w:tcW w:w="1412" w:type="dxa"/>
            <w:tcBorders>
              <w:top w:val="nil"/>
              <w:left w:val="nil"/>
              <w:bottom w:val="single" w:color="auto" w:sz="4" w:space="0"/>
              <w:right w:val="single" w:color="auto" w:sz="4" w:space="0"/>
            </w:tcBorders>
            <w:noWrap w:val="0"/>
            <w:vAlign w:val="bottom"/>
          </w:tcPr>
          <w:p w14:paraId="7B82100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500≤Y＜1000</w:t>
            </w:r>
          </w:p>
        </w:tc>
        <w:tc>
          <w:tcPr>
            <w:tcW w:w="1452" w:type="dxa"/>
            <w:tcBorders>
              <w:top w:val="nil"/>
              <w:left w:val="nil"/>
              <w:bottom w:val="single" w:color="auto" w:sz="4" w:space="0"/>
              <w:right w:val="single" w:color="auto" w:sz="8" w:space="0"/>
            </w:tcBorders>
            <w:noWrap w:val="0"/>
            <w:vAlign w:val="bottom"/>
          </w:tcPr>
          <w:p w14:paraId="7DD8F76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643C2A8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X＜100</w:t>
            </w:r>
          </w:p>
        </w:tc>
        <w:tc>
          <w:tcPr>
            <w:tcW w:w="1216" w:type="dxa"/>
            <w:tcBorders>
              <w:top w:val="nil"/>
              <w:left w:val="nil"/>
              <w:bottom w:val="single" w:color="auto" w:sz="4" w:space="0"/>
              <w:right w:val="single" w:color="auto" w:sz="4" w:space="0"/>
            </w:tcBorders>
            <w:noWrap w:val="0"/>
            <w:vAlign w:val="bottom"/>
          </w:tcPr>
          <w:p w14:paraId="19DC32A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Y＜500</w:t>
            </w:r>
          </w:p>
        </w:tc>
        <w:tc>
          <w:tcPr>
            <w:tcW w:w="1170" w:type="dxa"/>
            <w:tcBorders>
              <w:top w:val="nil"/>
              <w:left w:val="nil"/>
              <w:bottom w:val="single" w:color="auto" w:sz="4" w:space="0"/>
              <w:right w:val="single" w:color="auto" w:sz="8" w:space="0"/>
            </w:tcBorders>
            <w:noWrap w:val="0"/>
            <w:vAlign w:val="bottom"/>
          </w:tcPr>
          <w:p w14:paraId="7A4662DB">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07670109">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22854B71">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15、租赁和商务服务业</w:t>
            </w:r>
          </w:p>
        </w:tc>
        <w:tc>
          <w:tcPr>
            <w:tcW w:w="1430" w:type="dxa"/>
            <w:tcBorders>
              <w:top w:val="nil"/>
              <w:left w:val="nil"/>
              <w:bottom w:val="single" w:color="auto" w:sz="4" w:space="0"/>
              <w:right w:val="single" w:color="auto" w:sz="4" w:space="0"/>
            </w:tcBorders>
            <w:noWrap w:val="0"/>
            <w:vAlign w:val="bottom"/>
          </w:tcPr>
          <w:p w14:paraId="5C2F7B8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100≤X＜300</w:t>
            </w:r>
          </w:p>
        </w:tc>
        <w:tc>
          <w:tcPr>
            <w:tcW w:w="1681" w:type="dxa"/>
            <w:tcBorders>
              <w:top w:val="nil"/>
              <w:left w:val="nil"/>
              <w:bottom w:val="single" w:color="auto" w:sz="4" w:space="0"/>
              <w:right w:val="single" w:color="auto" w:sz="4" w:space="0"/>
            </w:tcBorders>
            <w:noWrap w:val="0"/>
            <w:vAlign w:val="bottom"/>
          </w:tcPr>
          <w:p w14:paraId="315AE18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586" w:type="dxa"/>
            <w:tcBorders>
              <w:top w:val="nil"/>
              <w:left w:val="nil"/>
              <w:bottom w:val="single" w:color="auto" w:sz="4" w:space="0"/>
              <w:right w:val="single" w:color="auto" w:sz="8" w:space="0"/>
            </w:tcBorders>
            <w:noWrap w:val="0"/>
            <w:vAlign w:val="bottom"/>
          </w:tcPr>
          <w:p w14:paraId="370FF61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8000≤Z＜120000</w:t>
            </w:r>
          </w:p>
        </w:tc>
        <w:tc>
          <w:tcPr>
            <w:tcW w:w="1183" w:type="dxa"/>
            <w:tcBorders>
              <w:top w:val="nil"/>
              <w:left w:val="nil"/>
              <w:bottom w:val="single" w:color="auto" w:sz="4" w:space="0"/>
              <w:right w:val="single" w:color="auto" w:sz="4" w:space="0"/>
            </w:tcBorders>
            <w:noWrap w:val="0"/>
            <w:vAlign w:val="bottom"/>
          </w:tcPr>
          <w:p w14:paraId="4C7F0FAB">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10≤X＜100</w:t>
            </w:r>
          </w:p>
        </w:tc>
        <w:tc>
          <w:tcPr>
            <w:tcW w:w="1412" w:type="dxa"/>
            <w:tcBorders>
              <w:top w:val="nil"/>
              <w:left w:val="nil"/>
              <w:bottom w:val="single" w:color="auto" w:sz="4" w:space="0"/>
              <w:right w:val="single" w:color="auto" w:sz="4" w:space="0"/>
            </w:tcBorders>
            <w:noWrap w:val="0"/>
            <w:vAlign w:val="bottom"/>
          </w:tcPr>
          <w:p w14:paraId="57F4FBB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452" w:type="dxa"/>
            <w:tcBorders>
              <w:top w:val="nil"/>
              <w:left w:val="nil"/>
              <w:bottom w:val="single" w:color="auto" w:sz="4" w:space="0"/>
              <w:right w:val="single" w:color="auto" w:sz="8" w:space="0"/>
            </w:tcBorders>
            <w:noWrap w:val="0"/>
            <w:vAlign w:val="bottom"/>
          </w:tcPr>
          <w:p w14:paraId="59AFFA92">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100≤Z＜8000</w:t>
            </w:r>
          </w:p>
        </w:tc>
        <w:tc>
          <w:tcPr>
            <w:tcW w:w="1226" w:type="dxa"/>
            <w:tcBorders>
              <w:top w:val="nil"/>
              <w:left w:val="nil"/>
              <w:bottom w:val="single" w:color="auto" w:sz="4" w:space="0"/>
              <w:right w:val="single" w:color="auto" w:sz="4" w:space="0"/>
            </w:tcBorders>
            <w:noWrap w:val="0"/>
            <w:vAlign w:val="bottom"/>
          </w:tcPr>
          <w:p w14:paraId="10F99C1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X＜10</w:t>
            </w:r>
          </w:p>
        </w:tc>
        <w:tc>
          <w:tcPr>
            <w:tcW w:w="1216" w:type="dxa"/>
            <w:tcBorders>
              <w:top w:val="nil"/>
              <w:left w:val="nil"/>
              <w:bottom w:val="single" w:color="auto" w:sz="4" w:space="0"/>
              <w:right w:val="single" w:color="auto" w:sz="4" w:space="0"/>
            </w:tcBorders>
            <w:noWrap w:val="0"/>
            <w:vAlign w:val="bottom"/>
          </w:tcPr>
          <w:p w14:paraId="6D8FBC12">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70" w:type="dxa"/>
            <w:tcBorders>
              <w:top w:val="nil"/>
              <w:left w:val="nil"/>
              <w:bottom w:val="single" w:color="auto" w:sz="4" w:space="0"/>
              <w:right w:val="single" w:color="auto" w:sz="8" w:space="0"/>
            </w:tcBorders>
            <w:noWrap w:val="0"/>
            <w:vAlign w:val="bottom"/>
          </w:tcPr>
          <w:p w14:paraId="076B958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Z＜100</w:t>
            </w:r>
          </w:p>
        </w:tc>
      </w:tr>
      <w:tr w14:paraId="7713515F">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8" w:space="0"/>
              <w:right w:val="single" w:color="auto" w:sz="8" w:space="0"/>
            </w:tcBorders>
            <w:noWrap w:val="0"/>
            <w:vAlign w:val="bottom"/>
          </w:tcPr>
          <w:p w14:paraId="5B5784E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16、其他未列明行业</w:t>
            </w:r>
          </w:p>
        </w:tc>
        <w:tc>
          <w:tcPr>
            <w:tcW w:w="1430" w:type="dxa"/>
            <w:tcBorders>
              <w:top w:val="nil"/>
              <w:left w:val="nil"/>
              <w:bottom w:val="single" w:color="auto" w:sz="8" w:space="0"/>
              <w:right w:val="single" w:color="auto" w:sz="4" w:space="0"/>
            </w:tcBorders>
            <w:noWrap w:val="0"/>
            <w:vAlign w:val="bottom"/>
          </w:tcPr>
          <w:p w14:paraId="63E5D4C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100≤X＜300</w:t>
            </w:r>
          </w:p>
        </w:tc>
        <w:tc>
          <w:tcPr>
            <w:tcW w:w="1681" w:type="dxa"/>
            <w:tcBorders>
              <w:top w:val="nil"/>
              <w:left w:val="nil"/>
              <w:bottom w:val="single" w:color="auto" w:sz="8" w:space="0"/>
              <w:right w:val="single" w:color="auto" w:sz="4" w:space="0"/>
            </w:tcBorders>
            <w:noWrap w:val="0"/>
            <w:vAlign w:val="bottom"/>
          </w:tcPr>
          <w:p w14:paraId="719E2DC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586" w:type="dxa"/>
            <w:tcBorders>
              <w:top w:val="nil"/>
              <w:left w:val="nil"/>
              <w:bottom w:val="single" w:color="auto" w:sz="8" w:space="0"/>
              <w:right w:val="single" w:color="auto" w:sz="8" w:space="0"/>
            </w:tcBorders>
            <w:noWrap w:val="0"/>
            <w:vAlign w:val="bottom"/>
          </w:tcPr>
          <w:p w14:paraId="496C901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8" w:space="0"/>
              <w:right w:val="single" w:color="auto" w:sz="4" w:space="0"/>
            </w:tcBorders>
            <w:noWrap w:val="0"/>
            <w:vAlign w:val="bottom"/>
          </w:tcPr>
          <w:p w14:paraId="5DAB5D9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10≤X＜100</w:t>
            </w:r>
          </w:p>
        </w:tc>
        <w:tc>
          <w:tcPr>
            <w:tcW w:w="1412" w:type="dxa"/>
            <w:tcBorders>
              <w:top w:val="nil"/>
              <w:left w:val="nil"/>
              <w:bottom w:val="single" w:color="auto" w:sz="8" w:space="0"/>
              <w:right w:val="single" w:color="auto" w:sz="4" w:space="0"/>
            </w:tcBorders>
            <w:noWrap w:val="0"/>
            <w:vAlign w:val="bottom"/>
          </w:tcPr>
          <w:p w14:paraId="5FF943D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452" w:type="dxa"/>
            <w:tcBorders>
              <w:top w:val="nil"/>
              <w:left w:val="nil"/>
              <w:bottom w:val="single" w:color="auto" w:sz="8" w:space="0"/>
              <w:right w:val="single" w:color="auto" w:sz="8" w:space="0"/>
            </w:tcBorders>
            <w:noWrap w:val="0"/>
            <w:vAlign w:val="bottom"/>
          </w:tcPr>
          <w:p w14:paraId="5D65B4C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8" w:space="0"/>
              <w:right w:val="single" w:color="auto" w:sz="4" w:space="0"/>
            </w:tcBorders>
            <w:noWrap w:val="0"/>
            <w:vAlign w:val="bottom"/>
          </w:tcPr>
          <w:p w14:paraId="7B1002D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X＜10</w:t>
            </w:r>
          </w:p>
        </w:tc>
        <w:tc>
          <w:tcPr>
            <w:tcW w:w="1216" w:type="dxa"/>
            <w:tcBorders>
              <w:top w:val="nil"/>
              <w:left w:val="nil"/>
              <w:bottom w:val="single" w:color="auto" w:sz="8" w:space="0"/>
              <w:right w:val="single" w:color="auto" w:sz="4" w:space="0"/>
            </w:tcBorders>
            <w:noWrap w:val="0"/>
            <w:vAlign w:val="bottom"/>
          </w:tcPr>
          <w:p w14:paraId="6AED6CC5">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　</w:t>
            </w:r>
          </w:p>
        </w:tc>
        <w:tc>
          <w:tcPr>
            <w:tcW w:w="1170" w:type="dxa"/>
            <w:tcBorders>
              <w:top w:val="nil"/>
              <w:left w:val="nil"/>
              <w:bottom w:val="single" w:color="auto" w:sz="8" w:space="0"/>
              <w:right w:val="single" w:color="auto" w:sz="8" w:space="0"/>
            </w:tcBorders>
            <w:noWrap w:val="0"/>
            <w:vAlign w:val="bottom"/>
          </w:tcPr>
          <w:p w14:paraId="5D53D619">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　</w:t>
            </w:r>
          </w:p>
        </w:tc>
      </w:tr>
      <w:tr w14:paraId="232B0777">
        <w:tblPrEx>
          <w:tblCellMar>
            <w:top w:w="0" w:type="dxa"/>
            <w:left w:w="108" w:type="dxa"/>
            <w:bottom w:w="0" w:type="dxa"/>
            <w:right w:w="108" w:type="dxa"/>
          </w:tblCellMar>
        </w:tblPrEx>
        <w:trPr>
          <w:trHeight w:val="199" w:hRule="atLeast"/>
        </w:trPr>
        <w:tc>
          <w:tcPr>
            <w:tcW w:w="14535" w:type="dxa"/>
            <w:gridSpan w:val="10"/>
            <w:tcBorders>
              <w:top w:val="nil"/>
              <w:left w:val="nil"/>
              <w:bottom w:val="nil"/>
              <w:right w:val="nil"/>
            </w:tcBorders>
            <w:noWrap w:val="0"/>
            <w:vAlign w:val="bottom"/>
          </w:tcPr>
          <w:p w14:paraId="78682D5B">
            <w:pPr>
              <w:keepNext w:val="0"/>
              <w:keepLines w:val="0"/>
              <w:widowControl/>
              <w:suppressLineNumbers w:val="0"/>
              <w:spacing w:before="0" w:beforeAutospacing="0" w:after="0" w:afterAutospacing="0"/>
              <w:ind w:left="0" w:right="0"/>
              <w:jc w:val="left"/>
              <w:rPr>
                <w:rFonts w:hint="eastAsia" w:ascii="Times New Roman" w:hAnsi="Times New Roman" w:cs="宋体"/>
                <w:kern w:val="0"/>
                <w:sz w:val="18"/>
                <w:szCs w:val="18"/>
              </w:rPr>
            </w:pPr>
            <w:r>
              <w:rPr>
                <w:rFonts w:hint="eastAsia" w:ascii="Times New Roman" w:hAnsi="Times New Roman" w:cs="宋体"/>
                <w:kern w:val="0"/>
                <w:sz w:val="18"/>
                <w:szCs w:val="18"/>
              </w:rPr>
              <w:t>说明　1、企业类型的划分以统计部门的统计数据为依据。</w:t>
            </w:r>
          </w:p>
          <w:p w14:paraId="134B6DB0">
            <w:pPr>
              <w:keepNext w:val="0"/>
              <w:keepLines w:val="0"/>
              <w:widowControl/>
              <w:suppressLineNumbers w:val="0"/>
              <w:spacing w:before="0" w:beforeAutospacing="0" w:after="0" w:afterAutospacing="0"/>
              <w:ind w:left="0" w:right="0" w:firstLine="540" w:firstLineChars="300"/>
              <w:jc w:val="left"/>
              <w:rPr>
                <w:rFonts w:hint="eastAsia" w:ascii="Times New Roman" w:hAnsi="Times New Roman" w:cs="宋体"/>
                <w:kern w:val="0"/>
                <w:sz w:val="18"/>
                <w:szCs w:val="18"/>
              </w:rPr>
            </w:pPr>
            <w:r>
              <w:rPr>
                <w:rFonts w:hint="eastAsia" w:ascii="Times New Roman" w:hAnsi="Times New Roman" w:cs="宋体"/>
                <w:kern w:val="0"/>
                <w:sz w:val="18"/>
                <w:szCs w:val="18"/>
              </w:rPr>
              <w:t>2、个体工商户和本规定以外的行业，参照本规定进行划型。</w:t>
            </w:r>
          </w:p>
          <w:p w14:paraId="190679DC">
            <w:pPr>
              <w:keepNext w:val="0"/>
              <w:keepLines w:val="0"/>
              <w:widowControl/>
              <w:suppressLineNumbers w:val="0"/>
              <w:spacing w:before="0" w:beforeAutospacing="0" w:after="0" w:afterAutospacing="0"/>
              <w:ind w:left="0" w:right="0" w:firstLine="540" w:firstLineChars="300"/>
              <w:jc w:val="left"/>
              <w:rPr>
                <w:rFonts w:hint="default" w:ascii="Times New Roman" w:hAnsi="Times New Roman" w:cs="宋体"/>
                <w:kern w:val="0"/>
                <w:sz w:val="18"/>
                <w:szCs w:val="18"/>
              </w:rPr>
            </w:pPr>
            <w:r>
              <w:rPr>
                <w:rFonts w:hint="eastAsia" w:ascii="Times New Roman" w:hAnsi="Times New Roman" w:cs="宋体"/>
                <w:kern w:val="0"/>
                <w:sz w:val="18"/>
                <w:szCs w:val="18"/>
              </w:rPr>
              <w:t>3、本规定的中型企业标准上限即为大型企业标准的下限。</w:t>
            </w:r>
          </w:p>
        </w:tc>
      </w:tr>
    </w:tbl>
    <w:p w14:paraId="45E26327">
      <w:pPr>
        <w:rPr>
          <w:rFonts w:hint="eastAsia"/>
        </w:rPr>
      </w:pPr>
    </w:p>
    <w:p w14:paraId="49B7A96D">
      <w:pPr>
        <w:rPr>
          <w:color w:val="auto"/>
        </w:rPr>
      </w:pPr>
    </w:p>
    <w:sectPr>
      <w:pgSz w:w="16840" w:h="11907" w:orient="landscape"/>
      <w:pgMar w:top="1774" w:right="1021" w:bottom="1513" w:left="851" w:header="1134" w:footer="1134" w:gutter="0"/>
      <w:pgNumType w:fmt="decimal"/>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A232A">
    <w:pPr>
      <w:pStyle w:val="18"/>
      <w:framePr w:wrap="around" w:vAnchor="text" w:hAnchor="margin" w:xAlign="center" w:y="1"/>
      <w:rPr>
        <w:rStyle w:val="35"/>
      </w:rPr>
    </w:pPr>
    <w:r>
      <w:fldChar w:fldCharType="begin"/>
    </w:r>
    <w:r>
      <w:rPr>
        <w:rStyle w:val="35"/>
      </w:rPr>
      <w:instrText xml:space="preserve">PAGE  </w:instrText>
    </w:r>
    <w:r>
      <w:fldChar w:fldCharType="end"/>
    </w:r>
  </w:p>
  <w:p w14:paraId="7FD38CF6">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DF6AF">
    <w:pPr>
      <w:pStyle w:val="18"/>
      <w:rPr>
        <w:rFonts w:hint="eastAsia"/>
        <w:szCs w:val="21"/>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3DF6C">
                          <w:pPr>
                            <w:pStyle w:val="18"/>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743DF6C">
                    <w:pPr>
                      <w:pStyle w:val="18"/>
                    </w:pPr>
                    <w:r>
                      <w:fldChar w:fldCharType="begin"/>
                    </w:r>
                    <w:r>
                      <w:instrText xml:space="preserve"> PAGE  \* MERGEFORMAT </w:instrText>
                    </w:r>
                    <w:r>
                      <w:fldChar w:fldCharType="separate"/>
                    </w:r>
                    <w:r>
                      <w:t>83</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03859E">
                          <w:pPr>
                            <w:pStyle w:val="18"/>
                          </w:pPr>
                        </w:p>
                        <w:p w14:paraId="026EE9E9"/>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603859E">
                    <w:pPr>
                      <w:pStyle w:val="18"/>
                    </w:pPr>
                  </w:p>
                  <w:p w14:paraId="026EE9E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748A6">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6F5EF">
    <w:pPr>
      <w:pStyle w:val="18"/>
      <w:rPr>
        <w:rFonts w:hint="eastAsia"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296F4">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4296F4">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88FAC">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E8FF4">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20E8FF4">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B95B0">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204CA">
                          <w:pPr>
                            <w:pStyle w:val="1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0204CA">
                    <w:pPr>
                      <w:pStyle w:val="1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0B2E4">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B4D9F">
                          <w:pPr>
                            <w:pStyle w:val="18"/>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8CB4D9F">
                    <w:pPr>
                      <w:pStyle w:val="18"/>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2DA78">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B7F32">
                          <w:pPr>
                            <w:pStyle w:val="1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88B7F32">
                    <w:pPr>
                      <w:pStyle w:val="1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7DE98">
    <w:pPr>
      <w:pStyle w:val="18"/>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51FC2">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2F51FC2">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98C26">
    <w:pPr>
      <w:pStyle w:val="18"/>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7B60F">
                          <w:pPr>
                            <w:pStyle w:val="18"/>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A07B60F">
                    <w:pPr>
                      <w:pStyle w:val="18"/>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C1094">
    <w:pPr>
      <w:pStyle w:val="20"/>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F7398">
    <w:pPr>
      <w:pStyle w:val="20"/>
      <w:rPr>
        <w:rFonts w:ascii="仿宋_GB2312" w:eastAsia="仿宋_GB2312"/>
        <w:b/>
        <w:i/>
        <w:u w:val="single"/>
      </w:rPr>
    </w:pPr>
    <w:r>
      <w:t></w:t>
    </w:r>
    <w:r>
      <w:rPr>
        <w:rFonts w:hint="eastAsia"/>
      </w:rPr>
      <w:t xml:space="preserve">                                                  </w:t>
    </w:r>
    <w:r>
      <w:t xml:space="preserve">             政府采购公开招标文件</w:t>
    </w:r>
  </w:p>
  <w:p w14:paraId="1BFB679C">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F7128">
    <w:pPr>
      <w:pStyle w:val="20"/>
    </w:pPr>
    <w:r>
      <w:t></w:t>
    </w:r>
    <w:r>
      <w:rPr>
        <w:rFonts w:hint="eastAsia"/>
      </w:rPr>
      <w:t xml:space="preserve">         </w:t>
    </w:r>
  </w:p>
  <w:p w14:paraId="1271B64B">
    <w:pPr>
      <w:pStyle w:val="20"/>
    </w:pPr>
    <w:r>
      <w:rPr>
        <w:rFonts w:hint="eastAsia"/>
      </w:rPr>
      <w:t xml:space="preserve">                                                                  </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C5028">
    <w:pPr>
      <w:pStyle w:val="20"/>
      <w:rPr>
        <w:rFonts w:ascii="仿宋_GB2312" w:eastAsia="仿宋_GB2312"/>
        <w:b/>
        <w:i/>
        <w:u w:val="single"/>
      </w:rPr>
    </w:pPr>
    <w:r>
      <w:t></w:t>
    </w:r>
    <w:r>
      <w:rPr>
        <w:rFonts w:hint="eastAsia"/>
      </w:rPr>
      <w:t xml:space="preserve">                                                 </w:t>
    </w:r>
    <w:r>
      <w:t>政府采购公开招标文件</w:t>
    </w:r>
  </w:p>
  <w:p w14:paraId="172E1C0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BE1D3">
    <w:pPr>
      <w:pStyle w:val="20"/>
      <w:jc w:val="right"/>
    </w:pPr>
    <w:r>
      <w:t></w:t>
    </w:r>
    <w:r>
      <w:rPr>
        <w:rFonts w:hint="eastAsia"/>
      </w:rPr>
      <w:t xml:space="preserve">                 </w:t>
    </w:r>
    <w:r>
      <w:t xml:space="preserve">                                </w:t>
    </w:r>
    <w:r>
      <w:rPr>
        <w:rFonts w:hint="eastAsia"/>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3CBBA">
    <w:pPr>
      <w:pStyle w:val="20"/>
      <w:jc w:val="right"/>
      <w:rPr>
        <w:rFonts w:eastAsia="仿宋_GB231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5DC18">
    <w:pPr>
      <w:pStyle w:val="20"/>
      <w:jc w:val="right"/>
      <w:rPr>
        <w:rFonts w:eastAsia="仿宋_GB231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08671">
    <w:pPr>
      <w:pStyle w:val="2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9ADF3"/>
    <w:multiLevelType w:val="singleLevel"/>
    <w:tmpl w:val="8D99ADF3"/>
    <w:lvl w:ilvl="0" w:tentative="0">
      <w:start w:val="1"/>
      <w:numFmt w:val="decimal"/>
      <w:suff w:val="nothing"/>
      <w:lvlText w:val="（%1）"/>
      <w:lvlJc w:val="left"/>
    </w:lvl>
  </w:abstractNum>
  <w:abstractNum w:abstractNumId="1">
    <w:nsid w:val="DFB801C1"/>
    <w:multiLevelType w:val="singleLevel"/>
    <w:tmpl w:val="DFB801C1"/>
    <w:lvl w:ilvl="0" w:tentative="0">
      <w:start w:val="1"/>
      <w:numFmt w:val="decimal"/>
      <w:suff w:val="nothing"/>
      <w:lvlText w:val="%1、"/>
      <w:lvlJc w:val="left"/>
      <w:pPr>
        <w:ind w:left="-210"/>
      </w:p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
    <w:nsid w:val="35D71722"/>
    <w:multiLevelType w:val="singleLevel"/>
    <w:tmpl w:val="35D71722"/>
    <w:lvl w:ilvl="0" w:tentative="0">
      <w:start w:val="2"/>
      <w:numFmt w:val="chineseCounting"/>
      <w:suff w:val="nothing"/>
      <w:lvlText w:val="%1、"/>
      <w:lvlJc w:val="left"/>
      <w:rPr>
        <w:rFonts w:hint="eastAsia"/>
      </w:rPr>
    </w:lvl>
  </w:abstractNum>
  <w:abstractNum w:abstractNumId="5">
    <w:nsid w:val="41892D21"/>
    <w:multiLevelType w:val="singleLevel"/>
    <w:tmpl w:val="41892D21"/>
    <w:lvl w:ilvl="0" w:tentative="0">
      <w:start w:val="1"/>
      <w:numFmt w:val="decimal"/>
      <w:suff w:val="nothing"/>
      <w:lvlText w:val="（%1）"/>
      <w:lvlJc w:val="left"/>
    </w:lvl>
  </w:abstractNum>
  <w:abstractNum w:abstractNumId="6">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7">
    <w:nsid w:val="71DAE6B1"/>
    <w:multiLevelType w:val="singleLevel"/>
    <w:tmpl w:val="71DAE6B1"/>
    <w:lvl w:ilvl="0" w:tentative="0">
      <w:start w:val="2"/>
      <w:numFmt w:val="chineseCounting"/>
      <w:suff w:val="nothing"/>
      <w:lvlText w:val="%1、"/>
      <w:lvlJc w:val="left"/>
      <w:rPr>
        <w:rFonts w:hint="eastAsia"/>
      </w:rPr>
    </w:lvl>
  </w:abstractNum>
  <w:abstractNum w:abstractNumId="8">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8"/>
  </w:num>
  <w:num w:numId="3">
    <w:abstractNumId w:val="0"/>
  </w:num>
  <w:num w:numId="4">
    <w:abstractNumId w:val="2"/>
  </w:num>
  <w:num w:numId="5">
    <w:abstractNumId w:val="1"/>
  </w:num>
  <w:num w:numId="6">
    <w:abstractNumId w:val="3"/>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YWM4MzZmNDAxOWEwZWQ5ZjhlZWViZWE2YThlYTYifQ=="/>
  </w:docVars>
  <w:rsids>
    <w:rsidRoot w:val="00837400"/>
    <w:rsid w:val="000000A7"/>
    <w:rsid w:val="00000152"/>
    <w:rsid w:val="00001366"/>
    <w:rsid w:val="00001C04"/>
    <w:rsid w:val="00001C2A"/>
    <w:rsid w:val="00001DB3"/>
    <w:rsid w:val="00002657"/>
    <w:rsid w:val="00002A2F"/>
    <w:rsid w:val="00003838"/>
    <w:rsid w:val="0000398A"/>
    <w:rsid w:val="00003B28"/>
    <w:rsid w:val="00006450"/>
    <w:rsid w:val="0001047B"/>
    <w:rsid w:val="00010CB6"/>
    <w:rsid w:val="0001101E"/>
    <w:rsid w:val="0001144C"/>
    <w:rsid w:val="000119D1"/>
    <w:rsid w:val="000119E3"/>
    <w:rsid w:val="000133E4"/>
    <w:rsid w:val="00014A9B"/>
    <w:rsid w:val="00014B5B"/>
    <w:rsid w:val="0001559B"/>
    <w:rsid w:val="000166E8"/>
    <w:rsid w:val="00017016"/>
    <w:rsid w:val="000200C4"/>
    <w:rsid w:val="00020624"/>
    <w:rsid w:val="0002179A"/>
    <w:rsid w:val="000218C6"/>
    <w:rsid w:val="00022D75"/>
    <w:rsid w:val="00022F2D"/>
    <w:rsid w:val="00022FDE"/>
    <w:rsid w:val="000237E5"/>
    <w:rsid w:val="00024DC3"/>
    <w:rsid w:val="0002561C"/>
    <w:rsid w:val="00027684"/>
    <w:rsid w:val="000278EA"/>
    <w:rsid w:val="00030DF7"/>
    <w:rsid w:val="00031F92"/>
    <w:rsid w:val="00032241"/>
    <w:rsid w:val="0003253A"/>
    <w:rsid w:val="00032ADA"/>
    <w:rsid w:val="00034C76"/>
    <w:rsid w:val="00035152"/>
    <w:rsid w:val="00035A36"/>
    <w:rsid w:val="00036478"/>
    <w:rsid w:val="000368A0"/>
    <w:rsid w:val="00037477"/>
    <w:rsid w:val="0003756F"/>
    <w:rsid w:val="000377A1"/>
    <w:rsid w:val="00040BB5"/>
    <w:rsid w:val="00041A72"/>
    <w:rsid w:val="0004279B"/>
    <w:rsid w:val="00042F2C"/>
    <w:rsid w:val="00043C72"/>
    <w:rsid w:val="000441C7"/>
    <w:rsid w:val="0004426D"/>
    <w:rsid w:val="00044834"/>
    <w:rsid w:val="000453FA"/>
    <w:rsid w:val="000456B8"/>
    <w:rsid w:val="00045D05"/>
    <w:rsid w:val="00045E16"/>
    <w:rsid w:val="00047DA3"/>
    <w:rsid w:val="00047DBA"/>
    <w:rsid w:val="00047EFE"/>
    <w:rsid w:val="000503FA"/>
    <w:rsid w:val="00050773"/>
    <w:rsid w:val="00050C9C"/>
    <w:rsid w:val="00051C4D"/>
    <w:rsid w:val="00053873"/>
    <w:rsid w:val="00054028"/>
    <w:rsid w:val="0005471B"/>
    <w:rsid w:val="000559AC"/>
    <w:rsid w:val="00055C6A"/>
    <w:rsid w:val="00056753"/>
    <w:rsid w:val="000567DB"/>
    <w:rsid w:val="00057C89"/>
    <w:rsid w:val="00060572"/>
    <w:rsid w:val="00060A0B"/>
    <w:rsid w:val="00060E3D"/>
    <w:rsid w:val="00061C86"/>
    <w:rsid w:val="00061E7B"/>
    <w:rsid w:val="0006205E"/>
    <w:rsid w:val="000622ED"/>
    <w:rsid w:val="000628A1"/>
    <w:rsid w:val="00062AF4"/>
    <w:rsid w:val="00062F9E"/>
    <w:rsid w:val="00063A92"/>
    <w:rsid w:val="0006428E"/>
    <w:rsid w:val="00065357"/>
    <w:rsid w:val="00066D8B"/>
    <w:rsid w:val="0006735E"/>
    <w:rsid w:val="00067C08"/>
    <w:rsid w:val="00072148"/>
    <w:rsid w:val="00072320"/>
    <w:rsid w:val="00072EAD"/>
    <w:rsid w:val="000730A2"/>
    <w:rsid w:val="0007400A"/>
    <w:rsid w:val="00074DFF"/>
    <w:rsid w:val="000757ED"/>
    <w:rsid w:val="000760F2"/>
    <w:rsid w:val="00076583"/>
    <w:rsid w:val="000778C3"/>
    <w:rsid w:val="00077C1D"/>
    <w:rsid w:val="00080295"/>
    <w:rsid w:val="00081E97"/>
    <w:rsid w:val="0008275D"/>
    <w:rsid w:val="00083874"/>
    <w:rsid w:val="000843CF"/>
    <w:rsid w:val="000903FF"/>
    <w:rsid w:val="00091170"/>
    <w:rsid w:val="00091831"/>
    <w:rsid w:val="00091DB4"/>
    <w:rsid w:val="00091F44"/>
    <w:rsid w:val="00092217"/>
    <w:rsid w:val="00092572"/>
    <w:rsid w:val="00093D22"/>
    <w:rsid w:val="00095B1D"/>
    <w:rsid w:val="0009610B"/>
    <w:rsid w:val="000974C8"/>
    <w:rsid w:val="00097993"/>
    <w:rsid w:val="00097CF3"/>
    <w:rsid w:val="000A070D"/>
    <w:rsid w:val="000A0871"/>
    <w:rsid w:val="000A0910"/>
    <w:rsid w:val="000A09E4"/>
    <w:rsid w:val="000A0B95"/>
    <w:rsid w:val="000A12E4"/>
    <w:rsid w:val="000A1D88"/>
    <w:rsid w:val="000A2ED6"/>
    <w:rsid w:val="000A4972"/>
    <w:rsid w:val="000A56D6"/>
    <w:rsid w:val="000A5E44"/>
    <w:rsid w:val="000A63D5"/>
    <w:rsid w:val="000A67DC"/>
    <w:rsid w:val="000A700B"/>
    <w:rsid w:val="000A728F"/>
    <w:rsid w:val="000A7A5B"/>
    <w:rsid w:val="000A7A8B"/>
    <w:rsid w:val="000B0E3E"/>
    <w:rsid w:val="000B0E4C"/>
    <w:rsid w:val="000B0EC9"/>
    <w:rsid w:val="000B1CF3"/>
    <w:rsid w:val="000B1E0C"/>
    <w:rsid w:val="000B1E9F"/>
    <w:rsid w:val="000B24EB"/>
    <w:rsid w:val="000B2C2E"/>
    <w:rsid w:val="000B3A54"/>
    <w:rsid w:val="000B40EB"/>
    <w:rsid w:val="000B4D27"/>
    <w:rsid w:val="000B50C3"/>
    <w:rsid w:val="000B5E9E"/>
    <w:rsid w:val="000B77E0"/>
    <w:rsid w:val="000B7A71"/>
    <w:rsid w:val="000B7BBB"/>
    <w:rsid w:val="000C03CC"/>
    <w:rsid w:val="000C0C32"/>
    <w:rsid w:val="000C1DB8"/>
    <w:rsid w:val="000C23C8"/>
    <w:rsid w:val="000C2820"/>
    <w:rsid w:val="000C342F"/>
    <w:rsid w:val="000C39E5"/>
    <w:rsid w:val="000C4173"/>
    <w:rsid w:val="000C503F"/>
    <w:rsid w:val="000D0988"/>
    <w:rsid w:val="000D1086"/>
    <w:rsid w:val="000D15D5"/>
    <w:rsid w:val="000D200F"/>
    <w:rsid w:val="000D2174"/>
    <w:rsid w:val="000D2EE0"/>
    <w:rsid w:val="000D3B3A"/>
    <w:rsid w:val="000D401B"/>
    <w:rsid w:val="000D4223"/>
    <w:rsid w:val="000D46B9"/>
    <w:rsid w:val="000D4A5F"/>
    <w:rsid w:val="000D4DC9"/>
    <w:rsid w:val="000D5566"/>
    <w:rsid w:val="000D575E"/>
    <w:rsid w:val="000D6F60"/>
    <w:rsid w:val="000D730F"/>
    <w:rsid w:val="000E0004"/>
    <w:rsid w:val="000E2A39"/>
    <w:rsid w:val="000E35FC"/>
    <w:rsid w:val="000E382C"/>
    <w:rsid w:val="000E3A77"/>
    <w:rsid w:val="000E4479"/>
    <w:rsid w:val="000E4746"/>
    <w:rsid w:val="000E497A"/>
    <w:rsid w:val="000E5BCA"/>
    <w:rsid w:val="000E6141"/>
    <w:rsid w:val="000E688A"/>
    <w:rsid w:val="000E68EC"/>
    <w:rsid w:val="000E6BC5"/>
    <w:rsid w:val="000E7818"/>
    <w:rsid w:val="000E782C"/>
    <w:rsid w:val="000E7D1D"/>
    <w:rsid w:val="000F0E49"/>
    <w:rsid w:val="000F0FBD"/>
    <w:rsid w:val="000F2580"/>
    <w:rsid w:val="000F2B2A"/>
    <w:rsid w:val="000F32F8"/>
    <w:rsid w:val="000F3FEB"/>
    <w:rsid w:val="000F4135"/>
    <w:rsid w:val="000F453C"/>
    <w:rsid w:val="000F4ED5"/>
    <w:rsid w:val="000F5446"/>
    <w:rsid w:val="000F59D7"/>
    <w:rsid w:val="000F6779"/>
    <w:rsid w:val="000F6877"/>
    <w:rsid w:val="000F6A81"/>
    <w:rsid w:val="000F6CA8"/>
    <w:rsid w:val="000F7C2C"/>
    <w:rsid w:val="00100EA9"/>
    <w:rsid w:val="00100EE6"/>
    <w:rsid w:val="00101DD7"/>
    <w:rsid w:val="00102F15"/>
    <w:rsid w:val="00103D95"/>
    <w:rsid w:val="00104AD3"/>
    <w:rsid w:val="00105A26"/>
    <w:rsid w:val="00107C47"/>
    <w:rsid w:val="00107CC7"/>
    <w:rsid w:val="0011081F"/>
    <w:rsid w:val="00110BE4"/>
    <w:rsid w:val="00111185"/>
    <w:rsid w:val="00111D83"/>
    <w:rsid w:val="001126F1"/>
    <w:rsid w:val="0011316E"/>
    <w:rsid w:val="001141FA"/>
    <w:rsid w:val="00114AA3"/>
    <w:rsid w:val="0011579C"/>
    <w:rsid w:val="00115C72"/>
    <w:rsid w:val="001164D7"/>
    <w:rsid w:val="0011700B"/>
    <w:rsid w:val="0011771F"/>
    <w:rsid w:val="00117F29"/>
    <w:rsid w:val="001200C2"/>
    <w:rsid w:val="00120974"/>
    <w:rsid w:val="00120AB7"/>
    <w:rsid w:val="001225F2"/>
    <w:rsid w:val="00124DD3"/>
    <w:rsid w:val="001252B5"/>
    <w:rsid w:val="00125305"/>
    <w:rsid w:val="00125EB7"/>
    <w:rsid w:val="00126E04"/>
    <w:rsid w:val="001277BC"/>
    <w:rsid w:val="00130343"/>
    <w:rsid w:val="00130BE6"/>
    <w:rsid w:val="00130D43"/>
    <w:rsid w:val="001320AF"/>
    <w:rsid w:val="001323AA"/>
    <w:rsid w:val="00132533"/>
    <w:rsid w:val="00134CC1"/>
    <w:rsid w:val="00134D95"/>
    <w:rsid w:val="00137142"/>
    <w:rsid w:val="00137762"/>
    <w:rsid w:val="001377F3"/>
    <w:rsid w:val="00140F1C"/>
    <w:rsid w:val="00141678"/>
    <w:rsid w:val="001418F9"/>
    <w:rsid w:val="00142B06"/>
    <w:rsid w:val="00143483"/>
    <w:rsid w:val="00143805"/>
    <w:rsid w:val="0014400F"/>
    <w:rsid w:val="00144B2C"/>
    <w:rsid w:val="00144F77"/>
    <w:rsid w:val="00146B2A"/>
    <w:rsid w:val="00146BC1"/>
    <w:rsid w:val="00150326"/>
    <w:rsid w:val="00153C28"/>
    <w:rsid w:val="001546DD"/>
    <w:rsid w:val="00154F91"/>
    <w:rsid w:val="001556B0"/>
    <w:rsid w:val="00155A0D"/>
    <w:rsid w:val="00157E76"/>
    <w:rsid w:val="00160968"/>
    <w:rsid w:val="00160A28"/>
    <w:rsid w:val="00160D32"/>
    <w:rsid w:val="00161642"/>
    <w:rsid w:val="00161820"/>
    <w:rsid w:val="001623D6"/>
    <w:rsid w:val="001623D7"/>
    <w:rsid w:val="00162F20"/>
    <w:rsid w:val="00163832"/>
    <w:rsid w:val="001638DF"/>
    <w:rsid w:val="00163A5D"/>
    <w:rsid w:val="00163D10"/>
    <w:rsid w:val="0016425D"/>
    <w:rsid w:val="0016429F"/>
    <w:rsid w:val="0016663E"/>
    <w:rsid w:val="00167252"/>
    <w:rsid w:val="00170466"/>
    <w:rsid w:val="00170E1E"/>
    <w:rsid w:val="00171446"/>
    <w:rsid w:val="0017183E"/>
    <w:rsid w:val="00172BBD"/>
    <w:rsid w:val="00172E78"/>
    <w:rsid w:val="001731EC"/>
    <w:rsid w:val="001733BC"/>
    <w:rsid w:val="00173526"/>
    <w:rsid w:val="00174CB8"/>
    <w:rsid w:val="001754F0"/>
    <w:rsid w:val="00175BF6"/>
    <w:rsid w:val="001760F6"/>
    <w:rsid w:val="00176C1A"/>
    <w:rsid w:val="00177268"/>
    <w:rsid w:val="00180C25"/>
    <w:rsid w:val="00180D96"/>
    <w:rsid w:val="00181A54"/>
    <w:rsid w:val="00181D5D"/>
    <w:rsid w:val="001820CF"/>
    <w:rsid w:val="00182105"/>
    <w:rsid w:val="0018262F"/>
    <w:rsid w:val="0018282A"/>
    <w:rsid w:val="0018357E"/>
    <w:rsid w:val="0018382A"/>
    <w:rsid w:val="00184D9C"/>
    <w:rsid w:val="00184DF2"/>
    <w:rsid w:val="001863D1"/>
    <w:rsid w:val="001868C8"/>
    <w:rsid w:val="00186916"/>
    <w:rsid w:val="00186A86"/>
    <w:rsid w:val="00186C36"/>
    <w:rsid w:val="001871E3"/>
    <w:rsid w:val="0018794D"/>
    <w:rsid w:val="00190513"/>
    <w:rsid w:val="00190F89"/>
    <w:rsid w:val="0019139C"/>
    <w:rsid w:val="00191782"/>
    <w:rsid w:val="00191977"/>
    <w:rsid w:val="001927B7"/>
    <w:rsid w:val="00193586"/>
    <w:rsid w:val="001936D1"/>
    <w:rsid w:val="00194531"/>
    <w:rsid w:val="0019477B"/>
    <w:rsid w:val="00194A42"/>
    <w:rsid w:val="001953C1"/>
    <w:rsid w:val="00195D2B"/>
    <w:rsid w:val="00196044"/>
    <w:rsid w:val="00196ACC"/>
    <w:rsid w:val="00197838"/>
    <w:rsid w:val="00197C28"/>
    <w:rsid w:val="001A038A"/>
    <w:rsid w:val="001A047E"/>
    <w:rsid w:val="001A0505"/>
    <w:rsid w:val="001A0857"/>
    <w:rsid w:val="001A1CC4"/>
    <w:rsid w:val="001A28F4"/>
    <w:rsid w:val="001A2F05"/>
    <w:rsid w:val="001A36BA"/>
    <w:rsid w:val="001A3AA2"/>
    <w:rsid w:val="001A3B49"/>
    <w:rsid w:val="001A4EAC"/>
    <w:rsid w:val="001A4EF2"/>
    <w:rsid w:val="001A546C"/>
    <w:rsid w:val="001A559C"/>
    <w:rsid w:val="001A6495"/>
    <w:rsid w:val="001A7470"/>
    <w:rsid w:val="001A791C"/>
    <w:rsid w:val="001A7F18"/>
    <w:rsid w:val="001B0BC9"/>
    <w:rsid w:val="001B1393"/>
    <w:rsid w:val="001B210B"/>
    <w:rsid w:val="001B2409"/>
    <w:rsid w:val="001B29DE"/>
    <w:rsid w:val="001B2C66"/>
    <w:rsid w:val="001B2F67"/>
    <w:rsid w:val="001B44D3"/>
    <w:rsid w:val="001B4B3D"/>
    <w:rsid w:val="001B4C08"/>
    <w:rsid w:val="001B5290"/>
    <w:rsid w:val="001B5919"/>
    <w:rsid w:val="001B7101"/>
    <w:rsid w:val="001B7EE8"/>
    <w:rsid w:val="001C003A"/>
    <w:rsid w:val="001C01ED"/>
    <w:rsid w:val="001C1169"/>
    <w:rsid w:val="001C177E"/>
    <w:rsid w:val="001C1E02"/>
    <w:rsid w:val="001C24B8"/>
    <w:rsid w:val="001C2B50"/>
    <w:rsid w:val="001C2F02"/>
    <w:rsid w:val="001C3E6A"/>
    <w:rsid w:val="001C48AA"/>
    <w:rsid w:val="001C5C7D"/>
    <w:rsid w:val="001C6A02"/>
    <w:rsid w:val="001C7AAB"/>
    <w:rsid w:val="001C7FC3"/>
    <w:rsid w:val="001D0956"/>
    <w:rsid w:val="001D0C08"/>
    <w:rsid w:val="001D2561"/>
    <w:rsid w:val="001D2DD8"/>
    <w:rsid w:val="001D4065"/>
    <w:rsid w:val="001D519D"/>
    <w:rsid w:val="001D54BB"/>
    <w:rsid w:val="001D59ED"/>
    <w:rsid w:val="001D650E"/>
    <w:rsid w:val="001D7C5B"/>
    <w:rsid w:val="001E0583"/>
    <w:rsid w:val="001E1ABF"/>
    <w:rsid w:val="001E27CF"/>
    <w:rsid w:val="001E32D6"/>
    <w:rsid w:val="001E3814"/>
    <w:rsid w:val="001E3C0B"/>
    <w:rsid w:val="001E4149"/>
    <w:rsid w:val="001E6B58"/>
    <w:rsid w:val="001E7514"/>
    <w:rsid w:val="001E77E9"/>
    <w:rsid w:val="001E7E4E"/>
    <w:rsid w:val="001F04A4"/>
    <w:rsid w:val="001F04C9"/>
    <w:rsid w:val="001F0FEF"/>
    <w:rsid w:val="001F11E2"/>
    <w:rsid w:val="001F18E0"/>
    <w:rsid w:val="001F1FF9"/>
    <w:rsid w:val="001F236D"/>
    <w:rsid w:val="001F3CDF"/>
    <w:rsid w:val="001F4159"/>
    <w:rsid w:val="001F44BB"/>
    <w:rsid w:val="001F45A6"/>
    <w:rsid w:val="001F4CC4"/>
    <w:rsid w:val="001F5918"/>
    <w:rsid w:val="001F672F"/>
    <w:rsid w:val="001F77FC"/>
    <w:rsid w:val="002000C7"/>
    <w:rsid w:val="002000CC"/>
    <w:rsid w:val="002004E3"/>
    <w:rsid w:val="0020120E"/>
    <w:rsid w:val="00201D60"/>
    <w:rsid w:val="00201F5D"/>
    <w:rsid w:val="00203638"/>
    <w:rsid w:val="002038E5"/>
    <w:rsid w:val="00203CB7"/>
    <w:rsid w:val="002044A1"/>
    <w:rsid w:val="00204715"/>
    <w:rsid w:val="002060E1"/>
    <w:rsid w:val="00207A3F"/>
    <w:rsid w:val="00207C25"/>
    <w:rsid w:val="00207C26"/>
    <w:rsid w:val="0021058D"/>
    <w:rsid w:val="00210F5A"/>
    <w:rsid w:val="0021245B"/>
    <w:rsid w:val="00212D74"/>
    <w:rsid w:val="00213A4C"/>
    <w:rsid w:val="00214283"/>
    <w:rsid w:val="00214878"/>
    <w:rsid w:val="00216EEB"/>
    <w:rsid w:val="00217900"/>
    <w:rsid w:val="00217E64"/>
    <w:rsid w:val="00217E94"/>
    <w:rsid w:val="002209AB"/>
    <w:rsid w:val="002216FF"/>
    <w:rsid w:val="00221985"/>
    <w:rsid w:val="00221B46"/>
    <w:rsid w:val="00222138"/>
    <w:rsid w:val="002226C1"/>
    <w:rsid w:val="002245CF"/>
    <w:rsid w:val="00224FFE"/>
    <w:rsid w:val="00225850"/>
    <w:rsid w:val="002270EA"/>
    <w:rsid w:val="00227178"/>
    <w:rsid w:val="00227607"/>
    <w:rsid w:val="00227A00"/>
    <w:rsid w:val="00227C68"/>
    <w:rsid w:val="002305DB"/>
    <w:rsid w:val="00230BE2"/>
    <w:rsid w:val="00231880"/>
    <w:rsid w:val="00231C3D"/>
    <w:rsid w:val="002320EB"/>
    <w:rsid w:val="0023216B"/>
    <w:rsid w:val="0023261A"/>
    <w:rsid w:val="0023285E"/>
    <w:rsid w:val="0023297A"/>
    <w:rsid w:val="00233CB9"/>
    <w:rsid w:val="00233D2A"/>
    <w:rsid w:val="00234840"/>
    <w:rsid w:val="00234EC9"/>
    <w:rsid w:val="00235C0C"/>
    <w:rsid w:val="002371E3"/>
    <w:rsid w:val="00237AAC"/>
    <w:rsid w:val="0024061A"/>
    <w:rsid w:val="0024099A"/>
    <w:rsid w:val="00240CBA"/>
    <w:rsid w:val="002428A7"/>
    <w:rsid w:val="00243629"/>
    <w:rsid w:val="002436DC"/>
    <w:rsid w:val="002445C7"/>
    <w:rsid w:val="002458EB"/>
    <w:rsid w:val="00245913"/>
    <w:rsid w:val="002467B6"/>
    <w:rsid w:val="00246C9A"/>
    <w:rsid w:val="00246F2C"/>
    <w:rsid w:val="00247030"/>
    <w:rsid w:val="00247035"/>
    <w:rsid w:val="002473E8"/>
    <w:rsid w:val="002477FC"/>
    <w:rsid w:val="00247C8D"/>
    <w:rsid w:val="00250A6A"/>
    <w:rsid w:val="00250B9E"/>
    <w:rsid w:val="00250D37"/>
    <w:rsid w:val="00250E5E"/>
    <w:rsid w:val="002519A8"/>
    <w:rsid w:val="00251D5D"/>
    <w:rsid w:val="00252568"/>
    <w:rsid w:val="00254096"/>
    <w:rsid w:val="0025425D"/>
    <w:rsid w:val="00254D41"/>
    <w:rsid w:val="00255F49"/>
    <w:rsid w:val="00256F69"/>
    <w:rsid w:val="00257546"/>
    <w:rsid w:val="00257C69"/>
    <w:rsid w:val="00257D06"/>
    <w:rsid w:val="002600FA"/>
    <w:rsid w:val="00260335"/>
    <w:rsid w:val="00261A4E"/>
    <w:rsid w:val="00265F1C"/>
    <w:rsid w:val="0026602B"/>
    <w:rsid w:val="0026729B"/>
    <w:rsid w:val="00267C3C"/>
    <w:rsid w:val="00267D75"/>
    <w:rsid w:val="00267F78"/>
    <w:rsid w:val="00271256"/>
    <w:rsid w:val="00272133"/>
    <w:rsid w:val="002724B6"/>
    <w:rsid w:val="00273827"/>
    <w:rsid w:val="00273D78"/>
    <w:rsid w:val="002750EB"/>
    <w:rsid w:val="00276119"/>
    <w:rsid w:val="0027642C"/>
    <w:rsid w:val="002775F0"/>
    <w:rsid w:val="00280D47"/>
    <w:rsid w:val="0028125A"/>
    <w:rsid w:val="002820FF"/>
    <w:rsid w:val="002824DC"/>
    <w:rsid w:val="002825DD"/>
    <w:rsid w:val="00282BD9"/>
    <w:rsid w:val="00282D2C"/>
    <w:rsid w:val="0028389A"/>
    <w:rsid w:val="00283D62"/>
    <w:rsid w:val="00283EC4"/>
    <w:rsid w:val="00286C5A"/>
    <w:rsid w:val="00286E0D"/>
    <w:rsid w:val="00287542"/>
    <w:rsid w:val="00287DF3"/>
    <w:rsid w:val="0029034D"/>
    <w:rsid w:val="00290C5F"/>
    <w:rsid w:val="002913D3"/>
    <w:rsid w:val="0029143C"/>
    <w:rsid w:val="00291562"/>
    <w:rsid w:val="00291865"/>
    <w:rsid w:val="00291C80"/>
    <w:rsid w:val="00291DEF"/>
    <w:rsid w:val="00292904"/>
    <w:rsid w:val="002930F7"/>
    <w:rsid w:val="0029409C"/>
    <w:rsid w:val="002945E1"/>
    <w:rsid w:val="002950C6"/>
    <w:rsid w:val="0029591E"/>
    <w:rsid w:val="00295C04"/>
    <w:rsid w:val="0029785E"/>
    <w:rsid w:val="002A0BCA"/>
    <w:rsid w:val="002A1784"/>
    <w:rsid w:val="002A1EB7"/>
    <w:rsid w:val="002A2617"/>
    <w:rsid w:val="002A2A2C"/>
    <w:rsid w:val="002A42DA"/>
    <w:rsid w:val="002A5950"/>
    <w:rsid w:val="002A5C06"/>
    <w:rsid w:val="002A67A0"/>
    <w:rsid w:val="002A6CB2"/>
    <w:rsid w:val="002A7DA7"/>
    <w:rsid w:val="002B02BD"/>
    <w:rsid w:val="002B04F3"/>
    <w:rsid w:val="002B0C34"/>
    <w:rsid w:val="002B0E8B"/>
    <w:rsid w:val="002B11F9"/>
    <w:rsid w:val="002B1BB8"/>
    <w:rsid w:val="002B2DA2"/>
    <w:rsid w:val="002B3611"/>
    <w:rsid w:val="002B504E"/>
    <w:rsid w:val="002B52DC"/>
    <w:rsid w:val="002B572B"/>
    <w:rsid w:val="002B5AF7"/>
    <w:rsid w:val="002B5BD9"/>
    <w:rsid w:val="002B6623"/>
    <w:rsid w:val="002B6862"/>
    <w:rsid w:val="002B6AC1"/>
    <w:rsid w:val="002B71EE"/>
    <w:rsid w:val="002B72CF"/>
    <w:rsid w:val="002B76C2"/>
    <w:rsid w:val="002B7DEF"/>
    <w:rsid w:val="002C007D"/>
    <w:rsid w:val="002C0976"/>
    <w:rsid w:val="002C1312"/>
    <w:rsid w:val="002C1862"/>
    <w:rsid w:val="002C1C63"/>
    <w:rsid w:val="002C1F65"/>
    <w:rsid w:val="002C33A0"/>
    <w:rsid w:val="002C3D24"/>
    <w:rsid w:val="002C4E6C"/>
    <w:rsid w:val="002C5647"/>
    <w:rsid w:val="002C607C"/>
    <w:rsid w:val="002C6523"/>
    <w:rsid w:val="002C6F74"/>
    <w:rsid w:val="002C7094"/>
    <w:rsid w:val="002C77C0"/>
    <w:rsid w:val="002D2058"/>
    <w:rsid w:val="002D2953"/>
    <w:rsid w:val="002D4509"/>
    <w:rsid w:val="002D5D84"/>
    <w:rsid w:val="002D67F1"/>
    <w:rsid w:val="002D6FA9"/>
    <w:rsid w:val="002D7EB2"/>
    <w:rsid w:val="002D7F1A"/>
    <w:rsid w:val="002E308D"/>
    <w:rsid w:val="002E3A66"/>
    <w:rsid w:val="002E5064"/>
    <w:rsid w:val="002E5121"/>
    <w:rsid w:val="002E646A"/>
    <w:rsid w:val="002E64E1"/>
    <w:rsid w:val="002E6BAD"/>
    <w:rsid w:val="002E771D"/>
    <w:rsid w:val="002E7A15"/>
    <w:rsid w:val="002E7D32"/>
    <w:rsid w:val="002F06EA"/>
    <w:rsid w:val="002F206F"/>
    <w:rsid w:val="002F269E"/>
    <w:rsid w:val="002F2C08"/>
    <w:rsid w:val="002F2C7B"/>
    <w:rsid w:val="002F2FB2"/>
    <w:rsid w:val="002F313A"/>
    <w:rsid w:val="002F31FB"/>
    <w:rsid w:val="002F365B"/>
    <w:rsid w:val="002F3DFC"/>
    <w:rsid w:val="002F3F15"/>
    <w:rsid w:val="002F3F28"/>
    <w:rsid w:val="002F4C16"/>
    <w:rsid w:val="002F550B"/>
    <w:rsid w:val="002F5C17"/>
    <w:rsid w:val="002F5D45"/>
    <w:rsid w:val="002F5F2D"/>
    <w:rsid w:val="002F6F13"/>
    <w:rsid w:val="002F7010"/>
    <w:rsid w:val="003012C6"/>
    <w:rsid w:val="003013C9"/>
    <w:rsid w:val="0030280F"/>
    <w:rsid w:val="003029C9"/>
    <w:rsid w:val="00302FBB"/>
    <w:rsid w:val="00302FE5"/>
    <w:rsid w:val="00303441"/>
    <w:rsid w:val="003036E9"/>
    <w:rsid w:val="00304616"/>
    <w:rsid w:val="00304E70"/>
    <w:rsid w:val="0030502C"/>
    <w:rsid w:val="003056B1"/>
    <w:rsid w:val="00306047"/>
    <w:rsid w:val="00307765"/>
    <w:rsid w:val="003079F9"/>
    <w:rsid w:val="0031004D"/>
    <w:rsid w:val="003101DB"/>
    <w:rsid w:val="00310384"/>
    <w:rsid w:val="00310490"/>
    <w:rsid w:val="00311B84"/>
    <w:rsid w:val="003124FD"/>
    <w:rsid w:val="00312595"/>
    <w:rsid w:val="00312647"/>
    <w:rsid w:val="0031376E"/>
    <w:rsid w:val="00313CA3"/>
    <w:rsid w:val="00314EAB"/>
    <w:rsid w:val="00315112"/>
    <w:rsid w:val="0031519A"/>
    <w:rsid w:val="00315243"/>
    <w:rsid w:val="0031669B"/>
    <w:rsid w:val="003171A1"/>
    <w:rsid w:val="00317731"/>
    <w:rsid w:val="00320106"/>
    <w:rsid w:val="003201D5"/>
    <w:rsid w:val="00320CA0"/>
    <w:rsid w:val="00320FED"/>
    <w:rsid w:val="00321388"/>
    <w:rsid w:val="00321898"/>
    <w:rsid w:val="00321B8C"/>
    <w:rsid w:val="00321D01"/>
    <w:rsid w:val="00322E4F"/>
    <w:rsid w:val="003231A7"/>
    <w:rsid w:val="00323E77"/>
    <w:rsid w:val="003249B8"/>
    <w:rsid w:val="00325D20"/>
    <w:rsid w:val="0032623B"/>
    <w:rsid w:val="003267F5"/>
    <w:rsid w:val="00326DD8"/>
    <w:rsid w:val="00327ADE"/>
    <w:rsid w:val="00327BA9"/>
    <w:rsid w:val="0033064C"/>
    <w:rsid w:val="00331557"/>
    <w:rsid w:val="003315AB"/>
    <w:rsid w:val="003316C6"/>
    <w:rsid w:val="00331E66"/>
    <w:rsid w:val="00332075"/>
    <w:rsid w:val="0033290A"/>
    <w:rsid w:val="00332F5F"/>
    <w:rsid w:val="0033373D"/>
    <w:rsid w:val="003337FF"/>
    <w:rsid w:val="00333FE7"/>
    <w:rsid w:val="00334302"/>
    <w:rsid w:val="00334850"/>
    <w:rsid w:val="003348F7"/>
    <w:rsid w:val="00334D36"/>
    <w:rsid w:val="003371B0"/>
    <w:rsid w:val="003412D0"/>
    <w:rsid w:val="00342162"/>
    <w:rsid w:val="00342BB4"/>
    <w:rsid w:val="00342EE8"/>
    <w:rsid w:val="00343D5B"/>
    <w:rsid w:val="00344587"/>
    <w:rsid w:val="00344EE6"/>
    <w:rsid w:val="0034520E"/>
    <w:rsid w:val="00345217"/>
    <w:rsid w:val="003461C5"/>
    <w:rsid w:val="0034676E"/>
    <w:rsid w:val="003469AA"/>
    <w:rsid w:val="00346CE8"/>
    <w:rsid w:val="00347C21"/>
    <w:rsid w:val="003504E4"/>
    <w:rsid w:val="00350B63"/>
    <w:rsid w:val="0035107A"/>
    <w:rsid w:val="003522B1"/>
    <w:rsid w:val="00352AD6"/>
    <w:rsid w:val="003543E4"/>
    <w:rsid w:val="00354A86"/>
    <w:rsid w:val="003556A8"/>
    <w:rsid w:val="0035575E"/>
    <w:rsid w:val="0035582A"/>
    <w:rsid w:val="00355D57"/>
    <w:rsid w:val="0035676D"/>
    <w:rsid w:val="003567BF"/>
    <w:rsid w:val="00356ACA"/>
    <w:rsid w:val="0035718F"/>
    <w:rsid w:val="00357F00"/>
    <w:rsid w:val="0036327F"/>
    <w:rsid w:val="003638FF"/>
    <w:rsid w:val="00364808"/>
    <w:rsid w:val="00364F2C"/>
    <w:rsid w:val="003652F5"/>
    <w:rsid w:val="00365F03"/>
    <w:rsid w:val="00366120"/>
    <w:rsid w:val="00366277"/>
    <w:rsid w:val="003664C4"/>
    <w:rsid w:val="00366DA8"/>
    <w:rsid w:val="00370B85"/>
    <w:rsid w:val="00371A53"/>
    <w:rsid w:val="0037249F"/>
    <w:rsid w:val="00373107"/>
    <w:rsid w:val="00373360"/>
    <w:rsid w:val="003738A4"/>
    <w:rsid w:val="00374493"/>
    <w:rsid w:val="003751CA"/>
    <w:rsid w:val="00375792"/>
    <w:rsid w:val="00376357"/>
    <w:rsid w:val="0037735E"/>
    <w:rsid w:val="00380092"/>
    <w:rsid w:val="003803B7"/>
    <w:rsid w:val="00380A40"/>
    <w:rsid w:val="00380B6B"/>
    <w:rsid w:val="00381D06"/>
    <w:rsid w:val="00383474"/>
    <w:rsid w:val="00383B4E"/>
    <w:rsid w:val="00384108"/>
    <w:rsid w:val="00384DA4"/>
    <w:rsid w:val="0038589B"/>
    <w:rsid w:val="0038651B"/>
    <w:rsid w:val="00386555"/>
    <w:rsid w:val="0038790B"/>
    <w:rsid w:val="00387922"/>
    <w:rsid w:val="00390453"/>
    <w:rsid w:val="003917FD"/>
    <w:rsid w:val="003919D9"/>
    <w:rsid w:val="00391E08"/>
    <w:rsid w:val="00393014"/>
    <w:rsid w:val="00393771"/>
    <w:rsid w:val="00393C7F"/>
    <w:rsid w:val="00395DCF"/>
    <w:rsid w:val="003968E3"/>
    <w:rsid w:val="003972F9"/>
    <w:rsid w:val="00397555"/>
    <w:rsid w:val="00397D37"/>
    <w:rsid w:val="00397F47"/>
    <w:rsid w:val="003A168C"/>
    <w:rsid w:val="003A1A5F"/>
    <w:rsid w:val="003A1C44"/>
    <w:rsid w:val="003A1E53"/>
    <w:rsid w:val="003A1EA4"/>
    <w:rsid w:val="003A2BC0"/>
    <w:rsid w:val="003A30B2"/>
    <w:rsid w:val="003A4908"/>
    <w:rsid w:val="003A50F4"/>
    <w:rsid w:val="003A59A1"/>
    <w:rsid w:val="003A5F8D"/>
    <w:rsid w:val="003A7330"/>
    <w:rsid w:val="003B116E"/>
    <w:rsid w:val="003B17AC"/>
    <w:rsid w:val="003B304D"/>
    <w:rsid w:val="003B31B1"/>
    <w:rsid w:val="003B3427"/>
    <w:rsid w:val="003B3523"/>
    <w:rsid w:val="003B575B"/>
    <w:rsid w:val="003B77E2"/>
    <w:rsid w:val="003C00CA"/>
    <w:rsid w:val="003C0845"/>
    <w:rsid w:val="003C0A2C"/>
    <w:rsid w:val="003C135E"/>
    <w:rsid w:val="003C2396"/>
    <w:rsid w:val="003C23F1"/>
    <w:rsid w:val="003C28E4"/>
    <w:rsid w:val="003C2C21"/>
    <w:rsid w:val="003C3201"/>
    <w:rsid w:val="003C3AAD"/>
    <w:rsid w:val="003C4D42"/>
    <w:rsid w:val="003C59F7"/>
    <w:rsid w:val="003C6F68"/>
    <w:rsid w:val="003C704C"/>
    <w:rsid w:val="003C725D"/>
    <w:rsid w:val="003C7BD7"/>
    <w:rsid w:val="003C7C34"/>
    <w:rsid w:val="003D0622"/>
    <w:rsid w:val="003D089D"/>
    <w:rsid w:val="003D099A"/>
    <w:rsid w:val="003D111C"/>
    <w:rsid w:val="003D1604"/>
    <w:rsid w:val="003D1862"/>
    <w:rsid w:val="003D2205"/>
    <w:rsid w:val="003D286A"/>
    <w:rsid w:val="003D2FEA"/>
    <w:rsid w:val="003D35CF"/>
    <w:rsid w:val="003D4EE6"/>
    <w:rsid w:val="003D5049"/>
    <w:rsid w:val="003D56A6"/>
    <w:rsid w:val="003D76F7"/>
    <w:rsid w:val="003D780E"/>
    <w:rsid w:val="003D7D82"/>
    <w:rsid w:val="003E01B7"/>
    <w:rsid w:val="003E0A0A"/>
    <w:rsid w:val="003E0A93"/>
    <w:rsid w:val="003E14BA"/>
    <w:rsid w:val="003E1F3D"/>
    <w:rsid w:val="003E1FD4"/>
    <w:rsid w:val="003E237F"/>
    <w:rsid w:val="003E3383"/>
    <w:rsid w:val="003E3EA5"/>
    <w:rsid w:val="003E4A73"/>
    <w:rsid w:val="003E5147"/>
    <w:rsid w:val="003E5373"/>
    <w:rsid w:val="003E546F"/>
    <w:rsid w:val="003E5920"/>
    <w:rsid w:val="003E6121"/>
    <w:rsid w:val="003E6691"/>
    <w:rsid w:val="003E6A4B"/>
    <w:rsid w:val="003E7993"/>
    <w:rsid w:val="003E7C21"/>
    <w:rsid w:val="003F02B9"/>
    <w:rsid w:val="003F0341"/>
    <w:rsid w:val="003F0A14"/>
    <w:rsid w:val="003F2E73"/>
    <w:rsid w:val="003F2F9D"/>
    <w:rsid w:val="003F549E"/>
    <w:rsid w:val="003F5A17"/>
    <w:rsid w:val="003F65EC"/>
    <w:rsid w:val="003F6C87"/>
    <w:rsid w:val="0040063C"/>
    <w:rsid w:val="00400A13"/>
    <w:rsid w:val="00400C01"/>
    <w:rsid w:val="0040243D"/>
    <w:rsid w:val="004032CF"/>
    <w:rsid w:val="00403396"/>
    <w:rsid w:val="00403910"/>
    <w:rsid w:val="00404056"/>
    <w:rsid w:val="00404085"/>
    <w:rsid w:val="00404604"/>
    <w:rsid w:val="00405446"/>
    <w:rsid w:val="0040668E"/>
    <w:rsid w:val="004078CC"/>
    <w:rsid w:val="00411986"/>
    <w:rsid w:val="00411B4E"/>
    <w:rsid w:val="00411BAB"/>
    <w:rsid w:val="00412A5D"/>
    <w:rsid w:val="0041311E"/>
    <w:rsid w:val="004133F2"/>
    <w:rsid w:val="004134C4"/>
    <w:rsid w:val="00416D1D"/>
    <w:rsid w:val="00416FCF"/>
    <w:rsid w:val="004179CD"/>
    <w:rsid w:val="00420E3A"/>
    <w:rsid w:val="004212DD"/>
    <w:rsid w:val="00421E95"/>
    <w:rsid w:val="00421F24"/>
    <w:rsid w:val="00422224"/>
    <w:rsid w:val="00426A41"/>
    <w:rsid w:val="004276B8"/>
    <w:rsid w:val="00427A0F"/>
    <w:rsid w:val="0043052C"/>
    <w:rsid w:val="004309DC"/>
    <w:rsid w:val="004317B5"/>
    <w:rsid w:val="00432D9E"/>
    <w:rsid w:val="0043322C"/>
    <w:rsid w:val="004353CA"/>
    <w:rsid w:val="0043604B"/>
    <w:rsid w:val="0043672C"/>
    <w:rsid w:val="004374C1"/>
    <w:rsid w:val="004375B7"/>
    <w:rsid w:val="00437892"/>
    <w:rsid w:val="004409EB"/>
    <w:rsid w:val="00442891"/>
    <w:rsid w:val="0044338C"/>
    <w:rsid w:val="00445185"/>
    <w:rsid w:val="00445763"/>
    <w:rsid w:val="004467C1"/>
    <w:rsid w:val="00446FC8"/>
    <w:rsid w:val="00447DC8"/>
    <w:rsid w:val="00450D1A"/>
    <w:rsid w:val="00450FD5"/>
    <w:rsid w:val="00451293"/>
    <w:rsid w:val="00451A69"/>
    <w:rsid w:val="00451ED9"/>
    <w:rsid w:val="0045228F"/>
    <w:rsid w:val="004523D3"/>
    <w:rsid w:val="0045269E"/>
    <w:rsid w:val="00452DA2"/>
    <w:rsid w:val="00454F0D"/>
    <w:rsid w:val="00455B78"/>
    <w:rsid w:val="00455D6A"/>
    <w:rsid w:val="00455FE0"/>
    <w:rsid w:val="00456878"/>
    <w:rsid w:val="0045706E"/>
    <w:rsid w:val="004573EA"/>
    <w:rsid w:val="00457432"/>
    <w:rsid w:val="004611A2"/>
    <w:rsid w:val="00461D5F"/>
    <w:rsid w:val="004634DB"/>
    <w:rsid w:val="0046361A"/>
    <w:rsid w:val="004639E4"/>
    <w:rsid w:val="00463A97"/>
    <w:rsid w:val="00465B69"/>
    <w:rsid w:val="00465EC8"/>
    <w:rsid w:val="00467B7B"/>
    <w:rsid w:val="004723CF"/>
    <w:rsid w:val="00472910"/>
    <w:rsid w:val="00472C7C"/>
    <w:rsid w:val="00472EFB"/>
    <w:rsid w:val="004741F5"/>
    <w:rsid w:val="004744DE"/>
    <w:rsid w:val="0047588F"/>
    <w:rsid w:val="00475CD9"/>
    <w:rsid w:val="00476025"/>
    <w:rsid w:val="00476C05"/>
    <w:rsid w:val="00476C3C"/>
    <w:rsid w:val="00477A3E"/>
    <w:rsid w:val="00481594"/>
    <w:rsid w:val="0048178F"/>
    <w:rsid w:val="00481B17"/>
    <w:rsid w:val="00481D7F"/>
    <w:rsid w:val="00481F87"/>
    <w:rsid w:val="00482C91"/>
    <w:rsid w:val="004843ED"/>
    <w:rsid w:val="00484BBF"/>
    <w:rsid w:val="0048586C"/>
    <w:rsid w:val="00485BE1"/>
    <w:rsid w:val="00485BF4"/>
    <w:rsid w:val="00486D06"/>
    <w:rsid w:val="00487A8A"/>
    <w:rsid w:val="00487F58"/>
    <w:rsid w:val="004903BE"/>
    <w:rsid w:val="00490C29"/>
    <w:rsid w:val="0049205F"/>
    <w:rsid w:val="00492D0B"/>
    <w:rsid w:val="00493059"/>
    <w:rsid w:val="0049333A"/>
    <w:rsid w:val="00493960"/>
    <w:rsid w:val="00493A8B"/>
    <w:rsid w:val="00493BA8"/>
    <w:rsid w:val="00494460"/>
    <w:rsid w:val="004952B1"/>
    <w:rsid w:val="0049768C"/>
    <w:rsid w:val="00497CB7"/>
    <w:rsid w:val="00497E89"/>
    <w:rsid w:val="004A1ED1"/>
    <w:rsid w:val="004A2A4B"/>
    <w:rsid w:val="004A2EBA"/>
    <w:rsid w:val="004A320B"/>
    <w:rsid w:val="004A377E"/>
    <w:rsid w:val="004A37D6"/>
    <w:rsid w:val="004A4329"/>
    <w:rsid w:val="004A48B5"/>
    <w:rsid w:val="004A4AE5"/>
    <w:rsid w:val="004A60EC"/>
    <w:rsid w:val="004A6E22"/>
    <w:rsid w:val="004B0405"/>
    <w:rsid w:val="004B0A41"/>
    <w:rsid w:val="004B1353"/>
    <w:rsid w:val="004B162F"/>
    <w:rsid w:val="004B1878"/>
    <w:rsid w:val="004B2058"/>
    <w:rsid w:val="004B22CA"/>
    <w:rsid w:val="004B28D4"/>
    <w:rsid w:val="004B2B2E"/>
    <w:rsid w:val="004B2BFE"/>
    <w:rsid w:val="004B31BC"/>
    <w:rsid w:val="004B36E2"/>
    <w:rsid w:val="004B4843"/>
    <w:rsid w:val="004B4940"/>
    <w:rsid w:val="004B4BFA"/>
    <w:rsid w:val="004B59AC"/>
    <w:rsid w:val="004B635E"/>
    <w:rsid w:val="004B6C36"/>
    <w:rsid w:val="004B771C"/>
    <w:rsid w:val="004B7772"/>
    <w:rsid w:val="004B7C18"/>
    <w:rsid w:val="004C07C8"/>
    <w:rsid w:val="004C0CCD"/>
    <w:rsid w:val="004C0D40"/>
    <w:rsid w:val="004C1108"/>
    <w:rsid w:val="004C41F5"/>
    <w:rsid w:val="004C5002"/>
    <w:rsid w:val="004C517A"/>
    <w:rsid w:val="004C5434"/>
    <w:rsid w:val="004C68D3"/>
    <w:rsid w:val="004C6FF2"/>
    <w:rsid w:val="004C72A3"/>
    <w:rsid w:val="004C7B8E"/>
    <w:rsid w:val="004C7E9E"/>
    <w:rsid w:val="004C7FD0"/>
    <w:rsid w:val="004D077E"/>
    <w:rsid w:val="004D138F"/>
    <w:rsid w:val="004D18AC"/>
    <w:rsid w:val="004D2535"/>
    <w:rsid w:val="004D30F1"/>
    <w:rsid w:val="004D3B06"/>
    <w:rsid w:val="004D3C56"/>
    <w:rsid w:val="004D42F1"/>
    <w:rsid w:val="004D4A60"/>
    <w:rsid w:val="004D5F1A"/>
    <w:rsid w:val="004D621D"/>
    <w:rsid w:val="004D689A"/>
    <w:rsid w:val="004D6C00"/>
    <w:rsid w:val="004D6E0D"/>
    <w:rsid w:val="004D7685"/>
    <w:rsid w:val="004E135A"/>
    <w:rsid w:val="004E139F"/>
    <w:rsid w:val="004E1558"/>
    <w:rsid w:val="004E18A6"/>
    <w:rsid w:val="004E2CB1"/>
    <w:rsid w:val="004E3817"/>
    <w:rsid w:val="004E4487"/>
    <w:rsid w:val="004E45A7"/>
    <w:rsid w:val="004E48E8"/>
    <w:rsid w:val="004E69AF"/>
    <w:rsid w:val="004E710A"/>
    <w:rsid w:val="004E76B9"/>
    <w:rsid w:val="004E77A2"/>
    <w:rsid w:val="004E7AFA"/>
    <w:rsid w:val="004F046C"/>
    <w:rsid w:val="004F0602"/>
    <w:rsid w:val="004F06BE"/>
    <w:rsid w:val="004F0735"/>
    <w:rsid w:val="004F1245"/>
    <w:rsid w:val="004F2037"/>
    <w:rsid w:val="004F23A7"/>
    <w:rsid w:val="004F4067"/>
    <w:rsid w:val="004F4AE2"/>
    <w:rsid w:val="004F5786"/>
    <w:rsid w:val="004F57AD"/>
    <w:rsid w:val="004F5B6B"/>
    <w:rsid w:val="004F6E9F"/>
    <w:rsid w:val="004F73DA"/>
    <w:rsid w:val="004F76B1"/>
    <w:rsid w:val="00500D92"/>
    <w:rsid w:val="00501482"/>
    <w:rsid w:val="00501AFE"/>
    <w:rsid w:val="00501B29"/>
    <w:rsid w:val="0050265B"/>
    <w:rsid w:val="00503265"/>
    <w:rsid w:val="00504278"/>
    <w:rsid w:val="00504967"/>
    <w:rsid w:val="00504BB2"/>
    <w:rsid w:val="00504D8D"/>
    <w:rsid w:val="005054DA"/>
    <w:rsid w:val="00505A3D"/>
    <w:rsid w:val="00506B64"/>
    <w:rsid w:val="0050783D"/>
    <w:rsid w:val="005109F1"/>
    <w:rsid w:val="005114C3"/>
    <w:rsid w:val="00511E02"/>
    <w:rsid w:val="00512C19"/>
    <w:rsid w:val="00513369"/>
    <w:rsid w:val="00513863"/>
    <w:rsid w:val="005166BA"/>
    <w:rsid w:val="00516EC8"/>
    <w:rsid w:val="0051707C"/>
    <w:rsid w:val="00517217"/>
    <w:rsid w:val="00517924"/>
    <w:rsid w:val="00517ABF"/>
    <w:rsid w:val="00517BA5"/>
    <w:rsid w:val="0052005B"/>
    <w:rsid w:val="0052052A"/>
    <w:rsid w:val="00520A28"/>
    <w:rsid w:val="00521739"/>
    <w:rsid w:val="00521EF2"/>
    <w:rsid w:val="00522040"/>
    <w:rsid w:val="005236AA"/>
    <w:rsid w:val="00523EB0"/>
    <w:rsid w:val="005270C2"/>
    <w:rsid w:val="0052757B"/>
    <w:rsid w:val="00527916"/>
    <w:rsid w:val="00530634"/>
    <w:rsid w:val="005318F4"/>
    <w:rsid w:val="00531CEA"/>
    <w:rsid w:val="0053228A"/>
    <w:rsid w:val="005341FC"/>
    <w:rsid w:val="00535398"/>
    <w:rsid w:val="005354A7"/>
    <w:rsid w:val="00536227"/>
    <w:rsid w:val="005378C5"/>
    <w:rsid w:val="0054213E"/>
    <w:rsid w:val="005427E0"/>
    <w:rsid w:val="0054437D"/>
    <w:rsid w:val="00545268"/>
    <w:rsid w:val="0054558E"/>
    <w:rsid w:val="00546A1B"/>
    <w:rsid w:val="00546E14"/>
    <w:rsid w:val="00546FCB"/>
    <w:rsid w:val="0054702B"/>
    <w:rsid w:val="0055021F"/>
    <w:rsid w:val="00551095"/>
    <w:rsid w:val="005510B4"/>
    <w:rsid w:val="00552957"/>
    <w:rsid w:val="00552ECE"/>
    <w:rsid w:val="00553652"/>
    <w:rsid w:val="00554BB7"/>
    <w:rsid w:val="005551BE"/>
    <w:rsid w:val="0055586A"/>
    <w:rsid w:val="005571EB"/>
    <w:rsid w:val="005571F2"/>
    <w:rsid w:val="005573DC"/>
    <w:rsid w:val="00557BEF"/>
    <w:rsid w:val="005601EC"/>
    <w:rsid w:val="005619FE"/>
    <w:rsid w:val="00561F19"/>
    <w:rsid w:val="00562551"/>
    <w:rsid w:val="00562E35"/>
    <w:rsid w:val="005631DA"/>
    <w:rsid w:val="005633ED"/>
    <w:rsid w:val="005634D5"/>
    <w:rsid w:val="0056395C"/>
    <w:rsid w:val="00566A5B"/>
    <w:rsid w:val="00566C16"/>
    <w:rsid w:val="00566EBB"/>
    <w:rsid w:val="005679B7"/>
    <w:rsid w:val="00567E2D"/>
    <w:rsid w:val="005708F1"/>
    <w:rsid w:val="0057181D"/>
    <w:rsid w:val="00571A77"/>
    <w:rsid w:val="0057237D"/>
    <w:rsid w:val="005723BA"/>
    <w:rsid w:val="0057269F"/>
    <w:rsid w:val="0057282C"/>
    <w:rsid w:val="00572CCF"/>
    <w:rsid w:val="00573998"/>
    <w:rsid w:val="005739B1"/>
    <w:rsid w:val="005744D8"/>
    <w:rsid w:val="00574753"/>
    <w:rsid w:val="00574AE8"/>
    <w:rsid w:val="00574F10"/>
    <w:rsid w:val="00575267"/>
    <w:rsid w:val="00575B73"/>
    <w:rsid w:val="00576886"/>
    <w:rsid w:val="005768C6"/>
    <w:rsid w:val="00576F29"/>
    <w:rsid w:val="0057754F"/>
    <w:rsid w:val="00581410"/>
    <w:rsid w:val="00581709"/>
    <w:rsid w:val="00582BB4"/>
    <w:rsid w:val="00583A49"/>
    <w:rsid w:val="0058404B"/>
    <w:rsid w:val="00585DB5"/>
    <w:rsid w:val="00585F79"/>
    <w:rsid w:val="00586001"/>
    <w:rsid w:val="00586F4F"/>
    <w:rsid w:val="00587853"/>
    <w:rsid w:val="00587B4C"/>
    <w:rsid w:val="00587BFD"/>
    <w:rsid w:val="0059040B"/>
    <w:rsid w:val="00590E99"/>
    <w:rsid w:val="00591801"/>
    <w:rsid w:val="00591981"/>
    <w:rsid w:val="005919A5"/>
    <w:rsid w:val="0059276C"/>
    <w:rsid w:val="0059277C"/>
    <w:rsid w:val="00593B5A"/>
    <w:rsid w:val="005945F1"/>
    <w:rsid w:val="00594AF6"/>
    <w:rsid w:val="00595B3A"/>
    <w:rsid w:val="005A1FC8"/>
    <w:rsid w:val="005A2098"/>
    <w:rsid w:val="005A35A6"/>
    <w:rsid w:val="005A42EB"/>
    <w:rsid w:val="005A4F03"/>
    <w:rsid w:val="005A52B7"/>
    <w:rsid w:val="005A5D7A"/>
    <w:rsid w:val="005A6459"/>
    <w:rsid w:val="005A7265"/>
    <w:rsid w:val="005A748E"/>
    <w:rsid w:val="005A7885"/>
    <w:rsid w:val="005A7A59"/>
    <w:rsid w:val="005A7F4B"/>
    <w:rsid w:val="005B0776"/>
    <w:rsid w:val="005B155A"/>
    <w:rsid w:val="005B1FD7"/>
    <w:rsid w:val="005B3D1C"/>
    <w:rsid w:val="005B4920"/>
    <w:rsid w:val="005B5587"/>
    <w:rsid w:val="005B5733"/>
    <w:rsid w:val="005B6523"/>
    <w:rsid w:val="005B76F1"/>
    <w:rsid w:val="005C0C40"/>
    <w:rsid w:val="005C0D37"/>
    <w:rsid w:val="005C12B9"/>
    <w:rsid w:val="005C151B"/>
    <w:rsid w:val="005C21FD"/>
    <w:rsid w:val="005C2CC4"/>
    <w:rsid w:val="005C43B7"/>
    <w:rsid w:val="005C4684"/>
    <w:rsid w:val="005C486C"/>
    <w:rsid w:val="005C4879"/>
    <w:rsid w:val="005C4A77"/>
    <w:rsid w:val="005C4BEB"/>
    <w:rsid w:val="005C5F86"/>
    <w:rsid w:val="005C6006"/>
    <w:rsid w:val="005C699C"/>
    <w:rsid w:val="005C700C"/>
    <w:rsid w:val="005C7989"/>
    <w:rsid w:val="005D02E1"/>
    <w:rsid w:val="005D03F5"/>
    <w:rsid w:val="005D0AA0"/>
    <w:rsid w:val="005D1621"/>
    <w:rsid w:val="005D1D03"/>
    <w:rsid w:val="005D4F7D"/>
    <w:rsid w:val="005D55AA"/>
    <w:rsid w:val="005D59A0"/>
    <w:rsid w:val="005D6594"/>
    <w:rsid w:val="005D6A92"/>
    <w:rsid w:val="005D6C01"/>
    <w:rsid w:val="005D6DEE"/>
    <w:rsid w:val="005D7182"/>
    <w:rsid w:val="005D76CD"/>
    <w:rsid w:val="005D7748"/>
    <w:rsid w:val="005E1389"/>
    <w:rsid w:val="005E1438"/>
    <w:rsid w:val="005E159C"/>
    <w:rsid w:val="005E2A39"/>
    <w:rsid w:val="005E34AF"/>
    <w:rsid w:val="005E36A1"/>
    <w:rsid w:val="005E3F05"/>
    <w:rsid w:val="005E7766"/>
    <w:rsid w:val="005E7828"/>
    <w:rsid w:val="005E7B1C"/>
    <w:rsid w:val="005F00AF"/>
    <w:rsid w:val="005F0B8C"/>
    <w:rsid w:val="005F1349"/>
    <w:rsid w:val="005F27A0"/>
    <w:rsid w:val="005F4B4D"/>
    <w:rsid w:val="005F4F75"/>
    <w:rsid w:val="005F6563"/>
    <w:rsid w:val="005F7617"/>
    <w:rsid w:val="005F7C3D"/>
    <w:rsid w:val="005F7CAF"/>
    <w:rsid w:val="0060026B"/>
    <w:rsid w:val="006010EC"/>
    <w:rsid w:val="006020AA"/>
    <w:rsid w:val="00602836"/>
    <w:rsid w:val="00604691"/>
    <w:rsid w:val="006046CF"/>
    <w:rsid w:val="00605914"/>
    <w:rsid w:val="00605CB1"/>
    <w:rsid w:val="006068E6"/>
    <w:rsid w:val="00607040"/>
    <w:rsid w:val="006074E9"/>
    <w:rsid w:val="00607749"/>
    <w:rsid w:val="00607EE7"/>
    <w:rsid w:val="00607FA5"/>
    <w:rsid w:val="00607FED"/>
    <w:rsid w:val="006108E4"/>
    <w:rsid w:val="00610C91"/>
    <w:rsid w:val="00610FB5"/>
    <w:rsid w:val="00611111"/>
    <w:rsid w:val="0061226F"/>
    <w:rsid w:val="0061261A"/>
    <w:rsid w:val="00614B19"/>
    <w:rsid w:val="00614F7C"/>
    <w:rsid w:val="00615381"/>
    <w:rsid w:val="00615A47"/>
    <w:rsid w:val="00617740"/>
    <w:rsid w:val="00617B2B"/>
    <w:rsid w:val="00617EE0"/>
    <w:rsid w:val="006201E8"/>
    <w:rsid w:val="0062032B"/>
    <w:rsid w:val="00621088"/>
    <w:rsid w:val="00622CE3"/>
    <w:rsid w:val="00623B3E"/>
    <w:rsid w:val="00623D15"/>
    <w:rsid w:val="00623D27"/>
    <w:rsid w:val="00623D32"/>
    <w:rsid w:val="00624035"/>
    <w:rsid w:val="006243E3"/>
    <w:rsid w:val="00624A76"/>
    <w:rsid w:val="00625401"/>
    <w:rsid w:val="006263D8"/>
    <w:rsid w:val="00626C1B"/>
    <w:rsid w:val="00627313"/>
    <w:rsid w:val="00627577"/>
    <w:rsid w:val="0063130D"/>
    <w:rsid w:val="00631E35"/>
    <w:rsid w:val="006323C0"/>
    <w:rsid w:val="00633978"/>
    <w:rsid w:val="00633A59"/>
    <w:rsid w:val="00633F40"/>
    <w:rsid w:val="00634686"/>
    <w:rsid w:val="006349B2"/>
    <w:rsid w:val="006352B2"/>
    <w:rsid w:val="00635342"/>
    <w:rsid w:val="00636299"/>
    <w:rsid w:val="00636750"/>
    <w:rsid w:val="00636986"/>
    <w:rsid w:val="00637BAE"/>
    <w:rsid w:val="0064014D"/>
    <w:rsid w:val="00641174"/>
    <w:rsid w:val="00641205"/>
    <w:rsid w:val="00641625"/>
    <w:rsid w:val="0064169A"/>
    <w:rsid w:val="00641EB8"/>
    <w:rsid w:val="00641ED3"/>
    <w:rsid w:val="00642F67"/>
    <w:rsid w:val="0064376E"/>
    <w:rsid w:val="00645B0F"/>
    <w:rsid w:val="00646952"/>
    <w:rsid w:val="00646A2E"/>
    <w:rsid w:val="00646DEA"/>
    <w:rsid w:val="0064705F"/>
    <w:rsid w:val="00647C39"/>
    <w:rsid w:val="00647D8D"/>
    <w:rsid w:val="00650278"/>
    <w:rsid w:val="00650C7E"/>
    <w:rsid w:val="00652789"/>
    <w:rsid w:val="00653D63"/>
    <w:rsid w:val="0065467B"/>
    <w:rsid w:val="00654817"/>
    <w:rsid w:val="00654D48"/>
    <w:rsid w:val="00655A77"/>
    <w:rsid w:val="0065623E"/>
    <w:rsid w:val="0065660B"/>
    <w:rsid w:val="00656907"/>
    <w:rsid w:val="00656B13"/>
    <w:rsid w:val="00660C99"/>
    <w:rsid w:val="00661EA1"/>
    <w:rsid w:val="00662AF4"/>
    <w:rsid w:val="00663186"/>
    <w:rsid w:val="006635EF"/>
    <w:rsid w:val="00663E5F"/>
    <w:rsid w:val="00664132"/>
    <w:rsid w:val="00664135"/>
    <w:rsid w:val="006646E3"/>
    <w:rsid w:val="0066479F"/>
    <w:rsid w:val="00664C03"/>
    <w:rsid w:val="00664C14"/>
    <w:rsid w:val="006658E1"/>
    <w:rsid w:val="00665DBD"/>
    <w:rsid w:val="00666D16"/>
    <w:rsid w:val="00667C9B"/>
    <w:rsid w:val="0067034B"/>
    <w:rsid w:val="00670AC8"/>
    <w:rsid w:val="00671D0C"/>
    <w:rsid w:val="00671ECC"/>
    <w:rsid w:val="00672230"/>
    <w:rsid w:val="00673169"/>
    <w:rsid w:val="00674502"/>
    <w:rsid w:val="006746BB"/>
    <w:rsid w:val="00674F31"/>
    <w:rsid w:val="006769E3"/>
    <w:rsid w:val="00676C40"/>
    <w:rsid w:val="00676E9D"/>
    <w:rsid w:val="006770C5"/>
    <w:rsid w:val="00677169"/>
    <w:rsid w:val="00677AB4"/>
    <w:rsid w:val="00677D9A"/>
    <w:rsid w:val="00677EBE"/>
    <w:rsid w:val="00680377"/>
    <w:rsid w:val="006814ED"/>
    <w:rsid w:val="00681615"/>
    <w:rsid w:val="00681DFB"/>
    <w:rsid w:val="00682B07"/>
    <w:rsid w:val="00683684"/>
    <w:rsid w:val="0068427F"/>
    <w:rsid w:val="006849A2"/>
    <w:rsid w:val="006850EF"/>
    <w:rsid w:val="00685ECD"/>
    <w:rsid w:val="0068609A"/>
    <w:rsid w:val="0068735B"/>
    <w:rsid w:val="00690032"/>
    <w:rsid w:val="006903C6"/>
    <w:rsid w:val="006905D1"/>
    <w:rsid w:val="006908DD"/>
    <w:rsid w:val="006910F4"/>
    <w:rsid w:val="00691331"/>
    <w:rsid w:val="00691B5C"/>
    <w:rsid w:val="0069219B"/>
    <w:rsid w:val="006927A9"/>
    <w:rsid w:val="00692A4D"/>
    <w:rsid w:val="00693798"/>
    <w:rsid w:val="00694683"/>
    <w:rsid w:val="006946C8"/>
    <w:rsid w:val="00696FB7"/>
    <w:rsid w:val="006A0C0D"/>
    <w:rsid w:val="006A0D10"/>
    <w:rsid w:val="006A1229"/>
    <w:rsid w:val="006A1412"/>
    <w:rsid w:val="006A190A"/>
    <w:rsid w:val="006A2E7A"/>
    <w:rsid w:val="006A4ECA"/>
    <w:rsid w:val="006A5733"/>
    <w:rsid w:val="006A594E"/>
    <w:rsid w:val="006A5AB8"/>
    <w:rsid w:val="006A68D0"/>
    <w:rsid w:val="006A6A7C"/>
    <w:rsid w:val="006A6E0F"/>
    <w:rsid w:val="006A6E44"/>
    <w:rsid w:val="006A7287"/>
    <w:rsid w:val="006B1B75"/>
    <w:rsid w:val="006B1C6A"/>
    <w:rsid w:val="006B2DD0"/>
    <w:rsid w:val="006B3DCD"/>
    <w:rsid w:val="006B7840"/>
    <w:rsid w:val="006B7EBA"/>
    <w:rsid w:val="006C034B"/>
    <w:rsid w:val="006C0F5F"/>
    <w:rsid w:val="006C1D34"/>
    <w:rsid w:val="006C2049"/>
    <w:rsid w:val="006C2827"/>
    <w:rsid w:val="006C3364"/>
    <w:rsid w:val="006C3A6E"/>
    <w:rsid w:val="006C3BF4"/>
    <w:rsid w:val="006C4667"/>
    <w:rsid w:val="006C49D0"/>
    <w:rsid w:val="006C51F2"/>
    <w:rsid w:val="006C5C62"/>
    <w:rsid w:val="006C6EAF"/>
    <w:rsid w:val="006C6ED7"/>
    <w:rsid w:val="006C74AF"/>
    <w:rsid w:val="006C7794"/>
    <w:rsid w:val="006C7F6F"/>
    <w:rsid w:val="006D0393"/>
    <w:rsid w:val="006D0FBC"/>
    <w:rsid w:val="006D23D0"/>
    <w:rsid w:val="006D2A24"/>
    <w:rsid w:val="006D33C9"/>
    <w:rsid w:val="006D33D4"/>
    <w:rsid w:val="006D415A"/>
    <w:rsid w:val="006D43AE"/>
    <w:rsid w:val="006D4518"/>
    <w:rsid w:val="006D4566"/>
    <w:rsid w:val="006D4C0E"/>
    <w:rsid w:val="006D57C5"/>
    <w:rsid w:val="006D5E70"/>
    <w:rsid w:val="006D601E"/>
    <w:rsid w:val="006D6DBC"/>
    <w:rsid w:val="006D73B0"/>
    <w:rsid w:val="006E0569"/>
    <w:rsid w:val="006E2BA5"/>
    <w:rsid w:val="006E475F"/>
    <w:rsid w:val="006E5724"/>
    <w:rsid w:val="006E6078"/>
    <w:rsid w:val="006E68E4"/>
    <w:rsid w:val="006E6C7E"/>
    <w:rsid w:val="006E7DCA"/>
    <w:rsid w:val="006E7F72"/>
    <w:rsid w:val="006F0A74"/>
    <w:rsid w:val="006F1BBA"/>
    <w:rsid w:val="006F34A8"/>
    <w:rsid w:val="006F4BE9"/>
    <w:rsid w:val="006F539A"/>
    <w:rsid w:val="006F560D"/>
    <w:rsid w:val="006F5857"/>
    <w:rsid w:val="006F5A6D"/>
    <w:rsid w:val="006F6A7F"/>
    <w:rsid w:val="006F749A"/>
    <w:rsid w:val="00701266"/>
    <w:rsid w:val="00703A77"/>
    <w:rsid w:val="00705F6A"/>
    <w:rsid w:val="007064F0"/>
    <w:rsid w:val="00706B97"/>
    <w:rsid w:val="00707123"/>
    <w:rsid w:val="007071B5"/>
    <w:rsid w:val="007071B7"/>
    <w:rsid w:val="007076C4"/>
    <w:rsid w:val="00710AE0"/>
    <w:rsid w:val="0071196E"/>
    <w:rsid w:val="00711BA2"/>
    <w:rsid w:val="00711BAF"/>
    <w:rsid w:val="007120FE"/>
    <w:rsid w:val="00712900"/>
    <w:rsid w:val="00712D52"/>
    <w:rsid w:val="00713161"/>
    <w:rsid w:val="007137B0"/>
    <w:rsid w:val="00713F28"/>
    <w:rsid w:val="00714021"/>
    <w:rsid w:val="00715235"/>
    <w:rsid w:val="007152FB"/>
    <w:rsid w:val="007159F2"/>
    <w:rsid w:val="00715BFC"/>
    <w:rsid w:val="00716EB3"/>
    <w:rsid w:val="00717B55"/>
    <w:rsid w:val="007205F6"/>
    <w:rsid w:val="0072103F"/>
    <w:rsid w:val="00721490"/>
    <w:rsid w:val="007223C9"/>
    <w:rsid w:val="00723029"/>
    <w:rsid w:val="00726510"/>
    <w:rsid w:val="007309A1"/>
    <w:rsid w:val="00731938"/>
    <w:rsid w:val="00731A2C"/>
    <w:rsid w:val="00733E91"/>
    <w:rsid w:val="00734837"/>
    <w:rsid w:val="00734945"/>
    <w:rsid w:val="00734AA3"/>
    <w:rsid w:val="007355B0"/>
    <w:rsid w:val="00737335"/>
    <w:rsid w:val="007375A7"/>
    <w:rsid w:val="0074029E"/>
    <w:rsid w:val="007402E1"/>
    <w:rsid w:val="00741506"/>
    <w:rsid w:val="007427FB"/>
    <w:rsid w:val="0074281D"/>
    <w:rsid w:val="00742859"/>
    <w:rsid w:val="00742AD3"/>
    <w:rsid w:val="00742B72"/>
    <w:rsid w:val="00743DC0"/>
    <w:rsid w:val="0074541B"/>
    <w:rsid w:val="00750371"/>
    <w:rsid w:val="00751074"/>
    <w:rsid w:val="007514A4"/>
    <w:rsid w:val="00751CB3"/>
    <w:rsid w:val="00752310"/>
    <w:rsid w:val="00752A32"/>
    <w:rsid w:val="00752EDC"/>
    <w:rsid w:val="00753934"/>
    <w:rsid w:val="007544D2"/>
    <w:rsid w:val="00754A21"/>
    <w:rsid w:val="00755F12"/>
    <w:rsid w:val="00756470"/>
    <w:rsid w:val="007567EE"/>
    <w:rsid w:val="00756C85"/>
    <w:rsid w:val="00756EC6"/>
    <w:rsid w:val="00757280"/>
    <w:rsid w:val="0075796F"/>
    <w:rsid w:val="0076011C"/>
    <w:rsid w:val="00760594"/>
    <w:rsid w:val="00760F3C"/>
    <w:rsid w:val="00763368"/>
    <w:rsid w:val="007637A2"/>
    <w:rsid w:val="0076439F"/>
    <w:rsid w:val="007652D4"/>
    <w:rsid w:val="007657FE"/>
    <w:rsid w:val="00766061"/>
    <w:rsid w:val="0076665B"/>
    <w:rsid w:val="00766C81"/>
    <w:rsid w:val="0076700A"/>
    <w:rsid w:val="007671FE"/>
    <w:rsid w:val="00767A54"/>
    <w:rsid w:val="00767D79"/>
    <w:rsid w:val="00770AF3"/>
    <w:rsid w:val="0077151C"/>
    <w:rsid w:val="00771900"/>
    <w:rsid w:val="00771C8D"/>
    <w:rsid w:val="00771E39"/>
    <w:rsid w:val="00772545"/>
    <w:rsid w:val="00772AF8"/>
    <w:rsid w:val="007736FA"/>
    <w:rsid w:val="007747DF"/>
    <w:rsid w:val="007752F1"/>
    <w:rsid w:val="00776714"/>
    <w:rsid w:val="00776B0A"/>
    <w:rsid w:val="007771BD"/>
    <w:rsid w:val="00777C74"/>
    <w:rsid w:val="0078071C"/>
    <w:rsid w:val="0078086F"/>
    <w:rsid w:val="00780C5C"/>
    <w:rsid w:val="00780FC9"/>
    <w:rsid w:val="007817AF"/>
    <w:rsid w:val="007828B3"/>
    <w:rsid w:val="00782C1B"/>
    <w:rsid w:val="007830A5"/>
    <w:rsid w:val="00783ACF"/>
    <w:rsid w:val="00784798"/>
    <w:rsid w:val="007850F5"/>
    <w:rsid w:val="00785D0D"/>
    <w:rsid w:val="00786186"/>
    <w:rsid w:val="00787E79"/>
    <w:rsid w:val="00790F44"/>
    <w:rsid w:val="00791681"/>
    <w:rsid w:val="0079184B"/>
    <w:rsid w:val="00791AB0"/>
    <w:rsid w:val="00791B75"/>
    <w:rsid w:val="00792544"/>
    <w:rsid w:val="00792D9E"/>
    <w:rsid w:val="007935E4"/>
    <w:rsid w:val="00793D92"/>
    <w:rsid w:val="0079525C"/>
    <w:rsid w:val="00796872"/>
    <w:rsid w:val="007979AF"/>
    <w:rsid w:val="00797C8D"/>
    <w:rsid w:val="007A1A03"/>
    <w:rsid w:val="007A2105"/>
    <w:rsid w:val="007A28F7"/>
    <w:rsid w:val="007A3501"/>
    <w:rsid w:val="007A3D95"/>
    <w:rsid w:val="007A4456"/>
    <w:rsid w:val="007A4BC2"/>
    <w:rsid w:val="007A5375"/>
    <w:rsid w:val="007A576D"/>
    <w:rsid w:val="007A75EA"/>
    <w:rsid w:val="007A7F0E"/>
    <w:rsid w:val="007B0AF6"/>
    <w:rsid w:val="007B1894"/>
    <w:rsid w:val="007B19DE"/>
    <w:rsid w:val="007B27B4"/>
    <w:rsid w:val="007B2C9D"/>
    <w:rsid w:val="007B5221"/>
    <w:rsid w:val="007B59F3"/>
    <w:rsid w:val="007B5A03"/>
    <w:rsid w:val="007B66D2"/>
    <w:rsid w:val="007B678E"/>
    <w:rsid w:val="007B6A4C"/>
    <w:rsid w:val="007B6DDC"/>
    <w:rsid w:val="007B7513"/>
    <w:rsid w:val="007C08AD"/>
    <w:rsid w:val="007C0B0C"/>
    <w:rsid w:val="007C0B2D"/>
    <w:rsid w:val="007C1027"/>
    <w:rsid w:val="007C17E4"/>
    <w:rsid w:val="007C4306"/>
    <w:rsid w:val="007C4CFE"/>
    <w:rsid w:val="007C4E8E"/>
    <w:rsid w:val="007C5367"/>
    <w:rsid w:val="007C5696"/>
    <w:rsid w:val="007C58D9"/>
    <w:rsid w:val="007D04AB"/>
    <w:rsid w:val="007D20E7"/>
    <w:rsid w:val="007D2366"/>
    <w:rsid w:val="007D2568"/>
    <w:rsid w:val="007D2CF0"/>
    <w:rsid w:val="007D31E3"/>
    <w:rsid w:val="007D3473"/>
    <w:rsid w:val="007D3945"/>
    <w:rsid w:val="007D3D68"/>
    <w:rsid w:val="007D3DA2"/>
    <w:rsid w:val="007D42A4"/>
    <w:rsid w:val="007D567A"/>
    <w:rsid w:val="007D6260"/>
    <w:rsid w:val="007D7690"/>
    <w:rsid w:val="007D7AF9"/>
    <w:rsid w:val="007E03F7"/>
    <w:rsid w:val="007E14B2"/>
    <w:rsid w:val="007E1B07"/>
    <w:rsid w:val="007E1DEF"/>
    <w:rsid w:val="007E2365"/>
    <w:rsid w:val="007E3162"/>
    <w:rsid w:val="007E4FEA"/>
    <w:rsid w:val="007E61E2"/>
    <w:rsid w:val="007E6EAA"/>
    <w:rsid w:val="007F0AAA"/>
    <w:rsid w:val="007F1C94"/>
    <w:rsid w:val="007F368C"/>
    <w:rsid w:val="007F39C0"/>
    <w:rsid w:val="007F3B6D"/>
    <w:rsid w:val="007F3D6A"/>
    <w:rsid w:val="007F444A"/>
    <w:rsid w:val="007F4F00"/>
    <w:rsid w:val="007F6C63"/>
    <w:rsid w:val="00800E5B"/>
    <w:rsid w:val="00801A58"/>
    <w:rsid w:val="008024DC"/>
    <w:rsid w:val="00802892"/>
    <w:rsid w:val="0080319F"/>
    <w:rsid w:val="008033D8"/>
    <w:rsid w:val="00804C48"/>
    <w:rsid w:val="008060E1"/>
    <w:rsid w:val="00806185"/>
    <w:rsid w:val="00807658"/>
    <w:rsid w:val="0080783E"/>
    <w:rsid w:val="00807A04"/>
    <w:rsid w:val="00810314"/>
    <w:rsid w:val="00810433"/>
    <w:rsid w:val="008117C1"/>
    <w:rsid w:val="0081256A"/>
    <w:rsid w:val="00814CF5"/>
    <w:rsid w:val="00816BF2"/>
    <w:rsid w:val="00816C9C"/>
    <w:rsid w:val="0081717A"/>
    <w:rsid w:val="00820ADB"/>
    <w:rsid w:val="008227C2"/>
    <w:rsid w:val="00822B93"/>
    <w:rsid w:val="00822D83"/>
    <w:rsid w:val="00823508"/>
    <w:rsid w:val="00823737"/>
    <w:rsid w:val="008243B1"/>
    <w:rsid w:val="008263AE"/>
    <w:rsid w:val="00826638"/>
    <w:rsid w:val="00827DB8"/>
    <w:rsid w:val="00827DFD"/>
    <w:rsid w:val="008305A2"/>
    <w:rsid w:val="00830814"/>
    <w:rsid w:val="00830A81"/>
    <w:rsid w:val="008317E0"/>
    <w:rsid w:val="00832289"/>
    <w:rsid w:val="00832AD6"/>
    <w:rsid w:val="00832DA9"/>
    <w:rsid w:val="00832EA7"/>
    <w:rsid w:val="00833DF8"/>
    <w:rsid w:val="00833E56"/>
    <w:rsid w:val="008344CC"/>
    <w:rsid w:val="008349ED"/>
    <w:rsid w:val="00834E0D"/>
    <w:rsid w:val="00834EE8"/>
    <w:rsid w:val="00835F56"/>
    <w:rsid w:val="0083610E"/>
    <w:rsid w:val="00836808"/>
    <w:rsid w:val="00837400"/>
    <w:rsid w:val="00837FB7"/>
    <w:rsid w:val="0084083B"/>
    <w:rsid w:val="008417B1"/>
    <w:rsid w:val="008427BE"/>
    <w:rsid w:val="00845585"/>
    <w:rsid w:val="008455BF"/>
    <w:rsid w:val="00845D31"/>
    <w:rsid w:val="008468B4"/>
    <w:rsid w:val="00846934"/>
    <w:rsid w:val="00846CBE"/>
    <w:rsid w:val="00847166"/>
    <w:rsid w:val="00847AE4"/>
    <w:rsid w:val="00847D50"/>
    <w:rsid w:val="00847E32"/>
    <w:rsid w:val="00850008"/>
    <w:rsid w:val="008503CF"/>
    <w:rsid w:val="0085108B"/>
    <w:rsid w:val="00851B39"/>
    <w:rsid w:val="00852D13"/>
    <w:rsid w:val="008536EC"/>
    <w:rsid w:val="00853B78"/>
    <w:rsid w:val="00854E84"/>
    <w:rsid w:val="008557E8"/>
    <w:rsid w:val="00855FD1"/>
    <w:rsid w:val="00856176"/>
    <w:rsid w:val="008564A2"/>
    <w:rsid w:val="00856F87"/>
    <w:rsid w:val="008571ED"/>
    <w:rsid w:val="0085735A"/>
    <w:rsid w:val="00860489"/>
    <w:rsid w:val="00861765"/>
    <w:rsid w:val="00861F5C"/>
    <w:rsid w:val="0086285A"/>
    <w:rsid w:val="0086302C"/>
    <w:rsid w:val="008633B2"/>
    <w:rsid w:val="0086431A"/>
    <w:rsid w:val="00864532"/>
    <w:rsid w:val="00864ADF"/>
    <w:rsid w:val="00865886"/>
    <w:rsid w:val="00866761"/>
    <w:rsid w:val="0086746D"/>
    <w:rsid w:val="0087040C"/>
    <w:rsid w:val="00870D71"/>
    <w:rsid w:val="00871D84"/>
    <w:rsid w:val="008720B6"/>
    <w:rsid w:val="00872519"/>
    <w:rsid w:val="0087393B"/>
    <w:rsid w:val="0087420B"/>
    <w:rsid w:val="008742D2"/>
    <w:rsid w:val="00874EBD"/>
    <w:rsid w:val="008757D8"/>
    <w:rsid w:val="008758A4"/>
    <w:rsid w:val="00875B49"/>
    <w:rsid w:val="00876392"/>
    <w:rsid w:val="00876444"/>
    <w:rsid w:val="00876543"/>
    <w:rsid w:val="00877742"/>
    <w:rsid w:val="00877959"/>
    <w:rsid w:val="00877F94"/>
    <w:rsid w:val="008804CD"/>
    <w:rsid w:val="008808D8"/>
    <w:rsid w:val="00881974"/>
    <w:rsid w:val="00881ED1"/>
    <w:rsid w:val="0088241F"/>
    <w:rsid w:val="008837D5"/>
    <w:rsid w:val="00883D91"/>
    <w:rsid w:val="00884386"/>
    <w:rsid w:val="0088472B"/>
    <w:rsid w:val="00884867"/>
    <w:rsid w:val="00885827"/>
    <w:rsid w:val="008877E6"/>
    <w:rsid w:val="00887FEF"/>
    <w:rsid w:val="00890E8C"/>
    <w:rsid w:val="00891AA9"/>
    <w:rsid w:val="0089318F"/>
    <w:rsid w:val="00893355"/>
    <w:rsid w:val="008935D9"/>
    <w:rsid w:val="00893AE3"/>
    <w:rsid w:val="00893CF0"/>
    <w:rsid w:val="0089406C"/>
    <w:rsid w:val="008953E4"/>
    <w:rsid w:val="00895597"/>
    <w:rsid w:val="0089582B"/>
    <w:rsid w:val="00897532"/>
    <w:rsid w:val="008A02A9"/>
    <w:rsid w:val="008A0B89"/>
    <w:rsid w:val="008A1741"/>
    <w:rsid w:val="008A19A4"/>
    <w:rsid w:val="008A282D"/>
    <w:rsid w:val="008A4779"/>
    <w:rsid w:val="008A4D52"/>
    <w:rsid w:val="008A5276"/>
    <w:rsid w:val="008A53A8"/>
    <w:rsid w:val="008A6355"/>
    <w:rsid w:val="008A67E4"/>
    <w:rsid w:val="008A68D2"/>
    <w:rsid w:val="008A6BFC"/>
    <w:rsid w:val="008A6F9C"/>
    <w:rsid w:val="008A77D2"/>
    <w:rsid w:val="008A7F8D"/>
    <w:rsid w:val="008B0449"/>
    <w:rsid w:val="008B0DA5"/>
    <w:rsid w:val="008B13C8"/>
    <w:rsid w:val="008B154F"/>
    <w:rsid w:val="008B1B4F"/>
    <w:rsid w:val="008B1B9F"/>
    <w:rsid w:val="008B217F"/>
    <w:rsid w:val="008B2DEE"/>
    <w:rsid w:val="008B36A6"/>
    <w:rsid w:val="008B4735"/>
    <w:rsid w:val="008B59C6"/>
    <w:rsid w:val="008B5A06"/>
    <w:rsid w:val="008B5C36"/>
    <w:rsid w:val="008B5D97"/>
    <w:rsid w:val="008B6A20"/>
    <w:rsid w:val="008B7002"/>
    <w:rsid w:val="008B7837"/>
    <w:rsid w:val="008C1B9A"/>
    <w:rsid w:val="008C1E13"/>
    <w:rsid w:val="008C2FA7"/>
    <w:rsid w:val="008C4112"/>
    <w:rsid w:val="008C496D"/>
    <w:rsid w:val="008C5CED"/>
    <w:rsid w:val="008C61BD"/>
    <w:rsid w:val="008C61F8"/>
    <w:rsid w:val="008C63B9"/>
    <w:rsid w:val="008C6499"/>
    <w:rsid w:val="008C799F"/>
    <w:rsid w:val="008D10AE"/>
    <w:rsid w:val="008D135D"/>
    <w:rsid w:val="008D1C4D"/>
    <w:rsid w:val="008D1D29"/>
    <w:rsid w:val="008D218D"/>
    <w:rsid w:val="008D3895"/>
    <w:rsid w:val="008D3C0A"/>
    <w:rsid w:val="008D4350"/>
    <w:rsid w:val="008D57F5"/>
    <w:rsid w:val="008D60B9"/>
    <w:rsid w:val="008D65D5"/>
    <w:rsid w:val="008D754F"/>
    <w:rsid w:val="008D7885"/>
    <w:rsid w:val="008D79EA"/>
    <w:rsid w:val="008E01CD"/>
    <w:rsid w:val="008E30E8"/>
    <w:rsid w:val="008E47A3"/>
    <w:rsid w:val="008E4FB2"/>
    <w:rsid w:val="008E52E8"/>
    <w:rsid w:val="008E534E"/>
    <w:rsid w:val="008E636F"/>
    <w:rsid w:val="008E65CD"/>
    <w:rsid w:val="008E671C"/>
    <w:rsid w:val="008E7B70"/>
    <w:rsid w:val="008F0876"/>
    <w:rsid w:val="008F0F1E"/>
    <w:rsid w:val="008F138F"/>
    <w:rsid w:val="008F1B0E"/>
    <w:rsid w:val="008F2CC4"/>
    <w:rsid w:val="008F31B2"/>
    <w:rsid w:val="008F33F4"/>
    <w:rsid w:val="008F3BA0"/>
    <w:rsid w:val="008F592D"/>
    <w:rsid w:val="008F597E"/>
    <w:rsid w:val="008F678E"/>
    <w:rsid w:val="008F77C0"/>
    <w:rsid w:val="009022E8"/>
    <w:rsid w:val="00902923"/>
    <w:rsid w:val="00903595"/>
    <w:rsid w:val="00903E41"/>
    <w:rsid w:val="00904077"/>
    <w:rsid w:val="009042B1"/>
    <w:rsid w:val="009045BE"/>
    <w:rsid w:val="00904A1A"/>
    <w:rsid w:val="00905B68"/>
    <w:rsid w:val="00907DA1"/>
    <w:rsid w:val="00910CA6"/>
    <w:rsid w:val="00910CBF"/>
    <w:rsid w:val="0091202E"/>
    <w:rsid w:val="00912A54"/>
    <w:rsid w:val="00912D96"/>
    <w:rsid w:val="00913AEA"/>
    <w:rsid w:val="00914B11"/>
    <w:rsid w:val="00915572"/>
    <w:rsid w:val="00915B6D"/>
    <w:rsid w:val="00916033"/>
    <w:rsid w:val="0091617D"/>
    <w:rsid w:val="0091669E"/>
    <w:rsid w:val="009166A4"/>
    <w:rsid w:val="0091696C"/>
    <w:rsid w:val="00920E25"/>
    <w:rsid w:val="009210D6"/>
    <w:rsid w:val="00924492"/>
    <w:rsid w:val="00925193"/>
    <w:rsid w:val="00925B2C"/>
    <w:rsid w:val="0092616E"/>
    <w:rsid w:val="00927719"/>
    <w:rsid w:val="00930607"/>
    <w:rsid w:val="00930E3D"/>
    <w:rsid w:val="00931626"/>
    <w:rsid w:val="009328DD"/>
    <w:rsid w:val="00932B7B"/>
    <w:rsid w:val="00932CC9"/>
    <w:rsid w:val="0093327A"/>
    <w:rsid w:val="009334D8"/>
    <w:rsid w:val="00935D34"/>
    <w:rsid w:val="00935FF1"/>
    <w:rsid w:val="009360BF"/>
    <w:rsid w:val="00936CB9"/>
    <w:rsid w:val="0093713F"/>
    <w:rsid w:val="009401AC"/>
    <w:rsid w:val="00940D36"/>
    <w:rsid w:val="00942817"/>
    <w:rsid w:val="00943B40"/>
    <w:rsid w:val="00944C17"/>
    <w:rsid w:val="0094527D"/>
    <w:rsid w:val="009461F4"/>
    <w:rsid w:val="00946565"/>
    <w:rsid w:val="009469BF"/>
    <w:rsid w:val="0095009D"/>
    <w:rsid w:val="009502A0"/>
    <w:rsid w:val="0095052E"/>
    <w:rsid w:val="00952BB1"/>
    <w:rsid w:val="009531C4"/>
    <w:rsid w:val="00953516"/>
    <w:rsid w:val="00954450"/>
    <w:rsid w:val="0095466F"/>
    <w:rsid w:val="00957EBF"/>
    <w:rsid w:val="00957F2A"/>
    <w:rsid w:val="0096074C"/>
    <w:rsid w:val="00960CD5"/>
    <w:rsid w:val="00961240"/>
    <w:rsid w:val="00961351"/>
    <w:rsid w:val="00961F62"/>
    <w:rsid w:val="00962683"/>
    <w:rsid w:val="00962C36"/>
    <w:rsid w:val="0096305F"/>
    <w:rsid w:val="00964C32"/>
    <w:rsid w:val="00965499"/>
    <w:rsid w:val="009658E3"/>
    <w:rsid w:val="009671A6"/>
    <w:rsid w:val="00967982"/>
    <w:rsid w:val="009679B9"/>
    <w:rsid w:val="009702C8"/>
    <w:rsid w:val="0097082B"/>
    <w:rsid w:val="00970915"/>
    <w:rsid w:val="00970D80"/>
    <w:rsid w:val="0097114A"/>
    <w:rsid w:val="0097388E"/>
    <w:rsid w:val="00974371"/>
    <w:rsid w:val="009743B2"/>
    <w:rsid w:val="0097472D"/>
    <w:rsid w:val="0097473D"/>
    <w:rsid w:val="0097535F"/>
    <w:rsid w:val="0097632F"/>
    <w:rsid w:val="0097656A"/>
    <w:rsid w:val="00976AF3"/>
    <w:rsid w:val="009770EE"/>
    <w:rsid w:val="0097731A"/>
    <w:rsid w:val="009775B7"/>
    <w:rsid w:val="009807EE"/>
    <w:rsid w:val="00980BB3"/>
    <w:rsid w:val="00980E2D"/>
    <w:rsid w:val="00981049"/>
    <w:rsid w:val="0098118B"/>
    <w:rsid w:val="00981782"/>
    <w:rsid w:val="00981A26"/>
    <w:rsid w:val="00981BE5"/>
    <w:rsid w:val="00981C2B"/>
    <w:rsid w:val="0098341F"/>
    <w:rsid w:val="00983856"/>
    <w:rsid w:val="00983BDD"/>
    <w:rsid w:val="009845A2"/>
    <w:rsid w:val="009845A6"/>
    <w:rsid w:val="009846B5"/>
    <w:rsid w:val="00984EB9"/>
    <w:rsid w:val="0098569E"/>
    <w:rsid w:val="00985DE4"/>
    <w:rsid w:val="00986A38"/>
    <w:rsid w:val="009875CA"/>
    <w:rsid w:val="00987763"/>
    <w:rsid w:val="009878A8"/>
    <w:rsid w:val="00987DA9"/>
    <w:rsid w:val="00990918"/>
    <w:rsid w:val="00990A2A"/>
    <w:rsid w:val="00990A4E"/>
    <w:rsid w:val="00991074"/>
    <w:rsid w:val="009917CE"/>
    <w:rsid w:val="0099216F"/>
    <w:rsid w:val="0099229B"/>
    <w:rsid w:val="009931AE"/>
    <w:rsid w:val="00993E91"/>
    <w:rsid w:val="00993EB4"/>
    <w:rsid w:val="00994BA0"/>
    <w:rsid w:val="00994E67"/>
    <w:rsid w:val="00995EB5"/>
    <w:rsid w:val="00997F26"/>
    <w:rsid w:val="009A0531"/>
    <w:rsid w:val="009A0723"/>
    <w:rsid w:val="009A2312"/>
    <w:rsid w:val="009A2443"/>
    <w:rsid w:val="009A24AC"/>
    <w:rsid w:val="009A269C"/>
    <w:rsid w:val="009A2873"/>
    <w:rsid w:val="009A49DC"/>
    <w:rsid w:val="009A4F93"/>
    <w:rsid w:val="009A554E"/>
    <w:rsid w:val="009A6475"/>
    <w:rsid w:val="009A6D8A"/>
    <w:rsid w:val="009A77BB"/>
    <w:rsid w:val="009A7981"/>
    <w:rsid w:val="009A79EB"/>
    <w:rsid w:val="009B0FC3"/>
    <w:rsid w:val="009B17AB"/>
    <w:rsid w:val="009B1AD4"/>
    <w:rsid w:val="009B37BC"/>
    <w:rsid w:val="009B415F"/>
    <w:rsid w:val="009B47C5"/>
    <w:rsid w:val="009B5D4E"/>
    <w:rsid w:val="009B6391"/>
    <w:rsid w:val="009B6FBE"/>
    <w:rsid w:val="009B7B98"/>
    <w:rsid w:val="009C02D4"/>
    <w:rsid w:val="009C067F"/>
    <w:rsid w:val="009C303D"/>
    <w:rsid w:val="009C334E"/>
    <w:rsid w:val="009C4E6E"/>
    <w:rsid w:val="009C5C84"/>
    <w:rsid w:val="009C608F"/>
    <w:rsid w:val="009C6B49"/>
    <w:rsid w:val="009C6F4B"/>
    <w:rsid w:val="009D0221"/>
    <w:rsid w:val="009D026F"/>
    <w:rsid w:val="009D07A7"/>
    <w:rsid w:val="009D0990"/>
    <w:rsid w:val="009D0D31"/>
    <w:rsid w:val="009D149D"/>
    <w:rsid w:val="009D22D3"/>
    <w:rsid w:val="009D25A8"/>
    <w:rsid w:val="009D3558"/>
    <w:rsid w:val="009D5B00"/>
    <w:rsid w:val="009D67E3"/>
    <w:rsid w:val="009D68A3"/>
    <w:rsid w:val="009D6C05"/>
    <w:rsid w:val="009D7ECC"/>
    <w:rsid w:val="009E0BC6"/>
    <w:rsid w:val="009E180B"/>
    <w:rsid w:val="009E1A30"/>
    <w:rsid w:val="009E2127"/>
    <w:rsid w:val="009E2D3D"/>
    <w:rsid w:val="009E2D8E"/>
    <w:rsid w:val="009E2ECE"/>
    <w:rsid w:val="009E2FE3"/>
    <w:rsid w:val="009E34EC"/>
    <w:rsid w:val="009E3780"/>
    <w:rsid w:val="009E4613"/>
    <w:rsid w:val="009E482D"/>
    <w:rsid w:val="009E4899"/>
    <w:rsid w:val="009E5ACA"/>
    <w:rsid w:val="009E611E"/>
    <w:rsid w:val="009E6834"/>
    <w:rsid w:val="009F27A9"/>
    <w:rsid w:val="009F3064"/>
    <w:rsid w:val="009F3E3A"/>
    <w:rsid w:val="009F4C29"/>
    <w:rsid w:val="009F4E83"/>
    <w:rsid w:val="009F4F5C"/>
    <w:rsid w:val="009F4F85"/>
    <w:rsid w:val="009F50D6"/>
    <w:rsid w:val="009F5BFA"/>
    <w:rsid w:val="009F757F"/>
    <w:rsid w:val="009F791F"/>
    <w:rsid w:val="00A00D3A"/>
    <w:rsid w:val="00A01C96"/>
    <w:rsid w:val="00A024CA"/>
    <w:rsid w:val="00A025AC"/>
    <w:rsid w:val="00A02995"/>
    <w:rsid w:val="00A03664"/>
    <w:rsid w:val="00A044DE"/>
    <w:rsid w:val="00A048E1"/>
    <w:rsid w:val="00A04F4B"/>
    <w:rsid w:val="00A05BA9"/>
    <w:rsid w:val="00A05D49"/>
    <w:rsid w:val="00A0607A"/>
    <w:rsid w:val="00A067F6"/>
    <w:rsid w:val="00A069AE"/>
    <w:rsid w:val="00A06ABC"/>
    <w:rsid w:val="00A06D1C"/>
    <w:rsid w:val="00A06DF6"/>
    <w:rsid w:val="00A10071"/>
    <w:rsid w:val="00A1035F"/>
    <w:rsid w:val="00A10AA1"/>
    <w:rsid w:val="00A10DA1"/>
    <w:rsid w:val="00A10DC4"/>
    <w:rsid w:val="00A11871"/>
    <w:rsid w:val="00A11CC8"/>
    <w:rsid w:val="00A122C8"/>
    <w:rsid w:val="00A1241B"/>
    <w:rsid w:val="00A1304D"/>
    <w:rsid w:val="00A133BF"/>
    <w:rsid w:val="00A14786"/>
    <w:rsid w:val="00A148B7"/>
    <w:rsid w:val="00A15608"/>
    <w:rsid w:val="00A156AF"/>
    <w:rsid w:val="00A16035"/>
    <w:rsid w:val="00A1756C"/>
    <w:rsid w:val="00A20688"/>
    <w:rsid w:val="00A20A79"/>
    <w:rsid w:val="00A213BF"/>
    <w:rsid w:val="00A230AB"/>
    <w:rsid w:val="00A23510"/>
    <w:rsid w:val="00A239F1"/>
    <w:rsid w:val="00A24732"/>
    <w:rsid w:val="00A261CF"/>
    <w:rsid w:val="00A26269"/>
    <w:rsid w:val="00A27896"/>
    <w:rsid w:val="00A315C8"/>
    <w:rsid w:val="00A31EE1"/>
    <w:rsid w:val="00A31F11"/>
    <w:rsid w:val="00A32509"/>
    <w:rsid w:val="00A33E6E"/>
    <w:rsid w:val="00A3454F"/>
    <w:rsid w:val="00A3508A"/>
    <w:rsid w:val="00A40EEF"/>
    <w:rsid w:val="00A40FD8"/>
    <w:rsid w:val="00A41805"/>
    <w:rsid w:val="00A422C7"/>
    <w:rsid w:val="00A4254F"/>
    <w:rsid w:val="00A42D80"/>
    <w:rsid w:val="00A43950"/>
    <w:rsid w:val="00A43E38"/>
    <w:rsid w:val="00A43FBA"/>
    <w:rsid w:val="00A44618"/>
    <w:rsid w:val="00A44768"/>
    <w:rsid w:val="00A4478E"/>
    <w:rsid w:val="00A44C2B"/>
    <w:rsid w:val="00A44E7C"/>
    <w:rsid w:val="00A4528D"/>
    <w:rsid w:val="00A45675"/>
    <w:rsid w:val="00A459E1"/>
    <w:rsid w:val="00A46E4C"/>
    <w:rsid w:val="00A47383"/>
    <w:rsid w:val="00A4785F"/>
    <w:rsid w:val="00A47953"/>
    <w:rsid w:val="00A51092"/>
    <w:rsid w:val="00A528FE"/>
    <w:rsid w:val="00A5332E"/>
    <w:rsid w:val="00A53F2A"/>
    <w:rsid w:val="00A53FE5"/>
    <w:rsid w:val="00A540D3"/>
    <w:rsid w:val="00A554D9"/>
    <w:rsid w:val="00A55F15"/>
    <w:rsid w:val="00A561E4"/>
    <w:rsid w:val="00A5646A"/>
    <w:rsid w:val="00A5683E"/>
    <w:rsid w:val="00A56AAA"/>
    <w:rsid w:val="00A57F62"/>
    <w:rsid w:val="00A6071B"/>
    <w:rsid w:val="00A62A76"/>
    <w:rsid w:val="00A62D97"/>
    <w:rsid w:val="00A63DC4"/>
    <w:rsid w:val="00A6490A"/>
    <w:rsid w:val="00A6512A"/>
    <w:rsid w:val="00A65321"/>
    <w:rsid w:val="00A656D2"/>
    <w:rsid w:val="00A659A3"/>
    <w:rsid w:val="00A66063"/>
    <w:rsid w:val="00A66303"/>
    <w:rsid w:val="00A672DD"/>
    <w:rsid w:val="00A673A0"/>
    <w:rsid w:val="00A67E99"/>
    <w:rsid w:val="00A70F9E"/>
    <w:rsid w:val="00A70FE3"/>
    <w:rsid w:val="00A716C9"/>
    <w:rsid w:val="00A71B02"/>
    <w:rsid w:val="00A72003"/>
    <w:rsid w:val="00A7202C"/>
    <w:rsid w:val="00A7271F"/>
    <w:rsid w:val="00A72D5B"/>
    <w:rsid w:val="00A7322A"/>
    <w:rsid w:val="00A74630"/>
    <w:rsid w:val="00A750EF"/>
    <w:rsid w:val="00A755EB"/>
    <w:rsid w:val="00A76BF9"/>
    <w:rsid w:val="00A76DE6"/>
    <w:rsid w:val="00A77197"/>
    <w:rsid w:val="00A77938"/>
    <w:rsid w:val="00A77D43"/>
    <w:rsid w:val="00A77E0A"/>
    <w:rsid w:val="00A802A8"/>
    <w:rsid w:val="00A802AA"/>
    <w:rsid w:val="00A80787"/>
    <w:rsid w:val="00A80CB6"/>
    <w:rsid w:val="00A80F03"/>
    <w:rsid w:val="00A814C2"/>
    <w:rsid w:val="00A81D76"/>
    <w:rsid w:val="00A81F5F"/>
    <w:rsid w:val="00A82112"/>
    <w:rsid w:val="00A829FF"/>
    <w:rsid w:val="00A8315C"/>
    <w:rsid w:val="00A835BB"/>
    <w:rsid w:val="00A83994"/>
    <w:rsid w:val="00A86430"/>
    <w:rsid w:val="00A86B51"/>
    <w:rsid w:val="00A86BDB"/>
    <w:rsid w:val="00A870B1"/>
    <w:rsid w:val="00A87990"/>
    <w:rsid w:val="00A903B4"/>
    <w:rsid w:val="00A9114A"/>
    <w:rsid w:val="00A911F7"/>
    <w:rsid w:val="00A92250"/>
    <w:rsid w:val="00A92BA9"/>
    <w:rsid w:val="00A939AA"/>
    <w:rsid w:val="00A94BE0"/>
    <w:rsid w:val="00A94DEF"/>
    <w:rsid w:val="00A95664"/>
    <w:rsid w:val="00A95C4F"/>
    <w:rsid w:val="00A96034"/>
    <w:rsid w:val="00A97439"/>
    <w:rsid w:val="00A9776A"/>
    <w:rsid w:val="00AA0487"/>
    <w:rsid w:val="00AA0D83"/>
    <w:rsid w:val="00AA18A3"/>
    <w:rsid w:val="00AA4B4D"/>
    <w:rsid w:val="00AA4FA6"/>
    <w:rsid w:val="00AA5157"/>
    <w:rsid w:val="00AA5297"/>
    <w:rsid w:val="00AA5955"/>
    <w:rsid w:val="00AA74CC"/>
    <w:rsid w:val="00AB00CC"/>
    <w:rsid w:val="00AB0615"/>
    <w:rsid w:val="00AB064A"/>
    <w:rsid w:val="00AB0BA1"/>
    <w:rsid w:val="00AB1C3B"/>
    <w:rsid w:val="00AB2184"/>
    <w:rsid w:val="00AB6225"/>
    <w:rsid w:val="00AB678A"/>
    <w:rsid w:val="00AB7315"/>
    <w:rsid w:val="00AB7B24"/>
    <w:rsid w:val="00AB7E2C"/>
    <w:rsid w:val="00AC0F18"/>
    <w:rsid w:val="00AC13B0"/>
    <w:rsid w:val="00AC2A48"/>
    <w:rsid w:val="00AC2BB9"/>
    <w:rsid w:val="00AC3396"/>
    <w:rsid w:val="00AC3510"/>
    <w:rsid w:val="00AC35F2"/>
    <w:rsid w:val="00AC3B27"/>
    <w:rsid w:val="00AC3C28"/>
    <w:rsid w:val="00AC41D1"/>
    <w:rsid w:val="00AC4D4D"/>
    <w:rsid w:val="00AC5940"/>
    <w:rsid w:val="00AC5E27"/>
    <w:rsid w:val="00AC66FF"/>
    <w:rsid w:val="00AC6E89"/>
    <w:rsid w:val="00AC6FA4"/>
    <w:rsid w:val="00AC7AA0"/>
    <w:rsid w:val="00AD109D"/>
    <w:rsid w:val="00AD2065"/>
    <w:rsid w:val="00AD2125"/>
    <w:rsid w:val="00AD23EC"/>
    <w:rsid w:val="00AD2F45"/>
    <w:rsid w:val="00AD3989"/>
    <w:rsid w:val="00AD4A17"/>
    <w:rsid w:val="00AD73EF"/>
    <w:rsid w:val="00AE0592"/>
    <w:rsid w:val="00AE13F3"/>
    <w:rsid w:val="00AE1411"/>
    <w:rsid w:val="00AE210C"/>
    <w:rsid w:val="00AE2345"/>
    <w:rsid w:val="00AE2584"/>
    <w:rsid w:val="00AE44AF"/>
    <w:rsid w:val="00AE4572"/>
    <w:rsid w:val="00AE5485"/>
    <w:rsid w:val="00AE597E"/>
    <w:rsid w:val="00AE7DB8"/>
    <w:rsid w:val="00AF0AF3"/>
    <w:rsid w:val="00AF0F4D"/>
    <w:rsid w:val="00AF1D63"/>
    <w:rsid w:val="00AF1FF3"/>
    <w:rsid w:val="00AF2354"/>
    <w:rsid w:val="00AF266C"/>
    <w:rsid w:val="00AF363B"/>
    <w:rsid w:val="00AF5123"/>
    <w:rsid w:val="00AF6613"/>
    <w:rsid w:val="00AF664A"/>
    <w:rsid w:val="00AF6F4F"/>
    <w:rsid w:val="00AF7445"/>
    <w:rsid w:val="00AF7A1F"/>
    <w:rsid w:val="00AF7AEC"/>
    <w:rsid w:val="00B0096E"/>
    <w:rsid w:val="00B01DA1"/>
    <w:rsid w:val="00B0374E"/>
    <w:rsid w:val="00B038BA"/>
    <w:rsid w:val="00B03BCD"/>
    <w:rsid w:val="00B04015"/>
    <w:rsid w:val="00B056BE"/>
    <w:rsid w:val="00B05F0F"/>
    <w:rsid w:val="00B07D83"/>
    <w:rsid w:val="00B10565"/>
    <w:rsid w:val="00B1132C"/>
    <w:rsid w:val="00B12C7E"/>
    <w:rsid w:val="00B13388"/>
    <w:rsid w:val="00B13DC8"/>
    <w:rsid w:val="00B15442"/>
    <w:rsid w:val="00B16AEC"/>
    <w:rsid w:val="00B17078"/>
    <w:rsid w:val="00B17166"/>
    <w:rsid w:val="00B1724A"/>
    <w:rsid w:val="00B17A9F"/>
    <w:rsid w:val="00B17B3F"/>
    <w:rsid w:val="00B23784"/>
    <w:rsid w:val="00B23F77"/>
    <w:rsid w:val="00B24A1C"/>
    <w:rsid w:val="00B24E75"/>
    <w:rsid w:val="00B254F3"/>
    <w:rsid w:val="00B258A3"/>
    <w:rsid w:val="00B269B3"/>
    <w:rsid w:val="00B2717B"/>
    <w:rsid w:val="00B27DD9"/>
    <w:rsid w:val="00B3048F"/>
    <w:rsid w:val="00B310C3"/>
    <w:rsid w:val="00B31DA0"/>
    <w:rsid w:val="00B354A9"/>
    <w:rsid w:val="00B35C8A"/>
    <w:rsid w:val="00B3650C"/>
    <w:rsid w:val="00B3785D"/>
    <w:rsid w:val="00B406B7"/>
    <w:rsid w:val="00B40FC1"/>
    <w:rsid w:val="00B41821"/>
    <w:rsid w:val="00B41850"/>
    <w:rsid w:val="00B41CD1"/>
    <w:rsid w:val="00B42036"/>
    <w:rsid w:val="00B429A6"/>
    <w:rsid w:val="00B42DEC"/>
    <w:rsid w:val="00B42E62"/>
    <w:rsid w:val="00B432BE"/>
    <w:rsid w:val="00B43B79"/>
    <w:rsid w:val="00B45673"/>
    <w:rsid w:val="00B46956"/>
    <w:rsid w:val="00B4697F"/>
    <w:rsid w:val="00B5005B"/>
    <w:rsid w:val="00B5008D"/>
    <w:rsid w:val="00B505DD"/>
    <w:rsid w:val="00B514A6"/>
    <w:rsid w:val="00B514FC"/>
    <w:rsid w:val="00B516C8"/>
    <w:rsid w:val="00B51AEF"/>
    <w:rsid w:val="00B526C3"/>
    <w:rsid w:val="00B531FA"/>
    <w:rsid w:val="00B534EE"/>
    <w:rsid w:val="00B54CF5"/>
    <w:rsid w:val="00B54F3C"/>
    <w:rsid w:val="00B55980"/>
    <w:rsid w:val="00B55A68"/>
    <w:rsid w:val="00B55B92"/>
    <w:rsid w:val="00B57241"/>
    <w:rsid w:val="00B57805"/>
    <w:rsid w:val="00B57A21"/>
    <w:rsid w:val="00B57C55"/>
    <w:rsid w:val="00B60545"/>
    <w:rsid w:val="00B60A21"/>
    <w:rsid w:val="00B60D00"/>
    <w:rsid w:val="00B60E88"/>
    <w:rsid w:val="00B618AB"/>
    <w:rsid w:val="00B61E53"/>
    <w:rsid w:val="00B61EB4"/>
    <w:rsid w:val="00B6215A"/>
    <w:rsid w:val="00B63107"/>
    <w:rsid w:val="00B657C3"/>
    <w:rsid w:val="00B661FB"/>
    <w:rsid w:val="00B72030"/>
    <w:rsid w:val="00B72DE3"/>
    <w:rsid w:val="00B72FE2"/>
    <w:rsid w:val="00B73541"/>
    <w:rsid w:val="00B73758"/>
    <w:rsid w:val="00B73802"/>
    <w:rsid w:val="00B73E01"/>
    <w:rsid w:val="00B74789"/>
    <w:rsid w:val="00B749B9"/>
    <w:rsid w:val="00B74FE9"/>
    <w:rsid w:val="00B750DB"/>
    <w:rsid w:val="00B75708"/>
    <w:rsid w:val="00B7603B"/>
    <w:rsid w:val="00B763B5"/>
    <w:rsid w:val="00B76A3E"/>
    <w:rsid w:val="00B76C8B"/>
    <w:rsid w:val="00B76D3A"/>
    <w:rsid w:val="00B779D6"/>
    <w:rsid w:val="00B80D36"/>
    <w:rsid w:val="00B81880"/>
    <w:rsid w:val="00B823FF"/>
    <w:rsid w:val="00B8271B"/>
    <w:rsid w:val="00B82E1F"/>
    <w:rsid w:val="00B83B7A"/>
    <w:rsid w:val="00B83F70"/>
    <w:rsid w:val="00B8455C"/>
    <w:rsid w:val="00B84F59"/>
    <w:rsid w:val="00B84F83"/>
    <w:rsid w:val="00B860F1"/>
    <w:rsid w:val="00B865B1"/>
    <w:rsid w:val="00B90C3B"/>
    <w:rsid w:val="00B90C81"/>
    <w:rsid w:val="00B91176"/>
    <w:rsid w:val="00B916C5"/>
    <w:rsid w:val="00B92647"/>
    <w:rsid w:val="00B930D2"/>
    <w:rsid w:val="00B94C4A"/>
    <w:rsid w:val="00B966EB"/>
    <w:rsid w:val="00B96B51"/>
    <w:rsid w:val="00B974F4"/>
    <w:rsid w:val="00B97755"/>
    <w:rsid w:val="00B97843"/>
    <w:rsid w:val="00BA1558"/>
    <w:rsid w:val="00BA2F00"/>
    <w:rsid w:val="00BA42A0"/>
    <w:rsid w:val="00BA47C3"/>
    <w:rsid w:val="00BA557E"/>
    <w:rsid w:val="00BA5608"/>
    <w:rsid w:val="00BA595E"/>
    <w:rsid w:val="00BA6F39"/>
    <w:rsid w:val="00BA6FB9"/>
    <w:rsid w:val="00BA70BF"/>
    <w:rsid w:val="00BA7439"/>
    <w:rsid w:val="00BA7C5E"/>
    <w:rsid w:val="00BB077A"/>
    <w:rsid w:val="00BB20B8"/>
    <w:rsid w:val="00BB3374"/>
    <w:rsid w:val="00BB4B30"/>
    <w:rsid w:val="00BB500F"/>
    <w:rsid w:val="00BB5931"/>
    <w:rsid w:val="00BB6810"/>
    <w:rsid w:val="00BB6AB1"/>
    <w:rsid w:val="00BB7AA7"/>
    <w:rsid w:val="00BC0BA1"/>
    <w:rsid w:val="00BC4306"/>
    <w:rsid w:val="00BC44CC"/>
    <w:rsid w:val="00BC4E36"/>
    <w:rsid w:val="00BC5916"/>
    <w:rsid w:val="00BC5E5B"/>
    <w:rsid w:val="00BC7878"/>
    <w:rsid w:val="00BD04F8"/>
    <w:rsid w:val="00BD0EA3"/>
    <w:rsid w:val="00BD2520"/>
    <w:rsid w:val="00BD338B"/>
    <w:rsid w:val="00BD4354"/>
    <w:rsid w:val="00BD5FB2"/>
    <w:rsid w:val="00BD6A90"/>
    <w:rsid w:val="00BD7021"/>
    <w:rsid w:val="00BD736A"/>
    <w:rsid w:val="00BD7400"/>
    <w:rsid w:val="00BE06C3"/>
    <w:rsid w:val="00BE1332"/>
    <w:rsid w:val="00BE1D19"/>
    <w:rsid w:val="00BE2882"/>
    <w:rsid w:val="00BE3214"/>
    <w:rsid w:val="00BE3615"/>
    <w:rsid w:val="00BE3709"/>
    <w:rsid w:val="00BE4091"/>
    <w:rsid w:val="00BE4415"/>
    <w:rsid w:val="00BE567C"/>
    <w:rsid w:val="00BE7097"/>
    <w:rsid w:val="00BE7F4A"/>
    <w:rsid w:val="00BF08B4"/>
    <w:rsid w:val="00BF0A8C"/>
    <w:rsid w:val="00BF0CFD"/>
    <w:rsid w:val="00BF1007"/>
    <w:rsid w:val="00BF13B8"/>
    <w:rsid w:val="00BF152D"/>
    <w:rsid w:val="00BF1BC4"/>
    <w:rsid w:val="00BF31A0"/>
    <w:rsid w:val="00BF34C5"/>
    <w:rsid w:val="00BF3A73"/>
    <w:rsid w:val="00BF5400"/>
    <w:rsid w:val="00BF555A"/>
    <w:rsid w:val="00BF608B"/>
    <w:rsid w:val="00BF63A6"/>
    <w:rsid w:val="00BF65FE"/>
    <w:rsid w:val="00BF74A2"/>
    <w:rsid w:val="00BF7B88"/>
    <w:rsid w:val="00C00F53"/>
    <w:rsid w:val="00C01EB5"/>
    <w:rsid w:val="00C0317D"/>
    <w:rsid w:val="00C03374"/>
    <w:rsid w:val="00C035AF"/>
    <w:rsid w:val="00C041E1"/>
    <w:rsid w:val="00C057EF"/>
    <w:rsid w:val="00C05955"/>
    <w:rsid w:val="00C062D4"/>
    <w:rsid w:val="00C0652F"/>
    <w:rsid w:val="00C06979"/>
    <w:rsid w:val="00C073D6"/>
    <w:rsid w:val="00C076F9"/>
    <w:rsid w:val="00C07828"/>
    <w:rsid w:val="00C07A2C"/>
    <w:rsid w:val="00C11066"/>
    <w:rsid w:val="00C110E5"/>
    <w:rsid w:val="00C124D6"/>
    <w:rsid w:val="00C12651"/>
    <w:rsid w:val="00C12D62"/>
    <w:rsid w:val="00C12F3E"/>
    <w:rsid w:val="00C1469F"/>
    <w:rsid w:val="00C14B5B"/>
    <w:rsid w:val="00C15268"/>
    <w:rsid w:val="00C153CB"/>
    <w:rsid w:val="00C154B6"/>
    <w:rsid w:val="00C15CD3"/>
    <w:rsid w:val="00C163E1"/>
    <w:rsid w:val="00C16962"/>
    <w:rsid w:val="00C17E25"/>
    <w:rsid w:val="00C20AA7"/>
    <w:rsid w:val="00C210BC"/>
    <w:rsid w:val="00C22046"/>
    <w:rsid w:val="00C22FF6"/>
    <w:rsid w:val="00C23675"/>
    <w:rsid w:val="00C25FFB"/>
    <w:rsid w:val="00C26056"/>
    <w:rsid w:val="00C261C7"/>
    <w:rsid w:val="00C30C5D"/>
    <w:rsid w:val="00C310DF"/>
    <w:rsid w:val="00C315FB"/>
    <w:rsid w:val="00C31969"/>
    <w:rsid w:val="00C32D8C"/>
    <w:rsid w:val="00C343C8"/>
    <w:rsid w:val="00C347C2"/>
    <w:rsid w:val="00C34D3B"/>
    <w:rsid w:val="00C34E5B"/>
    <w:rsid w:val="00C35ADD"/>
    <w:rsid w:val="00C35ADF"/>
    <w:rsid w:val="00C35E7D"/>
    <w:rsid w:val="00C36371"/>
    <w:rsid w:val="00C365DD"/>
    <w:rsid w:val="00C369A4"/>
    <w:rsid w:val="00C36CC2"/>
    <w:rsid w:val="00C37531"/>
    <w:rsid w:val="00C4044D"/>
    <w:rsid w:val="00C40754"/>
    <w:rsid w:val="00C40DC3"/>
    <w:rsid w:val="00C40DDF"/>
    <w:rsid w:val="00C41145"/>
    <w:rsid w:val="00C41E73"/>
    <w:rsid w:val="00C43435"/>
    <w:rsid w:val="00C43882"/>
    <w:rsid w:val="00C43EAF"/>
    <w:rsid w:val="00C458F6"/>
    <w:rsid w:val="00C45DB5"/>
    <w:rsid w:val="00C46936"/>
    <w:rsid w:val="00C46E85"/>
    <w:rsid w:val="00C5028B"/>
    <w:rsid w:val="00C519A8"/>
    <w:rsid w:val="00C51FD4"/>
    <w:rsid w:val="00C529FB"/>
    <w:rsid w:val="00C52CDA"/>
    <w:rsid w:val="00C52DE0"/>
    <w:rsid w:val="00C530E3"/>
    <w:rsid w:val="00C54791"/>
    <w:rsid w:val="00C5530F"/>
    <w:rsid w:val="00C558ED"/>
    <w:rsid w:val="00C55C7F"/>
    <w:rsid w:val="00C569CB"/>
    <w:rsid w:val="00C56DFC"/>
    <w:rsid w:val="00C56E7E"/>
    <w:rsid w:val="00C56EE7"/>
    <w:rsid w:val="00C56F8B"/>
    <w:rsid w:val="00C571E5"/>
    <w:rsid w:val="00C579A6"/>
    <w:rsid w:val="00C60A64"/>
    <w:rsid w:val="00C60AD2"/>
    <w:rsid w:val="00C61F14"/>
    <w:rsid w:val="00C627B3"/>
    <w:rsid w:val="00C6311E"/>
    <w:rsid w:val="00C631B7"/>
    <w:rsid w:val="00C641E6"/>
    <w:rsid w:val="00C647F4"/>
    <w:rsid w:val="00C6561A"/>
    <w:rsid w:val="00C65840"/>
    <w:rsid w:val="00C6709A"/>
    <w:rsid w:val="00C6739D"/>
    <w:rsid w:val="00C677C4"/>
    <w:rsid w:val="00C67E2B"/>
    <w:rsid w:val="00C7019D"/>
    <w:rsid w:val="00C7065C"/>
    <w:rsid w:val="00C706D4"/>
    <w:rsid w:val="00C71624"/>
    <w:rsid w:val="00C726B9"/>
    <w:rsid w:val="00C73BEA"/>
    <w:rsid w:val="00C748DC"/>
    <w:rsid w:val="00C75BE7"/>
    <w:rsid w:val="00C7640B"/>
    <w:rsid w:val="00C765F7"/>
    <w:rsid w:val="00C77C32"/>
    <w:rsid w:val="00C8016C"/>
    <w:rsid w:val="00C8035C"/>
    <w:rsid w:val="00C815A7"/>
    <w:rsid w:val="00C81AA3"/>
    <w:rsid w:val="00C81CA9"/>
    <w:rsid w:val="00C825F4"/>
    <w:rsid w:val="00C82F02"/>
    <w:rsid w:val="00C83104"/>
    <w:rsid w:val="00C839DE"/>
    <w:rsid w:val="00C83C48"/>
    <w:rsid w:val="00C8481F"/>
    <w:rsid w:val="00C850E9"/>
    <w:rsid w:val="00C87E38"/>
    <w:rsid w:val="00C90AEB"/>
    <w:rsid w:val="00C91AC1"/>
    <w:rsid w:val="00C92701"/>
    <w:rsid w:val="00C927E1"/>
    <w:rsid w:val="00C92A77"/>
    <w:rsid w:val="00C92F28"/>
    <w:rsid w:val="00C944D8"/>
    <w:rsid w:val="00C95DEA"/>
    <w:rsid w:val="00C965A2"/>
    <w:rsid w:val="00C96717"/>
    <w:rsid w:val="00C97A02"/>
    <w:rsid w:val="00CA014A"/>
    <w:rsid w:val="00CA098F"/>
    <w:rsid w:val="00CA1EC8"/>
    <w:rsid w:val="00CA2A61"/>
    <w:rsid w:val="00CA3018"/>
    <w:rsid w:val="00CA378C"/>
    <w:rsid w:val="00CA42DF"/>
    <w:rsid w:val="00CA46B0"/>
    <w:rsid w:val="00CA5448"/>
    <w:rsid w:val="00CA5F46"/>
    <w:rsid w:val="00CA6AA1"/>
    <w:rsid w:val="00CA7452"/>
    <w:rsid w:val="00CA747B"/>
    <w:rsid w:val="00CA74ED"/>
    <w:rsid w:val="00CA7EC1"/>
    <w:rsid w:val="00CB0378"/>
    <w:rsid w:val="00CB0B4C"/>
    <w:rsid w:val="00CB1399"/>
    <w:rsid w:val="00CB1A06"/>
    <w:rsid w:val="00CB3E4F"/>
    <w:rsid w:val="00CB47F6"/>
    <w:rsid w:val="00CB4BF7"/>
    <w:rsid w:val="00CB54FA"/>
    <w:rsid w:val="00CB6F93"/>
    <w:rsid w:val="00CB775B"/>
    <w:rsid w:val="00CC0179"/>
    <w:rsid w:val="00CC0AF5"/>
    <w:rsid w:val="00CC18CD"/>
    <w:rsid w:val="00CC1F15"/>
    <w:rsid w:val="00CC37BC"/>
    <w:rsid w:val="00CC4938"/>
    <w:rsid w:val="00CC4BB9"/>
    <w:rsid w:val="00CC5B99"/>
    <w:rsid w:val="00CC5E55"/>
    <w:rsid w:val="00CC79CB"/>
    <w:rsid w:val="00CC7BE3"/>
    <w:rsid w:val="00CC7F41"/>
    <w:rsid w:val="00CD05A5"/>
    <w:rsid w:val="00CD073A"/>
    <w:rsid w:val="00CD0897"/>
    <w:rsid w:val="00CD0F15"/>
    <w:rsid w:val="00CD1447"/>
    <w:rsid w:val="00CD16FB"/>
    <w:rsid w:val="00CD19DD"/>
    <w:rsid w:val="00CD278C"/>
    <w:rsid w:val="00CD2AA5"/>
    <w:rsid w:val="00CD433A"/>
    <w:rsid w:val="00CD4EA3"/>
    <w:rsid w:val="00CD5CF2"/>
    <w:rsid w:val="00CD62D3"/>
    <w:rsid w:val="00CD77C4"/>
    <w:rsid w:val="00CE0C8D"/>
    <w:rsid w:val="00CE1442"/>
    <w:rsid w:val="00CE1447"/>
    <w:rsid w:val="00CE374F"/>
    <w:rsid w:val="00CE539F"/>
    <w:rsid w:val="00CE5601"/>
    <w:rsid w:val="00CE5CB8"/>
    <w:rsid w:val="00CE65EA"/>
    <w:rsid w:val="00CF01CF"/>
    <w:rsid w:val="00CF230E"/>
    <w:rsid w:val="00CF32D4"/>
    <w:rsid w:val="00CF368A"/>
    <w:rsid w:val="00CF36AD"/>
    <w:rsid w:val="00CF4EC6"/>
    <w:rsid w:val="00CF4FA9"/>
    <w:rsid w:val="00CF51A8"/>
    <w:rsid w:val="00CF5A89"/>
    <w:rsid w:val="00CF6D5E"/>
    <w:rsid w:val="00CF6F46"/>
    <w:rsid w:val="00CF7506"/>
    <w:rsid w:val="00D01692"/>
    <w:rsid w:val="00D02759"/>
    <w:rsid w:val="00D038DF"/>
    <w:rsid w:val="00D040FD"/>
    <w:rsid w:val="00D04B5B"/>
    <w:rsid w:val="00D05732"/>
    <w:rsid w:val="00D05988"/>
    <w:rsid w:val="00D060A8"/>
    <w:rsid w:val="00D06D50"/>
    <w:rsid w:val="00D07126"/>
    <w:rsid w:val="00D0764D"/>
    <w:rsid w:val="00D07D54"/>
    <w:rsid w:val="00D10D3E"/>
    <w:rsid w:val="00D1131C"/>
    <w:rsid w:val="00D120EC"/>
    <w:rsid w:val="00D12815"/>
    <w:rsid w:val="00D12EEB"/>
    <w:rsid w:val="00D13453"/>
    <w:rsid w:val="00D14B6E"/>
    <w:rsid w:val="00D1576B"/>
    <w:rsid w:val="00D15852"/>
    <w:rsid w:val="00D166EB"/>
    <w:rsid w:val="00D16C44"/>
    <w:rsid w:val="00D17806"/>
    <w:rsid w:val="00D20101"/>
    <w:rsid w:val="00D2083E"/>
    <w:rsid w:val="00D21068"/>
    <w:rsid w:val="00D21F77"/>
    <w:rsid w:val="00D23C21"/>
    <w:rsid w:val="00D23C83"/>
    <w:rsid w:val="00D23EC0"/>
    <w:rsid w:val="00D248FC"/>
    <w:rsid w:val="00D24C22"/>
    <w:rsid w:val="00D24FF0"/>
    <w:rsid w:val="00D26A6B"/>
    <w:rsid w:val="00D300D0"/>
    <w:rsid w:val="00D318DB"/>
    <w:rsid w:val="00D31CD7"/>
    <w:rsid w:val="00D32291"/>
    <w:rsid w:val="00D3321B"/>
    <w:rsid w:val="00D3346D"/>
    <w:rsid w:val="00D33628"/>
    <w:rsid w:val="00D34582"/>
    <w:rsid w:val="00D3585D"/>
    <w:rsid w:val="00D35C4C"/>
    <w:rsid w:val="00D35CFD"/>
    <w:rsid w:val="00D36BB8"/>
    <w:rsid w:val="00D3770E"/>
    <w:rsid w:val="00D37894"/>
    <w:rsid w:val="00D409B6"/>
    <w:rsid w:val="00D42D67"/>
    <w:rsid w:val="00D4302E"/>
    <w:rsid w:val="00D43332"/>
    <w:rsid w:val="00D435A7"/>
    <w:rsid w:val="00D441F7"/>
    <w:rsid w:val="00D455CE"/>
    <w:rsid w:val="00D46C38"/>
    <w:rsid w:val="00D47287"/>
    <w:rsid w:val="00D47429"/>
    <w:rsid w:val="00D50F43"/>
    <w:rsid w:val="00D5192D"/>
    <w:rsid w:val="00D519B4"/>
    <w:rsid w:val="00D51D1B"/>
    <w:rsid w:val="00D5374A"/>
    <w:rsid w:val="00D55234"/>
    <w:rsid w:val="00D55320"/>
    <w:rsid w:val="00D5750B"/>
    <w:rsid w:val="00D575CC"/>
    <w:rsid w:val="00D577A3"/>
    <w:rsid w:val="00D57DE2"/>
    <w:rsid w:val="00D57F3F"/>
    <w:rsid w:val="00D608F6"/>
    <w:rsid w:val="00D63008"/>
    <w:rsid w:val="00D632CA"/>
    <w:rsid w:val="00D63DE2"/>
    <w:rsid w:val="00D640C8"/>
    <w:rsid w:val="00D65753"/>
    <w:rsid w:val="00D658A8"/>
    <w:rsid w:val="00D65ED7"/>
    <w:rsid w:val="00D6662B"/>
    <w:rsid w:val="00D66BC6"/>
    <w:rsid w:val="00D67A7E"/>
    <w:rsid w:val="00D712B0"/>
    <w:rsid w:val="00D71719"/>
    <w:rsid w:val="00D71768"/>
    <w:rsid w:val="00D72E7B"/>
    <w:rsid w:val="00D731E2"/>
    <w:rsid w:val="00D734FB"/>
    <w:rsid w:val="00D73DEA"/>
    <w:rsid w:val="00D74418"/>
    <w:rsid w:val="00D75462"/>
    <w:rsid w:val="00D761B1"/>
    <w:rsid w:val="00D76E41"/>
    <w:rsid w:val="00D812DB"/>
    <w:rsid w:val="00D8155B"/>
    <w:rsid w:val="00D82F1F"/>
    <w:rsid w:val="00D84CC7"/>
    <w:rsid w:val="00D84ED1"/>
    <w:rsid w:val="00D854B8"/>
    <w:rsid w:val="00D86E93"/>
    <w:rsid w:val="00D871A4"/>
    <w:rsid w:val="00D872E3"/>
    <w:rsid w:val="00D87F6C"/>
    <w:rsid w:val="00D9033D"/>
    <w:rsid w:val="00D90F85"/>
    <w:rsid w:val="00D91641"/>
    <w:rsid w:val="00D91F2F"/>
    <w:rsid w:val="00D927E4"/>
    <w:rsid w:val="00D92813"/>
    <w:rsid w:val="00D9296C"/>
    <w:rsid w:val="00D92E4A"/>
    <w:rsid w:val="00D93B47"/>
    <w:rsid w:val="00D95EC9"/>
    <w:rsid w:val="00D963CE"/>
    <w:rsid w:val="00D96893"/>
    <w:rsid w:val="00D96B43"/>
    <w:rsid w:val="00D97783"/>
    <w:rsid w:val="00D97ED2"/>
    <w:rsid w:val="00DA07AE"/>
    <w:rsid w:val="00DA286D"/>
    <w:rsid w:val="00DA2A21"/>
    <w:rsid w:val="00DA314B"/>
    <w:rsid w:val="00DA353D"/>
    <w:rsid w:val="00DA3AF0"/>
    <w:rsid w:val="00DA50C1"/>
    <w:rsid w:val="00DA61FD"/>
    <w:rsid w:val="00DA64D4"/>
    <w:rsid w:val="00DA7017"/>
    <w:rsid w:val="00DA75E5"/>
    <w:rsid w:val="00DB09D0"/>
    <w:rsid w:val="00DB1420"/>
    <w:rsid w:val="00DB1839"/>
    <w:rsid w:val="00DB1EBD"/>
    <w:rsid w:val="00DB2600"/>
    <w:rsid w:val="00DB2D92"/>
    <w:rsid w:val="00DB2FFC"/>
    <w:rsid w:val="00DB3C77"/>
    <w:rsid w:val="00DB577E"/>
    <w:rsid w:val="00DB5871"/>
    <w:rsid w:val="00DB5D5E"/>
    <w:rsid w:val="00DB734F"/>
    <w:rsid w:val="00DB7C06"/>
    <w:rsid w:val="00DC081B"/>
    <w:rsid w:val="00DC0B29"/>
    <w:rsid w:val="00DC2E7D"/>
    <w:rsid w:val="00DC3713"/>
    <w:rsid w:val="00DC4D92"/>
    <w:rsid w:val="00DC4E43"/>
    <w:rsid w:val="00DC5698"/>
    <w:rsid w:val="00DC65EA"/>
    <w:rsid w:val="00DD01CF"/>
    <w:rsid w:val="00DD1640"/>
    <w:rsid w:val="00DD33D8"/>
    <w:rsid w:val="00DD34D9"/>
    <w:rsid w:val="00DD3BA3"/>
    <w:rsid w:val="00DD50BE"/>
    <w:rsid w:val="00DD58D5"/>
    <w:rsid w:val="00DD6081"/>
    <w:rsid w:val="00DD64CF"/>
    <w:rsid w:val="00DD720B"/>
    <w:rsid w:val="00DD78E4"/>
    <w:rsid w:val="00DD7BB8"/>
    <w:rsid w:val="00DE070C"/>
    <w:rsid w:val="00DE18AD"/>
    <w:rsid w:val="00DE207F"/>
    <w:rsid w:val="00DE238F"/>
    <w:rsid w:val="00DE341B"/>
    <w:rsid w:val="00DE3A74"/>
    <w:rsid w:val="00DE3D4D"/>
    <w:rsid w:val="00DE6119"/>
    <w:rsid w:val="00DE6472"/>
    <w:rsid w:val="00DE655F"/>
    <w:rsid w:val="00DE6A6D"/>
    <w:rsid w:val="00DE7A8B"/>
    <w:rsid w:val="00DE7F16"/>
    <w:rsid w:val="00DF1A3A"/>
    <w:rsid w:val="00DF234C"/>
    <w:rsid w:val="00DF313B"/>
    <w:rsid w:val="00DF36AB"/>
    <w:rsid w:val="00DF45D1"/>
    <w:rsid w:val="00DF4771"/>
    <w:rsid w:val="00DF4D05"/>
    <w:rsid w:val="00DF4E9F"/>
    <w:rsid w:val="00DF53D3"/>
    <w:rsid w:val="00DF5B9F"/>
    <w:rsid w:val="00DF651D"/>
    <w:rsid w:val="00DF65B2"/>
    <w:rsid w:val="00DF6CA0"/>
    <w:rsid w:val="00DF74A1"/>
    <w:rsid w:val="00DF7E43"/>
    <w:rsid w:val="00E000A5"/>
    <w:rsid w:val="00E00F81"/>
    <w:rsid w:val="00E00F99"/>
    <w:rsid w:val="00E013E1"/>
    <w:rsid w:val="00E02D6E"/>
    <w:rsid w:val="00E0324E"/>
    <w:rsid w:val="00E03E07"/>
    <w:rsid w:val="00E057A8"/>
    <w:rsid w:val="00E05D00"/>
    <w:rsid w:val="00E060BA"/>
    <w:rsid w:val="00E07155"/>
    <w:rsid w:val="00E07CB5"/>
    <w:rsid w:val="00E1095B"/>
    <w:rsid w:val="00E10C72"/>
    <w:rsid w:val="00E11176"/>
    <w:rsid w:val="00E11925"/>
    <w:rsid w:val="00E11CE8"/>
    <w:rsid w:val="00E12894"/>
    <w:rsid w:val="00E1308F"/>
    <w:rsid w:val="00E1331C"/>
    <w:rsid w:val="00E14754"/>
    <w:rsid w:val="00E14E26"/>
    <w:rsid w:val="00E158B8"/>
    <w:rsid w:val="00E15E0E"/>
    <w:rsid w:val="00E17DA6"/>
    <w:rsid w:val="00E20D19"/>
    <w:rsid w:val="00E212A8"/>
    <w:rsid w:val="00E21831"/>
    <w:rsid w:val="00E21B54"/>
    <w:rsid w:val="00E21F15"/>
    <w:rsid w:val="00E22777"/>
    <w:rsid w:val="00E22F3A"/>
    <w:rsid w:val="00E23B81"/>
    <w:rsid w:val="00E2406E"/>
    <w:rsid w:val="00E24D28"/>
    <w:rsid w:val="00E25834"/>
    <w:rsid w:val="00E2651A"/>
    <w:rsid w:val="00E278A1"/>
    <w:rsid w:val="00E303B3"/>
    <w:rsid w:val="00E3110A"/>
    <w:rsid w:val="00E3140C"/>
    <w:rsid w:val="00E315D4"/>
    <w:rsid w:val="00E3189A"/>
    <w:rsid w:val="00E31C89"/>
    <w:rsid w:val="00E32E88"/>
    <w:rsid w:val="00E33032"/>
    <w:rsid w:val="00E359C3"/>
    <w:rsid w:val="00E3623E"/>
    <w:rsid w:val="00E3677D"/>
    <w:rsid w:val="00E36E74"/>
    <w:rsid w:val="00E36ECA"/>
    <w:rsid w:val="00E37036"/>
    <w:rsid w:val="00E40141"/>
    <w:rsid w:val="00E4159E"/>
    <w:rsid w:val="00E41865"/>
    <w:rsid w:val="00E42DB3"/>
    <w:rsid w:val="00E4363E"/>
    <w:rsid w:val="00E4397B"/>
    <w:rsid w:val="00E43F0C"/>
    <w:rsid w:val="00E44017"/>
    <w:rsid w:val="00E45743"/>
    <w:rsid w:val="00E46126"/>
    <w:rsid w:val="00E466C1"/>
    <w:rsid w:val="00E4684C"/>
    <w:rsid w:val="00E470B0"/>
    <w:rsid w:val="00E5029D"/>
    <w:rsid w:val="00E51AB7"/>
    <w:rsid w:val="00E52787"/>
    <w:rsid w:val="00E53F22"/>
    <w:rsid w:val="00E546FE"/>
    <w:rsid w:val="00E55D46"/>
    <w:rsid w:val="00E566FC"/>
    <w:rsid w:val="00E56F00"/>
    <w:rsid w:val="00E56FA4"/>
    <w:rsid w:val="00E5706A"/>
    <w:rsid w:val="00E61585"/>
    <w:rsid w:val="00E6202B"/>
    <w:rsid w:val="00E63172"/>
    <w:rsid w:val="00E631C9"/>
    <w:rsid w:val="00E63F17"/>
    <w:rsid w:val="00E64345"/>
    <w:rsid w:val="00E64E45"/>
    <w:rsid w:val="00E653A2"/>
    <w:rsid w:val="00E6555A"/>
    <w:rsid w:val="00E66C06"/>
    <w:rsid w:val="00E66F4E"/>
    <w:rsid w:val="00E6732A"/>
    <w:rsid w:val="00E67455"/>
    <w:rsid w:val="00E67ECB"/>
    <w:rsid w:val="00E70B39"/>
    <w:rsid w:val="00E70E5B"/>
    <w:rsid w:val="00E710AB"/>
    <w:rsid w:val="00E714C5"/>
    <w:rsid w:val="00E716F3"/>
    <w:rsid w:val="00E71B07"/>
    <w:rsid w:val="00E72B21"/>
    <w:rsid w:val="00E74B51"/>
    <w:rsid w:val="00E755B5"/>
    <w:rsid w:val="00E75F54"/>
    <w:rsid w:val="00E762C4"/>
    <w:rsid w:val="00E779FC"/>
    <w:rsid w:val="00E809D9"/>
    <w:rsid w:val="00E80C6F"/>
    <w:rsid w:val="00E81223"/>
    <w:rsid w:val="00E81F73"/>
    <w:rsid w:val="00E822E6"/>
    <w:rsid w:val="00E8277C"/>
    <w:rsid w:val="00E82AB7"/>
    <w:rsid w:val="00E842BF"/>
    <w:rsid w:val="00E844B0"/>
    <w:rsid w:val="00E8469C"/>
    <w:rsid w:val="00E849E2"/>
    <w:rsid w:val="00E84EE9"/>
    <w:rsid w:val="00E8543D"/>
    <w:rsid w:val="00E85C50"/>
    <w:rsid w:val="00E86745"/>
    <w:rsid w:val="00E877EA"/>
    <w:rsid w:val="00E90758"/>
    <w:rsid w:val="00E92595"/>
    <w:rsid w:val="00E93B63"/>
    <w:rsid w:val="00E94522"/>
    <w:rsid w:val="00E9476D"/>
    <w:rsid w:val="00E94A72"/>
    <w:rsid w:val="00E95191"/>
    <w:rsid w:val="00E9565E"/>
    <w:rsid w:val="00E95CEF"/>
    <w:rsid w:val="00E961F7"/>
    <w:rsid w:val="00E968C5"/>
    <w:rsid w:val="00E969BD"/>
    <w:rsid w:val="00E96A43"/>
    <w:rsid w:val="00E96D9A"/>
    <w:rsid w:val="00E979D7"/>
    <w:rsid w:val="00E97DDE"/>
    <w:rsid w:val="00E97EDC"/>
    <w:rsid w:val="00EA03FD"/>
    <w:rsid w:val="00EA0F09"/>
    <w:rsid w:val="00EA1F3A"/>
    <w:rsid w:val="00EA37FF"/>
    <w:rsid w:val="00EA3877"/>
    <w:rsid w:val="00EA3B00"/>
    <w:rsid w:val="00EA3DD0"/>
    <w:rsid w:val="00EA4AB7"/>
    <w:rsid w:val="00EA50A2"/>
    <w:rsid w:val="00EA521A"/>
    <w:rsid w:val="00EA58B2"/>
    <w:rsid w:val="00EA5CCD"/>
    <w:rsid w:val="00EA68DA"/>
    <w:rsid w:val="00EA690B"/>
    <w:rsid w:val="00EA6B40"/>
    <w:rsid w:val="00EA7A19"/>
    <w:rsid w:val="00EB1202"/>
    <w:rsid w:val="00EB1995"/>
    <w:rsid w:val="00EB1A0E"/>
    <w:rsid w:val="00EB2E7E"/>
    <w:rsid w:val="00EB3840"/>
    <w:rsid w:val="00EB4555"/>
    <w:rsid w:val="00EB58A9"/>
    <w:rsid w:val="00EB705A"/>
    <w:rsid w:val="00EB7EA9"/>
    <w:rsid w:val="00EC13F3"/>
    <w:rsid w:val="00EC1E77"/>
    <w:rsid w:val="00EC2868"/>
    <w:rsid w:val="00EC442D"/>
    <w:rsid w:val="00EC4B3B"/>
    <w:rsid w:val="00EC63D1"/>
    <w:rsid w:val="00EC6675"/>
    <w:rsid w:val="00EC689E"/>
    <w:rsid w:val="00EC6C6A"/>
    <w:rsid w:val="00EC6FEB"/>
    <w:rsid w:val="00EC733D"/>
    <w:rsid w:val="00ED0BBD"/>
    <w:rsid w:val="00ED19C9"/>
    <w:rsid w:val="00ED242E"/>
    <w:rsid w:val="00ED282C"/>
    <w:rsid w:val="00ED2E82"/>
    <w:rsid w:val="00ED38C8"/>
    <w:rsid w:val="00ED4171"/>
    <w:rsid w:val="00ED4475"/>
    <w:rsid w:val="00ED53A4"/>
    <w:rsid w:val="00ED5D07"/>
    <w:rsid w:val="00ED6197"/>
    <w:rsid w:val="00ED6716"/>
    <w:rsid w:val="00ED6C8B"/>
    <w:rsid w:val="00ED6E99"/>
    <w:rsid w:val="00ED7922"/>
    <w:rsid w:val="00ED7B3B"/>
    <w:rsid w:val="00EE0D20"/>
    <w:rsid w:val="00EE104B"/>
    <w:rsid w:val="00EE1837"/>
    <w:rsid w:val="00EE1A7B"/>
    <w:rsid w:val="00EE1FCB"/>
    <w:rsid w:val="00EE1FDA"/>
    <w:rsid w:val="00EE27BA"/>
    <w:rsid w:val="00EE32DE"/>
    <w:rsid w:val="00EE4B3F"/>
    <w:rsid w:val="00EE681E"/>
    <w:rsid w:val="00EF084E"/>
    <w:rsid w:val="00EF0979"/>
    <w:rsid w:val="00EF11E9"/>
    <w:rsid w:val="00EF2295"/>
    <w:rsid w:val="00EF2AF1"/>
    <w:rsid w:val="00EF2F2E"/>
    <w:rsid w:val="00EF3814"/>
    <w:rsid w:val="00EF39E0"/>
    <w:rsid w:val="00EF3A0D"/>
    <w:rsid w:val="00EF3F60"/>
    <w:rsid w:val="00EF48BD"/>
    <w:rsid w:val="00EF5FBF"/>
    <w:rsid w:val="00EF6100"/>
    <w:rsid w:val="00EF6981"/>
    <w:rsid w:val="00F02018"/>
    <w:rsid w:val="00F02A71"/>
    <w:rsid w:val="00F02C3F"/>
    <w:rsid w:val="00F02CAA"/>
    <w:rsid w:val="00F04F95"/>
    <w:rsid w:val="00F05BF4"/>
    <w:rsid w:val="00F06536"/>
    <w:rsid w:val="00F07760"/>
    <w:rsid w:val="00F102D4"/>
    <w:rsid w:val="00F10457"/>
    <w:rsid w:val="00F10999"/>
    <w:rsid w:val="00F10F47"/>
    <w:rsid w:val="00F11188"/>
    <w:rsid w:val="00F1138F"/>
    <w:rsid w:val="00F121CD"/>
    <w:rsid w:val="00F12B9E"/>
    <w:rsid w:val="00F12D4D"/>
    <w:rsid w:val="00F1420C"/>
    <w:rsid w:val="00F16DBE"/>
    <w:rsid w:val="00F1709F"/>
    <w:rsid w:val="00F1753B"/>
    <w:rsid w:val="00F17935"/>
    <w:rsid w:val="00F2036E"/>
    <w:rsid w:val="00F20541"/>
    <w:rsid w:val="00F21C19"/>
    <w:rsid w:val="00F22DC8"/>
    <w:rsid w:val="00F22F43"/>
    <w:rsid w:val="00F2353B"/>
    <w:rsid w:val="00F23AB8"/>
    <w:rsid w:val="00F24452"/>
    <w:rsid w:val="00F25167"/>
    <w:rsid w:val="00F25491"/>
    <w:rsid w:val="00F2736D"/>
    <w:rsid w:val="00F27673"/>
    <w:rsid w:val="00F30258"/>
    <w:rsid w:val="00F30C48"/>
    <w:rsid w:val="00F31B7B"/>
    <w:rsid w:val="00F323E1"/>
    <w:rsid w:val="00F32CC7"/>
    <w:rsid w:val="00F32FA6"/>
    <w:rsid w:val="00F330B0"/>
    <w:rsid w:val="00F33434"/>
    <w:rsid w:val="00F334A3"/>
    <w:rsid w:val="00F3445A"/>
    <w:rsid w:val="00F35CD6"/>
    <w:rsid w:val="00F3638D"/>
    <w:rsid w:val="00F36407"/>
    <w:rsid w:val="00F36A46"/>
    <w:rsid w:val="00F37ABE"/>
    <w:rsid w:val="00F40967"/>
    <w:rsid w:val="00F4166C"/>
    <w:rsid w:val="00F41C0B"/>
    <w:rsid w:val="00F42271"/>
    <w:rsid w:val="00F429AC"/>
    <w:rsid w:val="00F43F7D"/>
    <w:rsid w:val="00F440BE"/>
    <w:rsid w:val="00F44930"/>
    <w:rsid w:val="00F44FE5"/>
    <w:rsid w:val="00F4572C"/>
    <w:rsid w:val="00F45C1D"/>
    <w:rsid w:val="00F470D1"/>
    <w:rsid w:val="00F476B4"/>
    <w:rsid w:val="00F5027F"/>
    <w:rsid w:val="00F50895"/>
    <w:rsid w:val="00F5186C"/>
    <w:rsid w:val="00F53659"/>
    <w:rsid w:val="00F542EC"/>
    <w:rsid w:val="00F55129"/>
    <w:rsid w:val="00F566D3"/>
    <w:rsid w:val="00F5675E"/>
    <w:rsid w:val="00F5753C"/>
    <w:rsid w:val="00F57AE2"/>
    <w:rsid w:val="00F60093"/>
    <w:rsid w:val="00F603B8"/>
    <w:rsid w:val="00F60CEE"/>
    <w:rsid w:val="00F6121A"/>
    <w:rsid w:val="00F61A9D"/>
    <w:rsid w:val="00F61B96"/>
    <w:rsid w:val="00F6264E"/>
    <w:rsid w:val="00F62BFE"/>
    <w:rsid w:val="00F6532E"/>
    <w:rsid w:val="00F6544E"/>
    <w:rsid w:val="00F67877"/>
    <w:rsid w:val="00F71696"/>
    <w:rsid w:val="00F729E4"/>
    <w:rsid w:val="00F72AA6"/>
    <w:rsid w:val="00F73F3E"/>
    <w:rsid w:val="00F742E8"/>
    <w:rsid w:val="00F743C6"/>
    <w:rsid w:val="00F7465D"/>
    <w:rsid w:val="00F7669A"/>
    <w:rsid w:val="00F76D86"/>
    <w:rsid w:val="00F76F46"/>
    <w:rsid w:val="00F77728"/>
    <w:rsid w:val="00F80290"/>
    <w:rsid w:val="00F81CB6"/>
    <w:rsid w:val="00F8288A"/>
    <w:rsid w:val="00F832B6"/>
    <w:rsid w:val="00F842AE"/>
    <w:rsid w:val="00F84C4C"/>
    <w:rsid w:val="00F850E7"/>
    <w:rsid w:val="00F85B7C"/>
    <w:rsid w:val="00F8647A"/>
    <w:rsid w:val="00F86B99"/>
    <w:rsid w:val="00F872F8"/>
    <w:rsid w:val="00F87F4D"/>
    <w:rsid w:val="00F90524"/>
    <w:rsid w:val="00F907CA"/>
    <w:rsid w:val="00F90D1A"/>
    <w:rsid w:val="00F92ADE"/>
    <w:rsid w:val="00F92CB8"/>
    <w:rsid w:val="00F92D84"/>
    <w:rsid w:val="00F9367C"/>
    <w:rsid w:val="00F93F8E"/>
    <w:rsid w:val="00F94856"/>
    <w:rsid w:val="00F94B98"/>
    <w:rsid w:val="00F95086"/>
    <w:rsid w:val="00F95341"/>
    <w:rsid w:val="00F956A9"/>
    <w:rsid w:val="00F9601E"/>
    <w:rsid w:val="00F96115"/>
    <w:rsid w:val="00FA05D0"/>
    <w:rsid w:val="00FA249B"/>
    <w:rsid w:val="00FA28A0"/>
    <w:rsid w:val="00FA4F63"/>
    <w:rsid w:val="00FA640C"/>
    <w:rsid w:val="00FA75E4"/>
    <w:rsid w:val="00FB13CE"/>
    <w:rsid w:val="00FB3013"/>
    <w:rsid w:val="00FB3253"/>
    <w:rsid w:val="00FB3303"/>
    <w:rsid w:val="00FB3621"/>
    <w:rsid w:val="00FB38C7"/>
    <w:rsid w:val="00FB38FD"/>
    <w:rsid w:val="00FB3A03"/>
    <w:rsid w:val="00FB43B5"/>
    <w:rsid w:val="00FB4570"/>
    <w:rsid w:val="00FB5250"/>
    <w:rsid w:val="00FB5440"/>
    <w:rsid w:val="00FB5809"/>
    <w:rsid w:val="00FB63D6"/>
    <w:rsid w:val="00FB6795"/>
    <w:rsid w:val="00FB69FC"/>
    <w:rsid w:val="00FB7274"/>
    <w:rsid w:val="00FB77A2"/>
    <w:rsid w:val="00FB7E68"/>
    <w:rsid w:val="00FC034D"/>
    <w:rsid w:val="00FC1ECA"/>
    <w:rsid w:val="00FC211F"/>
    <w:rsid w:val="00FC318B"/>
    <w:rsid w:val="00FC34E3"/>
    <w:rsid w:val="00FC3C35"/>
    <w:rsid w:val="00FC4C1A"/>
    <w:rsid w:val="00FC4DC4"/>
    <w:rsid w:val="00FC509D"/>
    <w:rsid w:val="00FC5632"/>
    <w:rsid w:val="00FC6282"/>
    <w:rsid w:val="00FC6A5B"/>
    <w:rsid w:val="00FD07F0"/>
    <w:rsid w:val="00FD101A"/>
    <w:rsid w:val="00FD12F4"/>
    <w:rsid w:val="00FD2281"/>
    <w:rsid w:val="00FD299B"/>
    <w:rsid w:val="00FD33C6"/>
    <w:rsid w:val="00FD3C5C"/>
    <w:rsid w:val="00FD4093"/>
    <w:rsid w:val="00FD44B9"/>
    <w:rsid w:val="00FD4AFB"/>
    <w:rsid w:val="00FD5B6E"/>
    <w:rsid w:val="00FD6CE0"/>
    <w:rsid w:val="00FD7236"/>
    <w:rsid w:val="00FD7C86"/>
    <w:rsid w:val="00FE087E"/>
    <w:rsid w:val="00FE0BF0"/>
    <w:rsid w:val="00FE0D5E"/>
    <w:rsid w:val="00FE1183"/>
    <w:rsid w:val="00FE136F"/>
    <w:rsid w:val="00FE16FF"/>
    <w:rsid w:val="00FE2B37"/>
    <w:rsid w:val="00FE2C99"/>
    <w:rsid w:val="00FE33F4"/>
    <w:rsid w:val="00FE3549"/>
    <w:rsid w:val="00FE64B2"/>
    <w:rsid w:val="00FE764D"/>
    <w:rsid w:val="00FE7806"/>
    <w:rsid w:val="00FF076E"/>
    <w:rsid w:val="00FF093C"/>
    <w:rsid w:val="00FF0D6A"/>
    <w:rsid w:val="00FF0DD6"/>
    <w:rsid w:val="00FF20C7"/>
    <w:rsid w:val="00FF26AB"/>
    <w:rsid w:val="00FF2891"/>
    <w:rsid w:val="00FF2A8D"/>
    <w:rsid w:val="00FF35C8"/>
    <w:rsid w:val="00FF3891"/>
    <w:rsid w:val="00FF3A52"/>
    <w:rsid w:val="00FF5448"/>
    <w:rsid w:val="00FF606C"/>
    <w:rsid w:val="00FF64FF"/>
    <w:rsid w:val="00FF6737"/>
    <w:rsid w:val="00FF6E70"/>
    <w:rsid w:val="00FF78AB"/>
    <w:rsid w:val="01141165"/>
    <w:rsid w:val="0132165E"/>
    <w:rsid w:val="01541EA9"/>
    <w:rsid w:val="015B5E89"/>
    <w:rsid w:val="015C41C0"/>
    <w:rsid w:val="017504EF"/>
    <w:rsid w:val="01773850"/>
    <w:rsid w:val="018514CF"/>
    <w:rsid w:val="01A36007"/>
    <w:rsid w:val="01AA6B91"/>
    <w:rsid w:val="01B446F6"/>
    <w:rsid w:val="01D04FB0"/>
    <w:rsid w:val="01D67895"/>
    <w:rsid w:val="01EC24F0"/>
    <w:rsid w:val="01F03070"/>
    <w:rsid w:val="01F36FCC"/>
    <w:rsid w:val="020B15E2"/>
    <w:rsid w:val="02255EEF"/>
    <w:rsid w:val="02304B14"/>
    <w:rsid w:val="027B3E8B"/>
    <w:rsid w:val="027E6390"/>
    <w:rsid w:val="02805D9F"/>
    <w:rsid w:val="0282550E"/>
    <w:rsid w:val="029A1300"/>
    <w:rsid w:val="029A58F6"/>
    <w:rsid w:val="02A93205"/>
    <w:rsid w:val="02BE192E"/>
    <w:rsid w:val="02C1356F"/>
    <w:rsid w:val="02C9429A"/>
    <w:rsid w:val="02D05D23"/>
    <w:rsid w:val="02E33824"/>
    <w:rsid w:val="02E41D10"/>
    <w:rsid w:val="02E74900"/>
    <w:rsid w:val="02F53218"/>
    <w:rsid w:val="02F71735"/>
    <w:rsid w:val="02FF6A15"/>
    <w:rsid w:val="030328F7"/>
    <w:rsid w:val="030F7B68"/>
    <w:rsid w:val="03196435"/>
    <w:rsid w:val="032F1CDA"/>
    <w:rsid w:val="032F2336"/>
    <w:rsid w:val="03424500"/>
    <w:rsid w:val="03460B08"/>
    <w:rsid w:val="034649C6"/>
    <w:rsid w:val="03724869"/>
    <w:rsid w:val="039E6044"/>
    <w:rsid w:val="03A54A96"/>
    <w:rsid w:val="03A7287E"/>
    <w:rsid w:val="03AC1AC9"/>
    <w:rsid w:val="03DD441F"/>
    <w:rsid w:val="03E47307"/>
    <w:rsid w:val="03FF3147"/>
    <w:rsid w:val="04084C1E"/>
    <w:rsid w:val="04105CA1"/>
    <w:rsid w:val="04274F6C"/>
    <w:rsid w:val="0432215C"/>
    <w:rsid w:val="04561CA4"/>
    <w:rsid w:val="045F1621"/>
    <w:rsid w:val="046057CC"/>
    <w:rsid w:val="04663419"/>
    <w:rsid w:val="047A32A7"/>
    <w:rsid w:val="0480065E"/>
    <w:rsid w:val="0482726E"/>
    <w:rsid w:val="04874344"/>
    <w:rsid w:val="048E7A52"/>
    <w:rsid w:val="049C572C"/>
    <w:rsid w:val="04A21DD8"/>
    <w:rsid w:val="04AB0032"/>
    <w:rsid w:val="04C36310"/>
    <w:rsid w:val="04C42EA2"/>
    <w:rsid w:val="04E92229"/>
    <w:rsid w:val="05085D8E"/>
    <w:rsid w:val="050B309E"/>
    <w:rsid w:val="050D4048"/>
    <w:rsid w:val="051A0D14"/>
    <w:rsid w:val="05344298"/>
    <w:rsid w:val="053C7445"/>
    <w:rsid w:val="054A1402"/>
    <w:rsid w:val="055118A4"/>
    <w:rsid w:val="055C62DC"/>
    <w:rsid w:val="055D039B"/>
    <w:rsid w:val="05703739"/>
    <w:rsid w:val="05736E9F"/>
    <w:rsid w:val="05795874"/>
    <w:rsid w:val="057B1E71"/>
    <w:rsid w:val="057C5689"/>
    <w:rsid w:val="05895BD8"/>
    <w:rsid w:val="058A40EC"/>
    <w:rsid w:val="05C5154F"/>
    <w:rsid w:val="05CC0260"/>
    <w:rsid w:val="062E122E"/>
    <w:rsid w:val="063311C0"/>
    <w:rsid w:val="063A0531"/>
    <w:rsid w:val="065C502A"/>
    <w:rsid w:val="06614229"/>
    <w:rsid w:val="06755D79"/>
    <w:rsid w:val="06760C81"/>
    <w:rsid w:val="067C0AF3"/>
    <w:rsid w:val="0691746B"/>
    <w:rsid w:val="06A978C4"/>
    <w:rsid w:val="06AC6774"/>
    <w:rsid w:val="06B1480E"/>
    <w:rsid w:val="06C23411"/>
    <w:rsid w:val="06C842A1"/>
    <w:rsid w:val="06DA5CE2"/>
    <w:rsid w:val="06DE46EF"/>
    <w:rsid w:val="07004177"/>
    <w:rsid w:val="07064D0C"/>
    <w:rsid w:val="070D42AC"/>
    <w:rsid w:val="072D6C12"/>
    <w:rsid w:val="07445515"/>
    <w:rsid w:val="07463BA1"/>
    <w:rsid w:val="074B0422"/>
    <w:rsid w:val="075E2602"/>
    <w:rsid w:val="07764EF8"/>
    <w:rsid w:val="077D644C"/>
    <w:rsid w:val="077F3561"/>
    <w:rsid w:val="078768CA"/>
    <w:rsid w:val="078F023C"/>
    <w:rsid w:val="07AF7E3A"/>
    <w:rsid w:val="07B36330"/>
    <w:rsid w:val="07B90609"/>
    <w:rsid w:val="07BB62EA"/>
    <w:rsid w:val="07C05FBE"/>
    <w:rsid w:val="07C84092"/>
    <w:rsid w:val="07D607B4"/>
    <w:rsid w:val="07DC60FC"/>
    <w:rsid w:val="07ED2710"/>
    <w:rsid w:val="07FB6BDB"/>
    <w:rsid w:val="07FB7C6F"/>
    <w:rsid w:val="08113CC6"/>
    <w:rsid w:val="08227A65"/>
    <w:rsid w:val="08337E2C"/>
    <w:rsid w:val="08475346"/>
    <w:rsid w:val="08512554"/>
    <w:rsid w:val="08517051"/>
    <w:rsid w:val="08696902"/>
    <w:rsid w:val="08716E9D"/>
    <w:rsid w:val="08756C95"/>
    <w:rsid w:val="087A28BD"/>
    <w:rsid w:val="08825E7E"/>
    <w:rsid w:val="08836E5A"/>
    <w:rsid w:val="08A1068D"/>
    <w:rsid w:val="08AF1E02"/>
    <w:rsid w:val="08B36D85"/>
    <w:rsid w:val="08BD03D6"/>
    <w:rsid w:val="08C03E35"/>
    <w:rsid w:val="08C03EB4"/>
    <w:rsid w:val="08C90727"/>
    <w:rsid w:val="08D862EE"/>
    <w:rsid w:val="08D91DF4"/>
    <w:rsid w:val="08DA56C7"/>
    <w:rsid w:val="08F60FE0"/>
    <w:rsid w:val="08F76479"/>
    <w:rsid w:val="091D6A85"/>
    <w:rsid w:val="091E3C7B"/>
    <w:rsid w:val="0935611C"/>
    <w:rsid w:val="09481B34"/>
    <w:rsid w:val="09492EB1"/>
    <w:rsid w:val="096C34A6"/>
    <w:rsid w:val="09811EE5"/>
    <w:rsid w:val="09843FB8"/>
    <w:rsid w:val="099214A8"/>
    <w:rsid w:val="09AC25DA"/>
    <w:rsid w:val="09E50AC0"/>
    <w:rsid w:val="09E80071"/>
    <w:rsid w:val="09F514E6"/>
    <w:rsid w:val="09F76A1E"/>
    <w:rsid w:val="09FF59FD"/>
    <w:rsid w:val="0A064577"/>
    <w:rsid w:val="0A0D15A5"/>
    <w:rsid w:val="0A2A7C4B"/>
    <w:rsid w:val="0A4A0517"/>
    <w:rsid w:val="0A4C4782"/>
    <w:rsid w:val="0A511FD4"/>
    <w:rsid w:val="0A5B7E05"/>
    <w:rsid w:val="0A5F5778"/>
    <w:rsid w:val="0A6D18E6"/>
    <w:rsid w:val="0A817597"/>
    <w:rsid w:val="0A862400"/>
    <w:rsid w:val="0A8F7AAE"/>
    <w:rsid w:val="0A99205D"/>
    <w:rsid w:val="0AA45992"/>
    <w:rsid w:val="0AA870FF"/>
    <w:rsid w:val="0AAA4ABF"/>
    <w:rsid w:val="0AB24B17"/>
    <w:rsid w:val="0AB47E6B"/>
    <w:rsid w:val="0AB86ABD"/>
    <w:rsid w:val="0ABC15C4"/>
    <w:rsid w:val="0ABD47AF"/>
    <w:rsid w:val="0ABF2822"/>
    <w:rsid w:val="0AC65CFA"/>
    <w:rsid w:val="0ACB13AF"/>
    <w:rsid w:val="0AD05250"/>
    <w:rsid w:val="0ADC5EF2"/>
    <w:rsid w:val="0AE151C3"/>
    <w:rsid w:val="0AF1174B"/>
    <w:rsid w:val="0AF21656"/>
    <w:rsid w:val="0B0B35D9"/>
    <w:rsid w:val="0B170464"/>
    <w:rsid w:val="0B210661"/>
    <w:rsid w:val="0B3279FA"/>
    <w:rsid w:val="0B3C0BDE"/>
    <w:rsid w:val="0B407F54"/>
    <w:rsid w:val="0B46776D"/>
    <w:rsid w:val="0B536D2E"/>
    <w:rsid w:val="0B5A21E3"/>
    <w:rsid w:val="0B7849E6"/>
    <w:rsid w:val="0B786278"/>
    <w:rsid w:val="0B7A6BEF"/>
    <w:rsid w:val="0B931C03"/>
    <w:rsid w:val="0BAD17A5"/>
    <w:rsid w:val="0BB23769"/>
    <w:rsid w:val="0BB368F1"/>
    <w:rsid w:val="0BD350EC"/>
    <w:rsid w:val="0BD44010"/>
    <w:rsid w:val="0BE51527"/>
    <w:rsid w:val="0BEF6A3B"/>
    <w:rsid w:val="0BFC1847"/>
    <w:rsid w:val="0C000C51"/>
    <w:rsid w:val="0C047BFC"/>
    <w:rsid w:val="0C0A4F23"/>
    <w:rsid w:val="0C0B1A52"/>
    <w:rsid w:val="0C130483"/>
    <w:rsid w:val="0C2511C7"/>
    <w:rsid w:val="0C3F1504"/>
    <w:rsid w:val="0C440FC8"/>
    <w:rsid w:val="0C47757A"/>
    <w:rsid w:val="0C550ADC"/>
    <w:rsid w:val="0C690FD1"/>
    <w:rsid w:val="0C6953E6"/>
    <w:rsid w:val="0C786BAB"/>
    <w:rsid w:val="0C7B2A81"/>
    <w:rsid w:val="0C847036"/>
    <w:rsid w:val="0C8E2713"/>
    <w:rsid w:val="0CA7759A"/>
    <w:rsid w:val="0CD26D54"/>
    <w:rsid w:val="0CF23BD7"/>
    <w:rsid w:val="0CFD78F0"/>
    <w:rsid w:val="0D2B2717"/>
    <w:rsid w:val="0D4A0E38"/>
    <w:rsid w:val="0D533015"/>
    <w:rsid w:val="0D642A0D"/>
    <w:rsid w:val="0D652CF1"/>
    <w:rsid w:val="0D670D2D"/>
    <w:rsid w:val="0D6B3B96"/>
    <w:rsid w:val="0D6F4892"/>
    <w:rsid w:val="0D797E02"/>
    <w:rsid w:val="0DB0642F"/>
    <w:rsid w:val="0DB11628"/>
    <w:rsid w:val="0DBD4B03"/>
    <w:rsid w:val="0DD413B5"/>
    <w:rsid w:val="0DD8176C"/>
    <w:rsid w:val="0DE469DA"/>
    <w:rsid w:val="0DE95727"/>
    <w:rsid w:val="0DEF1A08"/>
    <w:rsid w:val="0DF27B59"/>
    <w:rsid w:val="0E012A71"/>
    <w:rsid w:val="0E0F5406"/>
    <w:rsid w:val="0E232687"/>
    <w:rsid w:val="0E2B4287"/>
    <w:rsid w:val="0E381887"/>
    <w:rsid w:val="0E497EAD"/>
    <w:rsid w:val="0E576326"/>
    <w:rsid w:val="0E5914C3"/>
    <w:rsid w:val="0E5D666D"/>
    <w:rsid w:val="0E6F7D32"/>
    <w:rsid w:val="0E8A7452"/>
    <w:rsid w:val="0E9334A4"/>
    <w:rsid w:val="0E944F35"/>
    <w:rsid w:val="0E9A72AC"/>
    <w:rsid w:val="0E9A7C47"/>
    <w:rsid w:val="0E9B2EC6"/>
    <w:rsid w:val="0E9E2C54"/>
    <w:rsid w:val="0EA14E06"/>
    <w:rsid w:val="0EA8581B"/>
    <w:rsid w:val="0EAB551A"/>
    <w:rsid w:val="0ECA2AB9"/>
    <w:rsid w:val="0EE924E5"/>
    <w:rsid w:val="0EF23211"/>
    <w:rsid w:val="0EF6630C"/>
    <w:rsid w:val="0EF97BEC"/>
    <w:rsid w:val="0EFB26A4"/>
    <w:rsid w:val="0F192B9A"/>
    <w:rsid w:val="0F2850C3"/>
    <w:rsid w:val="0F2F1860"/>
    <w:rsid w:val="0F39240B"/>
    <w:rsid w:val="0F3A19A5"/>
    <w:rsid w:val="0F3D21CF"/>
    <w:rsid w:val="0F6901C8"/>
    <w:rsid w:val="0F845128"/>
    <w:rsid w:val="0F8A32C0"/>
    <w:rsid w:val="0F99444A"/>
    <w:rsid w:val="0F9B0ACB"/>
    <w:rsid w:val="0FCD7BCA"/>
    <w:rsid w:val="0FD00E15"/>
    <w:rsid w:val="0FE228AC"/>
    <w:rsid w:val="0FE85C8F"/>
    <w:rsid w:val="0FEF451E"/>
    <w:rsid w:val="10196590"/>
    <w:rsid w:val="10295F53"/>
    <w:rsid w:val="102A14B0"/>
    <w:rsid w:val="102F5C71"/>
    <w:rsid w:val="103304DE"/>
    <w:rsid w:val="10361CF1"/>
    <w:rsid w:val="10493DD6"/>
    <w:rsid w:val="104E5D16"/>
    <w:rsid w:val="105E4478"/>
    <w:rsid w:val="10847F78"/>
    <w:rsid w:val="10913255"/>
    <w:rsid w:val="10924645"/>
    <w:rsid w:val="1092654A"/>
    <w:rsid w:val="10B75FF2"/>
    <w:rsid w:val="10CB410E"/>
    <w:rsid w:val="10D27B7E"/>
    <w:rsid w:val="10E367E0"/>
    <w:rsid w:val="10E44422"/>
    <w:rsid w:val="10E50428"/>
    <w:rsid w:val="10E625BB"/>
    <w:rsid w:val="10E76AC2"/>
    <w:rsid w:val="10E80D08"/>
    <w:rsid w:val="10EA428D"/>
    <w:rsid w:val="11052C91"/>
    <w:rsid w:val="11090305"/>
    <w:rsid w:val="112A1A53"/>
    <w:rsid w:val="112A6783"/>
    <w:rsid w:val="112D55A1"/>
    <w:rsid w:val="11423101"/>
    <w:rsid w:val="115B24FE"/>
    <w:rsid w:val="116D4217"/>
    <w:rsid w:val="11830BF8"/>
    <w:rsid w:val="11897CE1"/>
    <w:rsid w:val="118F398A"/>
    <w:rsid w:val="11991709"/>
    <w:rsid w:val="11A110D7"/>
    <w:rsid w:val="11B36379"/>
    <w:rsid w:val="11D5049D"/>
    <w:rsid w:val="11E41B99"/>
    <w:rsid w:val="11EE32A3"/>
    <w:rsid w:val="11FD33F0"/>
    <w:rsid w:val="1205605D"/>
    <w:rsid w:val="121027EE"/>
    <w:rsid w:val="12140309"/>
    <w:rsid w:val="12185E9D"/>
    <w:rsid w:val="12426AFC"/>
    <w:rsid w:val="12476978"/>
    <w:rsid w:val="125D7C0A"/>
    <w:rsid w:val="12684033"/>
    <w:rsid w:val="127A2DC6"/>
    <w:rsid w:val="12881353"/>
    <w:rsid w:val="128D755F"/>
    <w:rsid w:val="12946C0A"/>
    <w:rsid w:val="12990B7B"/>
    <w:rsid w:val="12A077D2"/>
    <w:rsid w:val="12A4622F"/>
    <w:rsid w:val="12A92B49"/>
    <w:rsid w:val="12B51523"/>
    <w:rsid w:val="12DA78E0"/>
    <w:rsid w:val="12DD7B10"/>
    <w:rsid w:val="12EA3553"/>
    <w:rsid w:val="1307555D"/>
    <w:rsid w:val="130B7E0F"/>
    <w:rsid w:val="1318763B"/>
    <w:rsid w:val="131C31E9"/>
    <w:rsid w:val="131D7147"/>
    <w:rsid w:val="13284826"/>
    <w:rsid w:val="13392A06"/>
    <w:rsid w:val="133A011B"/>
    <w:rsid w:val="134274F4"/>
    <w:rsid w:val="136A71C5"/>
    <w:rsid w:val="13827575"/>
    <w:rsid w:val="138B126A"/>
    <w:rsid w:val="139D6BB0"/>
    <w:rsid w:val="13AF5923"/>
    <w:rsid w:val="13BF34FC"/>
    <w:rsid w:val="13C57D6A"/>
    <w:rsid w:val="13D51A24"/>
    <w:rsid w:val="13E913E3"/>
    <w:rsid w:val="13FA243C"/>
    <w:rsid w:val="140B612B"/>
    <w:rsid w:val="14133828"/>
    <w:rsid w:val="1424570B"/>
    <w:rsid w:val="142A3645"/>
    <w:rsid w:val="14373691"/>
    <w:rsid w:val="14384D10"/>
    <w:rsid w:val="1441750B"/>
    <w:rsid w:val="1442504C"/>
    <w:rsid w:val="144E2788"/>
    <w:rsid w:val="146F38E4"/>
    <w:rsid w:val="147A02F4"/>
    <w:rsid w:val="14914214"/>
    <w:rsid w:val="14930218"/>
    <w:rsid w:val="14957BF7"/>
    <w:rsid w:val="14994C1B"/>
    <w:rsid w:val="14B32574"/>
    <w:rsid w:val="14B36266"/>
    <w:rsid w:val="14B60057"/>
    <w:rsid w:val="14C939CD"/>
    <w:rsid w:val="14D40AA8"/>
    <w:rsid w:val="14E40FB7"/>
    <w:rsid w:val="14ED62BE"/>
    <w:rsid w:val="14EF6A94"/>
    <w:rsid w:val="15105291"/>
    <w:rsid w:val="151852AB"/>
    <w:rsid w:val="151C48B2"/>
    <w:rsid w:val="15241104"/>
    <w:rsid w:val="153B0F5F"/>
    <w:rsid w:val="15481273"/>
    <w:rsid w:val="15492D38"/>
    <w:rsid w:val="154B0E8D"/>
    <w:rsid w:val="155E1D58"/>
    <w:rsid w:val="15616707"/>
    <w:rsid w:val="15747FCD"/>
    <w:rsid w:val="158C18A8"/>
    <w:rsid w:val="158D36E7"/>
    <w:rsid w:val="1595527A"/>
    <w:rsid w:val="15AA1230"/>
    <w:rsid w:val="15AC6A42"/>
    <w:rsid w:val="15AE429A"/>
    <w:rsid w:val="15BC413A"/>
    <w:rsid w:val="15D11483"/>
    <w:rsid w:val="15D66ED9"/>
    <w:rsid w:val="15E769F0"/>
    <w:rsid w:val="16134CC5"/>
    <w:rsid w:val="1623311F"/>
    <w:rsid w:val="1628269D"/>
    <w:rsid w:val="162C3E58"/>
    <w:rsid w:val="16526805"/>
    <w:rsid w:val="165665A6"/>
    <w:rsid w:val="165A5B56"/>
    <w:rsid w:val="16771303"/>
    <w:rsid w:val="16795A0D"/>
    <w:rsid w:val="16846935"/>
    <w:rsid w:val="16884314"/>
    <w:rsid w:val="168971D4"/>
    <w:rsid w:val="16900E36"/>
    <w:rsid w:val="16926810"/>
    <w:rsid w:val="16975775"/>
    <w:rsid w:val="16AD41F8"/>
    <w:rsid w:val="16B404C3"/>
    <w:rsid w:val="16BA3457"/>
    <w:rsid w:val="16C64BF3"/>
    <w:rsid w:val="16C915F6"/>
    <w:rsid w:val="16D76B7A"/>
    <w:rsid w:val="16E01361"/>
    <w:rsid w:val="16E258F3"/>
    <w:rsid w:val="16E62640"/>
    <w:rsid w:val="16F16206"/>
    <w:rsid w:val="16F82485"/>
    <w:rsid w:val="16FE3FF2"/>
    <w:rsid w:val="172F1F8E"/>
    <w:rsid w:val="17300044"/>
    <w:rsid w:val="17396257"/>
    <w:rsid w:val="17493966"/>
    <w:rsid w:val="176045C1"/>
    <w:rsid w:val="17654F16"/>
    <w:rsid w:val="176D1F09"/>
    <w:rsid w:val="177D0FEE"/>
    <w:rsid w:val="17823E8A"/>
    <w:rsid w:val="17833DC4"/>
    <w:rsid w:val="1790046F"/>
    <w:rsid w:val="179174B3"/>
    <w:rsid w:val="17A222A5"/>
    <w:rsid w:val="17B2094A"/>
    <w:rsid w:val="17B31D27"/>
    <w:rsid w:val="17D406B9"/>
    <w:rsid w:val="17D62AD3"/>
    <w:rsid w:val="17DD7B85"/>
    <w:rsid w:val="17E74681"/>
    <w:rsid w:val="17F17407"/>
    <w:rsid w:val="17F708F5"/>
    <w:rsid w:val="18015DE9"/>
    <w:rsid w:val="18024067"/>
    <w:rsid w:val="180C394D"/>
    <w:rsid w:val="181E20D1"/>
    <w:rsid w:val="184B2284"/>
    <w:rsid w:val="1858550D"/>
    <w:rsid w:val="185939FD"/>
    <w:rsid w:val="1860730F"/>
    <w:rsid w:val="18681E23"/>
    <w:rsid w:val="187859D3"/>
    <w:rsid w:val="187A7FF0"/>
    <w:rsid w:val="188528A7"/>
    <w:rsid w:val="18BC23BE"/>
    <w:rsid w:val="18CE324A"/>
    <w:rsid w:val="18D52A34"/>
    <w:rsid w:val="18D66CD3"/>
    <w:rsid w:val="18DE4693"/>
    <w:rsid w:val="190118A5"/>
    <w:rsid w:val="191D1FA9"/>
    <w:rsid w:val="192261B3"/>
    <w:rsid w:val="1927493B"/>
    <w:rsid w:val="192D3EC3"/>
    <w:rsid w:val="192F712A"/>
    <w:rsid w:val="19467ED2"/>
    <w:rsid w:val="194726F7"/>
    <w:rsid w:val="19512C96"/>
    <w:rsid w:val="19566367"/>
    <w:rsid w:val="195B1221"/>
    <w:rsid w:val="1960135E"/>
    <w:rsid w:val="19974604"/>
    <w:rsid w:val="199A4660"/>
    <w:rsid w:val="19B56A9C"/>
    <w:rsid w:val="19C71013"/>
    <w:rsid w:val="19CF44D4"/>
    <w:rsid w:val="19D40A83"/>
    <w:rsid w:val="19E27F17"/>
    <w:rsid w:val="19EB5B52"/>
    <w:rsid w:val="1A04793F"/>
    <w:rsid w:val="1A163FC0"/>
    <w:rsid w:val="1A185C46"/>
    <w:rsid w:val="1A1A08AD"/>
    <w:rsid w:val="1A33008A"/>
    <w:rsid w:val="1A351634"/>
    <w:rsid w:val="1A3626C5"/>
    <w:rsid w:val="1A3D0216"/>
    <w:rsid w:val="1A67220E"/>
    <w:rsid w:val="1A6B489B"/>
    <w:rsid w:val="1A8547FC"/>
    <w:rsid w:val="1A8D63C4"/>
    <w:rsid w:val="1A902CCA"/>
    <w:rsid w:val="1A9D59B4"/>
    <w:rsid w:val="1A9F25CF"/>
    <w:rsid w:val="1AA24822"/>
    <w:rsid w:val="1AA3181B"/>
    <w:rsid w:val="1AAB3D8C"/>
    <w:rsid w:val="1AAC1FB7"/>
    <w:rsid w:val="1AC81F25"/>
    <w:rsid w:val="1AC90DBB"/>
    <w:rsid w:val="1AD36DFF"/>
    <w:rsid w:val="1AEC1CDC"/>
    <w:rsid w:val="1AEF5BBB"/>
    <w:rsid w:val="1AF60B98"/>
    <w:rsid w:val="1AFC5536"/>
    <w:rsid w:val="1B0255D2"/>
    <w:rsid w:val="1B057E43"/>
    <w:rsid w:val="1B1800F6"/>
    <w:rsid w:val="1B3B1FFC"/>
    <w:rsid w:val="1B441237"/>
    <w:rsid w:val="1B4C6447"/>
    <w:rsid w:val="1B5B266C"/>
    <w:rsid w:val="1B655C83"/>
    <w:rsid w:val="1B82640E"/>
    <w:rsid w:val="1B990044"/>
    <w:rsid w:val="1B9A62B3"/>
    <w:rsid w:val="1BA97461"/>
    <w:rsid w:val="1BB76E65"/>
    <w:rsid w:val="1BC9447B"/>
    <w:rsid w:val="1BF25722"/>
    <w:rsid w:val="1C1C0E7B"/>
    <w:rsid w:val="1C235A5F"/>
    <w:rsid w:val="1C286A0A"/>
    <w:rsid w:val="1C2F2D2B"/>
    <w:rsid w:val="1C497C80"/>
    <w:rsid w:val="1C4C2226"/>
    <w:rsid w:val="1C7279BE"/>
    <w:rsid w:val="1C7A1C51"/>
    <w:rsid w:val="1C895F8A"/>
    <w:rsid w:val="1C95128E"/>
    <w:rsid w:val="1C984EE8"/>
    <w:rsid w:val="1CAF3DCC"/>
    <w:rsid w:val="1CBB2038"/>
    <w:rsid w:val="1CC7048D"/>
    <w:rsid w:val="1CDA72AF"/>
    <w:rsid w:val="1CDB0603"/>
    <w:rsid w:val="1CF1513B"/>
    <w:rsid w:val="1CFF1A5B"/>
    <w:rsid w:val="1D1A2146"/>
    <w:rsid w:val="1D1E6D7A"/>
    <w:rsid w:val="1D1F1931"/>
    <w:rsid w:val="1D206653"/>
    <w:rsid w:val="1D2B52E4"/>
    <w:rsid w:val="1D4330A6"/>
    <w:rsid w:val="1D4420A8"/>
    <w:rsid w:val="1D496CA6"/>
    <w:rsid w:val="1D4E7563"/>
    <w:rsid w:val="1D567ECB"/>
    <w:rsid w:val="1D64189E"/>
    <w:rsid w:val="1D84584D"/>
    <w:rsid w:val="1D8965DF"/>
    <w:rsid w:val="1DAE3790"/>
    <w:rsid w:val="1DCE0485"/>
    <w:rsid w:val="1DEA3EB6"/>
    <w:rsid w:val="1DF11E8D"/>
    <w:rsid w:val="1DFB4A73"/>
    <w:rsid w:val="1DFD6138"/>
    <w:rsid w:val="1E145418"/>
    <w:rsid w:val="1E1870E7"/>
    <w:rsid w:val="1E302F1B"/>
    <w:rsid w:val="1E311151"/>
    <w:rsid w:val="1E326461"/>
    <w:rsid w:val="1E381088"/>
    <w:rsid w:val="1E4D585F"/>
    <w:rsid w:val="1E544D54"/>
    <w:rsid w:val="1E5F669F"/>
    <w:rsid w:val="1E604AFF"/>
    <w:rsid w:val="1E740732"/>
    <w:rsid w:val="1E8426B3"/>
    <w:rsid w:val="1E8445D4"/>
    <w:rsid w:val="1E9E1084"/>
    <w:rsid w:val="1EA2645E"/>
    <w:rsid w:val="1EB277E1"/>
    <w:rsid w:val="1EC55F69"/>
    <w:rsid w:val="1EC67904"/>
    <w:rsid w:val="1ECE7D36"/>
    <w:rsid w:val="1EFD360F"/>
    <w:rsid w:val="1F10520A"/>
    <w:rsid w:val="1F1563AA"/>
    <w:rsid w:val="1F1F71FB"/>
    <w:rsid w:val="1F200C4D"/>
    <w:rsid w:val="1F213589"/>
    <w:rsid w:val="1F24491E"/>
    <w:rsid w:val="1F2D7B6A"/>
    <w:rsid w:val="1F404ABB"/>
    <w:rsid w:val="1F491252"/>
    <w:rsid w:val="1F88533B"/>
    <w:rsid w:val="1FA61B90"/>
    <w:rsid w:val="1FA63478"/>
    <w:rsid w:val="1FC9095E"/>
    <w:rsid w:val="1FCA6413"/>
    <w:rsid w:val="1FCB7383"/>
    <w:rsid w:val="1FDA1374"/>
    <w:rsid w:val="20074387"/>
    <w:rsid w:val="200D3B32"/>
    <w:rsid w:val="2028552E"/>
    <w:rsid w:val="20460195"/>
    <w:rsid w:val="205179EF"/>
    <w:rsid w:val="20520011"/>
    <w:rsid w:val="207E1810"/>
    <w:rsid w:val="207F3A7C"/>
    <w:rsid w:val="208307CA"/>
    <w:rsid w:val="20847C5E"/>
    <w:rsid w:val="20895274"/>
    <w:rsid w:val="20950A96"/>
    <w:rsid w:val="20AB3B83"/>
    <w:rsid w:val="20B2515E"/>
    <w:rsid w:val="20B551ED"/>
    <w:rsid w:val="20BE691B"/>
    <w:rsid w:val="20C50286"/>
    <w:rsid w:val="20C77B4A"/>
    <w:rsid w:val="20CB3E3B"/>
    <w:rsid w:val="20D201A5"/>
    <w:rsid w:val="20D63E8C"/>
    <w:rsid w:val="20E34AAC"/>
    <w:rsid w:val="20E66D98"/>
    <w:rsid w:val="20F33712"/>
    <w:rsid w:val="20FB70E6"/>
    <w:rsid w:val="20FE55DA"/>
    <w:rsid w:val="21064065"/>
    <w:rsid w:val="2106452A"/>
    <w:rsid w:val="210F1A50"/>
    <w:rsid w:val="213561BF"/>
    <w:rsid w:val="21361FD5"/>
    <w:rsid w:val="2145616D"/>
    <w:rsid w:val="21603152"/>
    <w:rsid w:val="216F3605"/>
    <w:rsid w:val="217224B8"/>
    <w:rsid w:val="21732605"/>
    <w:rsid w:val="217544B0"/>
    <w:rsid w:val="217648BA"/>
    <w:rsid w:val="217F6677"/>
    <w:rsid w:val="219957D0"/>
    <w:rsid w:val="21B970A6"/>
    <w:rsid w:val="21C01144"/>
    <w:rsid w:val="21C27FEA"/>
    <w:rsid w:val="21D04B49"/>
    <w:rsid w:val="21DB22AA"/>
    <w:rsid w:val="21EE34E9"/>
    <w:rsid w:val="21F668EA"/>
    <w:rsid w:val="22031056"/>
    <w:rsid w:val="2210086E"/>
    <w:rsid w:val="22186DB9"/>
    <w:rsid w:val="221A7307"/>
    <w:rsid w:val="22456F78"/>
    <w:rsid w:val="224B5D23"/>
    <w:rsid w:val="2251327B"/>
    <w:rsid w:val="22660947"/>
    <w:rsid w:val="228F5848"/>
    <w:rsid w:val="228F6A75"/>
    <w:rsid w:val="229639F8"/>
    <w:rsid w:val="22A34CA6"/>
    <w:rsid w:val="22B20F66"/>
    <w:rsid w:val="22D60E4A"/>
    <w:rsid w:val="22E954CD"/>
    <w:rsid w:val="22EC4BEB"/>
    <w:rsid w:val="22F559D9"/>
    <w:rsid w:val="2319187C"/>
    <w:rsid w:val="23241284"/>
    <w:rsid w:val="232F7105"/>
    <w:rsid w:val="233214E1"/>
    <w:rsid w:val="233415CD"/>
    <w:rsid w:val="234B1DD0"/>
    <w:rsid w:val="23513F1E"/>
    <w:rsid w:val="2360017B"/>
    <w:rsid w:val="236B3433"/>
    <w:rsid w:val="23752EB3"/>
    <w:rsid w:val="237672F4"/>
    <w:rsid w:val="2387384E"/>
    <w:rsid w:val="23897791"/>
    <w:rsid w:val="238E494F"/>
    <w:rsid w:val="238F1EB9"/>
    <w:rsid w:val="2392161B"/>
    <w:rsid w:val="23C0210B"/>
    <w:rsid w:val="23D44E97"/>
    <w:rsid w:val="23D61660"/>
    <w:rsid w:val="23D74ADF"/>
    <w:rsid w:val="23DA3288"/>
    <w:rsid w:val="23E7405F"/>
    <w:rsid w:val="23F50BC0"/>
    <w:rsid w:val="23F72030"/>
    <w:rsid w:val="240D7934"/>
    <w:rsid w:val="24170DE9"/>
    <w:rsid w:val="24194D6D"/>
    <w:rsid w:val="24215E70"/>
    <w:rsid w:val="242811EE"/>
    <w:rsid w:val="2437298B"/>
    <w:rsid w:val="243D31F7"/>
    <w:rsid w:val="24402E38"/>
    <w:rsid w:val="24417C14"/>
    <w:rsid w:val="24456A12"/>
    <w:rsid w:val="24473BB8"/>
    <w:rsid w:val="247C2342"/>
    <w:rsid w:val="247D6B19"/>
    <w:rsid w:val="249035C1"/>
    <w:rsid w:val="24A37A0E"/>
    <w:rsid w:val="24A563F4"/>
    <w:rsid w:val="24B421C4"/>
    <w:rsid w:val="24CE7D39"/>
    <w:rsid w:val="24CE7FC9"/>
    <w:rsid w:val="24E272C3"/>
    <w:rsid w:val="25026BBA"/>
    <w:rsid w:val="25137802"/>
    <w:rsid w:val="25175EB4"/>
    <w:rsid w:val="251D6AD9"/>
    <w:rsid w:val="2520168C"/>
    <w:rsid w:val="25213516"/>
    <w:rsid w:val="25330C93"/>
    <w:rsid w:val="25360F6B"/>
    <w:rsid w:val="253B0941"/>
    <w:rsid w:val="254A009B"/>
    <w:rsid w:val="254E5DFD"/>
    <w:rsid w:val="25593A78"/>
    <w:rsid w:val="257A353E"/>
    <w:rsid w:val="25A81D9E"/>
    <w:rsid w:val="25E13648"/>
    <w:rsid w:val="25F25E97"/>
    <w:rsid w:val="25FC7D18"/>
    <w:rsid w:val="262524D2"/>
    <w:rsid w:val="262757D9"/>
    <w:rsid w:val="263C3F8D"/>
    <w:rsid w:val="263D6DD0"/>
    <w:rsid w:val="26481F6B"/>
    <w:rsid w:val="264B4E7D"/>
    <w:rsid w:val="26787456"/>
    <w:rsid w:val="26852526"/>
    <w:rsid w:val="26BB5300"/>
    <w:rsid w:val="26C6201E"/>
    <w:rsid w:val="26EF6525"/>
    <w:rsid w:val="26F61CFE"/>
    <w:rsid w:val="270206D7"/>
    <w:rsid w:val="270A0721"/>
    <w:rsid w:val="27151C98"/>
    <w:rsid w:val="272A50B1"/>
    <w:rsid w:val="272E1A98"/>
    <w:rsid w:val="274C5E2C"/>
    <w:rsid w:val="2763320B"/>
    <w:rsid w:val="27674186"/>
    <w:rsid w:val="27A03DE1"/>
    <w:rsid w:val="27A70FDD"/>
    <w:rsid w:val="27B33695"/>
    <w:rsid w:val="27C43A09"/>
    <w:rsid w:val="27D25752"/>
    <w:rsid w:val="27DE4CB1"/>
    <w:rsid w:val="27F11415"/>
    <w:rsid w:val="280625CC"/>
    <w:rsid w:val="28090E04"/>
    <w:rsid w:val="281331E6"/>
    <w:rsid w:val="281573ED"/>
    <w:rsid w:val="2826293B"/>
    <w:rsid w:val="282E6701"/>
    <w:rsid w:val="28334878"/>
    <w:rsid w:val="283916EB"/>
    <w:rsid w:val="283B45EC"/>
    <w:rsid w:val="28590C83"/>
    <w:rsid w:val="28757E8C"/>
    <w:rsid w:val="28802B0F"/>
    <w:rsid w:val="28836A4D"/>
    <w:rsid w:val="28946C52"/>
    <w:rsid w:val="289947AE"/>
    <w:rsid w:val="289D1897"/>
    <w:rsid w:val="289F0AC1"/>
    <w:rsid w:val="28A67C55"/>
    <w:rsid w:val="28F2520B"/>
    <w:rsid w:val="28FA281A"/>
    <w:rsid w:val="28FE2577"/>
    <w:rsid w:val="290A2D80"/>
    <w:rsid w:val="290A4924"/>
    <w:rsid w:val="290B259E"/>
    <w:rsid w:val="290D7FCC"/>
    <w:rsid w:val="291071F0"/>
    <w:rsid w:val="29123519"/>
    <w:rsid w:val="29183639"/>
    <w:rsid w:val="291A0ACF"/>
    <w:rsid w:val="29374893"/>
    <w:rsid w:val="29451F54"/>
    <w:rsid w:val="294A4E4E"/>
    <w:rsid w:val="296D61BD"/>
    <w:rsid w:val="296F161B"/>
    <w:rsid w:val="29735887"/>
    <w:rsid w:val="298A4C3B"/>
    <w:rsid w:val="29A97314"/>
    <w:rsid w:val="29AB4B5E"/>
    <w:rsid w:val="29AE3840"/>
    <w:rsid w:val="29BE40F1"/>
    <w:rsid w:val="29C70BBB"/>
    <w:rsid w:val="29D7066B"/>
    <w:rsid w:val="29E16B87"/>
    <w:rsid w:val="29F22A14"/>
    <w:rsid w:val="29F80D74"/>
    <w:rsid w:val="2A027A0A"/>
    <w:rsid w:val="2A196AE1"/>
    <w:rsid w:val="2A1A1161"/>
    <w:rsid w:val="2A241B69"/>
    <w:rsid w:val="2A3E789F"/>
    <w:rsid w:val="2A4325F9"/>
    <w:rsid w:val="2A50742E"/>
    <w:rsid w:val="2A5A456A"/>
    <w:rsid w:val="2A5C2727"/>
    <w:rsid w:val="2A61691A"/>
    <w:rsid w:val="2A7F4196"/>
    <w:rsid w:val="2A8A4408"/>
    <w:rsid w:val="2A9A71B4"/>
    <w:rsid w:val="2AA12885"/>
    <w:rsid w:val="2AB0505E"/>
    <w:rsid w:val="2ACA7D26"/>
    <w:rsid w:val="2ADB4FDA"/>
    <w:rsid w:val="2B08595A"/>
    <w:rsid w:val="2B4E031E"/>
    <w:rsid w:val="2B5916DB"/>
    <w:rsid w:val="2B602DF6"/>
    <w:rsid w:val="2B6826ED"/>
    <w:rsid w:val="2B765F40"/>
    <w:rsid w:val="2B792B9F"/>
    <w:rsid w:val="2B845C34"/>
    <w:rsid w:val="2B9B0142"/>
    <w:rsid w:val="2BA206A0"/>
    <w:rsid w:val="2BC62DFC"/>
    <w:rsid w:val="2BCA4777"/>
    <w:rsid w:val="2BCD6ACC"/>
    <w:rsid w:val="2BE054B3"/>
    <w:rsid w:val="2BE05F64"/>
    <w:rsid w:val="2BED736A"/>
    <w:rsid w:val="2BFA59A6"/>
    <w:rsid w:val="2C006469"/>
    <w:rsid w:val="2C050744"/>
    <w:rsid w:val="2C0802AB"/>
    <w:rsid w:val="2C215C01"/>
    <w:rsid w:val="2C2B7971"/>
    <w:rsid w:val="2C2C0CD7"/>
    <w:rsid w:val="2C455F58"/>
    <w:rsid w:val="2C4A1FDE"/>
    <w:rsid w:val="2C5A1872"/>
    <w:rsid w:val="2C8C6900"/>
    <w:rsid w:val="2C8E4FB6"/>
    <w:rsid w:val="2C9016BA"/>
    <w:rsid w:val="2C9A4C22"/>
    <w:rsid w:val="2CBD7073"/>
    <w:rsid w:val="2CC37FFA"/>
    <w:rsid w:val="2CC63F66"/>
    <w:rsid w:val="2CD35E0A"/>
    <w:rsid w:val="2CE2637E"/>
    <w:rsid w:val="2CF47CA6"/>
    <w:rsid w:val="2D0D2D89"/>
    <w:rsid w:val="2D1905E1"/>
    <w:rsid w:val="2D1E56E4"/>
    <w:rsid w:val="2D2A517C"/>
    <w:rsid w:val="2D5B4419"/>
    <w:rsid w:val="2D5E6230"/>
    <w:rsid w:val="2D756578"/>
    <w:rsid w:val="2D811FCB"/>
    <w:rsid w:val="2D9D0D3E"/>
    <w:rsid w:val="2DAF33BA"/>
    <w:rsid w:val="2DB016B8"/>
    <w:rsid w:val="2DB26071"/>
    <w:rsid w:val="2DB9036C"/>
    <w:rsid w:val="2DD03E91"/>
    <w:rsid w:val="2DD57437"/>
    <w:rsid w:val="2DE408B5"/>
    <w:rsid w:val="2E003AC1"/>
    <w:rsid w:val="2E0E304F"/>
    <w:rsid w:val="2E241756"/>
    <w:rsid w:val="2E40099C"/>
    <w:rsid w:val="2E6062D8"/>
    <w:rsid w:val="2E6E4B18"/>
    <w:rsid w:val="2E856CB6"/>
    <w:rsid w:val="2E8B663D"/>
    <w:rsid w:val="2E8C2BC3"/>
    <w:rsid w:val="2E954C85"/>
    <w:rsid w:val="2E955F6A"/>
    <w:rsid w:val="2E9A0077"/>
    <w:rsid w:val="2E9D471E"/>
    <w:rsid w:val="2E9F3EB4"/>
    <w:rsid w:val="2EA9489B"/>
    <w:rsid w:val="2EBD4D55"/>
    <w:rsid w:val="2EC35D62"/>
    <w:rsid w:val="2EDA6C9B"/>
    <w:rsid w:val="2EE67135"/>
    <w:rsid w:val="2EF20488"/>
    <w:rsid w:val="2EFB1DC7"/>
    <w:rsid w:val="2EFC22AB"/>
    <w:rsid w:val="2EFD30CE"/>
    <w:rsid w:val="2F055D32"/>
    <w:rsid w:val="2F0F5DF9"/>
    <w:rsid w:val="2F291427"/>
    <w:rsid w:val="2F2F3708"/>
    <w:rsid w:val="2F425D7A"/>
    <w:rsid w:val="2F4A3458"/>
    <w:rsid w:val="2F4E54F5"/>
    <w:rsid w:val="2F54773F"/>
    <w:rsid w:val="2F642A08"/>
    <w:rsid w:val="2F7432E9"/>
    <w:rsid w:val="2F810777"/>
    <w:rsid w:val="2F921E8D"/>
    <w:rsid w:val="2F9766D5"/>
    <w:rsid w:val="2F9A0E4A"/>
    <w:rsid w:val="2FA74A2A"/>
    <w:rsid w:val="2FB14944"/>
    <w:rsid w:val="2FC07D0D"/>
    <w:rsid w:val="2FD36F28"/>
    <w:rsid w:val="2FD42CBD"/>
    <w:rsid w:val="2FE020B5"/>
    <w:rsid w:val="2FEA115F"/>
    <w:rsid w:val="302E351C"/>
    <w:rsid w:val="3034059F"/>
    <w:rsid w:val="304C1E1A"/>
    <w:rsid w:val="30582BFE"/>
    <w:rsid w:val="306215D6"/>
    <w:rsid w:val="30671954"/>
    <w:rsid w:val="306F379F"/>
    <w:rsid w:val="307C79DC"/>
    <w:rsid w:val="30857DAF"/>
    <w:rsid w:val="30BB5FD7"/>
    <w:rsid w:val="30BB7154"/>
    <w:rsid w:val="30BD0D4A"/>
    <w:rsid w:val="30C97EF5"/>
    <w:rsid w:val="30CB1753"/>
    <w:rsid w:val="30D36097"/>
    <w:rsid w:val="30E01EBC"/>
    <w:rsid w:val="30F23545"/>
    <w:rsid w:val="30F246D9"/>
    <w:rsid w:val="30F5423F"/>
    <w:rsid w:val="30F55635"/>
    <w:rsid w:val="30FC49BF"/>
    <w:rsid w:val="30FC7511"/>
    <w:rsid w:val="31163064"/>
    <w:rsid w:val="31187121"/>
    <w:rsid w:val="31191142"/>
    <w:rsid w:val="311C27AC"/>
    <w:rsid w:val="31211650"/>
    <w:rsid w:val="31253AFA"/>
    <w:rsid w:val="312A2AE0"/>
    <w:rsid w:val="3130416C"/>
    <w:rsid w:val="31454EA7"/>
    <w:rsid w:val="3145518C"/>
    <w:rsid w:val="3154295F"/>
    <w:rsid w:val="3180207E"/>
    <w:rsid w:val="318B3F7B"/>
    <w:rsid w:val="318E768B"/>
    <w:rsid w:val="319677F1"/>
    <w:rsid w:val="31975F3C"/>
    <w:rsid w:val="319A65B3"/>
    <w:rsid w:val="31B93D1F"/>
    <w:rsid w:val="31BE34A5"/>
    <w:rsid w:val="31D61618"/>
    <w:rsid w:val="31D72D86"/>
    <w:rsid w:val="31EF3CA4"/>
    <w:rsid w:val="31FF10B7"/>
    <w:rsid w:val="3200110E"/>
    <w:rsid w:val="320C5BF8"/>
    <w:rsid w:val="321876AA"/>
    <w:rsid w:val="32197D64"/>
    <w:rsid w:val="321E048A"/>
    <w:rsid w:val="32232170"/>
    <w:rsid w:val="3223673D"/>
    <w:rsid w:val="32284330"/>
    <w:rsid w:val="322D17D7"/>
    <w:rsid w:val="322D38E1"/>
    <w:rsid w:val="32387C08"/>
    <w:rsid w:val="325843B3"/>
    <w:rsid w:val="325C72C9"/>
    <w:rsid w:val="326458D1"/>
    <w:rsid w:val="326C551F"/>
    <w:rsid w:val="327B5200"/>
    <w:rsid w:val="32853ACD"/>
    <w:rsid w:val="32863FD5"/>
    <w:rsid w:val="32D524A0"/>
    <w:rsid w:val="32DA66DF"/>
    <w:rsid w:val="32DF4956"/>
    <w:rsid w:val="32F438E9"/>
    <w:rsid w:val="32F67E7D"/>
    <w:rsid w:val="32FA5AE6"/>
    <w:rsid w:val="32FB4497"/>
    <w:rsid w:val="330003C7"/>
    <w:rsid w:val="331500FD"/>
    <w:rsid w:val="33185FE3"/>
    <w:rsid w:val="331A1AD7"/>
    <w:rsid w:val="331A61FF"/>
    <w:rsid w:val="331B53B1"/>
    <w:rsid w:val="332658BB"/>
    <w:rsid w:val="332F1621"/>
    <w:rsid w:val="332F29F5"/>
    <w:rsid w:val="334E314F"/>
    <w:rsid w:val="3353526D"/>
    <w:rsid w:val="33676DA2"/>
    <w:rsid w:val="33BA47C3"/>
    <w:rsid w:val="33C635BA"/>
    <w:rsid w:val="33CE1BE3"/>
    <w:rsid w:val="33D572F9"/>
    <w:rsid w:val="33DC34B5"/>
    <w:rsid w:val="33DE5981"/>
    <w:rsid w:val="33E06423"/>
    <w:rsid w:val="33E20644"/>
    <w:rsid w:val="33F627C9"/>
    <w:rsid w:val="34175170"/>
    <w:rsid w:val="341D6A2C"/>
    <w:rsid w:val="343376A7"/>
    <w:rsid w:val="344737F8"/>
    <w:rsid w:val="34575EE5"/>
    <w:rsid w:val="345A1315"/>
    <w:rsid w:val="345D7924"/>
    <w:rsid w:val="345F5268"/>
    <w:rsid w:val="34684C15"/>
    <w:rsid w:val="346C52D3"/>
    <w:rsid w:val="347D5979"/>
    <w:rsid w:val="349645C7"/>
    <w:rsid w:val="34AE6374"/>
    <w:rsid w:val="34B066B0"/>
    <w:rsid w:val="34C32C82"/>
    <w:rsid w:val="34C40E43"/>
    <w:rsid w:val="34CA73A7"/>
    <w:rsid w:val="34D126EC"/>
    <w:rsid w:val="34D41B91"/>
    <w:rsid w:val="34DD65E2"/>
    <w:rsid w:val="34DE7D86"/>
    <w:rsid w:val="34EE4EA5"/>
    <w:rsid w:val="34F52A80"/>
    <w:rsid w:val="34FC49B9"/>
    <w:rsid w:val="35094EA1"/>
    <w:rsid w:val="350D22CE"/>
    <w:rsid w:val="35226149"/>
    <w:rsid w:val="3528302B"/>
    <w:rsid w:val="352E613D"/>
    <w:rsid w:val="353E47B2"/>
    <w:rsid w:val="35405316"/>
    <w:rsid w:val="35477BE6"/>
    <w:rsid w:val="354A0E6D"/>
    <w:rsid w:val="354D588F"/>
    <w:rsid w:val="355411D0"/>
    <w:rsid w:val="3554251B"/>
    <w:rsid w:val="357662C2"/>
    <w:rsid w:val="35785C90"/>
    <w:rsid w:val="35815607"/>
    <w:rsid w:val="35942299"/>
    <w:rsid w:val="35A16E42"/>
    <w:rsid w:val="35A91A8A"/>
    <w:rsid w:val="35CD63B4"/>
    <w:rsid w:val="35E46651"/>
    <w:rsid w:val="35E516C5"/>
    <w:rsid w:val="35FC4744"/>
    <w:rsid w:val="35FF4E42"/>
    <w:rsid w:val="361E373C"/>
    <w:rsid w:val="362C11E9"/>
    <w:rsid w:val="362E71C2"/>
    <w:rsid w:val="36407273"/>
    <w:rsid w:val="36431DC9"/>
    <w:rsid w:val="364A612D"/>
    <w:rsid w:val="366C0EB3"/>
    <w:rsid w:val="366D6646"/>
    <w:rsid w:val="369E0EF6"/>
    <w:rsid w:val="36A23F8E"/>
    <w:rsid w:val="36A67471"/>
    <w:rsid w:val="36A91D74"/>
    <w:rsid w:val="36A92B00"/>
    <w:rsid w:val="36C905E1"/>
    <w:rsid w:val="36D645C8"/>
    <w:rsid w:val="36DE4A45"/>
    <w:rsid w:val="36F46327"/>
    <w:rsid w:val="36F86345"/>
    <w:rsid w:val="37042131"/>
    <w:rsid w:val="371F7736"/>
    <w:rsid w:val="372506A3"/>
    <w:rsid w:val="373E0F57"/>
    <w:rsid w:val="37451F34"/>
    <w:rsid w:val="375A6BCB"/>
    <w:rsid w:val="375D485E"/>
    <w:rsid w:val="37736527"/>
    <w:rsid w:val="37814F81"/>
    <w:rsid w:val="37920132"/>
    <w:rsid w:val="3792034D"/>
    <w:rsid w:val="37A81CFE"/>
    <w:rsid w:val="37AD04DC"/>
    <w:rsid w:val="37AF7434"/>
    <w:rsid w:val="37CF368D"/>
    <w:rsid w:val="37DA5FF8"/>
    <w:rsid w:val="37F45D14"/>
    <w:rsid w:val="3800389B"/>
    <w:rsid w:val="38123674"/>
    <w:rsid w:val="3812521A"/>
    <w:rsid w:val="3837248E"/>
    <w:rsid w:val="383B4C4E"/>
    <w:rsid w:val="38504EF2"/>
    <w:rsid w:val="38542D1D"/>
    <w:rsid w:val="385A563B"/>
    <w:rsid w:val="385F7F15"/>
    <w:rsid w:val="38637D01"/>
    <w:rsid w:val="3878298B"/>
    <w:rsid w:val="3880723D"/>
    <w:rsid w:val="38824206"/>
    <w:rsid w:val="388858AE"/>
    <w:rsid w:val="388E1F59"/>
    <w:rsid w:val="38993FA4"/>
    <w:rsid w:val="389B3E11"/>
    <w:rsid w:val="38A121C0"/>
    <w:rsid w:val="38AE3672"/>
    <w:rsid w:val="38AF6132"/>
    <w:rsid w:val="38B72026"/>
    <w:rsid w:val="38C72E0E"/>
    <w:rsid w:val="38D57DBA"/>
    <w:rsid w:val="38D71D52"/>
    <w:rsid w:val="38D806FD"/>
    <w:rsid w:val="38DE489E"/>
    <w:rsid w:val="38E946AA"/>
    <w:rsid w:val="38EF3C8A"/>
    <w:rsid w:val="38F22625"/>
    <w:rsid w:val="38FA5479"/>
    <w:rsid w:val="38FD6B65"/>
    <w:rsid w:val="39002922"/>
    <w:rsid w:val="390B51AE"/>
    <w:rsid w:val="390F6429"/>
    <w:rsid w:val="393F3A75"/>
    <w:rsid w:val="39447B32"/>
    <w:rsid w:val="394D4CFB"/>
    <w:rsid w:val="394E275F"/>
    <w:rsid w:val="39525463"/>
    <w:rsid w:val="39575F23"/>
    <w:rsid w:val="395D236C"/>
    <w:rsid w:val="395F2EE6"/>
    <w:rsid w:val="39966589"/>
    <w:rsid w:val="399E127D"/>
    <w:rsid w:val="39A402F7"/>
    <w:rsid w:val="39C46AEF"/>
    <w:rsid w:val="39D37EB8"/>
    <w:rsid w:val="39E443D3"/>
    <w:rsid w:val="39E817C8"/>
    <w:rsid w:val="39EC4908"/>
    <w:rsid w:val="39EE5BB5"/>
    <w:rsid w:val="3A0E1EEE"/>
    <w:rsid w:val="3A110CAB"/>
    <w:rsid w:val="3A280E3F"/>
    <w:rsid w:val="3A2C0337"/>
    <w:rsid w:val="3A480E2D"/>
    <w:rsid w:val="3A4B1176"/>
    <w:rsid w:val="3A4B5167"/>
    <w:rsid w:val="3A5211C9"/>
    <w:rsid w:val="3A732067"/>
    <w:rsid w:val="3A756D9A"/>
    <w:rsid w:val="3A7A7BCD"/>
    <w:rsid w:val="3A875FCD"/>
    <w:rsid w:val="3A893080"/>
    <w:rsid w:val="3A8E74A2"/>
    <w:rsid w:val="3A915914"/>
    <w:rsid w:val="3A922F31"/>
    <w:rsid w:val="3AA80797"/>
    <w:rsid w:val="3AB01F97"/>
    <w:rsid w:val="3AB12FA2"/>
    <w:rsid w:val="3AC81298"/>
    <w:rsid w:val="3AC84E76"/>
    <w:rsid w:val="3B03272D"/>
    <w:rsid w:val="3B0572CE"/>
    <w:rsid w:val="3B1E43B3"/>
    <w:rsid w:val="3B2C3A55"/>
    <w:rsid w:val="3B451940"/>
    <w:rsid w:val="3B482DFF"/>
    <w:rsid w:val="3B5A72F2"/>
    <w:rsid w:val="3B786E6D"/>
    <w:rsid w:val="3B7E1A4B"/>
    <w:rsid w:val="3B9C443B"/>
    <w:rsid w:val="3BA61733"/>
    <w:rsid w:val="3BB965BD"/>
    <w:rsid w:val="3BBC3DDF"/>
    <w:rsid w:val="3BF56244"/>
    <w:rsid w:val="3BF94C3E"/>
    <w:rsid w:val="3C061692"/>
    <w:rsid w:val="3C0B0CFD"/>
    <w:rsid w:val="3C1139A7"/>
    <w:rsid w:val="3C467737"/>
    <w:rsid w:val="3C4C044D"/>
    <w:rsid w:val="3C4F2B3B"/>
    <w:rsid w:val="3C5F072D"/>
    <w:rsid w:val="3C87699A"/>
    <w:rsid w:val="3C8E31F3"/>
    <w:rsid w:val="3CA408E8"/>
    <w:rsid w:val="3CA71EFA"/>
    <w:rsid w:val="3CAE244D"/>
    <w:rsid w:val="3CD114A9"/>
    <w:rsid w:val="3CD603F7"/>
    <w:rsid w:val="3CF50AB6"/>
    <w:rsid w:val="3CFA45B5"/>
    <w:rsid w:val="3D065BC2"/>
    <w:rsid w:val="3D1108F8"/>
    <w:rsid w:val="3D153965"/>
    <w:rsid w:val="3D1C6AF3"/>
    <w:rsid w:val="3D37175C"/>
    <w:rsid w:val="3D433CEC"/>
    <w:rsid w:val="3D4A3E40"/>
    <w:rsid w:val="3D672488"/>
    <w:rsid w:val="3D81202C"/>
    <w:rsid w:val="3D883C43"/>
    <w:rsid w:val="3D910916"/>
    <w:rsid w:val="3DA935CE"/>
    <w:rsid w:val="3DA93CD4"/>
    <w:rsid w:val="3DFC348B"/>
    <w:rsid w:val="3E0859E5"/>
    <w:rsid w:val="3E1E0DAE"/>
    <w:rsid w:val="3E3824FA"/>
    <w:rsid w:val="3E3B46D5"/>
    <w:rsid w:val="3E495BEB"/>
    <w:rsid w:val="3E590352"/>
    <w:rsid w:val="3E5D100F"/>
    <w:rsid w:val="3E6B3C59"/>
    <w:rsid w:val="3E704DFA"/>
    <w:rsid w:val="3E727114"/>
    <w:rsid w:val="3E970574"/>
    <w:rsid w:val="3E995370"/>
    <w:rsid w:val="3EAF3CAF"/>
    <w:rsid w:val="3EAF41DD"/>
    <w:rsid w:val="3EB15AD4"/>
    <w:rsid w:val="3EB25D98"/>
    <w:rsid w:val="3EB401E3"/>
    <w:rsid w:val="3EB64A7B"/>
    <w:rsid w:val="3EC50CB9"/>
    <w:rsid w:val="3ED0722A"/>
    <w:rsid w:val="3EEB02A9"/>
    <w:rsid w:val="3EED5BE4"/>
    <w:rsid w:val="3EF36771"/>
    <w:rsid w:val="3EFB201E"/>
    <w:rsid w:val="3EFB20E9"/>
    <w:rsid w:val="3EFF22A2"/>
    <w:rsid w:val="3F000B4E"/>
    <w:rsid w:val="3F0F7A46"/>
    <w:rsid w:val="3F1E3403"/>
    <w:rsid w:val="3F23468E"/>
    <w:rsid w:val="3F276D1A"/>
    <w:rsid w:val="3F3126F8"/>
    <w:rsid w:val="3F324988"/>
    <w:rsid w:val="3F33706E"/>
    <w:rsid w:val="3F36380B"/>
    <w:rsid w:val="3F3C0303"/>
    <w:rsid w:val="3F495857"/>
    <w:rsid w:val="3F5B2EB6"/>
    <w:rsid w:val="3F602C9C"/>
    <w:rsid w:val="3F670C4C"/>
    <w:rsid w:val="3F696545"/>
    <w:rsid w:val="3F731171"/>
    <w:rsid w:val="3F7329C3"/>
    <w:rsid w:val="3F762A0F"/>
    <w:rsid w:val="3F872CF7"/>
    <w:rsid w:val="3F8922D7"/>
    <w:rsid w:val="3F8F7699"/>
    <w:rsid w:val="3F982986"/>
    <w:rsid w:val="3FA6040C"/>
    <w:rsid w:val="3FB73EBA"/>
    <w:rsid w:val="3FB81695"/>
    <w:rsid w:val="3FC509F3"/>
    <w:rsid w:val="3FC76C3F"/>
    <w:rsid w:val="3FCD1563"/>
    <w:rsid w:val="3FCF2445"/>
    <w:rsid w:val="3FE33BD8"/>
    <w:rsid w:val="3FE91E36"/>
    <w:rsid w:val="3FEE5CB8"/>
    <w:rsid w:val="3FF91CED"/>
    <w:rsid w:val="3FFE256D"/>
    <w:rsid w:val="400021DE"/>
    <w:rsid w:val="40015B0D"/>
    <w:rsid w:val="40041583"/>
    <w:rsid w:val="40050544"/>
    <w:rsid w:val="400B1BFB"/>
    <w:rsid w:val="40210382"/>
    <w:rsid w:val="402B1285"/>
    <w:rsid w:val="40322452"/>
    <w:rsid w:val="403A2C90"/>
    <w:rsid w:val="404008AE"/>
    <w:rsid w:val="40735129"/>
    <w:rsid w:val="407A007C"/>
    <w:rsid w:val="40A70A74"/>
    <w:rsid w:val="40AC6240"/>
    <w:rsid w:val="40B90E06"/>
    <w:rsid w:val="40BD2915"/>
    <w:rsid w:val="40D14181"/>
    <w:rsid w:val="40E46280"/>
    <w:rsid w:val="40E57B98"/>
    <w:rsid w:val="40ED2C1B"/>
    <w:rsid w:val="40F32A61"/>
    <w:rsid w:val="41054130"/>
    <w:rsid w:val="41100787"/>
    <w:rsid w:val="41261A63"/>
    <w:rsid w:val="412E5822"/>
    <w:rsid w:val="41463E75"/>
    <w:rsid w:val="41643D9D"/>
    <w:rsid w:val="41765AEA"/>
    <w:rsid w:val="418C77AE"/>
    <w:rsid w:val="41990BB5"/>
    <w:rsid w:val="41A36941"/>
    <w:rsid w:val="41A561A7"/>
    <w:rsid w:val="41AC0C10"/>
    <w:rsid w:val="41AE4407"/>
    <w:rsid w:val="41B33AA7"/>
    <w:rsid w:val="41B84C5E"/>
    <w:rsid w:val="41B91EFD"/>
    <w:rsid w:val="41C96428"/>
    <w:rsid w:val="41CE4DB7"/>
    <w:rsid w:val="41D764F4"/>
    <w:rsid w:val="41E053D5"/>
    <w:rsid w:val="420E67F7"/>
    <w:rsid w:val="42145A7D"/>
    <w:rsid w:val="42176B77"/>
    <w:rsid w:val="422C2F84"/>
    <w:rsid w:val="422E1E08"/>
    <w:rsid w:val="42456135"/>
    <w:rsid w:val="42460042"/>
    <w:rsid w:val="42470737"/>
    <w:rsid w:val="4251506E"/>
    <w:rsid w:val="425D7EB7"/>
    <w:rsid w:val="42642FF3"/>
    <w:rsid w:val="4272671B"/>
    <w:rsid w:val="4287113F"/>
    <w:rsid w:val="4294460D"/>
    <w:rsid w:val="4298134A"/>
    <w:rsid w:val="42A15365"/>
    <w:rsid w:val="42A1745C"/>
    <w:rsid w:val="42C241EC"/>
    <w:rsid w:val="42C40346"/>
    <w:rsid w:val="42E128AC"/>
    <w:rsid w:val="42FA5676"/>
    <w:rsid w:val="42FD0508"/>
    <w:rsid w:val="43014CE6"/>
    <w:rsid w:val="43051AAC"/>
    <w:rsid w:val="432053AE"/>
    <w:rsid w:val="433C3743"/>
    <w:rsid w:val="433C4EBD"/>
    <w:rsid w:val="4345369B"/>
    <w:rsid w:val="434D0BB8"/>
    <w:rsid w:val="43566DE0"/>
    <w:rsid w:val="435C5346"/>
    <w:rsid w:val="43792AD9"/>
    <w:rsid w:val="437956CB"/>
    <w:rsid w:val="438E5A20"/>
    <w:rsid w:val="439B758E"/>
    <w:rsid w:val="439F4331"/>
    <w:rsid w:val="43B1563C"/>
    <w:rsid w:val="43B458B4"/>
    <w:rsid w:val="43C167ED"/>
    <w:rsid w:val="43D25295"/>
    <w:rsid w:val="43DB3837"/>
    <w:rsid w:val="43F65CFB"/>
    <w:rsid w:val="43F72D0A"/>
    <w:rsid w:val="43FD7AF7"/>
    <w:rsid w:val="44050273"/>
    <w:rsid w:val="441325E0"/>
    <w:rsid w:val="4425431B"/>
    <w:rsid w:val="442A2BE0"/>
    <w:rsid w:val="44304486"/>
    <w:rsid w:val="443C1F90"/>
    <w:rsid w:val="445D65BE"/>
    <w:rsid w:val="446A06FA"/>
    <w:rsid w:val="4475687F"/>
    <w:rsid w:val="447622E8"/>
    <w:rsid w:val="44813C4F"/>
    <w:rsid w:val="449716BC"/>
    <w:rsid w:val="449A71A0"/>
    <w:rsid w:val="44A87BE1"/>
    <w:rsid w:val="44AF1578"/>
    <w:rsid w:val="44CC089C"/>
    <w:rsid w:val="44D47BEE"/>
    <w:rsid w:val="44D542A9"/>
    <w:rsid w:val="44E3318C"/>
    <w:rsid w:val="44E37273"/>
    <w:rsid w:val="44EE3048"/>
    <w:rsid w:val="44EE4791"/>
    <w:rsid w:val="44F82E2C"/>
    <w:rsid w:val="450459DF"/>
    <w:rsid w:val="450813B7"/>
    <w:rsid w:val="451B7775"/>
    <w:rsid w:val="45232FDE"/>
    <w:rsid w:val="4529095A"/>
    <w:rsid w:val="452A40E7"/>
    <w:rsid w:val="45300AF6"/>
    <w:rsid w:val="45346CDF"/>
    <w:rsid w:val="453865FC"/>
    <w:rsid w:val="454D7651"/>
    <w:rsid w:val="45501143"/>
    <w:rsid w:val="45537588"/>
    <w:rsid w:val="4558013A"/>
    <w:rsid w:val="4566143D"/>
    <w:rsid w:val="45686137"/>
    <w:rsid w:val="458425FE"/>
    <w:rsid w:val="45950056"/>
    <w:rsid w:val="45A12EB2"/>
    <w:rsid w:val="45AA67ED"/>
    <w:rsid w:val="45AC3C29"/>
    <w:rsid w:val="45AD2240"/>
    <w:rsid w:val="45C2075D"/>
    <w:rsid w:val="45C4793E"/>
    <w:rsid w:val="45CA2B4C"/>
    <w:rsid w:val="45CB16F1"/>
    <w:rsid w:val="45CB40BA"/>
    <w:rsid w:val="45CF3F87"/>
    <w:rsid w:val="45D066D6"/>
    <w:rsid w:val="45E16ACE"/>
    <w:rsid w:val="45ED5023"/>
    <w:rsid w:val="45FB4860"/>
    <w:rsid w:val="46050649"/>
    <w:rsid w:val="460D5302"/>
    <w:rsid w:val="461916EF"/>
    <w:rsid w:val="461C014F"/>
    <w:rsid w:val="462036A4"/>
    <w:rsid w:val="46293AA2"/>
    <w:rsid w:val="4641481F"/>
    <w:rsid w:val="4646138E"/>
    <w:rsid w:val="46527462"/>
    <w:rsid w:val="46573D2A"/>
    <w:rsid w:val="465C0D99"/>
    <w:rsid w:val="46637524"/>
    <w:rsid w:val="466C7132"/>
    <w:rsid w:val="46745A11"/>
    <w:rsid w:val="467947F4"/>
    <w:rsid w:val="46911AEA"/>
    <w:rsid w:val="469A7CA8"/>
    <w:rsid w:val="469C19B3"/>
    <w:rsid w:val="46B104A2"/>
    <w:rsid w:val="46B47755"/>
    <w:rsid w:val="46B67632"/>
    <w:rsid w:val="46BB1B05"/>
    <w:rsid w:val="46CC3460"/>
    <w:rsid w:val="46E01A8A"/>
    <w:rsid w:val="46E4064F"/>
    <w:rsid w:val="46EA0152"/>
    <w:rsid w:val="46EB0DF2"/>
    <w:rsid w:val="46FA4751"/>
    <w:rsid w:val="470D2069"/>
    <w:rsid w:val="47102E6B"/>
    <w:rsid w:val="471259E9"/>
    <w:rsid w:val="471550EC"/>
    <w:rsid w:val="47227322"/>
    <w:rsid w:val="47300D2A"/>
    <w:rsid w:val="47423560"/>
    <w:rsid w:val="47470FC5"/>
    <w:rsid w:val="474A267D"/>
    <w:rsid w:val="4754500A"/>
    <w:rsid w:val="475D031E"/>
    <w:rsid w:val="476043CB"/>
    <w:rsid w:val="476946C9"/>
    <w:rsid w:val="477261B2"/>
    <w:rsid w:val="4779656C"/>
    <w:rsid w:val="47B71E17"/>
    <w:rsid w:val="47BC7603"/>
    <w:rsid w:val="47BE7A5B"/>
    <w:rsid w:val="47C75CAE"/>
    <w:rsid w:val="47CB31E5"/>
    <w:rsid w:val="47CC58C3"/>
    <w:rsid w:val="48042299"/>
    <w:rsid w:val="48072F63"/>
    <w:rsid w:val="4812077E"/>
    <w:rsid w:val="48327EBB"/>
    <w:rsid w:val="48445774"/>
    <w:rsid w:val="48480A48"/>
    <w:rsid w:val="486954B8"/>
    <w:rsid w:val="487478EF"/>
    <w:rsid w:val="487822A5"/>
    <w:rsid w:val="488A10F7"/>
    <w:rsid w:val="489F1C03"/>
    <w:rsid w:val="48CE11C6"/>
    <w:rsid w:val="48D57DD9"/>
    <w:rsid w:val="48D679AF"/>
    <w:rsid w:val="48E05885"/>
    <w:rsid w:val="48E76DFC"/>
    <w:rsid w:val="48E96EEF"/>
    <w:rsid w:val="48FE4F86"/>
    <w:rsid w:val="49006273"/>
    <w:rsid w:val="49026614"/>
    <w:rsid w:val="4904364B"/>
    <w:rsid w:val="490B5297"/>
    <w:rsid w:val="493018B0"/>
    <w:rsid w:val="493C291F"/>
    <w:rsid w:val="495F5F18"/>
    <w:rsid w:val="496A2251"/>
    <w:rsid w:val="4985775C"/>
    <w:rsid w:val="49902D9B"/>
    <w:rsid w:val="49903545"/>
    <w:rsid w:val="49977CF0"/>
    <w:rsid w:val="499C66C1"/>
    <w:rsid w:val="49A20C90"/>
    <w:rsid w:val="49A34D3A"/>
    <w:rsid w:val="49AC203D"/>
    <w:rsid w:val="49B03288"/>
    <w:rsid w:val="49B06B1E"/>
    <w:rsid w:val="49B243FC"/>
    <w:rsid w:val="49DA45A4"/>
    <w:rsid w:val="49E6328C"/>
    <w:rsid w:val="4A0D78C4"/>
    <w:rsid w:val="4A1150A2"/>
    <w:rsid w:val="4A1672C9"/>
    <w:rsid w:val="4A234CCF"/>
    <w:rsid w:val="4A2452A1"/>
    <w:rsid w:val="4A41501F"/>
    <w:rsid w:val="4A491638"/>
    <w:rsid w:val="4A5A301A"/>
    <w:rsid w:val="4A5D3C96"/>
    <w:rsid w:val="4A631014"/>
    <w:rsid w:val="4A70426A"/>
    <w:rsid w:val="4A8C1339"/>
    <w:rsid w:val="4A904E20"/>
    <w:rsid w:val="4A952E37"/>
    <w:rsid w:val="4A9D70A2"/>
    <w:rsid w:val="4A9D7D25"/>
    <w:rsid w:val="4AAD45B2"/>
    <w:rsid w:val="4AB50542"/>
    <w:rsid w:val="4AB64608"/>
    <w:rsid w:val="4AE81E2E"/>
    <w:rsid w:val="4AF05F73"/>
    <w:rsid w:val="4AF57CAF"/>
    <w:rsid w:val="4AFD3FE5"/>
    <w:rsid w:val="4B0206C0"/>
    <w:rsid w:val="4B112FC3"/>
    <w:rsid w:val="4B12495E"/>
    <w:rsid w:val="4B2A3575"/>
    <w:rsid w:val="4B3A6FE7"/>
    <w:rsid w:val="4B3B35A6"/>
    <w:rsid w:val="4B516DB4"/>
    <w:rsid w:val="4B54763E"/>
    <w:rsid w:val="4B6A636D"/>
    <w:rsid w:val="4B71072A"/>
    <w:rsid w:val="4B773C45"/>
    <w:rsid w:val="4B7F0BCA"/>
    <w:rsid w:val="4B815674"/>
    <w:rsid w:val="4B834B5D"/>
    <w:rsid w:val="4B9C0419"/>
    <w:rsid w:val="4B9D0146"/>
    <w:rsid w:val="4BA02E79"/>
    <w:rsid w:val="4BA725A4"/>
    <w:rsid w:val="4BAD2157"/>
    <w:rsid w:val="4BBA3844"/>
    <w:rsid w:val="4BC56A86"/>
    <w:rsid w:val="4BE37447"/>
    <w:rsid w:val="4BE7609F"/>
    <w:rsid w:val="4BEF095E"/>
    <w:rsid w:val="4BF4285A"/>
    <w:rsid w:val="4BFB5877"/>
    <w:rsid w:val="4C051716"/>
    <w:rsid w:val="4C0B5EF2"/>
    <w:rsid w:val="4C1A0204"/>
    <w:rsid w:val="4C203C37"/>
    <w:rsid w:val="4C29386B"/>
    <w:rsid w:val="4C373527"/>
    <w:rsid w:val="4C3A71EF"/>
    <w:rsid w:val="4C3E2241"/>
    <w:rsid w:val="4C4402AF"/>
    <w:rsid w:val="4C524697"/>
    <w:rsid w:val="4C653401"/>
    <w:rsid w:val="4C75263B"/>
    <w:rsid w:val="4C7C718B"/>
    <w:rsid w:val="4C8A09F8"/>
    <w:rsid w:val="4C991AEB"/>
    <w:rsid w:val="4CAE4258"/>
    <w:rsid w:val="4CB51029"/>
    <w:rsid w:val="4CD80601"/>
    <w:rsid w:val="4CDE64DD"/>
    <w:rsid w:val="4D077F29"/>
    <w:rsid w:val="4D0B299B"/>
    <w:rsid w:val="4D160949"/>
    <w:rsid w:val="4D235C4E"/>
    <w:rsid w:val="4D3637DE"/>
    <w:rsid w:val="4D36474B"/>
    <w:rsid w:val="4D3D691B"/>
    <w:rsid w:val="4D5554A5"/>
    <w:rsid w:val="4D604438"/>
    <w:rsid w:val="4D777873"/>
    <w:rsid w:val="4D7C423A"/>
    <w:rsid w:val="4D825271"/>
    <w:rsid w:val="4D90429C"/>
    <w:rsid w:val="4D975A90"/>
    <w:rsid w:val="4DB2380D"/>
    <w:rsid w:val="4DB743CC"/>
    <w:rsid w:val="4DBF2BD5"/>
    <w:rsid w:val="4DBF5582"/>
    <w:rsid w:val="4DDA30D7"/>
    <w:rsid w:val="4DE96683"/>
    <w:rsid w:val="4DF55447"/>
    <w:rsid w:val="4DF6781D"/>
    <w:rsid w:val="4DFE0F8B"/>
    <w:rsid w:val="4E082152"/>
    <w:rsid w:val="4E127480"/>
    <w:rsid w:val="4E32129C"/>
    <w:rsid w:val="4E6023B2"/>
    <w:rsid w:val="4E683C50"/>
    <w:rsid w:val="4E7B5A2E"/>
    <w:rsid w:val="4E8A58D4"/>
    <w:rsid w:val="4E9A79BD"/>
    <w:rsid w:val="4EB512D1"/>
    <w:rsid w:val="4EBA687B"/>
    <w:rsid w:val="4ED14718"/>
    <w:rsid w:val="4ED52AF6"/>
    <w:rsid w:val="4EEE0138"/>
    <w:rsid w:val="4F0B3585"/>
    <w:rsid w:val="4F141375"/>
    <w:rsid w:val="4F1612C3"/>
    <w:rsid w:val="4F165947"/>
    <w:rsid w:val="4F283FD2"/>
    <w:rsid w:val="4F372745"/>
    <w:rsid w:val="4F4B6071"/>
    <w:rsid w:val="4F5601E4"/>
    <w:rsid w:val="4F6603AB"/>
    <w:rsid w:val="4F8C64C1"/>
    <w:rsid w:val="4F99287A"/>
    <w:rsid w:val="4FAC597D"/>
    <w:rsid w:val="4FBB59C7"/>
    <w:rsid w:val="4FC155E1"/>
    <w:rsid w:val="4FC45A45"/>
    <w:rsid w:val="4FDD2612"/>
    <w:rsid w:val="4FDE2637"/>
    <w:rsid w:val="4FE22DDB"/>
    <w:rsid w:val="4FF74E86"/>
    <w:rsid w:val="4FFF3F5F"/>
    <w:rsid w:val="50060280"/>
    <w:rsid w:val="5012690B"/>
    <w:rsid w:val="50224090"/>
    <w:rsid w:val="502A0F5B"/>
    <w:rsid w:val="50324627"/>
    <w:rsid w:val="503A1A92"/>
    <w:rsid w:val="503D47BC"/>
    <w:rsid w:val="503E1D00"/>
    <w:rsid w:val="50527186"/>
    <w:rsid w:val="50635DAA"/>
    <w:rsid w:val="507B60D8"/>
    <w:rsid w:val="50935839"/>
    <w:rsid w:val="509E1C70"/>
    <w:rsid w:val="50A01F45"/>
    <w:rsid w:val="50A76E0E"/>
    <w:rsid w:val="50B129E9"/>
    <w:rsid w:val="50B81D9C"/>
    <w:rsid w:val="50CC6933"/>
    <w:rsid w:val="50D6159A"/>
    <w:rsid w:val="50D87C17"/>
    <w:rsid w:val="50E43918"/>
    <w:rsid w:val="50E85D28"/>
    <w:rsid w:val="50EC2B32"/>
    <w:rsid w:val="50F54F91"/>
    <w:rsid w:val="510A74EF"/>
    <w:rsid w:val="510F6296"/>
    <w:rsid w:val="51180D53"/>
    <w:rsid w:val="5121091F"/>
    <w:rsid w:val="51340234"/>
    <w:rsid w:val="513724DE"/>
    <w:rsid w:val="516E0590"/>
    <w:rsid w:val="516E0E25"/>
    <w:rsid w:val="51745D93"/>
    <w:rsid w:val="517B2107"/>
    <w:rsid w:val="51810DEC"/>
    <w:rsid w:val="519B6306"/>
    <w:rsid w:val="51A008CD"/>
    <w:rsid w:val="51B929CF"/>
    <w:rsid w:val="51D268EF"/>
    <w:rsid w:val="51DA090B"/>
    <w:rsid w:val="51EF47E5"/>
    <w:rsid w:val="51FD0E1F"/>
    <w:rsid w:val="52187956"/>
    <w:rsid w:val="5226168C"/>
    <w:rsid w:val="52423F74"/>
    <w:rsid w:val="52454049"/>
    <w:rsid w:val="52466271"/>
    <w:rsid w:val="525371D8"/>
    <w:rsid w:val="525A09AD"/>
    <w:rsid w:val="525A7CC8"/>
    <w:rsid w:val="52644F0E"/>
    <w:rsid w:val="526B217C"/>
    <w:rsid w:val="52896D30"/>
    <w:rsid w:val="52970D70"/>
    <w:rsid w:val="52A551C8"/>
    <w:rsid w:val="52A92A0F"/>
    <w:rsid w:val="52B551A5"/>
    <w:rsid w:val="52BA371D"/>
    <w:rsid w:val="52C84ED8"/>
    <w:rsid w:val="52D67FA6"/>
    <w:rsid w:val="52DE294E"/>
    <w:rsid w:val="52FC73E2"/>
    <w:rsid w:val="53000B16"/>
    <w:rsid w:val="530A3743"/>
    <w:rsid w:val="530D53EC"/>
    <w:rsid w:val="531732F1"/>
    <w:rsid w:val="53285977"/>
    <w:rsid w:val="53303D09"/>
    <w:rsid w:val="53304D1D"/>
    <w:rsid w:val="53425EE0"/>
    <w:rsid w:val="53425EF6"/>
    <w:rsid w:val="535D1AC5"/>
    <w:rsid w:val="5387768D"/>
    <w:rsid w:val="53B2142D"/>
    <w:rsid w:val="53B85D8D"/>
    <w:rsid w:val="53BD5A79"/>
    <w:rsid w:val="53C7318C"/>
    <w:rsid w:val="53C84DB6"/>
    <w:rsid w:val="53D361F2"/>
    <w:rsid w:val="53EB247E"/>
    <w:rsid w:val="54341878"/>
    <w:rsid w:val="54461456"/>
    <w:rsid w:val="54500E1F"/>
    <w:rsid w:val="54556C40"/>
    <w:rsid w:val="54584183"/>
    <w:rsid w:val="54A6188D"/>
    <w:rsid w:val="54C61997"/>
    <w:rsid w:val="54D30A5D"/>
    <w:rsid w:val="54EB2652"/>
    <w:rsid w:val="54F344B3"/>
    <w:rsid w:val="55140BC0"/>
    <w:rsid w:val="55147866"/>
    <w:rsid w:val="551F42DB"/>
    <w:rsid w:val="552261BB"/>
    <w:rsid w:val="5547413E"/>
    <w:rsid w:val="554C7B9C"/>
    <w:rsid w:val="554C7F8C"/>
    <w:rsid w:val="555420A3"/>
    <w:rsid w:val="55562C6F"/>
    <w:rsid w:val="55842345"/>
    <w:rsid w:val="55912DB4"/>
    <w:rsid w:val="55963E95"/>
    <w:rsid w:val="55AB6FEA"/>
    <w:rsid w:val="55BE190C"/>
    <w:rsid w:val="55C5709B"/>
    <w:rsid w:val="55C81CC7"/>
    <w:rsid w:val="55CB3EF0"/>
    <w:rsid w:val="55DD16F5"/>
    <w:rsid w:val="55E70297"/>
    <w:rsid w:val="55EF70D7"/>
    <w:rsid w:val="55FD0F4D"/>
    <w:rsid w:val="55FD3145"/>
    <w:rsid w:val="560E1B5A"/>
    <w:rsid w:val="56340A6E"/>
    <w:rsid w:val="56386B0F"/>
    <w:rsid w:val="563B476F"/>
    <w:rsid w:val="56445D03"/>
    <w:rsid w:val="5646301D"/>
    <w:rsid w:val="565E2060"/>
    <w:rsid w:val="566341DE"/>
    <w:rsid w:val="566B212B"/>
    <w:rsid w:val="566D2743"/>
    <w:rsid w:val="566F208B"/>
    <w:rsid w:val="56793474"/>
    <w:rsid w:val="568124EC"/>
    <w:rsid w:val="569C7B41"/>
    <w:rsid w:val="56B45E9F"/>
    <w:rsid w:val="56B66E2C"/>
    <w:rsid w:val="56BC2FA6"/>
    <w:rsid w:val="56BC3A3D"/>
    <w:rsid w:val="56BD287A"/>
    <w:rsid w:val="56C26549"/>
    <w:rsid w:val="56C71EC1"/>
    <w:rsid w:val="56C83DE8"/>
    <w:rsid w:val="56D402F0"/>
    <w:rsid w:val="56E2522C"/>
    <w:rsid w:val="56F40992"/>
    <w:rsid w:val="56FB267B"/>
    <w:rsid w:val="57011175"/>
    <w:rsid w:val="57050C5A"/>
    <w:rsid w:val="57164654"/>
    <w:rsid w:val="571D46A9"/>
    <w:rsid w:val="57293842"/>
    <w:rsid w:val="572B4D0F"/>
    <w:rsid w:val="572B5BD8"/>
    <w:rsid w:val="572F2765"/>
    <w:rsid w:val="574C2352"/>
    <w:rsid w:val="57551C24"/>
    <w:rsid w:val="576C2E6F"/>
    <w:rsid w:val="57766E4E"/>
    <w:rsid w:val="57925AB5"/>
    <w:rsid w:val="579B7288"/>
    <w:rsid w:val="579D57BA"/>
    <w:rsid w:val="57A64DE8"/>
    <w:rsid w:val="57A73558"/>
    <w:rsid w:val="57AF2C05"/>
    <w:rsid w:val="57BE5766"/>
    <w:rsid w:val="57C341C1"/>
    <w:rsid w:val="57F32F26"/>
    <w:rsid w:val="58040EFC"/>
    <w:rsid w:val="580A02B5"/>
    <w:rsid w:val="584521FF"/>
    <w:rsid w:val="584E1228"/>
    <w:rsid w:val="5857608A"/>
    <w:rsid w:val="5857796C"/>
    <w:rsid w:val="5858255C"/>
    <w:rsid w:val="58583422"/>
    <w:rsid w:val="58692990"/>
    <w:rsid w:val="586B70B2"/>
    <w:rsid w:val="586B764B"/>
    <w:rsid w:val="586F3C15"/>
    <w:rsid w:val="58775B41"/>
    <w:rsid w:val="589F0D32"/>
    <w:rsid w:val="58A823F3"/>
    <w:rsid w:val="58B27CCE"/>
    <w:rsid w:val="58DF62A6"/>
    <w:rsid w:val="58E159EE"/>
    <w:rsid w:val="58E176DC"/>
    <w:rsid w:val="58EB7B73"/>
    <w:rsid w:val="58EE63CC"/>
    <w:rsid w:val="58F44C79"/>
    <w:rsid w:val="590B7D0D"/>
    <w:rsid w:val="590E517E"/>
    <w:rsid w:val="591344A4"/>
    <w:rsid w:val="59241B41"/>
    <w:rsid w:val="59342F0B"/>
    <w:rsid w:val="593B432B"/>
    <w:rsid w:val="59537972"/>
    <w:rsid w:val="595D3FB0"/>
    <w:rsid w:val="59773BB5"/>
    <w:rsid w:val="59835140"/>
    <w:rsid w:val="59B62052"/>
    <w:rsid w:val="59B91A1F"/>
    <w:rsid w:val="59C97F58"/>
    <w:rsid w:val="59D40607"/>
    <w:rsid w:val="59E473FC"/>
    <w:rsid w:val="59EB5122"/>
    <w:rsid w:val="59EE7260"/>
    <w:rsid w:val="59F5387E"/>
    <w:rsid w:val="59F74035"/>
    <w:rsid w:val="5A067638"/>
    <w:rsid w:val="5A1B29C5"/>
    <w:rsid w:val="5A44549F"/>
    <w:rsid w:val="5A4D42EC"/>
    <w:rsid w:val="5A5749FD"/>
    <w:rsid w:val="5A631B11"/>
    <w:rsid w:val="5A6951F3"/>
    <w:rsid w:val="5A821E11"/>
    <w:rsid w:val="5A843837"/>
    <w:rsid w:val="5A8564FF"/>
    <w:rsid w:val="5A875D6B"/>
    <w:rsid w:val="5AA52527"/>
    <w:rsid w:val="5AA62413"/>
    <w:rsid w:val="5AB027C3"/>
    <w:rsid w:val="5AB76329"/>
    <w:rsid w:val="5ABD1AB6"/>
    <w:rsid w:val="5AC372E7"/>
    <w:rsid w:val="5ACC5811"/>
    <w:rsid w:val="5AF91B74"/>
    <w:rsid w:val="5B04637C"/>
    <w:rsid w:val="5B0964C0"/>
    <w:rsid w:val="5B0D6B78"/>
    <w:rsid w:val="5B2749EB"/>
    <w:rsid w:val="5B2E5C08"/>
    <w:rsid w:val="5B307F08"/>
    <w:rsid w:val="5B3E284D"/>
    <w:rsid w:val="5B433C96"/>
    <w:rsid w:val="5B440AF6"/>
    <w:rsid w:val="5B5437AD"/>
    <w:rsid w:val="5B623F84"/>
    <w:rsid w:val="5B6750EB"/>
    <w:rsid w:val="5B6A3E52"/>
    <w:rsid w:val="5B8A73CA"/>
    <w:rsid w:val="5B914A01"/>
    <w:rsid w:val="5BB16E51"/>
    <w:rsid w:val="5BB522F0"/>
    <w:rsid w:val="5BBE7F06"/>
    <w:rsid w:val="5BC1604D"/>
    <w:rsid w:val="5BC91B0B"/>
    <w:rsid w:val="5BD7618C"/>
    <w:rsid w:val="5BDB6E78"/>
    <w:rsid w:val="5BE90E9B"/>
    <w:rsid w:val="5BF913EB"/>
    <w:rsid w:val="5BFA549A"/>
    <w:rsid w:val="5C05719D"/>
    <w:rsid w:val="5C0A3343"/>
    <w:rsid w:val="5C0B2919"/>
    <w:rsid w:val="5C3570FC"/>
    <w:rsid w:val="5C38168E"/>
    <w:rsid w:val="5C3A3A3E"/>
    <w:rsid w:val="5C4A3EF0"/>
    <w:rsid w:val="5C594DF3"/>
    <w:rsid w:val="5C5A68D2"/>
    <w:rsid w:val="5C5E1C69"/>
    <w:rsid w:val="5C6931CF"/>
    <w:rsid w:val="5C6C2D78"/>
    <w:rsid w:val="5C70026C"/>
    <w:rsid w:val="5C763E35"/>
    <w:rsid w:val="5C920778"/>
    <w:rsid w:val="5CA17C3E"/>
    <w:rsid w:val="5CA22FBB"/>
    <w:rsid w:val="5CDD1888"/>
    <w:rsid w:val="5CF93658"/>
    <w:rsid w:val="5D113688"/>
    <w:rsid w:val="5D1340DC"/>
    <w:rsid w:val="5D276A91"/>
    <w:rsid w:val="5D3325A1"/>
    <w:rsid w:val="5D3B09DE"/>
    <w:rsid w:val="5D5919E2"/>
    <w:rsid w:val="5D5C692C"/>
    <w:rsid w:val="5D6938D6"/>
    <w:rsid w:val="5D7966FD"/>
    <w:rsid w:val="5D8A2ECE"/>
    <w:rsid w:val="5D990980"/>
    <w:rsid w:val="5D9E4ABD"/>
    <w:rsid w:val="5DB948AE"/>
    <w:rsid w:val="5DBF4D0C"/>
    <w:rsid w:val="5DC74791"/>
    <w:rsid w:val="5DCA6629"/>
    <w:rsid w:val="5DE4349C"/>
    <w:rsid w:val="5DE87BA3"/>
    <w:rsid w:val="5DEB7846"/>
    <w:rsid w:val="5DFC4070"/>
    <w:rsid w:val="5DFD1E5E"/>
    <w:rsid w:val="5E0A2849"/>
    <w:rsid w:val="5E187A9F"/>
    <w:rsid w:val="5E1B2CA8"/>
    <w:rsid w:val="5E1E5346"/>
    <w:rsid w:val="5E29353C"/>
    <w:rsid w:val="5E2E2231"/>
    <w:rsid w:val="5E302FA8"/>
    <w:rsid w:val="5E324C33"/>
    <w:rsid w:val="5E3340B5"/>
    <w:rsid w:val="5E493E31"/>
    <w:rsid w:val="5E56402D"/>
    <w:rsid w:val="5E5835B4"/>
    <w:rsid w:val="5E8071A4"/>
    <w:rsid w:val="5E851D6D"/>
    <w:rsid w:val="5E8A5C42"/>
    <w:rsid w:val="5E9678DF"/>
    <w:rsid w:val="5EB04FC2"/>
    <w:rsid w:val="5EC155FD"/>
    <w:rsid w:val="5EC1718C"/>
    <w:rsid w:val="5EC763FD"/>
    <w:rsid w:val="5ED25F53"/>
    <w:rsid w:val="5EE74938"/>
    <w:rsid w:val="5EEB267A"/>
    <w:rsid w:val="5EF30D5D"/>
    <w:rsid w:val="5F021215"/>
    <w:rsid w:val="5F25441A"/>
    <w:rsid w:val="5F2A0ECD"/>
    <w:rsid w:val="5F2D0A09"/>
    <w:rsid w:val="5F2F4B27"/>
    <w:rsid w:val="5F4965EA"/>
    <w:rsid w:val="5F4F746D"/>
    <w:rsid w:val="5F566E9F"/>
    <w:rsid w:val="5F622211"/>
    <w:rsid w:val="5F66559C"/>
    <w:rsid w:val="5F6B6B32"/>
    <w:rsid w:val="5F7206A6"/>
    <w:rsid w:val="5F7E65F0"/>
    <w:rsid w:val="5F8637DF"/>
    <w:rsid w:val="5F8F66B4"/>
    <w:rsid w:val="5F9A5E4E"/>
    <w:rsid w:val="5FAF4662"/>
    <w:rsid w:val="5FB8037A"/>
    <w:rsid w:val="5FC61F85"/>
    <w:rsid w:val="5FC85DB1"/>
    <w:rsid w:val="5FD44E33"/>
    <w:rsid w:val="5FD67E2E"/>
    <w:rsid w:val="5FDF07F4"/>
    <w:rsid w:val="5FE716F5"/>
    <w:rsid w:val="5FEF6FA9"/>
    <w:rsid w:val="5FF00BC4"/>
    <w:rsid w:val="600F0A86"/>
    <w:rsid w:val="60194068"/>
    <w:rsid w:val="601F7A80"/>
    <w:rsid w:val="6030212B"/>
    <w:rsid w:val="6038266D"/>
    <w:rsid w:val="603A3079"/>
    <w:rsid w:val="60457191"/>
    <w:rsid w:val="60613802"/>
    <w:rsid w:val="60632F44"/>
    <w:rsid w:val="606926CB"/>
    <w:rsid w:val="606B6EC9"/>
    <w:rsid w:val="606F6D93"/>
    <w:rsid w:val="60703EA6"/>
    <w:rsid w:val="607E64FD"/>
    <w:rsid w:val="60A212BD"/>
    <w:rsid w:val="60A31489"/>
    <w:rsid w:val="60A43D36"/>
    <w:rsid w:val="60A5557F"/>
    <w:rsid w:val="60A70643"/>
    <w:rsid w:val="60C018E5"/>
    <w:rsid w:val="60C14B34"/>
    <w:rsid w:val="60C925D1"/>
    <w:rsid w:val="60CC7C8B"/>
    <w:rsid w:val="60D13672"/>
    <w:rsid w:val="60DB3725"/>
    <w:rsid w:val="60E25EE0"/>
    <w:rsid w:val="60E27AAD"/>
    <w:rsid w:val="60F33A68"/>
    <w:rsid w:val="60F73E62"/>
    <w:rsid w:val="61066529"/>
    <w:rsid w:val="61072F9D"/>
    <w:rsid w:val="612729BB"/>
    <w:rsid w:val="613B1D3F"/>
    <w:rsid w:val="613D1187"/>
    <w:rsid w:val="613F3A8B"/>
    <w:rsid w:val="614E7A59"/>
    <w:rsid w:val="61500EBB"/>
    <w:rsid w:val="615362B5"/>
    <w:rsid w:val="61771CFE"/>
    <w:rsid w:val="617E2E52"/>
    <w:rsid w:val="61861C82"/>
    <w:rsid w:val="61983B9F"/>
    <w:rsid w:val="61A4454B"/>
    <w:rsid w:val="61A96EB2"/>
    <w:rsid w:val="61B94F7B"/>
    <w:rsid w:val="61C70761"/>
    <w:rsid w:val="61C86D9F"/>
    <w:rsid w:val="61D90EB0"/>
    <w:rsid w:val="61EE4AE2"/>
    <w:rsid w:val="6208200F"/>
    <w:rsid w:val="62183CFB"/>
    <w:rsid w:val="62192ECD"/>
    <w:rsid w:val="62330EBD"/>
    <w:rsid w:val="623424DA"/>
    <w:rsid w:val="62477C05"/>
    <w:rsid w:val="62522A10"/>
    <w:rsid w:val="626D113F"/>
    <w:rsid w:val="626E58C3"/>
    <w:rsid w:val="627666FF"/>
    <w:rsid w:val="627D7A8D"/>
    <w:rsid w:val="627F73F5"/>
    <w:rsid w:val="62817D88"/>
    <w:rsid w:val="62826A26"/>
    <w:rsid w:val="628F132D"/>
    <w:rsid w:val="62931E48"/>
    <w:rsid w:val="629E3A3C"/>
    <w:rsid w:val="62A0218F"/>
    <w:rsid w:val="62A04B77"/>
    <w:rsid w:val="62A274F4"/>
    <w:rsid w:val="62A75FD0"/>
    <w:rsid w:val="62C42574"/>
    <w:rsid w:val="62D05216"/>
    <w:rsid w:val="62E23DB4"/>
    <w:rsid w:val="62F356CA"/>
    <w:rsid w:val="631513AF"/>
    <w:rsid w:val="63155DAC"/>
    <w:rsid w:val="63243F99"/>
    <w:rsid w:val="634C2F9F"/>
    <w:rsid w:val="634D002B"/>
    <w:rsid w:val="635B1BAF"/>
    <w:rsid w:val="635C7B9B"/>
    <w:rsid w:val="6387630D"/>
    <w:rsid w:val="638F2E18"/>
    <w:rsid w:val="63906AE8"/>
    <w:rsid w:val="63920503"/>
    <w:rsid w:val="63A11875"/>
    <w:rsid w:val="63C57D37"/>
    <w:rsid w:val="63C86252"/>
    <w:rsid w:val="63CB2F01"/>
    <w:rsid w:val="63DD6731"/>
    <w:rsid w:val="63E26AC5"/>
    <w:rsid w:val="63EA5BED"/>
    <w:rsid w:val="64012DA8"/>
    <w:rsid w:val="64144A10"/>
    <w:rsid w:val="6419746C"/>
    <w:rsid w:val="64207416"/>
    <w:rsid w:val="64322AF9"/>
    <w:rsid w:val="644001BE"/>
    <w:rsid w:val="647432AC"/>
    <w:rsid w:val="64752307"/>
    <w:rsid w:val="648412C2"/>
    <w:rsid w:val="64AE1DAE"/>
    <w:rsid w:val="64B01553"/>
    <w:rsid w:val="64B1509A"/>
    <w:rsid w:val="64B96DBC"/>
    <w:rsid w:val="64C24F61"/>
    <w:rsid w:val="64CB6AD3"/>
    <w:rsid w:val="64DB597A"/>
    <w:rsid w:val="64DC1F75"/>
    <w:rsid w:val="64EE49CF"/>
    <w:rsid w:val="64F93105"/>
    <w:rsid w:val="64FC710C"/>
    <w:rsid w:val="650E0E71"/>
    <w:rsid w:val="651B533C"/>
    <w:rsid w:val="65217CA4"/>
    <w:rsid w:val="652A1A23"/>
    <w:rsid w:val="652C5905"/>
    <w:rsid w:val="65387C9C"/>
    <w:rsid w:val="65424FBE"/>
    <w:rsid w:val="65525C0E"/>
    <w:rsid w:val="657036A4"/>
    <w:rsid w:val="657F7977"/>
    <w:rsid w:val="658D7C4D"/>
    <w:rsid w:val="65B25CA0"/>
    <w:rsid w:val="65B57B97"/>
    <w:rsid w:val="65B86A3A"/>
    <w:rsid w:val="65C30C48"/>
    <w:rsid w:val="65D435EF"/>
    <w:rsid w:val="65DD5A59"/>
    <w:rsid w:val="65E16585"/>
    <w:rsid w:val="65FE24AC"/>
    <w:rsid w:val="66045839"/>
    <w:rsid w:val="661E3980"/>
    <w:rsid w:val="661E7DB9"/>
    <w:rsid w:val="661F2D78"/>
    <w:rsid w:val="662E7E11"/>
    <w:rsid w:val="66314933"/>
    <w:rsid w:val="663823C1"/>
    <w:rsid w:val="66415276"/>
    <w:rsid w:val="665915A1"/>
    <w:rsid w:val="665F2328"/>
    <w:rsid w:val="665F26F5"/>
    <w:rsid w:val="66644AC0"/>
    <w:rsid w:val="666822A9"/>
    <w:rsid w:val="667569ED"/>
    <w:rsid w:val="66807B4C"/>
    <w:rsid w:val="66BE1535"/>
    <w:rsid w:val="66BE19DC"/>
    <w:rsid w:val="66BF628A"/>
    <w:rsid w:val="66CA2D2F"/>
    <w:rsid w:val="66E56ACE"/>
    <w:rsid w:val="66FF6B80"/>
    <w:rsid w:val="6700230E"/>
    <w:rsid w:val="671029A4"/>
    <w:rsid w:val="672C10D5"/>
    <w:rsid w:val="672F1A96"/>
    <w:rsid w:val="673062E9"/>
    <w:rsid w:val="67387799"/>
    <w:rsid w:val="67496A8C"/>
    <w:rsid w:val="67695297"/>
    <w:rsid w:val="677454A1"/>
    <w:rsid w:val="679922EE"/>
    <w:rsid w:val="679946EA"/>
    <w:rsid w:val="67A244A8"/>
    <w:rsid w:val="67AE550F"/>
    <w:rsid w:val="67C463D6"/>
    <w:rsid w:val="67E1033D"/>
    <w:rsid w:val="67E52145"/>
    <w:rsid w:val="67F94888"/>
    <w:rsid w:val="67FB55AA"/>
    <w:rsid w:val="68103152"/>
    <w:rsid w:val="68261318"/>
    <w:rsid w:val="6848469A"/>
    <w:rsid w:val="684B23DC"/>
    <w:rsid w:val="684C105F"/>
    <w:rsid w:val="684D0AE9"/>
    <w:rsid w:val="685858C7"/>
    <w:rsid w:val="68633281"/>
    <w:rsid w:val="686D4866"/>
    <w:rsid w:val="68720801"/>
    <w:rsid w:val="687C2750"/>
    <w:rsid w:val="68981A28"/>
    <w:rsid w:val="689F3679"/>
    <w:rsid w:val="68AE3637"/>
    <w:rsid w:val="68B24832"/>
    <w:rsid w:val="68B43ADD"/>
    <w:rsid w:val="68B47583"/>
    <w:rsid w:val="68BE64F1"/>
    <w:rsid w:val="68D647F8"/>
    <w:rsid w:val="68DD6B4B"/>
    <w:rsid w:val="68EC1146"/>
    <w:rsid w:val="68ED5241"/>
    <w:rsid w:val="68F132CB"/>
    <w:rsid w:val="68F90282"/>
    <w:rsid w:val="68FE3C6D"/>
    <w:rsid w:val="69011E64"/>
    <w:rsid w:val="69032977"/>
    <w:rsid w:val="690B3A29"/>
    <w:rsid w:val="691141F0"/>
    <w:rsid w:val="691D47AD"/>
    <w:rsid w:val="69215F81"/>
    <w:rsid w:val="69236EB5"/>
    <w:rsid w:val="692C43C4"/>
    <w:rsid w:val="6940119C"/>
    <w:rsid w:val="69502F26"/>
    <w:rsid w:val="695854D4"/>
    <w:rsid w:val="69594684"/>
    <w:rsid w:val="695A4786"/>
    <w:rsid w:val="695B7356"/>
    <w:rsid w:val="69747710"/>
    <w:rsid w:val="699121C5"/>
    <w:rsid w:val="699D27C3"/>
    <w:rsid w:val="69DE752E"/>
    <w:rsid w:val="69E200FA"/>
    <w:rsid w:val="69FA6DDB"/>
    <w:rsid w:val="6A060843"/>
    <w:rsid w:val="6A0E2D25"/>
    <w:rsid w:val="6A144B8E"/>
    <w:rsid w:val="6A15556F"/>
    <w:rsid w:val="6A1F066F"/>
    <w:rsid w:val="6A561C1C"/>
    <w:rsid w:val="6A5E33D3"/>
    <w:rsid w:val="6A7C4C84"/>
    <w:rsid w:val="6A8546E5"/>
    <w:rsid w:val="6A886993"/>
    <w:rsid w:val="6A94038D"/>
    <w:rsid w:val="6A997B28"/>
    <w:rsid w:val="6AAF4DB7"/>
    <w:rsid w:val="6AB05167"/>
    <w:rsid w:val="6AC9569E"/>
    <w:rsid w:val="6ACA0919"/>
    <w:rsid w:val="6AD71161"/>
    <w:rsid w:val="6AD759BE"/>
    <w:rsid w:val="6AE24489"/>
    <w:rsid w:val="6AE854DD"/>
    <w:rsid w:val="6AF127C3"/>
    <w:rsid w:val="6AF8223A"/>
    <w:rsid w:val="6B111CA2"/>
    <w:rsid w:val="6B122178"/>
    <w:rsid w:val="6B1A35BB"/>
    <w:rsid w:val="6B1B42E7"/>
    <w:rsid w:val="6B273CB9"/>
    <w:rsid w:val="6B43505A"/>
    <w:rsid w:val="6B697E1E"/>
    <w:rsid w:val="6B80355B"/>
    <w:rsid w:val="6B820E86"/>
    <w:rsid w:val="6B8A60C2"/>
    <w:rsid w:val="6B99520C"/>
    <w:rsid w:val="6BA765AE"/>
    <w:rsid w:val="6BA93A06"/>
    <w:rsid w:val="6BB34431"/>
    <w:rsid w:val="6BB50670"/>
    <w:rsid w:val="6BB90F43"/>
    <w:rsid w:val="6BBB5DF6"/>
    <w:rsid w:val="6BEF600D"/>
    <w:rsid w:val="6BF84629"/>
    <w:rsid w:val="6C060F44"/>
    <w:rsid w:val="6C0716CC"/>
    <w:rsid w:val="6C0D5278"/>
    <w:rsid w:val="6C1B589F"/>
    <w:rsid w:val="6C4A6FC2"/>
    <w:rsid w:val="6C581335"/>
    <w:rsid w:val="6C5932F4"/>
    <w:rsid w:val="6C5A2BED"/>
    <w:rsid w:val="6C7F3A02"/>
    <w:rsid w:val="6C856BF4"/>
    <w:rsid w:val="6C8A263D"/>
    <w:rsid w:val="6C8C5CB6"/>
    <w:rsid w:val="6CA6644A"/>
    <w:rsid w:val="6CA71B0C"/>
    <w:rsid w:val="6CB00A5F"/>
    <w:rsid w:val="6CD04367"/>
    <w:rsid w:val="6CD93936"/>
    <w:rsid w:val="6CF25921"/>
    <w:rsid w:val="6CFA0E56"/>
    <w:rsid w:val="6D006FAF"/>
    <w:rsid w:val="6D21195D"/>
    <w:rsid w:val="6D213428"/>
    <w:rsid w:val="6D217EFB"/>
    <w:rsid w:val="6D25144D"/>
    <w:rsid w:val="6D263194"/>
    <w:rsid w:val="6D2A73F0"/>
    <w:rsid w:val="6D371181"/>
    <w:rsid w:val="6D5B5FD4"/>
    <w:rsid w:val="6D662156"/>
    <w:rsid w:val="6D6D6269"/>
    <w:rsid w:val="6D8B3860"/>
    <w:rsid w:val="6D8D0DA1"/>
    <w:rsid w:val="6D9D5488"/>
    <w:rsid w:val="6D9F797A"/>
    <w:rsid w:val="6DAE50B9"/>
    <w:rsid w:val="6DD91258"/>
    <w:rsid w:val="6DF15781"/>
    <w:rsid w:val="6DFD4E6D"/>
    <w:rsid w:val="6E00215E"/>
    <w:rsid w:val="6E0936B0"/>
    <w:rsid w:val="6E0F5DC5"/>
    <w:rsid w:val="6E250FD9"/>
    <w:rsid w:val="6E2602F1"/>
    <w:rsid w:val="6E2710E9"/>
    <w:rsid w:val="6E66444E"/>
    <w:rsid w:val="6E6672A3"/>
    <w:rsid w:val="6E6C02BD"/>
    <w:rsid w:val="6E7451A0"/>
    <w:rsid w:val="6E7C400D"/>
    <w:rsid w:val="6ECB4016"/>
    <w:rsid w:val="6EF25FD1"/>
    <w:rsid w:val="6EF3682A"/>
    <w:rsid w:val="6EF435A6"/>
    <w:rsid w:val="6EF70B60"/>
    <w:rsid w:val="6EFE381F"/>
    <w:rsid w:val="6F0B4673"/>
    <w:rsid w:val="6F152ED7"/>
    <w:rsid w:val="6F176B74"/>
    <w:rsid w:val="6F2374C9"/>
    <w:rsid w:val="6F375468"/>
    <w:rsid w:val="6F3911E0"/>
    <w:rsid w:val="6F3E05A4"/>
    <w:rsid w:val="6F40118D"/>
    <w:rsid w:val="6F4631FA"/>
    <w:rsid w:val="6F5B7A35"/>
    <w:rsid w:val="6F622652"/>
    <w:rsid w:val="6F6A7677"/>
    <w:rsid w:val="6F7430DC"/>
    <w:rsid w:val="6F871F4B"/>
    <w:rsid w:val="6F8C58A2"/>
    <w:rsid w:val="6F933866"/>
    <w:rsid w:val="6F964D12"/>
    <w:rsid w:val="6F9B4DFF"/>
    <w:rsid w:val="6F9C39F7"/>
    <w:rsid w:val="6FB43209"/>
    <w:rsid w:val="6FC031E3"/>
    <w:rsid w:val="6FC3463C"/>
    <w:rsid w:val="6FCA561F"/>
    <w:rsid w:val="6FCC3E02"/>
    <w:rsid w:val="6FD40F09"/>
    <w:rsid w:val="6FE33096"/>
    <w:rsid w:val="700211C0"/>
    <w:rsid w:val="70027824"/>
    <w:rsid w:val="70077AC4"/>
    <w:rsid w:val="700A1532"/>
    <w:rsid w:val="700E61C9"/>
    <w:rsid w:val="702155B9"/>
    <w:rsid w:val="70254A3C"/>
    <w:rsid w:val="70272F09"/>
    <w:rsid w:val="702D73DB"/>
    <w:rsid w:val="70326C70"/>
    <w:rsid w:val="704031C9"/>
    <w:rsid w:val="704839E5"/>
    <w:rsid w:val="704F55CA"/>
    <w:rsid w:val="70530D49"/>
    <w:rsid w:val="70824F69"/>
    <w:rsid w:val="70841726"/>
    <w:rsid w:val="709B2E8B"/>
    <w:rsid w:val="70A75985"/>
    <w:rsid w:val="70DF7D86"/>
    <w:rsid w:val="70ED53C9"/>
    <w:rsid w:val="70F82261"/>
    <w:rsid w:val="70FF0CCE"/>
    <w:rsid w:val="71040DF7"/>
    <w:rsid w:val="71105D26"/>
    <w:rsid w:val="71162922"/>
    <w:rsid w:val="71266B0C"/>
    <w:rsid w:val="7171432D"/>
    <w:rsid w:val="7188452D"/>
    <w:rsid w:val="71CB1520"/>
    <w:rsid w:val="71D43953"/>
    <w:rsid w:val="71D94899"/>
    <w:rsid w:val="72051C2F"/>
    <w:rsid w:val="720C498A"/>
    <w:rsid w:val="7216177E"/>
    <w:rsid w:val="721675B7"/>
    <w:rsid w:val="721B3292"/>
    <w:rsid w:val="721E4B72"/>
    <w:rsid w:val="7234158C"/>
    <w:rsid w:val="7235282A"/>
    <w:rsid w:val="723C0FC7"/>
    <w:rsid w:val="725105EF"/>
    <w:rsid w:val="725325B9"/>
    <w:rsid w:val="727C2941"/>
    <w:rsid w:val="727F5B25"/>
    <w:rsid w:val="728A39CC"/>
    <w:rsid w:val="729107D9"/>
    <w:rsid w:val="729E6836"/>
    <w:rsid w:val="72A1211D"/>
    <w:rsid w:val="72B45077"/>
    <w:rsid w:val="72D16A45"/>
    <w:rsid w:val="72D35FB0"/>
    <w:rsid w:val="72DE627B"/>
    <w:rsid w:val="72E465D9"/>
    <w:rsid w:val="72F75B68"/>
    <w:rsid w:val="72FD004B"/>
    <w:rsid w:val="72FD06DA"/>
    <w:rsid w:val="73131D48"/>
    <w:rsid w:val="73134CBF"/>
    <w:rsid w:val="73154AB6"/>
    <w:rsid w:val="731568AD"/>
    <w:rsid w:val="733A035B"/>
    <w:rsid w:val="73426190"/>
    <w:rsid w:val="735111D5"/>
    <w:rsid w:val="735920C0"/>
    <w:rsid w:val="735C1A29"/>
    <w:rsid w:val="73693075"/>
    <w:rsid w:val="737A22F2"/>
    <w:rsid w:val="737C5A8A"/>
    <w:rsid w:val="738E63FE"/>
    <w:rsid w:val="73942E89"/>
    <w:rsid w:val="73A56ADC"/>
    <w:rsid w:val="73A737E9"/>
    <w:rsid w:val="73B115BF"/>
    <w:rsid w:val="73B41B63"/>
    <w:rsid w:val="73B50B37"/>
    <w:rsid w:val="73B77930"/>
    <w:rsid w:val="73BA63D0"/>
    <w:rsid w:val="73BD1FC1"/>
    <w:rsid w:val="73CE0E97"/>
    <w:rsid w:val="73CE2B29"/>
    <w:rsid w:val="73E66746"/>
    <w:rsid w:val="73EF1B22"/>
    <w:rsid w:val="74062D3C"/>
    <w:rsid w:val="740A314B"/>
    <w:rsid w:val="741217C7"/>
    <w:rsid w:val="742532CC"/>
    <w:rsid w:val="74276308"/>
    <w:rsid w:val="744E1E45"/>
    <w:rsid w:val="74633DFD"/>
    <w:rsid w:val="746740F9"/>
    <w:rsid w:val="747B3B55"/>
    <w:rsid w:val="74853014"/>
    <w:rsid w:val="74856CFF"/>
    <w:rsid w:val="748F3650"/>
    <w:rsid w:val="7490465C"/>
    <w:rsid w:val="7494486A"/>
    <w:rsid w:val="74945FCE"/>
    <w:rsid w:val="749F0C80"/>
    <w:rsid w:val="74AD4C04"/>
    <w:rsid w:val="74BD01BD"/>
    <w:rsid w:val="74BF6645"/>
    <w:rsid w:val="74C7562E"/>
    <w:rsid w:val="74E67D0E"/>
    <w:rsid w:val="74F31E31"/>
    <w:rsid w:val="75093C07"/>
    <w:rsid w:val="751A6FC3"/>
    <w:rsid w:val="751B451E"/>
    <w:rsid w:val="751D2A0A"/>
    <w:rsid w:val="751D4CBF"/>
    <w:rsid w:val="75310E97"/>
    <w:rsid w:val="75337F05"/>
    <w:rsid w:val="753736BE"/>
    <w:rsid w:val="753B595A"/>
    <w:rsid w:val="75562658"/>
    <w:rsid w:val="755F57D5"/>
    <w:rsid w:val="756401CB"/>
    <w:rsid w:val="759B2957"/>
    <w:rsid w:val="75A44DD7"/>
    <w:rsid w:val="75B151D1"/>
    <w:rsid w:val="75B75662"/>
    <w:rsid w:val="75D46A61"/>
    <w:rsid w:val="75DB30A3"/>
    <w:rsid w:val="75DC71F7"/>
    <w:rsid w:val="76080521"/>
    <w:rsid w:val="760867F2"/>
    <w:rsid w:val="760F284C"/>
    <w:rsid w:val="76171B4F"/>
    <w:rsid w:val="76244D6A"/>
    <w:rsid w:val="76431371"/>
    <w:rsid w:val="76485526"/>
    <w:rsid w:val="764B5178"/>
    <w:rsid w:val="764C42F5"/>
    <w:rsid w:val="765A45FF"/>
    <w:rsid w:val="765E69E8"/>
    <w:rsid w:val="7662726E"/>
    <w:rsid w:val="76660A8A"/>
    <w:rsid w:val="766A574B"/>
    <w:rsid w:val="766C6881"/>
    <w:rsid w:val="76856AB9"/>
    <w:rsid w:val="76857A4A"/>
    <w:rsid w:val="76870334"/>
    <w:rsid w:val="768D7C24"/>
    <w:rsid w:val="76967168"/>
    <w:rsid w:val="76996E92"/>
    <w:rsid w:val="76CC7DF7"/>
    <w:rsid w:val="76CE66B2"/>
    <w:rsid w:val="76D857C2"/>
    <w:rsid w:val="76DC4199"/>
    <w:rsid w:val="76E00193"/>
    <w:rsid w:val="76F034D0"/>
    <w:rsid w:val="770D066D"/>
    <w:rsid w:val="772F5D25"/>
    <w:rsid w:val="773F3AED"/>
    <w:rsid w:val="7745460B"/>
    <w:rsid w:val="774775B4"/>
    <w:rsid w:val="774871B0"/>
    <w:rsid w:val="774C4FD4"/>
    <w:rsid w:val="778B455F"/>
    <w:rsid w:val="77A35F71"/>
    <w:rsid w:val="77AA164B"/>
    <w:rsid w:val="77AE32D7"/>
    <w:rsid w:val="77B2220C"/>
    <w:rsid w:val="77BA3547"/>
    <w:rsid w:val="77C07585"/>
    <w:rsid w:val="77C240EC"/>
    <w:rsid w:val="77D05342"/>
    <w:rsid w:val="77D11FA1"/>
    <w:rsid w:val="77D2235B"/>
    <w:rsid w:val="77DD5972"/>
    <w:rsid w:val="77E5705D"/>
    <w:rsid w:val="77FF40F9"/>
    <w:rsid w:val="78050460"/>
    <w:rsid w:val="78101C9B"/>
    <w:rsid w:val="78171B40"/>
    <w:rsid w:val="782749B2"/>
    <w:rsid w:val="782775E3"/>
    <w:rsid w:val="782D4652"/>
    <w:rsid w:val="782E55B0"/>
    <w:rsid w:val="784548F4"/>
    <w:rsid w:val="784B788E"/>
    <w:rsid w:val="784B7C4E"/>
    <w:rsid w:val="78590CA3"/>
    <w:rsid w:val="78724754"/>
    <w:rsid w:val="787603B5"/>
    <w:rsid w:val="7895527E"/>
    <w:rsid w:val="78AE2C7E"/>
    <w:rsid w:val="78B05D2A"/>
    <w:rsid w:val="78B56A45"/>
    <w:rsid w:val="78C5146E"/>
    <w:rsid w:val="78F408A7"/>
    <w:rsid w:val="78FB08FF"/>
    <w:rsid w:val="79004106"/>
    <w:rsid w:val="79022643"/>
    <w:rsid w:val="79147D24"/>
    <w:rsid w:val="79154586"/>
    <w:rsid w:val="79215F20"/>
    <w:rsid w:val="79294073"/>
    <w:rsid w:val="793C4434"/>
    <w:rsid w:val="795A7432"/>
    <w:rsid w:val="796379D2"/>
    <w:rsid w:val="796A3A6D"/>
    <w:rsid w:val="7973403F"/>
    <w:rsid w:val="79753737"/>
    <w:rsid w:val="79772954"/>
    <w:rsid w:val="797B37F8"/>
    <w:rsid w:val="797C487F"/>
    <w:rsid w:val="79803803"/>
    <w:rsid w:val="7984316E"/>
    <w:rsid w:val="79845F26"/>
    <w:rsid w:val="798F1DF0"/>
    <w:rsid w:val="79970CD9"/>
    <w:rsid w:val="79A63B1D"/>
    <w:rsid w:val="79AE3379"/>
    <w:rsid w:val="79B06543"/>
    <w:rsid w:val="79BF47A0"/>
    <w:rsid w:val="79C46401"/>
    <w:rsid w:val="79CC6DFE"/>
    <w:rsid w:val="79E517E6"/>
    <w:rsid w:val="79EC47A5"/>
    <w:rsid w:val="79F062B4"/>
    <w:rsid w:val="79F95E28"/>
    <w:rsid w:val="79FB092F"/>
    <w:rsid w:val="79FC52E4"/>
    <w:rsid w:val="7A1370BC"/>
    <w:rsid w:val="7A180AF6"/>
    <w:rsid w:val="7A386D71"/>
    <w:rsid w:val="7A4016E7"/>
    <w:rsid w:val="7A421963"/>
    <w:rsid w:val="7A440A39"/>
    <w:rsid w:val="7A764CD8"/>
    <w:rsid w:val="7A8437C4"/>
    <w:rsid w:val="7AA226C2"/>
    <w:rsid w:val="7AA5035E"/>
    <w:rsid w:val="7AB659A5"/>
    <w:rsid w:val="7AC04C22"/>
    <w:rsid w:val="7AD11BBA"/>
    <w:rsid w:val="7AD30260"/>
    <w:rsid w:val="7AEA26CA"/>
    <w:rsid w:val="7AFD3CE3"/>
    <w:rsid w:val="7B005D4D"/>
    <w:rsid w:val="7B1578BF"/>
    <w:rsid w:val="7B18282D"/>
    <w:rsid w:val="7B1D66AD"/>
    <w:rsid w:val="7B3D7962"/>
    <w:rsid w:val="7B491922"/>
    <w:rsid w:val="7B5B212B"/>
    <w:rsid w:val="7B7D4DC6"/>
    <w:rsid w:val="7B825551"/>
    <w:rsid w:val="7BA52332"/>
    <w:rsid w:val="7BAC2CF9"/>
    <w:rsid w:val="7BB06210"/>
    <w:rsid w:val="7BD5248C"/>
    <w:rsid w:val="7BE06744"/>
    <w:rsid w:val="7BF72F3E"/>
    <w:rsid w:val="7C2060E4"/>
    <w:rsid w:val="7C2240BD"/>
    <w:rsid w:val="7C266BF3"/>
    <w:rsid w:val="7C320298"/>
    <w:rsid w:val="7C3B014D"/>
    <w:rsid w:val="7C3C4FA4"/>
    <w:rsid w:val="7C445D32"/>
    <w:rsid w:val="7C471B8D"/>
    <w:rsid w:val="7C575E67"/>
    <w:rsid w:val="7C617741"/>
    <w:rsid w:val="7C7213EC"/>
    <w:rsid w:val="7C7F3AF3"/>
    <w:rsid w:val="7C9670D8"/>
    <w:rsid w:val="7CAA3E59"/>
    <w:rsid w:val="7CAF7D44"/>
    <w:rsid w:val="7CB400A6"/>
    <w:rsid w:val="7CB755A0"/>
    <w:rsid w:val="7CBC5077"/>
    <w:rsid w:val="7CBE4AD3"/>
    <w:rsid w:val="7CC1085B"/>
    <w:rsid w:val="7CD32D23"/>
    <w:rsid w:val="7CD7215E"/>
    <w:rsid w:val="7CDE204D"/>
    <w:rsid w:val="7CE566CC"/>
    <w:rsid w:val="7D036989"/>
    <w:rsid w:val="7D0A452B"/>
    <w:rsid w:val="7D0E2625"/>
    <w:rsid w:val="7D225061"/>
    <w:rsid w:val="7D284642"/>
    <w:rsid w:val="7D42716F"/>
    <w:rsid w:val="7D4476CE"/>
    <w:rsid w:val="7D4B1C08"/>
    <w:rsid w:val="7D4C5B80"/>
    <w:rsid w:val="7D56029A"/>
    <w:rsid w:val="7D573284"/>
    <w:rsid w:val="7D632608"/>
    <w:rsid w:val="7D6A4DA3"/>
    <w:rsid w:val="7D6C6E48"/>
    <w:rsid w:val="7D6F01CA"/>
    <w:rsid w:val="7D823DC1"/>
    <w:rsid w:val="7D875F3A"/>
    <w:rsid w:val="7DC2721D"/>
    <w:rsid w:val="7DC34F90"/>
    <w:rsid w:val="7DD44E09"/>
    <w:rsid w:val="7DD73413"/>
    <w:rsid w:val="7DDD4E36"/>
    <w:rsid w:val="7DDE45B9"/>
    <w:rsid w:val="7DDE6383"/>
    <w:rsid w:val="7DE43946"/>
    <w:rsid w:val="7DEC3195"/>
    <w:rsid w:val="7DF801CE"/>
    <w:rsid w:val="7E1418FB"/>
    <w:rsid w:val="7E1B2822"/>
    <w:rsid w:val="7E2719D7"/>
    <w:rsid w:val="7E3B0D40"/>
    <w:rsid w:val="7E3B42C6"/>
    <w:rsid w:val="7E4B6C1E"/>
    <w:rsid w:val="7E4D7A75"/>
    <w:rsid w:val="7E4F5A11"/>
    <w:rsid w:val="7E631CFE"/>
    <w:rsid w:val="7E806427"/>
    <w:rsid w:val="7E832FC3"/>
    <w:rsid w:val="7E8F2BCB"/>
    <w:rsid w:val="7E9E2518"/>
    <w:rsid w:val="7EB062CF"/>
    <w:rsid w:val="7EB44FA3"/>
    <w:rsid w:val="7EB50275"/>
    <w:rsid w:val="7EB919F5"/>
    <w:rsid w:val="7EBD559A"/>
    <w:rsid w:val="7EC50A66"/>
    <w:rsid w:val="7ECA5BB7"/>
    <w:rsid w:val="7ECF3701"/>
    <w:rsid w:val="7ED536FE"/>
    <w:rsid w:val="7EE777EE"/>
    <w:rsid w:val="7EF9298A"/>
    <w:rsid w:val="7F2004EF"/>
    <w:rsid w:val="7F267390"/>
    <w:rsid w:val="7F390D88"/>
    <w:rsid w:val="7F441776"/>
    <w:rsid w:val="7F491CAD"/>
    <w:rsid w:val="7F535C8B"/>
    <w:rsid w:val="7F606229"/>
    <w:rsid w:val="7F626B34"/>
    <w:rsid w:val="7F6E3262"/>
    <w:rsid w:val="7F753305"/>
    <w:rsid w:val="7F762528"/>
    <w:rsid w:val="7F7717B8"/>
    <w:rsid w:val="7F7E0423"/>
    <w:rsid w:val="7F9603BB"/>
    <w:rsid w:val="7FA206DC"/>
    <w:rsid w:val="7FA366C3"/>
    <w:rsid w:val="7FAA5BFD"/>
    <w:rsid w:val="7FD27E27"/>
    <w:rsid w:val="7FE47761"/>
    <w:rsid w:val="7FE66697"/>
    <w:rsid w:val="7FF07C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99" w:semiHidden="0" w:name="toc 2"/>
    <w:lsdException w:unhideWhenUsed="0" w:uiPriority="0" w:semiHidden="0" w:name="toc 3"/>
    <w:lsdException w:qFormat="1"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8"/>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spacing w:line="380" w:lineRule="exact"/>
      <w:jc w:val="center"/>
      <w:outlineLvl w:val="0"/>
    </w:pPr>
    <w:rPr>
      <w:rFonts w:ascii="宋体"/>
      <w:b/>
      <w:bCs/>
      <w:sz w:val="2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6"/>
    <w:basedOn w:val="1"/>
    <w:next w:val="1"/>
    <w:qFormat/>
    <w:uiPriority w:val="0"/>
    <w:pPr>
      <w:keepNext/>
      <w:keepLines/>
      <w:spacing w:before="240" w:after="64" w:line="320" w:lineRule="auto"/>
      <w:outlineLvl w:val="5"/>
    </w:pPr>
    <w:rPr>
      <w:rFonts w:ascii="Arial" w:hAnsi="Arial" w:eastAsia="仿宋_GB2312"/>
      <w:b/>
      <w:bCs/>
      <w:sz w:val="24"/>
      <w:szCs w:val="24"/>
    </w:rPr>
  </w:style>
  <w:style w:type="character" w:default="1" w:styleId="33">
    <w:name w:val="Default Paragraph Font"/>
    <w:autoRedefine/>
    <w:semiHidden/>
    <w:qFormat/>
    <w:uiPriority w:val="0"/>
  </w:style>
  <w:style w:type="table" w:default="1" w:styleId="31">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next w:val="1"/>
    <w:link w:val="68"/>
    <w:autoRedefine/>
    <w:qFormat/>
    <w:uiPriority w:val="0"/>
    <w:pPr>
      <w:ind w:firstLine="420" w:firstLineChars="200"/>
    </w:pPr>
    <w:rPr>
      <w:szCs w:val="24"/>
    </w:rPr>
  </w:style>
  <w:style w:type="paragraph" w:styleId="8">
    <w:name w:val="Document Map"/>
    <w:basedOn w:val="1"/>
    <w:autoRedefine/>
    <w:semiHidden/>
    <w:qFormat/>
    <w:uiPriority w:val="0"/>
    <w:pPr>
      <w:shd w:val="clear" w:color="auto" w:fill="000080"/>
    </w:pPr>
  </w:style>
  <w:style w:type="paragraph" w:styleId="9">
    <w:name w:val="toa heading"/>
    <w:basedOn w:val="1"/>
    <w:next w:val="1"/>
    <w:unhideWhenUsed/>
    <w:qFormat/>
    <w:uiPriority w:val="99"/>
    <w:pPr>
      <w:spacing w:before="120"/>
    </w:pPr>
    <w:rPr>
      <w:rFonts w:ascii="Arial" w:hAnsi="Arial" w:cs="Arial"/>
      <w:sz w:val="24"/>
      <w:szCs w:val="24"/>
    </w:rPr>
  </w:style>
  <w:style w:type="paragraph" w:styleId="10">
    <w:name w:val="annotation text"/>
    <w:basedOn w:val="1"/>
    <w:link w:val="47"/>
    <w:autoRedefine/>
    <w:semiHidden/>
    <w:qFormat/>
    <w:uiPriority w:val="0"/>
    <w:pPr>
      <w:jc w:val="left"/>
    </w:pPr>
  </w:style>
  <w:style w:type="paragraph" w:styleId="11">
    <w:name w:val="Body Text"/>
    <w:basedOn w:val="1"/>
    <w:next w:val="12"/>
    <w:link w:val="48"/>
    <w:autoRedefine/>
    <w:qFormat/>
    <w:uiPriority w:val="0"/>
    <w:pPr>
      <w:spacing w:after="120"/>
    </w:pPr>
  </w:style>
  <w:style w:type="paragraph" w:styleId="12">
    <w:name w:val="Body Text First Indent"/>
    <w:basedOn w:val="11"/>
    <w:autoRedefine/>
    <w:qFormat/>
    <w:uiPriority w:val="0"/>
    <w:pPr>
      <w:ind w:firstLine="420" w:firstLineChars="100"/>
    </w:pPr>
    <w:rPr>
      <w:rFonts w:ascii="Times New Roman" w:hAnsi="Times New Roman"/>
    </w:rPr>
  </w:style>
  <w:style w:type="paragraph" w:styleId="13">
    <w:name w:val="Body Text Indent"/>
    <w:basedOn w:val="1"/>
    <w:link w:val="49"/>
    <w:autoRedefine/>
    <w:qFormat/>
    <w:uiPriority w:val="0"/>
    <w:pPr>
      <w:spacing w:line="380" w:lineRule="exact"/>
      <w:ind w:firstLine="480"/>
    </w:pPr>
    <w:rPr>
      <w:rFonts w:eastAsia="方正书宋简体"/>
      <w:sz w:val="24"/>
    </w:rPr>
  </w:style>
  <w:style w:type="paragraph" w:styleId="14">
    <w:name w:val="Plain Text"/>
    <w:basedOn w:val="1"/>
    <w:link w:val="7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styleId="15">
    <w:name w:val="Date"/>
    <w:basedOn w:val="1"/>
    <w:next w:val="1"/>
    <w:link w:val="51"/>
    <w:autoRedefine/>
    <w:qFormat/>
    <w:uiPriority w:val="0"/>
    <w:pPr>
      <w:adjustRightInd w:val="0"/>
      <w:spacing w:line="312" w:lineRule="atLeast"/>
      <w:jc w:val="right"/>
      <w:textAlignment w:val="baseline"/>
    </w:pPr>
    <w:rPr>
      <w:rFonts w:ascii="宋体"/>
      <w:kern w:val="0"/>
      <w:sz w:val="24"/>
    </w:rPr>
  </w:style>
  <w:style w:type="paragraph" w:styleId="16">
    <w:name w:val="Body Text Indent 2"/>
    <w:basedOn w:val="1"/>
    <w:autoRedefine/>
    <w:qFormat/>
    <w:uiPriority w:val="0"/>
    <w:pPr>
      <w:spacing w:line="380" w:lineRule="exact"/>
      <w:ind w:left="840" w:hanging="45"/>
    </w:pPr>
    <w:rPr>
      <w:rFonts w:ascii="宋体"/>
      <w:sz w:val="24"/>
    </w:rPr>
  </w:style>
  <w:style w:type="paragraph" w:styleId="17">
    <w:name w:val="Balloon Text"/>
    <w:basedOn w:val="1"/>
    <w:autoRedefine/>
    <w:semiHidden/>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envelope return"/>
    <w:basedOn w:val="1"/>
    <w:autoRedefine/>
    <w:qFormat/>
    <w:uiPriority w:val="0"/>
    <w:pPr>
      <w:snapToGrid w:val="0"/>
    </w:pPr>
    <w:rPr>
      <w:rFonts w:ascii="Arial" w:hAnsi="Arial"/>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autoRedefine/>
    <w:semiHidden/>
    <w:qFormat/>
    <w:uiPriority w:val="0"/>
  </w:style>
  <w:style w:type="paragraph" w:styleId="22">
    <w:name w:val="toc 4"/>
    <w:basedOn w:val="1"/>
    <w:next w:val="1"/>
    <w:unhideWhenUsed/>
    <w:qFormat/>
    <w:uiPriority w:val="39"/>
    <w:pPr>
      <w:spacing w:line="240" w:lineRule="auto"/>
      <w:ind w:left="1260" w:leftChars="600"/>
    </w:pPr>
    <w:rPr>
      <w:rFonts w:ascii="等线" w:hAnsi="等线" w:eastAsia="等线" w:cs="Times New Roman"/>
      <w:szCs w:val="22"/>
    </w:rPr>
  </w:style>
  <w:style w:type="paragraph" w:styleId="23">
    <w:name w:val="toc 6"/>
    <w:basedOn w:val="1"/>
    <w:next w:val="1"/>
    <w:autoRedefine/>
    <w:qFormat/>
    <w:uiPriority w:val="0"/>
    <w:pPr>
      <w:ind w:left="2100" w:leftChars="1000"/>
    </w:pPr>
    <w:rPr>
      <w:szCs w:val="24"/>
    </w:rPr>
  </w:style>
  <w:style w:type="paragraph" w:styleId="24">
    <w:name w:val="Body Text Indent 3"/>
    <w:basedOn w:val="1"/>
    <w:autoRedefine/>
    <w:qFormat/>
    <w:uiPriority w:val="0"/>
    <w:pPr>
      <w:spacing w:line="380" w:lineRule="exact"/>
      <w:ind w:left="525"/>
    </w:pPr>
    <w:rPr>
      <w:rFonts w:ascii="宋体"/>
      <w:sz w:val="24"/>
    </w:rPr>
  </w:style>
  <w:style w:type="paragraph" w:styleId="25">
    <w:name w:val="toc 2"/>
    <w:basedOn w:val="1"/>
    <w:next w:val="1"/>
    <w:autoRedefine/>
    <w:qFormat/>
    <w:uiPriority w:val="99"/>
    <w:pPr>
      <w:tabs>
        <w:tab w:val="right" w:leader="dot" w:pos="9180"/>
      </w:tabs>
      <w:jc w:val="left"/>
    </w:pPr>
    <w:rPr>
      <w:smallCaps/>
    </w:rPr>
  </w:style>
  <w:style w:type="paragraph" w:styleId="26">
    <w:name w:val="HTML Preformatted"/>
    <w:basedOn w:val="1"/>
    <w:autoRedefine/>
    <w:qFormat/>
    <w:uiPriority w:val="0"/>
    <w:rPr>
      <w:rFonts w:ascii="Courier New" w:hAnsi="Courier New" w:eastAsia="仿宋_GB2312"/>
      <w:b/>
      <w:sz w:val="32"/>
      <w:szCs w:val="32"/>
      <w:lang w:val="en-GB"/>
    </w:rPr>
  </w:style>
  <w:style w:type="paragraph" w:styleId="27">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paragraph" w:styleId="28">
    <w:name w:val="Title"/>
    <w:basedOn w:val="1"/>
    <w:next w:val="1"/>
    <w:link w:val="69"/>
    <w:autoRedefine/>
    <w:qFormat/>
    <w:uiPriority w:val="0"/>
    <w:pPr>
      <w:keepNext w:val="0"/>
      <w:keepLines w:val="0"/>
      <w:widowControl w:val="0"/>
      <w:suppressLineNumbers w:val="0"/>
      <w:spacing w:before="240" w:beforeAutospacing="0" w:after="60" w:afterAutospacing="0"/>
      <w:ind w:left="0" w:right="0"/>
      <w:jc w:val="center"/>
      <w:outlineLvl w:val="0"/>
    </w:pPr>
    <w:rPr>
      <w:rFonts w:hint="default" w:ascii="Cambria" w:hAnsi="Cambria" w:eastAsia="宋体" w:cs="Times New Roman"/>
      <w:b/>
      <w:bCs/>
      <w:kern w:val="2"/>
      <w:sz w:val="32"/>
      <w:szCs w:val="32"/>
      <w:lang w:val="en-US" w:eastAsia="zh-CN" w:bidi="ar"/>
    </w:rPr>
  </w:style>
  <w:style w:type="paragraph" w:styleId="29">
    <w:name w:val="annotation subject"/>
    <w:basedOn w:val="10"/>
    <w:next w:val="10"/>
    <w:autoRedefine/>
    <w:semiHidden/>
    <w:qFormat/>
    <w:uiPriority w:val="0"/>
    <w:rPr>
      <w:b/>
      <w:bCs/>
    </w:rPr>
  </w:style>
  <w:style w:type="paragraph" w:styleId="30">
    <w:name w:val="Body Text First Indent 2"/>
    <w:basedOn w:val="13"/>
    <w:next w:val="1"/>
    <w:autoRedefine/>
    <w:unhideWhenUsed/>
    <w:qFormat/>
    <w:uiPriority w:val="99"/>
    <w:pPr>
      <w:ind w:firstLine="420" w:firstLineChars="200"/>
    </w:p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0"/>
    <w:rPr>
      <w:b/>
      <w:bCs/>
    </w:rPr>
  </w:style>
  <w:style w:type="character" w:styleId="35">
    <w:name w:val="page number"/>
    <w:autoRedefine/>
    <w:qFormat/>
    <w:uiPriority w:val="0"/>
  </w:style>
  <w:style w:type="character" w:styleId="36">
    <w:name w:val="FollowedHyperlink"/>
    <w:autoRedefine/>
    <w:qFormat/>
    <w:uiPriority w:val="0"/>
    <w:rPr>
      <w:color w:val="333333"/>
      <w:u w:val="none"/>
    </w:rPr>
  </w:style>
  <w:style w:type="character" w:styleId="37">
    <w:name w:val="Hyperlink"/>
    <w:basedOn w:val="33"/>
    <w:autoRedefine/>
    <w:qFormat/>
    <w:uiPriority w:val="0"/>
    <w:rPr>
      <w:color w:val="333333"/>
      <w:u w:val="none"/>
    </w:rPr>
  </w:style>
  <w:style w:type="character" w:styleId="38">
    <w:name w:val="annotation reference"/>
    <w:autoRedefine/>
    <w:semiHidden/>
    <w:qFormat/>
    <w:uiPriority w:val="0"/>
    <w:rPr>
      <w:sz w:val="21"/>
      <w:szCs w:val="21"/>
    </w:rPr>
  </w:style>
  <w:style w:type="character" w:styleId="39">
    <w:name w:val="HTML Cite"/>
    <w:autoRedefine/>
    <w:qFormat/>
    <w:uiPriority w:val="0"/>
  </w:style>
  <w:style w:type="character" w:styleId="40">
    <w:name w:val="HTML Sample"/>
    <w:basedOn w:val="33"/>
    <w:autoRedefine/>
    <w:qFormat/>
    <w:uiPriority w:val="0"/>
    <w:rPr>
      <w:rFonts w:ascii="Courier New" w:hAnsi="Courier New"/>
    </w:rPr>
  </w:style>
  <w:style w:type="paragraph" w:customStyle="1" w:styleId="41">
    <w:name w:val="样式3"/>
    <w:basedOn w:val="14"/>
    <w:next w:val="1"/>
    <w:autoRedefine/>
    <w:qFormat/>
    <w:uiPriority w:val="0"/>
    <w:pPr>
      <w:keepNext w:val="0"/>
      <w:keepLines w:val="0"/>
      <w:widowControl w:val="0"/>
      <w:suppressLineNumbers w:val="0"/>
      <w:spacing w:before="0" w:beforeLines="50" w:beforeAutospacing="0" w:after="0" w:afterAutospacing="0" w:line="0" w:lineRule="atLeast"/>
      <w:ind w:left="0" w:right="0"/>
      <w:jc w:val="both"/>
      <w:outlineLvl w:val="0"/>
    </w:pPr>
    <w:rPr>
      <w:rFonts w:hint="eastAsia" w:ascii="宋体" w:hAnsi="Courier New" w:eastAsia="宋体" w:cs="Times New Roman"/>
      <w:kern w:val="2"/>
      <w:sz w:val="28"/>
      <w:szCs w:val="24"/>
      <w:lang w:val="en-US" w:eastAsia="zh-CN" w:bidi="ar"/>
    </w:rPr>
  </w:style>
  <w:style w:type="paragraph" w:customStyle="1" w:styleId="42">
    <w:name w:val="正文1"/>
    <w:basedOn w:val="1"/>
    <w:autoRedefine/>
    <w:qFormat/>
    <w:uiPriority w:val="0"/>
    <w:pPr>
      <w:adjustRightInd w:val="0"/>
      <w:spacing w:line="318" w:lineRule="atLeast"/>
      <w:ind w:left="369" w:firstLine="369"/>
      <w:textAlignment w:val="baseline"/>
    </w:pPr>
    <w:rPr>
      <w:rFonts w:ascii="宋体"/>
    </w:rPr>
  </w:style>
  <w:style w:type="paragraph" w:customStyle="1" w:styleId="43">
    <w:name w:val="正文首行缩进1"/>
    <w:basedOn w:val="11"/>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4">
    <w:name w:val="首行缩进"/>
    <w:basedOn w:val="1"/>
    <w:autoRedefine/>
    <w:qFormat/>
    <w:uiPriority w:val="0"/>
    <w:pPr>
      <w:spacing w:line="360" w:lineRule="auto"/>
      <w:ind w:firstLine="480" w:firstLineChars="200"/>
    </w:pPr>
    <w:rPr>
      <w:rFonts w:ascii="宋体"/>
      <w:sz w:val="24"/>
      <w:szCs w:val="20"/>
    </w:rPr>
  </w:style>
  <w:style w:type="paragraph" w:customStyle="1" w:styleId="45">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47">
    <w:name w:val="批注文字 字符"/>
    <w:link w:val="10"/>
    <w:autoRedefine/>
    <w:semiHidden/>
    <w:qFormat/>
    <w:uiPriority w:val="0"/>
    <w:rPr>
      <w:kern w:val="2"/>
      <w:sz w:val="21"/>
    </w:rPr>
  </w:style>
  <w:style w:type="character" w:customStyle="1" w:styleId="48">
    <w:name w:val="正文文本 字符"/>
    <w:link w:val="11"/>
    <w:autoRedefine/>
    <w:qFormat/>
    <w:uiPriority w:val="0"/>
    <w:rPr>
      <w:kern w:val="2"/>
      <w:sz w:val="21"/>
    </w:rPr>
  </w:style>
  <w:style w:type="character" w:customStyle="1" w:styleId="49">
    <w:name w:val="正文文本缩进 字符1"/>
    <w:link w:val="13"/>
    <w:autoRedefine/>
    <w:qFormat/>
    <w:uiPriority w:val="0"/>
    <w:rPr>
      <w:rFonts w:eastAsia="方正书宋简体"/>
      <w:kern w:val="2"/>
      <w:sz w:val="24"/>
    </w:rPr>
  </w:style>
  <w:style w:type="character" w:customStyle="1" w:styleId="50">
    <w:name w:val="纯文本 字符"/>
    <w:link w:val="14"/>
    <w:autoRedefine/>
    <w:qFormat/>
    <w:uiPriority w:val="0"/>
    <w:rPr>
      <w:rFonts w:ascii="宋体" w:hAnsi="宋体" w:eastAsia="宋体" w:cs="宋体"/>
      <w:color w:val="000000"/>
      <w:sz w:val="24"/>
      <w:szCs w:val="24"/>
      <w:lang w:val="en-US" w:eastAsia="zh-CN" w:bidi="ar-SA"/>
    </w:rPr>
  </w:style>
  <w:style w:type="character" w:customStyle="1" w:styleId="51">
    <w:name w:val="日期 字符"/>
    <w:link w:val="15"/>
    <w:autoRedefine/>
    <w:qFormat/>
    <w:uiPriority w:val="0"/>
    <w:rPr>
      <w:rFonts w:ascii="宋体"/>
      <w:sz w:val="24"/>
    </w:rPr>
  </w:style>
  <w:style w:type="character" w:customStyle="1" w:styleId="52">
    <w:name w:val=" Char Char9"/>
    <w:autoRedefine/>
    <w:qFormat/>
    <w:uiPriority w:val="0"/>
    <w:rPr>
      <w:rFonts w:eastAsia="方正书宋简体"/>
      <w:kern w:val="2"/>
      <w:sz w:val="24"/>
      <w:lang w:val="en-US" w:eastAsia="zh-CN" w:bidi="ar-SA"/>
    </w:rPr>
  </w:style>
  <w:style w:type="character" w:customStyle="1" w:styleId="53">
    <w:name w:val=" Char Char4"/>
    <w:autoRedefine/>
    <w:qFormat/>
    <w:uiPriority w:val="0"/>
    <w:rPr>
      <w:rFonts w:eastAsia="方正书宋简体"/>
      <w:kern w:val="2"/>
      <w:sz w:val="24"/>
      <w:lang w:val="en-US" w:eastAsia="zh-CN" w:bidi="ar-SA"/>
    </w:rPr>
  </w:style>
  <w:style w:type="character" w:customStyle="1" w:styleId="54">
    <w:name w:val="Plain Text Char1"/>
    <w:autoRedefine/>
    <w:qFormat/>
    <w:locked/>
    <w:uiPriority w:val="0"/>
    <w:rPr>
      <w:rFonts w:ascii="宋体" w:hAnsi="Courier New" w:eastAsia="宋体" w:cs="Times New Roman"/>
      <w:kern w:val="2"/>
      <w:sz w:val="21"/>
      <w:lang w:val="en-US" w:eastAsia="zh-CN" w:bidi="ar-SA"/>
    </w:rPr>
  </w:style>
  <w:style w:type="character" w:customStyle="1" w:styleId="55">
    <w:name w:val="bsharetext"/>
    <w:autoRedefine/>
    <w:qFormat/>
    <w:uiPriority w:val="0"/>
  </w:style>
  <w:style w:type="character" w:customStyle="1" w:styleId="56">
    <w:name w:val="正文文字缩进 Char2"/>
    <w:autoRedefine/>
    <w:qFormat/>
    <w:locked/>
    <w:uiPriority w:val="0"/>
    <w:rPr>
      <w:rFonts w:eastAsia="方正书宋简体"/>
      <w:kern w:val="2"/>
      <w:sz w:val="24"/>
      <w:lang w:val="en-US" w:eastAsia="zh-CN" w:bidi="ar-SA"/>
    </w:rPr>
  </w:style>
  <w:style w:type="character" w:customStyle="1" w:styleId="57">
    <w:name w:val="正文文本缩进 字符"/>
    <w:autoRedefine/>
    <w:qFormat/>
    <w:uiPriority w:val="0"/>
    <w:rPr>
      <w:rFonts w:eastAsia="方正书宋简体"/>
      <w:kern w:val="2"/>
      <w:sz w:val="24"/>
      <w:lang w:val="en-US" w:eastAsia="zh-CN" w:bidi="ar-SA"/>
    </w:rPr>
  </w:style>
  <w:style w:type="character" w:customStyle="1" w:styleId="58">
    <w:name w:val="标题 1 Char Char"/>
    <w:autoRedefine/>
    <w:qFormat/>
    <w:uiPriority w:val="0"/>
    <w:rPr>
      <w:rFonts w:eastAsia="宋体"/>
      <w:b/>
      <w:spacing w:val="-2"/>
      <w:sz w:val="24"/>
      <w:lang w:val="en-US" w:eastAsia="zh-CN" w:bidi="ar-SA"/>
    </w:rPr>
  </w:style>
  <w:style w:type="paragraph" w:customStyle="1" w:styleId="59">
    <w:name w:val="List Paragraph"/>
    <w:basedOn w:val="1"/>
    <w:autoRedefine/>
    <w:qFormat/>
    <w:uiPriority w:val="0"/>
    <w:pPr>
      <w:ind w:firstLine="420" w:firstLineChars="200"/>
    </w:pPr>
    <w:rPr>
      <w:rFonts w:ascii="Calibri" w:hAnsi="Calibri"/>
      <w:szCs w:val="22"/>
    </w:rPr>
  </w:style>
  <w:style w:type="paragraph" w:customStyle="1" w:styleId="60">
    <w:name w:val="默认段落字体 Para Char Char Char Char Char Char Char"/>
    <w:basedOn w:val="8"/>
    <w:autoRedefine/>
    <w:qFormat/>
    <w:uiPriority w:val="0"/>
    <w:pPr>
      <w:adjustRightInd w:val="0"/>
      <w:spacing w:line="436" w:lineRule="exact"/>
      <w:ind w:left="357"/>
      <w:jc w:val="left"/>
      <w:outlineLvl w:val="3"/>
    </w:pPr>
    <w:rPr>
      <w:rFonts w:ascii="Tahoma" w:hAnsi="Tahoma"/>
      <w:b/>
      <w:sz w:val="24"/>
      <w:szCs w:val="24"/>
    </w:rPr>
  </w:style>
  <w:style w:type="paragraph" w:customStyle="1" w:styleId="61">
    <w:name w:val="主体"/>
    <w:basedOn w:val="1"/>
    <w:autoRedefine/>
    <w:qFormat/>
    <w:uiPriority w:val="0"/>
    <w:pPr>
      <w:spacing w:line="360" w:lineRule="auto"/>
      <w:ind w:firstLine="480" w:firstLineChars="200"/>
    </w:pPr>
    <w:rPr>
      <w:rFonts w:ascii="宋体" w:hAnsi="宋体"/>
      <w:kern w:val="58"/>
      <w:sz w:val="24"/>
      <w:szCs w:val="24"/>
    </w:rPr>
  </w:style>
  <w:style w:type="paragraph" w:customStyle="1" w:styleId="62">
    <w:name w:val=" Char"/>
    <w:basedOn w:val="8"/>
    <w:autoRedefine/>
    <w:qFormat/>
    <w:uiPriority w:val="0"/>
    <w:pPr>
      <w:adjustRightInd w:val="0"/>
      <w:spacing w:line="436" w:lineRule="exact"/>
      <w:ind w:left="357"/>
      <w:jc w:val="left"/>
      <w:outlineLvl w:val="3"/>
    </w:pPr>
    <w:rPr>
      <w:rFonts w:ascii="Tahoma" w:hAnsi="Tahoma"/>
      <w:b/>
      <w:sz w:val="24"/>
      <w:szCs w:val="24"/>
    </w:rPr>
  </w:style>
  <w:style w:type="paragraph" w:customStyle="1" w:styleId="63">
    <w:name w:val="样式6"/>
    <w:basedOn w:val="1"/>
    <w:autoRedefine/>
    <w:qFormat/>
    <w:uiPriority w:val="0"/>
    <w:pPr>
      <w:spacing w:line="360" w:lineRule="auto"/>
      <w:ind w:firstLine="200" w:firstLineChars="200"/>
      <w:jc w:val="left"/>
    </w:pPr>
    <w:rPr>
      <w:rFonts w:eastAsia="仿宋_GB2312"/>
      <w:sz w:val="24"/>
      <w:szCs w:val="24"/>
    </w:rPr>
  </w:style>
  <w:style w:type="paragraph" w:customStyle="1" w:styleId="64">
    <w:name w:val="列出段落"/>
    <w:basedOn w:val="1"/>
    <w:autoRedefine/>
    <w:qFormat/>
    <w:uiPriority w:val="34"/>
    <w:pPr>
      <w:ind w:firstLine="420" w:firstLineChars="200"/>
    </w:pPr>
    <w:rPr>
      <w:rFonts w:ascii="等线" w:hAnsi="等线" w:eastAsia="等线"/>
      <w:szCs w:val="22"/>
    </w:rPr>
  </w:style>
  <w:style w:type="paragraph" w:customStyle="1" w:styleId="65">
    <w:name w:val="正文段"/>
    <w:basedOn w:val="1"/>
    <w:autoRedefine/>
    <w:qFormat/>
    <w:uiPriority w:val="0"/>
    <w:pPr>
      <w:widowControl/>
      <w:adjustRightInd/>
      <w:snapToGrid w:val="0"/>
      <w:spacing w:after="156" w:afterLines="50" w:line="240" w:lineRule="auto"/>
      <w:ind w:firstLine="200" w:firstLineChars="200"/>
      <w:textAlignment w:val="auto"/>
    </w:pPr>
    <w:rPr>
      <w:rFonts w:ascii="Times New Roman" w:hAnsi="Times New Roman" w:eastAsia="宋体" w:cs="Times New Roman"/>
      <w:sz w:val="24"/>
      <w:szCs w:val="20"/>
    </w:rPr>
  </w:style>
  <w:style w:type="paragraph" w:customStyle="1" w:styleId="66">
    <w:name w:val="正文首行缩进 21"/>
    <w:basedOn w:val="13"/>
    <w:autoRedefine/>
    <w:qFormat/>
    <w:uiPriority w:val="99"/>
    <w:pPr>
      <w:spacing w:line="200" w:lineRule="atLeast"/>
      <w:ind w:firstLine="420"/>
    </w:pPr>
    <w:rPr>
      <w:rFonts w:ascii="宋体" w:hAnsi="Courier New"/>
      <w:spacing w:val="-4"/>
      <w:sz w:val="18"/>
    </w:rPr>
  </w:style>
  <w:style w:type="paragraph" w:customStyle="1" w:styleId="67">
    <w:name w:val="WPS Plain"/>
    <w:autoRedefine/>
    <w:qFormat/>
    <w:uiPriority w:val="0"/>
    <w:rPr>
      <w:rFonts w:ascii="Times New Roman" w:hAnsi="Times New Roman" w:eastAsia="宋体" w:cs="Times New Roman"/>
      <w:lang w:val="en-US" w:eastAsia="zh-CN" w:bidi="ar-SA"/>
    </w:rPr>
  </w:style>
  <w:style w:type="character" w:customStyle="1" w:styleId="68">
    <w:name w:val="正文缩进 字符"/>
    <w:basedOn w:val="33"/>
    <w:link w:val="7"/>
    <w:autoRedefine/>
    <w:qFormat/>
    <w:uiPriority w:val="0"/>
    <w:rPr>
      <w:kern w:val="2"/>
      <w:sz w:val="21"/>
    </w:rPr>
  </w:style>
  <w:style w:type="character" w:customStyle="1" w:styleId="69">
    <w:name w:val="标题 字符1"/>
    <w:basedOn w:val="33"/>
    <w:link w:val="28"/>
    <w:autoRedefine/>
    <w:qFormat/>
    <w:uiPriority w:val="0"/>
    <w:rPr>
      <w:rFonts w:hint="default" w:ascii="Cambria" w:hAnsi="Cambria" w:eastAsia="Cambria" w:cs="Cambria"/>
      <w:b/>
      <w:bCs/>
      <w:kern w:val="2"/>
      <w:sz w:val="32"/>
      <w:szCs w:val="32"/>
    </w:rPr>
  </w:style>
  <w:style w:type="character" w:customStyle="1" w:styleId="70">
    <w:name w:val="标题 字符"/>
    <w:basedOn w:val="33"/>
    <w:autoRedefine/>
    <w:qFormat/>
    <w:uiPriority w:val="0"/>
    <w:rPr>
      <w:rFonts w:ascii="等线 Light" w:hAnsi="等线 Light" w:eastAsia="等线 Light" w:cs="Times New Roman"/>
      <w:b/>
      <w:bCs/>
      <w:kern w:val="2"/>
      <w:sz w:val="32"/>
      <w:szCs w:val="32"/>
    </w:rPr>
  </w:style>
  <w:style w:type="character" w:customStyle="1" w:styleId="71">
    <w:name w:val="纯文本 字符1"/>
    <w:basedOn w:val="33"/>
    <w:link w:val="14"/>
    <w:autoRedefine/>
    <w:qFormat/>
    <w:uiPriority w:val="0"/>
    <w:rPr>
      <w:rFonts w:hint="eastAsia" w:ascii="宋体" w:hAnsi="Courier New" w:eastAsia="宋体" w:cs="宋体"/>
      <w:kern w:val="2"/>
      <w:sz w:val="24"/>
      <w:szCs w:val="24"/>
    </w:rPr>
  </w:style>
  <w:style w:type="paragraph" w:customStyle="1" w:styleId="72">
    <w:name w:val="样式1-正文描述"/>
    <w:basedOn w:val="1"/>
    <w:autoRedefine/>
    <w:qFormat/>
    <w:uiPriority w:val="0"/>
    <w:pPr>
      <w:spacing w:line="240" w:lineRule="auto"/>
      <w:ind w:firstLine="0" w:firstLineChars="0"/>
    </w:pPr>
    <w:rPr>
      <w:rFonts w:hint="eastAsia" w:ascii="楷体" w:hAnsi="楷体" w:eastAsia="楷体" w:cs="楷体"/>
    </w:rPr>
  </w:style>
  <w:style w:type="character" w:customStyle="1" w:styleId="73">
    <w:name w:val="font21"/>
    <w:basedOn w:val="33"/>
    <w:autoRedefine/>
    <w:qFormat/>
    <w:uiPriority w:val="0"/>
    <w:rPr>
      <w:rFonts w:hint="eastAsia" w:ascii="宋体" w:hAnsi="宋体" w:eastAsia="宋体" w:cs="宋体"/>
      <w:color w:val="000000"/>
      <w:sz w:val="28"/>
      <w:szCs w:val="28"/>
      <w:u w:val="none"/>
    </w:rPr>
  </w:style>
  <w:style w:type="character" w:customStyle="1" w:styleId="74">
    <w:name w:val="font11"/>
    <w:basedOn w:val="33"/>
    <w:autoRedefine/>
    <w:qFormat/>
    <w:uiPriority w:val="0"/>
    <w:rPr>
      <w:rFonts w:ascii="宋体" w:hAnsi="宋体" w:eastAsia="宋体" w:cs="宋体"/>
      <w:color w:val="000000"/>
      <w:sz w:val="28"/>
      <w:szCs w:val="28"/>
      <w:u w:val="none"/>
    </w:rPr>
  </w:style>
  <w:style w:type="table" w:customStyle="1" w:styleId="75">
    <w:name w:val="Table Normal"/>
    <w:autoRedefine/>
    <w:unhideWhenUsed/>
    <w:qFormat/>
    <w:uiPriority w:val="0"/>
    <w:tblPr>
      <w:tblCellMar>
        <w:top w:w="0" w:type="dxa"/>
        <w:left w:w="0" w:type="dxa"/>
        <w:bottom w:w="0" w:type="dxa"/>
        <w:right w:w="0" w:type="dxa"/>
      </w:tblCellMar>
    </w:tblPr>
  </w:style>
  <w:style w:type="character" w:customStyle="1" w:styleId="76">
    <w:name w:val="font51"/>
    <w:basedOn w:val="33"/>
    <w:autoRedefine/>
    <w:qFormat/>
    <w:uiPriority w:val="0"/>
    <w:rPr>
      <w:rFonts w:ascii="宋体" w:hAnsi="宋体" w:eastAsia="宋体" w:cs="宋体"/>
      <w:color w:val="000000"/>
      <w:sz w:val="22"/>
      <w:szCs w:val="22"/>
      <w:u w:val="none"/>
    </w:rPr>
  </w:style>
  <w:style w:type="character" w:customStyle="1" w:styleId="77">
    <w:name w:val="font81"/>
    <w:basedOn w:val="33"/>
    <w:autoRedefine/>
    <w:qFormat/>
    <w:uiPriority w:val="0"/>
    <w:rPr>
      <w:rFonts w:ascii="宋体" w:hAnsi="宋体" w:eastAsia="宋体" w:cs="宋体"/>
      <w:color w:val="000000"/>
      <w:sz w:val="22"/>
      <w:szCs w:val="22"/>
      <w:u w:val="none"/>
    </w:rPr>
  </w:style>
  <w:style w:type="character" w:customStyle="1" w:styleId="78">
    <w:name w:val="font61"/>
    <w:basedOn w:val="33"/>
    <w:autoRedefine/>
    <w:qFormat/>
    <w:uiPriority w:val="0"/>
    <w:rPr>
      <w:rFonts w:hint="eastAsia" w:ascii="宋体" w:hAnsi="宋体" w:eastAsia="宋体" w:cs="宋体"/>
      <w:color w:val="000000"/>
      <w:sz w:val="20"/>
      <w:szCs w:val="20"/>
      <w:u w:val="none"/>
    </w:rPr>
  </w:style>
  <w:style w:type="paragraph" w:customStyle="1" w:styleId="79">
    <w:name w:val="正文2"/>
    <w:basedOn w:val="1"/>
    <w:autoRedefine/>
    <w:qFormat/>
    <w:uiPriority w:val="0"/>
    <w:pPr>
      <w:spacing w:before="156" w:line="360" w:lineRule="auto"/>
      <w:ind w:firstLine="510" w:firstLineChars="200"/>
    </w:pPr>
    <w:rPr>
      <w:sz w:val="24"/>
      <w:szCs w:val="20"/>
    </w:rPr>
  </w:style>
  <w:style w:type="paragraph" w:customStyle="1" w:styleId="8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81">
    <w:name w:val="纯文本_0_0"/>
    <w:basedOn w:val="82"/>
    <w:autoRedefine/>
    <w:qFormat/>
    <w:uiPriority w:val="0"/>
    <w:pPr>
      <w:adjustRightInd/>
    </w:pPr>
    <w:rPr>
      <w:rFonts w:ascii="宋体" w:hAnsi="Courier New"/>
      <w:szCs w:val="21"/>
    </w:rPr>
  </w:style>
  <w:style w:type="paragraph" w:customStyle="1" w:styleId="8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
    <w:name w:val="列出段落1"/>
    <w:basedOn w:val="1"/>
    <w:autoRedefine/>
    <w:qFormat/>
    <w:uiPriority w:val="34"/>
    <w:pPr>
      <w:ind w:firstLine="420" w:firstLineChars="200"/>
    </w:pPr>
    <w:rPr>
      <w:rFonts w:ascii="Calibri" w:hAnsi="Calibri" w:cs="黑体"/>
    </w:rPr>
  </w:style>
  <w:style w:type="paragraph" w:customStyle="1" w:styleId="85">
    <w:name w:val="正文空2格  1."/>
    <w:basedOn w:val="1"/>
    <w:autoRedefine/>
    <w:qFormat/>
    <w:uiPriority w:val="0"/>
    <w:pPr>
      <w:ind w:firstLine="480" w:firstLineChars="200"/>
    </w:pPr>
    <w:rPr>
      <w:rFonts w:cs="宋体"/>
      <w:sz w:val="28"/>
      <w:szCs w:val="20"/>
    </w:rPr>
  </w:style>
  <w:style w:type="character" w:customStyle="1" w:styleId="86">
    <w:name w:val="font31"/>
    <w:basedOn w:val="33"/>
    <w:autoRedefine/>
    <w:qFormat/>
    <w:uiPriority w:val="0"/>
    <w:rPr>
      <w:rFonts w:hint="eastAsia" w:ascii="宋体" w:hAnsi="宋体" w:eastAsia="宋体" w:cs="宋体"/>
      <w:color w:val="3C3C3C"/>
      <w:sz w:val="12"/>
      <w:szCs w:val="12"/>
      <w:u w:val="none"/>
    </w:rPr>
  </w:style>
  <w:style w:type="character" w:customStyle="1" w:styleId="87">
    <w:name w:val="font41"/>
    <w:basedOn w:val="33"/>
    <w:autoRedefine/>
    <w:qFormat/>
    <w:uiPriority w:val="0"/>
    <w:rPr>
      <w:rFonts w:ascii="Tahoma" w:hAnsi="Tahoma" w:eastAsia="Tahoma" w:cs="Tahoma"/>
      <w:color w:val="3C3C3C"/>
      <w:sz w:val="12"/>
      <w:szCs w:val="12"/>
      <w:u w:val="none"/>
    </w:rPr>
  </w:style>
  <w:style w:type="character" w:customStyle="1" w:styleId="88">
    <w:name w:val="NormalCharacter"/>
    <w:link w:val="1"/>
    <w:autoRedefine/>
    <w:semiHidden/>
    <w:qFormat/>
    <w:uiPriority w:val="0"/>
    <w:rPr>
      <w:rFonts w:ascii="Times New Roman" w:hAnsi="Times New Roman" w:eastAsia="宋体" w:cs="Times New Roman"/>
      <w:kern w:val="2"/>
      <w:sz w:val="21"/>
      <w:lang w:val="en-US" w:eastAsia="zh-CN" w:bidi="ar-SA"/>
    </w:rPr>
  </w:style>
  <w:style w:type="paragraph" w:customStyle="1" w:styleId="89">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Normal_2"/>
    <w:qFormat/>
    <w:uiPriority w:val="0"/>
    <w:rPr>
      <w:rFonts w:ascii="Times New Roman" w:hAnsi="Times New Roman" w:eastAsia="Times New Roman" w:cs="Times New Roman"/>
      <w:sz w:val="24"/>
      <w:szCs w:val="24"/>
      <w:lang w:val="en-US" w:eastAsia="zh-CN" w:bidi="ar-SA"/>
    </w:rPr>
  </w:style>
  <w:style w:type="paragraph" w:customStyle="1" w:styleId="9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2">
    <w:name w:val="样式 样式 样式 样式 样式 标题 2_Heading 2标题 2 Char + (符号) Times New Roman + ...1"/>
    <w:basedOn w:val="93"/>
    <w:qFormat/>
    <w:uiPriority w:val="99"/>
    <w:pPr>
      <w:spacing w:before="120"/>
      <w:ind w:left="576" w:hanging="576"/>
    </w:pPr>
    <w:rPr>
      <w:rFonts w:cs="宋体"/>
      <w:szCs w:val="20"/>
    </w:rPr>
  </w:style>
  <w:style w:type="paragraph" w:customStyle="1" w:styleId="93">
    <w:name w:val="样式 样式 样式 样式 标题 2_Heading 2标题 2 Char + (符号) Times New Roman + (符号..."/>
    <w:basedOn w:val="94"/>
    <w:qFormat/>
    <w:uiPriority w:val="99"/>
    <w:pPr>
      <w:ind w:left="0" w:firstLine="0"/>
    </w:pPr>
  </w:style>
  <w:style w:type="paragraph" w:customStyle="1" w:styleId="94">
    <w:name w:val="样式 样式 样式 标题 2_Heading 2标题 2 Char + (符号) Times New Roman + (符号) T..."/>
    <w:basedOn w:val="95"/>
    <w:qFormat/>
    <w:uiPriority w:val="99"/>
  </w:style>
  <w:style w:type="paragraph" w:customStyle="1" w:styleId="95">
    <w:name w:val="样式 样式 标题 2_Heading 2标题 2 Char + (符号) Times New Roman + (符号) Time..."/>
    <w:basedOn w:val="96"/>
    <w:qFormat/>
    <w:uiPriority w:val="99"/>
    <w:rPr>
      <w:sz w:val="24"/>
    </w:rPr>
  </w:style>
  <w:style w:type="paragraph" w:customStyle="1" w:styleId="96">
    <w:name w:val="样式 标题 2_Heading 2标题 2 Char + (符号) Times New Roman"/>
    <w:basedOn w:val="3"/>
    <w:qFormat/>
    <w:uiPriority w:val="99"/>
  </w:style>
  <w:style w:type="paragraph" w:customStyle="1" w:styleId="97">
    <w:name w:val="样式 样式 标题 3标题 3 Char Char标题 31 + (中文) +中文正文 (符号) +中文正文 + (中文) 宋体...1"/>
    <w:basedOn w:val="98"/>
    <w:qFormat/>
    <w:uiPriority w:val="99"/>
    <w:pPr>
      <w:tabs>
        <w:tab w:val="left" w:pos="154"/>
      </w:tabs>
      <w:snapToGrid w:val="0"/>
      <w:spacing w:before="50" w:afterLines="50"/>
      <w:ind w:right="139" w:rightChars="58"/>
    </w:pPr>
  </w:style>
  <w:style w:type="paragraph" w:customStyle="1" w:styleId="98">
    <w:name w:val="样式 标题 3标题 3 Char Char标题 31 + (中文) +中文正文 (符号) +中文正文"/>
    <w:basedOn w:val="4"/>
    <w:qFormat/>
    <w:uiPriority w:val="99"/>
  </w:style>
  <w:style w:type="paragraph" w:customStyle="1" w:styleId="99">
    <w:name w:val="正文空2字"/>
    <w:basedOn w:val="10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0">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93</Pages>
  <Words>6396</Words>
  <Characters>6880</Characters>
  <Lines>235</Lines>
  <Paragraphs>66</Paragraphs>
  <TotalTime>4</TotalTime>
  <ScaleCrop>false</ScaleCrop>
  <LinksUpToDate>false</LinksUpToDate>
  <CharactersWithSpaces>7200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2021-03-22T04:18:00Z</dcterms:created>
  <dc:creator>yujun.fan</dc:creator>
  <cp:lastModifiedBy>angie</cp:lastModifiedBy>
  <cp:lastPrinted>2025-02-28T04:20:47Z</cp:lastPrinted>
  <dcterms:modified xsi:type="dcterms:W3CDTF">2025-02-28T04:21:19Z</dcterms:modified>
  <dc:title>关于政府采购中代理竞争性谈判方式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F3D3E03CB1FB43E5BED9C7BCFDE7D52F_13</vt:lpwstr>
  </property>
  <property fmtid="{D5CDD505-2E9C-101B-9397-08002B2CF9AE}" pid="4" name="KSOTemplateDocerSaveRecord">
    <vt:lpwstr>eyJoZGlkIjoiMTA0ZTczMDBkYTU0MmVmM2I3NDlhOTJhMjkyOTY3ZmEiLCJ1c2VySWQiOiIzMjE3OTkyNTkifQ==</vt:lpwstr>
  </property>
</Properties>
</file>