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35FA4">
      <w:pPr>
        <w:ind w:right="-1" w:rightChars="0"/>
        <w:jc w:val="right"/>
        <w:rPr>
          <w:rFonts w:hint="eastAsia"/>
          <w:color w:val="auto"/>
          <w:sz w:val="28"/>
        </w:rPr>
      </w:pPr>
    </w:p>
    <w:p w14:paraId="38059C28">
      <w:pPr>
        <w:ind w:right="-420" w:rightChars="-200"/>
        <w:jc w:val="right"/>
        <w:rPr>
          <w:rFonts w:hint="eastAsia"/>
          <w:color w:val="auto"/>
          <w:sz w:val="28"/>
        </w:rPr>
      </w:pPr>
    </w:p>
    <w:p w14:paraId="58CDC91E">
      <w:pPr>
        <w:ind w:right="-420" w:rightChars="-200"/>
        <w:jc w:val="right"/>
        <w:rPr>
          <w:rFonts w:hint="eastAsia"/>
          <w:color w:val="auto"/>
          <w:sz w:val="28"/>
        </w:rPr>
      </w:pPr>
    </w:p>
    <w:p w14:paraId="1B83B09D">
      <w:pPr>
        <w:spacing w:before="120" w:beforeLines="50" w:after="240" w:line="500" w:lineRule="exact"/>
        <w:ind w:right="-420" w:rightChars="-200"/>
        <w:jc w:val="center"/>
        <w:rPr>
          <w:b/>
          <w:color w:val="auto"/>
          <w:sz w:val="52"/>
          <w:szCs w:val="52"/>
        </w:rPr>
      </w:pPr>
      <w:r>
        <w:rPr>
          <w:rFonts w:hint="eastAsia"/>
          <w:b/>
          <w:color w:val="auto"/>
          <w:sz w:val="52"/>
          <w:szCs w:val="52"/>
          <w:lang w:eastAsia="zh-CN"/>
        </w:rPr>
        <w:t>国内</w:t>
      </w:r>
      <w:r>
        <w:rPr>
          <w:b/>
          <w:color w:val="auto"/>
          <w:sz w:val="52"/>
          <w:szCs w:val="52"/>
        </w:rPr>
        <w:t>采购项目</w:t>
      </w:r>
    </w:p>
    <w:p w14:paraId="3E36D3E8">
      <w:pPr>
        <w:spacing w:after="120"/>
        <w:ind w:right="-420" w:rightChars="-200"/>
        <w:jc w:val="center"/>
        <w:rPr>
          <w:b/>
          <w:color w:val="auto"/>
          <w:sz w:val="72"/>
        </w:rPr>
      </w:pPr>
      <w:r>
        <w:rPr>
          <w:rFonts w:hint="eastAsia"/>
          <w:b/>
          <w:color w:val="auto"/>
          <w:sz w:val="72"/>
        </w:rPr>
        <w:t>竞争性磋商采购</w:t>
      </w:r>
      <w:r>
        <w:rPr>
          <w:b/>
          <w:color w:val="auto"/>
          <w:sz w:val="72"/>
        </w:rPr>
        <w:t>文件</w:t>
      </w:r>
    </w:p>
    <w:p w14:paraId="4FFF910D">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33978F7">
      <w:pPr>
        <w:ind w:right="-420" w:rightChars="-200"/>
        <w:jc w:val="center"/>
        <w:rPr>
          <w:rFonts w:hint="eastAsia"/>
          <w:color w:val="auto"/>
          <w:sz w:val="28"/>
        </w:rPr>
      </w:pPr>
    </w:p>
    <w:p w14:paraId="705AF32C">
      <w:pPr>
        <w:ind w:right="-420" w:rightChars="-200"/>
        <w:jc w:val="center"/>
        <w:rPr>
          <w:rFonts w:hint="eastAsia"/>
          <w:color w:val="auto"/>
          <w:sz w:val="28"/>
        </w:rPr>
      </w:pPr>
    </w:p>
    <w:p w14:paraId="6AA90ABE">
      <w:pPr>
        <w:ind w:right="-420" w:rightChars="-200"/>
        <w:jc w:val="center"/>
        <w:rPr>
          <w:rFonts w:hint="eastAsia"/>
          <w:color w:val="auto"/>
          <w:sz w:val="28"/>
        </w:rPr>
      </w:pPr>
    </w:p>
    <w:p w14:paraId="58AF86A2">
      <w:pPr>
        <w:ind w:right="-420" w:rightChars="-200"/>
        <w:jc w:val="center"/>
        <w:rPr>
          <w:rFonts w:hint="eastAsia"/>
          <w:color w:val="auto"/>
          <w:sz w:val="28"/>
        </w:rPr>
      </w:pPr>
    </w:p>
    <w:p w14:paraId="2893BAF9">
      <w:pPr>
        <w:pStyle w:val="45"/>
        <w:rPr>
          <w:rFonts w:hint="eastAsia"/>
          <w:color w:val="auto"/>
          <w:sz w:val="28"/>
        </w:rPr>
      </w:pPr>
    </w:p>
    <w:p w14:paraId="39B343B0">
      <w:pPr>
        <w:keepNext w:val="0"/>
        <w:keepLines w:val="0"/>
        <w:pageBreakBefore w:val="0"/>
        <w:widowControl w:val="0"/>
        <w:tabs>
          <w:tab w:val="left" w:pos="1260"/>
        </w:tabs>
        <w:kinsoku/>
        <w:wordWrap/>
        <w:overflowPunct/>
        <w:topLinePunct w:val="0"/>
        <w:autoSpaceDE/>
        <w:autoSpaceDN/>
        <w:bidi w:val="0"/>
        <w:adjustRightInd/>
        <w:snapToGrid/>
        <w:spacing w:line="800" w:lineRule="exact"/>
        <w:ind w:left="-315" w:leftChars="-150"/>
        <w:textAlignment w:val="auto"/>
        <w:rPr>
          <w:rFonts w:hint="default"/>
          <w:color w:val="auto"/>
          <w:sz w:val="28"/>
          <w:lang w:val="en-US"/>
        </w:rPr>
      </w:pPr>
      <w:r>
        <w:rPr>
          <w:rFonts w:ascii="Arial" w:cs="Arial"/>
          <w:bCs/>
          <w:color w:val="auto"/>
          <w:sz w:val="36"/>
          <w:szCs w:val="36"/>
        </w:rPr>
        <w:t>项目编号：</w:t>
      </w:r>
      <w:r>
        <w:rPr>
          <w:rFonts w:hint="eastAsia" w:ascii="Arial" w:cs="Arial"/>
          <w:bCs/>
          <w:color w:val="auto"/>
          <w:sz w:val="36"/>
          <w:szCs w:val="36"/>
          <w:u w:val="single"/>
          <w:lang w:eastAsia="zh-CN"/>
        </w:rPr>
        <w:t>浙信基招【2025】第NH006号</w:t>
      </w:r>
      <w:r>
        <w:rPr>
          <w:rFonts w:hint="eastAsia" w:ascii="Arial" w:cs="Arial"/>
          <w:bCs/>
          <w:color w:val="auto"/>
          <w:sz w:val="36"/>
          <w:szCs w:val="36"/>
          <w:u w:val="single"/>
          <w:lang w:val="en-US" w:eastAsia="zh-CN"/>
        </w:rPr>
        <w:t> </w:t>
      </w:r>
    </w:p>
    <w:p w14:paraId="0ACF7D58">
      <w:pPr>
        <w:keepNext w:val="0"/>
        <w:keepLines w:val="0"/>
        <w:pageBreakBefore w:val="0"/>
        <w:widowControl w:val="0"/>
        <w:kinsoku/>
        <w:wordWrap/>
        <w:overflowPunct/>
        <w:topLinePunct w:val="0"/>
        <w:autoSpaceDE/>
        <w:autoSpaceDN/>
        <w:bidi w:val="0"/>
        <w:adjustRightInd/>
        <w:snapToGrid/>
        <w:spacing w:line="800" w:lineRule="exact"/>
        <w:ind w:left="1485" w:leftChars="-150" w:hanging="1800" w:hangingChars="500"/>
        <w:jc w:val="left"/>
        <w:textAlignment w:val="auto"/>
        <w:rPr>
          <w:rFonts w:hint="eastAsia" w:ascii="Arial" w:cs="Arial"/>
          <w:bCs/>
          <w:color w:val="auto"/>
          <w:sz w:val="36"/>
          <w:szCs w:val="36"/>
          <w:u w:val="single"/>
          <w:lang w:eastAsia="zh-CN"/>
        </w:rPr>
      </w:pPr>
      <w:r>
        <w:rPr>
          <w:rFonts w:hint="eastAsia" w:ascii="Arial" w:cs="Arial"/>
          <w:bCs/>
          <w:color w:val="auto"/>
          <w:sz w:val="36"/>
          <w:szCs w:val="36"/>
        </w:rPr>
        <w:t>项目名称</w:t>
      </w:r>
      <w:r>
        <w:rPr>
          <w:rFonts w:hint="eastAsia" w:ascii="Arial" w:cs="Arial"/>
          <w:bCs/>
          <w:color w:val="auto"/>
          <w:sz w:val="36"/>
          <w:szCs w:val="36"/>
          <w:lang w:val="en-US" w:eastAsia="zh-CN"/>
        </w:rPr>
        <w:t xml:space="preserve">: </w:t>
      </w:r>
      <w:r>
        <w:rPr>
          <w:rFonts w:hint="eastAsia" w:ascii="Arial" w:cs="Arial"/>
          <w:bCs/>
          <w:color w:val="auto"/>
          <w:sz w:val="36"/>
          <w:szCs w:val="36"/>
          <w:u w:val="single"/>
          <w:lang w:eastAsia="zh-CN"/>
        </w:rPr>
        <w:t>宁海县高级职业技术中心学校实训大楼数控设备通电、通气及烹饪实习工场通电等项目工程</w:t>
      </w:r>
    </w:p>
    <w:p w14:paraId="1CB9C98D">
      <w:pPr>
        <w:keepNext w:val="0"/>
        <w:keepLines w:val="0"/>
        <w:pageBreakBefore w:val="0"/>
        <w:widowControl w:val="0"/>
        <w:kinsoku/>
        <w:wordWrap/>
        <w:overflowPunct/>
        <w:topLinePunct w:val="0"/>
        <w:autoSpaceDE/>
        <w:autoSpaceDN/>
        <w:bidi w:val="0"/>
        <w:adjustRightInd/>
        <w:snapToGrid/>
        <w:spacing w:line="800" w:lineRule="exact"/>
        <w:ind w:left="-315" w:leftChars="-150"/>
        <w:textAlignment w:val="auto"/>
        <w:rPr>
          <w:rFonts w:hint="eastAsia" w:ascii="Arial" w:cs="Arial"/>
          <w:bCs/>
          <w:color w:val="auto"/>
          <w:sz w:val="36"/>
          <w:szCs w:val="36"/>
          <w:u w:val="single"/>
        </w:rPr>
      </w:pPr>
      <w:r>
        <w:rPr>
          <w:rFonts w:hint="eastAsia" w:ascii="Arial" w:cs="Arial"/>
          <w:bCs/>
          <w:color w:val="auto"/>
          <w:sz w:val="36"/>
          <w:szCs w:val="36"/>
        </w:rPr>
        <w:t>采购单位：</w:t>
      </w:r>
      <w:r>
        <w:rPr>
          <w:rFonts w:hint="eastAsia" w:ascii="Arial" w:cs="Arial"/>
          <w:bCs/>
          <w:color w:val="auto"/>
          <w:sz w:val="36"/>
          <w:szCs w:val="36"/>
          <w:u w:val="single"/>
          <w:lang w:eastAsia="zh-CN"/>
        </w:rPr>
        <w:t>宁海县高级职业技术中心学校</w:t>
      </w:r>
      <w:r>
        <w:rPr>
          <w:rFonts w:hint="eastAsia" w:ascii="Arial" w:cs="Arial"/>
          <w:bCs/>
          <w:color w:val="auto"/>
          <w:sz w:val="36"/>
          <w:szCs w:val="36"/>
          <w:u w:val="single"/>
          <w:lang w:val="en-US" w:eastAsia="zh-CN"/>
        </w:rPr>
        <w:t xml:space="preserve"> </w:t>
      </w:r>
      <w:r>
        <w:rPr>
          <w:rFonts w:hint="eastAsia" w:ascii="Arial" w:cs="Arial"/>
          <w:bCs/>
          <w:color w:val="auto"/>
          <w:sz w:val="36"/>
          <w:szCs w:val="36"/>
          <w:u w:val="single"/>
        </w:rPr>
        <w:t>（盖章）</w:t>
      </w:r>
    </w:p>
    <w:p w14:paraId="4480C0C9">
      <w:pPr>
        <w:keepNext w:val="0"/>
        <w:keepLines w:val="0"/>
        <w:pageBreakBefore w:val="0"/>
        <w:widowControl w:val="0"/>
        <w:kinsoku/>
        <w:wordWrap/>
        <w:overflowPunct/>
        <w:topLinePunct w:val="0"/>
        <w:autoSpaceDE/>
        <w:autoSpaceDN/>
        <w:bidi w:val="0"/>
        <w:adjustRightInd/>
        <w:snapToGrid/>
        <w:spacing w:line="800" w:lineRule="exact"/>
        <w:ind w:left="-315" w:leftChars="-150"/>
        <w:textAlignment w:val="auto"/>
        <w:rPr>
          <w:rFonts w:hint="eastAsia" w:ascii="Arial" w:cs="Arial"/>
          <w:bCs/>
          <w:color w:val="auto"/>
          <w:sz w:val="36"/>
          <w:szCs w:val="36"/>
        </w:rPr>
      </w:pPr>
      <w:r>
        <w:rPr>
          <w:rFonts w:hint="eastAsia" w:ascii="Arial" w:cs="Arial"/>
          <w:bCs/>
          <w:color w:val="auto"/>
          <w:sz w:val="36"/>
          <w:szCs w:val="36"/>
        </w:rPr>
        <w:t>采购代理：</w:t>
      </w:r>
      <w:r>
        <w:rPr>
          <w:rFonts w:hint="eastAsia" w:ascii="Arial" w:cs="Arial"/>
          <w:bCs/>
          <w:color w:val="auto"/>
          <w:sz w:val="36"/>
          <w:szCs w:val="36"/>
          <w:u w:val="single"/>
          <w:lang w:eastAsia="zh-CN"/>
        </w:rPr>
        <w:t>浙江信望工程咨询有限公司</w:t>
      </w:r>
      <w:r>
        <w:rPr>
          <w:rFonts w:hint="eastAsia" w:ascii="Arial" w:cs="Arial"/>
          <w:bCs/>
          <w:color w:val="auto"/>
          <w:sz w:val="36"/>
          <w:szCs w:val="36"/>
          <w:u w:val="single"/>
          <w:lang w:val="en-US" w:eastAsia="zh-CN"/>
        </w:rPr>
        <w:t xml:space="preserve">   </w:t>
      </w:r>
      <w:r>
        <w:rPr>
          <w:rFonts w:hint="eastAsia" w:ascii="Arial" w:cs="Arial"/>
          <w:bCs/>
          <w:color w:val="auto"/>
          <w:sz w:val="36"/>
          <w:szCs w:val="36"/>
          <w:u w:val="single"/>
        </w:rPr>
        <w:t>（盖章）</w:t>
      </w:r>
    </w:p>
    <w:p w14:paraId="1CE13869">
      <w:pPr>
        <w:keepNext w:val="0"/>
        <w:keepLines w:val="0"/>
        <w:pageBreakBefore w:val="0"/>
        <w:widowControl w:val="0"/>
        <w:kinsoku/>
        <w:wordWrap/>
        <w:overflowPunct/>
        <w:topLinePunct w:val="0"/>
        <w:autoSpaceDE/>
        <w:autoSpaceDN/>
        <w:bidi w:val="0"/>
        <w:adjustRightInd/>
        <w:snapToGrid/>
        <w:ind w:left="-315" w:leftChars="-150"/>
        <w:textAlignment w:val="auto"/>
        <w:rPr>
          <w:rFonts w:hint="eastAsia"/>
          <w:color w:val="auto"/>
        </w:rPr>
      </w:pPr>
    </w:p>
    <w:p w14:paraId="1DB3F05D">
      <w:pPr>
        <w:rPr>
          <w:rFonts w:hint="eastAsia"/>
          <w:color w:val="auto"/>
        </w:rPr>
      </w:pPr>
    </w:p>
    <w:p w14:paraId="4DE53AE3">
      <w:pPr>
        <w:rPr>
          <w:rFonts w:hint="eastAsia"/>
          <w:color w:val="auto"/>
        </w:rPr>
      </w:pPr>
    </w:p>
    <w:p w14:paraId="7FEDDECB">
      <w:pPr>
        <w:rPr>
          <w:rFonts w:hint="eastAsia"/>
          <w:color w:val="auto"/>
        </w:rPr>
      </w:pPr>
    </w:p>
    <w:p w14:paraId="5DB248F6">
      <w:pPr>
        <w:rPr>
          <w:rFonts w:hint="eastAsia"/>
          <w:color w:val="auto"/>
        </w:rPr>
      </w:pPr>
    </w:p>
    <w:p w14:paraId="6492D00A">
      <w:pPr>
        <w:rPr>
          <w:rFonts w:hint="eastAsia"/>
          <w:color w:val="auto"/>
        </w:rPr>
      </w:pPr>
    </w:p>
    <w:p w14:paraId="7218531D">
      <w:pPr>
        <w:rPr>
          <w:color w:val="auto"/>
        </w:rPr>
      </w:pPr>
    </w:p>
    <w:p w14:paraId="71D8B71E">
      <w:pPr>
        <w:rPr>
          <w:color w:val="auto"/>
        </w:rPr>
      </w:pPr>
    </w:p>
    <w:p w14:paraId="2026B83F">
      <w:pPr>
        <w:jc w:val="center"/>
        <w:rPr>
          <w:rFonts w:hint="eastAsia" w:ascii="Arial" w:hAnsi="Arial" w:cs="Arial"/>
          <w:bCs/>
          <w:color w:val="auto"/>
          <w:sz w:val="44"/>
          <w:szCs w:val="44"/>
        </w:rPr>
      </w:pPr>
    </w:p>
    <w:p w14:paraId="057D3704">
      <w:pPr>
        <w:spacing w:line="500" w:lineRule="exact"/>
        <w:ind w:right="-420" w:rightChars="-200"/>
        <w:jc w:val="center"/>
        <w:rPr>
          <w:rFonts w:hint="eastAsia" w:ascii="宋体" w:hAnsi="宋体"/>
          <w:color w:val="auto"/>
          <w:sz w:val="44"/>
        </w:rPr>
      </w:pPr>
      <w:r>
        <w:rPr>
          <w:rFonts w:hint="eastAsia" w:ascii="Arial" w:cs="Arial"/>
          <w:bCs/>
          <w:color w:val="auto"/>
          <w:sz w:val="44"/>
          <w:szCs w:val="44"/>
        </w:rPr>
        <w:t>二〇二</w:t>
      </w:r>
      <w:r>
        <w:rPr>
          <w:rFonts w:hint="eastAsia" w:ascii="Arial" w:cs="Arial"/>
          <w:bCs/>
          <w:color w:val="auto"/>
          <w:sz w:val="44"/>
          <w:szCs w:val="44"/>
          <w:lang w:val="en-US" w:eastAsia="zh-CN"/>
        </w:rPr>
        <w:t>五</w:t>
      </w:r>
      <w:r>
        <w:rPr>
          <w:rFonts w:hint="eastAsia" w:ascii="Arial" w:cs="Arial"/>
          <w:bCs/>
          <w:color w:val="auto"/>
          <w:sz w:val="44"/>
          <w:szCs w:val="44"/>
        </w:rPr>
        <w:t>年</w:t>
      </w:r>
      <w:r>
        <w:rPr>
          <w:rFonts w:hint="eastAsia" w:ascii="Arial" w:cs="Arial"/>
          <w:bCs/>
          <w:color w:val="auto"/>
          <w:sz w:val="44"/>
          <w:szCs w:val="44"/>
          <w:lang w:val="en-US" w:eastAsia="zh-CN"/>
        </w:rPr>
        <w:t>三</w:t>
      </w:r>
      <w:r>
        <w:rPr>
          <w:rFonts w:hint="eastAsia" w:ascii="Arial" w:cs="Arial"/>
          <w:bCs/>
          <w:color w:val="auto"/>
          <w:sz w:val="44"/>
          <w:szCs w:val="44"/>
        </w:rPr>
        <w:t>月</w:t>
      </w:r>
      <w:r>
        <w:rPr>
          <w:rFonts w:ascii="宋体"/>
          <w:b/>
          <w:color w:val="auto"/>
          <w:sz w:val="52"/>
        </w:rPr>
        <w:br w:type="page"/>
      </w:r>
    </w:p>
    <w:p w14:paraId="47D0B743">
      <w:pPr>
        <w:spacing w:line="500" w:lineRule="exact"/>
        <w:ind w:right="-420" w:rightChars="-200"/>
        <w:jc w:val="center"/>
        <w:rPr>
          <w:rFonts w:hint="eastAsia" w:ascii="宋体" w:hAnsi="宋体"/>
          <w:color w:val="auto"/>
          <w:sz w:val="44"/>
        </w:rPr>
      </w:pPr>
    </w:p>
    <w:p w14:paraId="789F0FD7">
      <w:pPr>
        <w:spacing w:line="500" w:lineRule="exact"/>
        <w:ind w:right="-420" w:rightChars="-200"/>
        <w:jc w:val="center"/>
        <w:rPr>
          <w:rFonts w:hint="eastAsia" w:ascii="宋体" w:hAnsi="宋体"/>
          <w:color w:val="auto"/>
          <w:sz w:val="44"/>
        </w:rPr>
      </w:pPr>
    </w:p>
    <w:p w14:paraId="3129D757">
      <w:pPr>
        <w:spacing w:line="500" w:lineRule="exact"/>
        <w:ind w:right="-420" w:rightChars="-200"/>
        <w:jc w:val="center"/>
        <w:rPr>
          <w:rFonts w:hint="eastAsia" w:ascii="宋体" w:hAnsi="宋体"/>
          <w:color w:val="auto"/>
          <w:sz w:val="44"/>
        </w:rPr>
      </w:pPr>
    </w:p>
    <w:p w14:paraId="2126088A">
      <w:pPr>
        <w:spacing w:line="500" w:lineRule="exact"/>
        <w:ind w:right="-420" w:rightChars="-200"/>
        <w:jc w:val="center"/>
        <w:rPr>
          <w:rFonts w:hint="eastAsia" w:ascii="宋体" w:hAnsi="宋体"/>
          <w:color w:val="auto"/>
          <w:sz w:val="44"/>
        </w:rPr>
      </w:pPr>
    </w:p>
    <w:p w14:paraId="4663EAD2">
      <w:pPr>
        <w:spacing w:line="500" w:lineRule="exact"/>
        <w:ind w:right="-420" w:rightChars="-200"/>
        <w:jc w:val="center"/>
        <w:rPr>
          <w:rFonts w:hint="eastAsia" w:ascii="宋体" w:hAnsi="宋体"/>
          <w:color w:val="auto"/>
          <w:sz w:val="44"/>
        </w:rPr>
      </w:pPr>
    </w:p>
    <w:p w14:paraId="4FA75AD9">
      <w:pPr>
        <w:spacing w:line="500" w:lineRule="exact"/>
        <w:ind w:right="-420" w:rightChars="-200"/>
        <w:jc w:val="center"/>
        <w:rPr>
          <w:rFonts w:hint="eastAsia" w:ascii="宋体" w:hAnsi="宋体"/>
          <w:color w:val="auto"/>
          <w:sz w:val="44"/>
        </w:rPr>
      </w:pPr>
    </w:p>
    <w:p w14:paraId="51EC0B12">
      <w:pPr>
        <w:spacing w:line="500" w:lineRule="exact"/>
        <w:ind w:right="-420" w:rightChars="-200"/>
        <w:jc w:val="center"/>
        <w:rPr>
          <w:rFonts w:hint="eastAsia" w:ascii="宋体" w:hAnsi="宋体"/>
          <w:color w:val="auto"/>
          <w:sz w:val="44"/>
        </w:rPr>
      </w:pPr>
    </w:p>
    <w:p w14:paraId="6D026383">
      <w:pPr>
        <w:spacing w:line="500" w:lineRule="exact"/>
        <w:ind w:right="-420" w:rightChars="-200"/>
        <w:jc w:val="center"/>
        <w:rPr>
          <w:rFonts w:hint="eastAsia" w:ascii="宋体" w:hAnsi="宋体"/>
          <w:color w:val="auto"/>
          <w:sz w:val="44"/>
        </w:rPr>
      </w:pPr>
    </w:p>
    <w:p w14:paraId="466A7A15">
      <w:pPr>
        <w:spacing w:line="500" w:lineRule="exact"/>
        <w:ind w:right="-420" w:rightChars="-200"/>
        <w:jc w:val="center"/>
        <w:rPr>
          <w:rFonts w:hint="eastAsia" w:ascii="宋体" w:hAnsi="宋体"/>
          <w:color w:val="auto"/>
          <w:sz w:val="44"/>
        </w:rPr>
      </w:pPr>
    </w:p>
    <w:p w14:paraId="6064EE77">
      <w:pPr>
        <w:spacing w:line="500" w:lineRule="exact"/>
        <w:ind w:right="-420" w:rightChars="-200"/>
        <w:jc w:val="center"/>
        <w:rPr>
          <w:rFonts w:hint="eastAsia" w:ascii="宋体" w:hAnsi="宋体"/>
          <w:color w:val="auto"/>
          <w:sz w:val="44"/>
        </w:rPr>
      </w:pPr>
    </w:p>
    <w:p w14:paraId="785DD7DB">
      <w:pPr>
        <w:spacing w:line="500" w:lineRule="exact"/>
        <w:ind w:right="-420" w:rightChars="-200"/>
        <w:jc w:val="center"/>
        <w:rPr>
          <w:rFonts w:hint="eastAsia" w:ascii="宋体" w:hAnsi="宋体"/>
          <w:color w:val="auto"/>
          <w:sz w:val="44"/>
        </w:rPr>
      </w:pPr>
    </w:p>
    <w:p w14:paraId="5B46ACE8">
      <w:pPr>
        <w:spacing w:line="500" w:lineRule="exact"/>
        <w:ind w:right="-420" w:rightChars="-200"/>
        <w:jc w:val="center"/>
        <w:rPr>
          <w:rFonts w:hint="eastAsia" w:ascii="宋体" w:hAnsi="宋体"/>
          <w:color w:val="auto"/>
          <w:sz w:val="44"/>
        </w:rPr>
      </w:pPr>
    </w:p>
    <w:p w14:paraId="3C891680">
      <w:pPr>
        <w:spacing w:line="500" w:lineRule="exact"/>
        <w:ind w:right="-420" w:rightChars="-200"/>
        <w:jc w:val="center"/>
        <w:rPr>
          <w:rFonts w:hint="eastAsia" w:ascii="宋体" w:hAnsi="宋体"/>
          <w:color w:val="auto"/>
          <w:sz w:val="44"/>
        </w:rPr>
      </w:pPr>
    </w:p>
    <w:p w14:paraId="6466DAB8">
      <w:pPr>
        <w:spacing w:line="500" w:lineRule="exact"/>
        <w:ind w:right="-420" w:rightChars="-200"/>
        <w:jc w:val="center"/>
        <w:rPr>
          <w:rFonts w:hint="eastAsia" w:ascii="宋体" w:hAnsi="宋体"/>
          <w:color w:val="auto"/>
          <w:sz w:val="44"/>
        </w:rPr>
      </w:pPr>
    </w:p>
    <w:p w14:paraId="25EBBAB5">
      <w:pPr>
        <w:spacing w:line="500" w:lineRule="exact"/>
        <w:ind w:right="-420" w:rightChars="-200"/>
        <w:jc w:val="center"/>
        <w:rPr>
          <w:rFonts w:hint="eastAsia" w:ascii="宋体" w:hAnsi="宋体"/>
          <w:color w:val="auto"/>
          <w:sz w:val="44"/>
        </w:rPr>
      </w:pPr>
    </w:p>
    <w:p w14:paraId="4ED9631B">
      <w:pPr>
        <w:spacing w:line="500" w:lineRule="exact"/>
        <w:ind w:right="-420" w:rightChars="-200"/>
        <w:jc w:val="center"/>
        <w:rPr>
          <w:rFonts w:hint="eastAsia" w:ascii="宋体" w:hAnsi="宋体"/>
          <w:color w:val="auto"/>
          <w:sz w:val="44"/>
        </w:rPr>
      </w:pPr>
    </w:p>
    <w:p w14:paraId="53D05E0C">
      <w:pPr>
        <w:spacing w:line="500" w:lineRule="exact"/>
        <w:ind w:right="-420" w:rightChars="-200"/>
        <w:jc w:val="center"/>
        <w:rPr>
          <w:rFonts w:hint="eastAsia" w:ascii="宋体" w:hAnsi="宋体"/>
          <w:color w:val="auto"/>
          <w:sz w:val="44"/>
        </w:rPr>
      </w:pPr>
    </w:p>
    <w:p w14:paraId="38F86D38">
      <w:pPr>
        <w:spacing w:line="500" w:lineRule="exact"/>
        <w:ind w:right="-420" w:rightChars="-200"/>
        <w:jc w:val="center"/>
        <w:rPr>
          <w:rFonts w:hint="eastAsia" w:ascii="宋体" w:hAnsi="宋体"/>
          <w:color w:val="auto"/>
          <w:sz w:val="44"/>
        </w:rPr>
      </w:pPr>
    </w:p>
    <w:p w14:paraId="69A4AAE6">
      <w:pPr>
        <w:spacing w:line="500" w:lineRule="exact"/>
        <w:ind w:right="-420" w:rightChars="-200"/>
        <w:jc w:val="center"/>
        <w:rPr>
          <w:rFonts w:hint="eastAsia" w:ascii="宋体" w:hAnsi="宋体"/>
          <w:color w:val="auto"/>
          <w:sz w:val="44"/>
        </w:rPr>
      </w:pPr>
    </w:p>
    <w:p w14:paraId="3BC33A87">
      <w:pPr>
        <w:spacing w:line="500" w:lineRule="exact"/>
        <w:ind w:right="-420" w:rightChars="-200"/>
        <w:jc w:val="center"/>
        <w:rPr>
          <w:rFonts w:hint="eastAsia" w:ascii="宋体" w:hAnsi="宋体"/>
          <w:color w:val="auto"/>
          <w:sz w:val="44"/>
        </w:rPr>
      </w:pPr>
    </w:p>
    <w:p w14:paraId="69AC313E">
      <w:pPr>
        <w:spacing w:line="500" w:lineRule="exact"/>
        <w:ind w:right="-420" w:rightChars="-200"/>
        <w:jc w:val="center"/>
        <w:rPr>
          <w:rFonts w:hint="eastAsia" w:ascii="宋体" w:hAnsi="宋体"/>
          <w:color w:val="auto"/>
          <w:sz w:val="44"/>
        </w:rPr>
      </w:pPr>
    </w:p>
    <w:p w14:paraId="3D908AB6">
      <w:pPr>
        <w:spacing w:line="500" w:lineRule="exact"/>
        <w:ind w:right="-420" w:rightChars="-200"/>
        <w:jc w:val="center"/>
        <w:rPr>
          <w:rFonts w:hint="eastAsia" w:ascii="宋体" w:hAnsi="宋体"/>
          <w:color w:val="auto"/>
          <w:sz w:val="44"/>
        </w:rPr>
      </w:pPr>
    </w:p>
    <w:p w14:paraId="795B3B09">
      <w:pPr>
        <w:spacing w:line="500" w:lineRule="exact"/>
        <w:ind w:right="-420" w:rightChars="-200"/>
        <w:jc w:val="center"/>
        <w:rPr>
          <w:rFonts w:hint="eastAsia" w:ascii="宋体" w:hAnsi="宋体"/>
          <w:color w:val="auto"/>
          <w:sz w:val="44"/>
        </w:rPr>
      </w:pPr>
    </w:p>
    <w:p w14:paraId="66DC2DA7">
      <w:pPr>
        <w:spacing w:line="500" w:lineRule="exact"/>
        <w:ind w:right="-420" w:rightChars="-200"/>
        <w:jc w:val="center"/>
        <w:rPr>
          <w:rFonts w:hint="eastAsia" w:ascii="宋体" w:hAnsi="宋体"/>
          <w:color w:val="auto"/>
          <w:sz w:val="44"/>
        </w:rPr>
      </w:pPr>
    </w:p>
    <w:p w14:paraId="38941FC8">
      <w:pPr>
        <w:spacing w:line="500" w:lineRule="exact"/>
        <w:ind w:right="-420" w:rightChars="-200"/>
        <w:jc w:val="center"/>
        <w:rPr>
          <w:rFonts w:hint="eastAsia" w:ascii="宋体" w:hAnsi="宋体"/>
          <w:color w:val="auto"/>
          <w:sz w:val="44"/>
        </w:rPr>
      </w:pPr>
    </w:p>
    <w:p w14:paraId="5B175A13">
      <w:pPr>
        <w:spacing w:line="500" w:lineRule="exact"/>
        <w:ind w:right="-420" w:rightChars="-200"/>
        <w:jc w:val="center"/>
        <w:rPr>
          <w:rFonts w:hint="eastAsia" w:ascii="宋体" w:hAnsi="宋体"/>
          <w:color w:val="auto"/>
          <w:sz w:val="44"/>
        </w:rPr>
      </w:pPr>
    </w:p>
    <w:p w14:paraId="2EDC2D3E">
      <w:pPr>
        <w:spacing w:line="500" w:lineRule="exact"/>
        <w:ind w:right="-420" w:rightChars="-200"/>
        <w:jc w:val="center"/>
        <w:rPr>
          <w:rFonts w:hint="eastAsia" w:ascii="宋体" w:hAnsi="宋体"/>
          <w:color w:val="auto"/>
          <w:sz w:val="44"/>
        </w:rPr>
      </w:pPr>
    </w:p>
    <w:p w14:paraId="13456427">
      <w:pPr>
        <w:spacing w:line="500" w:lineRule="exact"/>
        <w:ind w:right="-420" w:rightChars="-200"/>
        <w:jc w:val="center"/>
        <w:rPr>
          <w:rFonts w:hint="eastAsia" w:ascii="宋体" w:hAnsi="宋体"/>
          <w:color w:val="auto"/>
          <w:sz w:val="44"/>
        </w:rPr>
        <w:sectPr>
          <w:headerReference r:id="rId3" w:type="default"/>
          <w:footerReference r:id="rId4" w:type="even"/>
          <w:pgSz w:w="11907" w:h="16840"/>
          <w:pgMar w:top="1702" w:right="1275" w:bottom="851" w:left="1418" w:header="1134" w:footer="1134" w:gutter="0"/>
          <w:pgNumType w:start="1"/>
          <w:cols w:space="720" w:num="1"/>
          <w:docGrid w:linePitch="285" w:charSpace="0"/>
        </w:sectPr>
      </w:pPr>
    </w:p>
    <w:p w14:paraId="555291DA">
      <w:pPr>
        <w:spacing w:line="500" w:lineRule="exact"/>
        <w:ind w:right="-420" w:rightChars="-200"/>
        <w:jc w:val="center"/>
        <w:rPr>
          <w:rFonts w:hint="eastAsia" w:ascii="宋体" w:hAnsi="宋体"/>
          <w:color w:val="auto"/>
          <w:sz w:val="44"/>
        </w:rPr>
      </w:pPr>
    </w:p>
    <w:p w14:paraId="7D27A344">
      <w:pPr>
        <w:spacing w:line="500" w:lineRule="exact"/>
        <w:ind w:right="-420" w:rightChars="-200"/>
        <w:jc w:val="center"/>
        <w:rPr>
          <w:rFonts w:ascii="宋体" w:hAnsi="宋体"/>
          <w:color w:val="auto"/>
          <w:sz w:val="44"/>
        </w:rPr>
      </w:pPr>
      <w:r>
        <w:rPr>
          <w:rFonts w:hint="eastAsia" w:ascii="宋体" w:hAnsi="宋体"/>
          <w:color w:val="auto"/>
          <w:sz w:val="44"/>
        </w:rPr>
        <w:t>目    录</w:t>
      </w:r>
    </w:p>
    <w:p w14:paraId="36FCE59B">
      <w:pPr>
        <w:spacing w:line="480" w:lineRule="auto"/>
        <w:ind w:right="-420" w:rightChars="-200"/>
        <w:rPr>
          <w:rFonts w:hint="eastAsia" w:ascii="宋体"/>
          <w:color w:val="auto"/>
          <w:sz w:val="28"/>
        </w:rPr>
      </w:pPr>
    </w:p>
    <w:p w14:paraId="6097B9BB">
      <w:pPr>
        <w:numPr>
          <w:ilvl w:val="0"/>
          <w:numId w:val="0"/>
        </w:numPr>
        <w:tabs>
          <w:tab w:val="left" w:pos="180"/>
        </w:tabs>
        <w:spacing w:line="480" w:lineRule="auto"/>
        <w:ind w:right="-420" w:rightChars="-200" w:firstLine="560" w:firstLineChars="200"/>
        <w:rPr>
          <w:rFonts w:hAnsi="Arial"/>
          <w:color w:val="auto"/>
          <w:sz w:val="28"/>
        </w:rPr>
      </w:pPr>
      <w:bookmarkStart w:id="0" w:name="_Toc462908582"/>
      <w:r>
        <w:rPr>
          <w:rFonts w:hint="eastAsia" w:hAnsi="Arial"/>
          <w:color w:val="auto"/>
          <w:sz w:val="28"/>
          <w:lang w:val="en-US" w:eastAsia="zh-CN"/>
        </w:rPr>
        <w:t>第一部分    邀请供应商</w:t>
      </w:r>
    </w:p>
    <w:p w14:paraId="7FB8CD0B">
      <w:pPr>
        <w:numPr>
          <w:ilvl w:val="0"/>
          <w:numId w:val="0"/>
        </w:numPr>
        <w:tabs>
          <w:tab w:val="left" w:pos="180"/>
        </w:tabs>
        <w:spacing w:line="480" w:lineRule="auto"/>
        <w:ind w:right="-420" w:rightChars="-200" w:firstLine="560" w:firstLineChars="200"/>
        <w:rPr>
          <w:rFonts w:hint="eastAsia" w:ascii="Times New Roman" w:hAnsi="Arial" w:eastAsia="宋体" w:cs="Times New Roman"/>
          <w:color w:val="auto"/>
          <w:sz w:val="28"/>
        </w:rPr>
      </w:pPr>
      <w:r>
        <w:rPr>
          <w:rFonts w:hAnsi="Arial"/>
          <w:color w:val="auto"/>
          <w:sz w:val="28"/>
        </w:rPr>
        <w:t>第</w:t>
      </w:r>
      <w:r>
        <w:rPr>
          <w:rFonts w:hint="eastAsia" w:hAnsi="Arial"/>
          <w:color w:val="auto"/>
          <w:sz w:val="28"/>
          <w:lang w:val="en-US" w:eastAsia="zh-CN"/>
        </w:rPr>
        <w:t>二</w:t>
      </w:r>
      <w:r>
        <w:rPr>
          <w:rFonts w:hAnsi="Arial"/>
          <w:color w:val="auto"/>
          <w:sz w:val="28"/>
        </w:rPr>
        <w:t>部分</w:t>
      </w:r>
      <w:r>
        <w:rPr>
          <w:color w:val="auto"/>
          <w:sz w:val="28"/>
        </w:rPr>
        <w:t xml:space="preserve"> </w:t>
      </w:r>
      <w:r>
        <w:rPr>
          <w:rFonts w:hint="eastAsia"/>
          <w:color w:val="auto"/>
          <w:sz w:val="28"/>
          <w:lang w:val="en-US" w:eastAsia="zh-CN"/>
        </w:rPr>
        <w:t xml:space="preserve">   </w:t>
      </w:r>
      <w:r>
        <w:rPr>
          <w:rFonts w:hint="eastAsia" w:ascii="Times New Roman" w:hAnsi="Arial" w:eastAsia="宋体" w:cs="Times New Roman"/>
          <w:color w:val="auto"/>
          <w:sz w:val="28"/>
        </w:rPr>
        <w:t>供应商须知</w:t>
      </w:r>
    </w:p>
    <w:p w14:paraId="6EC5220E">
      <w:pPr>
        <w:numPr>
          <w:ilvl w:val="0"/>
          <w:numId w:val="0"/>
        </w:numPr>
        <w:tabs>
          <w:tab w:val="left" w:pos="180"/>
        </w:tabs>
        <w:spacing w:line="480" w:lineRule="auto"/>
        <w:ind w:right="-420" w:rightChars="-200" w:firstLine="560" w:firstLineChars="200"/>
        <w:rPr>
          <w:rFonts w:hint="default" w:hAnsi="Arial" w:cs="Times New Roman"/>
          <w:color w:val="auto"/>
          <w:sz w:val="28"/>
          <w:lang w:val="en-US" w:eastAsia="zh-CN"/>
        </w:rPr>
      </w:pPr>
      <w:r>
        <w:rPr>
          <w:rFonts w:ascii="Times New Roman" w:hAnsi="Arial" w:eastAsia="宋体" w:cs="Times New Roman"/>
          <w:color w:val="auto"/>
          <w:sz w:val="28"/>
        </w:rPr>
        <w:t>第</w:t>
      </w:r>
      <w:r>
        <w:rPr>
          <w:rFonts w:hint="eastAsia" w:hAnsi="Arial" w:cs="Times New Roman"/>
          <w:color w:val="auto"/>
          <w:sz w:val="28"/>
          <w:lang w:val="en-US" w:eastAsia="zh-CN"/>
        </w:rPr>
        <w:t>三</w:t>
      </w:r>
      <w:r>
        <w:rPr>
          <w:rFonts w:ascii="Times New Roman" w:hAnsi="Arial" w:eastAsia="宋体" w:cs="Times New Roman"/>
          <w:color w:val="auto"/>
          <w:sz w:val="28"/>
        </w:rPr>
        <w:t xml:space="preserve">部分 </w:t>
      </w:r>
      <w:r>
        <w:rPr>
          <w:rFonts w:hint="eastAsia" w:hAnsi="Arial" w:cs="Times New Roman"/>
          <w:color w:val="auto"/>
          <w:sz w:val="28"/>
          <w:lang w:val="en-US" w:eastAsia="zh-CN"/>
        </w:rPr>
        <w:t xml:space="preserve">   采购需求</w:t>
      </w:r>
    </w:p>
    <w:p w14:paraId="7D4F6ECE">
      <w:pPr>
        <w:numPr>
          <w:ilvl w:val="0"/>
          <w:numId w:val="0"/>
        </w:numPr>
        <w:tabs>
          <w:tab w:val="left" w:pos="180"/>
        </w:tabs>
        <w:spacing w:line="480" w:lineRule="auto"/>
        <w:ind w:right="-420" w:rightChars="-200" w:firstLine="560" w:firstLineChars="200"/>
        <w:rPr>
          <w:rFonts w:ascii="Times New Roman" w:hAnsi="Arial" w:eastAsia="宋体" w:cs="Times New Roman"/>
          <w:color w:val="auto"/>
          <w:sz w:val="28"/>
        </w:rPr>
      </w:pPr>
      <w:r>
        <w:rPr>
          <w:rFonts w:hint="eastAsia" w:hAnsi="Arial" w:cs="Times New Roman"/>
          <w:color w:val="auto"/>
          <w:sz w:val="28"/>
          <w:lang w:val="en-US" w:eastAsia="zh-CN"/>
        </w:rPr>
        <w:t xml:space="preserve">第四部分    </w:t>
      </w:r>
      <w:r>
        <w:rPr>
          <w:rFonts w:ascii="Times New Roman" w:hAnsi="Arial" w:eastAsia="宋体" w:cs="Times New Roman"/>
          <w:color w:val="auto"/>
          <w:sz w:val="28"/>
        </w:rPr>
        <w:t>评定</w:t>
      </w:r>
      <w:r>
        <w:rPr>
          <w:rFonts w:hint="eastAsia" w:hAnsi="Arial" w:cs="Times New Roman"/>
          <w:color w:val="auto"/>
          <w:sz w:val="28"/>
          <w:lang w:val="en-US" w:eastAsia="zh-CN"/>
        </w:rPr>
        <w:t>方法及评审</w:t>
      </w:r>
      <w:r>
        <w:rPr>
          <w:rFonts w:ascii="Times New Roman" w:hAnsi="Arial" w:eastAsia="宋体" w:cs="Times New Roman"/>
          <w:color w:val="auto"/>
          <w:sz w:val="28"/>
        </w:rPr>
        <w:t>标准</w:t>
      </w:r>
    </w:p>
    <w:p w14:paraId="4A790422">
      <w:pPr>
        <w:tabs>
          <w:tab w:val="left" w:pos="180"/>
        </w:tabs>
        <w:spacing w:line="480" w:lineRule="auto"/>
        <w:ind w:right="-420" w:rightChars="-200" w:firstLine="560" w:firstLineChars="200"/>
        <w:rPr>
          <w:rFonts w:hint="default" w:hAnsi="Arial" w:eastAsia="宋体"/>
          <w:color w:val="auto"/>
          <w:sz w:val="28"/>
          <w:lang w:val="en-US" w:eastAsia="zh-CN"/>
        </w:rPr>
      </w:pPr>
      <w:r>
        <w:rPr>
          <w:rFonts w:hAnsi="Arial"/>
          <w:color w:val="auto"/>
          <w:sz w:val="28"/>
        </w:rPr>
        <w:t>第</w:t>
      </w:r>
      <w:r>
        <w:rPr>
          <w:rFonts w:hint="eastAsia" w:hAnsi="Arial"/>
          <w:color w:val="auto"/>
          <w:sz w:val="28"/>
          <w:lang w:val="en-US" w:eastAsia="zh-CN"/>
        </w:rPr>
        <w:t>五</w:t>
      </w:r>
      <w:r>
        <w:rPr>
          <w:rFonts w:hAnsi="Arial"/>
          <w:color w:val="auto"/>
          <w:sz w:val="28"/>
        </w:rPr>
        <w:t>部分</w:t>
      </w:r>
      <w:r>
        <w:rPr>
          <w:color w:val="auto"/>
          <w:sz w:val="28"/>
        </w:rPr>
        <w:t xml:space="preserve"> </w:t>
      </w:r>
      <w:r>
        <w:rPr>
          <w:rFonts w:hint="eastAsia"/>
          <w:color w:val="auto"/>
          <w:sz w:val="28"/>
          <w:lang w:val="en-US" w:eastAsia="zh-CN"/>
        </w:rPr>
        <w:t xml:space="preserve">   </w:t>
      </w:r>
      <w:r>
        <w:rPr>
          <w:rFonts w:hint="eastAsia" w:hAnsi="Arial"/>
          <w:color w:val="auto"/>
          <w:sz w:val="28"/>
          <w:lang w:val="en-US" w:eastAsia="zh-CN"/>
        </w:rPr>
        <w:t>拟签订的合同文本</w:t>
      </w:r>
    </w:p>
    <w:p w14:paraId="5712E831">
      <w:pPr>
        <w:tabs>
          <w:tab w:val="left" w:pos="180"/>
        </w:tabs>
        <w:spacing w:line="480" w:lineRule="auto"/>
        <w:ind w:right="-420" w:rightChars="-200" w:firstLine="560" w:firstLineChars="200"/>
        <w:rPr>
          <w:rFonts w:hint="eastAsia" w:hAnsi="Arial"/>
          <w:color w:val="auto"/>
          <w:sz w:val="28"/>
          <w:lang w:val="en-US" w:eastAsia="zh-CN"/>
        </w:rPr>
      </w:pPr>
      <w:r>
        <w:rPr>
          <w:rFonts w:hAnsi="Arial"/>
          <w:color w:val="auto"/>
          <w:sz w:val="28"/>
        </w:rPr>
        <w:t>第</w:t>
      </w:r>
      <w:r>
        <w:rPr>
          <w:rFonts w:hint="eastAsia" w:hAnsi="Arial"/>
          <w:color w:val="auto"/>
          <w:sz w:val="28"/>
          <w:lang w:val="en-US" w:eastAsia="zh-CN"/>
        </w:rPr>
        <w:t>六</w:t>
      </w:r>
      <w:r>
        <w:rPr>
          <w:rFonts w:hAnsi="Arial"/>
          <w:color w:val="auto"/>
          <w:sz w:val="28"/>
        </w:rPr>
        <w:t>部分</w:t>
      </w:r>
      <w:r>
        <w:rPr>
          <w:color w:val="auto"/>
          <w:sz w:val="28"/>
        </w:rPr>
        <w:t xml:space="preserve"> </w:t>
      </w:r>
      <w:r>
        <w:rPr>
          <w:rFonts w:hint="eastAsia"/>
          <w:color w:val="auto"/>
          <w:sz w:val="28"/>
          <w:lang w:val="en-US" w:eastAsia="zh-CN"/>
        </w:rPr>
        <w:t xml:space="preserve">   </w:t>
      </w:r>
      <w:r>
        <w:rPr>
          <w:rFonts w:hint="eastAsia" w:hAnsi="Arial"/>
          <w:color w:val="auto"/>
          <w:sz w:val="28"/>
          <w:lang w:val="en-US" w:eastAsia="zh-CN"/>
        </w:rPr>
        <w:t>应提交的有关格式范例</w:t>
      </w:r>
    </w:p>
    <w:p w14:paraId="66DBE1B7">
      <w:pPr>
        <w:pStyle w:val="3"/>
        <w:rPr>
          <w:rFonts w:hint="default"/>
          <w:lang w:val="en-US" w:eastAsia="zh-CN"/>
        </w:rPr>
      </w:pPr>
    </w:p>
    <w:p w14:paraId="799F4F79">
      <w:pPr>
        <w:pStyle w:val="28"/>
        <w:ind w:right="-420" w:rightChars="-200" w:firstLine="560"/>
        <w:rPr>
          <w:rFonts w:hint="eastAsia"/>
          <w:color w:val="auto"/>
          <w:sz w:val="28"/>
        </w:rPr>
      </w:pPr>
    </w:p>
    <w:p w14:paraId="259E34F6">
      <w:pPr>
        <w:pStyle w:val="28"/>
        <w:ind w:right="-420" w:rightChars="-200" w:firstLine="560"/>
        <w:rPr>
          <w:rFonts w:hint="eastAsia"/>
          <w:color w:val="auto"/>
          <w:sz w:val="28"/>
        </w:rPr>
      </w:pPr>
    </w:p>
    <w:p w14:paraId="31EB7414">
      <w:pPr>
        <w:pStyle w:val="28"/>
        <w:ind w:right="-420" w:rightChars="-200" w:firstLine="560"/>
        <w:rPr>
          <w:rFonts w:hint="eastAsia"/>
          <w:color w:val="auto"/>
          <w:sz w:val="28"/>
        </w:rPr>
      </w:pPr>
    </w:p>
    <w:p w14:paraId="46CB41DB">
      <w:pPr>
        <w:pStyle w:val="28"/>
        <w:ind w:right="-420" w:rightChars="-200" w:firstLine="560"/>
        <w:rPr>
          <w:rFonts w:hint="eastAsia"/>
          <w:color w:val="auto"/>
          <w:sz w:val="28"/>
        </w:rPr>
      </w:pPr>
    </w:p>
    <w:p w14:paraId="42C517F6">
      <w:pPr>
        <w:pStyle w:val="28"/>
        <w:ind w:right="-420" w:rightChars="-200" w:firstLine="560"/>
        <w:rPr>
          <w:rFonts w:hint="eastAsia"/>
          <w:color w:val="auto"/>
          <w:sz w:val="28"/>
        </w:rPr>
      </w:pPr>
    </w:p>
    <w:p w14:paraId="557B7D7E">
      <w:pPr>
        <w:pStyle w:val="28"/>
        <w:ind w:right="-420" w:rightChars="-200" w:firstLine="560"/>
        <w:rPr>
          <w:rFonts w:hint="eastAsia"/>
          <w:color w:val="auto"/>
          <w:sz w:val="28"/>
        </w:rPr>
      </w:pPr>
    </w:p>
    <w:p w14:paraId="2B8358AC">
      <w:pPr>
        <w:pStyle w:val="28"/>
        <w:ind w:right="-420" w:rightChars="-200" w:firstLine="560"/>
        <w:rPr>
          <w:rFonts w:hint="eastAsia"/>
          <w:color w:val="auto"/>
          <w:sz w:val="28"/>
        </w:rPr>
      </w:pPr>
    </w:p>
    <w:p w14:paraId="7416B118">
      <w:pPr>
        <w:pStyle w:val="28"/>
        <w:ind w:right="-420" w:rightChars="-200" w:firstLine="560"/>
        <w:rPr>
          <w:rFonts w:hint="eastAsia"/>
          <w:color w:val="auto"/>
          <w:sz w:val="28"/>
        </w:rPr>
      </w:pPr>
    </w:p>
    <w:p w14:paraId="49DF0188">
      <w:pPr>
        <w:pStyle w:val="28"/>
        <w:ind w:right="-420" w:rightChars="-200" w:firstLine="560"/>
        <w:rPr>
          <w:rFonts w:hint="eastAsia"/>
          <w:color w:val="auto"/>
          <w:sz w:val="28"/>
        </w:rPr>
      </w:pPr>
    </w:p>
    <w:p w14:paraId="54A238AC">
      <w:pPr>
        <w:pStyle w:val="28"/>
        <w:ind w:right="-420" w:rightChars="-200" w:firstLine="560"/>
        <w:rPr>
          <w:rFonts w:hint="eastAsia"/>
          <w:color w:val="auto"/>
          <w:sz w:val="28"/>
        </w:rPr>
      </w:pPr>
    </w:p>
    <w:p w14:paraId="2709C827">
      <w:pPr>
        <w:pStyle w:val="28"/>
        <w:ind w:right="-420" w:rightChars="-200" w:firstLine="560"/>
        <w:rPr>
          <w:rFonts w:hint="eastAsia"/>
          <w:color w:val="auto"/>
          <w:sz w:val="28"/>
        </w:rPr>
      </w:pPr>
    </w:p>
    <w:p w14:paraId="6559D11D">
      <w:pPr>
        <w:pStyle w:val="28"/>
        <w:ind w:right="-420" w:rightChars="-200" w:firstLine="560"/>
        <w:rPr>
          <w:rFonts w:hint="eastAsia"/>
          <w:color w:val="auto"/>
          <w:sz w:val="28"/>
        </w:rPr>
      </w:pPr>
    </w:p>
    <w:p w14:paraId="788C6D67">
      <w:pPr>
        <w:pStyle w:val="28"/>
        <w:ind w:right="-420" w:rightChars="-200" w:firstLine="560"/>
        <w:rPr>
          <w:rFonts w:hint="eastAsia"/>
          <w:color w:val="auto"/>
          <w:sz w:val="28"/>
        </w:rPr>
      </w:pPr>
    </w:p>
    <w:p w14:paraId="7030762E">
      <w:pPr>
        <w:pStyle w:val="28"/>
        <w:ind w:right="-420" w:rightChars="-200" w:firstLine="560"/>
        <w:rPr>
          <w:rFonts w:hint="eastAsia"/>
          <w:color w:val="auto"/>
          <w:sz w:val="28"/>
        </w:rPr>
      </w:pPr>
    </w:p>
    <w:p w14:paraId="002510FE">
      <w:pPr>
        <w:pStyle w:val="28"/>
        <w:ind w:right="-420" w:rightChars="-200" w:firstLine="560"/>
        <w:rPr>
          <w:rFonts w:hint="eastAsia"/>
          <w:color w:val="auto"/>
          <w:sz w:val="28"/>
        </w:rPr>
      </w:pPr>
    </w:p>
    <w:p w14:paraId="793527D6">
      <w:pPr>
        <w:pStyle w:val="28"/>
        <w:ind w:left="0" w:leftChars="0" w:right="-420" w:rightChars="-200" w:firstLine="0" w:firstLineChars="0"/>
        <w:rPr>
          <w:rFonts w:hint="eastAsia"/>
          <w:color w:val="auto"/>
          <w:sz w:val="28"/>
        </w:rPr>
        <w:sectPr>
          <w:footerReference r:id="rId5" w:type="default"/>
          <w:pgSz w:w="11907" w:h="16840"/>
          <w:pgMar w:top="1702" w:right="1275" w:bottom="851" w:left="1418" w:header="1134" w:footer="1134" w:gutter="0"/>
          <w:pgNumType w:start="1"/>
          <w:cols w:space="720" w:num="1"/>
          <w:docGrid w:linePitch="285" w:charSpace="0"/>
        </w:sectPr>
      </w:pPr>
    </w:p>
    <w:p w14:paraId="0CC69848">
      <w:pPr>
        <w:spacing w:before="120" w:beforeLines="50" w:line="440" w:lineRule="exact"/>
        <w:ind w:right="-420" w:rightChars="-200"/>
        <w:jc w:val="both"/>
        <w:rPr>
          <w:rFonts w:hint="eastAsia"/>
          <w:b/>
          <w:color w:val="auto"/>
          <w:sz w:val="36"/>
          <w:szCs w:val="36"/>
        </w:rPr>
      </w:pPr>
    </w:p>
    <w:p w14:paraId="79D30C92">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第一部分  邀请供应商</w:t>
      </w:r>
    </w:p>
    <w:p w14:paraId="3BCAC6A2">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竞争性磋商邀请公告</w:t>
      </w:r>
    </w:p>
    <w:p w14:paraId="0E3C5C50">
      <w:pPr>
        <w:pStyle w:val="24"/>
        <w:widowControl/>
        <w:pBdr>
          <w:top w:val="single" w:color="auto" w:sz="4" w:space="1"/>
          <w:left w:val="single" w:color="auto" w:sz="4" w:space="4"/>
          <w:bottom w:val="single" w:color="auto" w:sz="4" w:space="1"/>
          <w:right w:val="single" w:color="auto" w:sz="4" w:space="4"/>
        </w:pBdr>
        <w:spacing w:before="75" w:beforeAutospacing="0" w:after="150" w:afterAutospacing="0" w:line="240" w:lineRule="auto"/>
        <w:rPr>
          <w:rFonts w:hint="eastAsia" w:ascii="宋体" w:hAnsi="宋体" w:cs="宋体"/>
          <w:b/>
          <w:bCs/>
          <w:color w:val="auto"/>
          <w:sz w:val="24"/>
          <w:szCs w:val="24"/>
        </w:rPr>
      </w:pPr>
      <w:r>
        <w:rPr>
          <w:rFonts w:hint="eastAsia" w:ascii="宋体" w:hAnsi="宋体" w:cs="宋体"/>
          <w:b/>
          <w:bCs/>
          <w:color w:val="auto"/>
          <w:sz w:val="24"/>
          <w:szCs w:val="24"/>
        </w:rPr>
        <w:t>项目概况 </w:t>
      </w:r>
    </w:p>
    <w:p w14:paraId="56819440">
      <w:pPr>
        <w:pStyle w:val="24"/>
        <w:widowControl/>
        <w:pBdr>
          <w:top w:val="single" w:color="auto" w:sz="4" w:space="1"/>
          <w:left w:val="single" w:color="auto" w:sz="4" w:space="4"/>
          <w:bottom w:val="single" w:color="auto" w:sz="4" w:space="1"/>
          <w:right w:val="single" w:color="auto" w:sz="4" w:space="4"/>
        </w:pBdr>
        <w:spacing w:before="75" w:beforeAutospacing="0" w:after="75" w:afterAutospacing="0" w:line="240" w:lineRule="auto"/>
        <w:rPr>
          <w:rFonts w:hint="eastAsia" w:ascii="宋体" w:hAnsi="宋体" w:cs="宋体"/>
          <w:color w:val="auto"/>
          <w:sz w:val="21"/>
          <w:szCs w:val="21"/>
        </w:rPr>
      </w:pPr>
      <w:r>
        <w:rPr>
          <w:rFonts w:hint="eastAsia" w:ascii="宋体" w:hAnsi="宋体" w:cs="宋体"/>
          <w:color w:val="auto"/>
          <w:sz w:val="24"/>
          <w:szCs w:val="24"/>
        </w:rPr>
        <w:t>   </w:t>
      </w:r>
      <w:r>
        <w:rPr>
          <w:rFonts w:hint="eastAsia" w:ascii="宋体" w:hAnsi="宋体" w:cs="宋体"/>
          <w:color w:val="auto"/>
          <w:sz w:val="24"/>
          <w:szCs w:val="24"/>
          <w:u w:val="single"/>
          <w:lang w:eastAsia="zh-CN"/>
        </w:rPr>
        <w:t>宁海县高级职业技术中心学校实训大楼数控设备通电、通气及烹饪实习工场通电等项目工程</w:t>
      </w:r>
      <w:r>
        <w:rPr>
          <w:rFonts w:hint="eastAsia" w:ascii="宋体" w:hAnsi="宋体" w:cs="宋体"/>
          <w:color w:val="auto"/>
          <w:sz w:val="24"/>
          <w:szCs w:val="24"/>
        </w:rPr>
        <w:t>的潜在供应商应在</w:t>
      </w:r>
      <w:r>
        <w:rPr>
          <w:rFonts w:hint="eastAsia" w:ascii="宋体" w:hAnsi="宋体" w:cs="宋体"/>
          <w:color w:val="auto"/>
          <w:sz w:val="24"/>
          <w:szCs w:val="24"/>
          <w:u w:val="single"/>
        </w:rPr>
        <w:t>政采云平台（www.zcygov.cn）</w:t>
      </w:r>
      <w:r>
        <w:rPr>
          <w:rFonts w:hint="eastAsia" w:ascii="宋体" w:hAnsi="宋体" w:cs="宋体"/>
          <w:color w:val="auto"/>
          <w:sz w:val="24"/>
          <w:szCs w:val="24"/>
        </w:rPr>
        <w:t>获取（下载）采购文件，并于</w:t>
      </w:r>
      <w:r>
        <w:rPr>
          <w:rFonts w:hint="eastAsia" w:ascii="宋体" w:hAnsi="宋体" w:cs="宋体"/>
          <w:color w:val="auto"/>
          <w:sz w:val="24"/>
          <w:szCs w:val="24"/>
          <w:u w:val="single"/>
          <w:lang w:val="en-US" w:eastAsia="zh-CN"/>
        </w:rPr>
        <w:t xml:space="preserve"> 2025</w:t>
      </w:r>
      <w:r>
        <w:rPr>
          <w:rFonts w:hint="eastAsia" w:ascii="宋体" w:hAnsi="宋体" w:cs="宋体"/>
          <w:color w:val="auto"/>
          <w:sz w:val="24"/>
          <w:szCs w:val="24"/>
          <w:u w:val="single"/>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日</w:t>
      </w:r>
      <w:r>
        <w:rPr>
          <w:rFonts w:hint="eastAsia" w:ascii="宋体" w:hAnsi="宋体" w:cs="宋体"/>
          <w:color w:val="auto"/>
          <w:sz w:val="24"/>
          <w:szCs w:val="24"/>
          <w:u w:val="single"/>
          <w:lang w:val="en-US" w:eastAsia="zh-CN"/>
        </w:rPr>
        <w:t xml:space="preserve">  点  分</w:t>
      </w:r>
      <w:r>
        <w:rPr>
          <w:rFonts w:hint="eastAsia" w:ascii="宋体" w:hAnsi="宋体" w:cs="宋体"/>
          <w:color w:val="auto"/>
          <w:sz w:val="24"/>
          <w:szCs w:val="24"/>
        </w:rPr>
        <w:t xml:space="preserve">（北京时间）前提交（上传）响应文件。    </w:t>
      </w:r>
      <w:r>
        <w:rPr>
          <w:rFonts w:hint="eastAsia" w:ascii="宋体" w:hAnsi="宋体" w:cs="宋体"/>
          <w:color w:val="auto"/>
          <w:sz w:val="21"/>
          <w:szCs w:val="21"/>
        </w:rPr>
        <w:t>  </w:t>
      </w:r>
    </w:p>
    <w:p w14:paraId="6AA3844E">
      <w:pPr>
        <w:pStyle w:val="24"/>
        <w:widowControl/>
        <w:spacing w:before="255" w:beforeAutospacing="0" w:after="255" w:afterAutospacing="0" w:line="280" w:lineRule="exact"/>
        <w:jc w:val="both"/>
        <w:rPr>
          <w:rFonts w:hint="eastAsia" w:ascii="宋体" w:hAnsi="宋体" w:cs="宋体"/>
          <w:color w:val="auto"/>
          <w:sz w:val="24"/>
          <w:szCs w:val="24"/>
        </w:rPr>
      </w:pPr>
      <w:r>
        <w:rPr>
          <w:rStyle w:val="32"/>
          <w:rFonts w:hint="eastAsia" w:ascii="宋体" w:hAnsi="宋体" w:cs="宋体"/>
          <w:color w:val="auto"/>
          <w:sz w:val="24"/>
          <w:szCs w:val="24"/>
        </w:rPr>
        <w:t>一、项目基本情况</w:t>
      </w:r>
    </w:p>
    <w:p w14:paraId="5F1EC2DC">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项目编号</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浙信基招【2025】第NH006号</w:t>
      </w:r>
      <w:r>
        <w:rPr>
          <w:rFonts w:hint="eastAsia" w:ascii="宋体" w:hAnsi="宋体" w:eastAsia="宋体" w:cs="宋体"/>
          <w:i w:val="0"/>
          <w:iCs w:val="0"/>
          <w:caps w:val="0"/>
          <w:color w:val="000000"/>
          <w:spacing w:val="0"/>
          <w:kern w:val="0"/>
          <w:sz w:val="24"/>
          <w:szCs w:val="24"/>
          <w:lang w:val="en-US" w:eastAsia="zh-CN" w:bidi="ar"/>
        </w:rPr>
        <w:t> </w:t>
      </w:r>
    </w:p>
    <w:p w14:paraId="6307B6A2">
      <w:pPr>
        <w:spacing w:line="360" w:lineRule="auto"/>
        <w:ind w:firstLine="723"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项目名称</w:t>
      </w:r>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i w:val="0"/>
          <w:iCs w:val="0"/>
          <w:caps w:val="0"/>
          <w:color w:val="000000"/>
          <w:spacing w:val="0"/>
          <w:kern w:val="0"/>
          <w:sz w:val="24"/>
          <w:szCs w:val="24"/>
          <w:lang w:val="en-US" w:eastAsia="zh-CN" w:bidi="ar"/>
        </w:rPr>
        <w:t>宁海县高级职业技术中心学校实训大楼数控设备通电、通气及烹饪实习工场通电等项目工程</w:t>
      </w:r>
      <w:r>
        <w:rPr>
          <w:rFonts w:hint="eastAsia" w:ascii="宋体" w:hAnsi="宋体" w:eastAsia="宋体" w:cs="宋体"/>
          <w:i w:val="0"/>
          <w:iCs w:val="0"/>
          <w:caps w:val="0"/>
          <w:color w:val="000000"/>
          <w:spacing w:val="0"/>
          <w:kern w:val="0"/>
          <w:sz w:val="24"/>
          <w:szCs w:val="24"/>
          <w:lang w:val="en-US" w:eastAsia="zh-CN" w:bidi="ar"/>
        </w:rPr>
        <w:t> </w:t>
      </w:r>
    </w:p>
    <w:p w14:paraId="13A3E9B3">
      <w:pPr>
        <w:spacing w:line="360" w:lineRule="auto"/>
        <w:ind w:firstLine="723" w:firstLineChars="300"/>
        <w:rPr>
          <w:rFonts w:hint="default"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预算金额（元）</w:t>
      </w:r>
      <w:r>
        <w:rPr>
          <w:rFonts w:hint="eastAsia" w:ascii="宋体" w:hAnsi="宋体" w:eastAsia="宋体" w:cs="宋体"/>
          <w:i w:val="0"/>
          <w:iCs w:val="0"/>
          <w:caps w:val="0"/>
          <w:color w:val="auto"/>
          <w:spacing w:val="0"/>
          <w:kern w:val="0"/>
          <w:sz w:val="24"/>
          <w:szCs w:val="24"/>
          <w:lang w:val="en-US" w:eastAsia="zh-CN" w:bidi="ar"/>
        </w:rPr>
        <w:t>：</w:t>
      </w:r>
      <w:r>
        <w:rPr>
          <w:rFonts w:hint="eastAsia" w:ascii="宋体" w:hAnsi="宋体" w:cs="宋体"/>
          <w:i w:val="0"/>
          <w:iCs w:val="0"/>
          <w:caps w:val="0"/>
          <w:color w:val="auto"/>
          <w:spacing w:val="0"/>
          <w:kern w:val="0"/>
          <w:sz w:val="24"/>
          <w:szCs w:val="24"/>
          <w:lang w:val="en-US" w:eastAsia="zh-CN" w:bidi="ar"/>
        </w:rPr>
        <w:t xml:space="preserve">863479.00 </w:t>
      </w:r>
    </w:p>
    <w:p w14:paraId="30780103">
      <w:pPr>
        <w:spacing w:line="360" w:lineRule="auto"/>
        <w:ind w:firstLine="723" w:firstLineChars="3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最高限价（元）</w:t>
      </w:r>
      <w:r>
        <w:rPr>
          <w:rFonts w:hint="eastAsia" w:ascii="宋体" w:hAnsi="宋体" w:eastAsia="宋体" w:cs="宋体"/>
          <w:i w:val="0"/>
          <w:iCs w:val="0"/>
          <w:caps w:val="0"/>
          <w:color w:val="auto"/>
          <w:spacing w:val="0"/>
          <w:kern w:val="0"/>
          <w:sz w:val="24"/>
          <w:szCs w:val="24"/>
          <w:lang w:val="en-US" w:eastAsia="zh-CN" w:bidi="ar"/>
        </w:rPr>
        <w:t>：</w:t>
      </w:r>
      <w:r>
        <w:rPr>
          <w:rFonts w:hint="eastAsia" w:ascii="宋体" w:hAnsi="宋体" w:cs="宋体"/>
          <w:i w:val="0"/>
          <w:iCs w:val="0"/>
          <w:caps w:val="0"/>
          <w:color w:val="auto"/>
          <w:spacing w:val="0"/>
          <w:kern w:val="0"/>
          <w:sz w:val="24"/>
          <w:szCs w:val="24"/>
          <w:lang w:val="en-US" w:eastAsia="zh-CN" w:bidi="ar"/>
        </w:rPr>
        <w:t xml:space="preserve">805258.00 </w:t>
      </w:r>
      <w:r>
        <w:rPr>
          <w:rFonts w:hint="eastAsia" w:ascii="宋体" w:hAnsi="宋体" w:eastAsia="宋体" w:cs="宋体"/>
          <w:i w:val="0"/>
          <w:iCs w:val="0"/>
          <w:caps w:val="0"/>
          <w:color w:val="FF0000"/>
          <w:spacing w:val="0"/>
          <w:kern w:val="0"/>
          <w:sz w:val="24"/>
          <w:szCs w:val="24"/>
          <w:lang w:val="en-US" w:eastAsia="zh-CN" w:bidi="ar"/>
        </w:rPr>
        <w:t> </w:t>
      </w:r>
    </w:p>
    <w:p w14:paraId="14B5FFEB">
      <w:pPr>
        <w:spacing w:line="360" w:lineRule="auto"/>
        <w:ind w:firstLine="723" w:firstLineChars="300"/>
        <w:rPr>
          <w:rFonts w:hint="eastAsia" w:ascii="宋体" w:hAnsi="宋体" w:eastAsia="宋体" w:cs="宋体"/>
          <w:color w:val="auto"/>
          <w:kern w:val="0"/>
          <w:sz w:val="24"/>
          <w:szCs w:val="24"/>
          <w:highlight w:val="none"/>
        </w:rPr>
      </w:pPr>
      <w:r>
        <w:rPr>
          <w:rFonts w:hint="eastAsia" w:ascii="宋体" w:hAnsi="宋体" w:eastAsia="宋体" w:cs="宋体"/>
          <w:b/>
          <w:bCs/>
          <w:i w:val="0"/>
          <w:iCs w:val="0"/>
          <w:caps w:val="0"/>
          <w:color w:val="auto"/>
          <w:spacing w:val="0"/>
          <w:kern w:val="0"/>
          <w:sz w:val="24"/>
          <w:szCs w:val="24"/>
          <w:lang w:val="en-US" w:eastAsia="zh-CN" w:bidi="ar"/>
        </w:rPr>
        <w:t>采购需求</w:t>
      </w:r>
      <w:r>
        <w:rPr>
          <w:rFonts w:hint="eastAsia" w:ascii="宋体" w:hAnsi="宋体" w:eastAsia="宋体" w:cs="宋体"/>
          <w:i w:val="0"/>
          <w:iCs w:val="0"/>
          <w:caps w:val="0"/>
          <w:color w:val="auto"/>
          <w:spacing w:val="0"/>
          <w:kern w:val="0"/>
          <w:sz w:val="24"/>
          <w:szCs w:val="24"/>
          <w:lang w:val="en-US" w:eastAsia="zh-CN" w:bidi="ar"/>
        </w:rPr>
        <w:t>：本工程主要建设内容为配电箱电缆敷设、空气管道及气泵房设备安装、室外电缆敷设等</w:t>
      </w:r>
      <w:r>
        <w:rPr>
          <w:rFonts w:hint="eastAsia" w:ascii="宋体" w:hAnsi="宋体" w:cs="宋体"/>
          <w:i w:val="0"/>
          <w:iCs w:val="0"/>
          <w:caps w:val="0"/>
          <w:color w:val="auto"/>
          <w:spacing w:val="0"/>
          <w:kern w:val="0"/>
          <w:sz w:val="24"/>
          <w:szCs w:val="24"/>
          <w:lang w:val="en-US" w:eastAsia="zh-CN" w:bidi="ar"/>
        </w:rPr>
        <w:t>。</w:t>
      </w:r>
    </w:p>
    <w:p w14:paraId="2497A618">
      <w:pPr>
        <w:spacing w:line="360" w:lineRule="auto"/>
        <w:ind w:firstLine="723" w:firstLineChars="300"/>
        <w:rPr>
          <w:rFonts w:hint="eastAsia" w:ascii="宋体" w:hAnsi="宋体" w:cs="宋体"/>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合同履约期限</w:t>
      </w:r>
      <w:r>
        <w:rPr>
          <w:rFonts w:hint="eastAsia" w:ascii="宋体" w:hAnsi="宋体" w:eastAsia="宋体" w:cs="宋体"/>
          <w:i w:val="0"/>
          <w:iCs w:val="0"/>
          <w:caps w:val="0"/>
          <w:color w:val="000000"/>
          <w:spacing w:val="0"/>
          <w:kern w:val="0"/>
          <w:sz w:val="24"/>
          <w:szCs w:val="24"/>
          <w:lang w:val="en-US" w:eastAsia="zh-CN" w:bidi="ar"/>
        </w:rPr>
        <w:t>：合同签订并生效之日起</w:t>
      </w:r>
      <w:r>
        <w:rPr>
          <w:rFonts w:hint="eastAsia" w:ascii="宋体" w:hAnsi="宋体" w:cs="宋体"/>
          <w:i w:val="0"/>
          <w:iCs w:val="0"/>
          <w:caps w:val="0"/>
          <w:color w:val="000000"/>
          <w:spacing w:val="0"/>
          <w:kern w:val="0"/>
          <w:sz w:val="24"/>
          <w:szCs w:val="24"/>
          <w:lang w:val="en-US" w:eastAsia="zh-CN" w:bidi="ar"/>
        </w:rPr>
        <w:t>2</w:t>
      </w:r>
      <w:r>
        <w:rPr>
          <w:rFonts w:hint="eastAsia" w:ascii="宋体" w:hAnsi="宋体" w:eastAsia="宋体" w:cs="宋体"/>
          <w:i w:val="0"/>
          <w:iCs w:val="0"/>
          <w:caps w:val="0"/>
          <w:color w:val="000000"/>
          <w:spacing w:val="0"/>
          <w:kern w:val="0"/>
          <w:sz w:val="24"/>
          <w:szCs w:val="24"/>
          <w:lang w:val="en-US" w:eastAsia="zh-CN" w:bidi="ar"/>
        </w:rPr>
        <w:t>个月内完成项目</w:t>
      </w:r>
      <w:r>
        <w:rPr>
          <w:rFonts w:hint="eastAsia" w:ascii="宋体" w:hAnsi="宋体" w:cs="宋体"/>
          <w:i w:val="0"/>
          <w:iCs w:val="0"/>
          <w:caps w:val="0"/>
          <w:color w:val="000000"/>
          <w:spacing w:val="0"/>
          <w:kern w:val="0"/>
          <w:sz w:val="24"/>
          <w:szCs w:val="24"/>
          <w:lang w:val="en-US" w:eastAsia="zh-CN" w:bidi="ar"/>
        </w:rPr>
        <w:t>施工</w:t>
      </w:r>
      <w:r>
        <w:rPr>
          <w:rFonts w:hint="eastAsia" w:ascii="宋体" w:hAnsi="宋体" w:eastAsia="宋体" w:cs="宋体"/>
          <w:i w:val="0"/>
          <w:iCs w:val="0"/>
          <w:caps w:val="0"/>
          <w:color w:val="000000"/>
          <w:spacing w:val="0"/>
          <w:kern w:val="0"/>
          <w:sz w:val="24"/>
          <w:szCs w:val="24"/>
          <w:lang w:val="en-US" w:eastAsia="zh-CN" w:bidi="ar"/>
        </w:rPr>
        <w:t>并通过验收</w:t>
      </w:r>
      <w:r>
        <w:rPr>
          <w:rFonts w:hint="eastAsia" w:ascii="宋体" w:hAnsi="宋体" w:cs="宋体"/>
          <w:i w:val="0"/>
          <w:iCs w:val="0"/>
          <w:caps w:val="0"/>
          <w:color w:val="auto"/>
          <w:spacing w:val="0"/>
          <w:kern w:val="0"/>
          <w:sz w:val="24"/>
          <w:szCs w:val="24"/>
          <w:lang w:val="en-US" w:eastAsia="zh-CN" w:bidi="ar"/>
        </w:rPr>
        <w:t>。</w:t>
      </w:r>
    </w:p>
    <w:p w14:paraId="7C2EC345">
      <w:pPr>
        <w:spacing w:line="360" w:lineRule="auto"/>
        <w:ind w:firstLine="723" w:firstLineChars="300"/>
        <w:rPr>
          <w:rFonts w:hint="eastAsia" w:ascii="宋体" w:hAnsi="宋体" w:cs="宋体"/>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本项目接受联合体投标</w:t>
      </w:r>
      <w:r>
        <w:rPr>
          <w:rFonts w:hint="eastAsia" w:ascii="宋体" w:hAnsi="宋体" w:eastAsia="宋体" w:cs="宋体"/>
          <w:i w:val="0"/>
          <w:iCs w:val="0"/>
          <w:caps w:val="0"/>
          <w:color w:val="000000"/>
          <w:spacing w:val="0"/>
          <w:kern w:val="0"/>
          <w:sz w:val="24"/>
          <w:szCs w:val="24"/>
          <w:lang w:val="en-US" w:eastAsia="zh-CN" w:bidi="ar"/>
        </w:rPr>
        <w:t>：</w:t>
      </w:r>
      <w:sdt>
        <w:sdtPr>
          <w:rPr>
            <w:rFonts w:hint="eastAsia" w:ascii="宋体" w:hAnsi="宋体" w:eastAsia="宋体" w:cs="宋体"/>
            <w:i w:val="0"/>
            <w:iCs w:val="0"/>
            <w:caps w:val="0"/>
            <w:color w:val="000000"/>
            <w:spacing w:val="0"/>
            <w:kern w:val="0"/>
            <w:sz w:val="24"/>
            <w:szCs w:val="24"/>
            <w:lang w:val="en-US" w:eastAsia="zh-CN" w:bidi="ar"/>
          </w:rPr>
          <w:id w:val="147480541"/>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sym w:font="Wingdings" w:char="00A8"/>
          </w:r>
        </w:sdtContent>
      </w:sdt>
      <w:r>
        <w:rPr>
          <w:rFonts w:hint="eastAsia" w:ascii="宋体" w:hAnsi="宋体" w:eastAsia="宋体" w:cs="宋体"/>
          <w:i w:val="0"/>
          <w:iCs w:val="0"/>
          <w:caps w:val="0"/>
          <w:color w:val="000000"/>
          <w:spacing w:val="0"/>
          <w:kern w:val="0"/>
          <w:sz w:val="24"/>
          <w:szCs w:val="24"/>
          <w:lang w:val="en-US" w:eastAsia="zh-CN" w:bidi="ar"/>
        </w:rPr>
        <w:t>是，</w:t>
      </w:r>
      <w:sdt>
        <w:sdtPr>
          <w:rPr>
            <w:rFonts w:hint="eastAsia" w:ascii="宋体" w:hAnsi="宋体" w:eastAsia="宋体" w:cs="宋体"/>
            <w:i w:val="0"/>
            <w:iCs w:val="0"/>
            <w:caps w:val="0"/>
            <w:color w:val="000000"/>
            <w:spacing w:val="0"/>
            <w:kern w:val="0"/>
            <w:sz w:val="24"/>
            <w:szCs w:val="24"/>
            <w:lang w:val="en-US" w:eastAsia="zh-CN" w:bidi="ar"/>
          </w:rPr>
          <w:id w:val="147465113"/>
        </w:sdtPr>
        <w:sdtEndPr>
          <w:rPr>
            <w:rFonts w:hint="eastAsia" w:ascii="宋体" w:hAnsi="宋体" w:eastAsia="宋体" w:cs="宋体"/>
            <w:i w:val="0"/>
            <w:iCs w:val="0"/>
            <w:caps w:val="0"/>
            <w:color w:val="000000"/>
            <w:spacing w:val="0"/>
            <w:kern w:val="0"/>
            <w:sz w:val="24"/>
            <w:szCs w:val="24"/>
            <w:lang w:val="en-US" w:eastAsia="zh-CN" w:bidi="ar"/>
          </w:rPr>
        </w:sdtEndPr>
        <w:sdtContent>
          <w:sdt>
            <w:sdtPr>
              <w:rPr>
                <w:rFonts w:hint="eastAsia" w:ascii="宋体" w:hAnsi="宋体" w:eastAsia="宋体" w:cs="宋体"/>
                <w:i w:val="0"/>
                <w:iCs w:val="0"/>
                <w:caps w:val="0"/>
                <w:color w:val="000000"/>
                <w:spacing w:val="0"/>
                <w:kern w:val="0"/>
                <w:sz w:val="24"/>
                <w:szCs w:val="24"/>
                <w:lang w:val="en-US" w:eastAsia="zh-CN" w:bidi="ar"/>
              </w:rPr>
              <w:id w:val="147455564"/>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sym w:font="Wingdings" w:char="00FE"/>
              </w:r>
            </w:sdtContent>
          </w:sdt>
        </w:sdtContent>
      </w:sdt>
      <w:r>
        <w:rPr>
          <w:rFonts w:hint="eastAsia" w:ascii="宋体" w:hAnsi="宋体" w:eastAsia="宋体" w:cs="宋体"/>
          <w:i w:val="0"/>
          <w:iCs w:val="0"/>
          <w:caps w:val="0"/>
          <w:color w:val="000000"/>
          <w:spacing w:val="0"/>
          <w:kern w:val="0"/>
          <w:sz w:val="24"/>
          <w:szCs w:val="24"/>
          <w:lang w:val="en-US" w:eastAsia="zh-CN" w:bidi="ar"/>
        </w:rPr>
        <w:t>否。 </w:t>
      </w:r>
    </w:p>
    <w:p w14:paraId="2C917A45">
      <w:pPr>
        <w:pStyle w:val="24"/>
        <w:widowControl/>
        <w:numPr>
          <w:ilvl w:val="0"/>
          <w:numId w:val="0"/>
        </w:numPr>
        <w:spacing w:before="255" w:beforeAutospacing="0" w:after="255" w:afterAutospacing="0" w:line="360" w:lineRule="auto"/>
        <w:ind w:left="0" w:leftChars="0" w:right="0" w:rightChars="0"/>
        <w:jc w:val="both"/>
        <w:rPr>
          <w:rStyle w:val="32"/>
          <w:rFonts w:hint="eastAsia" w:ascii="宋体" w:hAnsi="宋体" w:cs="宋体"/>
          <w:color w:val="auto"/>
          <w:sz w:val="24"/>
          <w:szCs w:val="24"/>
        </w:rPr>
      </w:pPr>
      <w:r>
        <w:rPr>
          <w:rFonts w:hint="eastAsia" w:ascii="宋体" w:hAnsi="宋体" w:eastAsia="宋体" w:cs="宋体"/>
          <w:b/>
          <w:bCs/>
          <w:color w:val="auto"/>
          <w:kern w:val="0"/>
          <w:sz w:val="24"/>
          <w:szCs w:val="24"/>
          <w:lang w:val="en-US" w:eastAsia="zh-CN" w:bidi="ar"/>
        </w:rPr>
        <w:t>二、</w:t>
      </w:r>
      <w:r>
        <w:rPr>
          <w:rStyle w:val="32"/>
          <w:rFonts w:hint="eastAsia" w:ascii="宋体" w:hAnsi="宋体" w:cs="宋体"/>
          <w:color w:val="auto"/>
          <w:sz w:val="24"/>
          <w:szCs w:val="24"/>
        </w:rPr>
        <w:t>申请人的资格要求：</w:t>
      </w:r>
    </w:p>
    <w:p w14:paraId="2BE36CBF">
      <w:pPr>
        <w:pStyle w:val="24"/>
        <w:widowControl/>
        <w:numPr>
          <w:ilvl w:val="0"/>
          <w:numId w:val="0"/>
        </w:numPr>
        <w:spacing w:before="255" w:beforeAutospacing="0" w:after="255" w:afterAutospacing="0" w:line="360" w:lineRule="auto"/>
        <w:ind w:right="0" w:rightChars="0" w:firstLine="720" w:firstLineChars="300"/>
        <w:jc w:val="both"/>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 满足《中华人民共和国政府采购法》第二十二条规定；未被“信用中国”（www.creditchina.gov.cn)、中国政府采购网（www.ccgp.gov.cn）列入失信被执行人、重大税收违法失信主体、政府采购严重违法失信行为记录名单。</w:t>
      </w:r>
    </w:p>
    <w:p w14:paraId="707629E9">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2.以联合体形式响应的，提供联合协议(本项目不接受联合体响应或者供应商不以联合体形式响应的，则不需要提供) ；</w:t>
      </w:r>
    </w:p>
    <w:p w14:paraId="372CCA46">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3.落实政府采购政策需满足的资格要求：</w:t>
      </w:r>
    </w:p>
    <w:p w14:paraId="437FC198">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sdt>
        <w:sdtPr>
          <w:rPr>
            <w:rFonts w:hint="eastAsia" w:ascii="宋体" w:hAnsi="宋体" w:eastAsia="宋体" w:cs="宋体"/>
            <w:i w:val="0"/>
            <w:iCs w:val="0"/>
            <w:caps w:val="0"/>
            <w:color w:val="000000"/>
            <w:spacing w:val="0"/>
            <w:kern w:val="0"/>
            <w:sz w:val="24"/>
            <w:szCs w:val="24"/>
            <w:lang w:val="en-US" w:eastAsia="zh-CN" w:bidi="ar"/>
          </w:rPr>
          <w:id w:val="147480245"/>
        </w:sdtPr>
        <w:sdtEndPr>
          <w:rPr>
            <w:rFonts w:hint="eastAsia" w:ascii="宋体" w:hAnsi="宋体" w:eastAsia="宋体" w:cs="宋体"/>
            <w:i w:val="0"/>
            <w:iCs w:val="0"/>
            <w:caps w:val="0"/>
            <w:color w:val="000000"/>
            <w:spacing w:val="0"/>
            <w:kern w:val="0"/>
            <w:sz w:val="24"/>
            <w:szCs w:val="24"/>
            <w:lang w:val="en-US" w:eastAsia="zh-CN" w:bidi="ar"/>
          </w:rPr>
        </w:sdtEndPr>
        <w:sdtContent>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sdtContent>
      </w:sdt>
      <w:r>
        <w:rPr>
          <w:rFonts w:hint="eastAsia" w:ascii="宋体" w:hAnsi="宋体" w:eastAsia="宋体" w:cs="宋体"/>
          <w:i w:val="0"/>
          <w:iCs w:val="0"/>
          <w:caps w:val="0"/>
          <w:color w:val="000000"/>
          <w:spacing w:val="0"/>
          <w:kern w:val="0"/>
          <w:sz w:val="24"/>
          <w:szCs w:val="24"/>
          <w:lang w:val="en-US" w:eastAsia="zh-CN" w:bidi="ar"/>
        </w:rPr>
        <w:t>无</w:t>
      </w:r>
      <w:r>
        <w:rPr>
          <w:rFonts w:hint="eastAsia" w:ascii="宋体" w:hAnsi="宋体" w:cs="宋体"/>
          <w:i w:val="0"/>
          <w:iCs w:val="0"/>
          <w:caps w:val="0"/>
          <w:color w:val="000000"/>
          <w:spacing w:val="0"/>
          <w:kern w:val="0"/>
          <w:sz w:val="24"/>
          <w:szCs w:val="24"/>
          <w:lang w:val="en-US" w:eastAsia="zh-CN" w:bidi="ar"/>
        </w:rPr>
        <w:t>；</w:t>
      </w:r>
    </w:p>
    <w:p w14:paraId="11ABFBEB">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sdt>
        <w:sdtPr>
          <w:rPr>
            <w:rFonts w:hint="eastAsia" w:ascii="宋体" w:hAnsi="宋体" w:eastAsia="宋体" w:cs="宋体"/>
            <w:i w:val="0"/>
            <w:iCs w:val="0"/>
            <w:caps w:val="0"/>
            <w:color w:val="000000"/>
            <w:spacing w:val="0"/>
            <w:kern w:val="0"/>
            <w:sz w:val="24"/>
            <w:szCs w:val="24"/>
            <w:lang w:val="en-US" w:eastAsia="zh-CN" w:bidi="ar"/>
          </w:rPr>
          <w:id w:val="-5528208"/>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default" w:ascii="Arial" w:hAnsi="Arial" w:cs="Arial"/>
              <w:i w:val="0"/>
              <w:iCs w:val="0"/>
              <w:caps w:val="0"/>
              <w:color w:val="000000"/>
              <w:spacing w:val="0"/>
              <w:kern w:val="0"/>
              <w:sz w:val="24"/>
              <w:szCs w:val="24"/>
              <w:lang w:val="en-US" w:eastAsia="zh-CN" w:bidi="ar"/>
            </w:rPr>
            <w:t>√</w:t>
          </w:r>
        </w:sdtContent>
      </w:sdt>
      <w:r>
        <w:rPr>
          <w:rFonts w:hint="eastAsia" w:ascii="宋体" w:hAnsi="宋体" w:eastAsia="宋体" w:cs="宋体"/>
          <w:i w:val="0"/>
          <w:iCs w:val="0"/>
          <w:caps w:val="0"/>
          <w:color w:val="000000"/>
          <w:spacing w:val="0"/>
          <w:kern w:val="0"/>
          <w:sz w:val="24"/>
          <w:szCs w:val="24"/>
          <w:lang w:val="en-US" w:eastAsia="zh-CN" w:bidi="ar"/>
        </w:rPr>
        <w:t>专门面向中小企业</w:t>
      </w:r>
    </w:p>
    <w:p w14:paraId="1245D45F">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default" w:ascii="Arial" w:hAnsi="Arial" w:cs="Arial"/>
          <w:i w:val="0"/>
          <w:iCs w:val="0"/>
          <w:caps w:val="0"/>
          <w:color w:val="000000"/>
          <w:spacing w:val="0"/>
          <w:kern w:val="0"/>
          <w:sz w:val="24"/>
          <w:szCs w:val="24"/>
          <w:lang w:val="en-US" w:eastAsia="zh-CN" w:bidi="ar"/>
        </w:rPr>
        <w:t>√</w:t>
      </w:r>
      <w:sdt>
        <w:sdtPr>
          <w:rPr>
            <w:rFonts w:hint="eastAsia" w:ascii="宋体" w:hAnsi="宋体" w:eastAsia="宋体" w:cs="宋体"/>
            <w:i w:val="0"/>
            <w:iCs w:val="0"/>
            <w:caps w:val="0"/>
            <w:color w:val="000000"/>
            <w:spacing w:val="0"/>
            <w:kern w:val="0"/>
            <w:sz w:val="24"/>
            <w:szCs w:val="24"/>
            <w:lang w:val="en-US" w:eastAsia="zh-CN" w:bidi="ar"/>
          </w:rPr>
          <w:id w:val="-333685401"/>
        </w:sdtPr>
        <w:sdtEndPr>
          <w:rPr>
            <w:rFonts w:hint="eastAsia" w:ascii="宋体" w:hAnsi="宋体" w:eastAsia="宋体" w:cs="宋体"/>
            <w:i w:val="0"/>
            <w:iCs w:val="0"/>
            <w:caps w:val="0"/>
            <w:color w:val="000000"/>
            <w:spacing w:val="0"/>
            <w:kern w:val="0"/>
            <w:sz w:val="24"/>
            <w:szCs w:val="24"/>
            <w:lang w:val="en-US" w:eastAsia="zh-CN" w:bidi="ar"/>
          </w:rPr>
        </w:sdtEndPr>
        <w:sdtContent/>
      </w:sdt>
      <w:r>
        <w:rPr>
          <w:rFonts w:hint="eastAsia" w:ascii="宋体" w:hAnsi="宋体" w:cs="宋体"/>
          <w:sz w:val="24"/>
          <w:szCs w:val="20"/>
          <w:lang w:val="en-US" w:eastAsia="zh-CN"/>
        </w:rPr>
        <w:t>工程</w:t>
      </w:r>
      <w:r>
        <w:rPr>
          <w:rFonts w:hint="eastAsia" w:ascii="宋体" w:hAnsi="宋体" w:cs="宋体"/>
          <w:color w:val="auto"/>
          <w:sz w:val="24"/>
        </w:rPr>
        <w:t>全部由符合政策要求的中小企业承建，提供中小企业声明函；</w:t>
      </w:r>
    </w:p>
    <w:p w14:paraId="2122C56D">
      <w:pPr>
        <w:spacing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sdt>
        <w:sdtPr>
          <w:rPr>
            <w:rFonts w:hint="eastAsia" w:ascii="宋体" w:hAnsi="宋体" w:eastAsia="宋体" w:cs="宋体"/>
            <w:i w:val="0"/>
            <w:iCs w:val="0"/>
            <w:caps w:val="0"/>
            <w:color w:val="000000"/>
            <w:spacing w:val="0"/>
            <w:kern w:val="0"/>
            <w:sz w:val="24"/>
            <w:szCs w:val="24"/>
            <w:lang w:val="en-US" w:eastAsia="zh-CN" w:bidi="ar"/>
          </w:rPr>
          <w:id w:val="-2141025358"/>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t>☐工程全部由符合政策要求的小微企业承建，提供中小企业声明函；</w:t>
          </w:r>
        </w:sdtContent>
      </w:sdt>
    </w:p>
    <w:p w14:paraId="65D48211">
      <w:pPr>
        <w:keepNext w:val="0"/>
        <w:keepLines w:val="0"/>
        <w:pageBreakBefore w:val="0"/>
        <w:kinsoku/>
        <w:wordWrap/>
        <w:overflowPunct/>
        <w:topLinePunct w:val="0"/>
        <w:autoSpaceDE/>
        <w:autoSpaceDN/>
        <w:bidi w:val="0"/>
        <w:spacing w:line="360" w:lineRule="auto"/>
        <w:ind w:firstLine="480" w:firstLineChars="200"/>
        <w:textAlignment w:val="auto"/>
        <w:outlineLvl w:val="9"/>
        <w:rPr>
          <w:rFonts w:ascii="宋体" w:hAnsi="宋体" w:cs="宋体"/>
          <w:color w:val="auto"/>
          <w:sz w:val="24"/>
        </w:rPr>
      </w:pPr>
      <w:bookmarkStart w:id="1" w:name="_Hlk101132524"/>
      <w:sdt>
        <w:sdtPr>
          <w:rPr>
            <w:rFonts w:hint="eastAsia" w:ascii="宋体" w:hAnsi="宋体" w:eastAsia="宋体" w:cs="宋体"/>
            <w:i w:val="0"/>
            <w:iCs w:val="0"/>
            <w:caps w:val="0"/>
            <w:color w:val="000000"/>
            <w:spacing w:val="0"/>
            <w:kern w:val="0"/>
            <w:sz w:val="24"/>
            <w:szCs w:val="24"/>
            <w:lang w:val="en-US" w:eastAsia="zh-CN" w:bidi="ar"/>
          </w:rPr>
          <w:id w:val="147459826"/>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
    <w:p w14:paraId="2BC5B45B">
      <w:pPr>
        <w:pStyle w:val="28"/>
        <w:spacing w:line="360" w:lineRule="auto"/>
        <w:rPr>
          <w:rFonts w:hint="eastAsia"/>
          <w:lang w:val="en-US" w:eastAsia="zh-CN"/>
        </w:rPr>
      </w:pPr>
      <w:sdt>
        <w:sdtPr>
          <w:rPr>
            <w:rFonts w:hint="eastAsia" w:ascii="宋体" w:hAnsi="宋体" w:eastAsia="宋体" w:cs="宋体"/>
            <w:i w:val="0"/>
            <w:iCs w:val="0"/>
            <w:caps w:val="0"/>
            <w:color w:val="000000"/>
            <w:spacing w:val="0"/>
            <w:kern w:val="0"/>
            <w:sz w:val="24"/>
            <w:szCs w:val="24"/>
            <w:lang w:val="en-US" w:eastAsia="zh-CN" w:bidi="ar"/>
          </w:rPr>
          <w:id w:val="147467203"/>
        </w:sdtPr>
        <w:sdtEndPr>
          <w:rPr>
            <w:rFonts w:hint="eastAsia" w:ascii="宋体" w:hAnsi="宋体" w:eastAsia="宋体" w:cs="宋体"/>
            <w:i w:val="0"/>
            <w:iCs w:val="0"/>
            <w:caps w:val="0"/>
            <w:color w:val="000000"/>
            <w:spacing w:val="0"/>
            <w:kern w:val="0"/>
            <w:sz w:val="24"/>
            <w:szCs w:val="24"/>
            <w:lang w:val="en-US" w:eastAsia="zh-CN" w:bidi="ar"/>
          </w:rPr>
        </w:sdtEndPr>
        <w:sdtContent>
          <w:r>
            <w:rPr>
              <w:rFonts w:hint="eastAsia" w:ascii="宋体" w:hAnsi="宋体" w:eastAsia="宋体" w:cs="宋体"/>
              <w:i w:val="0"/>
              <w:iCs w:val="0"/>
              <w:caps w:val="0"/>
              <w:color w:val="000000"/>
              <w:spacing w:val="0"/>
              <w:kern w:val="0"/>
              <w:sz w:val="24"/>
              <w:szCs w:val="24"/>
              <w:lang w:val="en-US" w:eastAsia="zh-CN" w:bidi="ar"/>
            </w:rPr>
            <w:t>☐</w:t>
          </w:r>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 xml:space="preserve">； </w:t>
          </w:r>
        </w:sdtContent>
      </w:sdt>
    </w:p>
    <w:p w14:paraId="73E0ABDE">
      <w:pPr>
        <w:spacing w:line="360" w:lineRule="auto"/>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4.本项目的特定资格要求：供应商须具备</w:t>
      </w:r>
      <w:r>
        <w:rPr>
          <w:rFonts w:hint="eastAsia" w:ascii="宋体" w:hAnsi="宋体" w:cs="宋体"/>
          <w:i w:val="0"/>
          <w:iCs w:val="0"/>
          <w:caps w:val="0"/>
          <w:color w:val="auto"/>
          <w:spacing w:val="0"/>
          <w:kern w:val="0"/>
          <w:sz w:val="24"/>
          <w:szCs w:val="24"/>
          <w:lang w:val="en-US" w:eastAsia="zh-CN" w:bidi="ar"/>
        </w:rPr>
        <w:t>建筑机电安装工程专业承包贰级</w:t>
      </w:r>
      <w:r>
        <w:rPr>
          <w:rFonts w:hint="eastAsia" w:ascii="宋体" w:hAnsi="宋体" w:eastAsia="宋体" w:cs="宋体"/>
          <w:i w:val="0"/>
          <w:iCs w:val="0"/>
          <w:caps w:val="0"/>
          <w:color w:val="auto"/>
          <w:spacing w:val="0"/>
          <w:kern w:val="0"/>
          <w:sz w:val="24"/>
          <w:szCs w:val="24"/>
          <w:lang w:val="en-US" w:eastAsia="zh-CN" w:bidi="ar"/>
        </w:rPr>
        <w:t>及以上资质并具备有效的建筑施工企业安全生产许可证</w:t>
      </w:r>
      <w:r>
        <w:rPr>
          <w:rFonts w:hint="eastAsia" w:ascii="宋体" w:hAnsi="宋体" w:cs="宋体"/>
          <w:i w:val="0"/>
          <w:iCs w:val="0"/>
          <w:caps w:val="0"/>
          <w:color w:val="auto"/>
          <w:spacing w:val="0"/>
          <w:kern w:val="0"/>
          <w:sz w:val="24"/>
          <w:szCs w:val="24"/>
          <w:lang w:val="en-US" w:eastAsia="zh-CN" w:bidi="ar"/>
        </w:rPr>
        <w:t>。</w:t>
      </w:r>
    </w:p>
    <w:p w14:paraId="4113890C">
      <w:pPr>
        <w:keepNext w:val="0"/>
        <w:keepLines w:val="0"/>
        <w:pageBreakBefore w:val="0"/>
        <w:kinsoku/>
        <w:wordWrap/>
        <w:overflowPunct/>
        <w:topLinePunct w:val="0"/>
        <w:autoSpaceDE/>
        <w:autoSpaceDN/>
        <w:bidi w:val="0"/>
        <w:spacing w:line="336" w:lineRule="auto"/>
        <w:ind w:firstLine="512" w:firstLineChars="200"/>
        <w:textAlignment w:val="auto"/>
        <w:outlineLvl w:val="9"/>
        <w:rPr>
          <w:rFonts w:hint="eastAsia"/>
          <w:lang w:val="en-US" w:eastAsia="zh-CN"/>
        </w:rPr>
      </w:pPr>
      <w:r>
        <w:rPr>
          <w:rFonts w:hint="eastAsia" w:ascii="宋体" w:hAnsi="宋体" w:eastAsia="宋体" w:cs="宋体"/>
          <w:color w:val="auto"/>
          <w:spacing w:val="8"/>
          <w:kern w:val="0"/>
          <w:sz w:val="24"/>
          <w:lang w:val="en-US" w:eastAsia="zh-CN"/>
        </w:rPr>
        <w:t>5.</w:t>
      </w:r>
      <w:r>
        <w:rPr>
          <w:rFonts w:hint="eastAsia" w:cs="宋体"/>
          <w:snapToGrid w:val="0"/>
          <w:kern w:val="28"/>
          <w:sz w:val="24"/>
          <w:szCs w:val="20"/>
          <w:lang w:val="en-US" w:eastAsia="zh-CN" w:bidi="ar-SA"/>
        </w:rPr>
        <w:t>.</w:t>
      </w:r>
      <w:r>
        <w:rPr>
          <w:rFonts w:hint="eastAsia" w:ascii="宋体" w:hAnsi="宋体" w:eastAsia="宋体" w:cs="宋体"/>
          <w:kern w:val="2"/>
          <w:sz w:val="24"/>
          <w:szCs w:val="24"/>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85C3F5A">
      <w:pPr>
        <w:pStyle w:val="24"/>
        <w:widowControl/>
        <w:spacing w:before="75" w:beforeAutospacing="0" w:after="75" w:afterAutospacing="0" w:line="360" w:lineRule="auto"/>
        <w:rPr>
          <w:rFonts w:hint="eastAsia" w:ascii="宋体" w:hAnsi="宋体" w:cs="宋体"/>
          <w:color w:val="auto"/>
          <w:sz w:val="24"/>
          <w:szCs w:val="24"/>
        </w:rPr>
      </w:pPr>
      <w:r>
        <w:rPr>
          <w:rStyle w:val="32"/>
          <w:rFonts w:hint="eastAsia" w:ascii="宋体" w:hAnsi="宋体" w:cs="宋体"/>
          <w:color w:val="auto"/>
          <w:sz w:val="24"/>
          <w:szCs w:val="24"/>
        </w:rPr>
        <w:t>三、获取（下载）采购文件</w:t>
      </w:r>
    </w:p>
    <w:p w14:paraId="34E27A77">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时间</w:t>
      </w:r>
      <w:r>
        <w:rPr>
          <w:rFonts w:hint="eastAsia" w:ascii="宋体" w:hAnsi="宋体" w:cs="宋体"/>
          <w:color w:val="auto"/>
          <w:sz w:val="24"/>
          <w:szCs w:val="24"/>
        </w:rPr>
        <w:t>：</w:t>
      </w:r>
      <w:bookmarkStart w:id="2" w:name="_Hlk97625044"/>
      <w:r>
        <w:rPr>
          <w:rFonts w:hint="eastAsia" w:ascii="宋体" w:hAnsi="宋体" w:cs="宋体"/>
          <w:color w:val="auto"/>
          <w:sz w:val="24"/>
          <w:szCs w:val="24"/>
          <w:lang w:val="en-US" w:eastAsia="zh-CN"/>
        </w:rPr>
        <w:t xml:space="preserve"> 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bookmarkEnd w:id="2"/>
      <w:r>
        <w:rPr>
          <w:rFonts w:hint="eastAsia" w:ascii="宋体" w:hAnsi="宋体" w:cs="宋体"/>
          <w:color w:val="auto"/>
          <w:sz w:val="24"/>
          <w:szCs w:val="24"/>
        </w:rPr>
        <w:t>至</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日，每天上午00:00至12:00，下午12:00至23:59（北京时间，线上获取法定节假日均可，线下获取文件法定节假日除外）</w:t>
      </w:r>
    </w:p>
    <w:p w14:paraId="0A0BD084">
      <w:pPr>
        <w:pStyle w:val="24"/>
        <w:widowControl/>
        <w:spacing w:before="75" w:beforeAutospacing="0" w:after="75" w:afterAutospacing="0"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地点（网址）</w:t>
      </w:r>
      <w:r>
        <w:rPr>
          <w:rFonts w:hint="eastAsia" w:ascii="宋体" w:hAnsi="宋体" w:cs="宋体"/>
          <w:color w:val="auto"/>
          <w:sz w:val="24"/>
          <w:szCs w:val="24"/>
        </w:rPr>
        <w:t>：政采云平台（www.zcygov.cn） </w:t>
      </w:r>
    </w:p>
    <w:p w14:paraId="29DAD874">
      <w:pPr>
        <w:spacing w:line="360" w:lineRule="auto"/>
        <w:ind w:firstLine="482" w:firstLineChars="200"/>
        <w:rPr>
          <w:rFonts w:hint="eastAsia" w:ascii="宋体" w:hAnsi="宋体" w:cs="宋体"/>
          <w:color w:val="auto"/>
          <w:sz w:val="24"/>
          <w:szCs w:val="24"/>
        </w:rPr>
      </w:pPr>
      <w:r>
        <w:rPr>
          <w:rFonts w:hint="eastAsia" w:ascii="宋体" w:hAnsi="宋体" w:cs="宋体"/>
          <w:b/>
          <w:bCs/>
          <w:color w:val="auto"/>
          <w:sz w:val="24"/>
          <w:szCs w:val="24"/>
        </w:rPr>
        <w:t>方式</w:t>
      </w:r>
      <w:r>
        <w:rPr>
          <w:rFonts w:hint="eastAsia" w:ascii="宋体" w:hAnsi="宋体" w:cs="宋体"/>
          <w:color w:val="auto"/>
          <w:sz w:val="24"/>
          <w:szCs w:val="24"/>
        </w:rPr>
        <w:t>：</w:t>
      </w:r>
      <w:r>
        <w:rPr>
          <w:rFonts w:hint="eastAsia" w:ascii="宋体" w:hAnsi="宋体" w:eastAsia="宋体" w:cs="宋体"/>
          <w:sz w:val="24"/>
          <w:highlight w:val="none"/>
        </w:rPr>
        <w:t>供应商登录政采云平台https://www.zcygov.cn/在线申请获取采购文件（进入“项目采购”应用，在获取采购文件菜单中选择项目，申请获取采购文件）。</w:t>
      </w:r>
      <w:r>
        <w:rPr>
          <w:rFonts w:hint="eastAsia" w:ascii="宋体" w:hAnsi="宋体" w:cs="宋体"/>
          <w:color w:val="auto"/>
          <w:sz w:val="24"/>
          <w:szCs w:val="24"/>
        </w:rPr>
        <w:t>  </w:t>
      </w:r>
    </w:p>
    <w:p w14:paraId="0DEFC9DA">
      <w:pPr>
        <w:pStyle w:val="24"/>
        <w:widowControl/>
        <w:spacing w:before="75" w:beforeAutospacing="0" w:after="75" w:afterAutospacing="0"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   </w:t>
      </w:r>
      <w:r>
        <w:rPr>
          <w:rFonts w:hint="eastAsia" w:ascii="宋体" w:hAnsi="宋体" w:cs="宋体"/>
          <w:b/>
          <w:bCs/>
          <w:color w:val="auto"/>
          <w:sz w:val="24"/>
          <w:szCs w:val="24"/>
        </w:rPr>
        <w:t xml:space="preserve"> 售价（元）</w:t>
      </w:r>
      <w:r>
        <w:rPr>
          <w:rFonts w:hint="eastAsia" w:ascii="宋体" w:hAnsi="宋体" w:cs="宋体"/>
          <w:color w:val="auto"/>
          <w:sz w:val="24"/>
          <w:szCs w:val="24"/>
        </w:rPr>
        <w:t>：</w:t>
      </w:r>
      <w:r>
        <w:rPr>
          <w:rFonts w:hint="eastAsia" w:ascii="宋体" w:hAnsi="宋体" w:eastAsia="宋体" w:cs="宋体"/>
          <w:color w:val="auto"/>
          <w:sz w:val="24"/>
          <w:szCs w:val="24"/>
        </w:rPr>
        <w:t>免费</w:t>
      </w:r>
      <w:r>
        <w:rPr>
          <w:rFonts w:hint="eastAsia" w:ascii="宋体" w:hAnsi="宋体" w:eastAsia="宋体" w:cs="宋体"/>
          <w:color w:val="auto"/>
          <w:sz w:val="24"/>
          <w:szCs w:val="24"/>
          <w:lang w:eastAsia="zh-CN"/>
        </w:rPr>
        <w:t>。</w:t>
      </w:r>
    </w:p>
    <w:p w14:paraId="43F89522">
      <w:pPr>
        <w:pStyle w:val="24"/>
        <w:widowControl/>
        <w:spacing w:before="255" w:beforeAutospacing="0" w:after="255" w:afterAutospacing="0" w:line="360" w:lineRule="auto"/>
        <w:jc w:val="both"/>
        <w:rPr>
          <w:rFonts w:hint="eastAsia" w:ascii="宋体" w:hAnsi="宋体" w:cs="宋体"/>
          <w:color w:val="auto"/>
          <w:sz w:val="24"/>
          <w:szCs w:val="24"/>
        </w:rPr>
      </w:pPr>
      <w:r>
        <w:rPr>
          <w:rStyle w:val="32"/>
          <w:rFonts w:hint="eastAsia" w:ascii="宋体" w:hAnsi="宋体" w:cs="宋体"/>
          <w:color w:val="auto"/>
          <w:sz w:val="24"/>
          <w:szCs w:val="24"/>
        </w:rPr>
        <w:t>四、响应文件提交（上传）</w:t>
      </w:r>
      <w:r>
        <w:rPr>
          <w:rFonts w:hint="eastAsia" w:ascii="宋体" w:hAnsi="宋体" w:cs="宋体"/>
          <w:color w:val="auto"/>
          <w:sz w:val="24"/>
          <w:szCs w:val="24"/>
        </w:rPr>
        <w:t> </w:t>
      </w:r>
    </w:p>
    <w:p w14:paraId="0D31FF7C">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color w:val="auto"/>
          <w:sz w:val="24"/>
        </w:rPr>
        <w:t>提交投标文件截止时间</w:t>
      </w:r>
      <w:r>
        <w:rPr>
          <w:rFonts w:hint="eastAsia" w:ascii="宋体" w:hAnsi="宋体" w:cs="宋体"/>
          <w:color w:val="auto"/>
          <w:sz w:val="24"/>
          <w:szCs w:val="24"/>
        </w:rPr>
        <w:t>：</w:t>
      </w:r>
      <w:r>
        <w:rPr>
          <w:rFonts w:hint="eastAsia" w:ascii="宋体" w:hAnsi="宋体" w:cs="宋体"/>
          <w:color w:val="auto"/>
          <w:sz w:val="24"/>
          <w:szCs w:val="24"/>
          <w:lang w:val="en-US" w:eastAsia="zh-CN"/>
        </w:rPr>
        <w:t>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时  分</w:t>
      </w:r>
      <w:r>
        <w:rPr>
          <w:rFonts w:hint="eastAsia" w:ascii="宋体" w:hAnsi="宋体" w:cs="宋体"/>
          <w:color w:val="auto"/>
          <w:sz w:val="24"/>
          <w:szCs w:val="24"/>
        </w:rPr>
        <w:t>（北京时间）</w:t>
      </w:r>
    </w:p>
    <w:p w14:paraId="4643645A">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  地点（网址）</w:t>
      </w:r>
      <w:r>
        <w:rPr>
          <w:rFonts w:hint="eastAsia" w:ascii="宋体" w:hAnsi="宋体" w:cs="宋体"/>
          <w:color w:val="auto"/>
          <w:sz w:val="24"/>
          <w:szCs w:val="24"/>
        </w:rPr>
        <w:t>：</w:t>
      </w:r>
      <w:r>
        <w:rPr>
          <w:rFonts w:hint="eastAsia" w:ascii="宋体" w:hAnsi="宋体" w:eastAsia="宋体" w:cs="宋体"/>
          <w:sz w:val="24"/>
          <w:highlight w:val="none"/>
        </w:rPr>
        <w:t>政府采购云平台（http</w:t>
      </w:r>
      <w:r>
        <w:rPr>
          <w:rFonts w:hint="eastAsia" w:ascii="宋体" w:hAnsi="宋体" w:eastAsia="宋体" w:cs="宋体"/>
          <w:sz w:val="24"/>
          <w:highlight w:val="none"/>
          <w:lang w:eastAsia="zh-CN"/>
        </w:rPr>
        <w:t>：</w:t>
      </w:r>
      <w:r>
        <w:rPr>
          <w:rFonts w:hint="eastAsia" w:ascii="宋体" w:hAnsi="宋体" w:eastAsia="宋体" w:cs="宋体"/>
          <w:sz w:val="24"/>
          <w:highlight w:val="none"/>
        </w:rPr>
        <w:t>//www.zcygov.cn/）。</w:t>
      </w:r>
      <w:r>
        <w:rPr>
          <w:rFonts w:hint="eastAsia"/>
          <w:color w:val="auto"/>
          <w:sz w:val="24"/>
          <w:szCs w:val="24"/>
        </w:rPr>
        <w:t> </w:t>
      </w:r>
      <w:r>
        <w:rPr>
          <w:rFonts w:hint="eastAsia" w:ascii="宋体" w:hAnsi="宋体" w:cs="宋体"/>
          <w:color w:val="auto"/>
          <w:sz w:val="24"/>
          <w:szCs w:val="24"/>
        </w:rPr>
        <w:t> </w:t>
      </w:r>
    </w:p>
    <w:p w14:paraId="773AABE9">
      <w:pPr>
        <w:pStyle w:val="24"/>
        <w:widowControl/>
        <w:spacing w:before="255" w:beforeAutospacing="0" w:after="255" w:afterAutospacing="0" w:line="360" w:lineRule="auto"/>
        <w:jc w:val="both"/>
        <w:rPr>
          <w:rFonts w:hint="eastAsia" w:ascii="宋体" w:hAnsi="宋体" w:cs="宋体"/>
          <w:color w:val="auto"/>
          <w:sz w:val="24"/>
          <w:szCs w:val="24"/>
        </w:rPr>
      </w:pPr>
      <w:r>
        <w:rPr>
          <w:rStyle w:val="32"/>
          <w:rFonts w:hint="eastAsia" w:ascii="宋体" w:hAnsi="宋体" w:cs="宋体"/>
          <w:color w:val="auto"/>
          <w:sz w:val="24"/>
          <w:szCs w:val="24"/>
        </w:rPr>
        <w:t>五、响应文件开启</w:t>
      </w:r>
      <w:r>
        <w:rPr>
          <w:rFonts w:hint="eastAsia" w:ascii="宋体" w:hAnsi="宋体" w:cs="宋体"/>
          <w:color w:val="auto"/>
          <w:sz w:val="24"/>
          <w:szCs w:val="24"/>
        </w:rPr>
        <w:t> </w:t>
      </w:r>
    </w:p>
    <w:p w14:paraId="01032CE4">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w:t>
      </w:r>
      <w:r>
        <w:rPr>
          <w:rFonts w:hint="eastAsia" w:ascii="宋体" w:hAnsi="宋体" w:cs="宋体"/>
          <w:b/>
          <w:bCs/>
          <w:color w:val="auto"/>
          <w:sz w:val="24"/>
          <w:szCs w:val="24"/>
        </w:rPr>
        <w:t xml:space="preserve"> 开</w:t>
      </w:r>
      <w:r>
        <w:rPr>
          <w:rFonts w:hint="eastAsia" w:ascii="宋体" w:hAnsi="宋体" w:cs="宋体"/>
          <w:b/>
          <w:bCs/>
          <w:color w:val="auto"/>
          <w:sz w:val="24"/>
          <w:szCs w:val="24"/>
          <w:lang w:eastAsia="zh-CN"/>
        </w:rPr>
        <w:t>标</w:t>
      </w:r>
      <w:r>
        <w:rPr>
          <w:rFonts w:hint="eastAsia" w:ascii="宋体" w:hAnsi="宋体" w:cs="宋体"/>
          <w:b/>
          <w:bCs/>
          <w:color w:val="auto"/>
          <w:sz w:val="24"/>
          <w:szCs w:val="24"/>
        </w:rPr>
        <w:t>时间：</w:t>
      </w:r>
      <w:r>
        <w:rPr>
          <w:rFonts w:hint="eastAsia" w:ascii="宋体" w:hAnsi="宋体" w:cs="宋体"/>
          <w:color w:val="auto"/>
          <w:sz w:val="24"/>
          <w:szCs w:val="24"/>
          <w:lang w:val="en-US" w:eastAsia="zh-CN"/>
        </w:rPr>
        <w:t xml:space="preserve"> 2025</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r>
        <w:rPr>
          <w:rFonts w:hint="eastAsia" w:ascii="宋体" w:hAnsi="宋体" w:cs="宋体"/>
          <w:color w:val="auto"/>
          <w:sz w:val="24"/>
          <w:szCs w:val="24"/>
          <w:lang w:val="en-US" w:eastAsia="zh-CN"/>
        </w:rPr>
        <w:t xml:space="preserve">  时  分 </w:t>
      </w:r>
      <w:r>
        <w:rPr>
          <w:rFonts w:hint="eastAsia" w:ascii="宋体" w:hAnsi="宋体" w:cs="宋体"/>
          <w:color w:val="auto"/>
          <w:sz w:val="24"/>
          <w:szCs w:val="24"/>
        </w:rPr>
        <w:t>（北京时间）</w:t>
      </w:r>
    </w:p>
    <w:p w14:paraId="190AF5D6">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b/>
          <w:bCs/>
          <w:color w:val="auto"/>
          <w:sz w:val="24"/>
          <w:szCs w:val="24"/>
        </w:rPr>
        <w:t>地点（网址）：</w:t>
      </w:r>
      <w:r>
        <w:rPr>
          <w:rFonts w:hint="eastAsia" w:ascii="宋体" w:hAnsi="宋体" w:eastAsia="宋体" w:cs="宋体"/>
          <w:sz w:val="24"/>
          <w:highlight w:val="none"/>
        </w:rPr>
        <w:t>政府采购云平台（http</w:t>
      </w:r>
      <w:r>
        <w:rPr>
          <w:rFonts w:hint="eastAsia" w:ascii="宋体" w:hAnsi="宋体" w:eastAsia="宋体" w:cs="宋体"/>
          <w:sz w:val="24"/>
          <w:highlight w:val="none"/>
          <w:lang w:eastAsia="zh-CN"/>
        </w:rPr>
        <w:t>：</w:t>
      </w:r>
      <w:r>
        <w:rPr>
          <w:rFonts w:hint="eastAsia" w:ascii="宋体" w:hAnsi="宋体" w:eastAsia="宋体" w:cs="宋体"/>
          <w:sz w:val="24"/>
          <w:highlight w:val="none"/>
        </w:rPr>
        <w:t>//www.zcygov.cn/）</w:t>
      </w:r>
      <w:r>
        <w:rPr>
          <w:rFonts w:hint="eastAsia"/>
          <w:color w:val="auto"/>
          <w:sz w:val="24"/>
          <w:szCs w:val="24"/>
        </w:rPr>
        <w:t>。 </w:t>
      </w:r>
    </w:p>
    <w:p w14:paraId="7FB5B516">
      <w:pPr>
        <w:pStyle w:val="24"/>
        <w:widowControl/>
        <w:spacing w:before="255" w:beforeAutospacing="0" w:after="255" w:afterAutospacing="0" w:line="360" w:lineRule="auto"/>
        <w:jc w:val="both"/>
        <w:rPr>
          <w:rFonts w:hint="eastAsia" w:ascii="宋体" w:hAnsi="宋体" w:cs="宋体"/>
          <w:color w:val="auto"/>
          <w:sz w:val="24"/>
          <w:szCs w:val="24"/>
        </w:rPr>
      </w:pPr>
      <w:r>
        <w:rPr>
          <w:rStyle w:val="32"/>
          <w:rFonts w:hint="eastAsia" w:ascii="宋体" w:hAnsi="宋体" w:cs="宋体"/>
          <w:color w:val="auto"/>
          <w:sz w:val="24"/>
          <w:szCs w:val="24"/>
        </w:rPr>
        <w:t>六、公告期限</w:t>
      </w:r>
    </w:p>
    <w:p w14:paraId="488D20E3">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自本公告发布之日起3个工作日。</w:t>
      </w:r>
    </w:p>
    <w:p w14:paraId="17F2890D">
      <w:pPr>
        <w:pStyle w:val="24"/>
        <w:widowControl/>
        <w:spacing w:before="255" w:beforeAutospacing="0" w:after="255" w:afterAutospacing="0" w:line="360" w:lineRule="auto"/>
        <w:jc w:val="both"/>
        <w:rPr>
          <w:rFonts w:hint="eastAsia" w:ascii="宋体" w:hAnsi="宋体" w:cs="宋体"/>
          <w:color w:val="auto"/>
          <w:sz w:val="24"/>
          <w:szCs w:val="24"/>
        </w:rPr>
      </w:pPr>
      <w:r>
        <w:rPr>
          <w:rStyle w:val="32"/>
          <w:rFonts w:hint="eastAsia" w:ascii="宋体" w:hAnsi="宋体" w:cs="宋体"/>
          <w:color w:val="auto"/>
          <w:sz w:val="24"/>
          <w:szCs w:val="24"/>
        </w:rPr>
        <w:t>七、其他补充事宜</w:t>
      </w:r>
      <w:r>
        <w:rPr>
          <w:rFonts w:hint="eastAsia" w:ascii="宋体" w:hAnsi="宋体" w:cs="宋体"/>
          <w:color w:val="auto"/>
          <w:sz w:val="24"/>
          <w:szCs w:val="24"/>
        </w:rPr>
        <w:t> </w:t>
      </w:r>
    </w:p>
    <w:p w14:paraId="45C0EC39">
      <w:pPr>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hint="eastAsia" w:ascii="宋体" w:hAnsi="宋体" w:cs="宋体"/>
          <w:color w:val="auto"/>
          <w:sz w:val="24"/>
          <w:szCs w:val="24"/>
          <w:highlight w:val="none"/>
        </w:rPr>
        <w:t>.</w:t>
      </w:r>
      <w:r>
        <w:rPr>
          <w:rFonts w:ascii="宋体" w:hAnsi="宋体" w:cs="宋体"/>
          <w:color w:val="auto"/>
          <w:sz w:val="24"/>
          <w:szCs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szCs w:val="24"/>
          <w:highlight w:val="none"/>
        </w:rPr>
        <w:t>。</w:t>
      </w:r>
    </w:p>
    <w:p w14:paraId="3F80D4FB">
      <w:pPr>
        <w:spacing w:line="360" w:lineRule="auto"/>
        <w:ind w:firstLine="480" w:firstLineChars="200"/>
        <w:rPr>
          <w:rFonts w:hint="eastAsia" w:ascii="宋体" w:hAnsi="宋体" w:eastAsia="宋体" w:cs="宋体"/>
          <w:sz w:val="24"/>
          <w:highlight w:val="none"/>
        </w:rPr>
      </w:pPr>
      <w:r>
        <w:rPr>
          <w:rFonts w:cs="宋体" w:asciiTheme="minorEastAsia" w:hAnsiTheme="minorEastAsia" w:eastAsiaTheme="minorEastAsia"/>
          <w:color w:val="auto"/>
          <w:sz w:val="24"/>
          <w:szCs w:val="24"/>
          <w:highlight w:val="none"/>
        </w:rPr>
        <w:t xml:space="preserve"> </w:t>
      </w:r>
      <w:r>
        <w:rPr>
          <w:rFonts w:hint="eastAsia" w:ascii="宋体" w:hAnsi="宋体" w:eastAsia="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44E5435">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E2F152">
      <w:pPr>
        <w:spacing w:line="360" w:lineRule="auto"/>
        <w:ind w:firstLine="482" w:firstLineChars="200"/>
        <w:rPr>
          <w:rFonts w:hint="eastAsia"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4. 其他事项：</w:t>
      </w:r>
    </w:p>
    <w:p w14:paraId="14407F36">
      <w:pPr>
        <w:spacing w:line="360" w:lineRule="auto"/>
        <w:ind w:firstLine="482" w:firstLineChars="200"/>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（1）需要落实的政府采购政策：</w:t>
      </w:r>
      <w:r>
        <w:rPr>
          <w:rFonts w:hint="eastAsia" w:cs="宋体" w:asciiTheme="minorEastAsia" w:hAnsiTheme="minorEastAsia" w:eastAsiaTheme="minorEastAsia"/>
          <w:color w:val="auto"/>
          <w:kern w:val="0"/>
          <w:sz w:val="24"/>
          <w:szCs w:val="24"/>
          <w:highlight w:val="none"/>
        </w:rPr>
        <w:t>包括节约资源、保护环境、</w:t>
      </w:r>
      <w:r>
        <w:rPr>
          <w:rFonts w:hint="eastAsia" w:cs="宋体" w:asciiTheme="minorEastAsia" w:hAnsiTheme="minorEastAsia" w:eastAsiaTheme="minorEastAsia"/>
          <w:color w:val="auto"/>
          <w:sz w:val="24"/>
          <w:szCs w:val="24"/>
          <w:highlight w:val="none"/>
        </w:rPr>
        <w:t>支持创新、</w:t>
      </w:r>
      <w:r>
        <w:rPr>
          <w:rFonts w:hint="eastAsia" w:cs="宋体" w:asciiTheme="minorEastAsia" w:hAnsiTheme="minorEastAsia" w:eastAsiaTheme="minorEastAsia"/>
          <w:color w:val="auto"/>
          <w:kern w:val="0"/>
          <w:sz w:val="24"/>
          <w:szCs w:val="24"/>
          <w:highlight w:val="none"/>
        </w:rPr>
        <w:t>促进中小企业发展等，详见第二部分总则。</w:t>
      </w:r>
    </w:p>
    <w:p w14:paraId="77CC34B8">
      <w:pPr>
        <w:spacing w:line="360" w:lineRule="auto"/>
        <w:ind w:firstLine="482" w:firstLineChars="200"/>
        <w:rPr>
          <w:rFonts w:hint="eastAsia" w:cs="仿宋_GB2312"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kern w:val="0"/>
          <w:sz w:val="24"/>
          <w:szCs w:val="24"/>
          <w:highlight w:val="none"/>
        </w:rPr>
        <w:t>（2）</w:t>
      </w:r>
      <w:r>
        <w:rPr>
          <w:rFonts w:hint="eastAsia" w:cs="仿宋_GB2312" w:asciiTheme="minorEastAsia" w:hAnsiTheme="minorEastAsia" w:eastAsiaTheme="minorEastAsia"/>
          <w:b/>
          <w:color w:val="auto"/>
          <w:sz w:val="24"/>
          <w:szCs w:val="24"/>
          <w:highlight w:val="none"/>
        </w:rPr>
        <w:t>电子交易的说明: 1）电子交易：</w:t>
      </w:r>
      <w:r>
        <w:rPr>
          <w:rFonts w:hint="eastAsia" w:cs="仿宋_GB2312" w:asciiTheme="minorEastAsia" w:hAnsiTheme="minorEastAsia" w:eastAsiaTheme="minorEastAsia"/>
          <w:color w:val="auto"/>
          <w:sz w:val="24"/>
          <w:szCs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szCs w:val="24"/>
          <w:highlight w:val="none"/>
        </w:rPr>
        <w:t>2）响应准备：</w:t>
      </w:r>
      <w:r>
        <w:rPr>
          <w:rFonts w:hint="eastAsia" w:cs="仿宋_GB2312" w:asciiTheme="minorEastAsia" w:hAnsiTheme="minorEastAsia" w:eastAsiaTheme="minorEastAsia"/>
          <w:color w:val="auto"/>
          <w:sz w:val="24"/>
          <w:szCs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szCs w:val="24"/>
          <w:highlight w:val="none"/>
        </w:rPr>
        <w:t>3）磋商文件的获取：</w:t>
      </w:r>
      <w:r>
        <w:rPr>
          <w:rFonts w:hint="eastAsia" w:cs="仿宋_GB2312" w:asciiTheme="minorEastAsia" w:hAnsiTheme="minorEastAsia" w:eastAsiaTheme="minorEastAsia"/>
          <w:color w:val="auto"/>
          <w:sz w:val="24"/>
          <w:szCs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szCs w:val="24"/>
          <w:highlight w:val="none"/>
        </w:rPr>
        <w:t>4）响应文件的制作：</w:t>
      </w:r>
      <w:r>
        <w:rPr>
          <w:rFonts w:hint="eastAsia" w:cs="仿宋_GB2312" w:asciiTheme="minorEastAsia" w:hAnsiTheme="minorEastAsia" w:eastAsiaTheme="minorEastAsia"/>
          <w:color w:val="auto"/>
          <w:sz w:val="24"/>
          <w:szCs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szCs w:val="24"/>
          <w:highlight w:val="none"/>
        </w:rPr>
        <w:t>5）</w:t>
      </w:r>
      <w:r>
        <w:rPr>
          <w:rFonts w:hint="eastAsia" w:cs="仿宋_GB2312" w:asciiTheme="minorEastAsia" w:hAnsiTheme="minorEastAsia" w:eastAsiaTheme="minorEastAsia"/>
          <w:color w:val="auto"/>
          <w:sz w:val="24"/>
          <w:szCs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szCs w:val="24"/>
          <w:highlight w:val="none"/>
        </w:rPr>
        <w:t>6）</w:t>
      </w:r>
      <w:r>
        <w:rPr>
          <w:rFonts w:hint="eastAsia" w:cs="仿宋_GB2312" w:asciiTheme="minorEastAsia" w:hAnsiTheme="minorEastAsia" w:eastAsiaTheme="minorEastAsia"/>
          <w:color w:val="auto"/>
          <w:sz w:val="24"/>
          <w:szCs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szCs w:val="24"/>
          <w:highlight w:val="none"/>
        </w:rPr>
        <w:t>；</w:t>
      </w:r>
      <w:r>
        <w:rPr>
          <w:rFonts w:cs="仿宋_GB2312" w:asciiTheme="minorEastAsia" w:hAnsiTheme="minorEastAsia" w:eastAsiaTheme="minorEastAsia"/>
          <w:b/>
          <w:color w:val="auto"/>
          <w:sz w:val="24"/>
          <w:szCs w:val="24"/>
          <w:highlight w:val="none"/>
        </w:rPr>
        <w:t>7）</w:t>
      </w:r>
      <w:r>
        <w:rPr>
          <w:rFonts w:hint="eastAsia" w:cs="仿宋_GB2312" w:asciiTheme="minorEastAsia" w:hAnsiTheme="minorEastAsia" w:eastAsiaTheme="minorEastAsia"/>
          <w:color w:val="auto"/>
          <w:sz w:val="24"/>
          <w:szCs w:val="24"/>
          <w:highlight w:val="none"/>
        </w:rPr>
        <w:t>不提供磋商文件纸质版；</w:t>
      </w:r>
      <w:r>
        <w:rPr>
          <w:rFonts w:cs="仿宋_GB2312" w:asciiTheme="minorEastAsia" w:hAnsiTheme="minorEastAsia" w:eastAsiaTheme="minorEastAsia"/>
          <w:b/>
          <w:color w:val="auto"/>
          <w:sz w:val="24"/>
          <w:szCs w:val="24"/>
          <w:highlight w:val="none"/>
        </w:rPr>
        <w:t>8</w:t>
      </w:r>
      <w:r>
        <w:rPr>
          <w:rFonts w:hint="eastAsia" w:cs="仿宋_GB2312" w:asciiTheme="minorEastAsia" w:hAnsiTheme="minorEastAsia" w:eastAsiaTheme="minorEastAsia"/>
          <w:b/>
          <w:color w:val="auto"/>
          <w:sz w:val="24"/>
          <w:szCs w:val="24"/>
          <w:highlight w:val="none"/>
        </w:rPr>
        <w:t>）响应文件的传输提交：</w:t>
      </w:r>
      <w:r>
        <w:rPr>
          <w:rFonts w:hint="eastAsia" w:cs="仿宋_GB2312" w:asciiTheme="minorEastAsia" w:hAnsiTheme="minorEastAsia" w:eastAsiaTheme="minorEastAsia"/>
          <w:color w:val="auto"/>
          <w:sz w:val="24"/>
          <w:szCs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w:t>
      </w:r>
      <w:r>
        <w:rPr>
          <w:rFonts w:hint="eastAsia" w:cs="仿宋_GB2312" w:asciiTheme="minorEastAsia" w:hAnsiTheme="minorEastAsia" w:eastAsiaTheme="minorEastAsia"/>
          <w:color w:val="auto"/>
          <w:sz w:val="24"/>
          <w:szCs w:val="24"/>
          <w:highlight w:val="none"/>
          <w:lang w:eastAsia="zh-CN"/>
        </w:rPr>
        <w:t>部分</w:t>
      </w:r>
      <w:r>
        <w:rPr>
          <w:rFonts w:hint="eastAsia" w:cs="仿宋_GB2312" w:asciiTheme="minorEastAsia" w:hAnsiTheme="minorEastAsia" w:eastAsiaTheme="minorEastAsia"/>
          <w:color w:val="auto"/>
          <w:sz w:val="24"/>
          <w:szCs w:val="24"/>
          <w:highlight w:val="none"/>
        </w:rPr>
        <w:t xml:space="preserve"> “备份响应文件”；</w:t>
      </w:r>
      <w:r>
        <w:rPr>
          <w:rFonts w:hint="eastAsia" w:cs="仿宋_GB2312" w:asciiTheme="minorEastAsia" w:hAnsiTheme="minorEastAsia" w:eastAsiaTheme="minorEastAsia"/>
          <w:b/>
          <w:color w:val="auto"/>
          <w:sz w:val="24"/>
          <w:szCs w:val="24"/>
          <w:highlight w:val="none"/>
        </w:rPr>
        <w:t>9）响应文件的解密：</w:t>
      </w:r>
      <w:r>
        <w:rPr>
          <w:rFonts w:hint="eastAsia" w:cs="仿宋_GB2312" w:asciiTheme="minorEastAsia" w:hAnsiTheme="minorEastAsia" w:eastAsiaTheme="minorEastAsia"/>
          <w:color w:val="auto"/>
          <w:sz w:val="24"/>
          <w:szCs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szCs w:val="24"/>
          <w:highlight w:val="none"/>
        </w:rPr>
        <w:t>）具体操作指南</w:t>
      </w:r>
      <w:r>
        <w:rPr>
          <w:rFonts w:hint="eastAsia" w:cs="仿宋_GB2312" w:asciiTheme="minorEastAsia" w:hAnsiTheme="minorEastAsia" w:eastAsiaTheme="minorEastAsia"/>
          <w:color w:val="auto"/>
          <w:sz w:val="24"/>
          <w:szCs w:val="24"/>
          <w:highlight w:val="none"/>
        </w:rPr>
        <w:t>：详见政采云平台“服务中心-帮助文档-项目采购-操作流程-电子招投标-政府采购项目电子交易管理操作指南-供应商”。</w:t>
      </w:r>
    </w:p>
    <w:p w14:paraId="20EA5BBD">
      <w:pPr>
        <w:spacing w:line="360" w:lineRule="auto"/>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color w:val="auto"/>
          <w:kern w:val="0"/>
          <w:sz w:val="24"/>
          <w:szCs w:val="24"/>
          <w:highlight w:val="none"/>
        </w:rPr>
        <w:t>（</w:t>
      </w:r>
      <w:r>
        <w:rPr>
          <w:rFonts w:hint="eastAsia" w:cs="宋体" w:asciiTheme="minorEastAsia" w:hAnsiTheme="minorEastAsia" w:eastAsiaTheme="minorEastAsia"/>
          <w:b/>
          <w:color w:val="auto"/>
          <w:kern w:val="0"/>
          <w:sz w:val="24"/>
          <w:szCs w:val="24"/>
          <w:highlight w:val="none"/>
          <w:lang w:val="en-US" w:eastAsia="zh-CN"/>
        </w:rPr>
        <w:t>3</w:t>
      </w:r>
      <w:r>
        <w:rPr>
          <w:rFonts w:hint="eastAsia" w:cs="宋体" w:asciiTheme="minorEastAsia" w:hAnsiTheme="minorEastAsia" w:eastAsiaTheme="minorEastAsia"/>
          <w:b/>
          <w:color w:val="auto"/>
          <w:kern w:val="0"/>
          <w:sz w:val="24"/>
          <w:szCs w:val="24"/>
          <w:highlight w:val="none"/>
        </w:rPr>
        <w:t>）</w:t>
      </w:r>
      <w:r>
        <w:rPr>
          <w:rFonts w:hint="eastAsia" w:cs="宋体" w:asciiTheme="minorEastAsia" w:hAnsiTheme="minorEastAsia" w:eastAsiaTheme="minorEastAsia"/>
          <w:color w:val="auto"/>
          <w:sz w:val="24"/>
          <w:szCs w:val="24"/>
          <w:highlight w:val="none"/>
        </w:rPr>
        <w:t>磋商文件公告期限与磋商公告的公告期限一致。</w:t>
      </w:r>
    </w:p>
    <w:p w14:paraId="363597A5">
      <w:pPr>
        <w:pStyle w:val="24"/>
        <w:widowControl/>
        <w:spacing w:before="0" w:beforeAutospacing="0" w:after="75" w:afterAutospacing="0" w:line="360" w:lineRule="auto"/>
        <w:ind w:firstLine="482" w:firstLineChars="200"/>
        <w:rPr>
          <w:rFonts w:hint="eastAsia" w:ascii="宋体" w:hAnsi="宋体" w:cs="宋体"/>
          <w:color w:val="auto"/>
          <w:sz w:val="24"/>
          <w:szCs w:val="24"/>
        </w:rPr>
      </w:pPr>
      <w:r>
        <w:rPr>
          <w:rFonts w:hint="eastAsia" w:cs="宋体" w:asciiTheme="minorEastAsia" w:hAnsiTheme="minorEastAsia" w:eastAsiaTheme="minorEastAsia"/>
          <w:b/>
          <w:color w:val="auto"/>
          <w:kern w:val="0"/>
          <w:sz w:val="24"/>
          <w:szCs w:val="24"/>
          <w:highlight w:val="none"/>
        </w:rPr>
        <w:t>（</w:t>
      </w:r>
      <w:r>
        <w:rPr>
          <w:rFonts w:hint="eastAsia" w:cs="宋体" w:asciiTheme="minorEastAsia" w:hAnsiTheme="minorEastAsia" w:eastAsiaTheme="minorEastAsia"/>
          <w:b/>
          <w:color w:val="auto"/>
          <w:kern w:val="0"/>
          <w:sz w:val="24"/>
          <w:szCs w:val="24"/>
          <w:highlight w:val="none"/>
          <w:lang w:val="en-US" w:eastAsia="zh-CN"/>
        </w:rPr>
        <w:t>4</w:t>
      </w:r>
      <w:r>
        <w:rPr>
          <w:rFonts w:hint="eastAsia" w:cs="宋体" w:asciiTheme="minorEastAsia" w:hAnsiTheme="minorEastAsia" w:eastAsiaTheme="minorEastAsia"/>
          <w:b/>
          <w:color w:val="auto"/>
          <w:kern w:val="0"/>
          <w:sz w:val="24"/>
          <w:szCs w:val="24"/>
          <w:highlight w:val="none"/>
        </w:rPr>
        <w:t>）</w:t>
      </w:r>
      <w:r>
        <w:rPr>
          <w:rFonts w:hint="eastAsia" w:cs="仿宋_GB2312" w:asciiTheme="minorEastAsia" w:hAnsiTheme="minorEastAsia" w:eastAsiaTheme="minorEastAsia"/>
          <w:color w:val="auto"/>
          <w:kern w:val="2"/>
          <w:sz w:val="24"/>
          <w:szCs w:val="24"/>
          <w:highlight w:val="none"/>
          <w:lang w:val="en-US" w:eastAsia="zh-CN" w:bidi="ar-SA"/>
        </w:rPr>
        <w:t>《第一部分  邀请供应商》中二、申请人的资格要求：第一条中的“重大税收违法案件当事人名单”即为“重大税收违法失信主体”。</w:t>
      </w:r>
    </w:p>
    <w:p w14:paraId="1987866C">
      <w:pPr>
        <w:pStyle w:val="24"/>
        <w:widowControl/>
        <w:spacing w:before="255" w:beforeAutospacing="0" w:after="255" w:afterAutospacing="0" w:line="360" w:lineRule="auto"/>
        <w:jc w:val="both"/>
        <w:rPr>
          <w:rFonts w:hint="eastAsia" w:ascii="宋体" w:hAnsi="宋体" w:cs="宋体"/>
          <w:color w:val="auto"/>
          <w:sz w:val="24"/>
          <w:szCs w:val="24"/>
        </w:rPr>
      </w:pPr>
      <w:r>
        <w:rPr>
          <w:rStyle w:val="32"/>
          <w:rFonts w:hint="eastAsia" w:ascii="宋体" w:hAnsi="宋体" w:cs="宋体"/>
          <w:color w:val="auto"/>
          <w:sz w:val="24"/>
          <w:szCs w:val="24"/>
        </w:rPr>
        <w:t>八、凡对本次招标提出询问、质疑、投诉，请按以下方式联系</w:t>
      </w:r>
    </w:p>
    <w:p w14:paraId="23D83B9E">
      <w:pPr>
        <w:pStyle w:val="24"/>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lang w:eastAsia="zh-CN"/>
        </w:rPr>
        <w:t>宁海县高级职业技术中心学校</w:t>
      </w:r>
      <w:r>
        <w:rPr>
          <w:rFonts w:hint="eastAsia" w:ascii="宋体" w:hAnsi="宋体" w:cs="宋体"/>
          <w:color w:val="auto"/>
          <w:sz w:val="24"/>
          <w:szCs w:val="24"/>
        </w:rPr>
        <w:t xml:space="preserve"> </w:t>
      </w:r>
    </w:p>
    <w:p w14:paraId="0521214E">
      <w:pPr>
        <w:pStyle w:val="24"/>
        <w:widowControl/>
        <w:spacing w:before="75" w:beforeAutospacing="0" w:after="75" w:afterAutospacing="0" w:line="360" w:lineRule="auto"/>
        <w:ind w:firstLine="720" w:firstLineChars="300"/>
        <w:rPr>
          <w:rFonts w:hint="eastAsia" w:ascii="宋体" w:hAnsi="宋体" w:eastAsia="宋体" w:cs="宋体"/>
          <w:i w:val="0"/>
          <w:iCs w:val="0"/>
          <w:caps w:val="0"/>
          <w:color w:val="383838"/>
          <w:spacing w:val="0"/>
          <w:sz w:val="24"/>
          <w:szCs w:val="24"/>
          <w:lang w:eastAsia="zh-CN"/>
        </w:rPr>
      </w:pPr>
      <w:r>
        <w:rPr>
          <w:rFonts w:hint="eastAsia" w:ascii="宋体" w:hAnsi="宋体" w:cs="宋体"/>
          <w:color w:val="auto"/>
          <w:sz w:val="24"/>
          <w:szCs w:val="24"/>
        </w:rPr>
        <w:t>地    址：</w:t>
      </w:r>
      <w:r>
        <w:rPr>
          <w:rFonts w:hint="eastAsia" w:ascii="宋体" w:hAnsi="宋体" w:cs="宋体"/>
          <w:i w:val="0"/>
          <w:iCs w:val="0"/>
          <w:caps w:val="0"/>
          <w:color w:val="auto"/>
          <w:spacing w:val="0"/>
          <w:sz w:val="24"/>
          <w:szCs w:val="24"/>
          <w:lang w:eastAsia="zh-CN"/>
        </w:rPr>
        <w:t>宁海县梅林街道职高路</w:t>
      </w:r>
    </w:p>
    <w:p w14:paraId="3A4AFEBD">
      <w:pPr>
        <w:pStyle w:val="24"/>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传    真：  /  </w:t>
      </w:r>
    </w:p>
    <w:p w14:paraId="20AC2CCB">
      <w:pPr>
        <w:pStyle w:val="24"/>
        <w:widowControl/>
        <w:spacing w:before="75" w:beforeAutospacing="0" w:after="75" w:afterAutospacing="0" w:line="360" w:lineRule="auto"/>
        <w:ind w:firstLine="720" w:firstLineChars="300"/>
        <w:rPr>
          <w:rFonts w:hint="eastAsia" w:ascii="宋体" w:hAnsi="宋体" w:eastAsia="宋体" w:cs="宋体"/>
          <w:color w:val="auto"/>
          <w:sz w:val="24"/>
          <w:szCs w:val="24"/>
          <w:lang w:val="en-US" w:eastAsia="zh-CN"/>
        </w:rPr>
      </w:pPr>
      <w:r>
        <w:rPr>
          <w:rFonts w:hint="eastAsia" w:ascii="宋体" w:hAnsi="宋体" w:cs="宋体"/>
          <w:color w:val="auto"/>
          <w:sz w:val="24"/>
          <w:szCs w:val="24"/>
        </w:rPr>
        <w:t>项目联系人（询问）：</w:t>
      </w:r>
      <w:r>
        <w:rPr>
          <w:rFonts w:hint="eastAsia" w:ascii="宋体" w:hAnsi="宋体" w:cs="宋体"/>
          <w:color w:val="auto"/>
          <w:sz w:val="24"/>
          <w:szCs w:val="24"/>
          <w:lang w:val="en-US" w:eastAsia="zh-CN"/>
        </w:rPr>
        <w:t xml:space="preserve">蔡文斌 </w:t>
      </w:r>
    </w:p>
    <w:p w14:paraId="7FCEC3F5">
      <w:pPr>
        <w:pStyle w:val="24"/>
        <w:widowControl/>
        <w:spacing w:before="75" w:beforeAutospacing="0" w:after="75" w:afterAutospacing="0" w:line="360" w:lineRule="auto"/>
        <w:ind w:firstLine="720" w:firstLineChars="300"/>
        <w:rPr>
          <w:rFonts w:hint="default" w:ascii="宋体" w:hAnsi="宋体" w:eastAsia="宋体" w:cs="宋体"/>
          <w:color w:val="auto"/>
          <w:sz w:val="24"/>
          <w:szCs w:val="24"/>
          <w:lang w:val="en-US" w:eastAsia="zh-CN"/>
        </w:rPr>
      </w:pPr>
      <w:r>
        <w:rPr>
          <w:rFonts w:hint="eastAsia" w:ascii="宋体" w:hAnsi="宋体" w:cs="宋体"/>
          <w:color w:val="auto"/>
          <w:sz w:val="24"/>
          <w:szCs w:val="24"/>
        </w:rPr>
        <w:t>项目联系方式（询问）：</w:t>
      </w:r>
      <w:r>
        <w:rPr>
          <w:rFonts w:hint="eastAsia" w:ascii="宋体" w:hAnsi="宋体" w:cs="宋体"/>
          <w:color w:val="auto"/>
          <w:sz w:val="24"/>
          <w:szCs w:val="24"/>
          <w:lang w:val="en-US" w:eastAsia="zh-CN"/>
        </w:rPr>
        <w:t xml:space="preserve">13566555685 </w:t>
      </w:r>
    </w:p>
    <w:p w14:paraId="5CAF4A96">
      <w:pPr>
        <w:pStyle w:val="24"/>
        <w:widowControl/>
        <w:spacing w:before="75" w:beforeAutospacing="0" w:after="75" w:afterAutospacing="0" w:line="360" w:lineRule="auto"/>
        <w:ind w:firstLine="720" w:firstLineChars="300"/>
        <w:rPr>
          <w:rFonts w:hint="eastAsia" w:ascii="宋体" w:hAnsi="宋体" w:cs="宋体"/>
          <w:color w:val="auto"/>
          <w:sz w:val="24"/>
          <w:szCs w:val="24"/>
          <w:lang w:eastAsia="zh-CN"/>
        </w:rPr>
      </w:pPr>
      <w:r>
        <w:rPr>
          <w:rFonts w:hint="eastAsia" w:ascii="宋体" w:hAnsi="宋体" w:cs="宋体"/>
          <w:color w:val="auto"/>
          <w:sz w:val="24"/>
          <w:szCs w:val="24"/>
          <w:lang w:val="en-US" w:eastAsia="zh-CN"/>
        </w:rPr>
        <w:t>质疑联系人：</w:t>
      </w:r>
      <w:r>
        <w:rPr>
          <w:rFonts w:hint="eastAsia" w:ascii="宋体" w:hAnsi="宋体" w:cs="宋体"/>
          <w:color w:val="FF0000"/>
          <w:sz w:val="24"/>
          <w:szCs w:val="24"/>
          <w:lang w:val="en-US" w:eastAsia="zh-CN"/>
        </w:rPr>
        <w:t xml:space="preserve"> </w:t>
      </w:r>
      <w:r>
        <w:rPr>
          <w:rFonts w:hint="eastAsia" w:ascii="宋体" w:hAnsi="宋体" w:eastAsia="宋体" w:cs="宋体"/>
          <w:color w:val="auto"/>
          <w:sz w:val="24"/>
          <w:szCs w:val="24"/>
          <w:lang w:val="en-US" w:eastAsia="zh-CN"/>
        </w:rPr>
        <w:t>林倩倩</w:t>
      </w:r>
    </w:p>
    <w:p w14:paraId="3FF579DE">
      <w:pPr>
        <w:pStyle w:val="24"/>
        <w:widowControl/>
        <w:spacing w:before="75" w:beforeAutospacing="0" w:after="75" w:afterAutospacing="0" w:line="360" w:lineRule="auto"/>
        <w:ind w:firstLine="720" w:firstLineChars="3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质疑联系方式： 0574-59970893</w:t>
      </w:r>
    </w:p>
    <w:p w14:paraId="11588705">
      <w:pPr>
        <w:pStyle w:val="24"/>
        <w:widowControl/>
        <w:spacing w:before="75" w:beforeAutospacing="0" w:after="75" w:afterAutospacing="0" w:line="360" w:lineRule="auto"/>
        <w:rPr>
          <w:rFonts w:hint="eastAsia" w:ascii="宋体" w:hAnsi="宋体" w:cs="宋体"/>
          <w:color w:val="auto"/>
          <w:sz w:val="24"/>
          <w:szCs w:val="24"/>
        </w:rPr>
      </w:pPr>
    </w:p>
    <w:p w14:paraId="079D1E3D">
      <w:pPr>
        <w:pStyle w:val="24"/>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2.采购代理机构信息</w:t>
      </w:r>
    </w:p>
    <w:p w14:paraId="237B86CB">
      <w:pPr>
        <w:pStyle w:val="24"/>
        <w:widowControl/>
        <w:spacing w:before="75" w:beforeAutospacing="0" w:after="75" w:afterAutospacing="0" w:line="360" w:lineRule="auto"/>
        <w:rPr>
          <w:rFonts w:hint="eastAsia" w:ascii="宋体" w:hAnsi="宋体" w:cs="宋体"/>
          <w:color w:val="auto"/>
          <w:sz w:val="24"/>
          <w:szCs w:val="24"/>
          <w:lang w:val="zh-CN"/>
        </w:rPr>
      </w:pPr>
      <w:r>
        <w:rPr>
          <w:rFonts w:hint="eastAsia" w:ascii="宋体" w:hAnsi="宋体" w:cs="宋体"/>
          <w:color w:val="auto"/>
          <w:sz w:val="24"/>
          <w:szCs w:val="24"/>
        </w:rPr>
        <w:t>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val="zh-CN"/>
        </w:rPr>
        <w:t>采购代理机构：浙江信望工程咨询有限公司</w:t>
      </w:r>
    </w:p>
    <w:p w14:paraId="0A988E15">
      <w:pPr>
        <w:pStyle w:val="24"/>
        <w:widowControl/>
        <w:spacing w:before="75" w:beforeAutospacing="0" w:after="75" w:afterAutospacing="0" w:line="360" w:lineRule="auto"/>
        <w:ind w:firstLine="720" w:firstLineChars="300"/>
        <w:rPr>
          <w:rFonts w:hint="eastAsia" w:ascii="宋体" w:hAnsi="宋体" w:cs="宋体"/>
          <w:color w:val="auto"/>
          <w:sz w:val="24"/>
          <w:szCs w:val="24"/>
          <w:lang w:val="zh-CN"/>
        </w:rPr>
      </w:pPr>
      <w:r>
        <w:rPr>
          <w:rFonts w:hint="eastAsia" w:ascii="宋体" w:hAnsi="宋体" w:cs="宋体"/>
          <w:color w:val="auto"/>
          <w:sz w:val="24"/>
          <w:szCs w:val="24"/>
          <w:lang w:val="zh-CN"/>
        </w:rPr>
        <w:t>地址：宁海县跃龙路21号1楼</w:t>
      </w:r>
    </w:p>
    <w:p w14:paraId="1CEAFFEF">
      <w:pPr>
        <w:pStyle w:val="24"/>
        <w:widowControl/>
        <w:spacing w:before="75" w:beforeAutospacing="0" w:after="75" w:afterAutospacing="0" w:line="360" w:lineRule="auto"/>
        <w:ind w:firstLine="720" w:firstLineChars="300"/>
        <w:rPr>
          <w:rFonts w:hint="eastAsia" w:ascii="宋体" w:hAnsi="宋体" w:eastAsia="宋体" w:cs="宋体"/>
          <w:color w:val="auto"/>
          <w:sz w:val="24"/>
          <w:szCs w:val="24"/>
          <w:lang w:val="en-US" w:eastAsia="zh-CN"/>
        </w:rPr>
      </w:pPr>
      <w:r>
        <w:rPr>
          <w:rFonts w:hint="eastAsia" w:ascii="宋体" w:hAnsi="宋体" w:cs="宋体"/>
          <w:color w:val="auto"/>
          <w:sz w:val="24"/>
          <w:szCs w:val="24"/>
          <w:lang w:val="zh-CN"/>
        </w:rPr>
        <w:t>联系人</w:t>
      </w:r>
      <w:r>
        <w:rPr>
          <w:rFonts w:hint="eastAsia" w:ascii="宋体" w:hAnsi="宋体" w:cs="宋体"/>
          <w:sz w:val="24"/>
          <w:lang w:val="en-US" w:eastAsia="zh-CN"/>
        </w:rPr>
        <w:t>（询问）</w:t>
      </w:r>
      <w:r>
        <w:rPr>
          <w:rFonts w:hint="eastAsia" w:ascii="宋体" w:hAnsi="宋体" w:cs="宋体"/>
          <w:color w:val="auto"/>
          <w:sz w:val="24"/>
          <w:szCs w:val="24"/>
          <w:lang w:val="zh-CN"/>
        </w:rPr>
        <w:t>：</w:t>
      </w:r>
      <w:r>
        <w:rPr>
          <w:rFonts w:hint="eastAsia" w:ascii="宋体" w:hAnsi="宋体" w:cs="宋体"/>
          <w:color w:val="auto"/>
          <w:sz w:val="24"/>
          <w:szCs w:val="24"/>
          <w:lang w:val="en-US" w:eastAsia="zh-CN"/>
        </w:rPr>
        <w:t>钱丹丹</w:t>
      </w:r>
    </w:p>
    <w:p w14:paraId="52A8FE4A">
      <w:pPr>
        <w:pStyle w:val="24"/>
        <w:widowControl/>
        <w:spacing w:before="75" w:beforeAutospacing="0" w:after="75" w:afterAutospacing="0" w:line="360" w:lineRule="auto"/>
        <w:ind w:firstLine="720" w:firstLineChars="300"/>
        <w:rPr>
          <w:rFonts w:hint="eastAsia" w:ascii="宋体" w:hAnsi="宋体" w:cs="宋体"/>
          <w:color w:val="auto"/>
          <w:sz w:val="24"/>
          <w:szCs w:val="24"/>
          <w:lang w:val="zh-CN"/>
        </w:rPr>
      </w:pPr>
      <w:r>
        <w:rPr>
          <w:rFonts w:hint="eastAsia" w:ascii="宋体" w:hAnsi="宋体" w:cs="宋体"/>
          <w:color w:val="auto"/>
          <w:sz w:val="24"/>
          <w:szCs w:val="24"/>
          <w:lang w:val="zh-CN"/>
        </w:rPr>
        <w:t>联系电话</w:t>
      </w:r>
      <w:r>
        <w:rPr>
          <w:rFonts w:hint="eastAsia" w:ascii="宋体" w:hAnsi="宋体" w:cs="宋体"/>
          <w:sz w:val="24"/>
          <w:lang w:val="en-US" w:eastAsia="zh-CN"/>
        </w:rPr>
        <w:t>（询问）</w:t>
      </w:r>
      <w:r>
        <w:rPr>
          <w:rFonts w:hint="eastAsia" w:ascii="宋体" w:hAnsi="宋体" w:cs="宋体"/>
          <w:color w:val="auto"/>
          <w:sz w:val="24"/>
          <w:szCs w:val="24"/>
          <w:lang w:val="zh-CN"/>
        </w:rPr>
        <w:t>：17757444602 </w:t>
      </w:r>
    </w:p>
    <w:p w14:paraId="1B970AD2">
      <w:pPr>
        <w:pStyle w:val="24"/>
        <w:widowControl/>
        <w:spacing w:before="75" w:beforeAutospacing="0" w:after="75" w:afterAutospacing="0" w:line="360" w:lineRule="auto"/>
        <w:ind w:firstLine="720" w:firstLineChars="3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质疑联系人：</w:t>
      </w:r>
      <w:r>
        <w:rPr>
          <w:rFonts w:hint="eastAsia" w:ascii="宋体" w:hAnsi="宋体" w:cs="宋体"/>
          <w:color w:val="auto"/>
          <w:sz w:val="24"/>
          <w:highlight w:val="none"/>
          <w:lang w:val="en-US" w:eastAsia="zh-CN"/>
        </w:rPr>
        <w:t>俞晓雅</w:t>
      </w:r>
    </w:p>
    <w:p w14:paraId="0F0E8A68">
      <w:pPr>
        <w:pStyle w:val="24"/>
        <w:widowControl/>
        <w:spacing w:before="75" w:beforeAutospacing="0" w:after="75" w:afterAutospacing="0"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质疑联系方式：</w:t>
      </w:r>
      <w:r>
        <w:rPr>
          <w:rFonts w:hint="eastAsia" w:ascii="宋体" w:hAnsi="宋体" w:cs="宋体"/>
          <w:color w:val="auto"/>
          <w:sz w:val="24"/>
          <w:highlight w:val="none"/>
          <w:lang w:val="en-US" w:eastAsia="zh-CN"/>
        </w:rPr>
        <w:t>15058280220</w:t>
      </w:r>
    </w:p>
    <w:p w14:paraId="1C7A1943">
      <w:pPr>
        <w:pStyle w:val="24"/>
        <w:widowControl/>
        <w:spacing w:before="75" w:beforeAutospacing="0" w:after="75" w:afterAutospacing="0" w:line="360" w:lineRule="auto"/>
        <w:ind w:firstLine="720" w:firstLineChars="300"/>
        <w:rPr>
          <w:rFonts w:hint="eastAsia" w:ascii="宋体" w:hAnsi="宋体" w:eastAsia="宋体" w:cs="宋体"/>
          <w:color w:val="auto"/>
          <w:sz w:val="24"/>
          <w:szCs w:val="24"/>
          <w:lang w:eastAsia="zh-CN"/>
        </w:rPr>
      </w:pPr>
      <w:r>
        <w:rPr>
          <w:rFonts w:hint="eastAsia" w:ascii="宋体" w:hAnsi="宋体" w:cs="宋体"/>
          <w:color w:val="auto"/>
          <w:sz w:val="24"/>
          <w:szCs w:val="24"/>
        </w:rPr>
        <w:t xml:space="preserve">   </w:t>
      </w:r>
    </w:p>
    <w:p w14:paraId="4104353C">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3.同级政府采购监督管理部门</w:t>
      </w:r>
    </w:p>
    <w:p w14:paraId="404A2334">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名    称：宁海县政府采购管理办公室             </w:t>
      </w:r>
    </w:p>
    <w:p w14:paraId="55CB4E0A">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地    址：宁海县跃龙街道桃源中路218号              </w:t>
      </w:r>
    </w:p>
    <w:p w14:paraId="61256E44">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传    真：</w:t>
      </w:r>
      <w:r>
        <w:rPr>
          <w:rFonts w:hint="eastAsia" w:ascii="宋体" w:hAnsi="宋体" w:cs="宋体"/>
          <w:color w:val="auto"/>
          <w:sz w:val="24"/>
          <w:szCs w:val="24"/>
          <w:lang w:eastAsia="zh-CN"/>
        </w:rPr>
        <w:t>05</w:t>
      </w:r>
      <w:r>
        <w:rPr>
          <w:rFonts w:hint="eastAsia" w:ascii="宋体" w:hAnsi="宋体" w:cs="宋体"/>
          <w:color w:val="auto"/>
          <w:sz w:val="24"/>
          <w:szCs w:val="24"/>
          <w:lang w:val="en-US" w:eastAsia="zh-CN"/>
        </w:rPr>
        <w:t>7</w:t>
      </w:r>
      <w:r>
        <w:rPr>
          <w:rFonts w:hint="eastAsia" w:ascii="宋体" w:hAnsi="宋体" w:cs="宋体"/>
          <w:color w:val="auto"/>
          <w:sz w:val="24"/>
          <w:szCs w:val="24"/>
        </w:rPr>
        <w:t>4-65265612             </w:t>
      </w:r>
    </w:p>
    <w:p w14:paraId="7B64F0BF">
      <w:pPr>
        <w:pStyle w:val="24"/>
        <w:widowControl/>
        <w:spacing w:before="75" w:beforeAutospacing="0" w:after="75" w:afterAutospacing="0" w:line="360" w:lineRule="auto"/>
        <w:rPr>
          <w:rFonts w:hint="eastAsia" w:ascii="宋体" w:hAnsi="宋体" w:cs="宋体"/>
          <w:color w:val="auto"/>
          <w:sz w:val="24"/>
          <w:szCs w:val="24"/>
        </w:rPr>
      </w:pPr>
      <w:r>
        <w:rPr>
          <w:rFonts w:hint="eastAsia" w:ascii="宋体" w:hAnsi="宋体" w:cs="宋体"/>
          <w:color w:val="auto"/>
          <w:sz w:val="24"/>
          <w:szCs w:val="24"/>
        </w:rPr>
        <w:t>    联系人 ：王老师             </w:t>
      </w:r>
    </w:p>
    <w:p w14:paraId="5FC679DB">
      <w:pPr>
        <w:pStyle w:val="24"/>
        <w:widowControl/>
        <w:spacing w:before="75" w:beforeAutospacing="0" w:after="75" w:afterAutospacing="0" w:line="360" w:lineRule="auto"/>
        <w:ind w:firstLine="630"/>
        <w:rPr>
          <w:rFonts w:hint="eastAsia" w:ascii="宋体" w:hAnsi="宋体" w:cs="宋体"/>
          <w:color w:val="auto"/>
          <w:sz w:val="24"/>
          <w:szCs w:val="24"/>
        </w:rPr>
      </w:pPr>
      <w:r>
        <w:rPr>
          <w:rFonts w:hint="eastAsia" w:ascii="宋体" w:hAnsi="宋体" w:cs="宋体"/>
          <w:color w:val="auto"/>
          <w:sz w:val="24"/>
          <w:szCs w:val="24"/>
        </w:rPr>
        <w:t>监督投诉电话：</w:t>
      </w:r>
      <w:r>
        <w:rPr>
          <w:rFonts w:hint="eastAsia" w:ascii="宋体" w:hAnsi="宋体" w:cs="宋体"/>
          <w:color w:val="auto"/>
          <w:sz w:val="24"/>
          <w:szCs w:val="24"/>
          <w:lang w:eastAsia="zh-CN"/>
        </w:rPr>
        <w:t>058</w:t>
      </w:r>
      <w:r>
        <w:rPr>
          <w:rFonts w:hint="eastAsia" w:ascii="宋体" w:hAnsi="宋体" w:cs="宋体"/>
          <w:color w:val="auto"/>
          <w:sz w:val="24"/>
          <w:szCs w:val="24"/>
        </w:rPr>
        <w:t>4-65265668</w:t>
      </w:r>
    </w:p>
    <w:p w14:paraId="088DAF27">
      <w:pPr>
        <w:pStyle w:val="24"/>
        <w:widowControl/>
        <w:spacing w:before="195" w:beforeAutospacing="0" w:after="75" w:afterAutospacing="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若对项目采购电子交易系统操作有疑问，可登录政采云（https://www.zcygov.cn/），点击右侧咨询小采，获取采小蜜智能服务管家帮助，或拨打政采云服务热线400-881-7190获取热线服务帮助。        </w:t>
      </w:r>
    </w:p>
    <w:p w14:paraId="67557505">
      <w:pPr>
        <w:widowControl/>
        <w:spacing w:line="360" w:lineRule="auto"/>
        <w:ind w:right="-420" w:rightChars="-200" w:firstLine="480" w:firstLineChars="200"/>
        <w:rPr>
          <w:rFonts w:hint="eastAsia" w:ascii="仿宋" w:hAnsi="仿宋" w:eastAsia="仿宋" w:cs="仿宋"/>
          <w:color w:val="auto"/>
          <w:sz w:val="24"/>
          <w:szCs w:val="24"/>
          <w:lang w:eastAsia="zh-CN"/>
        </w:rPr>
      </w:pPr>
      <w:r>
        <w:rPr>
          <w:rFonts w:hint="eastAsia" w:ascii="宋体" w:hAnsi="宋体" w:cs="宋体"/>
          <w:color w:val="auto"/>
          <w:sz w:val="24"/>
          <w:szCs w:val="24"/>
        </w:rPr>
        <w:t>CA问题联系电话（人工）：汇信CA 400-888-4636；天谷CA 400-087-8198。</w:t>
      </w:r>
    </w:p>
    <w:p w14:paraId="4F75D29A">
      <w:pPr>
        <w:rPr>
          <w:rFonts w:hint="eastAsia"/>
        </w:rPr>
      </w:pPr>
      <w:r>
        <w:rPr>
          <w:rFonts w:ascii="Calibri" w:hAnsi="Calibri" w:eastAsia="仿宋" w:cs="Calibri"/>
          <w:color w:val="auto"/>
          <w:sz w:val="24"/>
          <w:szCs w:val="24"/>
        </w:rPr>
        <w:t> </w:t>
      </w:r>
      <w:r>
        <w:rPr>
          <w:rFonts w:ascii="Calibri" w:hAnsi="Calibri" w:cs="Calibri"/>
          <w:color w:val="auto"/>
          <w:sz w:val="24"/>
          <w:szCs w:val="24"/>
        </w:rPr>
        <w:t xml:space="preserve">          </w:t>
      </w:r>
      <w:bookmarkEnd w:id="0"/>
      <w:bookmarkStart w:id="3" w:name="_Toc462908583"/>
    </w:p>
    <w:p w14:paraId="743EE617">
      <w:pPr>
        <w:adjustRightInd/>
        <w:spacing w:line="360" w:lineRule="auto"/>
        <w:jc w:val="center"/>
        <w:outlineLvl w:val="0"/>
        <w:rPr>
          <w:rFonts w:hint="eastAsia"/>
          <w:b/>
          <w:color w:val="auto"/>
          <w:sz w:val="36"/>
          <w:szCs w:val="36"/>
        </w:rPr>
      </w:pPr>
    </w:p>
    <w:p w14:paraId="5D13F00E">
      <w:pPr>
        <w:adjustRightInd/>
        <w:spacing w:line="360" w:lineRule="auto"/>
        <w:jc w:val="center"/>
        <w:outlineLvl w:val="0"/>
        <w:rPr>
          <w:rFonts w:hint="eastAsia"/>
          <w:b/>
          <w:color w:val="auto"/>
          <w:sz w:val="36"/>
          <w:szCs w:val="36"/>
        </w:rPr>
      </w:pPr>
    </w:p>
    <w:p w14:paraId="3675994A">
      <w:pPr>
        <w:adjustRightInd/>
        <w:spacing w:line="360" w:lineRule="auto"/>
        <w:jc w:val="center"/>
        <w:outlineLvl w:val="0"/>
        <w:rPr>
          <w:rFonts w:hint="eastAsia"/>
          <w:b/>
          <w:color w:val="auto"/>
          <w:sz w:val="36"/>
          <w:szCs w:val="36"/>
        </w:rPr>
      </w:pPr>
    </w:p>
    <w:p w14:paraId="7EEC8419">
      <w:pPr>
        <w:adjustRightInd/>
        <w:spacing w:line="360" w:lineRule="auto"/>
        <w:jc w:val="both"/>
        <w:outlineLvl w:val="0"/>
        <w:rPr>
          <w:rFonts w:hint="eastAsia"/>
          <w:b/>
          <w:color w:val="auto"/>
          <w:sz w:val="36"/>
          <w:szCs w:val="36"/>
        </w:rPr>
      </w:pPr>
    </w:p>
    <w:bookmarkEnd w:id="3"/>
    <w:p w14:paraId="4C7E47F0">
      <w:pPr>
        <w:adjustRightInd/>
        <w:spacing w:line="360" w:lineRule="auto"/>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t>第</w:t>
      </w:r>
      <w:r>
        <w:rPr>
          <w:rFonts w:hint="eastAsia" w:ascii="宋体" w:hAnsi="宋体" w:cs="宋体"/>
          <w:b/>
          <w:sz w:val="36"/>
          <w:szCs w:val="20"/>
          <w:highlight w:val="none"/>
          <w:lang w:val="en-US" w:eastAsia="zh-CN"/>
        </w:rPr>
        <w:t>二</w:t>
      </w:r>
      <w:r>
        <w:rPr>
          <w:rFonts w:hint="eastAsia" w:ascii="宋体" w:hAnsi="宋体" w:eastAsia="宋体" w:cs="宋体"/>
          <w:b/>
          <w:sz w:val="36"/>
          <w:szCs w:val="20"/>
          <w:highlight w:val="none"/>
        </w:rPr>
        <w:t>部分  供应商须知</w:t>
      </w:r>
    </w:p>
    <w:p w14:paraId="6A1D7231">
      <w:pPr>
        <w:adjustRightInd/>
        <w:spacing w:line="360" w:lineRule="auto"/>
        <w:jc w:val="center"/>
        <w:outlineLvl w:val="0"/>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lang w:val="en-US" w:eastAsia="zh-CN"/>
        </w:rPr>
        <w:t>一</w:t>
      </w:r>
      <w:r>
        <w:rPr>
          <w:rFonts w:hint="eastAsia" w:cs="仿宋_GB2312" w:asciiTheme="minorEastAsia" w:hAnsiTheme="minorEastAsia" w:eastAsiaTheme="minorEastAsia"/>
          <w:b/>
          <w:color w:val="auto"/>
          <w:sz w:val="32"/>
          <w:szCs w:val="32"/>
          <w:highlight w:val="none"/>
        </w:rPr>
        <w:t>、前附表</w:t>
      </w:r>
    </w:p>
    <w:tbl>
      <w:tblPr>
        <w:tblStyle w:val="29"/>
        <w:tblW w:w="934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77"/>
      </w:tblGrid>
      <w:tr w14:paraId="2740F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C2EAA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3362E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事项</w:t>
            </w:r>
          </w:p>
        </w:tc>
        <w:tc>
          <w:tcPr>
            <w:tcW w:w="6877" w:type="dxa"/>
            <w:tcBorders>
              <w:top w:val="single" w:color="000000" w:sz="8" w:space="0"/>
              <w:left w:val="single" w:color="000000" w:sz="2" w:space="0"/>
              <w:bottom w:val="single" w:color="000000" w:sz="8" w:space="0"/>
              <w:right w:val="single" w:color="000000" w:sz="8" w:space="0"/>
            </w:tcBorders>
            <w:vAlign w:val="center"/>
          </w:tcPr>
          <w:p w14:paraId="508D864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本项目的特别规定</w:t>
            </w:r>
          </w:p>
        </w:tc>
      </w:tr>
      <w:tr w14:paraId="69607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E327D2">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DFD84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项目属性</w:t>
            </w:r>
          </w:p>
        </w:tc>
        <w:tc>
          <w:tcPr>
            <w:tcW w:w="6877" w:type="dxa"/>
            <w:tcBorders>
              <w:top w:val="single" w:color="000000" w:sz="8" w:space="0"/>
              <w:left w:val="single" w:color="000000" w:sz="2" w:space="0"/>
              <w:bottom w:val="single" w:color="000000" w:sz="8" w:space="0"/>
              <w:right w:val="single" w:color="000000" w:sz="8" w:space="0"/>
            </w:tcBorders>
            <w:vAlign w:val="center"/>
          </w:tcPr>
          <w:p w14:paraId="75B3173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ascii="宋体" w:hAnsi="宋体" w:cs="宋体"/>
                <w:sz w:val="24"/>
                <w:szCs w:val="20"/>
                <w:lang w:val="en-US" w:eastAsia="zh-CN"/>
              </w:rPr>
              <w:t>工程</w:t>
            </w:r>
            <w:r>
              <w:rPr>
                <w:rFonts w:hint="eastAsia" w:ascii="宋体" w:hAnsi="宋体" w:cs="宋体"/>
                <w:color w:val="auto"/>
                <w:sz w:val="24"/>
                <w:szCs w:val="20"/>
              </w:rPr>
              <w:t>类</w:t>
            </w:r>
            <w:r>
              <w:rPr>
                <w:rFonts w:hint="eastAsia" w:cs="宋体" w:asciiTheme="minorEastAsia" w:hAnsiTheme="minorEastAsia" w:eastAsiaTheme="minorEastAsia"/>
                <w:color w:val="auto"/>
                <w:sz w:val="24"/>
                <w:szCs w:val="24"/>
                <w:highlight w:val="none"/>
              </w:rPr>
              <w:t>。</w:t>
            </w:r>
          </w:p>
        </w:tc>
      </w:tr>
      <w:tr w14:paraId="299A9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87638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1C7CB7">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b/>
                <w:color w:val="auto"/>
                <w:kern w:val="0"/>
                <w:sz w:val="24"/>
                <w:szCs w:val="24"/>
                <w:highlight w:val="none"/>
              </w:rPr>
              <w:t>采购标的及其对应的中小企业划分标准所属行业</w:t>
            </w:r>
          </w:p>
        </w:tc>
        <w:tc>
          <w:tcPr>
            <w:tcW w:w="6877" w:type="dxa"/>
            <w:tcBorders>
              <w:top w:val="single" w:color="000000" w:sz="8" w:space="0"/>
              <w:left w:val="single" w:color="000000" w:sz="2" w:space="0"/>
              <w:bottom w:val="single" w:color="000000" w:sz="8" w:space="0"/>
              <w:right w:val="single" w:color="000000" w:sz="8" w:space="0"/>
            </w:tcBorders>
            <w:vAlign w:val="center"/>
          </w:tcPr>
          <w:p w14:paraId="1B398935">
            <w:pPr>
              <w:keepNext w:val="0"/>
              <w:keepLines w:val="0"/>
              <w:numPr>
                <w:ilvl w:val="0"/>
                <w:numId w:val="2"/>
              </w:numPr>
              <w:suppressLineNumbers w:val="0"/>
              <w:snapToGrid w:val="0"/>
              <w:spacing w:before="0" w:beforeAutospacing="0" w:after="0" w:afterAutospacing="0" w:line="360" w:lineRule="auto"/>
              <w:ind w:left="0" w:right="0"/>
              <w:rPr>
                <w:rFonts w:hint="eastAsia" w:cs="宋体" w:asciiTheme="minorEastAsia" w:hAnsiTheme="minorEastAsia" w:eastAsiaTheme="minorEastAsia"/>
                <w:color w:val="auto"/>
                <w:kern w:val="0"/>
                <w:sz w:val="24"/>
                <w:szCs w:val="24"/>
                <w:highlight w:val="none"/>
              </w:rPr>
            </w:pPr>
            <w:r>
              <w:rPr>
                <w:rFonts w:hint="eastAsia" w:ascii="宋体" w:hAnsi="宋体" w:cs="宋体"/>
                <w:kern w:val="0"/>
                <w:sz w:val="24"/>
                <w:szCs w:val="20"/>
                <w:highlight w:val="none"/>
              </w:rPr>
              <w:t>标的：</w:t>
            </w:r>
            <w:r>
              <w:rPr>
                <w:rFonts w:hint="eastAsia" w:cs="宋体" w:asciiTheme="minorEastAsia" w:hAnsiTheme="minorEastAsia" w:eastAsiaTheme="minorEastAsia"/>
                <w:color w:val="auto"/>
                <w:kern w:val="0"/>
                <w:sz w:val="24"/>
                <w:szCs w:val="24"/>
                <w:highlight w:val="none"/>
                <w:lang w:eastAsia="zh-CN"/>
              </w:rPr>
              <w:t>宁海县高级职业技术中心学校实训大楼数控设备通电、通气及烹饪实习工场通电等项目工程</w:t>
            </w:r>
            <w:r>
              <w:rPr>
                <w:rFonts w:hint="eastAsia" w:cs="宋体" w:asciiTheme="minorEastAsia" w:hAnsiTheme="minorEastAsia" w:eastAsiaTheme="minorEastAsia"/>
                <w:color w:val="auto"/>
                <w:kern w:val="0"/>
                <w:sz w:val="24"/>
                <w:szCs w:val="24"/>
                <w:highlight w:val="none"/>
              </w:rPr>
              <w:t>，属于</w:t>
            </w:r>
            <w:r>
              <w:rPr>
                <w:rFonts w:hint="eastAsia" w:ascii="宋体" w:hAnsi="宋体" w:cs="宋体" w:eastAsiaTheme="minorEastAsia"/>
                <w:color w:val="auto"/>
                <w:kern w:val="0"/>
                <w:sz w:val="24"/>
                <w:szCs w:val="20"/>
                <w:u w:val="single"/>
                <w:lang w:val="en-US" w:eastAsia="zh-CN"/>
              </w:rPr>
              <w:t>建筑业</w:t>
            </w:r>
            <w:r>
              <w:rPr>
                <w:rFonts w:hint="eastAsia" w:cs="宋体" w:asciiTheme="minorEastAsia" w:hAnsiTheme="minorEastAsia" w:eastAsiaTheme="minorEastAsia"/>
                <w:color w:val="auto"/>
                <w:kern w:val="0"/>
                <w:sz w:val="24"/>
                <w:szCs w:val="24"/>
                <w:highlight w:val="none"/>
              </w:rPr>
              <w:t>行业；</w:t>
            </w:r>
          </w:p>
          <w:p w14:paraId="35B1E0DF">
            <w:pPr>
              <w:keepNext w:val="0"/>
              <w:keepLines w:val="0"/>
              <w:numPr>
                <w:ilvl w:val="0"/>
                <w:numId w:val="0"/>
              </w:numPr>
              <w:suppressLineNumbers w:val="0"/>
              <w:snapToGrid w:val="0"/>
              <w:spacing w:before="0" w:beforeAutospacing="0" w:after="0" w:afterAutospacing="0" w:line="360" w:lineRule="auto"/>
              <w:ind w:left="0" w:right="0" w:rightChars="0"/>
              <w:rPr>
                <w:rFonts w:hint="default"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eastAsiaTheme="minorEastAsia"/>
                <w:color w:val="auto"/>
                <w:kern w:val="0"/>
                <w:sz w:val="24"/>
                <w:szCs w:val="24"/>
                <w:highlight w:val="none"/>
                <w:lang w:val="en-US" w:eastAsia="zh-CN"/>
              </w:rPr>
              <w:t>.... ....</w:t>
            </w:r>
          </w:p>
        </w:tc>
      </w:tr>
      <w:tr w14:paraId="40DD0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90B576">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295899A">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是否允许采购进口产品</w:t>
            </w:r>
          </w:p>
        </w:tc>
        <w:tc>
          <w:tcPr>
            <w:tcW w:w="6877" w:type="dxa"/>
            <w:tcBorders>
              <w:top w:val="single" w:color="000000" w:sz="8" w:space="0"/>
              <w:left w:val="single" w:color="000000" w:sz="2" w:space="0"/>
              <w:bottom w:val="single" w:color="000000" w:sz="8" w:space="0"/>
              <w:right w:val="single" w:color="000000" w:sz="8" w:space="0"/>
            </w:tcBorders>
            <w:vAlign w:val="center"/>
          </w:tcPr>
          <w:p w14:paraId="42D2CFE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sdt>
              <w:sdtPr>
                <w:rPr>
                  <w:rFonts w:hint="eastAsia" w:cs="宋体" w:asciiTheme="minorEastAsia" w:hAnsiTheme="minorEastAsia" w:eastAsiaTheme="minorEastAsia"/>
                  <w:color w:val="auto"/>
                  <w:kern w:val="0"/>
                  <w:sz w:val="24"/>
                  <w:szCs w:val="24"/>
                  <w:highlight w:val="none"/>
                </w:rPr>
                <w:id w:val="-1828425707"/>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FE"/>
                </w:r>
              </w:sdtContent>
            </w:sdt>
            <w:r>
              <w:rPr>
                <w:rFonts w:hint="eastAsia" w:cs="宋体" w:asciiTheme="minorEastAsia" w:hAnsiTheme="minorEastAsia" w:eastAsiaTheme="minorEastAsia"/>
                <w:color w:val="auto"/>
                <w:kern w:val="0"/>
                <w:sz w:val="24"/>
                <w:szCs w:val="24"/>
                <w:highlight w:val="none"/>
              </w:rPr>
              <w:t>本项目不允许采购进口产品。</w:t>
            </w:r>
          </w:p>
          <w:p w14:paraId="1C8CB614">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52852824"/>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639946486"/>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sdtContent>
            </w:sdt>
            <w:r>
              <w:rPr>
                <w:rFonts w:hint="eastAsia" w:cs="宋体" w:asciiTheme="minorEastAsia" w:hAnsiTheme="minorEastAsia" w:eastAsiaTheme="minorEastAsia"/>
                <w:color w:val="auto"/>
                <w:kern w:val="0"/>
                <w:sz w:val="24"/>
                <w:szCs w:val="24"/>
                <w:highlight w:val="none"/>
              </w:rPr>
              <w:t>可以就采购进口产品。</w:t>
            </w:r>
          </w:p>
        </w:tc>
      </w:tr>
      <w:tr w14:paraId="10519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A5777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BEA1B99">
            <w:pPr>
              <w:keepNext w:val="0"/>
              <w:keepLines w:val="0"/>
              <w:suppressLineNumbers w:val="0"/>
              <w:snapToGrid w:val="0"/>
              <w:spacing w:before="0" w:beforeAutospacing="0" w:after="0" w:afterAutospacing="0" w:line="360" w:lineRule="auto"/>
              <w:ind w:left="0" w:right="0" w:firstLine="482" w:firstLineChars="200"/>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分包</w:t>
            </w:r>
          </w:p>
        </w:tc>
        <w:tc>
          <w:tcPr>
            <w:tcW w:w="6877" w:type="dxa"/>
            <w:tcBorders>
              <w:top w:val="single" w:color="000000" w:sz="8" w:space="0"/>
              <w:left w:val="single" w:color="000000" w:sz="2" w:space="0"/>
              <w:bottom w:val="single" w:color="000000" w:sz="8" w:space="0"/>
              <w:right w:val="single" w:color="000000" w:sz="8" w:space="0"/>
            </w:tcBorders>
            <w:vAlign w:val="center"/>
          </w:tcPr>
          <w:p w14:paraId="66974F53">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477286927"/>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r>
              <w:rPr>
                <w:rFonts w:hint="eastAsia" w:cs="宋体" w:asciiTheme="minorEastAsia" w:hAnsiTheme="minorEastAsia" w:eastAsiaTheme="minorEastAsia"/>
                <w:color w:val="auto"/>
                <w:kern w:val="0"/>
                <w:sz w:val="24"/>
                <w:szCs w:val="24"/>
                <w:highlight w:val="none"/>
              </w:rPr>
              <w:t xml:space="preserve"> A</w:t>
            </w:r>
            <w:r>
              <w:rPr>
                <w:rFonts w:hint="eastAsia" w:cs="宋体" w:asciiTheme="minorEastAsia" w:hAnsiTheme="minorEastAsia" w:eastAsiaTheme="minorEastAsia"/>
                <w:color w:val="auto"/>
                <w:sz w:val="24"/>
                <w:szCs w:val="24"/>
                <w:highlight w:val="none"/>
              </w:rPr>
              <w:t>同意将非主体、非关键性的工作分包。</w:t>
            </w:r>
          </w:p>
          <w:p w14:paraId="3777703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276331357"/>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47455750"/>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t></w:t>
                    </w:r>
                  </w:sdtContent>
                </w:sdt>
              </w:sdtContent>
            </w:sdt>
            <w:r>
              <w:rPr>
                <w:rFonts w:hint="eastAsia" w:cs="宋体" w:asciiTheme="minorEastAsia" w:hAnsiTheme="minorEastAsia" w:eastAsiaTheme="minorEastAsia"/>
                <w:color w:val="auto"/>
                <w:kern w:val="0"/>
                <w:sz w:val="24"/>
                <w:szCs w:val="24"/>
                <w:highlight w:val="none"/>
              </w:rPr>
              <w:t>B</w:t>
            </w:r>
            <w:r>
              <w:rPr>
                <w:rFonts w:hint="eastAsia" w:cs="宋体" w:asciiTheme="minorEastAsia" w:hAnsiTheme="minorEastAsia" w:eastAsiaTheme="minorEastAsia"/>
                <w:color w:val="auto"/>
                <w:sz w:val="24"/>
                <w:szCs w:val="24"/>
                <w:highlight w:val="none"/>
              </w:rPr>
              <w:t>不同意分包。</w:t>
            </w:r>
          </w:p>
          <w:p w14:paraId="07E86FE5">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注：不得限制大中型企业向小微企业合理分包。</w:t>
            </w:r>
          </w:p>
        </w:tc>
      </w:tr>
      <w:tr w14:paraId="277BC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0AEDB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BF0B939">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开标前答疑会或现场考察</w:t>
            </w:r>
          </w:p>
        </w:tc>
        <w:tc>
          <w:tcPr>
            <w:tcW w:w="6877" w:type="dxa"/>
            <w:tcBorders>
              <w:top w:val="single" w:color="000000" w:sz="8" w:space="0"/>
              <w:left w:val="single" w:color="000000" w:sz="2" w:space="0"/>
              <w:bottom w:val="single" w:color="000000" w:sz="8" w:space="0"/>
              <w:right w:val="single" w:color="000000" w:sz="8" w:space="0"/>
            </w:tcBorders>
            <w:vAlign w:val="center"/>
          </w:tcPr>
          <w:p w14:paraId="6F22E327">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212966419"/>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A</w:t>
            </w:r>
            <w:r>
              <w:rPr>
                <w:rFonts w:hint="eastAsia" w:cs="宋体" w:asciiTheme="minorEastAsia" w:hAnsiTheme="minorEastAsia" w:eastAsiaTheme="minorEastAsia"/>
                <w:color w:val="auto"/>
                <w:sz w:val="24"/>
                <w:szCs w:val="24"/>
                <w:highlight w:val="none"/>
              </w:rPr>
              <w:t>不组织。</w:t>
            </w:r>
          </w:p>
          <w:p w14:paraId="6B391B2B">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999802974"/>
              </w:sdtPr>
              <w:sdtEndPr>
                <w:rPr>
                  <w:rFonts w:hint="eastAsia" w:cs="宋体" w:asciiTheme="minorEastAsia" w:hAnsiTheme="minorEastAsia" w:eastAsiaTheme="minorEastAsia"/>
                  <w:color w:val="auto"/>
                  <w:kern w:val="0"/>
                  <w:sz w:val="24"/>
                  <w:szCs w:val="24"/>
                  <w:highlight w:val="none"/>
                </w:rPr>
              </w:sdtEndPr>
              <w:sdtContent>
                <w:r>
                  <w:rPr>
                    <w:rFonts w:hint="eastAsia" w:ascii="MS Mincho" w:hAnsi="MS Mincho" w:eastAsia="MS Mincho" w:cs="MS Mincho"/>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B组织，</w:t>
            </w:r>
            <w:r>
              <w:rPr>
                <w:rFonts w:hint="eastAsia" w:cs="宋体" w:asciiTheme="minorEastAsia" w:hAnsiTheme="minorEastAsia" w:eastAsiaTheme="minorEastAsia"/>
                <w:color w:val="auto"/>
                <w:sz w:val="24"/>
                <w:szCs w:val="24"/>
                <w:highlight w:val="none"/>
              </w:rPr>
              <w:t>时间：,地点：，联系人：，联系方式：。</w:t>
            </w:r>
          </w:p>
        </w:tc>
      </w:tr>
      <w:tr w14:paraId="5A947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21068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2F50D3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样品提供</w:t>
            </w:r>
          </w:p>
        </w:tc>
        <w:tc>
          <w:tcPr>
            <w:tcW w:w="6877" w:type="dxa"/>
            <w:tcBorders>
              <w:top w:val="single" w:color="000000" w:sz="8" w:space="0"/>
              <w:left w:val="single" w:color="000000" w:sz="2" w:space="0"/>
              <w:bottom w:val="single" w:color="000000" w:sz="8" w:space="0"/>
              <w:right w:val="single" w:color="000000" w:sz="8" w:space="0"/>
            </w:tcBorders>
            <w:vAlign w:val="center"/>
          </w:tcPr>
          <w:p w14:paraId="573D88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47468584"/>
              </w:sdtPr>
              <w:sdtEndPr>
                <w:rPr>
                  <w:rFonts w:hint="eastAsia" w:cs="宋体" w:asciiTheme="minorEastAsia" w:hAnsiTheme="minorEastAsia" w:eastAsiaTheme="minorEastAsia"/>
                  <w:color w:val="FF0000"/>
                  <w:kern w:val="0"/>
                  <w:sz w:val="24"/>
                  <w:szCs w:val="24"/>
                  <w:highlight w:val="none"/>
                </w:rPr>
              </w:sdtEndPr>
              <w:sdtContent>
                <w:r>
                  <w:rPr>
                    <w:rFonts w:hint="default" w:ascii="Wingdings" w:hAnsi="Wingdings" w:eastAsia="MS Gothic" w:cs="宋体"/>
                    <w:color w:val="auto"/>
                    <w:kern w:val="0"/>
                    <w:sz w:val="24"/>
                    <w:szCs w:val="24"/>
                    <w:highlight w:val="none"/>
                  </w:rPr>
                  <w:sym w:font="Wingdings" w:char="00FE"/>
                </w:r>
              </w:sdtContent>
            </w:sdt>
            <w:r>
              <w:rPr>
                <w:rFonts w:hint="eastAsia" w:cs="宋体" w:asciiTheme="minorEastAsia" w:hAnsiTheme="minorEastAsia" w:eastAsiaTheme="minorEastAsia"/>
                <w:color w:val="auto"/>
                <w:kern w:val="0"/>
                <w:sz w:val="24"/>
                <w:szCs w:val="24"/>
                <w:highlight w:val="none"/>
              </w:rPr>
              <w:t>A</w:t>
            </w:r>
            <w:r>
              <w:rPr>
                <w:rFonts w:hint="eastAsia" w:cs="宋体" w:asciiTheme="minorEastAsia" w:hAnsiTheme="minorEastAsia" w:eastAsiaTheme="minorEastAsia"/>
                <w:color w:val="auto"/>
                <w:sz w:val="24"/>
                <w:szCs w:val="24"/>
                <w:highlight w:val="none"/>
              </w:rPr>
              <w:t>不要求提供。</w:t>
            </w:r>
          </w:p>
          <w:p w14:paraId="3A51B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cs="宋体" w:asciiTheme="minorEastAsia" w:hAnsiTheme="minorEastAsia" w:eastAsiaTheme="minorEastAsia"/>
                <w:color w:val="auto"/>
                <w:kern w:val="0"/>
                <w:sz w:val="24"/>
                <w:szCs w:val="24"/>
                <w:highlight w:val="none"/>
              </w:rPr>
            </w:pPr>
            <w:sdt>
              <w:sdtPr>
                <w:rPr>
                  <w:rFonts w:hint="eastAsia" w:cs="宋体" w:asciiTheme="minorEastAsia" w:hAnsiTheme="minorEastAsia" w:eastAsiaTheme="minorEastAsia"/>
                  <w:color w:val="auto"/>
                  <w:kern w:val="0"/>
                  <w:sz w:val="24"/>
                  <w:szCs w:val="24"/>
                  <w:highlight w:val="none"/>
                </w:rPr>
                <w:id w:val="1026831988"/>
              </w:sdtPr>
              <w:sdtEndPr>
                <w:rPr>
                  <w:rFonts w:hint="eastAsia" w:cs="宋体" w:asciiTheme="minorEastAsia" w:hAnsiTheme="minorEastAsia" w:eastAsiaTheme="minorEastAsia"/>
                  <w:color w:val="auto"/>
                  <w:kern w:val="0"/>
                  <w:sz w:val="24"/>
                  <w:szCs w:val="24"/>
                  <w:highlight w:val="none"/>
                </w:rPr>
              </w:sdtEndPr>
              <w:sdtContent>
                <w:sdt>
                  <w:sdtPr>
                    <w:rPr>
                      <w:rFonts w:hint="eastAsia" w:cs="宋体" w:asciiTheme="minorEastAsia" w:hAnsiTheme="minorEastAsia" w:eastAsiaTheme="minorEastAsia"/>
                      <w:color w:val="auto"/>
                      <w:kern w:val="0"/>
                      <w:sz w:val="24"/>
                      <w:szCs w:val="24"/>
                      <w:highlight w:val="none"/>
                    </w:rPr>
                    <w:id w:val="147479505"/>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sym w:font="Wingdings" w:char="00A8"/>
                    </w:r>
                  </w:sdtContent>
                </w:sdt>
              </w:sdtContent>
            </w:sdt>
            <w:r>
              <w:rPr>
                <w:rFonts w:hint="eastAsia" w:cs="宋体" w:asciiTheme="minorEastAsia" w:hAnsiTheme="minorEastAsia" w:eastAsiaTheme="minorEastAsia"/>
                <w:color w:val="auto"/>
                <w:kern w:val="0"/>
                <w:sz w:val="24"/>
                <w:szCs w:val="24"/>
                <w:highlight w:val="none"/>
              </w:rPr>
              <w:t>B要求提供，</w:t>
            </w:r>
          </w:p>
          <w:p w14:paraId="3A887B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w:t>
            </w:r>
            <w:r>
              <w:rPr>
                <w:rFonts w:hint="eastAsia" w:cs="宋体" w:asciiTheme="minorEastAsia" w:hAnsiTheme="minorEastAsia" w:eastAsiaTheme="minorEastAsia"/>
                <w:snapToGrid w:val="0"/>
                <w:color w:val="auto"/>
                <w:kern w:val="28"/>
                <w:sz w:val="24"/>
                <w:szCs w:val="24"/>
                <w:highlight w:val="none"/>
              </w:rPr>
              <w:t>样品：</w:t>
            </w:r>
            <w:r>
              <w:rPr>
                <w:rFonts w:hint="eastAsia" w:ascii="宋体" w:hAnsi="宋体" w:cs="宋体" w:eastAsiaTheme="minorEastAsia"/>
                <w:snapToGrid w:val="0"/>
                <w:color w:val="auto"/>
                <w:kern w:val="28"/>
                <w:sz w:val="24"/>
                <w:szCs w:val="20"/>
                <w:u w:val="single"/>
                <w:lang w:val="en-US" w:eastAsia="zh-CN"/>
              </w:rPr>
              <w:t xml:space="preserve">   </w:t>
            </w:r>
            <w:r>
              <w:rPr>
                <w:rFonts w:hint="eastAsia" w:cs="宋体" w:asciiTheme="minorEastAsia" w:hAnsiTheme="minorEastAsia" w:eastAsiaTheme="minorEastAsia"/>
                <w:color w:val="auto"/>
                <w:kern w:val="0"/>
                <w:sz w:val="24"/>
                <w:szCs w:val="24"/>
                <w:highlight w:val="none"/>
              </w:rPr>
              <w:t>；</w:t>
            </w:r>
          </w:p>
          <w:p w14:paraId="059ED2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w:t>
            </w:r>
            <w:r>
              <w:rPr>
                <w:rFonts w:hint="eastAsia" w:cs="宋体" w:asciiTheme="minorEastAsia" w:hAnsiTheme="minorEastAsia" w:eastAsiaTheme="minorEastAsia"/>
                <w:snapToGrid w:val="0"/>
                <w:color w:val="auto"/>
                <w:kern w:val="28"/>
                <w:sz w:val="24"/>
                <w:szCs w:val="24"/>
                <w:highlight w:val="none"/>
              </w:rPr>
              <w:t>样品制作的标准和要求：</w:t>
            </w:r>
            <w:r>
              <w:rPr>
                <w:rFonts w:hint="eastAsia" w:ascii="宋体" w:hAnsi="宋体" w:cs="宋体" w:eastAsiaTheme="minorEastAsia"/>
                <w:color w:val="auto"/>
                <w:sz w:val="24"/>
                <w:szCs w:val="20"/>
                <w:u w:val="single"/>
                <w:lang w:val="en-US" w:eastAsia="zh-CN"/>
              </w:rPr>
              <w:t xml:space="preserve">   </w:t>
            </w:r>
            <w:r>
              <w:rPr>
                <w:rFonts w:hint="eastAsia" w:cs="宋体" w:asciiTheme="minorEastAsia" w:hAnsiTheme="minorEastAsia" w:eastAsiaTheme="minorEastAsia"/>
                <w:color w:val="auto"/>
                <w:kern w:val="0"/>
                <w:sz w:val="24"/>
                <w:szCs w:val="24"/>
                <w:highlight w:val="none"/>
              </w:rPr>
              <w:t>；</w:t>
            </w:r>
          </w:p>
          <w:p w14:paraId="444456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（3）样品的评审方法以及评审标准</w:t>
            </w:r>
            <w:r>
              <w:rPr>
                <w:rFonts w:hint="eastAsia" w:cs="宋体" w:asciiTheme="minorEastAsia" w:hAnsiTheme="minorEastAsia" w:eastAsiaTheme="minorEastAsia"/>
                <w:snapToGrid w:val="0"/>
                <w:color w:val="auto"/>
                <w:kern w:val="28"/>
                <w:sz w:val="24"/>
                <w:szCs w:val="24"/>
                <w:highlight w:val="none"/>
              </w:rPr>
              <w:t>：详见</w:t>
            </w:r>
            <w:r>
              <w:rPr>
                <w:rFonts w:hint="eastAsia" w:cs="宋体" w:asciiTheme="minorEastAsia" w:hAnsiTheme="minorEastAsia" w:eastAsiaTheme="minorEastAsia"/>
                <w:color w:val="auto"/>
                <w:sz w:val="24"/>
                <w:szCs w:val="24"/>
                <w:highlight w:val="none"/>
                <w:u w:val="single"/>
                <w:lang w:val="en-US" w:eastAsia="zh-CN"/>
              </w:rPr>
              <w:t xml:space="preserve">   </w:t>
            </w:r>
            <w:r>
              <w:rPr>
                <w:rFonts w:hint="eastAsia" w:cs="宋体" w:asciiTheme="minorEastAsia" w:hAnsiTheme="minorEastAsia" w:eastAsiaTheme="minorEastAsia"/>
                <w:color w:val="auto"/>
                <w:kern w:val="0"/>
                <w:sz w:val="24"/>
                <w:szCs w:val="24"/>
                <w:highlight w:val="none"/>
              </w:rPr>
              <w:t>；</w:t>
            </w:r>
          </w:p>
          <w:p w14:paraId="58EDC6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cs="宋体" w:asciiTheme="minorEastAsia" w:hAnsiTheme="minorEastAsia" w:eastAsiaTheme="minorEastAsia"/>
                <w:color w:val="auto"/>
                <w:kern w:val="0"/>
                <w:sz w:val="24"/>
                <w:szCs w:val="24"/>
                <w:highlight w:val="none"/>
                <w:lang w:eastAsia="zh-CN"/>
              </w:rPr>
            </w:pPr>
            <w:r>
              <w:rPr>
                <w:rFonts w:hint="eastAsia" w:cs="宋体" w:asciiTheme="minorEastAsia" w:hAnsiTheme="minorEastAsia" w:eastAsiaTheme="minorEastAsia"/>
                <w:color w:val="auto"/>
                <w:kern w:val="0"/>
                <w:sz w:val="24"/>
                <w:szCs w:val="24"/>
                <w:highlight w:val="none"/>
              </w:rPr>
              <w:t>（4）</w:t>
            </w:r>
            <w:r>
              <w:rPr>
                <w:rFonts w:hint="eastAsia" w:ascii="宋体" w:hAnsi="宋体" w:cs="宋体"/>
                <w:color w:val="auto"/>
                <w:kern w:val="0"/>
                <w:sz w:val="24"/>
                <w:szCs w:val="20"/>
              </w:rPr>
              <w:t>是否需要随样品提交检测报告：</w:t>
            </w:r>
            <w:sdt>
              <w:sdtPr>
                <w:rPr>
                  <w:rFonts w:hint="eastAsia" w:ascii="宋体" w:hAnsi="宋体" w:cs="宋体"/>
                  <w:color w:val="auto"/>
                  <w:kern w:val="0"/>
                  <w:sz w:val="24"/>
                  <w:szCs w:val="20"/>
                </w:rPr>
                <w:id w:val="147464785"/>
              </w:sdtPr>
              <w:sdtEndPr>
                <w:rPr>
                  <w:rFonts w:hint="eastAsia" w:ascii="宋体" w:hAnsi="宋体" w:cs="宋体"/>
                  <w:color w:val="auto"/>
                  <w:kern w:val="0"/>
                  <w:sz w:val="24"/>
                  <w:szCs w:val="20"/>
                </w:rPr>
              </w:sdtEndPr>
              <w:sdtContent>
                <w:sdt>
                  <w:sdtPr>
                    <w:rPr>
                      <w:rFonts w:hint="eastAsia" w:ascii="宋体" w:hAnsi="宋体" w:cs="宋体"/>
                      <w:color w:val="auto"/>
                      <w:kern w:val="0"/>
                      <w:sz w:val="24"/>
                      <w:szCs w:val="20"/>
                    </w:rPr>
                    <w:id w:val="147468300"/>
                  </w:sdtPr>
                  <w:sdtEndPr>
                    <w:rPr>
                      <w:rFonts w:hint="eastAsia" w:ascii="宋体" w:hAnsi="宋体" w:cs="宋体"/>
                      <w:color w:val="auto"/>
                      <w:kern w:val="0"/>
                      <w:sz w:val="24"/>
                      <w:szCs w:val="20"/>
                    </w:rPr>
                  </w:sdtEndPr>
                  <w:sdtContent>
                    <w:r>
                      <w:rPr>
                        <w:rFonts w:hint="default" w:ascii="Wingdings" w:hAnsi="Wingdings" w:cs="宋体"/>
                        <w:color w:val="auto"/>
                        <w:kern w:val="0"/>
                        <w:sz w:val="24"/>
                        <w:szCs w:val="20"/>
                      </w:rPr>
                      <w:sym w:font="Wingdings" w:char="00A8"/>
                    </w:r>
                  </w:sdtContent>
                </w:sdt>
              </w:sdtContent>
            </w:sdt>
            <w:r>
              <w:rPr>
                <w:rFonts w:hint="eastAsia" w:ascii="宋体" w:hAnsi="宋体" w:cs="宋体"/>
                <w:color w:val="auto"/>
                <w:kern w:val="0"/>
                <w:sz w:val="24"/>
                <w:szCs w:val="20"/>
              </w:rPr>
              <w:t>否；</w:t>
            </w:r>
            <w:sdt>
              <w:sdtPr>
                <w:rPr>
                  <w:rFonts w:hint="eastAsia" w:ascii="宋体" w:hAnsi="宋体" w:cs="宋体"/>
                  <w:color w:val="auto"/>
                  <w:kern w:val="0"/>
                  <w:sz w:val="24"/>
                  <w:szCs w:val="20"/>
                </w:rPr>
                <w:id w:val="147475776"/>
              </w:sdtPr>
              <w:sdtEndPr>
                <w:rPr>
                  <w:rFonts w:hint="eastAsia" w:ascii="宋体" w:hAnsi="宋体" w:cs="宋体"/>
                  <w:color w:val="auto"/>
                  <w:kern w:val="0"/>
                  <w:sz w:val="24"/>
                  <w:szCs w:val="20"/>
                </w:rPr>
              </w:sdtEndPr>
              <w:sdtContent>
                <w:r>
                  <w:rPr>
                    <w:rFonts w:hint="default" w:ascii="Wingdings" w:hAnsi="Wingdings" w:cs="宋体"/>
                    <w:color w:val="auto"/>
                    <w:kern w:val="0"/>
                    <w:sz w:val="24"/>
                    <w:szCs w:val="20"/>
                  </w:rPr>
                  <w:sym w:font="Wingdings" w:char="00A8"/>
                </w:r>
              </w:sdtContent>
            </w:sdt>
            <w:r>
              <w:rPr>
                <w:rFonts w:hint="eastAsia" w:ascii="宋体" w:hAnsi="宋体" w:cs="宋体"/>
                <w:color w:val="auto"/>
                <w:kern w:val="0"/>
                <w:sz w:val="24"/>
                <w:szCs w:val="20"/>
              </w:rPr>
              <w:t>是，检测机构的要求</w:t>
            </w:r>
            <w:r>
              <w:rPr>
                <w:rFonts w:hint="eastAsia" w:ascii="宋体" w:hAnsi="宋体" w:cs="宋体"/>
                <w:color w:val="auto"/>
                <w:sz w:val="24"/>
                <w:szCs w:val="20"/>
              </w:rPr>
              <w:t>：</w:t>
            </w:r>
            <w:r>
              <w:rPr>
                <w:rFonts w:hint="eastAsia" w:ascii="宋体" w:hAnsi="宋体" w:cs="宋体"/>
                <w:color w:val="auto"/>
                <w:sz w:val="24"/>
                <w:szCs w:val="20"/>
                <w:u w:val="single"/>
                <w:lang w:val="en-US" w:eastAsia="zh-CN"/>
              </w:rPr>
              <w:t xml:space="preserve">  </w:t>
            </w:r>
            <w:r>
              <w:rPr>
                <w:rFonts w:hint="eastAsia" w:ascii="宋体" w:hAnsi="宋体" w:cs="宋体"/>
                <w:color w:val="auto"/>
                <w:kern w:val="0"/>
                <w:sz w:val="24"/>
                <w:szCs w:val="20"/>
              </w:rPr>
              <w:t>；检测内容</w:t>
            </w:r>
            <w:r>
              <w:rPr>
                <w:rFonts w:hint="eastAsia" w:ascii="宋体" w:hAnsi="宋体" w:cs="宋体"/>
                <w:color w:val="auto"/>
                <w:sz w:val="24"/>
                <w:szCs w:val="20"/>
              </w:rPr>
              <w:t>：</w:t>
            </w:r>
            <w:r>
              <w:rPr>
                <w:rFonts w:hint="eastAsia" w:ascii="宋体" w:hAnsi="宋体" w:cs="宋体"/>
                <w:color w:val="auto"/>
                <w:sz w:val="24"/>
                <w:szCs w:val="20"/>
                <w:u w:val="single"/>
                <w:lang w:val="en-US" w:eastAsia="zh-CN"/>
              </w:rPr>
              <w:t xml:space="preserve">   </w:t>
            </w:r>
            <w:r>
              <w:rPr>
                <w:rFonts w:hint="eastAsia" w:ascii="宋体" w:hAnsi="宋体" w:cs="宋体"/>
                <w:color w:val="auto"/>
                <w:kern w:val="0"/>
                <w:sz w:val="24"/>
                <w:szCs w:val="20"/>
              </w:rPr>
              <w:t>。</w:t>
            </w:r>
          </w:p>
          <w:p w14:paraId="70CD4A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ascii="宋体" w:hAnsi="宋体" w:eastAsia="宋体" w:cs="宋体"/>
                <w:color w:val="auto"/>
                <w:sz w:val="24"/>
                <w:szCs w:val="20"/>
                <w:highlight w:val="none"/>
                <w:lang w:val="en-US" w:eastAsia="zh-CN"/>
              </w:rPr>
            </w:pPr>
            <w:r>
              <w:rPr>
                <w:rFonts w:hint="eastAsia" w:cs="宋体" w:asciiTheme="minorEastAsia" w:hAnsiTheme="minorEastAsia" w:eastAsiaTheme="minorEastAsia"/>
                <w:color w:val="auto"/>
                <w:sz w:val="24"/>
                <w:szCs w:val="24"/>
                <w:highlight w:val="none"/>
              </w:rPr>
              <w:t>（5）</w:t>
            </w:r>
            <w:r>
              <w:rPr>
                <w:rFonts w:hint="eastAsia" w:ascii="宋体" w:hAnsi="宋体" w:cs="宋体"/>
                <w:color w:val="auto"/>
                <w:sz w:val="24"/>
                <w:szCs w:val="20"/>
              </w:rPr>
              <w:t>提供样品的时间：</w:t>
            </w:r>
            <w:r>
              <w:rPr>
                <w:rFonts w:hint="eastAsia" w:ascii="宋体" w:hAnsi="宋体" w:cs="宋体"/>
                <w:color w:val="auto"/>
                <w:sz w:val="24"/>
                <w:szCs w:val="20"/>
                <w:u w:val="single"/>
                <w:lang w:val="en-US" w:eastAsia="zh-CN"/>
              </w:rPr>
              <w:t xml:space="preserve">  </w:t>
            </w:r>
            <w:r>
              <w:rPr>
                <w:rFonts w:hint="eastAsia" w:ascii="宋体" w:hAnsi="宋体" w:cs="宋体"/>
                <w:color w:val="auto"/>
                <w:kern w:val="0"/>
                <w:sz w:val="24"/>
                <w:szCs w:val="20"/>
              </w:rPr>
              <w:t>；地点：</w:t>
            </w:r>
            <w:r>
              <w:rPr>
                <w:rFonts w:hint="eastAsia" w:ascii="宋体" w:hAnsi="宋体" w:cs="宋体"/>
                <w:color w:val="auto"/>
                <w:kern w:val="0"/>
                <w:sz w:val="24"/>
                <w:szCs w:val="20"/>
                <w:u w:val="single"/>
                <w:lang w:val="en-US" w:eastAsia="zh-CN"/>
              </w:rPr>
              <w:t xml:space="preserve">  </w:t>
            </w:r>
            <w:r>
              <w:rPr>
                <w:rFonts w:hint="eastAsia" w:ascii="宋体" w:hAnsi="宋体" w:eastAsia="宋体" w:cs="宋体"/>
                <w:color w:val="auto"/>
                <w:kern w:val="0"/>
                <w:sz w:val="24"/>
                <w:szCs w:val="20"/>
                <w:highlight w:val="none"/>
              </w:rPr>
              <w:t>联系人</w:t>
            </w:r>
            <w:r>
              <w:rPr>
                <w:rFonts w:hint="eastAsia" w:ascii="宋体" w:hAnsi="宋体" w:eastAsia="宋体" w:cs="宋体"/>
                <w:color w:val="auto"/>
                <w:sz w:val="24"/>
                <w:szCs w:val="20"/>
                <w:highlight w:val="none"/>
              </w:rPr>
              <w:t>：</w:t>
            </w:r>
            <w:r>
              <w:rPr>
                <w:rFonts w:hint="eastAsia" w:ascii="宋体" w:hAnsi="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rPr>
              <w:t>，</w:t>
            </w:r>
            <w:r>
              <w:rPr>
                <w:rFonts w:hint="eastAsia" w:ascii="宋体" w:hAnsi="宋体" w:eastAsia="宋体" w:cs="宋体"/>
                <w:color w:val="auto"/>
                <w:kern w:val="28"/>
                <w:sz w:val="24"/>
                <w:szCs w:val="20"/>
                <w:highlight w:val="none"/>
              </w:rPr>
              <w:t>联系电话：</w:t>
            </w:r>
            <w:r>
              <w:rPr>
                <w:rFonts w:hint="eastAsia" w:ascii="宋体" w:hAnsi="宋体" w:cs="宋体"/>
                <w:color w:val="auto"/>
                <w:kern w:val="28"/>
                <w:sz w:val="24"/>
                <w:szCs w:val="20"/>
                <w:highlight w:val="none"/>
                <w:u w:val="single"/>
                <w:lang w:val="en-US" w:eastAsia="zh-CN"/>
              </w:rPr>
              <w:t xml:space="preserve">  </w:t>
            </w:r>
            <w:r>
              <w:rPr>
                <w:rFonts w:hint="eastAsia" w:ascii="宋体" w:hAnsi="宋体" w:eastAsia="宋体" w:cs="宋体"/>
                <w:color w:val="auto"/>
                <w:sz w:val="24"/>
                <w:szCs w:val="20"/>
                <w:highlight w:val="none"/>
              </w:rPr>
              <w:t>。</w:t>
            </w:r>
          </w:p>
          <w:p w14:paraId="0EBD8D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eastAsia" w:cs="宋体" w:asciiTheme="minorEastAsia" w:hAnsiTheme="minorEastAsia" w:eastAsiaTheme="minorEastAsia"/>
                <w:color w:val="auto"/>
                <w:sz w:val="24"/>
                <w:szCs w:val="24"/>
                <w:highlight w:val="none"/>
              </w:rPr>
            </w:pPr>
            <w:r>
              <w:rPr>
                <w:rFonts w:hint="eastAsia" w:ascii="宋体" w:hAnsi="宋体" w:eastAsia="宋体" w:cs="宋体"/>
                <w:color w:val="auto"/>
                <w:sz w:val="24"/>
                <w:szCs w:val="20"/>
                <w:highlight w:val="none"/>
              </w:rPr>
              <w:t>请供应商在上述时间内提供样品。超过截止时间的，采购人或采购代理机构将不予接收，并将清场并封闭样品现场。</w:t>
            </w:r>
            <w:r>
              <w:rPr>
                <w:rFonts w:hint="eastAsia" w:cs="宋体" w:asciiTheme="minorEastAsia" w:hAnsiTheme="minorEastAsia" w:eastAsiaTheme="minorEastAsia"/>
                <w:color w:val="auto"/>
                <w:sz w:val="24"/>
                <w:szCs w:val="24"/>
                <w:highlight w:val="none"/>
              </w:rPr>
              <w:t xml:space="preserve"> </w:t>
            </w:r>
          </w:p>
          <w:p w14:paraId="7B22DA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40069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（7）制作、运输、安装和保管样品所发生的一切费用由供应商自理。</w:t>
            </w:r>
          </w:p>
        </w:tc>
      </w:tr>
      <w:tr w14:paraId="1E63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C12B6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999C44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Cs/>
                <w:color w:val="auto"/>
                <w:sz w:val="24"/>
                <w:szCs w:val="24"/>
                <w:highlight w:val="none"/>
              </w:rPr>
            </w:pPr>
            <w:r>
              <w:rPr>
                <w:rFonts w:hint="eastAsia" w:cs="宋体" w:asciiTheme="minorEastAsia" w:hAnsiTheme="minorEastAsia" w:eastAsiaTheme="minorEastAsia"/>
                <w:b/>
                <w:color w:val="auto"/>
                <w:sz w:val="24"/>
                <w:szCs w:val="24"/>
                <w:highlight w:val="none"/>
              </w:rPr>
              <w:t>方案讲解演示</w:t>
            </w:r>
          </w:p>
        </w:tc>
        <w:tc>
          <w:tcPr>
            <w:tcW w:w="6877" w:type="dxa"/>
            <w:tcBorders>
              <w:top w:val="single" w:color="000000" w:sz="8" w:space="0"/>
              <w:left w:val="single" w:color="000000" w:sz="2" w:space="0"/>
              <w:bottom w:val="single" w:color="000000" w:sz="8" w:space="0"/>
              <w:right w:val="single" w:color="000000" w:sz="8" w:space="0"/>
            </w:tcBorders>
            <w:vAlign w:val="center"/>
          </w:tcPr>
          <w:p w14:paraId="6C6E3D0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sdt>
              <w:sdtPr>
                <w:rPr>
                  <w:rFonts w:hint="eastAsia" w:cs="宋体" w:asciiTheme="minorEastAsia" w:hAnsiTheme="minorEastAsia" w:eastAsiaTheme="minorEastAsia"/>
                  <w:color w:val="auto"/>
                  <w:kern w:val="0"/>
                  <w:sz w:val="24"/>
                  <w:szCs w:val="24"/>
                  <w:highlight w:val="none"/>
                </w:rPr>
                <w:id w:val="-1859348549"/>
              </w:sdtPr>
              <w:sdtEndPr>
                <w:rPr>
                  <w:rFonts w:hint="eastAsia" w:cs="宋体" w:asciiTheme="minorEastAsia" w:hAnsiTheme="minorEastAsia" w:eastAsiaTheme="minorEastAsia"/>
                  <w:color w:val="auto"/>
                  <w:kern w:val="0"/>
                  <w:sz w:val="24"/>
                  <w:szCs w:val="24"/>
                  <w:highlight w:val="none"/>
                </w:rPr>
              </w:sdtEndPr>
              <w:sdtContent>
                <w:r>
                  <w:rPr>
                    <w:rFonts w:hint="default" w:ascii="Wingdings" w:hAnsi="Wingdings" w:eastAsia="MS Gothic" w:cs="宋体"/>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A</w:t>
            </w:r>
            <w:r>
              <w:rPr>
                <w:rFonts w:hint="eastAsia" w:cs="宋体" w:asciiTheme="minorEastAsia" w:hAnsiTheme="minorEastAsia" w:eastAsiaTheme="minorEastAsia"/>
                <w:color w:val="auto"/>
                <w:sz w:val="24"/>
                <w:szCs w:val="24"/>
                <w:highlight w:val="none"/>
              </w:rPr>
              <w:t>不组织。</w:t>
            </w:r>
          </w:p>
          <w:p w14:paraId="29A8DA99">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sdt>
              <w:sdtPr>
                <w:rPr>
                  <w:rFonts w:hint="eastAsia" w:cs="宋体" w:asciiTheme="minorEastAsia" w:hAnsiTheme="minorEastAsia" w:eastAsiaTheme="minorEastAsia"/>
                  <w:color w:val="auto"/>
                  <w:kern w:val="0"/>
                  <w:sz w:val="24"/>
                  <w:szCs w:val="24"/>
                  <w:highlight w:val="none"/>
                </w:rPr>
                <w:id w:val="1174071719"/>
              </w:sdtPr>
              <w:sdtEndPr>
                <w:rPr>
                  <w:rFonts w:hint="eastAsia" w:cs="宋体" w:asciiTheme="minorEastAsia" w:hAnsiTheme="minorEastAsia" w:eastAsiaTheme="minorEastAsia"/>
                  <w:color w:val="auto"/>
                  <w:kern w:val="0"/>
                  <w:sz w:val="24"/>
                  <w:szCs w:val="24"/>
                  <w:highlight w:val="none"/>
                </w:rPr>
              </w:sdtEndPr>
              <w:sdtContent>
                <w:r>
                  <w:rPr>
                    <w:rFonts w:hint="eastAsia" w:ascii="MS Mincho" w:hAnsi="MS Mincho" w:eastAsia="MS Mincho" w:cs="MS Mincho"/>
                    <w:color w:val="auto"/>
                    <w:kern w:val="0"/>
                    <w:sz w:val="24"/>
                    <w:szCs w:val="24"/>
                    <w:highlight w:val="none"/>
                  </w:rPr>
                  <w:t>☐</w:t>
                </w:r>
              </w:sdtContent>
            </w:sdt>
            <w:r>
              <w:rPr>
                <w:rFonts w:hint="eastAsia" w:cs="宋体" w:asciiTheme="minorEastAsia" w:hAnsiTheme="minorEastAsia" w:eastAsiaTheme="minorEastAsia"/>
                <w:color w:val="auto"/>
                <w:kern w:val="0"/>
                <w:sz w:val="24"/>
                <w:szCs w:val="24"/>
                <w:highlight w:val="none"/>
              </w:rPr>
              <w:t>B组织。</w:t>
            </w:r>
          </w:p>
          <w:p w14:paraId="233C1CE1">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szCs w:val="24"/>
                <w:highlight w:val="none"/>
                <w:u w:val="single"/>
              </w:rPr>
              <w:t>20（编制时可根据项目情况进行调整）</w:t>
            </w:r>
            <w:r>
              <w:rPr>
                <w:rFonts w:hint="eastAsia" w:cs="宋体" w:asciiTheme="minorEastAsia" w:hAnsiTheme="minorEastAsia" w:eastAsiaTheme="minorEastAsia"/>
                <w:color w:val="auto"/>
                <w:kern w:val="0"/>
                <w:sz w:val="24"/>
                <w:szCs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szCs w:val="24"/>
                <w:highlight w:val="none"/>
                <w:u w:val="single"/>
              </w:rPr>
              <w:t>3（编制时可根据项目情况进行调整）</w:t>
            </w:r>
            <w:r>
              <w:rPr>
                <w:rFonts w:hint="eastAsia" w:cs="宋体" w:asciiTheme="minorEastAsia" w:hAnsiTheme="minorEastAsia" w:eastAsiaTheme="minorEastAsia"/>
                <w:color w:val="auto"/>
                <w:kern w:val="0"/>
                <w:sz w:val="24"/>
                <w:szCs w:val="24"/>
                <w:highlight w:val="none"/>
              </w:rPr>
              <w:t>人。讲解演示结束后按要求解答评标委员会提问。</w:t>
            </w:r>
          </w:p>
          <w:p w14:paraId="69E506B9">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（2）方案讲解演示可选择以下其中一种方式：</w:t>
            </w:r>
          </w:p>
          <w:p w14:paraId="1AD07C79">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方式一：政采云平台在线讲解演示。政采云平台在线讲解需供应商根据政采云平台操作要求做好准备工作，提前完善软硬件配置环境。</w:t>
            </w:r>
          </w:p>
          <w:p w14:paraId="18378422">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方式二：交易中心现场讲解演示。现场讲解地点为</w:t>
            </w:r>
            <w:r>
              <w:rPr>
                <w:rFonts w:hint="eastAsia" w:cs="宋体" w:asciiTheme="minorEastAsia" w:hAnsiTheme="minorEastAsia" w:eastAsiaTheme="minorEastAsia"/>
                <w:color w:val="auto"/>
                <w:kern w:val="0"/>
                <w:sz w:val="24"/>
                <w:szCs w:val="24"/>
                <w:highlight w:val="none"/>
                <w:u w:val="single"/>
                <w:lang w:val="en-US" w:eastAsia="zh-CN"/>
              </w:rPr>
              <w:t xml:space="preserve">  </w:t>
            </w:r>
            <w:r>
              <w:rPr>
                <w:rFonts w:hint="eastAsia" w:cs="宋体" w:asciiTheme="minorEastAsia" w:hAnsiTheme="minorEastAsia" w:eastAsiaTheme="minorEastAsia"/>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741F2F67">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b/>
                <w:color w:val="auto"/>
                <w:kern w:val="0"/>
                <w:sz w:val="24"/>
                <w:szCs w:val="24"/>
                <w:highlight w:val="none"/>
                <w:lang w:val="zh-CN"/>
              </w:rPr>
            </w:pPr>
            <w:r>
              <w:rPr>
                <w:rFonts w:hint="eastAsia" w:cs="宋体" w:asciiTheme="minorEastAsia" w:hAnsiTheme="minorEastAsia" w:eastAsiaTheme="minorEastAsia"/>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32446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restart"/>
            <w:tcBorders>
              <w:top w:val="single" w:color="auto" w:sz="4" w:space="0"/>
              <w:left w:val="single" w:color="auto" w:sz="4" w:space="0"/>
              <w:right w:val="single" w:color="auto" w:sz="4" w:space="0"/>
            </w:tcBorders>
            <w:vAlign w:val="center"/>
          </w:tcPr>
          <w:p w14:paraId="5C2BCD7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3571A6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供应商应当提供的资格、资信证明文件</w:t>
            </w:r>
          </w:p>
        </w:tc>
        <w:tc>
          <w:tcPr>
            <w:tcW w:w="6877" w:type="dxa"/>
            <w:tcBorders>
              <w:top w:val="single" w:color="000000" w:sz="8" w:space="0"/>
              <w:left w:val="single" w:color="000000" w:sz="2" w:space="0"/>
              <w:bottom w:val="single" w:color="auto" w:sz="4" w:space="0"/>
              <w:right w:val="single" w:color="000000" w:sz="8" w:space="0"/>
            </w:tcBorders>
            <w:vAlign w:val="center"/>
          </w:tcPr>
          <w:p w14:paraId="3BFB4EAF">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（1）资格证明文件：见招标文件第</w:t>
            </w:r>
            <w:r>
              <w:rPr>
                <w:rFonts w:hint="eastAsia" w:cs="宋体" w:asciiTheme="minorEastAsia" w:hAnsiTheme="minorEastAsia" w:eastAsiaTheme="minorEastAsia"/>
                <w:color w:val="auto"/>
                <w:sz w:val="24"/>
                <w:szCs w:val="24"/>
                <w:highlight w:val="none"/>
                <w:lang w:eastAsia="zh-CN"/>
              </w:rPr>
              <w:t>一部分《</w:t>
            </w:r>
            <w:r>
              <w:rPr>
                <w:rStyle w:val="32"/>
                <w:rFonts w:hint="eastAsia" w:ascii="宋体" w:hAnsi="宋体" w:cs="宋体"/>
                <w:color w:val="auto"/>
                <w:sz w:val="24"/>
                <w:szCs w:val="24"/>
              </w:rPr>
              <w:t>申请人的资格要求</w:t>
            </w:r>
            <w:r>
              <w:rPr>
                <w:rStyle w:val="32"/>
                <w:rFonts w:hint="eastAsia" w:ascii="宋体" w:hAnsi="宋体" w:cs="宋体"/>
                <w:color w:val="auto"/>
                <w:sz w:val="24"/>
                <w:szCs w:val="24"/>
                <w:lang w:eastAsia="zh-CN"/>
              </w:rPr>
              <w:t>》</w:t>
            </w:r>
            <w:r>
              <w:rPr>
                <w:rFonts w:hint="eastAsia" w:cs="宋体" w:asciiTheme="minorEastAsia" w:hAnsiTheme="minorEastAsia" w:eastAsiaTheme="minorEastAsia"/>
                <w:color w:val="auto"/>
                <w:sz w:val="24"/>
                <w:szCs w:val="24"/>
                <w:highlight w:val="none"/>
              </w:rPr>
              <w:t>。</w:t>
            </w:r>
          </w:p>
          <w:p w14:paraId="6182E3AC">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snapToGrid w:val="0"/>
                <w:color w:val="auto"/>
                <w:kern w:val="0"/>
                <w:sz w:val="24"/>
                <w:szCs w:val="24"/>
                <w:highlight w:val="none"/>
              </w:rPr>
            </w:pPr>
            <w:r>
              <w:rPr>
                <w:rFonts w:hint="eastAsia" w:cs="宋体" w:asciiTheme="minorEastAsia" w:hAnsiTheme="minorEastAsia" w:eastAsiaTheme="minorEastAsia"/>
                <w:color w:val="auto"/>
                <w:kern w:val="0"/>
                <w:sz w:val="24"/>
                <w:szCs w:val="24"/>
                <w:highlight w:val="none"/>
                <w:lang w:val="zh-CN"/>
              </w:rPr>
              <w:t>供应商未提供有效的资格证明文件的，视为供应商不具备磋商文件中规定的资格要求，响应无效。</w:t>
            </w:r>
          </w:p>
        </w:tc>
      </w:tr>
      <w:tr w14:paraId="49599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 w:hRule="atLeast"/>
          <w:tblHeader/>
        </w:trPr>
        <w:tc>
          <w:tcPr>
            <w:tcW w:w="629" w:type="dxa"/>
            <w:vMerge w:val="continue"/>
            <w:tcBorders>
              <w:left w:val="single" w:color="auto" w:sz="4" w:space="0"/>
              <w:bottom w:val="single" w:color="auto" w:sz="4" w:space="0"/>
              <w:right w:val="single" w:color="auto" w:sz="4" w:space="0"/>
            </w:tcBorders>
            <w:vAlign w:val="center"/>
          </w:tcPr>
          <w:p w14:paraId="156AA86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40FD311">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p>
        </w:tc>
        <w:tc>
          <w:tcPr>
            <w:tcW w:w="6877" w:type="dxa"/>
            <w:tcBorders>
              <w:top w:val="single" w:color="auto" w:sz="4" w:space="0"/>
              <w:left w:val="single" w:color="000000" w:sz="2" w:space="0"/>
              <w:bottom w:val="single" w:color="000000" w:sz="8" w:space="0"/>
              <w:right w:val="single" w:color="000000" w:sz="8" w:space="0"/>
            </w:tcBorders>
            <w:vAlign w:val="center"/>
          </w:tcPr>
          <w:p w14:paraId="075DE708">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（2）资信证明文件：</w:t>
            </w:r>
            <w:r>
              <w:rPr>
                <w:rFonts w:hint="eastAsia" w:ascii="宋体" w:hAnsi="宋体" w:cs="宋体"/>
                <w:sz w:val="24"/>
                <w:szCs w:val="20"/>
              </w:rPr>
              <w:t>根据采购文件第四部分评审标准提供</w:t>
            </w:r>
            <w:r>
              <w:rPr>
                <w:rFonts w:hint="eastAsia" w:cs="宋体" w:asciiTheme="minorEastAsia" w:hAnsiTheme="minorEastAsia" w:eastAsiaTheme="minorEastAsia"/>
                <w:color w:val="auto"/>
                <w:sz w:val="24"/>
                <w:szCs w:val="24"/>
                <w:highlight w:val="none"/>
              </w:rPr>
              <w:t>。</w:t>
            </w:r>
          </w:p>
        </w:tc>
      </w:tr>
      <w:tr w14:paraId="0FDCE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E7C2B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2F2AF5">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节能产品、环境标志产品</w:t>
            </w:r>
          </w:p>
        </w:tc>
        <w:tc>
          <w:tcPr>
            <w:tcW w:w="6877" w:type="dxa"/>
            <w:tcBorders>
              <w:top w:val="single" w:color="000000" w:sz="8" w:space="0"/>
              <w:left w:val="single" w:color="000000" w:sz="2" w:space="0"/>
              <w:bottom w:val="single" w:color="000000" w:sz="8" w:space="0"/>
              <w:right w:val="single" w:color="000000" w:sz="8" w:space="0"/>
            </w:tcBorders>
            <w:vAlign w:val="center"/>
          </w:tcPr>
          <w:p w14:paraId="1FB95E78">
            <w:pPr>
              <w:keepNext w:val="0"/>
              <w:keepLines w:val="0"/>
              <w:suppressLineNumbers w:val="0"/>
              <w:snapToGrid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default" w:cs="宋体" w:asciiTheme="minorEastAsia" w:hAnsiTheme="minorEastAsia" w:eastAsiaTheme="minor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8410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FFAC38">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219A927">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最后报价要求</w:t>
            </w:r>
          </w:p>
        </w:tc>
        <w:tc>
          <w:tcPr>
            <w:tcW w:w="6877" w:type="dxa"/>
            <w:tcBorders>
              <w:top w:val="single" w:color="000000" w:sz="8" w:space="0"/>
              <w:left w:val="single" w:color="000000" w:sz="2" w:space="0"/>
              <w:bottom w:val="single" w:color="000000" w:sz="8" w:space="0"/>
              <w:right w:val="single" w:color="000000" w:sz="8" w:space="0"/>
            </w:tcBorders>
            <w:vAlign w:val="center"/>
          </w:tcPr>
          <w:p w14:paraId="4C020B6D">
            <w:pPr>
              <w:keepNext w:val="0"/>
              <w:keepLines w:val="0"/>
              <w:suppressLineNumbers w:val="0"/>
              <w:spacing w:before="0" w:beforeAutospacing="0" w:after="0" w:afterAutospacing="0" w:line="360" w:lineRule="auto"/>
              <w:ind w:left="0" w:right="0" w:firstLine="240" w:firstLineChars="100"/>
              <w:rPr>
                <w:rFonts w:hint="default" w:cs="宋体" w:asciiTheme="minorEastAsia" w:hAnsiTheme="minorEastAsia" w:eastAsiaTheme="minorEastAsia"/>
                <w:color w:val="auto"/>
                <w:sz w:val="24"/>
                <w:szCs w:val="24"/>
                <w:highlight w:val="none"/>
                <w:lang w:val="en-US" w:eastAsia="zh-CN"/>
              </w:rPr>
            </w:pPr>
            <w:r>
              <w:rPr>
                <w:rFonts w:hint="default" w:cs="宋体" w:asciiTheme="minorEastAsia" w:hAnsiTheme="minorEastAsia" w:eastAsiaTheme="minorEastAsia"/>
                <w:color w:val="auto"/>
                <w:sz w:val="24"/>
                <w:szCs w:val="24"/>
                <w:highlight w:val="none"/>
                <w:lang w:val="en-US" w:eastAsia="zh-CN"/>
              </w:rPr>
              <w:t>关本项目实施所需的所有费用（含税费）均计入报价。报价单是报价的唯一载体。响应文件中价格全部采用人民币报价。采购文件未列明，而供应商认为必需的费用也需列入报价。提醒：验收时检测费用由采购人承担，不包含在总价中。</w:t>
            </w:r>
          </w:p>
          <w:p w14:paraId="12D19A10">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en-US" w:eastAsia="zh-CN"/>
              </w:rPr>
            </w:pPr>
            <w:r>
              <w:rPr>
                <w:rFonts w:hint="default" w:cs="宋体" w:asciiTheme="minorEastAsia" w:hAnsiTheme="minorEastAsia" w:eastAsiaTheme="minorEastAsia"/>
                <w:b/>
                <w:bCs/>
                <w:color w:val="auto"/>
                <w:sz w:val="24"/>
                <w:szCs w:val="24"/>
                <w:highlight w:val="none"/>
                <w:lang w:val="en-US" w:eastAsia="zh-CN"/>
              </w:rPr>
              <w:t>最后报价出现下列情形的，响应文件无效：</w:t>
            </w:r>
          </w:p>
          <w:p w14:paraId="6E5EDC1A">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en-US" w:eastAsia="zh-CN"/>
              </w:rPr>
            </w:pPr>
            <w:r>
              <w:rPr>
                <w:rFonts w:hint="default" w:cs="宋体" w:asciiTheme="minorEastAsia" w:hAnsiTheme="minorEastAsia" w:eastAsiaTheme="minorEastAsia"/>
                <w:b/>
                <w:bCs/>
                <w:color w:val="auto"/>
                <w:sz w:val="24"/>
                <w:szCs w:val="24"/>
                <w:highlight w:val="none"/>
                <w:lang w:val="en-US" w:eastAsia="zh-CN"/>
              </w:rPr>
              <w:t>响应文件出现不是唯一的、有选择性最后报价的；</w:t>
            </w:r>
          </w:p>
          <w:p w14:paraId="354FA858">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en-US" w:eastAsia="zh-CN"/>
              </w:rPr>
            </w:pPr>
            <w:r>
              <w:rPr>
                <w:rFonts w:hint="default" w:cs="宋体" w:asciiTheme="minorEastAsia" w:hAnsiTheme="minorEastAsia" w:eastAsiaTheme="minorEastAsia"/>
                <w:b/>
                <w:bCs/>
                <w:color w:val="auto"/>
                <w:sz w:val="24"/>
                <w:szCs w:val="24"/>
                <w:highlight w:val="none"/>
                <w:lang w:val="en-US" w:eastAsia="zh-CN"/>
              </w:rPr>
              <w:t>最后报价超过采购文件中规定的预算金额或者最高限价的;</w:t>
            </w:r>
          </w:p>
          <w:p w14:paraId="39AA1FEB">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b/>
                <w:bCs/>
                <w:color w:val="auto"/>
                <w:sz w:val="24"/>
                <w:szCs w:val="24"/>
                <w:highlight w:val="none"/>
                <w:lang w:val="en-US" w:eastAsia="zh-CN"/>
              </w:rPr>
            </w:pPr>
            <w:r>
              <w:rPr>
                <w:rFonts w:hint="default" w:cs="宋体" w:asciiTheme="minorEastAsia" w:hAnsiTheme="minorEastAsia" w:eastAsiaTheme="minorEastAsia"/>
                <w:b/>
                <w:bCs/>
                <w:color w:val="auto"/>
                <w:sz w:val="24"/>
                <w:szCs w:val="24"/>
                <w:highlight w:val="none"/>
                <w:lang w:val="en-US" w:eastAsia="zh-CN"/>
              </w:rPr>
              <w:t>报价明显低于其他通过符合性审查供应商的报价，有可能影响产品质量或者不能诚信履约的，未能按要求提供书面说明或者提交相关证明材料证明其报价合理性的;</w:t>
            </w:r>
          </w:p>
          <w:p w14:paraId="74912144">
            <w:pPr>
              <w:keepNext w:val="0"/>
              <w:keepLines w:val="0"/>
              <w:suppressLineNumbers w:val="0"/>
              <w:spacing w:before="0" w:beforeAutospacing="0" w:after="0" w:afterAutospacing="0" w:line="360" w:lineRule="auto"/>
              <w:ind w:left="0" w:right="0" w:firstLine="241" w:firstLineChars="100"/>
              <w:rPr>
                <w:rFonts w:hint="default" w:cs="宋体" w:asciiTheme="minorEastAsia" w:hAnsiTheme="minorEastAsia" w:eastAsiaTheme="minorEastAsia"/>
                <w:color w:val="auto"/>
                <w:sz w:val="24"/>
                <w:szCs w:val="24"/>
                <w:highlight w:val="none"/>
              </w:rPr>
            </w:pPr>
            <w:r>
              <w:rPr>
                <w:rFonts w:hint="default" w:cs="宋体" w:asciiTheme="minorEastAsia" w:hAnsiTheme="minorEastAsia" w:eastAsiaTheme="minorEastAsia"/>
                <w:b/>
                <w:bCs/>
                <w:color w:val="auto"/>
                <w:sz w:val="24"/>
                <w:szCs w:val="24"/>
                <w:highlight w:val="none"/>
                <w:lang w:val="en-US" w:eastAsia="zh-CN"/>
              </w:rPr>
              <w:t>供应商对根据修正原则修正后的报价不确认的。</w:t>
            </w:r>
          </w:p>
        </w:tc>
      </w:tr>
      <w:tr w14:paraId="3E08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5" w:hRule="atLeast"/>
          <w:tblHeader/>
        </w:trPr>
        <w:tc>
          <w:tcPr>
            <w:tcW w:w="629" w:type="dxa"/>
            <w:tcBorders>
              <w:top w:val="single" w:color="auto" w:sz="4" w:space="0"/>
              <w:left w:val="single" w:color="000000" w:sz="8" w:space="0"/>
              <w:right w:val="single" w:color="000000" w:sz="2" w:space="0"/>
            </w:tcBorders>
            <w:vAlign w:val="center"/>
          </w:tcPr>
          <w:p w14:paraId="2572630B">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6F4D7820">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中小企业信用融资</w:t>
            </w:r>
          </w:p>
        </w:tc>
        <w:tc>
          <w:tcPr>
            <w:tcW w:w="6877" w:type="dxa"/>
            <w:tcBorders>
              <w:top w:val="single" w:color="000000" w:sz="8" w:space="0"/>
              <w:left w:val="single" w:color="000000" w:sz="2" w:space="0"/>
              <w:right w:val="single" w:color="000000" w:sz="8" w:space="0"/>
            </w:tcBorders>
            <w:vAlign w:val="center"/>
          </w:tcPr>
          <w:p w14:paraId="047B9D4A">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snapToGrid w:val="0"/>
                <w:color w:val="auto"/>
                <w:kern w:val="28"/>
                <w:sz w:val="24"/>
                <w:szCs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682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36546D4">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C091923">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FF0000"/>
                <w:sz w:val="24"/>
                <w:szCs w:val="24"/>
                <w:highlight w:val="none"/>
              </w:rPr>
            </w:pPr>
            <w:r>
              <w:rPr>
                <w:rFonts w:hint="eastAsia" w:cs="宋体" w:asciiTheme="minorEastAsia" w:hAnsiTheme="minorEastAsia" w:eastAsiaTheme="minorEastAsia"/>
                <w:b/>
                <w:color w:val="auto"/>
                <w:sz w:val="24"/>
                <w:szCs w:val="24"/>
                <w:highlight w:val="none"/>
              </w:rPr>
              <w:t xml:space="preserve">备份响应文件送达地点和签收人员 </w:t>
            </w:r>
          </w:p>
        </w:tc>
        <w:tc>
          <w:tcPr>
            <w:tcW w:w="6877" w:type="dxa"/>
            <w:tcBorders>
              <w:top w:val="single" w:color="000000" w:sz="8" w:space="0"/>
              <w:left w:val="single" w:color="000000" w:sz="2" w:space="0"/>
              <w:bottom w:val="single" w:color="000000" w:sz="8" w:space="0"/>
              <w:right w:val="single" w:color="000000" w:sz="8" w:space="0"/>
            </w:tcBorders>
            <w:vAlign w:val="center"/>
          </w:tcPr>
          <w:p w14:paraId="48B02D7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供应商可以准备U盘存储的电子备份响应文件1份，按政府采购云平台要求制作的电子备份响应文件，以用于异常情况处理。</w:t>
            </w:r>
          </w:p>
          <w:p w14:paraId="36554ECD">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如提供备份响应文件的，应于响应文件提交（上传）截止时间前，将以U盘存储的电子备份响应文件密封，递交至</w:t>
            </w:r>
            <w:r>
              <w:rPr>
                <w:rFonts w:hint="default" w:cs="宋体" w:asciiTheme="minorEastAsia" w:hAnsiTheme="minorEastAsia" w:eastAsiaTheme="minorEastAsia"/>
                <w:color w:val="auto"/>
                <w:kern w:val="28"/>
                <w:sz w:val="24"/>
                <w:szCs w:val="24"/>
                <w:highlight w:val="none"/>
                <w:u w:val="single"/>
                <w:lang w:val="en-US" w:eastAsia="zh-CN"/>
              </w:rPr>
              <w:t>宁海县公共资源交易中心5楼开标室</w:t>
            </w:r>
            <w:r>
              <w:rPr>
                <w:rFonts w:hint="default" w:cs="宋体" w:asciiTheme="minorEastAsia" w:hAnsiTheme="minorEastAsia" w:eastAsiaTheme="minorEastAsia"/>
                <w:color w:val="auto"/>
                <w:kern w:val="28"/>
                <w:sz w:val="24"/>
                <w:szCs w:val="24"/>
                <w:highlight w:val="none"/>
              </w:rPr>
              <w:t>，逾期送达或未密封将予以拒收。</w:t>
            </w:r>
          </w:p>
          <w:p w14:paraId="7CB8FB30">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供应商可采用邮寄（含快递）方式递交备份响应文件。</w:t>
            </w:r>
          </w:p>
          <w:p w14:paraId="7E435E9C">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CD0349A">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拟在开标前一个工作日的16:00前到件的邮寄地址为：</w:t>
            </w:r>
            <w:r>
              <w:rPr>
                <w:rFonts w:hint="eastAsia" w:cs="宋体" w:asciiTheme="minorEastAsia" w:hAnsiTheme="minorEastAsia" w:eastAsiaTheme="minorEastAsia"/>
                <w:color w:val="auto"/>
                <w:kern w:val="28"/>
                <w:sz w:val="24"/>
                <w:szCs w:val="24"/>
                <w:highlight w:val="none"/>
                <w:u w:val="single"/>
                <w:lang w:val="en-US" w:eastAsia="zh-CN"/>
              </w:rPr>
              <w:t>宁海县跃龙21号</w:t>
            </w:r>
            <w:r>
              <w:rPr>
                <w:rFonts w:hint="default" w:cs="宋体" w:asciiTheme="minorEastAsia" w:hAnsiTheme="minorEastAsia" w:eastAsiaTheme="minorEastAsia"/>
                <w:color w:val="auto"/>
                <w:kern w:val="28"/>
                <w:sz w:val="24"/>
                <w:szCs w:val="24"/>
                <w:highlight w:val="none"/>
              </w:rPr>
              <w:t>；</w:t>
            </w:r>
          </w:p>
          <w:p w14:paraId="0CFC6238">
            <w:pPr>
              <w:keepNext w:val="0"/>
              <w:keepLines w:val="0"/>
              <w:suppressLineNumbers w:val="0"/>
              <w:spacing w:before="0" w:beforeAutospacing="0" w:after="0" w:afterAutospacing="0" w:line="360" w:lineRule="auto"/>
              <w:ind w:left="0" w:right="0"/>
              <w:rPr>
                <w:rFonts w:hint="eastAsia" w:cs="宋体" w:asciiTheme="minorEastAsia" w:hAnsiTheme="minorEastAsia" w:eastAsiaTheme="minorEastAsia"/>
                <w:color w:val="auto"/>
                <w:kern w:val="28"/>
                <w:sz w:val="24"/>
                <w:szCs w:val="24"/>
                <w:highlight w:val="none"/>
                <w:lang w:val="en-US" w:eastAsia="zh-CN"/>
              </w:rPr>
            </w:pPr>
            <w:r>
              <w:rPr>
                <w:rFonts w:hint="default" w:cs="宋体" w:asciiTheme="minorEastAsia" w:hAnsiTheme="minorEastAsia" w:eastAsiaTheme="minorEastAsia"/>
                <w:color w:val="auto"/>
                <w:kern w:val="28"/>
                <w:sz w:val="24"/>
                <w:szCs w:val="24"/>
                <w:highlight w:val="none"/>
              </w:rPr>
              <w:t>收件人：</w:t>
            </w:r>
            <w:r>
              <w:rPr>
                <w:rFonts w:hint="eastAsia" w:cs="宋体" w:asciiTheme="minorEastAsia" w:hAnsiTheme="minorEastAsia" w:eastAsiaTheme="minorEastAsia"/>
                <w:color w:val="auto"/>
                <w:kern w:val="28"/>
                <w:sz w:val="24"/>
                <w:szCs w:val="24"/>
                <w:highlight w:val="none"/>
                <w:lang w:val="en-US" w:eastAsia="zh-CN"/>
              </w:rPr>
              <w:t>钱丹丹</w:t>
            </w:r>
            <w:r>
              <w:rPr>
                <w:rFonts w:hint="default" w:cs="宋体" w:asciiTheme="minorEastAsia" w:hAnsiTheme="minorEastAsia" w:eastAsiaTheme="minorEastAsia"/>
                <w:color w:val="auto"/>
                <w:kern w:val="28"/>
                <w:sz w:val="24"/>
                <w:szCs w:val="24"/>
                <w:highlight w:val="none"/>
              </w:rPr>
              <w:t xml:space="preserve"> 联系方式：</w:t>
            </w:r>
            <w:r>
              <w:rPr>
                <w:rFonts w:hint="eastAsia" w:cs="宋体" w:asciiTheme="minorEastAsia" w:hAnsiTheme="minorEastAsia" w:eastAsiaTheme="minorEastAsia"/>
                <w:color w:val="auto"/>
                <w:kern w:val="28"/>
                <w:sz w:val="24"/>
                <w:szCs w:val="24"/>
                <w:highlight w:val="none"/>
                <w:lang w:val="en-US" w:eastAsia="zh-CN"/>
              </w:rPr>
              <w:t>17757444602</w:t>
            </w:r>
          </w:p>
          <w:p w14:paraId="42AF8461">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auto"/>
                <w:kern w:val="28"/>
                <w:sz w:val="24"/>
                <w:szCs w:val="24"/>
                <w:highlight w:val="none"/>
              </w:rPr>
            </w:pPr>
            <w:r>
              <w:rPr>
                <w:rFonts w:hint="default"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741CCB05">
            <w:pPr>
              <w:keepNext w:val="0"/>
              <w:keepLines w:val="0"/>
              <w:suppressLineNumbers w:val="0"/>
              <w:spacing w:before="0" w:beforeAutospacing="0" w:after="0" w:afterAutospacing="0" w:line="360" w:lineRule="auto"/>
              <w:ind w:left="0" w:right="0"/>
              <w:rPr>
                <w:rFonts w:hint="default" w:cs="宋体" w:asciiTheme="minorEastAsia" w:hAnsiTheme="minorEastAsia" w:eastAsiaTheme="minorEastAsia"/>
                <w:color w:val="FF0000"/>
                <w:kern w:val="28"/>
                <w:sz w:val="24"/>
                <w:szCs w:val="24"/>
                <w:highlight w:val="none"/>
              </w:rPr>
            </w:pPr>
            <w:r>
              <w:rPr>
                <w:rFonts w:hint="default" w:cs="宋体" w:asciiTheme="minorEastAsia" w:hAnsiTheme="minorEastAsia" w:eastAsiaTheme="minorEastAsia"/>
                <w:b/>
                <w:bCs/>
                <w:color w:val="auto"/>
                <w:kern w:val="28"/>
                <w:sz w:val="24"/>
                <w:szCs w:val="24"/>
                <w:highlight w:val="none"/>
              </w:rPr>
              <w:t>采购人、采购代理机构不强制或变相强制供应商提交备份响应文件。</w:t>
            </w:r>
          </w:p>
        </w:tc>
      </w:tr>
      <w:tr w14:paraId="08BB5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6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B80138">
            <w:pPr>
              <w:keepNext w:val="0"/>
              <w:keepLines w:val="0"/>
              <w:suppressLineNumbers w:val="0"/>
              <w:snapToGrid w:val="0"/>
              <w:spacing w:before="0" w:beforeAutospacing="0" w:after="0" w:afterAutospacing="0" w:line="360" w:lineRule="auto"/>
              <w:ind w:left="0" w:right="0"/>
              <w:jc w:val="center"/>
              <w:rPr>
                <w:rFonts w:hint="eastAsia" w:cs="宋体" w:asciiTheme="minorEastAsia" w:hAnsiTheme="minorEastAsia" w:eastAsiaTheme="minorEastAsia"/>
                <w:color w:val="auto"/>
                <w:sz w:val="21"/>
                <w:szCs w:val="21"/>
                <w:highlight w:val="none"/>
                <w:lang w:val="en-US" w:eastAsia="zh-CN"/>
              </w:rPr>
            </w:pPr>
            <w:r>
              <w:rPr>
                <w:rFonts w:hint="eastAsia" w:cs="宋体" w:asciiTheme="minorEastAsia" w:hAnsiTheme="minorEastAsia" w:eastAsiaTheme="minorEastAsia"/>
                <w:color w:val="auto"/>
                <w:sz w:val="21"/>
                <w:szCs w:val="21"/>
                <w:highlight w:val="none"/>
              </w:rPr>
              <w:t>1</w:t>
            </w:r>
            <w:r>
              <w:rPr>
                <w:rFonts w:hint="eastAsia" w:cs="宋体" w:asciiTheme="minorEastAsia" w:hAnsiTheme="minorEastAsia" w:eastAsiaTheme="minorEastAsia"/>
                <w:color w:val="auto"/>
                <w:sz w:val="21"/>
                <w:szCs w:val="21"/>
                <w:highlight w:val="none"/>
                <w:lang w:val="en-US" w:eastAsia="zh-CN"/>
              </w:rPr>
              <w:t>3</w:t>
            </w:r>
          </w:p>
        </w:tc>
        <w:tc>
          <w:tcPr>
            <w:tcW w:w="1843" w:type="dxa"/>
            <w:tcBorders>
              <w:top w:val="single" w:color="auto" w:sz="4" w:space="0"/>
              <w:left w:val="single" w:color="auto" w:sz="4" w:space="0"/>
              <w:bottom w:val="single" w:color="auto" w:sz="4" w:space="0"/>
              <w:right w:val="single" w:color="auto" w:sz="4" w:space="0"/>
            </w:tcBorders>
            <w:vAlign w:val="center"/>
          </w:tcPr>
          <w:p w14:paraId="62C57B6F">
            <w:pPr>
              <w:keepNext w:val="0"/>
              <w:keepLines w:val="0"/>
              <w:suppressLineNumbers w:val="0"/>
              <w:snapToGrid w:val="0"/>
              <w:spacing w:before="0" w:beforeAutospacing="0" w:after="0" w:afterAutospacing="0" w:line="360" w:lineRule="auto"/>
              <w:ind w:left="0" w:right="0"/>
              <w:jc w:val="center"/>
              <w:rPr>
                <w:rFonts w:hint="default"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代理服务费</w:t>
            </w:r>
          </w:p>
        </w:tc>
        <w:tc>
          <w:tcPr>
            <w:tcW w:w="6877" w:type="dxa"/>
            <w:tcBorders>
              <w:top w:val="single" w:color="auto" w:sz="4" w:space="0"/>
              <w:left w:val="single" w:color="auto" w:sz="4" w:space="0"/>
              <w:bottom w:val="single" w:color="auto" w:sz="4" w:space="0"/>
              <w:right w:val="single" w:color="auto" w:sz="4" w:space="0"/>
            </w:tcBorders>
            <w:vAlign w:val="center"/>
          </w:tcPr>
          <w:p w14:paraId="37AF90F9">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color w:val="auto"/>
                <w:kern w:val="0"/>
                <w:sz w:val="24"/>
                <w:szCs w:val="24"/>
                <w:highlight w:val="none"/>
              </w:rPr>
            </w:pPr>
            <w:r>
              <w:rPr>
                <w:rFonts w:hint="default" w:cs="Arial" w:asciiTheme="minorEastAsia" w:hAnsiTheme="minorEastAsia" w:eastAsiaTheme="minorEastAsia"/>
                <w:color w:val="auto"/>
                <w:kern w:val="0"/>
                <w:sz w:val="24"/>
                <w:szCs w:val="24"/>
                <w:highlight w:val="none"/>
              </w:rPr>
              <w:t>代理服务费金额：采购代理机构按</w:t>
            </w:r>
            <w:r>
              <w:rPr>
                <w:rFonts w:hint="default" w:cs="Arial" w:asciiTheme="minorEastAsia" w:hAnsiTheme="minorEastAsia" w:eastAsiaTheme="minorEastAsia"/>
                <w:color w:val="auto"/>
                <w:kern w:val="0"/>
                <w:sz w:val="24"/>
                <w:szCs w:val="24"/>
                <w:highlight w:val="none"/>
                <w:lang w:val="en-US" w:eastAsia="zh-CN"/>
              </w:rPr>
              <w:t>服务</w:t>
            </w:r>
            <w:r>
              <w:rPr>
                <w:rFonts w:hint="default" w:cs="Arial" w:asciiTheme="minorEastAsia" w:hAnsiTheme="minorEastAsia" w:eastAsiaTheme="minorEastAsia"/>
                <w:color w:val="auto"/>
                <w:kern w:val="0"/>
                <w:sz w:val="24"/>
                <w:szCs w:val="24"/>
                <w:highlight w:val="none"/>
              </w:rPr>
              <w:t>招标的标准（按差额定率累进法计算），根据本项目的</w:t>
            </w:r>
            <w:r>
              <w:rPr>
                <w:rFonts w:hint="default" w:cs="Arial" w:asciiTheme="minorEastAsia" w:hAnsiTheme="minorEastAsia" w:eastAsiaTheme="minorEastAsia"/>
                <w:color w:val="auto"/>
                <w:kern w:val="0"/>
                <w:sz w:val="24"/>
                <w:szCs w:val="24"/>
                <w:highlight w:val="none"/>
                <w:lang w:val="en-US" w:eastAsia="zh-CN"/>
              </w:rPr>
              <w:t>预算</w:t>
            </w:r>
            <w:r>
              <w:rPr>
                <w:rFonts w:hint="default" w:cs="Arial" w:asciiTheme="minorEastAsia" w:hAnsiTheme="minorEastAsia" w:eastAsiaTheme="minorEastAsia"/>
                <w:color w:val="auto"/>
                <w:kern w:val="0"/>
                <w:sz w:val="24"/>
                <w:szCs w:val="24"/>
                <w:highlight w:val="none"/>
              </w:rPr>
              <w:t>金额，向中标人收取招标代理服务费</w:t>
            </w:r>
            <w:r>
              <w:rPr>
                <w:rFonts w:hint="default" w:cs="Arial" w:asciiTheme="minorEastAsia" w:hAnsiTheme="minorEastAsia" w:eastAsiaTheme="minorEastAsia"/>
                <w:color w:val="auto"/>
                <w:kern w:val="0"/>
                <w:sz w:val="24"/>
                <w:szCs w:val="24"/>
                <w:highlight w:val="none"/>
                <w:lang w:eastAsia="zh-CN"/>
              </w:rPr>
              <w:t>（</w:t>
            </w:r>
            <w:r>
              <w:rPr>
                <w:rFonts w:hint="eastAsia" w:cs="Arial" w:asciiTheme="minorEastAsia" w:hAnsiTheme="minorEastAsia" w:eastAsiaTheme="minorEastAsia"/>
                <w:color w:val="auto"/>
                <w:kern w:val="0"/>
                <w:sz w:val="24"/>
                <w:szCs w:val="24"/>
                <w:highlight w:val="none"/>
                <w:lang w:val="en-US" w:eastAsia="zh-CN"/>
              </w:rPr>
              <w:t>9000</w:t>
            </w:r>
            <w:r>
              <w:rPr>
                <w:rFonts w:hint="default" w:cs="Arial" w:asciiTheme="minorEastAsia" w:hAnsiTheme="minorEastAsia" w:eastAsiaTheme="minorEastAsia"/>
                <w:color w:val="auto"/>
                <w:kern w:val="0"/>
                <w:sz w:val="24"/>
                <w:szCs w:val="24"/>
                <w:highlight w:val="none"/>
                <w:lang w:val="en-US" w:eastAsia="zh-CN"/>
              </w:rPr>
              <w:t>元</w:t>
            </w:r>
            <w:r>
              <w:rPr>
                <w:rFonts w:hint="default" w:cs="Arial" w:asciiTheme="minorEastAsia" w:hAnsiTheme="minorEastAsia" w:eastAsiaTheme="minorEastAsia"/>
                <w:color w:val="auto"/>
                <w:kern w:val="0"/>
                <w:sz w:val="24"/>
                <w:szCs w:val="24"/>
                <w:highlight w:val="none"/>
                <w:lang w:eastAsia="zh-CN"/>
              </w:rPr>
              <w:t>）</w:t>
            </w:r>
            <w:r>
              <w:rPr>
                <w:rFonts w:hint="default" w:cs="Arial" w:asciiTheme="minorEastAsia" w:hAnsiTheme="minorEastAsia" w:eastAsiaTheme="minorEastAsia"/>
                <w:color w:val="auto"/>
                <w:kern w:val="0"/>
                <w:sz w:val="24"/>
                <w:szCs w:val="24"/>
                <w:highlight w:val="none"/>
              </w:rPr>
              <w:t>。</w:t>
            </w:r>
          </w:p>
          <w:p w14:paraId="1EA0C872">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color w:val="auto"/>
                <w:kern w:val="0"/>
                <w:sz w:val="24"/>
                <w:szCs w:val="24"/>
                <w:highlight w:val="none"/>
              </w:rPr>
            </w:pPr>
            <w:r>
              <w:rPr>
                <w:rFonts w:hint="default" w:cs="Arial" w:asciiTheme="minorEastAsia" w:hAnsiTheme="minorEastAsia" w:eastAsiaTheme="minorEastAsia"/>
                <w:color w:val="auto"/>
                <w:kern w:val="0"/>
                <w:sz w:val="24"/>
                <w:szCs w:val="24"/>
                <w:highlight w:val="none"/>
              </w:rPr>
              <w:t>关于本次采购的服务费汇入以下账户：</w:t>
            </w:r>
          </w:p>
          <w:p w14:paraId="3486AA91">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rPr>
              <w:t>开户银行：中国建设银行宁海支行</w:t>
            </w:r>
          </w:p>
          <w:p w14:paraId="4E410D48">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rPr>
            </w:pPr>
            <w:r>
              <w:rPr>
                <w:rFonts w:hint="eastAsia" w:cs="Arial" w:asciiTheme="minorEastAsia" w:hAnsiTheme="minorEastAsia" w:eastAsiaTheme="minorEastAsia"/>
                <w:color w:val="auto"/>
                <w:kern w:val="0"/>
                <w:sz w:val="24"/>
                <w:szCs w:val="24"/>
                <w:highlight w:val="none"/>
                <w:lang w:eastAsia="zh-CN"/>
              </w:rPr>
              <w:t xml:space="preserve">账   </w:t>
            </w:r>
            <w:r>
              <w:rPr>
                <w:rFonts w:hint="eastAsia" w:cs="Arial" w:asciiTheme="minorEastAsia" w:hAnsiTheme="minorEastAsia" w:eastAsiaTheme="minorEastAsia"/>
                <w:color w:val="auto"/>
                <w:kern w:val="0"/>
                <w:sz w:val="24"/>
                <w:szCs w:val="24"/>
                <w:highlight w:val="none"/>
              </w:rPr>
              <w:t xml:space="preserve"> 号：33150199543600002006</w:t>
            </w:r>
          </w:p>
          <w:p w14:paraId="7962B032">
            <w:pPr>
              <w:keepNext w:val="0"/>
              <w:keepLines w:val="0"/>
              <w:suppressLineNumbers w:val="0"/>
              <w:spacing w:before="0" w:beforeAutospacing="0" w:after="0" w:afterAutospacing="0" w:line="360" w:lineRule="auto"/>
              <w:ind w:left="0" w:right="0"/>
              <w:rPr>
                <w:rFonts w:hint="eastAsia" w:cs="Arial" w:asciiTheme="minorEastAsia" w:hAnsiTheme="minorEastAsia" w:eastAsiaTheme="minorEastAsia"/>
                <w:color w:val="auto"/>
                <w:kern w:val="0"/>
                <w:sz w:val="24"/>
                <w:szCs w:val="24"/>
                <w:highlight w:val="none"/>
                <w:lang w:eastAsia="zh-CN"/>
              </w:rPr>
            </w:pPr>
            <w:r>
              <w:rPr>
                <w:rFonts w:hint="eastAsia" w:cs="Arial" w:asciiTheme="minorEastAsia" w:hAnsiTheme="minorEastAsia" w:eastAsiaTheme="minorEastAsia"/>
                <w:color w:val="auto"/>
                <w:kern w:val="0"/>
                <w:sz w:val="24"/>
                <w:szCs w:val="24"/>
                <w:highlight w:val="none"/>
              </w:rPr>
              <w:t>户    名：</w:t>
            </w:r>
            <w:r>
              <w:rPr>
                <w:rFonts w:hint="eastAsia" w:cs="Arial" w:asciiTheme="minorEastAsia" w:hAnsiTheme="minorEastAsia" w:eastAsiaTheme="minorEastAsia"/>
                <w:color w:val="auto"/>
                <w:kern w:val="0"/>
                <w:sz w:val="24"/>
                <w:szCs w:val="24"/>
                <w:highlight w:val="none"/>
                <w:lang w:eastAsia="zh-CN"/>
              </w:rPr>
              <w:t>浙江信望工程咨询有限公司宁海分公司</w:t>
            </w:r>
          </w:p>
          <w:p w14:paraId="397F6D3E">
            <w:pPr>
              <w:keepNext w:val="0"/>
              <w:keepLines w:val="0"/>
              <w:suppressLineNumbers w:val="0"/>
              <w:spacing w:before="0" w:beforeAutospacing="0" w:after="0" w:afterAutospacing="0" w:line="360" w:lineRule="auto"/>
              <w:ind w:left="0" w:right="0"/>
              <w:rPr>
                <w:rFonts w:hint="default" w:cs="Arial" w:asciiTheme="minorEastAsia" w:hAnsiTheme="minorEastAsia" w:eastAsiaTheme="minorEastAsia"/>
                <w:color w:val="auto"/>
                <w:kern w:val="0"/>
                <w:sz w:val="24"/>
                <w:szCs w:val="24"/>
                <w:highlight w:val="none"/>
              </w:rPr>
            </w:pPr>
            <w:r>
              <w:rPr>
                <w:rFonts w:hint="default" w:cs="Arial" w:asciiTheme="minorEastAsia" w:hAnsiTheme="minorEastAsia" w:eastAsiaTheme="minorEastAsia"/>
                <w:color w:val="auto"/>
                <w:kern w:val="0"/>
                <w:sz w:val="24"/>
                <w:szCs w:val="24"/>
                <w:highlight w:val="none"/>
              </w:rPr>
              <w:t>注：成交人接到本公司通知后5个工作日内向本采购代理机构领取成交通知书（根据成交人需求可采用邮寄或到采购代理机构现场领取）。</w:t>
            </w:r>
          </w:p>
        </w:tc>
      </w:tr>
    </w:tbl>
    <w:p w14:paraId="46BB7276">
      <w:pPr>
        <w:adjustRightInd/>
        <w:spacing w:line="360" w:lineRule="auto"/>
        <w:outlineLvl w:val="0"/>
        <w:rPr>
          <w:rFonts w:hint="eastAsia" w:cs="仿宋_GB2312" w:asciiTheme="minorEastAsia" w:hAnsiTheme="minorEastAsia" w:eastAsiaTheme="minorEastAsia"/>
          <w:b/>
          <w:color w:val="auto"/>
          <w:sz w:val="32"/>
          <w:szCs w:val="20"/>
          <w:highlight w:val="none"/>
          <w:lang w:val="en-US" w:eastAsia="zh-CN"/>
        </w:rPr>
      </w:pPr>
      <w:bookmarkStart w:id="4" w:name="_Toc462908587"/>
    </w:p>
    <w:p w14:paraId="0270C393">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lang w:val="en-US" w:eastAsia="zh-CN"/>
        </w:rPr>
        <w:t>二</w:t>
      </w:r>
      <w:r>
        <w:rPr>
          <w:rFonts w:hint="eastAsia" w:cs="仿宋_GB2312" w:asciiTheme="minorEastAsia" w:hAnsiTheme="minorEastAsia" w:eastAsiaTheme="minorEastAsia"/>
          <w:b/>
          <w:color w:val="auto"/>
          <w:sz w:val="32"/>
          <w:szCs w:val="20"/>
          <w:highlight w:val="none"/>
        </w:rPr>
        <w:t>、总则</w:t>
      </w:r>
    </w:p>
    <w:p w14:paraId="6936A792">
      <w:pPr>
        <w:kinsoku/>
        <w:wordWrap/>
        <w:overflowPunct/>
        <w:topLinePunct w:val="0"/>
        <w:bidi w:val="0"/>
        <w:snapToGrid w:val="0"/>
        <w:spacing w:line="360" w:lineRule="auto"/>
        <w:jc w:val="left"/>
        <w:outlineLvl w:val="9"/>
        <w:rPr>
          <w:rFonts w:ascii="宋体" w:hAnsi="宋体" w:cs="宋体"/>
          <w:b/>
          <w:sz w:val="24"/>
        </w:rPr>
      </w:pPr>
      <w:bookmarkStart w:id="5" w:name="_Hlt74730295"/>
      <w:bookmarkEnd w:id="5"/>
      <w:bookmarkStart w:id="6" w:name="_Hlt74729768"/>
      <w:bookmarkEnd w:id="6"/>
      <w:bookmarkStart w:id="7" w:name="_Hlt75236101"/>
      <w:bookmarkEnd w:id="7"/>
      <w:bookmarkStart w:id="8" w:name="_Hlt68057669"/>
      <w:bookmarkEnd w:id="8"/>
      <w:bookmarkStart w:id="9" w:name="_Hlt74707468"/>
      <w:bookmarkEnd w:id="9"/>
      <w:bookmarkStart w:id="10" w:name="_Hlt74714665"/>
      <w:bookmarkEnd w:id="10"/>
      <w:bookmarkStart w:id="11" w:name="_Hlt75236290"/>
      <w:bookmarkEnd w:id="11"/>
      <w:bookmarkStart w:id="12" w:name="_Hlt75236011"/>
      <w:bookmarkEnd w:id="12"/>
      <w:bookmarkStart w:id="13" w:name="_Hlt68072990"/>
      <w:bookmarkEnd w:id="13"/>
      <w:r>
        <w:rPr>
          <w:rFonts w:hint="eastAsia" w:ascii="宋体" w:hAnsi="宋体" w:cs="宋体"/>
          <w:b/>
          <w:sz w:val="24"/>
        </w:rPr>
        <w:t>1.适用范围</w:t>
      </w:r>
    </w:p>
    <w:p w14:paraId="081D54E3">
      <w:pPr>
        <w:kinsoku/>
        <w:wordWrap/>
        <w:overflowPunct/>
        <w:topLinePunct w:val="0"/>
        <w:bidi w:val="0"/>
        <w:snapToGrid w:val="0"/>
        <w:spacing w:line="360" w:lineRule="auto"/>
        <w:ind w:firstLine="480" w:firstLineChars="200"/>
        <w:jc w:val="left"/>
        <w:outlineLvl w:val="9"/>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65B7B5F">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2.定义</w:t>
      </w:r>
    </w:p>
    <w:p w14:paraId="33F7CE77">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2.1 “采购人”系指竞争性磋商公告中载明的本项目的采购人。</w:t>
      </w:r>
    </w:p>
    <w:p w14:paraId="07F3ED2B">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2.2 “采购代理机构”系指竞争性磋商公告中载明的本项目的采购代理机构。</w:t>
      </w:r>
    </w:p>
    <w:p w14:paraId="34FB023B">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0156777A">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11CB277">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2.5 “成交人”系指经评审确定的成交供应商。</w:t>
      </w:r>
    </w:p>
    <w:p w14:paraId="4C178A5C">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2.6 “响应文件”系指供应商提交的资格文件、商务技术文件、报价文件。供应商提交最后报价后，最后报价是供应商响应文件的有效组成部分。</w:t>
      </w:r>
    </w:p>
    <w:p w14:paraId="3432B933">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2.7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60DEDBA">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2.8 “电子交易平台”系指本项目政府采购活动所依托的政府采购云平台（https://www.zcygov.cn/）。</w:t>
      </w:r>
    </w:p>
    <w:p w14:paraId="1F3783A6">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2.9 “书面形式”包括数据电文形式与纸质形式。数据电文形式与纸质形式的采购活动具有同等法律效力。</w:t>
      </w:r>
    </w:p>
    <w:p w14:paraId="001BF8FD">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2.10 “▲” 系指实质性要求条款，“</w:t>
      </w:r>
      <w:sdt>
        <w:sdtPr>
          <w:rPr>
            <w:rFonts w:hint="eastAsia" w:ascii="宋体" w:hAnsi="宋体" w:cs="宋体"/>
            <w:kern w:val="0"/>
            <w:sz w:val="24"/>
          </w:rPr>
          <w:id w:val="14745874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14745256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45E157B5">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3.采购项目需要落实的政府采购政策</w:t>
      </w:r>
    </w:p>
    <w:p w14:paraId="7EAEEE6E">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B7E6A9A">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3.2 支持绿色发展</w:t>
      </w:r>
    </w:p>
    <w:p w14:paraId="632D06DE">
      <w:pPr>
        <w:kinsoku/>
        <w:wordWrap/>
        <w:overflowPunct/>
        <w:topLinePunct w:val="0"/>
        <w:bidi w:val="0"/>
        <w:snapToGrid w:val="0"/>
        <w:spacing w:line="360" w:lineRule="auto"/>
        <w:ind w:firstLine="480" w:firstLineChars="200"/>
        <w:outlineLvl w:val="9"/>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竞争性磋商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2CACFE90">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11B317A7">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5B27EB3">
      <w:pPr>
        <w:kinsoku/>
        <w:wordWrap/>
        <w:overflowPunct/>
        <w:topLinePunct w:val="0"/>
        <w:bidi w:val="0"/>
        <w:spacing w:line="360" w:lineRule="auto"/>
        <w:ind w:firstLine="480" w:firstLineChars="200"/>
        <w:outlineLvl w:val="9"/>
        <w:rPr>
          <w:rFonts w:ascii="宋体" w:hAnsi="宋体" w:eastAsia="宋体" w:cs="宋体"/>
          <w:lang w:val="en-US"/>
        </w:rPr>
      </w:pPr>
      <w:r>
        <w:rPr>
          <w:rFonts w:hint="eastAsia" w:ascii="宋体" w:hAnsi="宋体" w:eastAsia="宋体" w:cs="宋体"/>
          <w:b w:val="0"/>
          <w:bCs w:val="0"/>
          <w:sz w:val="24"/>
          <w:szCs w:val="24"/>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09D5A7E">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3.3支持中小企业发展</w:t>
      </w:r>
    </w:p>
    <w:p w14:paraId="71F05996">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92556C">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符合中小企业划分标准的个体工商户，在政府采购活动中视同中小企业。</w:t>
      </w:r>
    </w:p>
    <w:p w14:paraId="57D813C2">
      <w:pPr>
        <w:widowControl/>
        <w:kinsoku/>
        <w:wordWrap/>
        <w:overflowPunct/>
        <w:topLinePunct w:val="0"/>
        <w:bidi w:val="0"/>
        <w:snapToGrid w:val="0"/>
        <w:spacing w:line="360" w:lineRule="auto"/>
        <w:ind w:firstLine="480" w:firstLineChars="200"/>
        <w:jc w:val="left"/>
        <w:outlineLvl w:val="9"/>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hint="eastAsia" w:ascii="宋体" w:hAnsi="宋体" w:cs="宋体"/>
          <w:sz w:val="24"/>
        </w:rPr>
        <w:t>在工程采购项目中，工程由中小企业承建，即工程施工单位为中小企业</w:t>
      </w:r>
      <w:r>
        <w:rPr>
          <w:rFonts w:hint="eastAsia" w:ascii="宋体" w:hAnsi="宋体" w:cs="宋体"/>
          <w:kern w:val="0"/>
          <w:sz w:val="24"/>
        </w:rPr>
        <w:t>。</w:t>
      </w:r>
    </w:p>
    <w:p w14:paraId="77928840">
      <w:pPr>
        <w:widowControl/>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CCBFB1F">
      <w:pPr>
        <w:spacing w:line="348"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w:t>
      </w:r>
      <w:r>
        <w:rPr>
          <w:rFonts w:hint="eastAsia" w:ascii="宋体" w:hAnsi="宋体" w:cs="宋体"/>
          <w:sz w:val="24"/>
          <w:lang w:val="en-US" w:eastAsia="zh-CN"/>
        </w:rPr>
        <w:t>5</w:t>
      </w:r>
      <w:r>
        <w:rPr>
          <w:rFonts w:hint="eastAsia" w:ascii="宋体" w:hAnsi="宋体" w:cs="宋体"/>
          <w:sz w:val="24"/>
        </w:rPr>
        <w:t>%的扣除，用扣除后的价格参与评审。接受大中型企业与小微企业组成联合体或者允许大中型企业向一家或者多家小微企业分包的政府采购工程项目，对于</w:t>
      </w:r>
      <w:bookmarkStart w:id="14" w:name="_Hlk101132181"/>
      <w:r>
        <w:rPr>
          <w:rFonts w:hint="eastAsia" w:ascii="宋体" w:hAnsi="宋体" w:cs="宋体"/>
          <w:sz w:val="24"/>
        </w:rPr>
        <w:t>联合协议或者分包意向协议约定小微企业的合同份额占到合同总金额30%以上的</w:t>
      </w:r>
      <w:bookmarkEnd w:id="14"/>
      <w:r>
        <w:rPr>
          <w:rFonts w:hint="eastAsia" w:ascii="宋体" w:hAnsi="宋体" w:cs="宋体"/>
          <w:sz w:val="24"/>
        </w:rPr>
        <w:t>，对联合体或者大</w:t>
      </w:r>
      <w:bookmarkStart w:id="570" w:name="_GoBack"/>
      <w:bookmarkEnd w:id="570"/>
      <w:r>
        <w:rPr>
          <w:rFonts w:hint="eastAsia" w:ascii="宋体" w:hAnsi="宋体" w:cs="宋体"/>
          <w:sz w:val="24"/>
        </w:rPr>
        <w:t>中型企业的报价给予</w:t>
      </w:r>
      <w:r>
        <w:rPr>
          <w:rFonts w:hint="eastAsia" w:ascii="宋体" w:hAnsi="宋体" w:cs="宋体"/>
          <w:sz w:val="24"/>
          <w:lang w:val="en-US" w:eastAsia="zh-CN"/>
        </w:rPr>
        <w:t>2</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E7DD508">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9709558">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FC03DA1">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A89AF9D">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47B5788">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17E80B4">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3.4.1采购人优先采购被认定为首台套产品和“制造精品”的自主创新产品。</w:t>
      </w:r>
    </w:p>
    <w:p w14:paraId="5755CF69">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5D74864">
      <w:pPr>
        <w:kinsoku/>
        <w:wordWrap/>
        <w:overflowPunct/>
        <w:topLinePunct w:val="0"/>
        <w:bidi w:val="0"/>
        <w:snapToGrid w:val="0"/>
        <w:spacing w:line="360" w:lineRule="auto"/>
        <w:ind w:firstLine="240" w:firstLineChars="100"/>
        <w:outlineLvl w:val="9"/>
        <w:rPr>
          <w:rFonts w:ascii="宋体" w:hAnsi="宋体" w:cs="宋体"/>
          <w:sz w:val="24"/>
        </w:rPr>
      </w:pPr>
      <w:r>
        <w:rPr>
          <w:rFonts w:hint="eastAsia" w:ascii="宋体" w:hAnsi="宋体" w:cs="宋体"/>
          <w:sz w:val="24"/>
        </w:rPr>
        <w:t>3.5平等对待内外资企业和符合条件的破产重整企业：</w:t>
      </w:r>
    </w:p>
    <w:p w14:paraId="6C5C92BD">
      <w:pPr>
        <w:kinsoku/>
        <w:wordWrap/>
        <w:overflowPunct/>
        <w:topLinePunct w:val="0"/>
        <w:bidi w:val="0"/>
        <w:snapToGrid w:val="0"/>
        <w:spacing w:line="360" w:lineRule="auto"/>
        <w:ind w:firstLine="480" w:firstLineChars="200"/>
        <w:outlineLvl w:val="9"/>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4.询问、质疑、投诉</w:t>
      </w:r>
    </w:p>
    <w:p w14:paraId="40821C21">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4.1在线询问、质疑、投诉</w:t>
      </w:r>
    </w:p>
    <w:p w14:paraId="471D2701">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7954D5">
      <w:pPr>
        <w:kinsoku/>
        <w:wordWrap/>
        <w:overflowPunct/>
        <w:topLinePunct w:val="0"/>
        <w:autoSpaceDE w:val="0"/>
        <w:autoSpaceDN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4.2供应商询问</w:t>
      </w:r>
    </w:p>
    <w:p w14:paraId="23EAB715">
      <w:pPr>
        <w:kinsoku/>
        <w:wordWrap/>
        <w:overflowPunct/>
        <w:topLinePunct w:val="0"/>
        <w:autoSpaceDE w:val="0"/>
        <w:autoSpaceDN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0C1DDF">
      <w:pPr>
        <w:kinsoku/>
        <w:wordWrap/>
        <w:overflowPunct/>
        <w:topLinePunct w:val="0"/>
        <w:autoSpaceDE w:val="0"/>
        <w:autoSpaceDN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4.3供应商质疑</w:t>
      </w:r>
    </w:p>
    <w:p w14:paraId="1F82A78B">
      <w:pPr>
        <w:pStyle w:val="11"/>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473F92F1">
      <w:pPr>
        <w:pStyle w:val="11"/>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CCBE9EA">
      <w:pPr>
        <w:pStyle w:val="5"/>
        <w:kinsoku/>
        <w:wordWrap/>
        <w:overflowPunct/>
        <w:topLinePunct w:val="0"/>
        <w:bidi w:val="0"/>
        <w:spacing w:line="360" w:lineRule="auto"/>
        <w:ind w:firstLine="480" w:firstLineChars="200"/>
        <w:outlineLvl w:val="9"/>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339FBD8D">
      <w:pPr>
        <w:pStyle w:val="11"/>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sz w:val="24"/>
        </w:rPr>
        <w:t>4.3.2.2对采购过程提出质疑的，质疑期限为各采购程序环节结束之日起计算。</w:t>
      </w:r>
    </w:p>
    <w:p w14:paraId="7A75AA4F">
      <w:pPr>
        <w:pStyle w:val="11"/>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sz w:val="24"/>
        </w:rPr>
        <w:t>4.3.2.3对采购结果提出质疑的，质疑期限自采购结果公告期限届满之日起计算。</w:t>
      </w:r>
    </w:p>
    <w:p w14:paraId="7F785CDF">
      <w:pPr>
        <w:pStyle w:val="11"/>
        <w:kinsoku/>
        <w:wordWrap/>
        <w:overflowPunct/>
        <w:topLinePunct w:val="0"/>
        <w:bidi w:val="0"/>
        <w:snapToGrid w:val="0"/>
        <w:spacing w:line="360" w:lineRule="auto"/>
        <w:ind w:firstLine="480" w:firstLineChars="200"/>
        <w:outlineLvl w:val="9"/>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B7F997B">
      <w:pPr>
        <w:pStyle w:val="11"/>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4.3.3.1供应商的姓名或者名称、地址、邮编、联系人及联系电话；</w:t>
      </w:r>
    </w:p>
    <w:p w14:paraId="79067C59">
      <w:pPr>
        <w:pStyle w:val="11"/>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4.3.3.2质疑项目的名称、编号；</w:t>
      </w:r>
    </w:p>
    <w:p w14:paraId="3D5E0C75">
      <w:pPr>
        <w:pStyle w:val="11"/>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4.3.3.3具体、明确的质疑事项和与质疑事项相关的请求；</w:t>
      </w:r>
    </w:p>
    <w:p w14:paraId="35708449">
      <w:pPr>
        <w:pStyle w:val="11"/>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4.3.3.4事实依据；</w:t>
      </w:r>
    </w:p>
    <w:p w14:paraId="77F607C2">
      <w:pPr>
        <w:pStyle w:val="11"/>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4.3.3.5必要的法律依据；</w:t>
      </w:r>
    </w:p>
    <w:p w14:paraId="0E4B36D9">
      <w:pPr>
        <w:pStyle w:val="11"/>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4.3.3.6提出质疑的日期。</w:t>
      </w:r>
    </w:p>
    <w:p w14:paraId="36FDD669">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249F2432">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质疑函范本及制作说明详见附件2。</w:t>
      </w:r>
    </w:p>
    <w:p w14:paraId="1136C071">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4.3.4对同一采购程序环节的质疑，供应商须在法定质疑期内一次性提出。</w:t>
      </w:r>
    </w:p>
    <w:p w14:paraId="1961A24F">
      <w:pPr>
        <w:pStyle w:val="95"/>
        <w:kinsoku/>
        <w:wordWrap/>
        <w:overflowPunct/>
        <w:topLinePunct w:val="0"/>
        <w:bidi w:val="0"/>
        <w:snapToGrid w:val="0"/>
        <w:spacing w:after="240" w:afterAutospacing="0" w:line="360" w:lineRule="auto"/>
        <w:ind w:firstLine="400"/>
        <w:contextualSpacing/>
        <w:outlineLvl w:val="9"/>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5F949A5B">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lang w:val="zh-CN"/>
        </w:rPr>
        <w:t>4.3</w:t>
      </w:r>
      <w:r>
        <w:rPr>
          <w:rFonts w:hint="eastAsia"/>
        </w:rPr>
        <w:t>.6询问或者质疑事项可能影响采购结果的，采购人应当暂停签订合同，已经签订合同的，应当中止履行合同。</w:t>
      </w:r>
    </w:p>
    <w:p w14:paraId="5EA28554">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rPr>
          <w:lang w:val="zh-CN"/>
        </w:rPr>
      </w:pPr>
      <w:r>
        <w:rPr>
          <w:rFonts w:hint="eastAsia"/>
          <w:lang w:val="zh-CN"/>
        </w:rPr>
        <w:t>4.4供应商投诉</w:t>
      </w:r>
    </w:p>
    <w:p w14:paraId="5A527918">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687CBBE4">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5E882A6">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4.4.3供应商投诉应当有明确的请求和必要的证明材料。</w:t>
      </w:r>
    </w:p>
    <w:p w14:paraId="3E1D549A">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4.4.4以联合体形式参加政府采购活动的，其投诉应当由组成联合体的所有供应商共同提出。</w:t>
      </w:r>
    </w:p>
    <w:p w14:paraId="498CA759">
      <w:pPr>
        <w:pStyle w:val="95"/>
        <w:kinsoku/>
        <w:wordWrap/>
        <w:overflowPunct/>
        <w:topLinePunct w:val="0"/>
        <w:bidi w:val="0"/>
        <w:snapToGrid w:val="0"/>
        <w:spacing w:after="240" w:afterAutospacing="0" w:line="360" w:lineRule="auto"/>
        <w:ind w:firstLine="480" w:firstLineChars="200"/>
        <w:contextualSpacing/>
        <w:outlineLvl w:val="9"/>
      </w:pPr>
      <w:r>
        <w:rPr>
          <w:rFonts w:hint="eastAsia"/>
        </w:rPr>
        <w:t>4.5.5投诉材料寄送相关信息详见《第一部分  竞争性磋商公告》“同级政府采购监督管理部门”。</w:t>
      </w:r>
    </w:p>
    <w:p w14:paraId="4A71D2DB">
      <w:pPr>
        <w:pStyle w:val="95"/>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投诉书范本及制作说明详见附件3。</w:t>
      </w:r>
    </w:p>
    <w:p w14:paraId="538B0BCA">
      <w:pPr>
        <w:pStyle w:val="79"/>
        <w:kinsoku/>
        <w:wordWrap/>
        <w:overflowPunct/>
        <w:topLinePunct w:val="0"/>
        <w:bidi w:val="0"/>
        <w:snapToGrid w:val="0"/>
        <w:spacing w:before="0"/>
        <w:ind w:firstLine="360"/>
        <w:outlineLvl w:val="9"/>
        <w:rPr>
          <w:rFonts w:ascii="宋体" w:hAnsi="宋体" w:cs="宋体"/>
          <w:sz w:val="18"/>
          <w:szCs w:val="18"/>
        </w:rPr>
      </w:pPr>
    </w:p>
    <w:p w14:paraId="4E593739">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二、采购文件的构成、澄清、修改</w:t>
      </w:r>
    </w:p>
    <w:p w14:paraId="745D9F6F">
      <w:pPr>
        <w:pStyle w:val="11"/>
        <w:kinsoku/>
        <w:wordWrap/>
        <w:overflowPunct/>
        <w:topLinePunct w:val="0"/>
        <w:bidi w:val="0"/>
        <w:spacing w:line="360" w:lineRule="auto"/>
        <w:outlineLvl w:val="9"/>
        <w:rPr>
          <w:rFonts w:hAnsi="宋体" w:cs="宋体"/>
          <w:b/>
          <w:sz w:val="24"/>
          <w:szCs w:val="24"/>
        </w:rPr>
      </w:pPr>
      <w:r>
        <w:rPr>
          <w:rFonts w:hint="eastAsia" w:hAnsi="宋体" w:cs="宋体"/>
          <w:b/>
          <w:sz w:val="24"/>
          <w:szCs w:val="24"/>
        </w:rPr>
        <w:t>5．采购文件的构成</w:t>
      </w:r>
    </w:p>
    <w:p w14:paraId="28ABB319">
      <w:pPr>
        <w:pStyle w:val="11"/>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5.1 采购文件包括下列文件及附件：</w:t>
      </w:r>
    </w:p>
    <w:p w14:paraId="7FC66DD9">
      <w:pPr>
        <w:pStyle w:val="11"/>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5.1.1竞争性磋商公告；</w:t>
      </w:r>
    </w:p>
    <w:p w14:paraId="4C29EAEF">
      <w:pPr>
        <w:pStyle w:val="11"/>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5.1.2供应商须知；</w:t>
      </w:r>
    </w:p>
    <w:p w14:paraId="179ED567">
      <w:pPr>
        <w:pStyle w:val="11"/>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5.1.3采购需求；</w:t>
      </w:r>
    </w:p>
    <w:p w14:paraId="1D61A56B">
      <w:pPr>
        <w:pStyle w:val="11"/>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5.1.4评审办法；</w:t>
      </w:r>
    </w:p>
    <w:p w14:paraId="7695639B">
      <w:pPr>
        <w:pStyle w:val="11"/>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5.1.5拟签订的合同文本；</w:t>
      </w:r>
    </w:p>
    <w:p w14:paraId="709453F5">
      <w:pPr>
        <w:pStyle w:val="11"/>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AA3542F">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0749F6DA">
      <w:pPr>
        <w:pStyle w:val="11"/>
        <w:kinsoku/>
        <w:wordWrap/>
        <w:overflowPunct/>
        <w:topLinePunct w:val="0"/>
        <w:bidi w:val="0"/>
        <w:spacing w:line="360" w:lineRule="auto"/>
        <w:outlineLvl w:val="9"/>
        <w:rPr>
          <w:rFonts w:hAnsi="宋体" w:cs="宋体"/>
          <w:b/>
          <w:sz w:val="24"/>
          <w:szCs w:val="24"/>
        </w:rPr>
      </w:pPr>
      <w:r>
        <w:rPr>
          <w:rFonts w:hint="eastAsia" w:hAnsi="宋体" w:cs="宋体"/>
          <w:b/>
          <w:sz w:val="24"/>
          <w:szCs w:val="24"/>
        </w:rPr>
        <w:t>6.采购文件的澄清、修改</w:t>
      </w:r>
    </w:p>
    <w:p w14:paraId="60AC421D">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1FD35203">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5F4F2EE3">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461AA411">
      <w:pPr>
        <w:pStyle w:val="79"/>
        <w:kinsoku/>
        <w:wordWrap/>
        <w:overflowPunct/>
        <w:topLinePunct w:val="0"/>
        <w:bidi w:val="0"/>
        <w:snapToGrid w:val="0"/>
        <w:spacing w:before="0"/>
        <w:ind w:firstLine="482"/>
        <w:outlineLvl w:val="9"/>
        <w:rPr>
          <w:rFonts w:ascii="宋体" w:hAnsi="宋体" w:cs="宋体"/>
          <w:sz w:val="18"/>
          <w:szCs w:val="18"/>
        </w:rPr>
      </w:pPr>
      <w:r>
        <w:rPr>
          <w:rFonts w:hint="eastAsia" w:ascii="宋体" w:hAnsi="宋体" w:cs="宋体"/>
          <w:b/>
        </w:rPr>
        <w:t>▲</w:t>
      </w:r>
      <w:r>
        <w:rPr>
          <w:rFonts w:hint="eastAsia" w:ascii="宋体" w:hAnsi="宋体" w:cs="宋体"/>
          <w:b/>
          <w:szCs w:val="21"/>
        </w:rPr>
        <w:t>响应文件未按</w:t>
      </w:r>
      <w:r>
        <w:rPr>
          <w:rFonts w:hint="eastAsia" w:ascii="宋体" w:hAnsi="宋体" w:cs="宋体"/>
        </w:rPr>
        <w:t>磋商</w:t>
      </w:r>
      <w:r>
        <w:rPr>
          <w:rFonts w:hint="eastAsia" w:ascii="宋体" w:hAnsi="宋体" w:cs="宋体"/>
          <w:b/>
          <w:szCs w:val="21"/>
        </w:rPr>
        <w:t>文件的澄清、修改的内容编制，又不符合实质性要求的，响应无效。</w:t>
      </w:r>
    </w:p>
    <w:p w14:paraId="6E8FFB46">
      <w:pPr>
        <w:kinsoku/>
        <w:wordWrap/>
        <w:overflowPunct/>
        <w:topLinePunct w:val="0"/>
        <w:bidi w:val="0"/>
        <w:snapToGrid w:val="0"/>
        <w:spacing w:line="360" w:lineRule="auto"/>
        <w:jc w:val="center"/>
        <w:outlineLvl w:val="9"/>
        <w:rPr>
          <w:rFonts w:ascii="宋体" w:hAnsi="宋体" w:cs="宋体"/>
          <w:b/>
          <w:sz w:val="32"/>
          <w:szCs w:val="20"/>
        </w:rPr>
      </w:pPr>
    </w:p>
    <w:p w14:paraId="56F2831E">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三、提交响应文件</w:t>
      </w:r>
    </w:p>
    <w:p w14:paraId="699BD058">
      <w:pPr>
        <w:pStyle w:val="11"/>
        <w:kinsoku/>
        <w:wordWrap/>
        <w:overflowPunct/>
        <w:topLinePunct w:val="0"/>
        <w:bidi w:val="0"/>
        <w:spacing w:line="360" w:lineRule="auto"/>
        <w:outlineLvl w:val="9"/>
        <w:rPr>
          <w:rFonts w:hAnsi="宋体" w:cs="宋体"/>
          <w:b/>
          <w:sz w:val="24"/>
          <w:szCs w:val="24"/>
        </w:rPr>
      </w:pPr>
      <w:r>
        <w:rPr>
          <w:rFonts w:hint="eastAsia" w:hAnsi="宋体" w:cs="宋体"/>
          <w:b/>
          <w:sz w:val="24"/>
          <w:szCs w:val="24"/>
        </w:rPr>
        <w:t>7.采购文件的获取</w:t>
      </w:r>
    </w:p>
    <w:p w14:paraId="60649D2B">
      <w:pPr>
        <w:kinsoku/>
        <w:wordWrap/>
        <w:overflowPunct/>
        <w:topLinePunct w:val="0"/>
        <w:bidi w:val="0"/>
        <w:spacing w:line="360" w:lineRule="auto"/>
        <w:ind w:firstLine="480" w:firstLineChars="200"/>
        <w:outlineLvl w:val="9"/>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3728B07B">
      <w:pPr>
        <w:pStyle w:val="11"/>
        <w:kinsoku/>
        <w:wordWrap/>
        <w:overflowPunct/>
        <w:topLinePunct w:val="0"/>
        <w:bidi w:val="0"/>
        <w:spacing w:line="360" w:lineRule="auto"/>
        <w:outlineLvl w:val="9"/>
        <w:rPr>
          <w:rFonts w:hAnsi="宋体" w:cs="宋体"/>
          <w:b/>
          <w:sz w:val="24"/>
          <w:szCs w:val="24"/>
        </w:rPr>
      </w:pPr>
      <w:r>
        <w:rPr>
          <w:rFonts w:hint="eastAsia" w:hAnsi="宋体" w:cs="宋体"/>
          <w:b/>
          <w:sz w:val="24"/>
          <w:szCs w:val="24"/>
        </w:rPr>
        <w:t>8.磋商前答疑会或现场考察</w:t>
      </w:r>
    </w:p>
    <w:p w14:paraId="48CA8682">
      <w:pPr>
        <w:pStyle w:val="11"/>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5489D9AC">
      <w:pPr>
        <w:pStyle w:val="11"/>
        <w:kinsoku/>
        <w:wordWrap/>
        <w:overflowPunct/>
        <w:topLinePunct w:val="0"/>
        <w:bidi w:val="0"/>
        <w:spacing w:line="360" w:lineRule="auto"/>
        <w:outlineLvl w:val="9"/>
        <w:rPr>
          <w:rFonts w:hAnsi="宋体" w:cs="宋体"/>
          <w:b/>
          <w:szCs w:val="24"/>
        </w:rPr>
      </w:pPr>
      <w:r>
        <w:rPr>
          <w:rFonts w:hint="eastAsia" w:hAnsi="宋体" w:cs="宋体"/>
          <w:b/>
          <w:kern w:val="28"/>
          <w:sz w:val="24"/>
          <w:szCs w:val="24"/>
        </w:rPr>
        <w:t>9.磋商保证金</w:t>
      </w:r>
    </w:p>
    <w:p w14:paraId="3E8CCAC9">
      <w:pPr>
        <w:pStyle w:val="5"/>
        <w:kinsoku/>
        <w:wordWrap/>
        <w:overflowPunct/>
        <w:topLinePunct w:val="0"/>
        <w:bidi w:val="0"/>
        <w:spacing w:line="360" w:lineRule="auto"/>
        <w:ind w:firstLine="470" w:firstLineChars="196"/>
        <w:outlineLvl w:val="9"/>
        <w:rPr>
          <w:rFonts w:hAnsi="宋体" w:cs="宋体"/>
          <w:color w:val="auto"/>
          <w:sz w:val="24"/>
        </w:rPr>
      </w:pPr>
      <w:r>
        <w:rPr>
          <w:rFonts w:hint="eastAsia" w:hAnsi="宋体" w:cs="宋体"/>
          <w:color w:val="auto"/>
          <w:sz w:val="24"/>
        </w:rPr>
        <w:t>本项目不需缴纳磋商保证金。</w:t>
      </w:r>
    </w:p>
    <w:p w14:paraId="132592F6">
      <w:pPr>
        <w:pStyle w:val="11"/>
        <w:kinsoku/>
        <w:wordWrap/>
        <w:overflowPunct/>
        <w:topLinePunct w:val="0"/>
        <w:bidi w:val="0"/>
        <w:spacing w:line="360" w:lineRule="auto"/>
        <w:outlineLvl w:val="9"/>
        <w:rPr>
          <w:rFonts w:hAnsi="宋体" w:cs="宋体"/>
          <w:b/>
          <w:sz w:val="24"/>
          <w:szCs w:val="24"/>
        </w:rPr>
      </w:pPr>
      <w:r>
        <w:rPr>
          <w:rFonts w:hint="eastAsia" w:hAnsi="宋体" w:cs="宋体"/>
          <w:b/>
          <w:sz w:val="24"/>
          <w:szCs w:val="24"/>
        </w:rPr>
        <w:t>10.响应文件的语言</w:t>
      </w:r>
    </w:p>
    <w:p w14:paraId="5C19A548">
      <w:pPr>
        <w:kinsoku/>
        <w:wordWrap/>
        <w:overflowPunct/>
        <w:topLinePunct w:val="0"/>
        <w:autoSpaceDE w:val="0"/>
        <w:autoSpaceDN w:val="0"/>
        <w:bidi w:val="0"/>
        <w:spacing w:line="360" w:lineRule="auto"/>
        <w:ind w:firstLine="480" w:firstLineChars="200"/>
        <w:outlineLvl w:val="9"/>
        <w:rPr>
          <w:rFonts w:ascii="宋体" w:hAnsi="宋体" w:cs="宋体"/>
          <w:sz w:val="24"/>
          <w:lang w:val="zh-CN"/>
        </w:rPr>
      </w:pPr>
      <w:r>
        <w:rPr>
          <w:rFonts w:hint="eastAsia" w:ascii="宋体" w:hAnsi="宋体" w:cs="宋体"/>
          <w:sz w:val="24"/>
        </w:rPr>
        <w:t>响应文件及供应商与采购有关的来往通知、函件和文件均应使用中文。</w:t>
      </w:r>
    </w:p>
    <w:p w14:paraId="35BF1A2B">
      <w:pPr>
        <w:pStyle w:val="11"/>
        <w:kinsoku/>
        <w:wordWrap/>
        <w:overflowPunct/>
        <w:topLinePunct w:val="0"/>
        <w:bidi w:val="0"/>
        <w:spacing w:line="360" w:lineRule="auto"/>
        <w:outlineLvl w:val="9"/>
        <w:rPr>
          <w:rFonts w:hAnsi="宋体" w:cs="宋体"/>
          <w:b/>
          <w:sz w:val="24"/>
          <w:szCs w:val="24"/>
        </w:rPr>
      </w:pPr>
      <w:r>
        <w:rPr>
          <w:rFonts w:hint="eastAsia" w:hAnsi="宋体" w:cs="宋体"/>
          <w:b/>
          <w:sz w:val="24"/>
          <w:szCs w:val="24"/>
        </w:rPr>
        <w:t>11. 响应文件的组成</w:t>
      </w:r>
    </w:p>
    <w:p w14:paraId="714B4112">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8925622">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11.1.1符合参加政府采购活动应当具备的一般条件的承诺函；</w:t>
      </w:r>
    </w:p>
    <w:p w14:paraId="15C7AB2D">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11.1.2</w:t>
      </w:r>
      <w:bookmarkStart w:id="15" w:name="_Hlk101259339"/>
      <w:r>
        <w:rPr>
          <w:rFonts w:hint="eastAsia" w:ascii="宋体" w:hAnsi="宋体" w:cs="宋体"/>
          <w:snapToGrid w:val="0"/>
          <w:kern w:val="28"/>
          <w:sz w:val="24"/>
          <w:szCs w:val="20"/>
        </w:rPr>
        <w:t>联合协议</w:t>
      </w:r>
      <w:bookmarkStart w:id="16" w:name="_Hlk101257010"/>
      <w:r>
        <w:rPr>
          <w:rFonts w:hint="eastAsia" w:ascii="宋体" w:hAnsi="宋体" w:cs="宋体"/>
          <w:snapToGrid w:val="0"/>
          <w:kern w:val="28"/>
          <w:sz w:val="24"/>
          <w:szCs w:val="20"/>
        </w:rPr>
        <w:t>（如果有)</w:t>
      </w:r>
      <w:bookmarkEnd w:id="15"/>
      <w:bookmarkEnd w:id="16"/>
      <w:r>
        <w:rPr>
          <w:rFonts w:hint="eastAsia" w:ascii="宋体" w:hAnsi="宋体" w:cs="宋体"/>
          <w:snapToGrid w:val="0"/>
          <w:kern w:val="28"/>
          <w:sz w:val="24"/>
          <w:szCs w:val="20"/>
        </w:rPr>
        <w:t>；</w:t>
      </w:r>
    </w:p>
    <w:p w14:paraId="07FAEBFF">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20760856">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37C30BC3">
      <w:pPr>
        <w:kinsoku/>
        <w:wordWrap/>
        <w:overflowPunct/>
        <w:topLinePunct w:val="0"/>
        <w:bidi w:val="0"/>
        <w:snapToGrid w:val="0"/>
        <w:spacing w:line="360" w:lineRule="auto"/>
        <w:ind w:firstLine="480" w:firstLineChars="200"/>
        <w:outlineLvl w:val="9"/>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09E41F3">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129F7350">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11.2.2授权委托书或法定代表人（单位负责人、自然人本人）身份证明；</w:t>
      </w:r>
    </w:p>
    <w:p w14:paraId="2C81C3A9">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11.2.3分包意向协议（如果有)；</w:t>
      </w:r>
    </w:p>
    <w:p w14:paraId="4E9070ED">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11.2.4符合性审查资料；</w:t>
      </w:r>
    </w:p>
    <w:p w14:paraId="5479DE5E">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11.2.5评审标准相应的商务技术资料；</w:t>
      </w:r>
    </w:p>
    <w:p w14:paraId="597ABD72">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11.2.6商务技术偏离表；</w:t>
      </w:r>
    </w:p>
    <w:p w14:paraId="696CEC98">
      <w:pPr>
        <w:kinsoku/>
        <w:wordWrap/>
        <w:overflowPunct/>
        <w:topLinePunct w:val="0"/>
        <w:bidi w:val="0"/>
        <w:snapToGrid w:val="0"/>
        <w:spacing w:line="360" w:lineRule="auto"/>
        <w:ind w:firstLine="960" w:firstLineChars="400"/>
        <w:outlineLvl w:val="9"/>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5FED4EF">
      <w:pPr>
        <w:kinsoku/>
        <w:wordWrap/>
        <w:overflowPunct/>
        <w:topLinePunct w:val="0"/>
        <w:bidi w:val="0"/>
        <w:snapToGrid w:val="0"/>
        <w:spacing w:line="360" w:lineRule="auto"/>
        <w:ind w:firstLine="480" w:firstLineChars="200"/>
        <w:outlineLvl w:val="9"/>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7360950">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11.3.1报价单；</w:t>
      </w:r>
    </w:p>
    <w:p w14:paraId="500A3E74">
      <w:pPr>
        <w:kinsoku/>
        <w:wordWrap/>
        <w:overflowPunct/>
        <w:topLinePunct w:val="0"/>
        <w:bidi w:val="0"/>
        <w:snapToGrid w:val="0"/>
        <w:spacing w:line="360" w:lineRule="auto"/>
        <w:ind w:firstLine="960" w:firstLineChars="400"/>
        <w:outlineLvl w:val="9"/>
        <w:rPr>
          <w:rFonts w:hint="eastAsia" w:ascii="宋体" w:hAnsi="宋体" w:eastAsia="宋体" w:cs="宋体"/>
          <w:sz w:val="24"/>
        </w:rPr>
      </w:pPr>
      <w:r>
        <w:rPr>
          <w:rFonts w:hint="eastAsia" w:ascii="宋体" w:hAnsi="宋体" w:cs="宋体"/>
          <w:sz w:val="24"/>
        </w:rPr>
        <w:t>11.3.2</w:t>
      </w:r>
      <w:r>
        <w:rPr>
          <w:rFonts w:hint="eastAsia" w:ascii="宋体" w:hAnsi="宋体" w:eastAsia="宋体" w:cs="宋体"/>
          <w:sz w:val="24"/>
        </w:rPr>
        <w:t>投标分项报价表</w:t>
      </w:r>
    </w:p>
    <w:p w14:paraId="45C579E4">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eastAsia="宋体" w:cs="宋体"/>
          <w:sz w:val="24"/>
          <w:lang w:val="en-US" w:eastAsia="zh-CN"/>
        </w:rPr>
        <w:t>11.3.3</w:t>
      </w:r>
      <w:r>
        <w:rPr>
          <w:rFonts w:hint="eastAsia" w:ascii="宋体" w:hAnsi="宋体" w:cs="宋体"/>
          <w:sz w:val="24"/>
        </w:rPr>
        <w:t>中小企业声明函</w:t>
      </w:r>
      <w:r>
        <w:rPr>
          <w:rFonts w:hint="eastAsia" w:ascii="宋体" w:hAnsi="宋体" w:cs="宋体"/>
          <w:sz w:val="24"/>
          <w:lang w:val="en-US" w:eastAsia="zh-CN"/>
        </w:rPr>
        <w:t>(如有）</w:t>
      </w:r>
      <w:r>
        <w:rPr>
          <w:rFonts w:hint="eastAsia" w:ascii="宋体" w:hAnsi="宋体" w:cs="宋体"/>
          <w:sz w:val="24"/>
        </w:rPr>
        <w:t>。</w:t>
      </w:r>
    </w:p>
    <w:p w14:paraId="16A2FDEF">
      <w:pPr>
        <w:kinsoku/>
        <w:wordWrap/>
        <w:overflowPunct/>
        <w:topLinePunct w:val="0"/>
        <w:bidi w:val="0"/>
        <w:spacing w:line="360" w:lineRule="auto"/>
        <w:ind w:firstLine="723" w:firstLineChars="300"/>
        <w:outlineLvl w:val="9"/>
        <w:rPr>
          <w:rFonts w:ascii="宋体" w:hAnsi="宋体" w:cs="宋体"/>
          <w:b/>
          <w:sz w:val="24"/>
        </w:rPr>
      </w:pPr>
      <w:r>
        <w:rPr>
          <w:rFonts w:hint="eastAsia" w:ascii="宋体" w:hAnsi="宋体" w:cs="宋体"/>
          <w:b/>
          <w:sz w:val="24"/>
        </w:rPr>
        <w:t>响应文件含有采购人不能接受的附加条件的，响应文件无效；</w:t>
      </w:r>
    </w:p>
    <w:p w14:paraId="7EC9DC53">
      <w:pPr>
        <w:kinsoku/>
        <w:wordWrap/>
        <w:overflowPunct/>
        <w:topLinePunct w:val="0"/>
        <w:bidi w:val="0"/>
        <w:spacing w:line="360" w:lineRule="auto"/>
        <w:ind w:firstLine="723" w:firstLineChars="300"/>
        <w:outlineLvl w:val="9"/>
        <w:rPr>
          <w:rFonts w:ascii="宋体" w:hAnsi="宋体" w:cs="宋体"/>
          <w:b/>
          <w:sz w:val="24"/>
          <w:szCs w:val="21"/>
        </w:rPr>
      </w:pPr>
      <w:r>
        <w:rPr>
          <w:rFonts w:hint="eastAsia" w:ascii="宋体" w:hAnsi="宋体" w:cs="宋体"/>
          <w:b/>
          <w:sz w:val="24"/>
        </w:rPr>
        <w:t>供应商提供虚假材料的，响应文件无效。</w:t>
      </w:r>
    </w:p>
    <w:p w14:paraId="797C39AB">
      <w:pPr>
        <w:pStyle w:val="79"/>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响应文件的编制（文件后缀为：jmbs）</w:t>
      </w:r>
    </w:p>
    <w:p w14:paraId="791C8ACF">
      <w:pPr>
        <w:kinsoku/>
        <w:wordWrap/>
        <w:overflowPunct/>
        <w:topLinePunct w:val="0"/>
        <w:bidi w:val="0"/>
        <w:spacing w:line="360" w:lineRule="auto"/>
        <w:ind w:firstLine="480" w:firstLineChars="200"/>
        <w:outlineLvl w:val="9"/>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1867922">
      <w:pPr>
        <w:kinsoku/>
        <w:wordWrap/>
        <w:overflowPunct/>
        <w:topLinePunct w:val="0"/>
        <w:bidi w:val="0"/>
        <w:spacing w:line="360" w:lineRule="auto"/>
        <w:ind w:firstLine="480" w:firstLineChars="200"/>
        <w:outlineLvl w:val="9"/>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2763B66">
      <w:pPr>
        <w:kinsoku/>
        <w:wordWrap/>
        <w:overflowPunct/>
        <w:topLinePunct w:val="0"/>
        <w:bidi w:val="0"/>
        <w:snapToGrid w:val="0"/>
        <w:spacing w:line="360" w:lineRule="auto"/>
        <w:ind w:firstLine="480" w:firstLineChars="200"/>
        <w:outlineLvl w:val="9"/>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D74C862">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13.响应文件的签署、盖章</w:t>
      </w:r>
    </w:p>
    <w:p w14:paraId="1444A714">
      <w:pPr>
        <w:pStyle w:val="79"/>
        <w:kinsoku/>
        <w:wordWrap/>
        <w:overflowPunct/>
        <w:topLinePunct w:val="0"/>
        <w:bidi w:val="0"/>
        <w:snapToGrid w:val="0"/>
        <w:spacing w:before="0"/>
        <w:ind w:firstLine="480"/>
        <w:outlineLvl w:val="9"/>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21D56D2F">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409638DB">
      <w:pPr>
        <w:pStyle w:val="79"/>
        <w:kinsoku/>
        <w:wordWrap/>
        <w:overflowPunct/>
        <w:topLinePunct w:val="0"/>
        <w:bidi w:val="0"/>
        <w:snapToGrid w:val="0"/>
        <w:spacing w:before="0"/>
        <w:ind w:firstLine="480"/>
        <w:outlineLvl w:val="9"/>
        <w:rPr>
          <w:rFonts w:ascii="宋体" w:hAnsi="宋体" w:cs="宋体"/>
          <w:b/>
          <w:szCs w:val="24"/>
        </w:rPr>
      </w:pPr>
      <w:r>
        <w:rPr>
          <w:rFonts w:hint="eastAsia" w:ascii="宋体" w:hAnsi="宋体" w:cs="宋体"/>
        </w:rPr>
        <w:t>13.3采购文件对响应文件签署、盖章的要求适用于电子签名。</w:t>
      </w:r>
    </w:p>
    <w:p w14:paraId="22405FD1">
      <w:pPr>
        <w:pStyle w:val="79"/>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14. 响应文件的提交、补充、修改、撤回</w:t>
      </w:r>
    </w:p>
    <w:p w14:paraId="47030D6C">
      <w:pPr>
        <w:pStyle w:val="7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40C1FC6">
      <w:pPr>
        <w:pStyle w:val="7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14.2 在响应截止时间以后，不能补充、修改响应文件。</w:t>
      </w:r>
    </w:p>
    <w:p w14:paraId="74DD0FF5">
      <w:pPr>
        <w:pStyle w:val="7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14.3 在提交“最后报价”后，供应商不能退出磋商。</w:t>
      </w:r>
    </w:p>
    <w:p w14:paraId="3DB541B3">
      <w:pPr>
        <w:pStyle w:val="7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14.4电子交易平台收到响应文件，将妥善保存并即时向供应商发出确认回执通知。在响应文件提交（上传）截止时间前，除供应商补充、修改或者撤回响应文件外，任何单位和个人不得解密或提取响应文件。</w:t>
      </w:r>
    </w:p>
    <w:p w14:paraId="5EAFBA84">
      <w:pPr>
        <w:pStyle w:val="79"/>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E8C0455">
      <w:pPr>
        <w:pStyle w:val="11"/>
        <w:kinsoku/>
        <w:wordWrap/>
        <w:overflowPunct/>
        <w:topLinePunct w:val="0"/>
        <w:bidi w:val="0"/>
        <w:snapToGrid w:val="0"/>
        <w:spacing w:line="360" w:lineRule="auto"/>
        <w:outlineLvl w:val="9"/>
        <w:rPr>
          <w:rFonts w:hAnsi="宋体" w:cs="宋体"/>
          <w:b/>
          <w:sz w:val="24"/>
          <w:szCs w:val="24"/>
        </w:rPr>
      </w:pPr>
      <w:r>
        <w:rPr>
          <w:rFonts w:hint="eastAsia" w:hAnsi="宋体" w:cs="宋体"/>
          <w:b/>
          <w:sz w:val="24"/>
          <w:szCs w:val="24"/>
        </w:rPr>
        <w:t>15.备份响应文件（文件后缀为：bfbs）</w:t>
      </w:r>
    </w:p>
    <w:p w14:paraId="1CEAA03B">
      <w:pPr>
        <w:pStyle w:val="11"/>
        <w:kinsoku/>
        <w:wordWrap/>
        <w:overflowPunct/>
        <w:topLinePunct w:val="0"/>
        <w:bidi w:val="0"/>
        <w:snapToGrid w:val="0"/>
        <w:spacing w:line="360" w:lineRule="auto"/>
        <w:ind w:firstLine="360" w:firstLineChars="150"/>
        <w:outlineLvl w:val="9"/>
        <w:rPr>
          <w:rFonts w:hAnsi="宋体" w:cs="宋体"/>
          <w:b/>
          <w:sz w:val="24"/>
          <w:szCs w:val="24"/>
        </w:rPr>
      </w:pPr>
      <w:r>
        <w:rPr>
          <w:rFonts w:hint="eastAsia" w:hAnsi="宋体" w:cs="宋体"/>
          <w:sz w:val="24"/>
          <w:szCs w:val="24"/>
        </w:rPr>
        <w:t>15.1供应商在电子交易平台传输递交响应文件后，还可以在响应文件提交（上传）截止时间前直接提交或者以快递方式递交备份响应文件1份，</w:t>
      </w:r>
      <w:r>
        <w:rPr>
          <w:rFonts w:hint="eastAsia" w:hAnsi="宋体" w:cs="宋体"/>
          <w:b/>
          <w:sz w:val="24"/>
          <w:szCs w:val="24"/>
        </w:rPr>
        <w:t>但采购人、采购代理机构不强制或变相强制供应商提交备份响应文件。</w:t>
      </w:r>
    </w:p>
    <w:p w14:paraId="43FB7292">
      <w:pPr>
        <w:pStyle w:val="11"/>
        <w:kinsoku/>
        <w:wordWrap/>
        <w:overflowPunct/>
        <w:topLinePunct w:val="0"/>
        <w:bidi w:val="0"/>
        <w:snapToGrid w:val="0"/>
        <w:spacing w:line="360" w:lineRule="auto"/>
        <w:ind w:firstLine="480" w:firstLineChars="200"/>
        <w:outlineLvl w:val="9"/>
        <w:rPr>
          <w:rFonts w:hAnsi="宋体" w:cs="宋体"/>
          <w:b/>
          <w:sz w:val="24"/>
          <w:szCs w:val="24"/>
        </w:rPr>
      </w:pPr>
      <w:r>
        <w:rPr>
          <w:rFonts w:hint="eastAsia" w:hAnsi="宋体" w:cs="宋体"/>
          <w:sz w:val="24"/>
          <w:szCs w:val="24"/>
        </w:rPr>
        <w:t>15.2备份响应文件须在“政采云投标客户端”制作生成，并储存在U盘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1358DD12">
      <w:pPr>
        <w:pStyle w:val="11"/>
        <w:kinsoku/>
        <w:wordWrap/>
        <w:overflowPunct/>
        <w:topLinePunct w:val="0"/>
        <w:bidi w:val="0"/>
        <w:snapToGrid w:val="0"/>
        <w:spacing w:line="360" w:lineRule="auto"/>
        <w:ind w:firstLine="480" w:firstLineChars="200"/>
        <w:outlineLvl w:val="9"/>
        <w:rPr>
          <w:rFonts w:hAnsi="宋体" w:cs="宋体"/>
          <w:sz w:val="24"/>
          <w:szCs w:val="24"/>
        </w:rPr>
      </w:pPr>
      <w:r>
        <w:rPr>
          <w:rFonts w:hint="eastAsia" w:hAnsi="宋体" w:cs="宋体"/>
          <w:sz w:val="24"/>
          <w:szCs w:val="24"/>
        </w:rPr>
        <w:t>15.3直接提交备份响应文件的，供应商应于响应截止时间前在磋商文件第三部分供应商须知前附表规定的地点将备份响应文件提交给采购代理机构，采购代理机构将拒绝接受逾期送达的备份响应文件。</w:t>
      </w:r>
    </w:p>
    <w:p w14:paraId="4F328C43">
      <w:pPr>
        <w:pStyle w:val="11"/>
        <w:kinsoku/>
        <w:wordWrap/>
        <w:overflowPunct/>
        <w:topLinePunct w:val="0"/>
        <w:bidi w:val="0"/>
        <w:snapToGrid w:val="0"/>
        <w:spacing w:line="360" w:lineRule="auto"/>
        <w:ind w:firstLine="480" w:firstLineChars="200"/>
        <w:outlineLvl w:val="9"/>
        <w:rPr>
          <w:rFonts w:hAnsi="宋体" w:cs="宋体"/>
          <w:sz w:val="24"/>
          <w:szCs w:val="24"/>
        </w:rPr>
      </w:pPr>
      <w:r>
        <w:rPr>
          <w:rFonts w:hint="eastAsia" w:hAnsi="宋体" w:cs="宋体"/>
          <w:sz w:val="24"/>
          <w:szCs w:val="24"/>
        </w:rPr>
        <w:t>15.4以快递方式递交备份响应文件的，供应商应先将备份响应文件按要求密封和标记，再进行快递包装后邮寄。备份响应文件须按磋商文件第三部分供应商须知前附表规定时间和地点送达</w:t>
      </w:r>
      <w:r>
        <w:rPr>
          <w:rFonts w:hint="eastAsia" w:hAnsi="宋体" w:cs="宋体"/>
          <w:snapToGrid/>
          <w:sz w:val="24"/>
          <w:szCs w:val="24"/>
        </w:rPr>
        <w:t>；</w:t>
      </w:r>
      <w:r>
        <w:rPr>
          <w:rFonts w:hint="eastAsia" w:hAnsi="宋体" w:cs="宋体"/>
          <w:sz w:val="24"/>
          <w:szCs w:val="24"/>
        </w:rPr>
        <w:t>送达时间以签收人签收时间为准。采购代理机构将拒绝接受逾期送达的备份响应文件。邮寄过程中，电子备份响应文件发生</w:t>
      </w:r>
      <w:r>
        <w:rPr>
          <w:rFonts w:hint="eastAsia" w:hAnsi="宋体" w:cs="宋体"/>
          <w:sz w:val="24"/>
          <w:szCs w:val="24"/>
          <w:lang w:eastAsia="zh-CN"/>
        </w:rPr>
        <w:t>泄漏</w:t>
      </w:r>
      <w:r>
        <w:rPr>
          <w:rFonts w:hint="eastAsia" w:hAnsi="宋体" w:cs="宋体"/>
          <w:sz w:val="24"/>
          <w:szCs w:val="24"/>
        </w:rPr>
        <w:t>、遗失、损坏或延期送达等情况的，由供应商自行负责。</w:t>
      </w:r>
    </w:p>
    <w:p w14:paraId="203F1B72">
      <w:pPr>
        <w:pStyle w:val="11"/>
        <w:kinsoku/>
        <w:wordWrap/>
        <w:overflowPunct/>
        <w:topLinePunct w:val="0"/>
        <w:bidi w:val="0"/>
        <w:snapToGrid w:val="0"/>
        <w:spacing w:line="360" w:lineRule="auto"/>
        <w:ind w:firstLine="479" w:firstLineChars="199"/>
        <w:outlineLvl w:val="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25B0A0A1">
      <w:pPr>
        <w:pStyle w:val="79"/>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16.响应文件的无效处理</w:t>
      </w:r>
    </w:p>
    <w:p w14:paraId="6B3339C8">
      <w:pPr>
        <w:pStyle w:val="10"/>
        <w:kinsoku/>
        <w:wordWrap/>
        <w:overflowPunct/>
        <w:topLinePunct w:val="0"/>
        <w:bidi w:val="0"/>
        <w:spacing w:line="360" w:lineRule="auto"/>
        <w:ind w:firstLine="360" w:firstLineChars="150"/>
        <w:outlineLvl w:val="9"/>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23FD428">
      <w:pPr>
        <w:pStyle w:val="79"/>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17.响应文件有效期</w:t>
      </w:r>
    </w:p>
    <w:p w14:paraId="0E706291">
      <w:pPr>
        <w:kinsoku/>
        <w:wordWrap/>
        <w:overflowPunct/>
        <w:topLinePunct w:val="0"/>
        <w:bidi w:val="0"/>
        <w:spacing w:line="360" w:lineRule="auto"/>
        <w:ind w:firstLine="480" w:firstLineChars="200"/>
        <w:outlineLvl w:val="9"/>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0D0FBEE1">
      <w:pPr>
        <w:pStyle w:val="79"/>
        <w:kinsoku/>
        <w:wordWrap/>
        <w:overflowPunct/>
        <w:topLinePunct w:val="0"/>
        <w:bidi w:val="0"/>
        <w:spacing w:before="0"/>
        <w:ind w:firstLine="480"/>
        <w:outlineLvl w:val="9"/>
        <w:rPr>
          <w:rFonts w:ascii="宋体" w:hAnsi="宋体" w:cs="宋体"/>
        </w:rPr>
      </w:pPr>
      <w:r>
        <w:rPr>
          <w:rFonts w:hint="eastAsia" w:ascii="宋体" w:hAnsi="宋体" w:cs="宋体"/>
        </w:rPr>
        <w:t>17.2响应文件合格投递后，自响应文件提交截止时间起，在响应文件有效期内有效。</w:t>
      </w:r>
    </w:p>
    <w:p w14:paraId="5AA83EDC">
      <w:pPr>
        <w:pStyle w:val="79"/>
        <w:kinsoku/>
        <w:wordWrap/>
        <w:overflowPunct/>
        <w:topLinePunct w:val="0"/>
        <w:bidi w:val="0"/>
        <w:spacing w:before="0"/>
        <w:ind w:firstLine="480"/>
        <w:outlineLvl w:val="9"/>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1F6C38D">
      <w:pPr>
        <w:pStyle w:val="79"/>
        <w:kinsoku/>
        <w:wordWrap/>
        <w:overflowPunct/>
        <w:topLinePunct w:val="0"/>
        <w:bidi w:val="0"/>
        <w:spacing w:before="0"/>
        <w:ind w:firstLine="643"/>
        <w:outlineLvl w:val="9"/>
        <w:rPr>
          <w:rFonts w:ascii="宋体" w:hAnsi="宋体" w:cs="宋体"/>
          <w:b/>
          <w:sz w:val="32"/>
        </w:rPr>
      </w:pPr>
    </w:p>
    <w:p w14:paraId="3EC540C3">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四、响应文件开启、资格审查与信用信息查询</w:t>
      </w:r>
    </w:p>
    <w:p w14:paraId="233CD86E">
      <w:pPr>
        <w:pStyle w:val="96"/>
        <w:kinsoku/>
        <w:wordWrap/>
        <w:overflowPunct/>
        <w:topLinePunct w:val="0"/>
        <w:bidi w:val="0"/>
        <w:spacing w:before="0" w:line="360" w:lineRule="auto"/>
        <w:ind w:left="0" w:firstLine="0"/>
        <w:contextualSpacing/>
        <w:outlineLvl w:val="9"/>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144E9C76">
      <w:pPr>
        <w:pStyle w:val="96"/>
        <w:kinsoku/>
        <w:wordWrap/>
        <w:overflowPunct/>
        <w:topLinePunct w:val="0"/>
        <w:bidi w:val="0"/>
        <w:snapToGrid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0EDE6610">
      <w:pPr>
        <w:pStyle w:val="96"/>
        <w:kinsoku/>
        <w:wordWrap/>
        <w:overflowPunct/>
        <w:topLinePunct w:val="0"/>
        <w:bidi w:val="0"/>
        <w:snapToGrid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330985BD">
      <w:pPr>
        <w:pStyle w:val="96"/>
        <w:kinsoku/>
        <w:wordWrap/>
        <w:overflowPunct/>
        <w:topLinePunct w:val="0"/>
        <w:bidi w:val="0"/>
        <w:snapToGrid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4BF826C7">
      <w:pPr>
        <w:pStyle w:val="96"/>
        <w:kinsoku/>
        <w:wordWrap/>
        <w:overflowPunct/>
        <w:topLinePunct w:val="0"/>
        <w:bidi w:val="0"/>
        <w:spacing w:before="0" w:line="360" w:lineRule="auto"/>
        <w:ind w:left="0" w:firstLine="0"/>
        <w:contextualSpacing/>
        <w:outlineLvl w:val="9"/>
        <w:rPr>
          <w:rFonts w:ascii="宋体" w:hAnsi="宋体" w:cs="宋体"/>
          <w:b/>
          <w:sz w:val="24"/>
          <w:szCs w:val="24"/>
        </w:rPr>
      </w:pPr>
      <w:r>
        <w:rPr>
          <w:rFonts w:hint="eastAsia" w:ascii="宋体" w:hAnsi="宋体" w:cs="宋体"/>
          <w:b/>
          <w:sz w:val="24"/>
          <w:szCs w:val="24"/>
        </w:rPr>
        <w:t>19、资格审查</w:t>
      </w:r>
    </w:p>
    <w:p w14:paraId="14C0D1BC">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kern w:val="0"/>
          <w:sz w:val="24"/>
        </w:rPr>
        <w:t>19.1</w:t>
      </w:r>
      <w:r>
        <w:rPr>
          <w:rFonts w:hint="eastAsia" w:ascii="宋体" w:hAnsi="宋体" w:cs="宋体"/>
          <w:sz w:val="24"/>
        </w:rPr>
        <w:t>磋商小组依据法律法规和采购文件的规定，对供应商的资格进行审查。</w:t>
      </w:r>
    </w:p>
    <w:p w14:paraId="6CA7FF51">
      <w:pPr>
        <w:pStyle w:val="79"/>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1A1BC060">
      <w:pPr>
        <w:pStyle w:val="79"/>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2E97BC30">
      <w:pPr>
        <w:pStyle w:val="79"/>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66C3D791">
      <w:pPr>
        <w:pStyle w:val="79"/>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20、信用信息查询</w:t>
      </w:r>
    </w:p>
    <w:p w14:paraId="722AB6CA">
      <w:pPr>
        <w:pStyle w:val="79"/>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4A5CB99E">
      <w:pPr>
        <w:pStyle w:val="79"/>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57938D36">
      <w:pPr>
        <w:pStyle w:val="79"/>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20.3信用信息的使用规则：经查询列入失信被执行人名单、重大税收违法案件当事人名单(即：重大税收违法失信主体)、政府采购严重违法失信行为记录名单的供应商将被拒绝参与政府采购活动。</w:t>
      </w:r>
    </w:p>
    <w:p w14:paraId="40EE6C6B">
      <w:pPr>
        <w:pStyle w:val="79"/>
        <w:kinsoku/>
        <w:wordWrap/>
        <w:overflowPunct/>
        <w:topLinePunct w:val="0"/>
        <w:bidi w:val="0"/>
        <w:spacing w:before="0"/>
        <w:ind w:firstLine="480"/>
        <w:outlineLvl w:val="9"/>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F198147">
      <w:pPr>
        <w:pStyle w:val="79"/>
        <w:kinsoku/>
        <w:wordWrap/>
        <w:overflowPunct/>
        <w:topLinePunct w:val="0"/>
        <w:bidi w:val="0"/>
        <w:spacing w:before="0"/>
        <w:ind w:firstLine="0" w:firstLineChars="0"/>
        <w:outlineLvl w:val="9"/>
        <w:rPr>
          <w:rFonts w:ascii="宋体" w:hAnsi="宋体" w:cs="宋体"/>
          <w:kern w:val="0"/>
          <w:szCs w:val="24"/>
        </w:rPr>
      </w:pPr>
    </w:p>
    <w:p w14:paraId="1C05DD3E">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五、评审</w:t>
      </w:r>
    </w:p>
    <w:p w14:paraId="33F8FFA6">
      <w:pPr>
        <w:kinsoku/>
        <w:wordWrap/>
        <w:overflowPunct/>
        <w:topLinePunct w:val="0"/>
        <w:bidi w:val="0"/>
        <w:spacing w:line="360" w:lineRule="auto"/>
        <w:outlineLvl w:val="9"/>
        <w:rPr>
          <w:rFonts w:ascii="宋体" w:hAnsi="宋体" w:cs="宋体"/>
          <w:b/>
          <w:sz w:val="24"/>
        </w:rPr>
      </w:pPr>
      <w:bookmarkStart w:id="1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081C85E2">
      <w:pPr>
        <w:kinsoku/>
        <w:wordWrap/>
        <w:overflowPunct/>
        <w:topLinePunct w:val="0"/>
        <w:bidi w:val="0"/>
        <w:spacing w:line="360" w:lineRule="auto"/>
        <w:outlineLvl w:val="9"/>
        <w:rPr>
          <w:rFonts w:ascii="宋体" w:hAnsi="宋体" w:cs="宋体"/>
          <w:b/>
          <w:sz w:val="24"/>
        </w:rPr>
      </w:pPr>
    </w:p>
    <w:p w14:paraId="519AED74">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六、成交供应商确定</w:t>
      </w:r>
    </w:p>
    <w:p w14:paraId="6065FCC0">
      <w:pPr>
        <w:pStyle w:val="10"/>
        <w:kinsoku/>
        <w:wordWrap/>
        <w:overflowPunct/>
        <w:topLinePunct w:val="0"/>
        <w:bidi w:val="0"/>
        <w:spacing w:line="360" w:lineRule="auto"/>
        <w:ind w:left="479" w:hanging="479" w:hangingChars="199"/>
        <w:outlineLvl w:val="9"/>
        <w:rPr>
          <w:rFonts w:cs="宋体"/>
          <w:b/>
        </w:rPr>
      </w:pPr>
      <w:r>
        <w:rPr>
          <w:rFonts w:hint="eastAsia" w:cs="宋体"/>
          <w:b/>
        </w:rPr>
        <w:t>22. 确定成交供应商</w:t>
      </w:r>
    </w:p>
    <w:p w14:paraId="41DCD5B5">
      <w:pPr>
        <w:pStyle w:val="79"/>
        <w:kinsoku/>
        <w:wordWrap/>
        <w:overflowPunct/>
        <w:topLinePunct w:val="0"/>
        <w:bidi w:val="0"/>
        <w:snapToGrid w:val="0"/>
        <w:spacing w:before="0"/>
        <w:ind w:firstLine="480"/>
        <w:outlineLvl w:val="9"/>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r>
        <w:rPr>
          <w:rFonts w:hint="eastAsia" w:ascii="宋体" w:hAnsi="宋体" w:cs="宋体"/>
          <w:b/>
          <w:bCs/>
        </w:rPr>
        <w:t>注：按评审后得分由高到低顺序确定1名成交人。</w:t>
      </w:r>
    </w:p>
    <w:p w14:paraId="331FB71D">
      <w:pPr>
        <w:pStyle w:val="79"/>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23. 成交通知与成交结果公告</w:t>
      </w:r>
    </w:p>
    <w:p w14:paraId="2257DE53">
      <w:pPr>
        <w:widowControl/>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23.1自成交供应商确定之日起2个工作日内，采购代理机构通过电子交易平台向成交供应商发出成交通知书，同时编制发布采购结果公告。采购代理机构也可以以纸质形式进行成交通知。</w:t>
      </w:r>
    </w:p>
    <w:p w14:paraId="2DD66748">
      <w:pPr>
        <w:widowControl/>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D8F8B2A">
      <w:pPr>
        <w:widowControl/>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23.3公告期限为1个工作日。</w:t>
      </w:r>
    </w:p>
    <w:p w14:paraId="55773F79">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七、合同授予</w:t>
      </w:r>
    </w:p>
    <w:p w14:paraId="5A92E717">
      <w:pPr>
        <w:pStyle w:val="10"/>
        <w:kinsoku/>
        <w:wordWrap/>
        <w:overflowPunct/>
        <w:topLinePunct w:val="0"/>
        <w:bidi w:val="0"/>
        <w:snapToGrid w:val="0"/>
        <w:spacing w:line="360" w:lineRule="auto"/>
        <w:ind w:left="479" w:hanging="479" w:hangingChars="199"/>
        <w:outlineLvl w:val="9"/>
        <w:rPr>
          <w:rFonts w:cs="宋体"/>
          <w:b/>
        </w:rPr>
      </w:pPr>
      <w:r>
        <w:rPr>
          <w:rFonts w:hint="eastAsia" w:cs="宋体"/>
          <w:b/>
        </w:rPr>
        <w:t xml:space="preserve">24. </w:t>
      </w:r>
      <w:r>
        <w:rPr>
          <w:rFonts w:hint="eastAsia" w:cs="宋体"/>
        </w:rPr>
        <w:t>合同主要条款详见第五部分拟签订的合同文本。</w:t>
      </w:r>
    </w:p>
    <w:p w14:paraId="7275BD38">
      <w:pPr>
        <w:pStyle w:val="10"/>
        <w:kinsoku/>
        <w:wordWrap/>
        <w:overflowPunct/>
        <w:topLinePunct w:val="0"/>
        <w:bidi w:val="0"/>
        <w:snapToGrid w:val="0"/>
        <w:spacing w:line="360" w:lineRule="auto"/>
        <w:ind w:left="479" w:hanging="479" w:hangingChars="199"/>
        <w:outlineLvl w:val="9"/>
        <w:rPr>
          <w:rFonts w:cs="宋体"/>
          <w:b/>
        </w:rPr>
      </w:pPr>
      <w:r>
        <w:rPr>
          <w:rFonts w:hint="eastAsia" w:cs="宋体"/>
          <w:b/>
        </w:rPr>
        <w:t>25. 合同的签订</w:t>
      </w:r>
    </w:p>
    <w:p w14:paraId="07FD272F">
      <w:pPr>
        <w:widowControl/>
        <w:kinsoku/>
        <w:wordWrap/>
        <w:overflowPunct/>
        <w:topLinePunct w:val="0"/>
        <w:bidi w:val="0"/>
        <w:snapToGrid w:val="0"/>
        <w:spacing w:line="360" w:lineRule="auto"/>
        <w:ind w:firstLine="480"/>
        <w:jc w:val="left"/>
        <w:outlineLvl w:val="9"/>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30日内，与成交供应商按照采购文件确定的事项签订政府采购合同。</w:t>
      </w:r>
    </w:p>
    <w:p w14:paraId="0230EC18">
      <w:pPr>
        <w:pStyle w:val="79"/>
        <w:kinsoku/>
        <w:wordWrap/>
        <w:overflowPunct/>
        <w:topLinePunct w:val="0"/>
        <w:bidi w:val="0"/>
        <w:snapToGrid w:val="0"/>
        <w:spacing w:before="0"/>
        <w:ind w:firstLine="480"/>
        <w:outlineLvl w:val="9"/>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3CFD4CC">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440A96F2">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招标代理服务费、评审专家劳务报酬等相关费用。</w:t>
      </w:r>
    </w:p>
    <w:p w14:paraId="01AD3046">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D0BB164">
      <w:pPr>
        <w:pStyle w:val="10"/>
        <w:kinsoku/>
        <w:wordWrap/>
        <w:overflowPunct/>
        <w:topLinePunct w:val="0"/>
        <w:bidi w:val="0"/>
        <w:snapToGrid w:val="0"/>
        <w:spacing w:line="360" w:lineRule="auto"/>
        <w:ind w:left="479" w:hanging="479" w:hangingChars="199"/>
        <w:outlineLvl w:val="9"/>
        <w:rPr>
          <w:rFonts w:cs="宋体"/>
          <w:b/>
        </w:rPr>
      </w:pPr>
      <w:r>
        <w:rPr>
          <w:rFonts w:hint="eastAsia" w:cs="宋体"/>
          <w:b/>
        </w:rPr>
        <w:t>26. 履约保证金</w:t>
      </w:r>
    </w:p>
    <w:p w14:paraId="21E90A22">
      <w:pPr>
        <w:tabs>
          <w:tab w:val="left" w:pos="0"/>
        </w:tabs>
        <w:kinsoku/>
        <w:wordWrap/>
        <w:overflowPunct/>
        <w:topLinePunct w:val="0"/>
        <w:bidi w:val="0"/>
        <w:snapToGrid w:val="0"/>
        <w:spacing w:line="360" w:lineRule="auto"/>
        <w:ind w:firstLine="482"/>
        <w:outlineLvl w:val="9"/>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65B063B3">
      <w:pPr>
        <w:tabs>
          <w:tab w:val="left" w:pos="0"/>
        </w:tabs>
        <w:kinsoku/>
        <w:wordWrap/>
        <w:overflowPunct/>
        <w:topLinePunct w:val="0"/>
        <w:bidi w:val="0"/>
        <w:snapToGrid w:val="0"/>
        <w:spacing w:line="360" w:lineRule="auto"/>
        <w:ind w:firstLine="482"/>
        <w:outlineLvl w:val="9"/>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 w:val="24"/>
          <w:lang w:val="en-US"/>
        </w:rPr>
        <w:t>可</w:t>
      </w:r>
      <w:r>
        <w:rPr>
          <w:rFonts w:hint="eastAsia" w:ascii="宋体" w:hAnsi="宋体" w:cs="宋体"/>
          <w:kern w:val="0"/>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869CCC">
      <w:pPr>
        <w:pStyle w:val="10"/>
        <w:kinsoku/>
        <w:wordWrap/>
        <w:overflowPunct/>
        <w:topLinePunct w:val="0"/>
        <w:bidi w:val="0"/>
        <w:snapToGrid w:val="0"/>
        <w:spacing w:line="360" w:lineRule="auto"/>
        <w:ind w:left="479" w:hanging="479" w:hangingChars="199"/>
        <w:outlineLvl w:val="9"/>
        <w:rPr>
          <w:rFonts w:cs="宋体"/>
          <w:b/>
        </w:rPr>
      </w:pPr>
      <w:r>
        <w:rPr>
          <w:rFonts w:hint="eastAsia" w:cs="宋体"/>
          <w:b/>
          <w:lang w:val="en-US"/>
        </w:rPr>
        <w:t>27.预付款</w:t>
      </w:r>
    </w:p>
    <w:p w14:paraId="3F2D0391">
      <w:pPr>
        <w:kinsoku/>
        <w:wordWrap/>
        <w:overflowPunct/>
        <w:topLinePunct w:val="0"/>
        <w:bidi w:val="0"/>
        <w:adjustRightInd/>
        <w:spacing w:line="360" w:lineRule="auto"/>
        <w:ind w:firstLine="480" w:firstLineChars="200"/>
        <w:outlineLvl w:val="9"/>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2C36AB1">
      <w:pPr>
        <w:kinsoku/>
        <w:wordWrap/>
        <w:overflowPunct/>
        <w:topLinePunct w:val="0"/>
        <w:bidi w:val="0"/>
        <w:snapToGrid w:val="0"/>
        <w:spacing w:line="360" w:lineRule="auto"/>
        <w:ind w:firstLine="3357" w:firstLineChars="1045"/>
        <w:outlineLvl w:val="9"/>
        <w:rPr>
          <w:rFonts w:ascii="宋体" w:hAnsi="宋体" w:cs="宋体"/>
          <w:b/>
          <w:sz w:val="32"/>
        </w:rPr>
      </w:pPr>
    </w:p>
    <w:p w14:paraId="5D6794BF">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八、电子交易活动的中止</w:t>
      </w:r>
    </w:p>
    <w:p w14:paraId="51A8A392">
      <w:pPr>
        <w:pStyle w:val="79"/>
        <w:kinsoku/>
        <w:wordWrap/>
        <w:overflowPunct/>
        <w:topLinePunct w:val="0"/>
        <w:bidi w:val="0"/>
        <w:snapToGrid w:val="0"/>
        <w:spacing w:before="0"/>
        <w:ind w:firstLine="0" w:firstLineChars="0"/>
        <w:outlineLvl w:val="9"/>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0117B75F">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 xml:space="preserve">28.1电子交易平台发生故障而无法登录访问的； </w:t>
      </w:r>
    </w:p>
    <w:p w14:paraId="2F016932">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28.2电子交易平台应用或数据库出现错误，不能进行正常操作的；</w:t>
      </w:r>
    </w:p>
    <w:p w14:paraId="26B3B953">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28.3电子交易平台发现严重安全漏洞，有潜在泄密危险的；</w:t>
      </w:r>
    </w:p>
    <w:p w14:paraId="2EC3994F">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 xml:space="preserve">28.4病毒发作导致不能进行正常操作的； </w:t>
      </w:r>
    </w:p>
    <w:p w14:paraId="79D5F642">
      <w:pPr>
        <w:pStyle w:val="79"/>
        <w:kinsoku/>
        <w:wordWrap/>
        <w:overflowPunct/>
        <w:topLinePunct w:val="0"/>
        <w:bidi w:val="0"/>
        <w:snapToGrid w:val="0"/>
        <w:spacing w:before="0"/>
        <w:ind w:firstLine="480"/>
        <w:outlineLvl w:val="9"/>
        <w:rPr>
          <w:rFonts w:ascii="宋体" w:hAnsi="宋体" w:cs="宋体"/>
        </w:rPr>
      </w:pPr>
      <w:r>
        <w:rPr>
          <w:rFonts w:hint="eastAsia" w:ascii="宋体" w:hAnsi="宋体" w:cs="宋体"/>
        </w:rPr>
        <w:t>28.5其他无法保证电子交易的公平、公正和安全的情况。</w:t>
      </w:r>
    </w:p>
    <w:p w14:paraId="53800FA7">
      <w:pPr>
        <w:pStyle w:val="79"/>
        <w:kinsoku/>
        <w:wordWrap/>
        <w:overflowPunct/>
        <w:topLinePunct w:val="0"/>
        <w:bidi w:val="0"/>
        <w:snapToGrid w:val="0"/>
        <w:spacing w:before="0"/>
        <w:ind w:firstLine="0" w:firstLineChars="0"/>
        <w:outlineLvl w:val="9"/>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52FC39">
      <w:pPr>
        <w:tabs>
          <w:tab w:val="left" w:pos="0"/>
        </w:tabs>
        <w:kinsoku/>
        <w:wordWrap/>
        <w:overflowPunct/>
        <w:topLinePunct w:val="0"/>
        <w:bidi w:val="0"/>
        <w:spacing w:line="360" w:lineRule="auto"/>
        <w:ind w:firstLine="480"/>
        <w:outlineLvl w:val="9"/>
        <w:rPr>
          <w:rFonts w:ascii="宋体" w:hAnsi="宋体" w:cs="宋体"/>
          <w:sz w:val="24"/>
        </w:rPr>
      </w:pPr>
    </w:p>
    <w:p w14:paraId="7D2E269D">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九、验收</w:t>
      </w:r>
    </w:p>
    <w:p w14:paraId="226275E4">
      <w:pPr>
        <w:pStyle w:val="10"/>
        <w:kinsoku/>
        <w:wordWrap/>
        <w:overflowPunct/>
        <w:topLinePunct w:val="0"/>
        <w:bidi w:val="0"/>
        <w:spacing w:line="360" w:lineRule="auto"/>
        <w:ind w:firstLine="0" w:firstLineChars="0"/>
        <w:outlineLvl w:val="9"/>
        <w:rPr>
          <w:rFonts w:cs="宋体"/>
          <w:b/>
        </w:rPr>
      </w:pPr>
      <w:r>
        <w:rPr>
          <w:rFonts w:hint="eastAsia" w:cs="宋体"/>
          <w:b/>
        </w:rPr>
        <w:t>30.验收</w:t>
      </w:r>
    </w:p>
    <w:p w14:paraId="198D4C6C">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A2D5AF">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5526D410">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6F68035">
      <w:pPr>
        <w:tabs>
          <w:tab w:val="left" w:pos="0"/>
        </w:tabs>
        <w:kinsoku/>
        <w:wordWrap/>
        <w:overflowPunct/>
        <w:topLinePunct w:val="0"/>
        <w:bidi w:val="0"/>
        <w:spacing w:line="360" w:lineRule="auto"/>
        <w:ind w:firstLine="480"/>
        <w:outlineLvl w:val="9"/>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75AC936F">
      <w:pPr>
        <w:tabs>
          <w:tab w:val="left" w:pos="0"/>
        </w:tabs>
        <w:spacing w:line="360" w:lineRule="auto"/>
        <w:rPr>
          <w:rFonts w:cs="仿宋_GB2312" w:asciiTheme="minorEastAsia" w:hAnsiTheme="minorEastAsia" w:eastAsiaTheme="minorEastAsia"/>
          <w:b/>
          <w:color w:val="auto"/>
          <w:sz w:val="24"/>
          <w:szCs w:val="24"/>
          <w:highlight w:val="none"/>
        </w:rPr>
      </w:pPr>
      <w:r>
        <w:rPr>
          <w:rFonts w:cs="仿宋_GB2312" w:asciiTheme="minorEastAsia" w:hAnsiTheme="minorEastAsia" w:eastAsiaTheme="minorEastAsia"/>
          <w:b/>
          <w:color w:val="auto"/>
          <w:sz w:val="24"/>
          <w:szCs w:val="24"/>
          <w:highlight w:val="none"/>
        </w:rPr>
        <w:br w:type="page"/>
      </w:r>
    </w:p>
    <w:p w14:paraId="2F6E8865">
      <w:pPr>
        <w:widowControl/>
        <w:spacing w:line="400" w:lineRule="exact"/>
        <w:ind w:right="-420" w:rightChars="-200"/>
        <w:jc w:val="center"/>
        <w:rPr>
          <w:b/>
          <w:sz w:val="36"/>
          <w:szCs w:val="36"/>
        </w:rPr>
      </w:pPr>
      <w:r>
        <w:rPr>
          <w:rFonts w:hint="eastAsia"/>
          <w:b/>
          <w:color w:val="auto"/>
          <w:sz w:val="36"/>
          <w:szCs w:val="36"/>
        </w:rPr>
        <w:t>第</w:t>
      </w:r>
      <w:r>
        <w:rPr>
          <w:rFonts w:hint="eastAsia"/>
          <w:b/>
          <w:color w:val="auto"/>
          <w:sz w:val="36"/>
          <w:szCs w:val="36"/>
          <w:lang w:val="en-US" w:eastAsia="zh-CN"/>
        </w:rPr>
        <w:t>三</w:t>
      </w:r>
      <w:r>
        <w:rPr>
          <w:rFonts w:hint="eastAsia"/>
          <w:b/>
          <w:color w:val="auto"/>
          <w:sz w:val="36"/>
          <w:szCs w:val="36"/>
        </w:rPr>
        <w:t>部分</w:t>
      </w:r>
      <w:r>
        <w:rPr>
          <w:b/>
          <w:color w:val="auto"/>
          <w:sz w:val="36"/>
          <w:szCs w:val="36"/>
        </w:rPr>
        <w:t xml:space="preserve"> </w:t>
      </w:r>
      <w:r>
        <w:rPr>
          <w:rFonts w:hint="eastAsia"/>
          <w:b/>
          <w:sz w:val="36"/>
          <w:szCs w:val="36"/>
        </w:rPr>
        <w:t xml:space="preserve"> </w:t>
      </w:r>
      <w:r>
        <w:rPr>
          <w:rFonts w:hint="eastAsia"/>
          <w:b/>
          <w:sz w:val="36"/>
          <w:szCs w:val="36"/>
          <w:lang w:val="en-US" w:eastAsia="zh-CN"/>
        </w:rPr>
        <w:t>采购</w:t>
      </w:r>
      <w:r>
        <w:rPr>
          <w:rFonts w:hint="eastAsia"/>
          <w:b/>
          <w:sz w:val="36"/>
          <w:szCs w:val="36"/>
          <w:lang w:eastAsia="zh-CN"/>
        </w:rPr>
        <w:t>需求</w:t>
      </w:r>
    </w:p>
    <w:p w14:paraId="3AD1A655"/>
    <w:p w14:paraId="202F222B">
      <w:pPr>
        <w:pStyle w:val="27"/>
        <w:ind w:left="0" w:leftChars="0" w:firstLine="0" w:firstLineChars="0"/>
        <w:rPr>
          <w:rFonts w:hint="eastAsia" w:ascii="宋体" w:hAnsi="宋体" w:eastAsia="宋体" w:cs="宋体"/>
          <w:sz w:val="24"/>
          <w:highlight w:val="none"/>
          <w:u w:val="single"/>
        </w:rPr>
      </w:pPr>
      <w:r>
        <w:rPr>
          <w:rFonts w:hint="eastAsia" w:ascii="宋体" w:hAnsi="宋体" w:eastAsia="宋体" w:cs="宋体"/>
          <w:sz w:val="24"/>
          <w:highlight w:val="none"/>
          <w:u w:val="single"/>
        </w:rPr>
        <w:t>注：“</w:t>
      </w:r>
      <w:r>
        <w:rPr>
          <w:rFonts w:hint="eastAsia" w:ascii="宋体" w:hAnsi="宋体" w:cs="宋体"/>
          <w:sz w:val="24"/>
          <w:highlight w:val="none"/>
          <w:u w:val="single"/>
          <w:lang w:eastAsia="zh-CN"/>
        </w:rPr>
        <w:t>▲</w:t>
      </w:r>
      <w:r>
        <w:rPr>
          <w:rFonts w:hint="eastAsia" w:ascii="宋体" w:hAnsi="宋体" w:eastAsia="宋体" w:cs="宋体"/>
          <w:sz w:val="24"/>
          <w:highlight w:val="none"/>
          <w:u w:val="single"/>
        </w:rPr>
        <w:t>” 系指实质性要求条款， “</w:t>
      </w:r>
      <w:r>
        <w:rPr>
          <w:rFonts w:hint="eastAsia" w:ascii="宋体" w:hAnsi="宋体" w:eastAsia="宋体" w:cs="宋体"/>
          <w:b/>
          <w:sz w:val="24"/>
          <w:highlight w:val="none"/>
          <w:u w:val="single"/>
        </w:rPr>
        <w:t>※</w:t>
      </w:r>
      <w:r>
        <w:rPr>
          <w:rFonts w:hint="eastAsia" w:ascii="宋体" w:hAnsi="宋体" w:eastAsia="宋体" w:cs="宋体"/>
          <w:sz w:val="24"/>
          <w:highlight w:val="none"/>
          <w:u w:val="single"/>
        </w:rPr>
        <w:t>”系指磋商过程中可能实质性变动的内容。</w:t>
      </w:r>
    </w:p>
    <w:p w14:paraId="23F61986">
      <w:pPr>
        <w:pStyle w:val="20"/>
        <w:rPr>
          <w:rFonts w:hint="eastAsia"/>
        </w:rPr>
      </w:pPr>
    </w:p>
    <w:p w14:paraId="5C6A5A9C">
      <w:pPr>
        <w:adjustRightInd/>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w:t>
      </w:r>
    </w:p>
    <w:tbl>
      <w:tblPr>
        <w:tblStyle w:val="29"/>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659"/>
        <w:gridCol w:w="5707"/>
      </w:tblGrid>
      <w:tr w14:paraId="1079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7" w:type="dxa"/>
            <w:noWrap w:val="0"/>
            <w:vAlign w:val="center"/>
          </w:tcPr>
          <w:p w14:paraId="3FE58E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659" w:type="dxa"/>
            <w:noWrap w:val="0"/>
            <w:vAlign w:val="center"/>
          </w:tcPr>
          <w:p w14:paraId="69A605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5707" w:type="dxa"/>
            <w:noWrap w:val="0"/>
            <w:vAlign w:val="center"/>
          </w:tcPr>
          <w:p w14:paraId="7B68E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采购需求内容</w:t>
            </w:r>
          </w:p>
        </w:tc>
      </w:tr>
      <w:tr w14:paraId="7231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7" w:type="dxa"/>
            <w:noWrap w:val="0"/>
            <w:vAlign w:val="center"/>
          </w:tcPr>
          <w:p w14:paraId="38D088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9" w:type="dxa"/>
            <w:noWrap w:val="0"/>
            <w:vAlign w:val="center"/>
          </w:tcPr>
          <w:p w14:paraId="3168C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5707" w:type="dxa"/>
            <w:noWrap w:val="0"/>
            <w:vAlign w:val="center"/>
          </w:tcPr>
          <w:p w14:paraId="5A82B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宁海县高级职业技术中心学校实训大楼数控设备通电、通气及烹饪实习工场通电等项目工程</w:t>
            </w:r>
          </w:p>
        </w:tc>
      </w:tr>
      <w:tr w14:paraId="71C7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noWrap w:val="0"/>
            <w:vAlign w:val="center"/>
          </w:tcPr>
          <w:p w14:paraId="60F64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9" w:type="dxa"/>
            <w:noWrap w:val="0"/>
            <w:vAlign w:val="center"/>
          </w:tcPr>
          <w:p w14:paraId="4C4823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单位及数量</w:t>
            </w:r>
          </w:p>
        </w:tc>
        <w:tc>
          <w:tcPr>
            <w:tcW w:w="5707" w:type="dxa"/>
            <w:noWrap w:val="0"/>
            <w:vAlign w:val="bottom"/>
          </w:tcPr>
          <w:p w14:paraId="58077C30">
            <w:pPr>
              <w:keepNext w:val="0"/>
              <w:keepLines w:val="0"/>
              <w:numPr>
                <w:ilvl w:val="0"/>
                <w:numId w:val="0"/>
              </w:numPr>
              <w:suppressLineNumbers w:val="0"/>
              <w:tabs>
                <w:tab w:val="left" w:pos="180"/>
              </w:tabs>
              <w:spacing w:before="0" w:beforeAutospacing="0" w:after="0" w:afterAutospacing="0" w:line="360" w:lineRule="auto"/>
              <w:ind w:left="0" w:right="-420" w:rightChars="-200"/>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详见</w:t>
            </w:r>
            <w:r>
              <w:rPr>
                <w:rFonts w:hint="eastAsia" w:ascii="宋体" w:hAnsi="宋体" w:eastAsia="宋体" w:cs="宋体"/>
                <w:color w:val="auto"/>
                <w:sz w:val="24"/>
                <w:szCs w:val="24"/>
                <w:highlight w:val="none"/>
                <w:lang w:eastAsia="zh-CN"/>
              </w:rPr>
              <w:t xml:space="preserve">《第一部分  </w:t>
            </w:r>
            <w:r>
              <w:rPr>
                <w:rFonts w:hint="eastAsia" w:ascii="宋体" w:hAnsi="宋体" w:eastAsia="宋体" w:cs="宋体"/>
                <w:color w:val="auto"/>
                <w:sz w:val="24"/>
                <w:szCs w:val="24"/>
                <w:highlight w:val="none"/>
              </w:rPr>
              <w:t>邀请供应商</w:t>
            </w:r>
            <w:r>
              <w:rPr>
                <w:rFonts w:hint="eastAsia" w:ascii="宋体" w:hAnsi="宋体" w:eastAsia="宋体" w:cs="宋体"/>
                <w:color w:val="auto"/>
                <w:sz w:val="24"/>
                <w:szCs w:val="24"/>
                <w:highlight w:val="none"/>
                <w:lang w:eastAsia="zh-CN"/>
              </w:rPr>
              <w:t>》</w:t>
            </w:r>
          </w:p>
        </w:tc>
      </w:tr>
      <w:tr w14:paraId="25FB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17" w:type="dxa"/>
            <w:noWrap w:val="0"/>
            <w:vAlign w:val="center"/>
          </w:tcPr>
          <w:p w14:paraId="6D255D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9" w:type="dxa"/>
            <w:noWrap w:val="0"/>
            <w:vAlign w:val="center"/>
          </w:tcPr>
          <w:p w14:paraId="456A3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交付或者实施的时间和地点</w:t>
            </w:r>
          </w:p>
        </w:tc>
        <w:tc>
          <w:tcPr>
            <w:tcW w:w="5707" w:type="dxa"/>
            <w:noWrap w:val="0"/>
            <w:vAlign w:val="center"/>
          </w:tcPr>
          <w:p w14:paraId="5E74E5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righ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194B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7" w:type="dxa"/>
            <w:noWrap w:val="0"/>
            <w:vAlign w:val="center"/>
          </w:tcPr>
          <w:p w14:paraId="121F98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59" w:type="dxa"/>
            <w:noWrap w:val="0"/>
            <w:vAlign w:val="center"/>
          </w:tcPr>
          <w:p w14:paraId="0BF64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需实现的功能或者目标</w:t>
            </w:r>
          </w:p>
        </w:tc>
        <w:tc>
          <w:tcPr>
            <w:tcW w:w="5707" w:type="dxa"/>
            <w:noWrap w:val="0"/>
            <w:vAlign w:val="center"/>
          </w:tcPr>
          <w:p w14:paraId="0EBCFD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5213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17" w:type="dxa"/>
            <w:noWrap w:val="0"/>
            <w:vAlign w:val="center"/>
          </w:tcPr>
          <w:p w14:paraId="41285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59" w:type="dxa"/>
            <w:noWrap w:val="0"/>
            <w:vAlign w:val="center"/>
          </w:tcPr>
          <w:p w14:paraId="4E4CA0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执行的国家相关标准、行业标准、地方标准或者其它标准、规范</w:t>
            </w:r>
          </w:p>
        </w:tc>
        <w:tc>
          <w:tcPr>
            <w:tcW w:w="5707" w:type="dxa"/>
            <w:noWrap w:val="0"/>
            <w:vAlign w:val="center"/>
          </w:tcPr>
          <w:p w14:paraId="208E16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国家相关标准、行业标准、地方标准或者其他标准规范</w:t>
            </w:r>
            <w:r>
              <w:rPr>
                <w:rFonts w:hint="eastAsia" w:ascii="宋体" w:hAnsi="宋体" w:cs="宋体"/>
                <w:kern w:val="0"/>
                <w:sz w:val="24"/>
                <w:szCs w:val="20"/>
              </w:rPr>
              <w:t>（如有）</w:t>
            </w:r>
            <w:r>
              <w:rPr>
                <w:rFonts w:hint="eastAsia" w:ascii="宋体" w:hAnsi="宋体" w:eastAsia="宋体" w:cs="宋体"/>
                <w:color w:val="auto"/>
                <w:sz w:val="24"/>
                <w:szCs w:val="24"/>
                <w:highlight w:val="none"/>
              </w:rPr>
              <w:t>。</w:t>
            </w:r>
          </w:p>
        </w:tc>
      </w:tr>
      <w:tr w14:paraId="5B72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7" w:type="dxa"/>
            <w:noWrap w:val="0"/>
            <w:vAlign w:val="center"/>
          </w:tcPr>
          <w:p w14:paraId="34889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59" w:type="dxa"/>
            <w:noWrap w:val="0"/>
            <w:vAlign w:val="center"/>
          </w:tcPr>
          <w:p w14:paraId="468A0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技术规格要求</w:t>
            </w:r>
          </w:p>
        </w:tc>
        <w:tc>
          <w:tcPr>
            <w:tcW w:w="5707" w:type="dxa"/>
            <w:noWrap w:val="0"/>
            <w:vAlign w:val="center"/>
          </w:tcPr>
          <w:p w14:paraId="017936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4FBE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7" w:type="dxa"/>
            <w:noWrap w:val="0"/>
            <w:vAlign w:val="center"/>
          </w:tcPr>
          <w:p w14:paraId="28420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659" w:type="dxa"/>
            <w:noWrap w:val="0"/>
            <w:vAlign w:val="center"/>
          </w:tcPr>
          <w:p w14:paraId="02BEDD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物理特性要求</w:t>
            </w:r>
          </w:p>
        </w:tc>
        <w:tc>
          <w:tcPr>
            <w:tcW w:w="5707" w:type="dxa"/>
            <w:noWrap w:val="0"/>
            <w:vAlign w:val="center"/>
          </w:tcPr>
          <w:p w14:paraId="33F28B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6DC2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7" w:type="dxa"/>
            <w:noWrap w:val="0"/>
            <w:vAlign w:val="center"/>
          </w:tcPr>
          <w:p w14:paraId="49736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59" w:type="dxa"/>
            <w:noWrap w:val="0"/>
            <w:vAlign w:val="center"/>
          </w:tcPr>
          <w:p w14:paraId="0D7FBC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质量、安全要求</w:t>
            </w:r>
          </w:p>
        </w:tc>
        <w:tc>
          <w:tcPr>
            <w:tcW w:w="5707" w:type="dxa"/>
            <w:noWrap w:val="0"/>
            <w:vAlign w:val="center"/>
          </w:tcPr>
          <w:p w14:paraId="1683F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质量要求：详见本部分内容。</w:t>
            </w:r>
          </w:p>
          <w:p w14:paraId="32E7A7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安全要求：合格。</w:t>
            </w:r>
          </w:p>
        </w:tc>
      </w:tr>
      <w:tr w14:paraId="6515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7" w:type="dxa"/>
            <w:noWrap w:val="0"/>
            <w:vAlign w:val="center"/>
          </w:tcPr>
          <w:p w14:paraId="40985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659" w:type="dxa"/>
            <w:noWrap w:val="0"/>
            <w:vAlign w:val="center"/>
          </w:tcPr>
          <w:p w14:paraId="48782AA0">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服务标准、期限、效率</w:t>
            </w:r>
          </w:p>
        </w:tc>
        <w:tc>
          <w:tcPr>
            <w:tcW w:w="5707" w:type="dxa"/>
            <w:noWrap w:val="0"/>
            <w:vAlign w:val="center"/>
          </w:tcPr>
          <w:p w14:paraId="20237E1C">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val="en-US" w:eastAsia="zh-CN"/>
              </w:rPr>
              <w:t>本部分</w:t>
            </w:r>
            <w:r>
              <w:rPr>
                <w:rFonts w:hint="eastAsia" w:ascii="宋体" w:hAnsi="宋体" w:eastAsia="宋体" w:cs="宋体"/>
                <w:color w:val="auto"/>
                <w:sz w:val="24"/>
                <w:szCs w:val="24"/>
                <w:highlight w:val="none"/>
              </w:rPr>
              <w:t>内容</w:t>
            </w:r>
          </w:p>
        </w:tc>
      </w:tr>
      <w:tr w14:paraId="0680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7" w:type="dxa"/>
            <w:noWrap w:val="0"/>
            <w:vAlign w:val="center"/>
          </w:tcPr>
          <w:p w14:paraId="1910C8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659" w:type="dxa"/>
            <w:noWrap w:val="0"/>
            <w:vAlign w:val="center"/>
          </w:tcPr>
          <w:p w14:paraId="2C87CF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验收标准</w:t>
            </w:r>
          </w:p>
        </w:tc>
        <w:tc>
          <w:tcPr>
            <w:tcW w:w="5707" w:type="dxa"/>
            <w:noWrap w:val="0"/>
            <w:vAlign w:val="center"/>
          </w:tcPr>
          <w:p w14:paraId="7CCA55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按照</w:t>
            </w:r>
            <w:r>
              <w:rPr>
                <w:rFonts w:hint="eastAsia" w:ascii="宋体" w:hAnsi="宋体" w:eastAsia="宋体" w:cs="宋体"/>
                <w:bCs/>
                <w:color w:val="auto"/>
                <w:sz w:val="24"/>
                <w:szCs w:val="24"/>
                <w:highlight w:val="none"/>
                <w:lang w:val="en-US" w:eastAsia="zh-CN"/>
              </w:rPr>
              <w:t>成交人</w:t>
            </w:r>
            <w:r>
              <w:rPr>
                <w:rFonts w:hint="eastAsia" w:ascii="宋体" w:hAnsi="宋体" w:eastAsia="宋体" w:cs="宋体"/>
                <w:bCs/>
                <w:color w:val="auto"/>
                <w:sz w:val="24"/>
                <w:szCs w:val="24"/>
                <w:highlight w:val="none"/>
              </w:rPr>
              <w:t>提供的</w:t>
            </w:r>
            <w:r>
              <w:rPr>
                <w:rFonts w:hint="eastAsia" w:ascii="宋体" w:hAnsi="宋体" w:eastAsia="宋体" w:cs="宋体"/>
                <w:bCs/>
                <w:color w:val="auto"/>
                <w:sz w:val="24"/>
                <w:szCs w:val="24"/>
                <w:highlight w:val="none"/>
                <w:lang w:val="en-US" w:eastAsia="zh-CN"/>
              </w:rPr>
              <w:t>响应</w:t>
            </w:r>
            <w:r>
              <w:rPr>
                <w:rFonts w:hint="eastAsia" w:ascii="宋体" w:hAnsi="宋体" w:eastAsia="宋体" w:cs="宋体"/>
                <w:bCs/>
                <w:color w:val="auto"/>
                <w:sz w:val="24"/>
                <w:szCs w:val="24"/>
                <w:highlight w:val="none"/>
              </w:rPr>
              <w:t>文件及</w:t>
            </w:r>
            <w:r>
              <w:rPr>
                <w:rFonts w:hint="eastAsia" w:ascii="宋体" w:hAnsi="宋体" w:eastAsia="宋体" w:cs="宋体"/>
                <w:bCs/>
                <w:color w:val="auto"/>
                <w:sz w:val="24"/>
                <w:szCs w:val="24"/>
                <w:highlight w:val="none"/>
                <w:lang w:val="en-US" w:eastAsia="zh-CN"/>
              </w:rPr>
              <w:t>成交人</w:t>
            </w:r>
            <w:r>
              <w:rPr>
                <w:rFonts w:hint="eastAsia" w:ascii="宋体" w:hAnsi="宋体" w:eastAsia="宋体" w:cs="宋体"/>
                <w:bCs/>
                <w:color w:val="auto"/>
                <w:sz w:val="24"/>
                <w:szCs w:val="24"/>
                <w:highlight w:val="none"/>
              </w:rPr>
              <w:t>和采购人签订的政府采购合同为标准进行验收。</w:t>
            </w:r>
          </w:p>
        </w:tc>
      </w:tr>
      <w:tr w14:paraId="7959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7" w:type="dxa"/>
            <w:noWrap w:val="0"/>
            <w:vAlign w:val="center"/>
          </w:tcPr>
          <w:p w14:paraId="4A8D1F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2659" w:type="dxa"/>
            <w:noWrap w:val="0"/>
            <w:vAlign w:val="center"/>
          </w:tcPr>
          <w:p w14:paraId="1D92F0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707" w:type="dxa"/>
            <w:noWrap w:val="0"/>
            <w:vAlign w:val="center"/>
          </w:tcPr>
          <w:p w14:paraId="1B60BE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B5D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7" w:type="dxa"/>
            <w:noWrap w:val="0"/>
            <w:vAlign w:val="center"/>
          </w:tcPr>
          <w:p w14:paraId="47822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2659" w:type="dxa"/>
            <w:noWrap w:val="0"/>
            <w:vAlign w:val="center"/>
          </w:tcPr>
          <w:p w14:paraId="0202A6D7">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演示时间及地点</w:t>
            </w:r>
          </w:p>
        </w:tc>
        <w:tc>
          <w:tcPr>
            <w:tcW w:w="5707" w:type="dxa"/>
            <w:noWrap w:val="0"/>
            <w:vAlign w:val="center"/>
          </w:tcPr>
          <w:p w14:paraId="1BDFC50C">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r w14:paraId="4C75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7" w:type="dxa"/>
            <w:noWrap w:val="0"/>
            <w:vAlign w:val="center"/>
          </w:tcPr>
          <w:p w14:paraId="3E2BD7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2659" w:type="dxa"/>
            <w:noWrap w:val="0"/>
            <w:vAlign w:val="center"/>
          </w:tcPr>
          <w:p w14:paraId="469F718D">
            <w:pPr>
              <w:keepNext w:val="0"/>
              <w:keepLines w:val="0"/>
              <w:suppressLineNumbers w:val="0"/>
              <w:adjustRightInd/>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样品要求</w:t>
            </w:r>
          </w:p>
        </w:tc>
        <w:tc>
          <w:tcPr>
            <w:tcW w:w="5707" w:type="dxa"/>
            <w:noWrap w:val="0"/>
            <w:vAlign w:val="center"/>
          </w:tcPr>
          <w:p w14:paraId="7A4277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无</w:t>
            </w:r>
          </w:p>
        </w:tc>
      </w:tr>
      <w:tr w14:paraId="2D5A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7" w:type="dxa"/>
            <w:noWrap w:val="0"/>
            <w:vAlign w:val="center"/>
          </w:tcPr>
          <w:p w14:paraId="55B32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2659" w:type="dxa"/>
            <w:noWrap w:val="0"/>
            <w:vAlign w:val="center"/>
          </w:tcPr>
          <w:p w14:paraId="4C52E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是否允许采购进口产品</w:t>
            </w:r>
          </w:p>
        </w:tc>
        <w:tc>
          <w:tcPr>
            <w:tcW w:w="5707" w:type="dxa"/>
            <w:noWrap w:val="0"/>
            <w:vAlign w:val="center"/>
          </w:tcPr>
          <w:p w14:paraId="1A342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否</w:t>
            </w:r>
          </w:p>
        </w:tc>
      </w:tr>
    </w:tbl>
    <w:p w14:paraId="11C03144">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Cs w:val="21"/>
          <w:highlight w:val="none"/>
        </w:rPr>
        <w:br w:type="page"/>
      </w:r>
      <w:r>
        <w:rPr>
          <w:rFonts w:hint="eastAsia" w:ascii="宋体" w:hAnsi="宋体" w:cs="宋体"/>
          <w:b/>
          <w:bCs w:val="0"/>
          <w:spacing w:val="2"/>
          <w:kern w:val="2"/>
          <w:sz w:val="21"/>
          <w:szCs w:val="21"/>
          <w:lang w:val="en-US" w:eastAsia="zh-CN" w:bidi="ar"/>
        </w:rPr>
        <w:t xml:space="preserve"> </w:t>
      </w:r>
      <w:r>
        <w:rPr>
          <w:rFonts w:hint="eastAsia" w:cs="宋体" w:asciiTheme="minorEastAsia" w:hAnsiTheme="minorEastAsia" w:eastAsiaTheme="minorEastAsia"/>
          <w:color w:val="auto"/>
          <w:sz w:val="24"/>
          <w:szCs w:val="24"/>
          <w:highlight w:val="none"/>
          <w:lang w:eastAsia="zh-CN"/>
        </w:rPr>
        <w:t>▲</w:t>
      </w:r>
      <w:r>
        <w:rPr>
          <w:rFonts w:hint="eastAsia" w:ascii="宋体" w:hAnsi="宋体" w:eastAsia="宋体" w:cs="宋体"/>
          <w:b/>
          <w:color w:val="auto"/>
          <w:kern w:val="0"/>
          <w:sz w:val="24"/>
          <w:szCs w:val="24"/>
          <w:highlight w:val="none"/>
        </w:rPr>
        <w:t>一、重要商务要求一览表</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3"/>
        <w:gridCol w:w="6366"/>
      </w:tblGrid>
      <w:tr w14:paraId="7536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78C4D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outlineLvl w:val="9"/>
              <w:rPr>
                <w:rFonts w:hint="eastAsia" w:ascii="宋体" w:hAnsi="宋体" w:eastAsia="宋体" w:cs="宋体"/>
                <w:b w:val="0"/>
                <w:bCs w:val="0"/>
                <w:color w:val="auto"/>
                <w:kern w:val="0"/>
                <w:sz w:val="24"/>
                <w:szCs w:val="24"/>
                <w:highlight w:val="none"/>
              </w:rPr>
            </w:pPr>
            <w:bookmarkStart w:id="18" w:name="_Toc513103337"/>
            <w:r>
              <w:rPr>
                <w:rFonts w:hint="eastAsia" w:ascii="宋体" w:hAnsi="宋体" w:eastAsia="宋体" w:cs="宋体"/>
                <w:b w:val="0"/>
                <w:bCs w:val="0"/>
                <w:color w:val="auto"/>
                <w:kern w:val="0"/>
                <w:sz w:val="24"/>
                <w:szCs w:val="24"/>
                <w:highlight w:val="none"/>
              </w:rPr>
              <w:t>项目</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1A4BC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 xml:space="preserve">要 求 </w:t>
            </w:r>
          </w:p>
        </w:tc>
      </w:tr>
      <w:tr w14:paraId="13C83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1D195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1、合同履</w:t>
            </w:r>
            <w:r>
              <w:rPr>
                <w:rFonts w:hint="eastAsia" w:ascii="宋体" w:hAnsi="宋体" w:eastAsia="宋体" w:cs="宋体"/>
                <w:b w:val="0"/>
                <w:bCs w:val="0"/>
                <w:color w:val="auto"/>
                <w:kern w:val="0"/>
                <w:sz w:val="24"/>
                <w:szCs w:val="24"/>
                <w:highlight w:val="none"/>
                <w:lang w:val="en-US" w:eastAsia="zh-CN"/>
              </w:rPr>
              <w:t>约</w:t>
            </w:r>
            <w:r>
              <w:rPr>
                <w:rFonts w:hint="eastAsia" w:ascii="宋体" w:hAnsi="宋体" w:eastAsia="宋体" w:cs="宋体"/>
                <w:b w:val="0"/>
                <w:bCs w:val="0"/>
                <w:color w:val="auto"/>
                <w:kern w:val="0"/>
                <w:sz w:val="24"/>
                <w:szCs w:val="24"/>
                <w:highlight w:val="none"/>
              </w:rPr>
              <w:t>期限</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工期</w:t>
            </w:r>
            <w:r>
              <w:rPr>
                <w:rFonts w:hint="eastAsia" w:ascii="宋体" w:hAnsi="宋体" w:eastAsia="宋体" w:cs="宋体"/>
                <w:b w:val="0"/>
                <w:bCs w:val="0"/>
                <w:color w:val="auto"/>
                <w:kern w:val="0"/>
                <w:sz w:val="24"/>
                <w:szCs w:val="24"/>
                <w:highlight w:val="none"/>
                <w:lang w:eastAsia="zh-CN"/>
              </w:rPr>
              <w:t>）</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1C7EA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sz w:val="24"/>
                <w:szCs w:val="24"/>
              </w:rPr>
              <w:t>详见“第一部分  竞争性磋商公告”</w:t>
            </w:r>
            <w:r>
              <w:rPr>
                <w:rFonts w:hint="eastAsia" w:ascii="宋体" w:hAnsi="宋体" w:cs="宋体"/>
                <w:sz w:val="24"/>
                <w:szCs w:val="24"/>
                <w:lang w:eastAsia="zh-CN"/>
              </w:rPr>
              <w:t>。</w:t>
            </w:r>
          </w:p>
        </w:tc>
      </w:tr>
      <w:tr w14:paraId="1EC99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412D3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2、实施地点</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2E0140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宁海县内采购人指定地点。</w:t>
            </w:r>
          </w:p>
        </w:tc>
      </w:tr>
      <w:tr w14:paraId="6CE92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35717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、付款方式</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5390D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1、合同生效且具备实施条件后七个工作日内支付合同总额的</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0%作为预付款；（合同签订时成交人书面承诺放弃预付款或降低预付款支付比例的，可不适用本条款）。</w:t>
            </w:r>
          </w:p>
          <w:p w14:paraId="3DD96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2、</w:t>
            </w:r>
            <w:r>
              <w:rPr>
                <w:rFonts w:hint="eastAsia" w:ascii="宋体" w:hAnsi="宋体" w:cs="宋体"/>
                <w:color w:val="auto"/>
                <w:sz w:val="24"/>
                <w:szCs w:val="24"/>
                <w:lang w:val="en-US" w:eastAsia="zh-CN"/>
              </w:rPr>
              <w:t>项目施工完成</w:t>
            </w:r>
            <w:r>
              <w:rPr>
                <w:rFonts w:hint="eastAsia" w:ascii="宋体" w:hAnsi="宋体" w:eastAsia="宋体" w:cs="宋体"/>
                <w:color w:val="auto"/>
                <w:sz w:val="24"/>
                <w:szCs w:val="24"/>
              </w:rPr>
              <w:t>经验收合格交付后支付至结算价的100%。</w:t>
            </w:r>
          </w:p>
        </w:tc>
      </w:tr>
      <w:tr w14:paraId="666A0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5C1A2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4、履约保证金</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10E13C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履约保证金的收取及退还：</w:t>
            </w:r>
          </w:p>
          <w:p w14:paraId="0D998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1、履约保证金金额：合同金额的1%；</w:t>
            </w:r>
          </w:p>
          <w:p w14:paraId="4FAEC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2、履约保证金形式：银行汇票（电汇）、银行保函、保险保函或支票（仅限于使用宁波大市区范围内的银行开具的支票）；</w:t>
            </w:r>
          </w:p>
          <w:p w14:paraId="6C6C49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sz w:val="24"/>
                <w:szCs w:val="24"/>
              </w:rPr>
              <w:t>3、履约保证金提交时间：合同签订并生效之日起7个工作日内，预付款支付前。</w:t>
            </w:r>
          </w:p>
          <w:p w14:paraId="35ECF0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、履约保证金的退取：在成交人履行完采购合同约定义务事项后及时退还。（如成交人未能履行合同规定的任何义务，采购人有权从履约保证金中得到相应补偿）</w:t>
            </w:r>
          </w:p>
        </w:tc>
      </w:tr>
      <w:tr w14:paraId="76195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340AA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default"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5、</w:t>
            </w:r>
            <w:r>
              <w:rPr>
                <w:rFonts w:hint="eastAsia" w:ascii="宋体" w:hAnsi="宋体" w:eastAsia="宋体" w:cs="宋体"/>
                <w:b w:val="0"/>
                <w:bCs w:val="0"/>
                <w:color w:val="auto"/>
                <w:sz w:val="24"/>
                <w:szCs w:val="24"/>
                <w:highlight w:val="none"/>
              </w:rPr>
              <w:t>合同终止</w:t>
            </w:r>
          </w:p>
        </w:tc>
        <w:tc>
          <w:tcPr>
            <w:tcW w:w="6366" w:type="dxa"/>
            <w:tcBorders>
              <w:top w:val="single" w:color="auto" w:sz="4" w:space="0"/>
              <w:left w:val="single" w:color="auto" w:sz="4" w:space="0"/>
              <w:bottom w:val="single" w:color="auto" w:sz="4" w:space="0"/>
              <w:right w:val="single" w:color="auto" w:sz="4" w:space="0"/>
            </w:tcBorders>
            <w:noWrap w:val="0"/>
            <w:vAlign w:val="center"/>
          </w:tcPr>
          <w:p w14:paraId="52B85B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cs="宋体"/>
                <w:b w:val="0"/>
                <w:bCs w:val="0"/>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rPr>
              <w:t>成交人</w:t>
            </w:r>
            <w:r>
              <w:rPr>
                <w:rFonts w:hint="eastAsia" w:ascii="宋体" w:hAnsi="宋体" w:eastAsia="宋体" w:cs="宋体"/>
                <w:color w:val="auto"/>
                <w:sz w:val="24"/>
                <w:szCs w:val="24"/>
                <w:highlight w:val="none"/>
              </w:rPr>
              <w:t>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理由终止合同，确有特殊情况的，须提前向采购人提出书面申请，经采购人同意后，方可终止合同。因</w:t>
            </w:r>
            <w:r>
              <w:rPr>
                <w:rFonts w:hint="eastAsia" w:ascii="宋体" w:hAnsi="宋体" w:eastAsia="宋体" w:cs="宋体"/>
                <w:color w:val="auto"/>
                <w:kern w:val="2"/>
                <w:sz w:val="24"/>
                <w:szCs w:val="24"/>
                <w:highlight w:val="none"/>
                <w:lang w:val="en-US" w:eastAsia="zh-CN"/>
              </w:rPr>
              <w:t>成交人</w:t>
            </w:r>
            <w:r>
              <w:rPr>
                <w:rFonts w:hint="eastAsia" w:ascii="宋体" w:hAnsi="宋体" w:eastAsia="宋体" w:cs="宋体"/>
                <w:color w:val="auto"/>
                <w:sz w:val="24"/>
                <w:szCs w:val="24"/>
                <w:highlight w:val="none"/>
              </w:rPr>
              <w:t>不能保证工作质量或发生重大差错事故的，采购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有权终止</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rPr>
              <w:t>成交人</w:t>
            </w:r>
            <w:r>
              <w:rPr>
                <w:rFonts w:hint="eastAsia" w:ascii="宋体" w:hAnsi="宋体" w:eastAsia="宋体" w:cs="宋体"/>
                <w:color w:val="auto"/>
                <w:sz w:val="24"/>
                <w:szCs w:val="24"/>
                <w:highlight w:val="none"/>
              </w:rPr>
              <w:t>承担全部责任。</w:t>
            </w:r>
          </w:p>
        </w:tc>
      </w:tr>
      <w:tr w14:paraId="623E4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57857047">
            <w:pPr>
              <w:keepNext w:val="0"/>
              <w:keepLines w:val="0"/>
              <w:suppressLineNumbers w:val="0"/>
              <w:spacing w:before="0" w:beforeAutospacing="0" w:after="0" w:afterAutospacing="0" w:line="360" w:lineRule="exact"/>
              <w:ind w:left="0" w:right="0"/>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s="宋体"/>
                <w:b w:val="0"/>
                <w:bCs w:val="0"/>
                <w:color w:val="auto"/>
                <w:kern w:val="0"/>
                <w:sz w:val="24"/>
                <w:szCs w:val="24"/>
                <w:highlight w:val="none"/>
                <w:lang w:val="en-US" w:eastAsia="zh-CN"/>
              </w:rPr>
              <w:t>5、质保期</w:t>
            </w:r>
          </w:p>
          <w:p w14:paraId="29061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default" w:ascii="宋体" w:hAnsi="宋体" w:eastAsia="宋体" w:cs="宋体"/>
                <w:b w:val="0"/>
                <w:bCs w:val="0"/>
                <w:color w:val="auto"/>
                <w:kern w:val="0"/>
                <w:sz w:val="24"/>
                <w:szCs w:val="24"/>
                <w:highlight w:val="none"/>
                <w:lang w:val="en-US" w:eastAsia="zh-CN"/>
              </w:rPr>
            </w:pPr>
          </w:p>
        </w:tc>
        <w:tc>
          <w:tcPr>
            <w:tcW w:w="6366" w:type="dxa"/>
            <w:tcBorders>
              <w:top w:val="single" w:color="auto" w:sz="4" w:space="0"/>
              <w:left w:val="single" w:color="auto" w:sz="4" w:space="0"/>
              <w:bottom w:val="single" w:color="auto" w:sz="4" w:space="0"/>
              <w:right w:val="single" w:color="auto" w:sz="4" w:space="0"/>
            </w:tcBorders>
            <w:noWrap w:val="0"/>
            <w:vAlign w:val="center"/>
          </w:tcPr>
          <w:p w14:paraId="67378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hAnsi="宋体" w:cs="宋体"/>
                <w:bCs/>
                <w:color w:val="auto"/>
                <w:sz w:val="24"/>
                <w:szCs w:val="20"/>
                <w:lang w:val="en-US" w:eastAsia="zh-CN"/>
              </w:rPr>
              <w:t>1、质保期：项目完成施工并验收合格后，质保期不少于2年。在质保期内发现的问题由中标人负责包换、包修，由此产生的费用均有中标人承担。中标人不能修理或不能调换时，均按不能交货处理，中标人应免费提供所需备件。</w:t>
            </w:r>
          </w:p>
        </w:tc>
      </w:tr>
      <w:tr w14:paraId="2FB51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1FE06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cs="宋体"/>
                <w:bCs/>
                <w:sz w:val="24"/>
                <w:szCs w:val="20"/>
                <w:lang w:val="en-US" w:eastAsia="zh-CN"/>
              </w:rPr>
            </w:pPr>
          </w:p>
          <w:p w14:paraId="73CAB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cs="宋体"/>
                <w:bCs/>
                <w:sz w:val="24"/>
                <w:szCs w:val="20"/>
                <w:lang w:val="en-US" w:eastAsia="zh-CN"/>
              </w:rPr>
            </w:pPr>
            <w:r>
              <w:rPr>
                <w:rFonts w:hint="eastAsia" w:ascii="宋体" w:hAnsi="宋体" w:cs="宋体"/>
                <w:bCs/>
                <w:sz w:val="24"/>
                <w:szCs w:val="20"/>
                <w:lang w:val="en-US" w:eastAsia="zh-CN"/>
              </w:rPr>
              <w:t>6</w:t>
            </w:r>
            <w:r>
              <w:rPr>
                <w:rFonts w:hint="eastAsia" w:ascii="宋体" w:hAnsi="宋体" w:cs="宋体"/>
                <w:bCs/>
                <w:sz w:val="24"/>
                <w:szCs w:val="20"/>
              </w:rPr>
              <w:t>、</w:t>
            </w:r>
            <w:r>
              <w:rPr>
                <w:rFonts w:hint="eastAsia" w:ascii="宋体" w:hAnsi="宋体" w:cs="宋体"/>
                <w:bCs/>
                <w:sz w:val="24"/>
                <w:szCs w:val="20"/>
                <w:lang w:val="en-US" w:eastAsia="zh-CN"/>
              </w:rPr>
              <w:t>作业要求</w:t>
            </w:r>
          </w:p>
          <w:p w14:paraId="550F65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b w:val="0"/>
                <w:bCs w:val="0"/>
                <w:color w:val="auto"/>
                <w:kern w:val="0"/>
                <w:sz w:val="24"/>
                <w:szCs w:val="24"/>
                <w:highlight w:val="none"/>
                <w:lang w:val="en-US" w:eastAsia="zh-CN"/>
              </w:rPr>
            </w:pPr>
          </w:p>
        </w:tc>
        <w:tc>
          <w:tcPr>
            <w:tcW w:w="6366" w:type="dxa"/>
            <w:tcBorders>
              <w:top w:val="single" w:color="auto" w:sz="4" w:space="0"/>
              <w:left w:val="single" w:color="auto" w:sz="4" w:space="0"/>
              <w:bottom w:val="single" w:color="auto" w:sz="4" w:space="0"/>
              <w:right w:val="single" w:color="auto" w:sz="4" w:space="0"/>
            </w:tcBorders>
            <w:noWrap w:val="0"/>
            <w:vAlign w:val="center"/>
          </w:tcPr>
          <w:p w14:paraId="5B119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55562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val="en-US" w:eastAsia="zh-CN"/>
              </w:rPr>
              <w:t>文明施工要求：在施工过程中，必须做到文明施工。工序衔接交叉合理，交接责任明确，施工场地整洁、卫生、道路畅通，有必要的围护和遮挡措施等。</w:t>
            </w:r>
          </w:p>
          <w:p w14:paraId="238BA6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r w14:paraId="1D20E3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813" w:type="dxa"/>
            <w:tcBorders>
              <w:top w:val="single" w:color="auto" w:sz="4" w:space="0"/>
              <w:left w:val="single" w:color="auto" w:sz="4" w:space="0"/>
              <w:bottom w:val="single" w:color="auto" w:sz="4" w:space="0"/>
              <w:right w:val="single" w:color="auto" w:sz="4" w:space="0"/>
            </w:tcBorders>
            <w:noWrap w:val="0"/>
            <w:vAlign w:val="center"/>
          </w:tcPr>
          <w:p w14:paraId="07AE8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cs="宋体"/>
                <w:bCs/>
                <w:sz w:val="24"/>
                <w:szCs w:val="20"/>
                <w:lang w:val="en-US" w:eastAsia="zh-CN"/>
              </w:rPr>
            </w:pPr>
            <w:r>
              <w:rPr>
                <w:rFonts w:hint="eastAsia" w:ascii="宋体" w:hAnsi="宋体" w:cs="宋体"/>
                <w:bCs/>
                <w:sz w:val="24"/>
                <w:szCs w:val="20"/>
                <w:lang w:val="en-US" w:eastAsia="zh-CN"/>
              </w:rPr>
              <w:t>7、设备安装、调试和验收</w:t>
            </w:r>
          </w:p>
          <w:p w14:paraId="6CFE5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cs="宋体"/>
                <w:bCs/>
                <w:sz w:val="24"/>
                <w:szCs w:val="20"/>
                <w:lang w:val="en-US" w:eastAsia="zh-CN"/>
              </w:rPr>
            </w:pPr>
          </w:p>
        </w:tc>
        <w:tc>
          <w:tcPr>
            <w:tcW w:w="6366" w:type="dxa"/>
            <w:tcBorders>
              <w:top w:val="single" w:color="auto" w:sz="4" w:space="0"/>
              <w:left w:val="single" w:color="auto" w:sz="4" w:space="0"/>
              <w:bottom w:val="single" w:color="auto" w:sz="4" w:space="0"/>
              <w:right w:val="single" w:color="auto" w:sz="4" w:space="0"/>
            </w:tcBorders>
            <w:noWrap w:val="0"/>
            <w:vAlign w:val="center"/>
          </w:tcPr>
          <w:p w14:paraId="592C5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Style w:val="88"/>
                <w:rFonts w:hint="default" w:ascii="宋体" w:hAnsi="宋体" w:cs="Times New Roman"/>
                <w:b w:val="0"/>
                <w:bCs/>
                <w:i w:val="0"/>
                <w:caps w:val="0"/>
                <w:color w:val="auto"/>
                <w:spacing w:val="0"/>
                <w:w w:val="100"/>
                <w:kern w:val="2"/>
                <w:sz w:val="24"/>
                <w:szCs w:val="24"/>
                <w:lang w:val="en-US" w:eastAsia="zh-CN" w:bidi="ar-SA"/>
              </w:rPr>
            </w:pPr>
            <w:r>
              <w:rPr>
                <w:rStyle w:val="88"/>
                <w:rFonts w:hint="eastAsia" w:ascii="宋体" w:hAnsi="宋体" w:cs="Times New Roman"/>
                <w:b w:val="0"/>
                <w:bCs/>
                <w:i w:val="0"/>
                <w:caps w:val="0"/>
                <w:color w:val="auto"/>
                <w:spacing w:val="0"/>
                <w:w w:val="100"/>
                <w:kern w:val="2"/>
                <w:sz w:val="24"/>
                <w:szCs w:val="24"/>
                <w:lang w:val="en-US" w:eastAsia="zh-CN" w:bidi="ar-SA"/>
              </w:rPr>
              <w:t>1、</w:t>
            </w:r>
            <w:r>
              <w:rPr>
                <w:rStyle w:val="88"/>
                <w:rFonts w:hint="default" w:ascii="宋体" w:hAnsi="宋体" w:cs="Times New Roman"/>
                <w:b w:val="0"/>
                <w:bCs/>
                <w:i w:val="0"/>
                <w:caps w:val="0"/>
                <w:color w:val="auto"/>
                <w:spacing w:val="0"/>
                <w:w w:val="100"/>
                <w:kern w:val="2"/>
                <w:sz w:val="24"/>
                <w:szCs w:val="24"/>
                <w:lang w:val="en-US" w:eastAsia="zh-CN" w:bidi="ar-SA"/>
              </w:rPr>
              <w:t>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14:paraId="7C518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Style w:val="88"/>
                <w:rFonts w:hint="default" w:ascii="宋体" w:hAnsi="宋体" w:cs="Times New Roman"/>
                <w:b w:val="0"/>
                <w:bCs/>
                <w:i w:val="0"/>
                <w:caps w:val="0"/>
                <w:color w:val="auto"/>
                <w:spacing w:val="0"/>
                <w:w w:val="100"/>
                <w:kern w:val="2"/>
                <w:sz w:val="24"/>
                <w:szCs w:val="24"/>
                <w:lang w:val="en-US" w:eastAsia="zh-CN" w:bidi="ar-SA"/>
              </w:rPr>
            </w:pPr>
            <w:r>
              <w:rPr>
                <w:rStyle w:val="88"/>
                <w:rFonts w:hint="eastAsia" w:ascii="宋体" w:hAnsi="宋体" w:cs="Times New Roman"/>
                <w:b w:val="0"/>
                <w:bCs/>
                <w:i w:val="0"/>
                <w:caps w:val="0"/>
                <w:color w:val="auto"/>
                <w:spacing w:val="0"/>
                <w:w w:val="100"/>
                <w:kern w:val="2"/>
                <w:sz w:val="24"/>
                <w:szCs w:val="24"/>
                <w:lang w:val="en-US" w:eastAsia="zh-CN" w:bidi="ar-SA"/>
              </w:rPr>
              <w:t>2、</w:t>
            </w:r>
            <w:r>
              <w:rPr>
                <w:rStyle w:val="88"/>
                <w:rFonts w:hint="default" w:ascii="宋体" w:hAnsi="宋体" w:cs="Times New Roman"/>
                <w:b w:val="0"/>
                <w:bCs/>
                <w:i w:val="0"/>
                <w:caps w:val="0"/>
                <w:color w:val="auto"/>
                <w:spacing w:val="0"/>
                <w:w w:val="100"/>
                <w:kern w:val="2"/>
                <w:sz w:val="24"/>
                <w:szCs w:val="24"/>
                <w:lang w:val="en-US" w:eastAsia="zh-CN" w:bidi="ar-SA"/>
              </w:rPr>
              <w:t>供应商应保证其提供的施工工程在正常使用和保养条件下，在使用寿命期内应具有满意的性能；供应商应对由于工艺或材料的缺陷而产生的故障负完全责任。</w:t>
            </w:r>
          </w:p>
          <w:p w14:paraId="778CAE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Style w:val="88"/>
                <w:rFonts w:hint="default" w:ascii="宋体" w:hAnsi="宋体" w:cs="Times New Roman"/>
                <w:b w:val="0"/>
                <w:bCs/>
                <w:i w:val="0"/>
                <w:caps w:val="0"/>
                <w:color w:val="auto"/>
                <w:spacing w:val="0"/>
                <w:w w:val="100"/>
                <w:kern w:val="2"/>
                <w:sz w:val="24"/>
                <w:szCs w:val="24"/>
                <w:lang w:val="en-US" w:eastAsia="zh-CN" w:bidi="ar-SA"/>
              </w:rPr>
            </w:pPr>
            <w:r>
              <w:rPr>
                <w:rStyle w:val="88"/>
                <w:rFonts w:hint="eastAsia" w:ascii="宋体" w:hAnsi="宋体" w:cs="Times New Roman"/>
                <w:b w:val="0"/>
                <w:bCs/>
                <w:i w:val="0"/>
                <w:caps w:val="0"/>
                <w:color w:val="auto"/>
                <w:spacing w:val="0"/>
                <w:w w:val="100"/>
                <w:kern w:val="2"/>
                <w:sz w:val="24"/>
                <w:szCs w:val="24"/>
                <w:lang w:val="en-US" w:eastAsia="zh-CN" w:bidi="ar-SA"/>
              </w:rPr>
              <w:t>3、</w:t>
            </w:r>
            <w:r>
              <w:rPr>
                <w:rStyle w:val="88"/>
                <w:rFonts w:hint="default" w:ascii="宋体" w:hAnsi="宋体" w:cs="Times New Roman"/>
                <w:b w:val="0"/>
                <w:bCs/>
                <w:i w:val="0"/>
                <w:caps w:val="0"/>
                <w:color w:val="auto"/>
                <w:spacing w:val="0"/>
                <w:w w:val="100"/>
                <w:kern w:val="2"/>
                <w:sz w:val="24"/>
                <w:szCs w:val="24"/>
                <w:lang w:val="en-US" w:eastAsia="zh-CN" w:bidi="ar-SA"/>
              </w:rPr>
              <w:t>供应商须保证所配置的产品有合法的使用权，并有相应的使用许可证。</w:t>
            </w:r>
          </w:p>
          <w:p w14:paraId="517C6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Style w:val="88"/>
                <w:rFonts w:hint="default" w:ascii="宋体" w:hAnsi="宋体" w:cs="Times New Roman"/>
                <w:b w:val="0"/>
                <w:bCs/>
                <w:i w:val="0"/>
                <w:caps w:val="0"/>
                <w:color w:val="auto"/>
                <w:spacing w:val="0"/>
                <w:w w:val="100"/>
                <w:kern w:val="2"/>
                <w:sz w:val="24"/>
                <w:szCs w:val="24"/>
                <w:lang w:val="en-US" w:eastAsia="zh-CN" w:bidi="ar-SA"/>
              </w:rPr>
            </w:pPr>
            <w:r>
              <w:rPr>
                <w:rStyle w:val="88"/>
                <w:rFonts w:hint="eastAsia" w:ascii="宋体" w:hAnsi="宋体" w:cs="Times New Roman"/>
                <w:b w:val="0"/>
                <w:bCs/>
                <w:i w:val="0"/>
                <w:caps w:val="0"/>
                <w:color w:val="auto"/>
                <w:spacing w:val="0"/>
                <w:w w:val="100"/>
                <w:kern w:val="2"/>
                <w:sz w:val="24"/>
                <w:szCs w:val="24"/>
                <w:lang w:val="en-US" w:eastAsia="zh-CN" w:bidi="ar-SA"/>
              </w:rPr>
              <w:t>4、</w:t>
            </w:r>
            <w:r>
              <w:rPr>
                <w:rStyle w:val="88"/>
                <w:rFonts w:hint="default" w:ascii="宋体" w:hAnsi="宋体" w:cs="Times New Roman"/>
                <w:b w:val="0"/>
                <w:bCs/>
                <w:i w:val="0"/>
                <w:caps w:val="0"/>
                <w:color w:val="auto"/>
                <w:spacing w:val="0"/>
                <w:w w:val="100"/>
                <w:kern w:val="2"/>
                <w:sz w:val="24"/>
                <w:szCs w:val="24"/>
                <w:lang w:val="en-US" w:eastAsia="zh-CN" w:bidi="ar-SA"/>
              </w:rPr>
              <w:t>供应商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14:paraId="06CF8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Style w:val="88"/>
                <w:rFonts w:hint="default" w:ascii="宋体" w:hAnsi="宋体" w:cs="Times New Roman"/>
                <w:b w:val="0"/>
                <w:bCs/>
                <w:i w:val="0"/>
                <w:caps w:val="0"/>
                <w:color w:val="auto"/>
                <w:spacing w:val="0"/>
                <w:w w:val="100"/>
                <w:kern w:val="2"/>
                <w:sz w:val="24"/>
                <w:szCs w:val="24"/>
                <w:lang w:val="en-US" w:eastAsia="zh-CN" w:bidi="ar-SA"/>
              </w:rPr>
            </w:pPr>
            <w:r>
              <w:rPr>
                <w:rStyle w:val="88"/>
                <w:rFonts w:hint="eastAsia" w:ascii="宋体" w:hAnsi="宋体" w:cs="Times New Roman"/>
                <w:b w:val="0"/>
                <w:bCs/>
                <w:i w:val="0"/>
                <w:caps w:val="0"/>
                <w:color w:val="auto"/>
                <w:spacing w:val="0"/>
                <w:w w:val="100"/>
                <w:kern w:val="2"/>
                <w:sz w:val="24"/>
                <w:szCs w:val="24"/>
                <w:lang w:val="en-US" w:eastAsia="zh-CN" w:bidi="ar-SA"/>
              </w:rPr>
              <w:t>5、</w:t>
            </w:r>
            <w:r>
              <w:rPr>
                <w:rStyle w:val="88"/>
                <w:rFonts w:hint="default" w:ascii="宋体" w:hAnsi="宋体" w:cs="Times New Roman"/>
                <w:b w:val="0"/>
                <w:bCs/>
                <w:i w:val="0"/>
                <w:caps w:val="0"/>
                <w:color w:val="auto"/>
                <w:spacing w:val="0"/>
                <w:w w:val="100"/>
                <w:kern w:val="2"/>
                <w:sz w:val="24"/>
                <w:szCs w:val="24"/>
                <w:lang w:val="en-US" w:eastAsia="zh-CN" w:bidi="ar-SA"/>
              </w:rPr>
              <w:t>以上所有与（多次）安装、迁移、调试和验收相关的费用均需计入投标总价。</w:t>
            </w:r>
          </w:p>
        </w:tc>
      </w:tr>
      <w:bookmarkEnd w:id="18"/>
      <w:tr w14:paraId="32BBC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bottom w:val="single" w:color="auto" w:sz="4" w:space="0"/>
              <w:right w:val="single" w:color="auto" w:sz="4" w:space="0"/>
            </w:tcBorders>
            <w:vAlign w:val="center"/>
          </w:tcPr>
          <w:p w14:paraId="35898028">
            <w:pPr>
              <w:keepNext w:val="0"/>
              <w:keepLines w:val="0"/>
              <w:pageBreakBefore w:val="0"/>
              <w:widowControl/>
              <w:suppressLineNumbers w:val="0"/>
              <w:tabs>
                <w:tab w:val="left" w:pos="3234"/>
              </w:tabs>
              <w:kinsoku/>
              <w:wordWrap/>
              <w:overflowPunct/>
              <w:topLinePunct w:val="0"/>
              <w:autoSpaceDE/>
              <w:autoSpaceDN/>
              <w:bidi w:val="0"/>
              <w:adjustRightInd/>
              <w:snapToGrid/>
              <w:spacing w:before="0" w:beforeAutospacing="0" w:after="0" w:afterAutospacing="0" w:line="360" w:lineRule="auto"/>
              <w:ind w:left="0" w:right="0"/>
              <w:jc w:val="left"/>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、合同终止</w:t>
            </w:r>
          </w:p>
        </w:tc>
        <w:tc>
          <w:tcPr>
            <w:tcW w:w="0" w:type="auto"/>
            <w:tcBorders>
              <w:top w:val="single" w:color="auto" w:sz="4" w:space="0"/>
              <w:left w:val="single" w:color="auto" w:sz="4" w:space="0"/>
              <w:bottom w:val="single" w:color="auto" w:sz="4" w:space="0"/>
            </w:tcBorders>
            <w:vAlign w:val="center"/>
          </w:tcPr>
          <w:p w14:paraId="0366A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bidi="ar-SA"/>
              </w:rPr>
              <w:t>报价方式：按竞争性磋商文件“工程量清单”报价。</w:t>
            </w:r>
          </w:p>
          <w:p w14:paraId="2EAD7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2、最高限价：</w:t>
            </w:r>
            <w:r>
              <w:rPr>
                <w:rFonts w:hint="eastAsia" w:ascii="宋体" w:hAnsi="宋体" w:cs="宋体"/>
                <w:i w:val="0"/>
                <w:iCs w:val="0"/>
                <w:caps w:val="0"/>
                <w:color w:val="auto"/>
                <w:spacing w:val="0"/>
                <w:kern w:val="0"/>
                <w:sz w:val="24"/>
                <w:szCs w:val="24"/>
                <w:lang w:val="en-US" w:eastAsia="zh-CN" w:bidi="ar"/>
              </w:rPr>
              <w:t>805258</w:t>
            </w:r>
            <w:r>
              <w:rPr>
                <w:rFonts w:hint="eastAsia" w:ascii="宋体" w:hAnsi="宋体" w:eastAsia="宋体" w:cs="宋体"/>
                <w:color w:val="auto"/>
                <w:kern w:val="0"/>
                <w:sz w:val="24"/>
                <w:szCs w:val="24"/>
                <w:highlight w:val="none"/>
                <w:lang w:val="en-US" w:eastAsia="zh-CN" w:bidi="ar-SA"/>
              </w:rPr>
              <w:t>元，其中不可预见费</w:t>
            </w:r>
            <w:r>
              <w:rPr>
                <w:rFonts w:hint="eastAsia" w:ascii="宋体" w:hAnsi="宋体" w:cs="宋体"/>
                <w:color w:val="auto"/>
                <w:kern w:val="0"/>
                <w:sz w:val="24"/>
                <w:szCs w:val="24"/>
                <w:highlight w:val="none"/>
                <w:lang w:val="en-US" w:eastAsia="zh-CN" w:bidi="ar-SA"/>
              </w:rPr>
              <w:t>31754</w:t>
            </w:r>
            <w:r>
              <w:rPr>
                <w:rFonts w:hint="eastAsia" w:ascii="宋体" w:hAnsi="宋体" w:eastAsia="宋体" w:cs="宋体"/>
                <w:color w:val="auto"/>
                <w:kern w:val="0"/>
                <w:sz w:val="24"/>
                <w:szCs w:val="24"/>
                <w:highlight w:val="none"/>
                <w:lang w:val="en-US" w:eastAsia="zh-CN" w:bidi="ar-SA"/>
              </w:rPr>
              <w:t>元（含税）。</w:t>
            </w:r>
          </w:p>
          <w:p w14:paraId="35BF1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所有有效供应商应在规定时间内（第二次报价开启后的30分钟内）在线提交第二次报价（即最终报价），磋商小组以第二次报价（即最终报价）作为价格评议的标准。</w:t>
            </w:r>
          </w:p>
        </w:tc>
      </w:tr>
      <w:tr w14:paraId="5BCB4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0" w:type="auto"/>
            <w:tcBorders>
              <w:top w:val="single" w:color="auto" w:sz="4" w:space="0"/>
              <w:right w:val="single" w:color="auto" w:sz="4" w:space="0"/>
            </w:tcBorders>
            <w:vAlign w:val="center"/>
          </w:tcPr>
          <w:p w14:paraId="00D1348C">
            <w:pPr>
              <w:keepNext w:val="0"/>
              <w:keepLines w:val="0"/>
              <w:suppressLineNumbers w:val="0"/>
              <w:adjustRightInd/>
              <w:spacing w:before="0" w:beforeAutospacing="0" w:after="0" w:afterAutospacing="0" w:line="360" w:lineRule="auto"/>
              <w:ind w:left="0" w:right="0"/>
              <w:jc w:val="left"/>
              <w:rPr>
                <w:rFonts w:hint="default" w:ascii="宋体" w:hAnsi="宋体" w:cs="宋体"/>
                <w:color w:val="auto"/>
                <w:kern w:val="0"/>
                <w:sz w:val="24"/>
                <w:szCs w:val="24"/>
                <w:highlight w:val="none"/>
                <w:lang w:val="en-US" w:eastAsia="zh-CN"/>
              </w:rPr>
            </w:pPr>
            <w:r>
              <w:rPr>
                <w:rFonts w:hint="eastAsia" w:ascii="宋体" w:hAnsi="宋体" w:cs="宋体"/>
                <w:bCs/>
                <w:sz w:val="24"/>
                <w:szCs w:val="20"/>
              </w:rPr>
              <w:t>1</w:t>
            </w:r>
            <w:r>
              <w:rPr>
                <w:rFonts w:hint="eastAsia" w:ascii="宋体" w:hAnsi="宋体" w:cs="宋体"/>
                <w:bCs/>
                <w:sz w:val="24"/>
                <w:szCs w:val="20"/>
                <w:lang w:val="en-US" w:eastAsia="zh-CN"/>
              </w:rPr>
              <w:t>2、</w:t>
            </w:r>
            <w:r>
              <w:rPr>
                <w:rFonts w:hint="eastAsia" w:ascii="宋体" w:hAnsi="宋体" w:cs="宋体"/>
                <w:bCs/>
                <w:sz w:val="24"/>
                <w:szCs w:val="20"/>
              </w:rPr>
              <w:t>其他</w:t>
            </w:r>
          </w:p>
        </w:tc>
        <w:tc>
          <w:tcPr>
            <w:tcW w:w="0" w:type="auto"/>
            <w:tcBorders>
              <w:top w:val="single" w:color="auto" w:sz="4" w:space="0"/>
              <w:left w:val="single" w:color="auto" w:sz="4" w:space="0"/>
            </w:tcBorders>
            <w:vAlign w:val="center"/>
          </w:tcPr>
          <w:p w14:paraId="29F84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1、本招标所提的要求仅为主要要求，不应作为完整的详细的要求；</w:t>
            </w:r>
          </w:p>
          <w:p w14:paraId="2ECEC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2、供应商应负责保护采购人的利益不受损害；一切由于文字、商标和技术专利侵权引起的法律裁决、诉讼及其费用均与采购人无关。</w:t>
            </w:r>
          </w:p>
        </w:tc>
      </w:tr>
    </w:tbl>
    <w:p w14:paraId="7F2EE7F6">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14:paraId="1A4D3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zh-CN" w:eastAsia="zh-CN" w:bidi="ar-SA"/>
        </w:rPr>
        <w:t>四、</w:t>
      </w:r>
      <w:r>
        <w:rPr>
          <w:rFonts w:hint="eastAsia" w:ascii="宋体" w:hAnsi="宋体" w:cs="宋体"/>
          <w:b/>
          <w:sz w:val="24"/>
          <w:highlight w:val="none"/>
          <w:lang w:val="en-US" w:eastAsia="zh-CN"/>
        </w:rPr>
        <w:t>工程</w:t>
      </w:r>
      <w:r>
        <w:rPr>
          <w:rFonts w:hint="eastAsia" w:ascii="宋体" w:hAnsi="宋体" w:cs="宋体"/>
          <w:b/>
          <w:sz w:val="24"/>
          <w:highlight w:val="none"/>
        </w:rPr>
        <w:t>概况及总体要求</w:t>
      </w:r>
      <w:r>
        <w:rPr>
          <w:rFonts w:hint="eastAsia" w:ascii="宋体" w:hAnsi="宋体" w:eastAsia="宋体" w:cs="宋体"/>
          <w:b/>
          <w:bCs/>
          <w:color w:val="auto"/>
          <w:kern w:val="0"/>
          <w:sz w:val="24"/>
          <w:szCs w:val="24"/>
          <w:highlight w:val="none"/>
          <w:lang w:val="zh-CN" w:eastAsia="zh-CN" w:bidi="ar-SA"/>
        </w:rPr>
        <w:t>：</w:t>
      </w:r>
    </w:p>
    <w:p w14:paraId="4B95EB29">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（一）项目概况：宁海县高级职业技术中心学校机械实验实训室已经投入使用，</w:t>
      </w:r>
    </w:p>
    <w:p w14:paraId="33136B60">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需要做进一步的实训室设备规划，并进行实训室设备通电及通气实施。</w:t>
      </w:r>
    </w:p>
    <w:p w14:paraId="42A603F7">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（二）现场条件：</w:t>
      </w:r>
    </w:p>
    <w:p w14:paraId="7CFA8CC1">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1、施工现场平整情况：  现有原状  。</w:t>
      </w:r>
    </w:p>
    <w:p w14:paraId="30140FF8">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2、场内外道路：  现有原状  。</w:t>
      </w:r>
    </w:p>
    <w:p w14:paraId="6D34C778">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3、施工用电： 已到位 。 </w:t>
      </w:r>
    </w:p>
    <w:p w14:paraId="0998008E">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（三）发包范围：机械实验实训室设备通电、通气实施。</w:t>
      </w:r>
    </w:p>
    <w:p w14:paraId="5A3BE61E">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（四）工期要求：</w:t>
      </w:r>
      <w:r>
        <w:rPr>
          <w:rFonts w:hint="eastAsia" w:ascii="宋体" w:hAnsi="宋体" w:eastAsia="宋体" w:cs="宋体"/>
          <w:i w:val="0"/>
          <w:iCs w:val="0"/>
          <w:caps w:val="0"/>
          <w:color w:val="000000"/>
          <w:spacing w:val="0"/>
          <w:kern w:val="0"/>
          <w:sz w:val="24"/>
          <w:szCs w:val="24"/>
          <w:lang w:val="en-US" w:eastAsia="zh-CN" w:bidi="ar"/>
        </w:rPr>
        <w:t>合同签订并生效之日起</w:t>
      </w:r>
      <w:r>
        <w:rPr>
          <w:rFonts w:hint="eastAsia" w:ascii="宋体" w:hAnsi="宋体" w:cs="宋体"/>
          <w:i w:val="0"/>
          <w:iCs w:val="0"/>
          <w:caps w:val="0"/>
          <w:color w:val="000000"/>
          <w:spacing w:val="0"/>
          <w:kern w:val="0"/>
          <w:sz w:val="24"/>
          <w:szCs w:val="24"/>
          <w:lang w:val="en-US" w:eastAsia="zh-CN" w:bidi="ar"/>
        </w:rPr>
        <w:t>2</w:t>
      </w:r>
      <w:r>
        <w:rPr>
          <w:rFonts w:hint="eastAsia" w:ascii="宋体" w:hAnsi="宋体" w:eastAsia="宋体" w:cs="宋体"/>
          <w:i w:val="0"/>
          <w:iCs w:val="0"/>
          <w:caps w:val="0"/>
          <w:color w:val="000000"/>
          <w:spacing w:val="0"/>
          <w:kern w:val="0"/>
          <w:sz w:val="24"/>
          <w:szCs w:val="24"/>
          <w:lang w:val="en-US" w:eastAsia="zh-CN" w:bidi="ar"/>
        </w:rPr>
        <w:t>个月内完成项目</w:t>
      </w:r>
      <w:r>
        <w:rPr>
          <w:rFonts w:hint="eastAsia" w:ascii="宋体" w:hAnsi="宋体" w:cs="宋体"/>
          <w:i w:val="0"/>
          <w:iCs w:val="0"/>
          <w:caps w:val="0"/>
          <w:color w:val="000000"/>
          <w:spacing w:val="0"/>
          <w:kern w:val="0"/>
          <w:sz w:val="24"/>
          <w:szCs w:val="24"/>
          <w:lang w:val="en-US" w:eastAsia="zh-CN" w:bidi="ar"/>
        </w:rPr>
        <w:t>施工</w:t>
      </w:r>
      <w:r>
        <w:rPr>
          <w:rFonts w:hint="eastAsia" w:ascii="宋体" w:hAnsi="宋体" w:eastAsia="宋体" w:cs="宋体"/>
          <w:i w:val="0"/>
          <w:iCs w:val="0"/>
          <w:caps w:val="0"/>
          <w:color w:val="000000"/>
          <w:spacing w:val="0"/>
          <w:kern w:val="0"/>
          <w:sz w:val="24"/>
          <w:szCs w:val="24"/>
          <w:lang w:val="en-US" w:eastAsia="zh-CN" w:bidi="ar"/>
        </w:rPr>
        <w:t>并通过验收</w:t>
      </w:r>
      <w:r>
        <w:rPr>
          <w:rFonts w:hint="eastAsia" w:ascii="宋体" w:hAnsi="宋体" w:eastAsia="宋体" w:cs="宋体"/>
          <w:kern w:val="0"/>
          <w:sz w:val="24"/>
          <w:lang w:val="zh-CN"/>
        </w:rPr>
        <w:t>。</w:t>
      </w:r>
    </w:p>
    <w:p w14:paraId="6D8AEF9F">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（五）工程质量、材料、施工等的特殊要求：工程质量要求合格，材料乙供。</w:t>
      </w:r>
    </w:p>
    <w:p w14:paraId="060FD2E5">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（六）具体要求：</w:t>
      </w:r>
    </w:p>
    <w:p w14:paraId="4443B4D3">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1、通电实施要求</w:t>
      </w:r>
    </w:p>
    <w:p w14:paraId="23531D39">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lang w:eastAsia="zh-CN"/>
        </w:rPr>
        <w:t>▲</w:t>
      </w:r>
      <w:r>
        <w:rPr>
          <w:rFonts w:hint="eastAsia" w:ascii="宋体" w:hAnsi="宋体" w:eastAsia="宋体" w:cs="宋体"/>
          <w:kern w:val="0"/>
          <w:sz w:val="24"/>
          <w:lang w:val="zh-CN"/>
        </w:rPr>
        <w:t>所需所有材料需要投标人按照图纸和工程清单进行施工。</w:t>
      </w:r>
    </w:p>
    <w:p w14:paraId="5A2BC447">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（2）投标人按照设备要求进行强电线路规划设计，响应文件中最好能提供设备通电设计深化施工图、并注明使用的强电材料规格等。</w:t>
      </w:r>
    </w:p>
    <w:p w14:paraId="51D4E83E">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（3）施工中要保证设备的绝对安全，要选用合适的专业工、机、具，不得随便代用。</w:t>
      </w:r>
    </w:p>
    <w:p w14:paraId="5235BC9F">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（4）参加施工人员进场前由电气专业技术人员进行技术培训。</w:t>
      </w:r>
    </w:p>
    <w:p w14:paraId="7C19F164">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（5）整个电源接线从桥架中行走，连接安全牢固，如有吊顶的区域，需要从吊顶上方实施。</w:t>
      </w:r>
    </w:p>
    <w:p w14:paraId="2383A595">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eastAsia="zh-CN"/>
        </w:rPr>
      </w:pPr>
      <w:r>
        <w:rPr>
          <w:rFonts w:hint="eastAsia" w:ascii="宋体" w:hAnsi="宋体" w:eastAsia="宋体" w:cs="宋体"/>
          <w:kern w:val="0"/>
          <w:sz w:val="24"/>
          <w:lang w:val="zh-CN"/>
        </w:rPr>
        <w:t>（6）</w:t>
      </w:r>
      <w:r>
        <w:rPr>
          <w:rFonts w:hint="eastAsia" w:ascii="宋体" w:hAnsi="宋体" w:eastAsia="宋体" w:cs="宋体"/>
          <w:kern w:val="0"/>
          <w:sz w:val="24"/>
          <w:lang w:eastAsia="zh-CN"/>
        </w:rPr>
        <w:t>▲</w:t>
      </w:r>
      <w:r>
        <w:rPr>
          <w:rFonts w:hint="eastAsia" w:ascii="宋体" w:hAnsi="宋体" w:eastAsia="宋体" w:cs="宋体"/>
          <w:kern w:val="0"/>
          <w:sz w:val="24"/>
        </w:rPr>
        <w:t>本项目采用的低压铝及铝合金管耐压试验</w:t>
      </w:r>
      <w:r>
        <w:rPr>
          <w:rFonts w:hint="eastAsia" w:ascii="宋体" w:hAnsi="宋体" w:eastAsia="宋体" w:cs="宋体"/>
          <w:kern w:val="0"/>
          <w:sz w:val="24"/>
          <w:lang w:val="en-US" w:eastAsia="zh-CN"/>
        </w:rPr>
        <w:t>不得</w:t>
      </w:r>
      <w:r>
        <w:rPr>
          <w:rFonts w:hint="eastAsia" w:ascii="宋体" w:hAnsi="宋体" w:eastAsia="宋体" w:cs="宋体"/>
          <w:kern w:val="0"/>
          <w:sz w:val="24"/>
        </w:rPr>
        <w:t>低于2.5Mpa</w:t>
      </w:r>
      <w:r>
        <w:rPr>
          <w:rFonts w:hint="eastAsia" w:ascii="宋体" w:hAnsi="宋体" w:eastAsia="宋体" w:cs="宋体"/>
          <w:kern w:val="0"/>
          <w:sz w:val="24"/>
          <w:lang w:eastAsia="zh-CN"/>
        </w:rPr>
        <w:t>。</w:t>
      </w:r>
    </w:p>
    <w:p w14:paraId="38D5E441">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（7）同一交流回路的导线应穿于同一管内，管内导线包括绝缘层在内的总截面积不应大于管子内空截面积的60%。</w:t>
      </w:r>
    </w:p>
    <w:p w14:paraId="60F2AAEF">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（8）电路作业要完全符合国家相关施工标准。</w:t>
      </w:r>
    </w:p>
    <w:p w14:paraId="5AB98EA0">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（9）所有的电路需要接到相应的设备或工位上。</w:t>
      </w:r>
    </w:p>
    <w:p w14:paraId="675F53E3">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（10）</w:t>
      </w:r>
      <w:r>
        <w:rPr>
          <w:rFonts w:hint="eastAsia" w:ascii="宋体" w:hAnsi="宋体" w:eastAsia="宋体" w:cs="宋体"/>
          <w:kern w:val="0"/>
          <w:sz w:val="24"/>
          <w:lang w:eastAsia="zh-CN"/>
        </w:rPr>
        <w:t>▲</w:t>
      </w:r>
      <w:r>
        <w:rPr>
          <w:rFonts w:hint="eastAsia" w:ascii="宋体" w:hAnsi="宋体" w:eastAsia="宋体" w:cs="宋体"/>
          <w:kern w:val="0"/>
          <w:sz w:val="24"/>
          <w:lang w:val="zh-CN"/>
        </w:rPr>
        <w:t>供应商提供设备、人员安全保障措施都由成交供应商负责。（采购人只接受交钥匙工程，项目实施中出现任何安全等事故采购人概不负责）。</w:t>
      </w:r>
    </w:p>
    <w:p w14:paraId="5CE11501">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2、通气实施要求</w:t>
      </w:r>
    </w:p>
    <w:p w14:paraId="6F43A180">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lang w:eastAsia="zh-CN"/>
        </w:rPr>
        <w:t>▲</w:t>
      </w:r>
      <w:r>
        <w:rPr>
          <w:rFonts w:hint="eastAsia" w:ascii="宋体" w:hAnsi="宋体" w:eastAsia="宋体" w:cs="宋体"/>
          <w:kern w:val="0"/>
          <w:sz w:val="24"/>
          <w:lang w:val="zh-CN"/>
        </w:rPr>
        <w:t>所需所有材料需要投标人按照图纸和工程清单进行施工。</w:t>
      </w:r>
    </w:p>
    <w:p w14:paraId="6E300079">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（2）实施方式：安图施工。</w:t>
      </w:r>
    </w:p>
    <w:p w14:paraId="433D2DF3">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（3）管道宜少弯短直阀门尽量减少。</w:t>
      </w:r>
    </w:p>
    <w:p w14:paraId="6F9D45AC">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（4）系统安装完毕应作气压强度、气密性试验。以相同气体的1.15倍（国家标准1.15倍）的压力进行，以不漏气为合格。</w:t>
      </w:r>
    </w:p>
    <w:p w14:paraId="08AA372E">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（5）</w:t>
      </w:r>
      <w:r>
        <w:rPr>
          <w:rFonts w:hint="eastAsia" w:ascii="宋体" w:hAnsi="宋体" w:eastAsia="宋体" w:cs="宋体"/>
          <w:kern w:val="0"/>
          <w:sz w:val="24"/>
          <w:lang w:eastAsia="zh-CN"/>
        </w:rPr>
        <w:t>▲</w:t>
      </w:r>
      <w:r>
        <w:rPr>
          <w:rFonts w:hint="eastAsia" w:ascii="宋体" w:hAnsi="宋体" w:eastAsia="宋体" w:cs="宋体"/>
          <w:kern w:val="0"/>
          <w:sz w:val="24"/>
          <w:lang w:val="zh-CN"/>
        </w:rPr>
        <w:t>本项目施工过程中所有安全责任事故，都由成交供应商负责。（采购人只接受交钥匙工程，项目实施中出现任何责任事故采购人概不负责）。</w:t>
      </w:r>
    </w:p>
    <w:p w14:paraId="09FE3DFE">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3、隔墙实施要求</w:t>
      </w:r>
    </w:p>
    <w:p w14:paraId="36F9378B">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lang w:eastAsia="zh-CN"/>
        </w:rPr>
        <w:t>▲</w:t>
      </w:r>
      <w:r>
        <w:rPr>
          <w:rFonts w:hint="eastAsia" w:ascii="宋体" w:hAnsi="宋体" w:eastAsia="宋体" w:cs="宋体"/>
          <w:kern w:val="0"/>
          <w:sz w:val="24"/>
          <w:lang w:val="zh-CN"/>
        </w:rPr>
        <w:t>所需所有材料需要投标人按照图纸和工程清单进行施工。</w:t>
      </w:r>
    </w:p>
    <w:p w14:paraId="3AA6F0A4">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（2）实施方式：安图施工。</w:t>
      </w:r>
    </w:p>
    <w:p w14:paraId="51C5A0A8">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（3）</w:t>
      </w:r>
      <w:r>
        <w:rPr>
          <w:rFonts w:hint="eastAsia" w:ascii="宋体" w:hAnsi="宋体" w:eastAsia="宋体" w:cs="宋体"/>
          <w:kern w:val="0"/>
          <w:sz w:val="24"/>
          <w:lang w:eastAsia="zh-CN"/>
        </w:rPr>
        <w:t>▲</w:t>
      </w:r>
      <w:r>
        <w:rPr>
          <w:rFonts w:hint="eastAsia" w:ascii="宋体" w:hAnsi="宋体" w:eastAsia="宋体" w:cs="宋体"/>
          <w:kern w:val="0"/>
          <w:sz w:val="24"/>
          <w:lang w:val="zh-CN"/>
        </w:rPr>
        <w:t>本项目施工过程中所有安全责任事故，都由成交供应商负责。（采购人只接受交钥匙工程，项目实施中出现任何责任事故采购人概不负责）。</w:t>
      </w:r>
    </w:p>
    <w:p w14:paraId="380CC859">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（七）现场勘查</w:t>
      </w:r>
    </w:p>
    <w:p w14:paraId="5AE89A89">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1、本项目不集中组织答疑会和现场考察，有需要现场勘查的投标人提前和学校预约勘察时间，携带授权委托书及营业执照复印件（盖章），自行到现场勘察。勘察时间截止投标报名的前一天下午5点。现场勘察人员需携带授权委托书前往勘察，设备点位详见设计施工图。</w:t>
      </w:r>
    </w:p>
    <w:p w14:paraId="1BF5E639">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（1）勘察地点：宁海县高级职业技术中心学校。</w:t>
      </w:r>
    </w:p>
    <w:p w14:paraId="77A8ACDD">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（2）采购人联系方式：</w:t>
      </w:r>
      <w:r>
        <w:rPr>
          <w:rFonts w:hint="eastAsia" w:ascii="宋体" w:hAnsi="宋体" w:eastAsia="宋体" w:cs="宋体"/>
          <w:kern w:val="0"/>
          <w:sz w:val="24"/>
          <w:lang w:val="en-US" w:eastAsia="zh-CN"/>
        </w:rPr>
        <w:t>蔡老师：13566555685</w:t>
      </w:r>
      <w:r>
        <w:rPr>
          <w:rFonts w:hint="eastAsia" w:ascii="宋体" w:hAnsi="宋体" w:eastAsia="宋体" w:cs="宋体"/>
          <w:kern w:val="0"/>
          <w:sz w:val="24"/>
          <w:lang w:val="zh-CN"/>
        </w:rPr>
        <w:t xml:space="preserve"> 。</w:t>
      </w:r>
    </w:p>
    <w:p w14:paraId="690BF7CD">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2、投标人若因未勘察现场考察导致对投标人投标不利的情形，由投标人自行承担后果。</w:t>
      </w:r>
    </w:p>
    <w:p w14:paraId="43D0EDEE">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3、投标人参加勘察所发生的一切费用由投标人自行承担。</w:t>
      </w:r>
    </w:p>
    <w:p w14:paraId="75E033F5">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（八）本项目整个实施过程的安全技术措施</w:t>
      </w:r>
    </w:p>
    <w:p w14:paraId="37B64BC2">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为了保证项目施工安全，必须满足下列要求及措施：</w:t>
      </w:r>
    </w:p>
    <w:p w14:paraId="60A4B091">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1、熟悉环境，了解水、气、电力控制的操作位置，拆卸时必须明确停断状态方能操作。</w:t>
      </w:r>
    </w:p>
    <w:p w14:paraId="40D3FBD0">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2、严格按电气安全规程施工，停断必须挂有“禁止合闸”的标志牌，并有防止误送电的技术措施。</w:t>
      </w:r>
    </w:p>
    <w:p w14:paraId="14EBC65C">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3、正确使用现场工、机具，了解其使用性能。</w:t>
      </w:r>
    </w:p>
    <w:p w14:paraId="1FB71673">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4、严格遵守防火规定，需要明火操作时，必须有防火措施，并有专人监护，在易燃、易爆物周围，要严格禁止明火作业。</w:t>
      </w:r>
    </w:p>
    <w:p w14:paraId="6DAD7513">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5、应尽量避免交叉作业，高空作业必须携带安全带，安全带悬挂必须符合安全规程要求。</w:t>
      </w:r>
    </w:p>
    <w:p w14:paraId="6B508AF5">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6、实施时，必须先熟悉相关图纸及设备，禁止盲目操作。</w:t>
      </w:r>
    </w:p>
    <w:p w14:paraId="322757A8">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7、材料或设备进场时，必须注意不得损坏厂房及设施。</w:t>
      </w:r>
    </w:p>
    <w:p w14:paraId="539C0548">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8、现场应配备专职安检员，及时检查和清除不安全因素。</w:t>
      </w:r>
    </w:p>
    <w:p w14:paraId="5F1776DE">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zh-CN"/>
        </w:rPr>
      </w:pPr>
      <w:r>
        <w:rPr>
          <w:rFonts w:hint="eastAsia" w:ascii="宋体" w:hAnsi="宋体" w:eastAsia="宋体" w:cs="宋体"/>
          <w:kern w:val="0"/>
          <w:sz w:val="24"/>
          <w:lang w:val="zh-CN"/>
        </w:rPr>
        <w:t>9、要做到文明施工，及时清理现场和废物。</w:t>
      </w:r>
    </w:p>
    <w:p w14:paraId="7E4A72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color w:val="auto"/>
          <w:kern w:val="0"/>
          <w:sz w:val="24"/>
          <w:szCs w:val="24"/>
          <w:highlight w:val="none"/>
          <w:lang w:val="zh-CN" w:eastAsia="zh-CN" w:bidi="ar-SA"/>
        </w:rPr>
      </w:pPr>
      <w:r>
        <w:rPr>
          <w:rFonts w:hint="eastAsia" w:ascii="宋体" w:hAnsi="宋体" w:eastAsia="宋体" w:cs="宋体"/>
          <w:b/>
          <w:bCs/>
          <w:color w:val="auto"/>
          <w:kern w:val="0"/>
          <w:sz w:val="24"/>
          <w:szCs w:val="24"/>
          <w:highlight w:val="none"/>
          <w:lang w:val="en-US" w:eastAsia="zh-CN" w:bidi="ar-SA"/>
        </w:rPr>
        <w:t>五</w:t>
      </w:r>
      <w:r>
        <w:rPr>
          <w:rFonts w:hint="eastAsia" w:ascii="宋体" w:hAnsi="宋体" w:eastAsia="宋体" w:cs="宋体"/>
          <w:b/>
          <w:bCs/>
          <w:color w:val="auto"/>
          <w:kern w:val="0"/>
          <w:sz w:val="24"/>
          <w:szCs w:val="24"/>
          <w:highlight w:val="none"/>
          <w:lang w:val="zh-CN" w:eastAsia="zh-CN" w:bidi="ar-SA"/>
        </w:rPr>
        <w:t>、工程管理要求：</w:t>
      </w:r>
    </w:p>
    <w:p w14:paraId="16E5EE1F">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1、本工程采购范围内的工程项目，未经发包人同意一律不得分包。一经发现立即取消承包资格，作违约处理，并承担由此引起的一切经济损失。</w:t>
      </w:r>
    </w:p>
    <w:p w14:paraId="22C752C9">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承包人应严格按已确认施工技术方案组织施工，并无条件地接受发包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4106E076">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承包人在响应文件中的承诺的管理人员未经发包人同意，不得调换和撤离，并按工程进度及时到位。发包人有权要求撤换工作不负责任、管理不力、贻误工期和造成严重的安全事故和工程质量事故、违法乱纪的专业技术、管理人员、技术负责人，直至发包人满意为止。如相应资质的专业技术人员未按要求到位，视作违约，发包人有权单方面终止合同。</w:t>
      </w:r>
    </w:p>
    <w:p w14:paraId="64158396">
      <w:pPr>
        <w:tabs>
          <w:tab w:val="left" w:pos="0"/>
        </w:tabs>
        <w:kinsoku/>
        <w:wordWrap/>
        <w:overflowPunct/>
        <w:topLinePunct w:val="0"/>
        <w:bidi w:val="0"/>
        <w:spacing w:line="360" w:lineRule="auto"/>
        <w:ind w:firstLine="480"/>
        <w:outlineLvl w:val="9"/>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承包人提供的材料和工程设备均由承包人负责采购、运输和保管。承包人应对其采购的材料和工程设备负责。承包人用于本项目永久性工程材料采购应选择质量优、信誉好、服务到位的供应商，并将拟选择的供应商名录上报监理人和发包人，经审核批准后，方可购用，承包人与供应商签订的供货合同应报监理人、发包人备案。承包人所用材料必须符合消防、人防、交警等部门要求。</w:t>
      </w:r>
    </w:p>
    <w:p w14:paraId="60439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color w:val="auto"/>
          <w:kern w:val="0"/>
          <w:sz w:val="24"/>
          <w:szCs w:val="24"/>
          <w:highlight w:val="none"/>
          <w:lang w:val="en-US" w:eastAsia="zh-CN" w:bidi="ar-SA"/>
        </w:rPr>
      </w:pPr>
    </w:p>
    <w:p w14:paraId="089BC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color w:val="auto"/>
          <w:kern w:val="0"/>
          <w:sz w:val="24"/>
          <w:szCs w:val="24"/>
          <w:highlight w:val="none"/>
          <w:lang w:val="en-US" w:eastAsia="zh-CN" w:bidi="ar-SA"/>
        </w:rPr>
      </w:pPr>
    </w:p>
    <w:p w14:paraId="104800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eastAsia="宋体" w:cs="宋体"/>
          <w:b/>
          <w:bCs/>
          <w:color w:val="auto"/>
          <w:kern w:val="0"/>
          <w:sz w:val="24"/>
          <w:szCs w:val="24"/>
          <w:highlight w:val="none"/>
          <w:lang w:val="en-US" w:eastAsia="zh-CN" w:bidi="ar-SA"/>
        </w:rPr>
      </w:pPr>
    </w:p>
    <w:p w14:paraId="024A2BD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sz w:val="24"/>
          <w:highlight w:val="none"/>
        </w:rPr>
      </w:pPr>
      <w:r>
        <w:rPr>
          <w:rFonts w:hint="eastAsia" w:ascii="宋体" w:hAnsi="宋体" w:eastAsia="宋体" w:cs="宋体"/>
          <w:b/>
          <w:bCs/>
          <w:color w:val="auto"/>
          <w:kern w:val="0"/>
          <w:sz w:val="24"/>
          <w:szCs w:val="24"/>
          <w:highlight w:val="none"/>
          <w:lang w:val="en-US" w:eastAsia="zh-CN" w:bidi="ar-SA"/>
        </w:rPr>
        <w:t>六、</w:t>
      </w:r>
      <w:bookmarkStart w:id="19" w:name="_Toc520653672"/>
      <w:r>
        <w:rPr>
          <w:rFonts w:hint="eastAsia" w:ascii="宋体" w:hAnsi="宋体" w:cs="宋体"/>
          <w:b/>
          <w:sz w:val="24"/>
          <w:highlight w:val="none"/>
        </w:rPr>
        <w:t>项目管理机构要求</w:t>
      </w:r>
    </w:p>
    <w:p w14:paraId="258C221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1、人员配置要求</w:t>
      </w:r>
    </w:p>
    <w:tbl>
      <w:tblPr>
        <w:tblStyle w:val="29"/>
        <w:tblW w:w="9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48"/>
        <w:gridCol w:w="795"/>
        <w:gridCol w:w="2880"/>
        <w:gridCol w:w="3958"/>
      </w:tblGrid>
      <w:tr w14:paraId="2DEB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2F2436E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4EFCC5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岗位</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94D77A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数量</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3E69AD0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资格要求</w:t>
            </w:r>
          </w:p>
        </w:tc>
        <w:tc>
          <w:tcPr>
            <w:tcW w:w="3958" w:type="dxa"/>
            <w:tcBorders>
              <w:top w:val="single" w:color="auto" w:sz="4" w:space="0"/>
              <w:left w:val="single" w:color="auto" w:sz="4" w:space="0"/>
              <w:bottom w:val="single" w:color="auto" w:sz="4" w:space="0"/>
              <w:right w:val="single" w:color="auto" w:sz="4" w:space="0"/>
            </w:tcBorders>
            <w:noWrap w:val="0"/>
            <w:vAlign w:val="center"/>
          </w:tcPr>
          <w:p w14:paraId="0545D7E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p>
        </w:tc>
      </w:tr>
      <w:tr w14:paraId="742D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54F8B8B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cs="宋体"/>
                <w:sz w:val="24"/>
                <w:szCs w:val="20"/>
                <w:highlight w:val="none"/>
              </w:rPr>
              <w:t>▲</w:t>
            </w:r>
            <w:r>
              <w:rPr>
                <w:rFonts w:hint="eastAsia" w:ascii="宋体" w:hAnsi="宋体" w:eastAsia="宋体" w:cs="宋体"/>
                <w:kern w:val="2"/>
                <w:sz w:val="24"/>
                <w:szCs w:val="24"/>
                <w:highlight w:val="none"/>
                <w:lang w:val="en-US" w:eastAsia="zh-CN" w:bidi="ar-SA"/>
              </w:rPr>
              <w:t>1</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862A5E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项目经理</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741C01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04F6A43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w:t>
            </w:r>
            <w:r>
              <w:rPr>
                <w:rFonts w:hint="eastAsia" w:ascii="宋体" w:hAnsi="宋体" w:cs="宋体"/>
                <w:kern w:val="2"/>
                <w:sz w:val="24"/>
                <w:szCs w:val="24"/>
                <w:highlight w:val="none"/>
                <w:lang w:val="en-US" w:eastAsia="zh-CN" w:bidi="ar-SA"/>
              </w:rPr>
              <w:t>机电</w:t>
            </w:r>
            <w:r>
              <w:rPr>
                <w:rFonts w:hint="eastAsia" w:ascii="宋体" w:hAnsi="宋体" w:eastAsia="宋体" w:cs="宋体"/>
                <w:kern w:val="2"/>
                <w:sz w:val="24"/>
                <w:szCs w:val="24"/>
                <w:highlight w:val="none"/>
                <w:lang w:val="en-US" w:eastAsia="zh-CN" w:bidi="ar-SA"/>
              </w:rPr>
              <w:t>注册建造师贰级及以上资格，且具备有效的安全生产考核合格证（B证）</w:t>
            </w:r>
          </w:p>
        </w:tc>
        <w:tc>
          <w:tcPr>
            <w:tcW w:w="3958" w:type="dxa"/>
            <w:tcBorders>
              <w:top w:val="single" w:color="auto" w:sz="4" w:space="0"/>
              <w:left w:val="single" w:color="auto" w:sz="4" w:space="0"/>
              <w:bottom w:val="single" w:color="auto" w:sz="4" w:space="0"/>
              <w:right w:val="single" w:color="auto" w:sz="4" w:space="0"/>
            </w:tcBorders>
            <w:noWrap w:val="0"/>
            <w:vAlign w:val="center"/>
          </w:tcPr>
          <w:p w14:paraId="02D561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宋体" w:hAnsi="宋体" w:cs="宋体"/>
                <w:b w:val="0"/>
                <w:bCs w:val="0"/>
                <w:sz w:val="24"/>
                <w:szCs w:val="24"/>
                <w:highlight w:val="none"/>
              </w:rPr>
            </w:pPr>
            <w:r>
              <w:rPr>
                <w:rFonts w:hint="eastAsia" w:ascii="宋体" w:hAnsi="宋体" w:cs="宋体"/>
                <w:b w:val="0"/>
                <w:bCs w:val="0"/>
                <w:color w:val="auto"/>
                <w:kern w:val="0"/>
                <w:sz w:val="24"/>
                <w:szCs w:val="24"/>
                <w:highlight w:val="none"/>
              </w:rPr>
              <w:t>需提供项目经理执业资格证书及安全生产考核合格证（B证）复印件，若提供了一级建造师电子注册证书的，电子注册证书应符合</w:t>
            </w:r>
            <w:r>
              <w:rPr>
                <w:rFonts w:hint="eastAsia" w:ascii="宋体" w:hAnsi="宋体" w:cs="宋体"/>
                <w:b w:val="0"/>
                <w:bCs w:val="0"/>
                <w:color w:val="auto"/>
                <w:sz w:val="24"/>
                <w:szCs w:val="24"/>
                <w:highlight w:val="none"/>
              </w:rPr>
              <w:t>住建部《关于全面实行一级建造师电子注册证书的通知》建办市【2021】40号文规定，自2022年1月1日起，一级建造师统一使用电子证书。一级建造师打印电子证书后，应在个人签名处手写本人签名，未手写签名或签名图像笔迹不一致的，该电子证书无效。</w:t>
            </w:r>
          </w:p>
        </w:tc>
      </w:tr>
      <w:tr w14:paraId="3169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1912C20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cs="宋体"/>
                <w:sz w:val="24"/>
                <w:szCs w:val="20"/>
                <w:highlight w:val="none"/>
              </w:rPr>
              <w:t>▲</w:t>
            </w:r>
            <w:r>
              <w:rPr>
                <w:rFonts w:hint="eastAsia" w:ascii="宋体" w:hAnsi="宋体" w:cs="宋体"/>
                <w:kern w:val="2"/>
                <w:sz w:val="24"/>
                <w:szCs w:val="24"/>
                <w:highlight w:val="none"/>
                <w:lang w:val="en-US" w:eastAsia="zh-CN" w:bidi="ar-SA"/>
              </w:rPr>
              <w:t>2</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C36659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安全员</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25B1909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5DC085D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具备专职安全员C证</w:t>
            </w:r>
          </w:p>
        </w:tc>
        <w:tc>
          <w:tcPr>
            <w:tcW w:w="3958" w:type="dxa"/>
            <w:tcBorders>
              <w:top w:val="single" w:color="auto" w:sz="4" w:space="0"/>
              <w:left w:val="single" w:color="auto" w:sz="4" w:space="0"/>
              <w:bottom w:val="single" w:color="auto" w:sz="4" w:space="0"/>
              <w:right w:val="single" w:color="auto" w:sz="4" w:space="0"/>
            </w:tcBorders>
            <w:noWrap w:val="0"/>
            <w:vAlign w:val="center"/>
          </w:tcPr>
          <w:p w14:paraId="730EAC7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需提供专职安全员C证</w:t>
            </w:r>
          </w:p>
        </w:tc>
      </w:tr>
      <w:tr w14:paraId="68C4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3425AD5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AE8BA9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施工员</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65FA09C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76D4847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具备相应上岗证或培训合格证</w:t>
            </w:r>
          </w:p>
        </w:tc>
        <w:tc>
          <w:tcPr>
            <w:tcW w:w="3958" w:type="dxa"/>
            <w:tcBorders>
              <w:top w:val="single" w:color="auto" w:sz="4" w:space="0"/>
              <w:left w:val="single" w:color="auto" w:sz="4" w:space="0"/>
              <w:bottom w:val="single" w:color="auto" w:sz="4" w:space="0"/>
              <w:right w:val="single" w:color="auto" w:sz="4" w:space="0"/>
            </w:tcBorders>
            <w:noWrap w:val="0"/>
            <w:vAlign w:val="center"/>
          </w:tcPr>
          <w:p w14:paraId="5FE164D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w:t>
            </w:r>
            <w:r>
              <w:rPr>
                <w:rFonts w:hint="eastAsia" w:ascii="宋体" w:hAnsi="宋体" w:cs="宋体"/>
                <w:kern w:val="2"/>
                <w:sz w:val="24"/>
                <w:szCs w:val="24"/>
                <w:highlight w:val="none"/>
                <w:lang w:val="en-US" w:eastAsia="zh-CN" w:bidi="ar-SA"/>
              </w:rPr>
              <w:t>具有</w:t>
            </w:r>
            <w:r>
              <w:rPr>
                <w:rFonts w:hint="eastAsia" w:ascii="宋体" w:hAnsi="宋体" w:eastAsia="宋体" w:cs="宋体"/>
                <w:kern w:val="2"/>
                <w:sz w:val="24"/>
                <w:szCs w:val="24"/>
                <w:highlight w:val="none"/>
                <w:lang w:val="en-US" w:eastAsia="zh-CN" w:bidi="ar-SA"/>
              </w:rPr>
              <w:t>上岗证或培训合格证</w:t>
            </w:r>
          </w:p>
        </w:tc>
      </w:tr>
      <w:tr w14:paraId="0457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14:paraId="692DAC9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52EC93B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质量员</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1DE773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63BCFCF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具备相应上岗证或培训合格证</w:t>
            </w:r>
          </w:p>
        </w:tc>
        <w:tc>
          <w:tcPr>
            <w:tcW w:w="3958" w:type="dxa"/>
            <w:tcBorders>
              <w:top w:val="single" w:color="auto" w:sz="4" w:space="0"/>
              <w:left w:val="single" w:color="auto" w:sz="4" w:space="0"/>
              <w:bottom w:val="single" w:color="auto" w:sz="4" w:space="0"/>
              <w:right w:val="single" w:color="auto" w:sz="4" w:space="0"/>
            </w:tcBorders>
            <w:noWrap w:val="0"/>
            <w:vAlign w:val="center"/>
          </w:tcPr>
          <w:p w14:paraId="0DE5033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240" w:lineRule="auto"/>
              <w:ind w:left="0" w:right="0"/>
              <w:jc w:val="center"/>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需</w:t>
            </w:r>
            <w:r>
              <w:rPr>
                <w:rFonts w:hint="eastAsia" w:ascii="宋体" w:hAnsi="宋体" w:cs="宋体"/>
                <w:kern w:val="2"/>
                <w:sz w:val="24"/>
                <w:szCs w:val="24"/>
                <w:highlight w:val="none"/>
                <w:lang w:val="en-US" w:eastAsia="zh-CN" w:bidi="ar-SA"/>
              </w:rPr>
              <w:t>具有</w:t>
            </w:r>
            <w:r>
              <w:rPr>
                <w:rFonts w:hint="eastAsia" w:ascii="宋体" w:hAnsi="宋体" w:eastAsia="宋体" w:cs="宋体"/>
                <w:kern w:val="2"/>
                <w:sz w:val="24"/>
                <w:szCs w:val="24"/>
                <w:highlight w:val="none"/>
                <w:lang w:val="en-US" w:eastAsia="zh-CN" w:bidi="ar-SA"/>
              </w:rPr>
              <w:t>上岗证或培训合格证</w:t>
            </w:r>
          </w:p>
        </w:tc>
      </w:tr>
    </w:tbl>
    <w:p w14:paraId="1BEF24A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sz w:val="24"/>
          <w:highlight w:val="none"/>
          <w:lang w:val="en-US" w:eastAsia="zh-CN"/>
        </w:rPr>
      </w:pPr>
      <w:r>
        <w:rPr>
          <w:rFonts w:hint="eastAsia" w:ascii="宋体" w:hAnsi="宋体" w:cs="宋体"/>
          <w:b w:val="0"/>
          <w:bCs/>
          <w:sz w:val="24"/>
          <w:highlight w:val="none"/>
          <w:lang w:val="en-US" w:eastAsia="zh-CN"/>
        </w:rPr>
        <w:t>注：响应文件中须同时提供项目经理和安全员的证书扫描件和距开标日近三个月（其中一个月即可）供应商为其缴纳的社保证明，未提供或提供不全的作无效标处理。供应商需根据自身实际情况拟定投入本项目实施的服务团队，另包括针对本项目投入的人员工作安排、岗位设置等内容。</w:t>
      </w:r>
    </w:p>
    <w:p w14:paraId="418E6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eastAsia" w:ascii="宋体" w:hAnsi="宋体" w:cs="宋体"/>
          <w:b/>
          <w:bCs/>
          <w:color w:val="auto"/>
          <w:kern w:val="0"/>
          <w:sz w:val="24"/>
          <w:szCs w:val="24"/>
          <w:highlight w:val="none"/>
          <w:lang w:val="en-US" w:eastAsia="zh-CN" w:bidi="ar-SA"/>
        </w:rPr>
      </w:pPr>
    </w:p>
    <w:p w14:paraId="0CDFE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outlineLvl w:val="9"/>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七</w:t>
      </w:r>
      <w:r>
        <w:rPr>
          <w:rFonts w:hint="eastAsia" w:ascii="宋体" w:hAnsi="宋体" w:eastAsia="宋体" w:cs="宋体"/>
          <w:b/>
          <w:bCs/>
          <w:color w:val="auto"/>
          <w:kern w:val="0"/>
          <w:sz w:val="24"/>
          <w:szCs w:val="24"/>
          <w:highlight w:val="none"/>
          <w:lang w:val="en-US" w:eastAsia="zh-CN" w:bidi="ar-SA"/>
        </w:rPr>
        <w:t>、</w:t>
      </w:r>
      <w:bookmarkEnd w:id="19"/>
      <w:r>
        <w:rPr>
          <w:rFonts w:hint="eastAsia" w:ascii="宋体" w:hAnsi="宋体" w:eastAsia="宋体" w:cs="宋体"/>
          <w:b/>
          <w:bCs/>
          <w:color w:val="auto"/>
          <w:kern w:val="0"/>
          <w:sz w:val="24"/>
          <w:szCs w:val="24"/>
          <w:highlight w:val="none"/>
          <w:lang w:val="en-US" w:eastAsia="zh-CN" w:bidi="ar-SA"/>
        </w:rPr>
        <w:t>工程量清单</w:t>
      </w:r>
    </w:p>
    <w:p w14:paraId="27A721C9">
      <w:pPr>
        <w:tabs>
          <w:tab w:val="left" w:pos="0"/>
        </w:tabs>
        <w:kinsoku/>
        <w:wordWrap/>
        <w:overflowPunct/>
        <w:topLinePunct w:val="0"/>
        <w:bidi w:val="0"/>
        <w:spacing w:line="360" w:lineRule="auto"/>
        <w:ind w:firstLine="480"/>
        <w:outlineLvl w:val="9"/>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详见附件一</w:t>
      </w:r>
    </w:p>
    <w:p w14:paraId="410CBAF8">
      <w:pPr>
        <w:autoSpaceDE w:val="0"/>
        <w:autoSpaceDN w:val="0"/>
        <w:adjustRightInd w:val="0"/>
        <w:spacing w:line="360" w:lineRule="auto"/>
        <w:ind w:firstLine="420" w:firstLineChars="200"/>
        <w:rPr>
          <w:rFonts w:hint="eastAsia" w:ascii="宋体" w:hAnsi="宋体" w:eastAsia="宋体" w:cs="宋体"/>
          <w:bCs/>
          <w:szCs w:val="21"/>
          <w:lang w:val="zh-CN"/>
        </w:rPr>
      </w:pPr>
    </w:p>
    <w:p w14:paraId="430C74DD">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sectPr>
          <w:footerReference r:id="rId6" w:type="default"/>
          <w:pgSz w:w="11907" w:h="16840"/>
          <w:pgMar w:top="1361" w:right="1474" w:bottom="1361" w:left="1474" w:header="851" w:footer="851" w:gutter="0"/>
          <w:pgNumType w:fmt="decimal" w:start="1"/>
          <w:cols w:space="720" w:num="1"/>
        </w:sectPr>
      </w:pPr>
    </w:p>
    <w:bookmarkEnd w:id="4"/>
    <w:p w14:paraId="0E7BA971">
      <w:pPr>
        <w:adjustRightInd/>
        <w:spacing w:line="360" w:lineRule="auto"/>
        <w:jc w:val="center"/>
        <w:outlineLvl w:val="0"/>
        <w:rPr>
          <w:rFonts w:hint="eastAsia" w:ascii="宋体" w:hAnsi="宋体" w:eastAsia="宋体" w:cs="宋体"/>
          <w:b/>
          <w:color w:val="auto"/>
          <w:sz w:val="36"/>
          <w:szCs w:val="36"/>
          <w:highlight w:val="none"/>
        </w:rPr>
      </w:pPr>
      <w:bookmarkStart w:id="20" w:name="_Toc8594"/>
      <w:r>
        <w:rPr>
          <w:rFonts w:hint="eastAsia" w:ascii="宋体" w:hAnsi="宋体" w:eastAsia="宋体" w:cs="宋体"/>
          <w:b/>
          <w:color w:val="auto"/>
          <w:sz w:val="36"/>
          <w:szCs w:val="36"/>
          <w:highlight w:val="none"/>
        </w:rPr>
        <w:t>第</w:t>
      </w: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部分  评审方法及评审标准</w:t>
      </w:r>
      <w:bookmarkEnd w:id="20"/>
    </w:p>
    <w:p w14:paraId="63412ABE">
      <w:pPr>
        <w:pStyle w:val="79"/>
        <w:spacing w:before="0" w:line="360" w:lineRule="auto"/>
        <w:ind w:firstLine="0" w:firstLineChars="0"/>
        <w:jc w:val="center"/>
        <w:rPr>
          <w:rFonts w:asciiTheme="minorEastAsia" w:hAnsiTheme="minorEastAsia" w:eastAsiaTheme="minorEastAsia"/>
          <w:b/>
          <w:color w:val="auto"/>
          <w:sz w:val="24"/>
          <w:szCs w:val="24"/>
          <w:highlight w:val="none"/>
        </w:rPr>
      </w:pPr>
      <w:r>
        <w:rPr>
          <w:rFonts w:hint="eastAsia" w:ascii="宋体" w:hAnsi="宋体" w:eastAsia="宋体" w:cs="宋体"/>
          <w:b/>
          <w:color w:val="auto"/>
          <w:sz w:val="32"/>
          <w:highlight w:val="none"/>
        </w:rPr>
        <w:t>评审方法前附表</w:t>
      </w:r>
    </w:p>
    <w:tbl>
      <w:tblPr>
        <w:tblStyle w:val="2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542"/>
        <w:gridCol w:w="6336"/>
      </w:tblGrid>
      <w:tr w14:paraId="5C69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2B4EB10E">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szCs w:val="21"/>
              </w:rPr>
            </w:pPr>
            <w:r>
              <w:rPr>
                <w:rFonts w:hint="eastAsia" w:ascii="宋体" w:hAnsi="宋体" w:eastAsia="宋体" w:cs="宋体"/>
                <w:b/>
                <w:szCs w:val="21"/>
              </w:rPr>
              <w:t>序号</w:t>
            </w:r>
          </w:p>
        </w:tc>
        <w:tc>
          <w:tcPr>
            <w:tcW w:w="1542" w:type="dxa"/>
            <w:tcBorders>
              <w:top w:val="single" w:color="auto" w:sz="4" w:space="0"/>
              <w:left w:val="single" w:color="auto" w:sz="4" w:space="0"/>
              <w:bottom w:val="single" w:color="auto" w:sz="4" w:space="0"/>
              <w:right w:val="single" w:color="auto" w:sz="4" w:space="0"/>
            </w:tcBorders>
            <w:vAlign w:val="center"/>
          </w:tcPr>
          <w:p w14:paraId="1DAE9548">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szCs w:val="21"/>
              </w:rPr>
            </w:pPr>
            <w:r>
              <w:rPr>
                <w:rFonts w:hint="eastAsia" w:ascii="宋体" w:hAnsi="宋体" w:eastAsia="宋体" w:cs="宋体"/>
                <w:b/>
                <w:szCs w:val="21"/>
              </w:rPr>
              <w:t>评分点名称</w:t>
            </w:r>
          </w:p>
        </w:tc>
        <w:tc>
          <w:tcPr>
            <w:tcW w:w="6336" w:type="dxa"/>
            <w:tcBorders>
              <w:top w:val="single" w:color="auto" w:sz="4" w:space="0"/>
              <w:left w:val="single" w:color="auto" w:sz="4" w:space="0"/>
              <w:bottom w:val="single" w:color="auto" w:sz="4" w:space="0"/>
              <w:right w:val="single" w:color="auto" w:sz="4" w:space="0"/>
            </w:tcBorders>
            <w:vAlign w:val="center"/>
          </w:tcPr>
          <w:p w14:paraId="056A185C">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szCs w:val="21"/>
              </w:rPr>
            </w:pPr>
            <w:r>
              <w:rPr>
                <w:rFonts w:hint="eastAsia" w:ascii="宋体" w:hAnsi="宋体" w:eastAsia="宋体" w:cs="宋体"/>
                <w:b/>
                <w:szCs w:val="21"/>
              </w:rPr>
              <w:t>评审标准</w:t>
            </w:r>
          </w:p>
        </w:tc>
      </w:tr>
      <w:tr w14:paraId="6CA1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07" w:type="dxa"/>
            <w:tcBorders>
              <w:top w:val="single" w:color="auto" w:sz="4" w:space="0"/>
              <w:left w:val="single" w:color="auto" w:sz="4" w:space="0"/>
              <w:bottom w:val="single" w:color="auto" w:sz="4" w:space="0"/>
              <w:right w:val="single" w:color="auto" w:sz="4" w:space="0"/>
            </w:tcBorders>
            <w:vAlign w:val="center"/>
          </w:tcPr>
          <w:p w14:paraId="49D85299">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r>
              <w:rPr>
                <w:rFonts w:hint="eastAsia" w:ascii="宋体" w:hAnsi="宋体" w:eastAsia="宋体" w:cs="宋体"/>
                <w:szCs w:val="21"/>
              </w:rPr>
              <w:t>价格分</w:t>
            </w:r>
          </w:p>
          <w:p w14:paraId="58DDF71E">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r>
              <w:rPr>
                <w:rFonts w:hint="eastAsia" w:ascii="宋体" w:hAnsi="宋体" w:eastAsia="宋体" w:cs="宋体"/>
                <w:szCs w:val="21"/>
              </w:rPr>
              <w:t>（30分）</w:t>
            </w:r>
          </w:p>
        </w:tc>
        <w:tc>
          <w:tcPr>
            <w:tcW w:w="1542" w:type="dxa"/>
            <w:tcBorders>
              <w:top w:val="single" w:color="auto" w:sz="4" w:space="0"/>
              <w:left w:val="single" w:color="auto" w:sz="4" w:space="0"/>
              <w:bottom w:val="single" w:color="auto" w:sz="4" w:space="0"/>
              <w:right w:val="single" w:color="auto" w:sz="4" w:space="0"/>
            </w:tcBorders>
            <w:vAlign w:val="center"/>
          </w:tcPr>
          <w:p w14:paraId="258211BD">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Cs w:val="21"/>
              </w:rPr>
            </w:pPr>
            <w:r>
              <w:rPr>
                <w:rFonts w:hint="eastAsia" w:ascii="宋体" w:hAnsi="宋体" w:eastAsia="宋体" w:cs="宋体"/>
                <w:szCs w:val="21"/>
              </w:rPr>
              <w:t>投标报价</w:t>
            </w:r>
          </w:p>
          <w:p w14:paraId="33C74586">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r>
              <w:rPr>
                <w:rFonts w:hint="default" w:ascii="宋体" w:hAnsi="宋体" w:eastAsia="宋体"/>
                <w:color w:val="000000"/>
                <w:szCs w:val="21"/>
              </w:rPr>
              <w:t>（</w:t>
            </w:r>
            <w:r>
              <w:rPr>
                <w:rFonts w:hint="eastAsia" w:ascii="宋体" w:hAnsi="宋体" w:eastAsia="宋体"/>
                <w:color w:val="000000"/>
                <w:szCs w:val="21"/>
              </w:rPr>
              <w:t>30</w:t>
            </w:r>
            <w:r>
              <w:rPr>
                <w:rFonts w:hint="default" w:ascii="宋体" w:hAnsi="宋体" w:eastAsia="宋体"/>
                <w:color w:val="000000"/>
                <w:szCs w:val="21"/>
              </w:rPr>
              <w:t>分）</w:t>
            </w:r>
          </w:p>
        </w:tc>
        <w:tc>
          <w:tcPr>
            <w:tcW w:w="6336" w:type="dxa"/>
            <w:tcBorders>
              <w:top w:val="single" w:color="auto" w:sz="4" w:space="0"/>
              <w:left w:val="single" w:color="auto" w:sz="4" w:space="0"/>
              <w:bottom w:val="single" w:color="auto" w:sz="4" w:space="0"/>
              <w:right w:val="single" w:color="auto" w:sz="4" w:space="0"/>
            </w:tcBorders>
            <w:vAlign w:val="center"/>
          </w:tcPr>
          <w:p w14:paraId="2ADB86A8">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Calibri"/>
                <w:color w:val="000000"/>
                <w:szCs w:val="21"/>
              </w:rPr>
            </w:pPr>
            <w:r>
              <w:rPr>
                <w:rFonts w:hint="default" w:ascii="宋体" w:hAnsi="宋体" w:eastAsia="宋体" w:cs="Calibri"/>
                <w:color w:val="000000"/>
                <w:szCs w:val="21"/>
              </w:rPr>
              <w:t>满足</w:t>
            </w:r>
            <w:r>
              <w:rPr>
                <w:rFonts w:hint="eastAsia" w:ascii="宋体" w:hAnsi="宋体" w:eastAsia="宋体" w:cs="Calibri"/>
                <w:color w:val="000000"/>
                <w:szCs w:val="21"/>
              </w:rPr>
              <w:t>采购文件</w:t>
            </w:r>
            <w:r>
              <w:rPr>
                <w:rFonts w:hint="default" w:ascii="宋体" w:hAnsi="宋体" w:eastAsia="宋体" w:cs="Calibri"/>
                <w:color w:val="000000"/>
                <w:szCs w:val="21"/>
              </w:rPr>
              <w:t>要求且最低的参与评审价格为评标基准价，其价格分为满分</w:t>
            </w:r>
            <w:r>
              <w:rPr>
                <w:rFonts w:hint="eastAsia" w:ascii="宋体" w:hAnsi="宋体" w:eastAsia="宋体" w:cs="Calibri"/>
                <w:color w:val="000000"/>
                <w:szCs w:val="21"/>
              </w:rPr>
              <w:t>30</w:t>
            </w:r>
            <w:r>
              <w:rPr>
                <w:rFonts w:hint="default" w:ascii="宋体" w:hAnsi="宋体" w:eastAsia="宋体" w:cs="Calibri"/>
                <w:color w:val="000000"/>
                <w:szCs w:val="21"/>
              </w:rPr>
              <w:t>分</w:t>
            </w:r>
            <w:r>
              <w:rPr>
                <w:rFonts w:hint="eastAsia" w:ascii="宋体" w:hAnsi="宋体" w:eastAsia="宋体" w:cs="Calibri"/>
                <w:color w:val="000000"/>
                <w:szCs w:val="21"/>
              </w:rPr>
              <w:t>。</w:t>
            </w:r>
          </w:p>
          <w:p w14:paraId="3EBED4B0">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Calibri"/>
                <w:color w:val="000000"/>
                <w:szCs w:val="21"/>
              </w:rPr>
            </w:pPr>
            <w:r>
              <w:rPr>
                <w:rFonts w:hint="default" w:ascii="宋体" w:hAnsi="宋体" w:eastAsia="宋体" w:cs="Calibri"/>
                <w:color w:val="000000"/>
                <w:szCs w:val="21"/>
              </w:rPr>
              <w:t>其余供应商的价格分以下列公式计算：</w:t>
            </w:r>
          </w:p>
          <w:p w14:paraId="7A1923E4">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Calibri"/>
                <w:color w:val="000000"/>
                <w:szCs w:val="21"/>
              </w:rPr>
            </w:pPr>
            <w:r>
              <w:rPr>
                <w:rFonts w:hint="default" w:ascii="宋体" w:hAnsi="宋体" w:eastAsia="宋体" w:cs="Calibri"/>
                <w:color w:val="000000"/>
                <w:szCs w:val="21"/>
              </w:rPr>
              <w:t>价格分得分＝</w:t>
            </w:r>
            <w:r>
              <w:rPr>
                <w:rFonts w:hint="eastAsia" w:ascii="宋体" w:hAnsi="宋体" w:eastAsia="宋体" w:cs="Calibri"/>
                <w:color w:val="000000"/>
                <w:szCs w:val="21"/>
              </w:rPr>
              <w:t>[</w:t>
            </w:r>
            <w:r>
              <w:rPr>
                <w:rFonts w:hint="default" w:ascii="宋体" w:hAnsi="宋体" w:eastAsia="宋体" w:cs="Calibri"/>
                <w:color w:val="000000"/>
                <w:szCs w:val="21"/>
              </w:rPr>
              <w:t>评标基准价/</w:t>
            </w:r>
            <w:r>
              <w:rPr>
                <w:rFonts w:hint="eastAsia" w:ascii="宋体" w:hAnsi="宋体" w:eastAsia="宋体" w:cs="Calibri"/>
                <w:color w:val="000000"/>
                <w:szCs w:val="21"/>
              </w:rPr>
              <w:t>参与评审的价格]</w:t>
            </w:r>
            <w:r>
              <w:rPr>
                <w:rFonts w:hint="default" w:ascii="宋体" w:hAnsi="宋体" w:eastAsia="宋体" w:cs="Calibri"/>
                <w:color w:val="000000"/>
                <w:szCs w:val="21"/>
              </w:rPr>
              <w:t>×</w:t>
            </w:r>
            <w:r>
              <w:rPr>
                <w:rFonts w:hint="eastAsia" w:ascii="宋体" w:hAnsi="宋体" w:eastAsia="宋体" w:cs="Calibri"/>
                <w:color w:val="000000"/>
                <w:szCs w:val="21"/>
              </w:rPr>
              <w:t>30</w:t>
            </w:r>
          </w:p>
          <w:p w14:paraId="486252F3">
            <w:pPr>
              <w:keepNext w:val="0"/>
              <w:keepLines w:val="0"/>
              <w:suppressLineNumbers w:val="0"/>
              <w:autoSpaceDE w:val="0"/>
              <w:autoSpaceDN w:val="0"/>
              <w:adjustRightInd w:val="0"/>
              <w:snapToGrid w:val="0"/>
              <w:spacing w:before="0" w:beforeAutospacing="0" w:after="0" w:afterAutospacing="0" w:line="360" w:lineRule="exact"/>
              <w:ind w:left="0" w:right="0"/>
              <w:rPr>
                <w:rFonts w:hint="default" w:ascii="宋体" w:hAnsi="宋体" w:eastAsia="宋体" w:cs="宋体"/>
                <w:szCs w:val="21"/>
              </w:rPr>
            </w:pPr>
            <w:r>
              <w:rPr>
                <w:rFonts w:hint="eastAsia" w:ascii="宋体" w:hAnsi="宋体" w:eastAsia="宋体" w:cs="Calibri"/>
                <w:color w:val="000000"/>
                <w:szCs w:val="21"/>
                <w:lang w:val="zh-CN"/>
              </w:rPr>
              <w:t>以最终报价为评审依据。</w:t>
            </w:r>
          </w:p>
        </w:tc>
      </w:tr>
      <w:tr w14:paraId="1F78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7" w:type="dxa"/>
            <w:vMerge w:val="restart"/>
            <w:tcBorders>
              <w:left w:val="single" w:color="auto" w:sz="4" w:space="0"/>
              <w:right w:val="single" w:color="auto" w:sz="4" w:space="0"/>
            </w:tcBorders>
            <w:vAlign w:val="center"/>
          </w:tcPr>
          <w:p w14:paraId="25E02989">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r>
              <w:rPr>
                <w:rFonts w:hint="eastAsia" w:ascii="宋体" w:hAnsi="宋体" w:cs="宋体"/>
                <w:szCs w:val="21"/>
                <w:lang w:val="en-US" w:eastAsia="zh-CN"/>
              </w:rPr>
              <w:t>技术、商务分</w:t>
            </w:r>
            <w:r>
              <w:rPr>
                <w:rFonts w:hint="eastAsia" w:ascii="宋体" w:hAnsi="宋体" w:eastAsia="宋体" w:cs="宋体"/>
                <w:szCs w:val="21"/>
              </w:rPr>
              <w:t>（</w:t>
            </w:r>
            <w:r>
              <w:rPr>
                <w:rFonts w:hint="eastAsia" w:ascii="宋体" w:hAnsi="宋体" w:eastAsia="宋体" w:cs="宋体"/>
                <w:szCs w:val="21"/>
                <w:lang w:val="en-US" w:eastAsia="zh-CN"/>
              </w:rPr>
              <w:t>70</w:t>
            </w:r>
            <w:r>
              <w:rPr>
                <w:rFonts w:hint="eastAsia" w:ascii="宋体" w:hAnsi="宋体" w:eastAsia="宋体" w:cs="宋体"/>
                <w:szCs w:val="21"/>
              </w:rPr>
              <w:t>分）</w:t>
            </w:r>
          </w:p>
        </w:tc>
        <w:tc>
          <w:tcPr>
            <w:tcW w:w="1542" w:type="dxa"/>
            <w:tcBorders>
              <w:left w:val="single" w:color="auto" w:sz="4" w:space="0"/>
              <w:right w:val="single" w:color="auto" w:sz="4" w:space="0"/>
            </w:tcBorders>
            <w:vAlign w:val="center"/>
          </w:tcPr>
          <w:p w14:paraId="7AA03B48">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cs="宋体"/>
                <w:color w:val="auto"/>
                <w:szCs w:val="21"/>
              </w:rPr>
            </w:pPr>
            <w:r>
              <w:rPr>
                <w:rFonts w:hint="eastAsia" w:ascii="宋体" w:hAnsi="宋体" w:eastAsia="宋体" w:cs="宋体"/>
                <w:color w:val="auto"/>
                <w:szCs w:val="21"/>
              </w:rPr>
              <w:t>对本项目采购需求了解情况及现状调查（5分）</w:t>
            </w:r>
          </w:p>
        </w:tc>
        <w:tc>
          <w:tcPr>
            <w:tcW w:w="6336" w:type="dxa"/>
            <w:tcBorders>
              <w:top w:val="single" w:color="auto" w:sz="4" w:space="0"/>
              <w:left w:val="single" w:color="auto" w:sz="4" w:space="0"/>
              <w:right w:val="single" w:color="auto" w:sz="4" w:space="0"/>
            </w:tcBorders>
            <w:vAlign w:val="center"/>
          </w:tcPr>
          <w:p w14:paraId="7B33A4E2">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eastAsia="宋体" w:cs="宋体"/>
                <w:szCs w:val="21"/>
                <w:lang w:val="en-US" w:eastAsia="zh-CN"/>
              </w:rPr>
              <w:t>评标委员会根据</w:t>
            </w:r>
            <w:r>
              <w:rPr>
                <w:rFonts w:hint="eastAsia" w:ascii="宋体" w:hAnsi="宋体" w:eastAsia="宋体" w:cs="宋体"/>
                <w:color w:val="auto"/>
                <w:szCs w:val="21"/>
              </w:rPr>
              <w:t>供应商</w:t>
            </w:r>
            <w:r>
              <w:rPr>
                <w:rFonts w:hint="eastAsia" w:ascii="宋体" w:hAnsi="宋体" w:cs="宋体"/>
                <w:color w:val="auto"/>
                <w:szCs w:val="21"/>
                <w:lang w:val="en-US" w:eastAsia="zh-CN"/>
              </w:rPr>
              <w:t>提供的</w:t>
            </w:r>
            <w:r>
              <w:rPr>
                <w:rFonts w:hint="eastAsia" w:ascii="宋体" w:hAnsi="宋体" w:eastAsia="宋体" w:cs="宋体"/>
                <w:color w:val="auto"/>
                <w:szCs w:val="21"/>
              </w:rPr>
              <w:t>采购人需求、工程施工、现场情况等内容了解程度进行综合评议：</w:t>
            </w:r>
          </w:p>
          <w:p w14:paraId="76496F8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3328D14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126EFF9C">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129B90F9">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70BCE7E2">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⑤对采购人需求、工程施工内容未理解，现场情况未了解的得1分；</w:t>
            </w:r>
          </w:p>
          <w:p w14:paraId="7C8328D6">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rPr>
              <w:t>未提供相关内容不得分。</w:t>
            </w:r>
          </w:p>
        </w:tc>
      </w:tr>
      <w:tr w14:paraId="78D9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7" w:type="dxa"/>
            <w:vMerge w:val="continue"/>
            <w:tcBorders>
              <w:left w:val="single" w:color="auto" w:sz="4" w:space="0"/>
              <w:right w:val="single" w:color="auto" w:sz="4" w:space="0"/>
            </w:tcBorders>
            <w:vAlign w:val="center"/>
          </w:tcPr>
          <w:p w14:paraId="7D9E66D9">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cs="宋体"/>
                <w:szCs w:val="21"/>
                <w:lang w:val="en-US" w:eastAsia="zh-CN"/>
              </w:rPr>
            </w:pPr>
          </w:p>
        </w:tc>
        <w:tc>
          <w:tcPr>
            <w:tcW w:w="1542" w:type="dxa"/>
            <w:tcBorders>
              <w:left w:val="single" w:color="auto" w:sz="4" w:space="0"/>
              <w:right w:val="single" w:color="auto" w:sz="4" w:space="0"/>
            </w:tcBorders>
            <w:shd w:val="clear" w:color="auto" w:fill="auto"/>
            <w:vAlign w:val="center"/>
          </w:tcPr>
          <w:p w14:paraId="065A9937">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实施方案</w:t>
            </w:r>
            <w:r>
              <w:rPr>
                <w:rFonts w:hint="eastAsia" w:ascii="宋体" w:hAnsi="宋体" w:eastAsia="宋体" w:cs="宋体"/>
                <w:color w:val="auto"/>
                <w:szCs w:val="21"/>
              </w:rPr>
              <w:t>（5分）</w:t>
            </w:r>
          </w:p>
        </w:tc>
        <w:tc>
          <w:tcPr>
            <w:tcW w:w="6336" w:type="dxa"/>
            <w:tcBorders>
              <w:top w:val="single" w:color="auto" w:sz="4" w:space="0"/>
              <w:left w:val="single" w:color="auto" w:sz="4" w:space="0"/>
              <w:right w:val="single" w:color="auto" w:sz="4" w:space="0"/>
            </w:tcBorders>
            <w:shd w:val="clear" w:color="auto" w:fill="auto"/>
            <w:vAlign w:val="center"/>
          </w:tcPr>
          <w:p w14:paraId="2CD0A7E0">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szCs w:val="21"/>
                <w:lang w:val="en-US" w:eastAsia="zh-CN"/>
              </w:rPr>
              <w:t>评标委员会根据</w:t>
            </w:r>
            <w:r>
              <w:rPr>
                <w:rFonts w:hint="eastAsia" w:ascii="宋体" w:hAnsi="宋体" w:eastAsia="宋体" w:cs="宋体"/>
                <w:color w:val="auto"/>
                <w:szCs w:val="21"/>
              </w:rPr>
              <w:t>供应商提供的</w:t>
            </w:r>
            <w:r>
              <w:rPr>
                <w:rFonts w:hint="eastAsia" w:ascii="宋体" w:hAnsi="宋体" w:eastAsia="宋体" w:cs="宋体"/>
                <w:color w:val="auto"/>
                <w:szCs w:val="21"/>
                <w:lang w:val="en-US" w:eastAsia="zh-CN"/>
              </w:rPr>
              <w:t>项目整体实施方案，包含明确实施安排、实施内容和实施标准等内容进行评议</w:t>
            </w:r>
            <w:r>
              <w:rPr>
                <w:rFonts w:hint="eastAsia" w:ascii="宋体" w:hAnsi="宋体" w:eastAsia="宋体" w:cs="宋体"/>
                <w:color w:val="auto"/>
                <w:szCs w:val="21"/>
              </w:rPr>
              <w:t>进行综合评议：</w:t>
            </w:r>
          </w:p>
          <w:p w14:paraId="605D6A5F">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①方案内容详实，逻辑清晰，符合项目实际情况，切实可行的得5分；</w:t>
            </w:r>
          </w:p>
          <w:p w14:paraId="5283B53C">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②方案内容详细，工作思路清楚，基本符合项目实际情况，合理可行的得4分；</w:t>
            </w:r>
          </w:p>
          <w:p w14:paraId="4A279149">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③方案内容比较简单，虽然存在一些不足但无明显重大缺陷的得3分；</w:t>
            </w:r>
          </w:p>
          <w:p w14:paraId="57285B15">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④方案内容简单、笼统，存在较多的不足，可行性差的得2分；</w:t>
            </w:r>
          </w:p>
          <w:p w14:paraId="06264F11">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⑤提交的方案与实际情况存在一定偏差的得1分；</w:t>
            </w:r>
          </w:p>
          <w:p w14:paraId="2701030C">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未提供相关内容不得分。</w:t>
            </w:r>
          </w:p>
        </w:tc>
      </w:tr>
      <w:tr w14:paraId="0A49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7" w:type="dxa"/>
            <w:vMerge w:val="continue"/>
            <w:tcBorders>
              <w:left w:val="single" w:color="auto" w:sz="4" w:space="0"/>
              <w:right w:val="single" w:color="auto" w:sz="4" w:space="0"/>
            </w:tcBorders>
            <w:vAlign w:val="center"/>
          </w:tcPr>
          <w:p w14:paraId="0389A648">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p>
        </w:tc>
        <w:tc>
          <w:tcPr>
            <w:tcW w:w="1542" w:type="dxa"/>
            <w:tcBorders>
              <w:left w:val="single" w:color="auto" w:sz="4" w:space="0"/>
              <w:right w:val="single" w:color="auto" w:sz="4" w:space="0"/>
            </w:tcBorders>
            <w:shd w:val="clear" w:color="auto" w:fill="auto"/>
            <w:vAlign w:val="center"/>
          </w:tcPr>
          <w:p w14:paraId="2F0ECE9A">
            <w:pPr>
              <w:keepNext w:val="0"/>
              <w:keepLines w:val="0"/>
              <w:widowControl/>
              <w:suppressLineNumbers w:val="0"/>
              <w:spacing w:before="0" w:beforeAutospacing="0" w:after="0" w:afterAutospacing="0" w:line="440" w:lineRule="exact"/>
              <w:ind w:left="0" w:right="0"/>
              <w:jc w:val="left"/>
              <w:rPr>
                <w:rFonts w:hint="eastAsia" w:ascii="宋体" w:hAnsi="宋体" w:eastAsia="宋体" w:cs="Times New Roman"/>
                <w:bCs/>
                <w:kern w:val="2"/>
                <w:sz w:val="21"/>
                <w:szCs w:val="21"/>
                <w:lang w:val="en-US" w:eastAsia="zh-CN" w:bidi="ar-SA"/>
              </w:rPr>
            </w:pPr>
            <w:r>
              <w:rPr>
                <w:rFonts w:hint="eastAsia" w:ascii="宋体" w:hAnsi="宋体" w:eastAsia="宋体" w:cs="宋体"/>
                <w:szCs w:val="21"/>
              </w:rPr>
              <w:t>实训基地完工可呈现的细节展示图</w:t>
            </w:r>
            <w:r>
              <w:rPr>
                <w:rFonts w:hint="eastAsia" w:ascii="宋体" w:hAnsi="宋体" w:cs="宋体"/>
                <w:szCs w:val="21"/>
                <w:lang w:eastAsia="zh-CN"/>
              </w:rPr>
              <w:t>（</w:t>
            </w:r>
            <w:r>
              <w:rPr>
                <w:rFonts w:hint="eastAsia" w:ascii="宋体" w:hAnsi="宋体" w:cs="宋体"/>
                <w:szCs w:val="21"/>
                <w:lang w:val="en-US" w:eastAsia="zh-CN"/>
              </w:rPr>
              <w:t>5分）</w:t>
            </w:r>
          </w:p>
        </w:tc>
        <w:tc>
          <w:tcPr>
            <w:tcW w:w="6336" w:type="dxa"/>
            <w:tcBorders>
              <w:top w:val="single" w:color="auto" w:sz="4" w:space="0"/>
              <w:left w:val="single" w:color="auto" w:sz="4" w:space="0"/>
              <w:right w:val="single" w:color="auto" w:sz="4" w:space="0"/>
            </w:tcBorders>
            <w:shd w:val="clear" w:color="auto" w:fill="auto"/>
            <w:vAlign w:val="center"/>
          </w:tcPr>
          <w:p w14:paraId="4CB5E604">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eastAsia="zh-CN"/>
              </w:rPr>
              <w:t>评标委员会根据</w:t>
            </w:r>
            <w:r>
              <w:rPr>
                <w:rFonts w:hint="eastAsia" w:ascii="宋体" w:hAnsi="宋体" w:eastAsia="宋体" w:cs="宋体"/>
                <w:szCs w:val="21"/>
              </w:rPr>
              <w:t>供应商提供的</w:t>
            </w:r>
            <w:r>
              <w:rPr>
                <w:rFonts w:hint="default" w:ascii="宋体" w:hAnsi="宋体" w:eastAsia="宋体" w:cs="宋体"/>
                <w:szCs w:val="21"/>
              </w:rPr>
              <w:t>实训</w:t>
            </w:r>
            <w:r>
              <w:rPr>
                <w:rFonts w:hint="eastAsia" w:ascii="宋体" w:hAnsi="宋体" w:eastAsia="宋体" w:cs="宋体"/>
                <w:szCs w:val="21"/>
              </w:rPr>
              <w:t>室</w:t>
            </w:r>
            <w:r>
              <w:rPr>
                <w:rFonts w:hint="default" w:ascii="宋体" w:hAnsi="宋体" w:eastAsia="宋体" w:cs="宋体"/>
                <w:szCs w:val="21"/>
              </w:rPr>
              <w:t>各个区域</w:t>
            </w:r>
            <w:r>
              <w:rPr>
                <w:rFonts w:hint="eastAsia" w:ascii="宋体" w:hAnsi="宋体" w:eastAsia="宋体" w:cs="宋体"/>
                <w:szCs w:val="21"/>
              </w:rPr>
              <w:t>施工完工可呈现的细节</w:t>
            </w:r>
            <w:r>
              <w:rPr>
                <w:rFonts w:hint="default" w:ascii="宋体" w:hAnsi="宋体" w:eastAsia="宋体" w:cs="宋体"/>
                <w:szCs w:val="21"/>
              </w:rPr>
              <w:t>三维</w:t>
            </w:r>
            <w:r>
              <w:rPr>
                <w:rFonts w:hint="eastAsia" w:ascii="宋体" w:hAnsi="宋体" w:eastAsia="宋体" w:cs="宋体"/>
                <w:szCs w:val="21"/>
              </w:rPr>
              <w:t>细节</w:t>
            </w:r>
            <w:r>
              <w:rPr>
                <w:rFonts w:hint="default" w:ascii="宋体" w:hAnsi="宋体" w:eastAsia="宋体" w:cs="宋体"/>
                <w:szCs w:val="21"/>
              </w:rPr>
              <w:t>效果图</w:t>
            </w:r>
            <w:r>
              <w:rPr>
                <w:rFonts w:hint="eastAsia" w:ascii="宋体" w:hAnsi="宋体" w:eastAsia="宋体" w:cs="宋体"/>
                <w:szCs w:val="21"/>
              </w:rPr>
              <w:t>（每个区域至少</w:t>
            </w:r>
            <w:r>
              <w:rPr>
                <w:rFonts w:hint="default" w:ascii="宋体" w:hAnsi="宋体" w:eastAsia="宋体" w:cs="宋体"/>
                <w:szCs w:val="21"/>
              </w:rPr>
              <w:t>2</w:t>
            </w:r>
            <w:r>
              <w:rPr>
                <w:rFonts w:hint="eastAsia" w:ascii="宋体" w:hAnsi="宋体" w:eastAsia="宋体" w:cs="宋体"/>
                <w:szCs w:val="21"/>
              </w:rPr>
              <w:t>张）的</w:t>
            </w:r>
            <w:r>
              <w:rPr>
                <w:rFonts w:hint="default" w:ascii="宋体" w:hAnsi="宋体" w:eastAsia="宋体" w:cs="宋体"/>
                <w:szCs w:val="21"/>
              </w:rPr>
              <w:t>可行性进行</w:t>
            </w:r>
            <w:r>
              <w:rPr>
                <w:rFonts w:hint="eastAsia" w:ascii="宋体" w:hAnsi="宋体" w:eastAsia="宋体" w:cs="宋体"/>
                <w:szCs w:val="21"/>
                <w:lang w:val="en-US" w:eastAsia="zh-CN"/>
              </w:rPr>
              <w:t>综合评议：</w:t>
            </w:r>
          </w:p>
          <w:p w14:paraId="76F5A2CA">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szCs w:val="21"/>
              </w:rPr>
            </w:pPr>
            <w:r>
              <w:rPr>
                <w:rFonts w:hint="eastAsia" w:ascii="宋体" w:hAnsi="宋体" w:eastAsia="宋体" w:cs="宋体"/>
                <w:szCs w:val="21"/>
              </w:rPr>
              <w:t>①内容详细、设计规范、可操作性强</w:t>
            </w:r>
            <w:r>
              <w:rPr>
                <w:rFonts w:hint="eastAsia" w:ascii="宋体" w:hAnsi="宋体" w:eastAsia="宋体" w:cs="宋体"/>
                <w:szCs w:val="21"/>
                <w:lang w:val="en-US" w:eastAsia="zh-CN"/>
              </w:rPr>
              <w:t>的；</w:t>
            </w:r>
            <w:r>
              <w:rPr>
                <w:rFonts w:hint="eastAsia" w:ascii="宋体" w:hAnsi="宋体" w:eastAsia="宋体" w:cs="宋体"/>
                <w:szCs w:val="21"/>
              </w:rPr>
              <w:t>得</w:t>
            </w:r>
            <w:r>
              <w:rPr>
                <w:rFonts w:hint="eastAsia" w:ascii="宋体" w:hAnsi="宋体" w:eastAsia="宋体" w:cs="宋体"/>
                <w:szCs w:val="21"/>
                <w:lang w:val="en-US" w:eastAsia="zh-CN"/>
              </w:rPr>
              <w:t>5</w:t>
            </w:r>
            <w:r>
              <w:rPr>
                <w:rFonts w:hint="eastAsia" w:ascii="宋体" w:hAnsi="宋体" w:eastAsia="宋体" w:cs="宋体"/>
                <w:szCs w:val="21"/>
              </w:rPr>
              <w:t>分</w:t>
            </w:r>
          </w:p>
          <w:p w14:paraId="58F0BFFF">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szCs w:val="21"/>
                <w:lang w:val="en-US" w:eastAsia="zh-CN"/>
              </w:rPr>
            </w:pPr>
            <w:r>
              <w:rPr>
                <w:rFonts w:hint="eastAsia" w:ascii="宋体" w:hAnsi="宋体" w:eastAsia="宋体" w:cs="宋体"/>
                <w:szCs w:val="21"/>
              </w:rPr>
              <w:t>②内容基本详细、合理性较好、可操作性较好</w:t>
            </w:r>
            <w:r>
              <w:rPr>
                <w:rFonts w:hint="eastAsia" w:ascii="宋体" w:hAnsi="宋体" w:eastAsia="宋体" w:cs="宋体"/>
                <w:szCs w:val="21"/>
                <w:lang w:val="en-US" w:eastAsia="zh-CN"/>
              </w:rPr>
              <w:t>的，</w:t>
            </w:r>
            <w:r>
              <w:rPr>
                <w:rFonts w:hint="eastAsia" w:ascii="宋体" w:hAnsi="宋体" w:eastAsia="宋体" w:cs="宋体"/>
                <w:szCs w:val="21"/>
              </w:rPr>
              <w:t>得</w:t>
            </w:r>
            <w:r>
              <w:rPr>
                <w:rFonts w:hint="eastAsia" w:ascii="宋体" w:hAnsi="宋体" w:eastAsia="宋体" w:cs="宋体"/>
                <w:szCs w:val="21"/>
                <w:lang w:val="zh-CN"/>
              </w:rPr>
              <w:t>4</w:t>
            </w:r>
            <w:r>
              <w:rPr>
                <w:rFonts w:hint="eastAsia" w:ascii="宋体" w:hAnsi="宋体" w:eastAsia="宋体" w:cs="宋体"/>
                <w:szCs w:val="21"/>
                <w:lang w:val="en-US" w:eastAsia="zh-CN"/>
              </w:rPr>
              <w:t>分</w:t>
            </w:r>
          </w:p>
          <w:p w14:paraId="1A9A039B">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szCs w:val="21"/>
                <w:lang w:val="en-US" w:eastAsia="zh-CN"/>
              </w:rPr>
            </w:pPr>
            <w:r>
              <w:rPr>
                <w:rFonts w:hint="eastAsia" w:ascii="宋体" w:hAnsi="宋体" w:eastAsia="宋体" w:cs="宋体"/>
                <w:szCs w:val="21"/>
              </w:rPr>
              <w:t>③内容不够详细、合理性一般、可操作性一般</w:t>
            </w:r>
            <w:r>
              <w:rPr>
                <w:rFonts w:hint="eastAsia" w:ascii="宋体" w:hAnsi="宋体" w:eastAsia="宋体" w:cs="宋体"/>
                <w:szCs w:val="21"/>
                <w:lang w:val="en-US" w:eastAsia="zh-CN"/>
              </w:rPr>
              <w:t>的，得3分；</w:t>
            </w:r>
          </w:p>
          <w:p w14:paraId="05BAC027">
            <w:pPr>
              <w:keepNext w:val="0"/>
              <w:keepLines w:val="0"/>
              <w:suppressLineNumbers w:val="0"/>
              <w:tabs>
                <w:tab w:val="left" w:pos="4915"/>
              </w:tabs>
              <w:adjustRightInd w:val="0"/>
              <w:snapToGrid w:val="0"/>
              <w:spacing w:before="0" w:beforeAutospacing="0" w:after="0" w:afterAutospacing="0" w:line="400" w:lineRule="exact"/>
              <w:ind w:left="0" w:right="0"/>
              <w:rPr>
                <w:rFonts w:hint="default" w:ascii="宋体" w:hAnsi="宋体" w:eastAsia="宋体" w:cs="宋体"/>
                <w:szCs w:val="21"/>
                <w:lang w:val="en-US" w:eastAsia="zh-CN"/>
              </w:rPr>
            </w:pPr>
            <w:r>
              <w:rPr>
                <w:rFonts w:hint="eastAsia" w:ascii="宋体" w:hAnsi="宋体" w:eastAsia="宋体" w:cs="宋体"/>
                <w:szCs w:val="21"/>
              </w:rPr>
              <w:t>④</w:t>
            </w:r>
            <w:r>
              <w:rPr>
                <w:rFonts w:hint="eastAsia" w:ascii="宋体" w:hAnsi="宋体" w:eastAsia="宋体" w:cs="宋体"/>
                <w:szCs w:val="21"/>
                <w:lang w:val="zh-CN" w:eastAsia="zh-CN"/>
              </w:rPr>
              <w:t>内容不够详细、合理性较差、可操作性较差得，</w:t>
            </w:r>
            <w:r>
              <w:rPr>
                <w:rFonts w:hint="eastAsia" w:ascii="宋体" w:hAnsi="宋体" w:eastAsia="宋体" w:cs="宋体"/>
                <w:szCs w:val="21"/>
                <w:lang w:val="en-US" w:eastAsia="zh-CN"/>
              </w:rPr>
              <w:t>得2分；</w:t>
            </w:r>
          </w:p>
          <w:p w14:paraId="4D4C79AA">
            <w:pPr>
              <w:keepNext w:val="0"/>
              <w:keepLines w:val="0"/>
              <w:suppressLineNumbers w:val="0"/>
              <w:tabs>
                <w:tab w:val="left" w:pos="4915"/>
              </w:tabs>
              <w:adjustRightInd w:val="0"/>
              <w:snapToGrid w:val="0"/>
              <w:spacing w:before="0" w:beforeAutospacing="0" w:after="0" w:afterAutospacing="0" w:line="400" w:lineRule="exact"/>
              <w:ind w:left="0" w:right="0"/>
              <w:rPr>
                <w:rFonts w:hint="default" w:ascii="宋体" w:hAnsi="宋体" w:eastAsia="宋体" w:cs="宋体"/>
                <w:szCs w:val="21"/>
                <w:lang w:val="en-US" w:eastAsia="zh-CN"/>
              </w:rPr>
            </w:pPr>
            <w:r>
              <w:rPr>
                <w:rFonts w:hint="eastAsia" w:ascii="宋体" w:hAnsi="宋体" w:eastAsia="宋体" w:cs="宋体"/>
                <w:szCs w:val="21"/>
              </w:rPr>
              <w:t>⑤</w:t>
            </w:r>
            <w:r>
              <w:rPr>
                <w:rFonts w:hint="eastAsia" w:ascii="宋体" w:hAnsi="宋体" w:eastAsia="宋体" w:cs="宋体"/>
                <w:szCs w:val="21"/>
                <w:lang w:val="zh-CN" w:eastAsia="zh-CN"/>
              </w:rPr>
              <w:t>内容不详细、合理性差、可操作性差得</w:t>
            </w:r>
            <w:r>
              <w:rPr>
                <w:rFonts w:hint="eastAsia" w:ascii="宋体" w:hAnsi="宋体" w:eastAsia="宋体" w:cs="宋体"/>
                <w:szCs w:val="21"/>
                <w:lang w:val="en-US" w:eastAsia="zh-CN"/>
              </w:rPr>
              <w:t>1分；</w:t>
            </w:r>
          </w:p>
          <w:p w14:paraId="2BB64C72">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无相关内容不得分。</w:t>
            </w:r>
          </w:p>
        </w:tc>
      </w:tr>
      <w:tr w14:paraId="04EA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7" w:type="dxa"/>
            <w:vMerge w:val="continue"/>
            <w:tcBorders>
              <w:left w:val="single" w:color="auto" w:sz="4" w:space="0"/>
              <w:right w:val="single" w:color="auto" w:sz="4" w:space="0"/>
            </w:tcBorders>
            <w:vAlign w:val="center"/>
          </w:tcPr>
          <w:p w14:paraId="1F82A584">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p>
        </w:tc>
        <w:tc>
          <w:tcPr>
            <w:tcW w:w="1542" w:type="dxa"/>
            <w:tcBorders>
              <w:left w:val="single" w:color="auto" w:sz="4" w:space="0"/>
              <w:right w:val="single" w:color="auto" w:sz="4" w:space="0"/>
            </w:tcBorders>
            <w:vAlign w:val="center"/>
          </w:tcPr>
          <w:p w14:paraId="29FC9B1E">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施工现场平面布置（</w:t>
            </w:r>
            <w:r>
              <w:rPr>
                <w:rFonts w:hint="eastAsia" w:ascii="宋体" w:hAnsi="宋体" w:cs="宋体"/>
                <w:color w:val="auto"/>
                <w:szCs w:val="21"/>
                <w:lang w:val="en-US" w:eastAsia="zh-CN"/>
              </w:rPr>
              <w:t>5</w:t>
            </w:r>
            <w:r>
              <w:rPr>
                <w:rFonts w:hint="eastAsia" w:ascii="宋体" w:hAnsi="宋体" w:eastAsia="宋体" w:cs="宋体"/>
                <w:color w:val="auto"/>
                <w:szCs w:val="21"/>
              </w:rPr>
              <w:t>分）</w:t>
            </w:r>
          </w:p>
        </w:tc>
        <w:tc>
          <w:tcPr>
            <w:tcW w:w="6336" w:type="dxa"/>
            <w:tcBorders>
              <w:top w:val="single" w:color="auto" w:sz="4" w:space="0"/>
              <w:left w:val="single" w:color="auto" w:sz="4" w:space="0"/>
              <w:right w:val="single" w:color="auto" w:sz="4" w:space="0"/>
            </w:tcBorders>
            <w:vAlign w:val="center"/>
          </w:tcPr>
          <w:p w14:paraId="0C3493D8">
            <w:pPr>
              <w:keepNext w:val="0"/>
              <w:keepLines w:val="0"/>
              <w:numPr>
                <w:ilvl w:val="0"/>
                <w:numId w:val="3"/>
              </w:numPr>
              <w:suppressLineNumbers w:val="0"/>
              <w:tabs>
                <w:tab w:val="left" w:pos="4915"/>
              </w:tabs>
              <w:adjustRightInd w:val="0"/>
              <w:snapToGrid w:val="0"/>
              <w:spacing w:before="0" w:beforeAutospacing="0" w:after="0" w:afterAutospacing="0" w:line="400" w:lineRule="exact"/>
              <w:ind w:left="0" w:right="0"/>
              <w:rPr>
                <w:rFonts w:hint="default" w:ascii="宋体" w:hAnsi="宋体" w:eastAsia="宋体" w:cs="宋体"/>
                <w:color w:val="auto"/>
                <w:szCs w:val="21"/>
                <w:lang w:val="en-US" w:eastAsia="zh-CN"/>
              </w:rPr>
            </w:pPr>
            <w:r>
              <w:rPr>
                <w:rFonts w:hint="eastAsia" w:ascii="宋体" w:hAnsi="宋体" w:eastAsia="宋体" w:cs="宋体"/>
                <w:szCs w:val="21"/>
                <w:lang w:val="en-US" w:eastAsia="zh-CN"/>
              </w:rPr>
              <w:t>评标委员会根据</w:t>
            </w:r>
            <w:r>
              <w:rPr>
                <w:rFonts w:hint="default" w:ascii="宋体" w:hAnsi="宋体" w:eastAsia="宋体" w:cs="宋体"/>
                <w:color w:val="auto"/>
                <w:szCs w:val="21"/>
                <w:lang w:val="en-US" w:eastAsia="zh-CN"/>
              </w:rPr>
              <w:t>供应商提供的施工现场平面布置方案（包括施工现场临时设施布置情况、施工设备及原材料堆放情况、安全文明施工布置情况等）进行综合评议：</w:t>
            </w:r>
          </w:p>
          <w:p w14:paraId="11DEC1D6">
            <w:pPr>
              <w:keepNext w:val="0"/>
              <w:keepLines w:val="0"/>
              <w:suppressLineNumbers w:val="0"/>
              <w:tabs>
                <w:tab w:val="left" w:pos="4915"/>
              </w:tabs>
              <w:adjustRightInd w:val="0"/>
              <w:snapToGrid w:val="0"/>
              <w:spacing w:before="0" w:beforeAutospacing="0" w:after="0" w:afterAutospacing="0" w:line="400" w:lineRule="exact"/>
              <w:ind w:left="0" w:right="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①布置方案详实、内容完整，临时设施考虑齐全且布置科学，施工设备及原材料堆放有序，安全文明施工布置全面且醒目，可执行力高的，得</w:t>
            </w:r>
            <w:r>
              <w:rPr>
                <w:rFonts w:hint="eastAsia" w:ascii="宋体" w:hAnsi="宋体" w:cs="宋体"/>
                <w:color w:val="auto"/>
                <w:szCs w:val="21"/>
                <w:lang w:val="en-US" w:eastAsia="zh-CN"/>
              </w:rPr>
              <w:t>5</w:t>
            </w:r>
            <w:r>
              <w:rPr>
                <w:rFonts w:hint="default" w:ascii="宋体" w:hAnsi="宋体" w:eastAsia="宋体" w:cs="宋体"/>
                <w:color w:val="auto"/>
                <w:szCs w:val="21"/>
                <w:lang w:val="en-US" w:eastAsia="zh-CN"/>
              </w:rPr>
              <w:t>分；</w:t>
            </w:r>
          </w:p>
          <w:p w14:paraId="26CADDBB">
            <w:pPr>
              <w:keepNext w:val="0"/>
              <w:keepLines w:val="0"/>
              <w:suppressLineNumbers w:val="0"/>
              <w:tabs>
                <w:tab w:val="left" w:pos="4915"/>
              </w:tabs>
              <w:adjustRightInd w:val="0"/>
              <w:snapToGrid w:val="0"/>
              <w:spacing w:before="0" w:beforeAutospacing="0" w:after="0" w:afterAutospacing="0" w:line="400" w:lineRule="exact"/>
              <w:ind w:left="0" w:right="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②布置方案较详细、内容充分，临时设施考虑齐全且布置较合理，施工设备及原材料堆放较合理，安全文明施工布置较全面且较醒目，可执行力度较高，得</w:t>
            </w:r>
            <w:r>
              <w:rPr>
                <w:rFonts w:hint="eastAsia" w:ascii="宋体" w:hAnsi="宋体" w:cs="宋体"/>
                <w:color w:val="auto"/>
                <w:szCs w:val="21"/>
                <w:lang w:val="en-US" w:eastAsia="zh-CN"/>
              </w:rPr>
              <w:t>4</w:t>
            </w:r>
            <w:r>
              <w:rPr>
                <w:rFonts w:hint="default" w:ascii="宋体" w:hAnsi="宋体" w:eastAsia="宋体" w:cs="宋体"/>
                <w:color w:val="auto"/>
                <w:szCs w:val="21"/>
                <w:lang w:val="en-US" w:eastAsia="zh-CN"/>
              </w:rPr>
              <w:t>分；</w:t>
            </w:r>
          </w:p>
          <w:p w14:paraId="4B72BEF4">
            <w:pPr>
              <w:keepNext w:val="0"/>
              <w:keepLines w:val="0"/>
              <w:suppressLineNumbers w:val="0"/>
              <w:tabs>
                <w:tab w:val="left" w:pos="4915"/>
              </w:tabs>
              <w:adjustRightInd w:val="0"/>
              <w:snapToGrid w:val="0"/>
              <w:spacing w:before="0" w:beforeAutospacing="0" w:after="0" w:afterAutospacing="0" w:line="400" w:lineRule="exact"/>
              <w:ind w:left="0" w:right="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③布置方案较详细、内容较多，临时设施考虑较齐全且布置较合理，施工设备及原材料堆放较随意，安全文明施工布置较全面但不够醒目，可勉强执行的，得</w:t>
            </w:r>
            <w:r>
              <w:rPr>
                <w:rFonts w:hint="eastAsia" w:ascii="宋体" w:hAnsi="宋体" w:cs="宋体"/>
                <w:color w:val="auto"/>
                <w:szCs w:val="21"/>
                <w:lang w:val="en-US" w:eastAsia="zh-CN"/>
              </w:rPr>
              <w:t>3</w:t>
            </w:r>
            <w:r>
              <w:rPr>
                <w:rFonts w:hint="default" w:ascii="宋体" w:hAnsi="宋体" w:eastAsia="宋体" w:cs="宋体"/>
                <w:color w:val="auto"/>
                <w:szCs w:val="21"/>
                <w:lang w:val="en-US" w:eastAsia="zh-CN"/>
              </w:rPr>
              <w:t>分；</w:t>
            </w:r>
          </w:p>
          <w:p w14:paraId="0B74FFCE">
            <w:pPr>
              <w:keepNext w:val="0"/>
              <w:keepLines w:val="0"/>
              <w:suppressLineNumbers w:val="0"/>
              <w:tabs>
                <w:tab w:val="left" w:pos="4915"/>
              </w:tabs>
              <w:adjustRightInd w:val="0"/>
              <w:snapToGrid w:val="0"/>
              <w:spacing w:before="0" w:beforeAutospacing="0" w:after="0" w:afterAutospacing="0" w:line="400" w:lineRule="exact"/>
              <w:ind w:left="0" w:right="0"/>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④布置方案较简单、内容较少，临时设施考虑不足且布置随意，施工设备及原材料堆放随意，安全文明施工布置不足且盲目，得</w:t>
            </w:r>
            <w:r>
              <w:rPr>
                <w:rFonts w:hint="eastAsia" w:ascii="宋体" w:hAnsi="宋体" w:cs="宋体"/>
                <w:color w:val="auto"/>
                <w:szCs w:val="21"/>
                <w:lang w:val="en-US" w:eastAsia="zh-CN"/>
              </w:rPr>
              <w:t>2</w:t>
            </w:r>
            <w:r>
              <w:rPr>
                <w:rFonts w:hint="default" w:ascii="宋体" w:hAnsi="宋体" w:eastAsia="宋体" w:cs="宋体"/>
                <w:color w:val="auto"/>
                <w:szCs w:val="21"/>
                <w:lang w:val="en-US" w:eastAsia="zh-CN"/>
              </w:rPr>
              <w:t>分；</w:t>
            </w:r>
          </w:p>
          <w:p w14:paraId="68BEC759">
            <w:pPr>
              <w:keepNext w:val="0"/>
              <w:keepLines w:val="0"/>
              <w:suppressLineNumbers w:val="0"/>
              <w:spacing w:before="0" w:beforeAutospacing="0" w:after="0" w:afterAutospacing="0" w:line="360" w:lineRule="exact"/>
              <w:ind w:left="0" w:right="0"/>
              <w:rPr>
                <w:rFonts w:hint="default" w:ascii="宋体" w:hAnsi="宋体" w:eastAsia="宋体" w:cs="宋体"/>
                <w:color w:val="auto"/>
                <w:szCs w:val="21"/>
                <w:lang w:val="en-US" w:eastAsia="zh-CN"/>
              </w:rPr>
            </w:pPr>
            <w:r>
              <w:rPr>
                <w:rFonts w:hint="eastAsia" w:ascii="宋体" w:hAnsi="宋体" w:eastAsia="宋体" w:cs="宋体"/>
                <w:szCs w:val="21"/>
              </w:rPr>
              <w:t>⑤</w:t>
            </w:r>
            <w:r>
              <w:rPr>
                <w:rFonts w:hint="eastAsia" w:ascii="宋体" w:hAnsi="宋体" w:eastAsia="宋体" w:cs="宋体"/>
                <w:color w:val="auto"/>
                <w:sz w:val="21"/>
                <w:szCs w:val="21"/>
                <w:lang w:val="en-US" w:eastAsia="zh-CN"/>
              </w:rPr>
              <w:t>布置方案简单、内容少，临时设施考虑不足且布置无章法，施工设备及原材料堆放混乱，安全文明施工布置敷衍，得1分；</w:t>
            </w:r>
          </w:p>
          <w:p w14:paraId="7CFB6A58">
            <w:pPr>
              <w:keepNext w:val="0"/>
              <w:keepLines w:val="0"/>
              <w:suppressLineNumbers w:val="0"/>
              <w:tabs>
                <w:tab w:val="left" w:pos="4915"/>
              </w:tabs>
              <w:adjustRightInd w:val="0"/>
              <w:snapToGrid w:val="0"/>
              <w:spacing w:before="0" w:beforeAutospacing="0" w:after="0" w:afterAutospacing="0" w:line="400" w:lineRule="exact"/>
              <w:ind w:left="0" w:right="0"/>
              <w:rPr>
                <w:rFonts w:hint="default" w:ascii="宋体" w:hAnsi="宋体" w:eastAsia="宋体" w:cs="宋体"/>
                <w:color w:val="auto"/>
                <w:szCs w:val="21"/>
              </w:rPr>
            </w:pPr>
            <w:r>
              <w:rPr>
                <w:rFonts w:hint="default" w:ascii="宋体" w:hAnsi="宋体" w:eastAsia="宋体" w:cs="宋体"/>
                <w:color w:val="auto"/>
                <w:szCs w:val="21"/>
                <w:lang w:val="en-US" w:eastAsia="zh-CN"/>
              </w:rPr>
              <w:t>未提供相关内容不得分。</w:t>
            </w:r>
          </w:p>
        </w:tc>
      </w:tr>
      <w:tr w14:paraId="1E3D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7" w:type="dxa"/>
            <w:vMerge w:val="continue"/>
            <w:tcBorders>
              <w:left w:val="single" w:color="auto" w:sz="4" w:space="0"/>
              <w:right w:val="single" w:color="auto" w:sz="4" w:space="0"/>
            </w:tcBorders>
            <w:vAlign w:val="center"/>
          </w:tcPr>
          <w:p w14:paraId="56119ED1">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szCs w:val="21"/>
              </w:rPr>
            </w:pPr>
          </w:p>
        </w:tc>
        <w:tc>
          <w:tcPr>
            <w:tcW w:w="1542" w:type="dxa"/>
            <w:tcBorders>
              <w:left w:val="single" w:color="auto" w:sz="4" w:space="0"/>
              <w:right w:val="single" w:color="auto" w:sz="4" w:space="0"/>
            </w:tcBorders>
            <w:vAlign w:val="center"/>
          </w:tcPr>
          <w:p w14:paraId="5CA92884">
            <w:pPr>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质量管理体系和管理措施</w:t>
            </w:r>
          </w:p>
          <w:p w14:paraId="12A7C3DE">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（5分）</w:t>
            </w:r>
          </w:p>
        </w:tc>
        <w:tc>
          <w:tcPr>
            <w:tcW w:w="6336" w:type="dxa"/>
            <w:tcBorders>
              <w:top w:val="single" w:color="auto" w:sz="4" w:space="0"/>
              <w:left w:val="single" w:color="auto" w:sz="4" w:space="0"/>
              <w:right w:val="single" w:color="auto" w:sz="4" w:space="0"/>
            </w:tcBorders>
            <w:vAlign w:val="center"/>
          </w:tcPr>
          <w:p w14:paraId="116BA519">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szCs w:val="21"/>
                <w:lang w:val="en-US" w:eastAsia="zh-CN"/>
              </w:rPr>
              <w:t>4、评标委员会根据</w:t>
            </w:r>
            <w:r>
              <w:rPr>
                <w:rFonts w:hint="eastAsia" w:ascii="宋体" w:hAnsi="宋体" w:eastAsia="宋体" w:cs="宋体"/>
                <w:color w:val="auto"/>
                <w:szCs w:val="21"/>
                <w:lang w:val="en-US" w:eastAsia="zh-CN"/>
              </w:rPr>
              <w:t>供应商提供的质量管理体系和保障措施（包括但不仅限于材料、设备质量保证措施，采用的施工方法等）进行综合评议：</w:t>
            </w:r>
          </w:p>
          <w:p w14:paraId="1E67E1E3">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①各项保障措施有力、符合建筑行业规范、能保证项目顺利实施的得5分；</w:t>
            </w:r>
          </w:p>
          <w:p w14:paraId="5207362A">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②保障措施基本需求可行、保证项目顺利实施的得4分；</w:t>
            </w:r>
          </w:p>
          <w:p w14:paraId="0D0E28D8">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③保障措施内容简单、笼统，保证项目基本能完成实施的得3分；</w:t>
            </w:r>
          </w:p>
          <w:p w14:paraId="1C7D88D4">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④保障措施上有部分非主体内容的欠缺，尚不影响履约的得2分；</w:t>
            </w:r>
          </w:p>
          <w:p w14:paraId="63205705">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⑤措施上有主体内容的缺漏或缺少具体有效的保证措施，难以保证项目顺利实施的得1分。</w:t>
            </w:r>
          </w:p>
          <w:p w14:paraId="27E444A8">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cs="宋体"/>
                <w:color w:val="auto"/>
                <w:szCs w:val="21"/>
              </w:rPr>
            </w:pPr>
            <w:r>
              <w:rPr>
                <w:rFonts w:hint="eastAsia" w:ascii="宋体" w:hAnsi="宋体" w:eastAsia="宋体" w:cs="宋体"/>
                <w:color w:val="auto"/>
                <w:szCs w:val="21"/>
                <w:lang w:val="en-US" w:eastAsia="zh-CN"/>
              </w:rPr>
              <w:t>未提供相关内容不得分。</w:t>
            </w:r>
          </w:p>
        </w:tc>
      </w:tr>
      <w:tr w14:paraId="38FA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7" w:type="dxa"/>
            <w:vMerge w:val="continue"/>
            <w:tcBorders>
              <w:left w:val="single" w:color="auto" w:sz="4" w:space="0"/>
              <w:right w:val="single" w:color="auto" w:sz="4" w:space="0"/>
            </w:tcBorders>
            <w:vAlign w:val="center"/>
          </w:tcPr>
          <w:p w14:paraId="0F0127E8">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p>
        </w:tc>
        <w:tc>
          <w:tcPr>
            <w:tcW w:w="1542" w:type="dxa"/>
            <w:tcBorders>
              <w:left w:val="single" w:color="auto" w:sz="4" w:space="0"/>
              <w:right w:val="single" w:color="auto" w:sz="4" w:space="0"/>
            </w:tcBorders>
            <w:vAlign w:val="center"/>
          </w:tcPr>
          <w:p w14:paraId="2ADAC5C6">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施工进度计划安排（5分）</w:t>
            </w:r>
          </w:p>
        </w:tc>
        <w:tc>
          <w:tcPr>
            <w:tcW w:w="6336" w:type="dxa"/>
            <w:tcBorders>
              <w:top w:val="single" w:color="auto" w:sz="4" w:space="0"/>
              <w:left w:val="single" w:color="auto" w:sz="4" w:space="0"/>
              <w:right w:val="single" w:color="auto" w:sz="4" w:space="0"/>
            </w:tcBorders>
            <w:vAlign w:val="center"/>
          </w:tcPr>
          <w:p w14:paraId="7F57FEC1">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szCs w:val="21"/>
                <w:lang w:val="en-US" w:eastAsia="zh-CN"/>
              </w:rPr>
              <w:t>5、评标委员会根据</w:t>
            </w:r>
            <w:r>
              <w:rPr>
                <w:rFonts w:hint="eastAsia" w:ascii="宋体" w:hAnsi="宋体" w:eastAsia="宋体" w:cs="宋体"/>
                <w:color w:val="auto"/>
                <w:szCs w:val="21"/>
              </w:rPr>
              <w:t>供应商提供的施工进度计划安排（时间节点安排、保障措施等）进行综合评议：</w:t>
            </w:r>
          </w:p>
          <w:p w14:paraId="735A9668">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①施工进度计划安排得当、各时间节点明确、项目工期有有效保障的得5分；</w:t>
            </w:r>
          </w:p>
          <w:p w14:paraId="7914FD04">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olor w:val="auto"/>
                <w:szCs w:val="21"/>
              </w:rPr>
            </w:pPr>
            <w:r>
              <w:rPr>
                <w:rFonts w:hint="eastAsia" w:ascii="宋体" w:hAnsi="宋体" w:eastAsia="宋体" w:cs="宋体"/>
                <w:color w:val="auto"/>
                <w:szCs w:val="21"/>
              </w:rPr>
              <w:t>②施工进度计划安排较为得当、各时间节点及项目工期能有基本保障的得4分</w:t>
            </w:r>
          </w:p>
          <w:p w14:paraId="49B2CA77">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③施工进度计划安排尚能满足工期需求、部分时间节点不够明确或存在前松后紧的得3分；</w:t>
            </w:r>
          </w:p>
          <w:p w14:paraId="23E2324C">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olor w:val="auto"/>
                <w:szCs w:val="21"/>
              </w:rPr>
            </w:pPr>
            <w:r>
              <w:rPr>
                <w:rFonts w:hint="eastAsia" w:ascii="宋体" w:hAnsi="宋体" w:eastAsia="宋体" w:cs="宋体"/>
                <w:color w:val="auto"/>
                <w:szCs w:val="21"/>
              </w:rPr>
              <w:t>④施工进度计划安排基本合理、时间节点及工期内容的欠缺的得2分；</w:t>
            </w:r>
          </w:p>
          <w:p w14:paraId="0B0FCD57">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⑤施工进度计划安排存在明显不合理之处、或时间节点混乱、难以保障项目工期的得1分。</w:t>
            </w:r>
          </w:p>
          <w:p w14:paraId="74C2F74F">
            <w:pPr>
              <w:keepNext w:val="0"/>
              <w:keepLines w:val="0"/>
              <w:suppressLineNumbers w:val="0"/>
              <w:autoSpaceDE w:val="0"/>
              <w:autoSpaceDN w:val="0"/>
              <w:adjustRightInd w:val="0"/>
              <w:snapToGrid w:val="0"/>
              <w:spacing w:before="0" w:beforeAutospacing="0" w:after="0" w:afterAutospacing="0" w:line="360" w:lineRule="exact"/>
              <w:ind w:left="0" w:right="0"/>
              <w:rPr>
                <w:rFonts w:hint="default" w:ascii="宋体" w:hAnsi="宋体" w:eastAsia="宋体" w:cs="宋体"/>
                <w:color w:val="auto"/>
                <w:szCs w:val="21"/>
              </w:rPr>
            </w:pPr>
            <w:r>
              <w:rPr>
                <w:rFonts w:hint="eastAsia" w:ascii="宋体" w:hAnsi="宋体" w:eastAsia="宋体" w:cs="宋体"/>
                <w:color w:val="auto"/>
                <w:szCs w:val="21"/>
              </w:rPr>
              <w:t>未提供相关内容不得分。</w:t>
            </w:r>
          </w:p>
        </w:tc>
      </w:tr>
      <w:tr w14:paraId="37FE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7" w:type="dxa"/>
            <w:vMerge w:val="continue"/>
            <w:tcBorders>
              <w:left w:val="single" w:color="auto" w:sz="4" w:space="0"/>
              <w:right w:val="single" w:color="auto" w:sz="4" w:space="0"/>
            </w:tcBorders>
            <w:vAlign w:val="center"/>
          </w:tcPr>
          <w:p w14:paraId="40A2C028">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p>
        </w:tc>
        <w:tc>
          <w:tcPr>
            <w:tcW w:w="1542" w:type="dxa"/>
            <w:tcBorders>
              <w:left w:val="single" w:color="auto" w:sz="4" w:space="0"/>
              <w:right w:val="single" w:color="auto" w:sz="4" w:space="0"/>
            </w:tcBorders>
            <w:vAlign w:val="center"/>
          </w:tcPr>
          <w:p w14:paraId="5A907F79">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安全生产、文明施工措施（5分）</w:t>
            </w:r>
          </w:p>
        </w:tc>
        <w:tc>
          <w:tcPr>
            <w:tcW w:w="6336" w:type="dxa"/>
            <w:tcBorders>
              <w:top w:val="single" w:color="auto" w:sz="4" w:space="0"/>
              <w:left w:val="single" w:color="auto" w:sz="4" w:space="0"/>
              <w:right w:val="single" w:color="auto" w:sz="4" w:space="0"/>
            </w:tcBorders>
            <w:vAlign w:val="center"/>
          </w:tcPr>
          <w:p w14:paraId="010F7D14">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szCs w:val="21"/>
                <w:lang w:val="en-US" w:eastAsia="zh-CN"/>
              </w:rPr>
              <w:t>6、评标委员会根据</w:t>
            </w:r>
            <w:r>
              <w:rPr>
                <w:rFonts w:hint="eastAsia" w:ascii="宋体" w:hAnsi="宋体" w:eastAsia="宋体" w:cs="宋体"/>
                <w:color w:val="auto"/>
                <w:szCs w:val="21"/>
              </w:rPr>
              <w:t>供应商提供的安全生产、文明施工措施措施进行综合评议：</w:t>
            </w:r>
          </w:p>
          <w:p w14:paraId="4073C557">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①施工作业防护、噪音、震动、扬尘各项保障措施具体有效、能保证项目顺利实施的得5分；</w:t>
            </w:r>
          </w:p>
          <w:p w14:paraId="555383DB">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②施工作业防护、噪音、震动、扬尘各项保障措施基本有效，能保证项目顺利实施的得4分</w:t>
            </w:r>
          </w:p>
          <w:p w14:paraId="2F787BFB">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③施工作业防护、噪音、震动、扬尘保障措施上存在细节部分欠缺，尚不影响履约的得3分；</w:t>
            </w:r>
          </w:p>
          <w:p w14:paraId="525C4454">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④施工作业防护、噪音、震动、扬尘保障措施有明显缺漏项，或过于笼统但能保证项目顺利实施的得2分</w:t>
            </w:r>
          </w:p>
          <w:p w14:paraId="2B8AC0A1">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⑤施工作业防护、噪音、震动、扬尘保障措施措施不完整或缺少有效保障手段，难以保证项目实施的得1分。</w:t>
            </w:r>
          </w:p>
          <w:p w14:paraId="000B3C5C">
            <w:pPr>
              <w:keepNext w:val="0"/>
              <w:keepLines w:val="0"/>
              <w:suppressLineNumbers w:val="0"/>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Cs w:val="21"/>
              </w:rPr>
            </w:pPr>
            <w:r>
              <w:rPr>
                <w:rFonts w:hint="eastAsia" w:ascii="宋体" w:hAnsi="宋体" w:eastAsia="宋体" w:cs="宋体"/>
                <w:color w:val="auto"/>
                <w:szCs w:val="21"/>
              </w:rPr>
              <w:t>未提供相关内容不得分。</w:t>
            </w:r>
          </w:p>
        </w:tc>
      </w:tr>
      <w:tr w14:paraId="3131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07" w:type="dxa"/>
            <w:vMerge w:val="continue"/>
            <w:tcBorders>
              <w:left w:val="single" w:color="auto" w:sz="4" w:space="0"/>
              <w:right w:val="single" w:color="auto" w:sz="4" w:space="0"/>
            </w:tcBorders>
            <w:vAlign w:val="center"/>
          </w:tcPr>
          <w:p w14:paraId="55C5DB41">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p>
        </w:tc>
        <w:tc>
          <w:tcPr>
            <w:tcW w:w="1542" w:type="dxa"/>
            <w:tcBorders>
              <w:left w:val="single" w:color="auto" w:sz="4" w:space="0"/>
              <w:right w:val="single" w:color="auto" w:sz="4" w:space="0"/>
            </w:tcBorders>
            <w:vAlign w:val="center"/>
          </w:tcPr>
          <w:p w14:paraId="6A1053D6">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环保管理体系和措施（5分）</w:t>
            </w:r>
          </w:p>
        </w:tc>
        <w:tc>
          <w:tcPr>
            <w:tcW w:w="6336" w:type="dxa"/>
            <w:tcBorders>
              <w:top w:val="single" w:color="auto" w:sz="4" w:space="0"/>
              <w:left w:val="single" w:color="auto" w:sz="4" w:space="0"/>
              <w:right w:val="single" w:color="auto" w:sz="4" w:space="0"/>
            </w:tcBorders>
            <w:vAlign w:val="center"/>
          </w:tcPr>
          <w:p w14:paraId="00B35238">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szCs w:val="21"/>
                <w:lang w:val="en-US" w:eastAsia="zh-CN"/>
              </w:rPr>
              <w:t>7、评标委员会根据</w:t>
            </w:r>
            <w:r>
              <w:rPr>
                <w:rFonts w:hint="eastAsia" w:ascii="宋体" w:hAnsi="宋体" w:eastAsia="宋体" w:cs="宋体"/>
                <w:color w:val="auto"/>
                <w:szCs w:val="21"/>
              </w:rPr>
              <w:t>供应商提供的环保管理体系和措施进行综合评议：</w:t>
            </w:r>
          </w:p>
          <w:p w14:paraId="139985B0">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①环保管理体系健全有效、环保措施具体细致、能保证项目顺利实施的得5分；</w:t>
            </w:r>
          </w:p>
          <w:p w14:paraId="0A0F70B8">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②环保管理体系和措施基本有效，能保证项目顺利实施的得4分；</w:t>
            </w:r>
          </w:p>
          <w:p w14:paraId="4A43BBF7">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③体系及保障措施上有部分欠缺，但尚不影响履约的得3分；</w:t>
            </w:r>
          </w:p>
          <w:p w14:paraId="2B239CEF">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④体系及措施有明显缺漏项，或过于笼统但能保证项目顺利实施的得2分。</w:t>
            </w:r>
          </w:p>
          <w:p w14:paraId="7DF77F36">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⑤环保管理体系和措施存在一定偏差，难以保证项目顺利实施的得1分；</w:t>
            </w:r>
          </w:p>
          <w:p w14:paraId="4761DBD7">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rPr>
            </w:pPr>
            <w:r>
              <w:rPr>
                <w:rFonts w:hint="eastAsia" w:ascii="宋体" w:hAnsi="宋体" w:eastAsia="宋体" w:cs="宋体"/>
                <w:color w:val="auto"/>
                <w:szCs w:val="21"/>
              </w:rPr>
              <w:t>未提供相关内容不得分。</w:t>
            </w:r>
          </w:p>
        </w:tc>
      </w:tr>
      <w:tr w14:paraId="0D61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07" w:type="dxa"/>
            <w:vMerge w:val="continue"/>
            <w:tcBorders>
              <w:left w:val="single" w:color="auto" w:sz="4" w:space="0"/>
              <w:right w:val="single" w:color="auto" w:sz="4" w:space="0"/>
            </w:tcBorders>
            <w:vAlign w:val="center"/>
          </w:tcPr>
          <w:p w14:paraId="0231CB0C">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szCs w:val="21"/>
              </w:rPr>
            </w:pPr>
          </w:p>
        </w:tc>
        <w:tc>
          <w:tcPr>
            <w:tcW w:w="1542" w:type="dxa"/>
            <w:tcBorders>
              <w:left w:val="single" w:color="auto" w:sz="4" w:space="0"/>
            </w:tcBorders>
            <w:shd w:val="clear" w:color="auto" w:fill="auto"/>
            <w:vAlign w:val="center"/>
          </w:tcPr>
          <w:p w14:paraId="2902B2C0">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cs="宋体"/>
                <w:szCs w:val="21"/>
              </w:rPr>
            </w:pPr>
            <w:r>
              <w:rPr>
                <w:rFonts w:hint="eastAsia" w:ascii="宋体" w:hAnsi="宋体" w:cs="宋体"/>
                <w:szCs w:val="21"/>
              </w:rPr>
              <w:t>为本项目投入的施工机具配备情况（5分）</w:t>
            </w:r>
          </w:p>
        </w:tc>
        <w:tc>
          <w:tcPr>
            <w:tcW w:w="6336" w:type="dxa"/>
            <w:shd w:val="clear" w:color="auto" w:fill="auto"/>
            <w:vAlign w:val="center"/>
          </w:tcPr>
          <w:p w14:paraId="57BAD62B">
            <w:pPr>
              <w:keepNext w:val="0"/>
              <w:keepLines w:val="0"/>
              <w:suppressLineNumbers w:val="0"/>
              <w:tabs>
                <w:tab w:val="left" w:pos="4915"/>
              </w:tabs>
              <w:spacing w:before="0" w:beforeAutospacing="0" w:after="0" w:afterAutospacing="0" w:line="440" w:lineRule="exact"/>
              <w:ind w:left="0" w:right="0"/>
              <w:jc w:val="left"/>
              <w:rPr>
                <w:rFonts w:hint="default" w:ascii="宋体" w:hAnsi="宋体" w:cs="宋体"/>
                <w:szCs w:val="21"/>
              </w:rPr>
            </w:pPr>
            <w:r>
              <w:rPr>
                <w:rFonts w:hint="eastAsia" w:ascii="宋体" w:hAnsi="宋体" w:cs="宋体"/>
                <w:szCs w:val="21"/>
                <w:lang w:val="en-US" w:eastAsia="zh-CN"/>
              </w:rPr>
              <w:t>8、</w:t>
            </w:r>
            <w:r>
              <w:rPr>
                <w:rFonts w:hint="eastAsia" w:ascii="宋体" w:hAnsi="宋体" w:cs="宋体"/>
                <w:szCs w:val="21"/>
              </w:rPr>
              <w:t>评标委员会</w:t>
            </w:r>
            <w:r>
              <w:rPr>
                <w:rFonts w:hint="eastAsia" w:ascii="宋体" w:hAnsi="宋体" w:cs="宋体"/>
                <w:szCs w:val="21"/>
                <w:lang w:val="en-US" w:eastAsia="zh-CN"/>
              </w:rPr>
              <w:t>根据</w:t>
            </w:r>
            <w:r>
              <w:rPr>
                <w:rFonts w:hint="eastAsia" w:ascii="宋体" w:hAnsi="宋体" w:cs="宋体"/>
                <w:szCs w:val="21"/>
              </w:rPr>
              <w:t>投标人提供的施工机具配备情况的完善性、合理性进行综合评议：</w:t>
            </w:r>
          </w:p>
          <w:p w14:paraId="34E04EA9">
            <w:pPr>
              <w:keepNext w:val="0"/>
              <w:keepLines w:val="0"/>
              <w:suppressLineNumbers w:val="0"/>
              <w:tabs>
                <w:tab w:val="left" w:pos="4915"/>
              </w:tabs>
              <w:spacing w:before="0" w:beforeAutospacing="0" w:after="0" w:afterAutospacing="0" w:line="440" w:lineRule="exact"/>
              <w:ind w:left="0" w:right="0"/>
              <w:jc w:val="left"/>
              <w:rPr>
                <w:rFonts w:hint="default" w:ascii="宋体" w:hAnsi="宋体" w:cs="宋体"/>
                <w:szCs w:val="21"/>
              </w:rPr>
            </w:pPr>
            <w:r>
              <w:rPr>
                <w:rFonts w:hint="eastAsia" w:ascii="宋体" w:hAnsi="宋体" w:eastAsia="宋体" w:cs="宋体"/>
                <w:color w:val="auto"/>
                <w:szCs w:val="21"/>
              </w:rPr>
              <w:t>①</w:t>
            </w:r>
            <w:r>
              <w:rPr>
                <w:rFonts w:hint="eastAsia" w:ascii="宋体" w:hAnsi="宋体" w:cs="宋体"/>
                <w:szCs w:val="21"/>
              </w:rPr>
              <w:t>拟定的施工机具配备情况完善性、合理优秀的</w:t>
            </w:r>
            <w:r>
              <w:rPr>
                <w:rFonts w:hint="default" w:ascii="宋体" w:hAnsi="宋体" w:cs="宋体"/>
                <w:szCs w:val="21"/>
              </w:rPr>
              <w:t>，得</w:t>
            </w:r>
            <w:r>
              <w:rPr>
                <w:rFonts w:hint="eastAsia" w:ascii="宋体" w:hAnsi="宋体" w:cs="宋体"/>
                <w:szCs w:val="21"/>
              </w:rPr>
              <w:t>5</w:t>
            </w:r>
            <w:r>
              <w:rPr>
                <w:rFonts w:hint="default" w:ascii="宋体" w:hAnsi="宋体" w:cs="宋体"/>
                <w:szCs w:val="21"/>
              </w:rPr>
              <w:t>分；</w:t>
            </w:r>
          </w:p>
          <w:p w14:paraId="708C6991">
            <w:pPr>
              <w:keepNext w:val="0"/>
              <w:keepLines w:val="0"/>
              <w:suppressLineNumbers w:val="0"/>
              <w:tabs>
                <w:tab w:val="left" w:pos="4915"/>
              </w:tabs>
              <w:spacing w:before="0" w:beforeAutospacing="0" w:after="0" w:afterAutospacing="0" w:line="440" w:lineRule="exact"/>
              <w:ind w:left="0" w:right="0"/>
              <w:jc w:val="left"/>
              <w:rPr>
                <w:rFonts w:hint="default" w:ascii="宋体" w:hAnsi="宋体" w:cs="宋体"/>
                <w:szCs w:val="21"/>
              </w:rPr>
            </w:pPr>
            <w:r>
              <w:rPr>
                <w:rFonts w:hint="eastAsia" w:ascii="宋体" w:hAnsi="宋体" w:eastAsia="宋体" w:cs="宋体"/>
                <w:color w:val="auto"/>
                <w:szCs w:val="21"/>
              </w:rPr>
              <w:t>②</w:t>
            </w:r>
            <w:r>
              <w:rPr>
                <w:rFonts w:hint="eastAsia" w:ascii="宋体" w:hAnsi="宋体" w:cs="宋体"/>
                <w:szCs w:val="21"/>
              </w:rPr>
              <w:t>拟定的施工机具配备情况完善性、合理性良好的，</w:t>
            </w:r>
            <w:r>
              <w:rPr>
                <w:rFonts w:hint="default" w:ascii="宋体" w:hAnsi="宋体" w:cs="宋体"/>
                <w:szCs w:val="21"/>
              </w:rPr>
              <w:t>得</w:t>
            </w:r>
            <w:r>
              <w:rPr>
                <w:rFonts w:hint="eastAsia" w:ascii="宋体" w:hAnsi="宋体" w:cs="宋体"/>
                <w:szCs w:val="21"/>
              </w:rPr>
              <w:t>4</w:t>
            </w:r>
            <w:r>
              <w:rPr>
                <w:rFonts w:hint="default" w:ascii="宋体" w:hAnsi="宋体" w:cs="宋体"/>
                <w:szCs w:val="21"/>
              </w:rPr>
              <w:t>分；</w:t>
            </w:r>
          </w:p>
          <w:p w14:paraId="03270093">
            <w:pPr>
              <w:keepNext w:val="0"/>
              <w:keepLines w:val="0"/>
              <w:suppressLineNumbers w:val="0"/>
              <w:tabs>
                <w:tab w:val="left" w:pos="4915"/>
              </w:tabs>
              <w:spacing w:before="0" w:beforeAutospacing="0" w:after="0" w:afterAutospacing="0" w:line="440" w:lineRule="exact"/>
              <w:ind w:left="0" w:right="0"/>
              <w:jc w:val="left"/>
              <w:rPr>
                <w:rFonts w:hint="default" w:ascii="宋体" w:hAnsi="宋体" w:cs="宋体"/>
                <w:szCs w:val="21"/>
              </w:rPr>
            </w:pPr>
            <w:r>
              <w:rPr>
                <w:rFonts w:hint="eastAsia" w:ascii="宋体" w:hAnsi="宋体" w:eastAsia="宋体" w:cs="宋体"/>
                <w:color w:val="auto"/>
                <w:szCs w:val="21"/>
              </w:rPr>
              <w:t>③</w:t>
            </w:r>
            <w:r>
              <w:rPr>
                <w:rFonts w:hint="eastAsia" w:ascii="宋体" w:hAnsi="宋体" w:cs="宋体"/>
                <w:szCs w:val="21"/>
              </w:rPr>
              <w:t>拟定的施工机具配备情况完善性、合理性一般的</w:t>
            </w:r>
            <w:r>
              <w:rPr>
                <w:rFonts w:hint="default" w:ascii="宋体" w:hAnsi="宋体" w:cs="宋体"/>
                <w:szCs w:val="21"/>
              </w:rPr>
              <w:t>，得</w:t>
            </w:r>
            <w:r>
              <w:rPr>
                <w:rFonts w:hint="eastAsia" w:ascii="宋体" w:hAnsi="宋体" w:cs="宋体"/>
                <w:szCs w:val="21"/>
              </w:rPr>
              <w:t>3</w:t>
            </w:r>
            <w:r>
              <w:rPr>
                <w:rFonts w:hint="default" w:ascii="宋体" w:hAnsi="宋体" w:cs="宋体"/>
                <w:szCs w:val="21"/>
              </w:rPr>
              <w:t>分；</w:t>
            </w:r>
          </w:p>
          <w:p w14:paraId="7D16B1AD">
            <w:pPr>
              <w:keepNext w:val="0"/>
              <w:keepLines w:val="0"/>
              <w:suppressLineNumbers w:val="0"/>
              <w:tabs>
                <w:tab w:val="left" w:pos="4915"/>
              </w:tabs>
              <w:spacing w:before="0" w:beforeAutospacing="0" w:after="0" w:afterAutospacing="0" w:line="440" w:lineRule="exact"/>
              <w:ind w:left="0" w:right="0"/>
              <w:jc w:val="left"/>
              <w:rPr>
                <w:rFonts w:hint="default" w:ascii="宋体" w:hAnsi="宋体" w:cs="宋体"/>
                <w:szCs w:val="21"/>
              </w:rPr>
            </w:pPr>
            <w:r>
              <w:rPr>
                <w:rFonts w:hint="eastAsia" w:ascii="宋体" w:hAnsi="宋体" w:eastAsia="宋体" w:cs="宋体"/>
                <w:color w:val="auto"/>
                <w:szCs w:val="21"/>
              </w:rPr>
              <w:t>④</w:t>
            </w:r>
            <w:r>
              <w:rPr>
                <w:rFonts w:hint="eastAsia" w:ascii="宋体" w:hAnsi="宋体" w:cs="宋体"/>
                <w:szCs w:val="21"/>
              </w:rPr>
              <w:t>拟定的施工机具配备情况完善性、合理性较弱的</w:t>
            </w:r>
            <w:r>
              <w:rPr>
                <w:rFonts w:hint="default" w:ascii="宋体" w:hAnsi="宋体" w:cs="宋体"/>
                <w:szCs w:val="21"/>
              </w:rPr>
              <w:t>，得</w:t>
            </w:r>
            <w:r>
              <w:rPr>
                <w:rFonts w:hint="eastAsia" w:ascii="宋体" w:hAnsi="宋体" w:cs="宋体"/>
                <w:szCs w:val="21"/>
              </w:rPr>
              <w:t>2</w:t>
            </w:r>
            <w:r>
              <w:rPr>
                <w:rFonts w:hint="default" w:ascii="宋体" w:hAnsi="宋体" w:cs="宋体"/>
                <w:szCs w:val="21"/>
              </w:rPr>
              <w:t>分；</w:t>
            </w:r>
          </w:p>
          <w:p w14:paraId="2C6E0FEA">
            <w:pPr>
              <w:keepNext w:val="0"/>
              <w:keepLines w:val="0"/>
              <w:suppressLineNumbers w:val="0"/>
              <w:autoSpaceDE w:val="0"/>
              <w:autoSpaceDN w:val="0"/>
              <w:spacing w:before="0" w:beforeAutospacing="0" w:after="0" w:afterAutospacing="0" w:line="360" w:lineRule="exact"/>
              <w:ind w:left="0" w:leftChars="0" w:right="0" w:rightChars="0"/>
              <w:rPr>
                <w:rFonts w:hint="eastAsia" w:ascii="Times New Roman" w:hAnsi="宋体" w:eastAsia="宋体" w:cs="宋体"/>
                <w:color w:val="FF0000"/>
                <w:kern w:val="2"/>
                <w:sz w:val="21"/>
                <w:szCs w:val="20"/>
                <w:lang w:val="en-US" w:eastAsia="zh-CN" w:bidi="ar-SA"/>
              </w:rPr>
            </w:pPr>
            <w:r>
              <w:rPr>
                <w:rFonts w:hint="eastAsia" w:ascii="宋体" w:hAnsi="宋体" w:eastAsia="宋体" w:cs="宋体"/>
                <w:color w:val="auto"/>
                <w:szCs w:val="21"/>
              </w:rPr>
              <w:t>⑤</w:t>
            </w:r>
            <w:r>
              <w:rPr>
                <w:rFonts w:hint="eastAsia" w:hAnsi="宋体" w:cs="宋体"/>
                <w:kern w:val="2"/>
                <w:szCs w:val="21"/>
              </w:rPr>
              <w:t>拟定的施工机具配备情况完善性、合理性简单的，</w:t>
            </w:r>
            <w:r>
              <w:rPr>
                <w:rFonts w:hint="default" w:hAnsi="宋体" w:cs="宋体"/>
                <w:kern w:val="2"/>
                <w:szCs w:val="21"/>
              </w:rPr>
              <w:t>得</w:t>
            </w:r>
            <w:r>
              <w:rPr>
                <w:rFonts w:hint="eastAsia" w:hAnsi="宋体" w:cs="宋体"/>
                <w:kern w:val="2"/>
                <w:szCs w:val="21"/>
              </w:rPr>
              <w:t>1</w:t>
            </w:r>
            <w:r>
              <w:rPr>
                <w:rFonts w:hint="default" w:hAnsi="宋体" w:cs="宋体"/>
                <w:kern w:val="2"/>
                <w:szCs w:val="21"/>
              </w:rPr>
              <w:t>分；</w:t>
            </w:r>
            <w:r>
              <w:rPr>
                <w:rFonts w:hint="eastAsia" w:hAnsi="宋体" w:cs="宋体"/>
                <w:kern w:val="2"/>
                <w:szCs w:val="21"/>
              </w:rPr>
              <w:t>无相关内容不得分。</w:t>
            </w:r>
          </w:p>
        </w:tc>
      </w:tr>
      <w:tr w14:paraId="05FA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1107" w:type="dxa"/>
            <w:vMerge w:val="continue"/>
            <w:tcBorders>
              <w:left w:val="single" w:color="auto" w:sz="4" w:space="0"/>
              <w:right w:val="single" w:color="auto" w:sz="4" w:space="0"/>
            </w:tcBorders>
            <w:vAlign w:val="center"/>
          </w:tcPr>
          <w:p w14:paraId="0A35C777">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szCs w:val="21"/>
              </w:rPr>
            </w:pPr>
          </w:p>
        </w:tc>
        <w:tc>
          <w:tcPr>
            <w:tcW w:w="1542" w:type="dxa"/>
            <w:tcBorders>
              <w:left w:val="single" w:color="auto" w:sz="4" w:space="0"/>
            </w:tcBorders>
            <w:shd w:val="clear" w:color="auto" w:fill="auto"/>
            <w:vAlign w:val="center"/>
          </w:tcPr>
          <w:p w14:paraId="12ED0C9E">
            <w:pPr>
              <w:keepNext w:val="0"/>
              <w:keepLines w:val="0"/>
              <w:suppressLineNumbers w:val="0"/>
              <w:spacing w:before="0" w:beforeAutospacing="0" w:after="0" w:afterAutospacing="0" w:line="440" w:lineRule="exact"/>
              <w:ind w:left="0" w:right="0"/>
              <w:jc w:val="left"/>
              <w:rPr>
                <w:rFonts w:hint="eastAsia" w:ascii="宋体" w:hAnsi="宋体" w:eastAsia="宋体" w:cs="宋体"/>
                <w:color w:val="FF0000"/>
                <w:kern w:val="2"/>
                <w:sz w:val="21"/>
                <w:szCs w:val="21"/>
                <w:lang w:val="en-US" w:eastAsia="zh-CN" w:bidi="ar-SA"/>
              </w:rPr>
            </w:pPr>
            <w:r>
              <w:rPr>
                <w:rFonts w:hint="eastAsia" w:ascii="宋体" w:hAnsi="宋体" w:eastAsia="宋体" w:cs="宋体"/>
                <w:bCs/>
                <w:color w:val="auto"/>
                <w:sz w:val="21"/>
                <w:szCs w:val="21"/>
                <w:highlight w:val="none"/>
              </w:rPr>
              <w:t>服务团队（</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6336" w:type="dxa"/>
            <w:shd w:val="clear" w:color="auto" w:fill="auto"/>
            <w:vAlign w:val="center"/>
          </w:tcPr>
          <w:p w14:paraId="41C103C6">
            <w:pPr>
              <w:keepNext w:val="0"/>
              <w:keepLines w:val="0"/>
              <w:suppressLineNumbers w:val="0"/>
              <w:tabs>
                <w:tab w:val="left" w:pos="4915"/>
              </w:tabs>
              <w:spacing w:before="0" w:beforeAutospacing="0" w:after="0" w:afterAutospacing="0" w:line="440" w:lineRule="exact"/>
              <w:ind w:left="0" w:right="0"/>
              <w:jc w:val="left"/>
              <w:rPr>
                <w:rFonts w:hint="eastAsia" w:ascii="宋体" w:hAnsi="宋体" w:cs="宋体"/>
                <w:szCs w:val="21"/>
                <w:lang w:val="en-US" w:eastAsia="zh-CN"/>
              </w:rPr>
            </w:pPr>
            <w:r>
              <w:rPr>
                <w:rFonts w:hint="eastAsia" w:ascii="宋体" w:hAnsi="宋体" w:cs="宋体"/>
                <w:szCs w:val="21"/>
                <w:lang w:val="en-US" w:eastAsia="zh-CN"/>
              </w:rPr>
              <w:t>9、</w:t>
            </w:r>
            <w:r>
              <w:rPr>
                <w:rFonts w:hint="eastAsia" w:ascii="宋体" w:hAnsi="宋体" w:eastAsia="宋体" w:cs="宋体"/>
                <w:szCs w:val="21"/>
                <w:lang w:val="en-US" w:eastAsia="zh-CN"/>
              </w:rPr>
              <w:t>评标委员会根据</w:t>
            </w:r>
            <w:r>
              <w:rPr>
                <w:rFonts w:hint="eastAsia" w:ascii="宋体" w:hAnsi="宋体" w:cs="宋体"/>
                <w:szCs w:val="21"/>
                <w:lang w:val="en-US" w:eastAsia="zh-CN"/>
              </w:rPr>
              <w:t>供应商针对本项目投入的人员工作安排、岗位设置进行评议：</w:t>
            </w:r>
          </w:p>
          <w:p w14:paraId="61A084EB">
            <w:pPr>
              <w:keepNext w:val="0"/>
              <w:keepLines w:val="0"/>
              <w:suppressLineNumbers w:val="0"/>
              <w:tabs>
                <w:tab w:val="left" w:pos="4915"/>
              </w:tabs>
              <w:spacing w:before="0" w:beforeAutospacing="0" w:after="0" w:afterAutospacing="0" w:line="440" w:lineRule="exact"/>
              <w:ind w:left="0" w:right="0"/>
              <w:jc w:val="left"/>
              <w:rPr>
                <w:rFonts w:hint="eastAsia" w:ascii="宋体" w:hAnsi="宋体" w:cs="宋体"/>
                <w:szCs w:val="21"/>
                <w:lang w:val="en-US" w:eastAsia="zh-CN"/>
              </w:rPr>
            </w:pPr>
            <w:r>
              <w:rPr>
                <w:rFonts w:hint="eastAsia" w:ascii="宋体" w:hAnsi="宋体" w:eastAsia="宋体" w:cs="宋体"/>
                <w:color w:val="auto"/>
                <w:szCs w:val="21"/>
              </w:rPr>
              <w:t>①</w:t>
            </w:r>
            <w:r>
              <w:rPr>
                <w:rFonts w:hint="eastAsia" w:ascii="宋体" w:hAnsi="宋体" w:cs="宋体"/>
                <w:szCs w:val="21"/>
                <w:lang w:val="en-US" w:eastAsia="zh-CN"/>
              </w:rPr>
              <w:t>人员工作安排合理、岗位设置满足项目工作需求的，得4分；</w:t>
            </w:r>
          </w:p>
          <w:p w14:paraId="08B549D4">
            <w:pPr>
              <w:keepNext w:val="0"/>
              <w:keepLines w:val="0"/>
              <w:suppressLineNumbers w:val="0"/>
              <w:tabs>
                <w:tab w:val="left" w:pos="4915"/>
              </w:tabs>
              <w:spacing w:before="0" w:beforeAutospacing="0" w:after="0" w:afterAutospacing="0" w:line="440" w:lineRule="exact"/>
              <w:ind w:left="0" w:right="0"/>
              <w:jc w:val="left"/>
              <w:rPr>
                <w:rFonts w:hint="eastAsia" w:ascii="宋体" w:hAnsi="宋体" w:cs="宋体"/>
                <w:szCs w:val="21"/>
                <w:lang w:val="en-US" w:eastAsia="zh-CN"/>
              </w:rPr>
            </w:pPr>
            <w:r>
              <w:rPr>
                <w:rFonts w:hint="eastAsia" w:ascii="宋体" w:hAnsi="宋体" w:eastAsia="宋体" w:cs="宋体"/>
                <w:color w:val="auto"/>
                <w:szCs w:val="21"/>
              </w:rPr>
              <w:t>②</w:t>
            </w:r>
            <w:r>
              <w:rPr>
                <w:rFonts w:hint="eastAsia" w:ascii="宋体" w:hAnsi="宋体" w:cs="宋体"/>
                <w:szCs w:val="21"/>
                <w:lang w:val="en-US" w:eastAsia="zh-CN"/>
              </w:rPr>
              <w:t>人员工作安排较合理、岗位设置较合满足项目工作需求的，得3分；</w:t>
            </w:r>
          </w:p>
          <w:p w14:paraId="62234AB2">
            <w:pPr>
              <w:keepNext w:val="0"/>
              <w:keepLines w:val="0"/>
              <w:suppressLineNumbers w:val="0"/>
              <w:tabs>
                <w:tab w:val="left" w:pos="4915"/>
              </w:tabs>
              <w:spacing w:before="0" w:beforeAutospacing="0" w:after="0" w:afterAutospacing="0" w:line="440" w:lineRule="exact"/>
              <w:ind w:left="0" w:right="0"/>
              <w:jc w:val="left"/>
              <w:rPr>
                <w:rFonts w:hint="eastAsia" w:ascii="宋体" w:hAnsi="宋体" w:cs="宋体"/>
                <w:szCs w:val="21"/>
                <w:lang w:val="en-US" w:eastAsia="zh-CN"/>
              </w:rPr>
            </w:pPr>
            <w:r>
              <w:rPr>
                <w:rFonts w:hint="eastAsia" w:ascii="宋体" w:hAnsi="宋体" w:eastAsia="宋体" w:cs="宋体"/>
                <w:color w:val="auto"/>
                <w:szCs w:val="21"/>
              </w:rPr>
              <w:t>③</w:t>
            </w:r>
            <w:r>
              <w:rPr>
                <w:rFonts w:hint="eastAsia" w:ascii="宋体" w:hAnsi="宋体" w:cs="宋体"/>
                <w:szCs w:val="21"/>
                <w:lang w:val="en-US" w:eastAsia="zh-CN"/>
              </w:rPr>
              <w:t>人员工作安排基本合理、岗位设置基本满足项目工作需求的，得2分；</w:t>
            </w:r>
          </w:p>
          <w:p w14:paraId="33FB296E">
            <w:pPr>
              <w:keepNext w:val="0"/>
              <w:keepLines w:val="0"/>
              <w:suppressLineNumbers w:val="0"/>
              <w:tabs>
                <w:tab w:val="left" w:pos="4915"/>
              </w:tabs>
              <w:spacing w:before="0" w:beforeAutospacing="0" w:after="0" w:afterAutospacing="0" w:line="440" w:lineRule="exact"/>
              <w:ind w:left="0" w:right="0"/>
              <w:jc w:val="left"/>
              <w:rPr>
                <w:rFonts w:hint="eastAsia" w:ascii="宋体" w:hAnsi="宋体" w:cs="宋体"/>
                <w:szCs w:val="21"/>
                <w:lang w:val="en-US" w:eastAsia="zh-CN"/>
              </w:rPr>
            </w:pPr>
            <w:r>
              <w:rPr>
                <w:rFonts w:hint="eastAsia" w:ascii="宋体" w:hAnsi="宋体" w:eastAsia="宋体" w:cs="宋体"/>
                <w:color w:val="auto"/>
                <w:szCs w:val="21"/>
              </w:rPr>
              <w:t>④</w:t>
            </w:r>
            <w:r>
              <w:rPr>
                <w:rFonts w:hint="eastAsia" w:ascii="宋体" w:hAnsi="宋体" w:cs="宋体"/>
                <w:szCs w:val="21"/>
                <w:lang w:val="en-US" w:eastAsia="zh-CN"/>
              </w:rPr>
              <w:t>人员工作安排欠合理、岗位设置欠满足项目工作需求的，得1分；</w:t>
            </w:r>
          </w:p>
          <w:p w14:paraId="7FB78801">
            <w:pPr>
              <w:keepNext w:val="0"/>
              <w:keepLines w:val="0"/>
              <w:suppressLineNumbers w:val="0"/>
              <w:tabs>
                <w:tab w:val="left" w:pos="4915"/>
              </w:tabs>
              <w:spacing w:before="0" w:beforeAutospacing="0" w:after="0" w:afterAutospacing="0" w:line="440" w:lineRule="exact"/>
              <w:ind w:left="0" w:right="0"/>
              <w:jc w:val="left"/>
              <w:rPr>
                <w:rFonts w:hint="eastAsia" w:ascii="宋体" w:hAnsi="宋体" w:cs="宋体"/>
                <w:color w:val="FF0000"/>
                <w:szCs w:val="21"/>
              </w:rPr>
            </w:pPr>
            <w:r>
              <w:rPr>
                <w:rFonts w:hint="eastAsia" w:ascii="宋体" w:hAnsi="宋体" w:cs="宋体"/>
                <w:szCs w:val="21"/>
                <w:lang w:val="en-US" w:eastAsia="zh-CN"/>
              </w:rPr>
              <w:t>未提供的不得分。</w:t>
            </w:r>
          </w:p>
        </w:tc>
      </w:tr>
      <w:tr w14:paraId="4C76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1107" w:type="dxa"/>
            <w:vMerge w:val="continue"/>
            <w:tcBorders>
              <w:left w:val="single" w:color="auto" w:sz="4" w:space="0"/>
              <w:right w:val="single" w:color="auto" w:sz="4" w:space="0"/>
            </w:tcBorders>
            <w:vAlign w:val="center"/>
          </w:tcPr>
          <w:p w14:paraId="12DA2A53">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szCs w:val="21"/>
              </w:rPr>
            </w:pPr>
          </w:p>
        </w:tc>
        <w:tc>
          <w:tcPr>
            <w:tcW w:w="1542" w:type="dxa"/>
            <w:tcBorders>
              <w:left w:val="single" w:color="auto" w:sz="4" w:space="0"/>
            </w:tcBorders>
            <w:shd w:val="clear" w:color="auto" w:fill="auto"/>
            <w:vAlign w:val="center"/>
          </w:tcPr>
          <w:p w14:paraId="6B2A618D">
            <w:pPr>
              <w:keepNext w:val="0"/>
              <w:keepLines w:val="0"/>
              <w:widowControl/>
              <w:suppressLineNumbers w:val="0"/>
              <w:spacing w:before="0" w:beforeAutospacing="0" w:after="0" w:afterAutospacing="0" w:line="440" w:lineRule="exact"/>
              <w:ind w:left="0" w:leftChars="0" w:right="0" w:rightChars="0"/>
              <w:jc w:val="left"/>
              <w:rPr>
                <w:rFonts w:hint="eastAsia" w:ascii="宋体" w:hAnsi="宋体" w:eastAsia="宋体" w:cs="宋体"/>
                <w:color w:val="auto"/>
                <w:kern w:val="2"/>
                <w:sz w:val="21"/>
                <w:szCs w:val="21"/>
                <w:lang w:val="en-US" w:eastAsia="zh-CN" w:bidi="ar-SA"/>
              </w:rPr>
            </w:pPr>
            <w:r>
              <w:rPr>
                <w:rFonts w:hint="eastAsia" w:ascii="Times New Roman" w:hAnsi="Times New Roman" w:eastAsia="宋体" w:cs="宋体"/>
                <w:color w:val="auto"/>
                <w:szCs w:val="21"/>
              </w:rPr>
              <w:t>各项管理规章制度及档案资料的建立与管理（</w:t>
            </w:r>
            <w:r>
              <w:rPr>
                <w:rFonts w:hint="eastAsia" w:cs="宋体"/>
                <w:color w:val="auto"/>
                <w:szCs w:val="21"/>
                <w:lang w:val="en-US" w:eastAsia="zh-CN"/>
              </w:rPr>
              <w:t>5</w:t>
            </w:r>
            <w:r>
              <w:rPr>
                <w:rFonts w:hint="eastAsia" w:ascii="Times New Roman" w:hAnsi="Times New Roman" w:eastAsia="宋体" w:cs="宋体"/>
                <w:color w:val="auto"/>
                <w:szCs w:val="21"/>
              </w:rPr>
              <w:t>分）</w:t>
            </w:r>
          </w:p>
        </w:tc>
        <w:tc>
          <w:tcPr>
            <w:tcW w:w="6336" w:type="dxa"/>
            <w:shd w:val="clear" w:color="auto" w:fill="auto"/>
            <w:vAlign w:val="center"/>
          </w:tcPr>
          <w:p w14:paraId="03C663A0">
            <w:pPr>
              <w:keepNext w:val="0"/>
              <w:keepLines w:val="0"/>
              <w:numPr>
                <w:ilvl w:val="0"/>
                <w:numId w:val="4"/>
              </w:numPr>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szCs w:val="21"/>
                <w:lang w:val="en-US" w:eastAsia="zh-CN"/>
              </w:rPr>
              <w:t>评标委员会根据供应商提供的</w:t>
            </w:r>
            <w:r>
              <w:rPr>
                <w:rFonts w:hint="eastAsia" w:ascii="宋体" w:hAnsi="宋体" w:eastAsia="宋体" w:cs="宋体"/>
                <w:color w:val="auto"/>
                <w:szCs w:val="21"/>
                <w:lang w:val="en-US" w:eastAsia="zh-CN"/>
              </w:rPr>
              <w:t>针对本项目设立的各项公众制度、内部岗位责任制度、管理运作制度、考核制度及标准等，要求是否符合规范，体现科学合理、详细完备（人员、设施、设备管理服务、业主方反馈资料、行政文件资料等档案的建立与管理等）进行综合评：</w:t>
            </w:r>
          </w:p>
          <w:p w14:paraId="3019889A">
            <w:pPr>
              <w:keepNext w:val="0"/>
              <w:keepLines w:val="0"/>
              <w:numPr>
                <w:numId w:val="0"/>
              </w:numPr>
              <w:suppressLineNumbers w:val="0"/>
              <w:tabs>
                <w:tab w:val="left" w:pos="4915"/>
              </w:tabs>
              <w:adjustRightInd w:val="0"/>
              <w:snapToGrid w:val="0"/>
              <w:spacing w:before="0" w:beforeAutospacing="0" w:after="0" w:afterAutospacing="0" w:line="400" w:lineRule="exact"/>
              <w:ind w:right="0" w:rightChars="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①制度非常完善，管理非常规范的得5分；</w:t>
            </w:r>
          </w:p>
          <w:p w14:paraId="3FB3D5DB">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②</w:t>
            </w:r>
            <w:r>
              <w:rPr>
                <w:rFonts w:hint="eastAsia" w:ascii="宋体" w:hAnsi="宋体" w:eastAsia="宋体" w:cs="宋体"/>
                <w:color w:val="auto"/>
                <w:szCs w:val="21"/>
                <w:lang w:val="en-US" w:eastAsia="zh-CN"/>
              </w:rPr>
              <w:t>制度完善，管理规范的得4分；</w:t>
            </w:r>
          </w:p>
          <w:p w14:paraId="4985A56D">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③</w:t>
            </w:r>
            <w:r>
              <w:rPr>
                <w:rFonts w:hint="eastAsia" w:ascii="宋体" w:hAnsi="宋体" w:eastAsia="宋体" w:cs="宋体"/>
                <w:color w:val="auto"/>
                <w:szCs w:val="21"/>
                <w:lang w:val="en-US" w:eastAsia="zh-CN"/>
              </w:rPr>
              <w:t>制度基本完善，管理基本规范的得3分；</w:t>
            </w:r>
          </w:p>
          <w:p w14:paraId="513FC08E">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④</w:t>
            </w:r>
            <w:r>
              <w:rPr>
                <w:rFonts w:hint="eastAsia" w:ascii="宋体" w:hAnsi="宋体" w:eastAsia="宋体" w:cs="宋体"/>
                <w:color w:val="auto"/>
                <w:szCs w:val="21"/>
                <w:lang w:val="en-US" w:eastAsia="zh-CN"/>
              </w:rPr>
              <w:t>制度基本规范、管理约束力不足的得2分；</w:t>
            </w:r>
          </w:p>
          <w:p w14:paraId="0E423FC6">
            <w:pPr>
              <w:keepNext w:val="0"/>
              <w:keepLines w:val="0"/>
              <w:suppressLineNumbers w:val="0"/>
              <w:tabs>
                <w:tab w:val="left" w:pos="4915"/>
              </w:tabs>
              <w:adjustRightInd w:val="0"/>
              <w:snapToGrid w:val="0"/>
              <w:spacing w:before="0" w:beforeAutospacing="0" w:after="0" w:afterAutospacing="0" w:line="400" w:lineRule="exact"/>
              <w:ind w:left="0" w:right="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制度部分完善，管理约束力不足的得1分；</w:t>
            </w:r>
          </w:p>
          <w:p w14:paraId="030EC442">
            <w:pPr>
              <w:keepNext w:val="0"/>
              <w:keepLines w:val="0"/>
              <w:suppressLineNumbers w:val="0"/>
              <w:tabs>
                <w:tab w:val="left" w:pos="4915"/>
              </w:tabs>
              <w:adjustRightInd w:val="0"/>
              <w:snapToGrid w:val="0"/>
              <w:spacing w:before="0" w:beforeAutospacing="0" w:after="0" w:afterAutospacing="0" w:line="400" w:lineRule="exact"/>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未提供相关内容不得分。</w:t>
            </w:r>
          </w:p>
        </w:tc>
      </w:tr>
      <w:tr w14:paraId="5266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07" w:type="dxa"/>
            <w:vMerge w:val="continue"/>
            <w:tcBorders>
              <w:left w:val="single" w:color="auto" w:sz="4" w:space="0"/>
              <w:right w:val="single" w:color="auto" w:sz="4" w:space="0"/>
            </w:tcBorders>
            <w:vAlign w:val="center"/>
          </w:tcPr>
          <w:p w14:paraId="6E1B3EF9">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b/>
                <w:szCs w:val="21"/>
              </w:rPr>
            </w:pPr>
          </w:p>
        </w:tc>
        <w:tc>
          <w:tcPr>
            <w:tcW w:w="1542" w:type="dxa"/>
            <w:tcBorders>
              <w:left w:val="single" w:color="auto" w:sz="4" w:space="0"/>
            </w:tcBorders>
            <w:shd w:val="clear" w:color="auto" w:fill="auto"/>
            <w:vAlign w:val="center"/>
          </w:tcPr>
          <w:p w14:paraId="04D5E105">
            <w:pPr>
              <w:keepNext w:val="0"/>
              <w:keepLines w:val="0"/>
              <w:suppressLineNumbers w:val="0"/>
              <w:spacing w:before="0" w:beforeAutospacing="0" w:after="0" w:afterAutospacing="0" w:line="440" w:lineRule="exact"/>
              <w:ind w:left="0" w:right="0"/>
              <w:jc w:val="left"/>
              <w:rPr>
                <w:rFonts w:hint="eastAsia" w:ascii="宋体" w:hAnsi="宋体" w:cs="宋体"/>
                <w:color w:val="FF0000"/>
                <w:szCs w:val="21"/>
              </w:rPr>
            </w:pPr>
            <w:r>
              <w:rPr>
                <w:rFonts w:hint="eastAsia" w:ascii="宋体" w:hAnsi="宋体" w:cs="宋体"/>
                <w:color w:val="auto"/>
                <w:szCs w:val="21"/>
              </w:rPr>
              <w:t>安装与验收方案（5分）</w:t>
            </w:r>
          </w:p>
        </w:tc>
        <w:tc>
          <w:tcPr>
            <w:tcW w:w="6336" w:type="dxa"/>
            <w:shd w:val="clear" w:color="auto" w:fill="auto"/>
            <w:vAlign w:val="center"/>
          </w:tcPr>
          <w:p w14:paraId="521ECD11">
            <w:pPr>
              <w:keepNext w:val="0"/>
              <w:keepLines w:val="0"/>
              <w:suppressLineNumbers w:val="0"/>
              <w:tabs>
                <w:tab w:val="left" w:pos="4915"/>
              </w:tabs>
              <w:spacing w:before="0" w:beforeAutospacing="0" w:after="0" w:afterAutospacing="0" w:line="440" w:lineRule="exact"/>
              <w:ind w:left="0" w:right="0"/>
              <w:jc w:val="left"/>
              <w:rPr>
                <w:rFonts w:hint="eastAsia" w:ascii="宋体" w:hAnsi="宋体" w:eastAsia="宋体" w:cs="宋体"/>
                <w:szCs w:val="21"/>
              </w:rPr>
            </w:pPr>
            <w:r>
              <w:rPr>
                <w:rFonts w:hint="eastAsia" w:ascii="宋体" w:hAnsi="宋体" w:cs="宋体"/>
                <w:szCs w:val="21"/>
                <w:lang w:val="en-US" w:eastAsia="zh-CN"/>
              </w:rPr>
              <w:t>11、评标委员会根据</w:t>
            </w:r>
            <w:r>
              <w:rPr>
                <w:rFonts w:hint="eastAsia" w:ascii="宋体" w:hAnsi="宋体" w:cs="宋体"/>
                <w:szCs w:val="21"/>
              </w:rPr>
              <w:t>供应商</w:t>
            </w:r>
            <w:r>
              <w:rPr>
                <w:rFonts w:hint="eastAsia" w:ascii="宋体" w:hAnsi="宋体" w:eastAsia="宋体" w:cs="宋体"/>
                <w:szCs w:val="21"/>
              </w:rPr>
              <w:t>提供的交货时间、安装及验收的要求提供安装与验收方案，包含但不限于以下要点：①安装方案；②安装人员配置；③调试要求；④开箱测试方式；⑤产品验收方案。由评标委员会进行评定：</w:t>
            </w:r>
          </w:p>
          <w:p w14:paraId="58403822">
            <w:pPr>
              <w:keepNext w:val="0"/>
              <w:keepLines w:val="0"/>
              <w:suppressLineNumbers w:val="0"/>
              <w:tabs>
                <w:tab w:val="left" w:pos="4915"/>
              </w:tabs>
              <w:spacing w:before="0" w:beforeAutospacing="0" w:after="0" w:afterAutospacing="0" w:line="440" w:lineRule="exact"/>
              <w:ind w:left="0" w:right="0"/>
              <w:jc w:val="left"/>
              <w:rPr>
                <w:rFonts w:hint="eastAsia" w:ascii="宋体" w:hAnsi="宋体" w:eastAsia="宋体" w:cs="宋体"/>
                <w:szCs w:val="21"/>
              </w:rPr>
            </w:pPr>
            <w:r>
              <w:rPr>
                <w:rFonts w:hint="eastAsia" w:ascii="宋体" w:hAnsi="宋体" w:eastAsia="宋体" w:cs="宋体"/>
                <w:color w:val="auto"/>
                <w:szCs w:val="21"/>
              </w:rPr>
              <w:t>①</w:t>
            </w:r>
            <w:r>
              <w:rPr>
                <w:rFonts w:hint="eastAsia" w:ascii="宋体" w:hAnsi="宋体" w:eastAsia="宋体" w:cs="宋体"/>
                <w:szCs w:val="21"/>
              </w:rPr>
              <w:t>安装方案得当，安装人员专业，调试要求明确，且开箱测试方式科学，产品验收方案非常合理，能确保产品正常安装及验收的得5分；</w:t>
            </w:r>
          </w:p>
          <w:p w14:paraId="10C0D1A6">
            <w:pPr>
              <w:keepNext w:val="0"/>
              <w:keepLines w:val="0"/>
              <w:suppressLineNumbers w:val="0"/>
              <w:tabs>
                <w:tab w:val="left" w:pos="4915"/>
              </w:tabs>
              <w:spacing w:before="0" w:beforeAutospacing="0" w:after="0" w:afterAutospacing="0" w:line="440" w:lineRule="exact"/>
              <w:ind w:left="0" w:right="0"/>
              <w:jc w:val="left"/>
              <w:rPr>
                <w:rFonts w:hint="eastAsia" w:ascii="宋体" w:hAnsi="宋体" w:eastAsia="宋体" w:cs="宋体"/>
                <w:szCs w:val="21"/>
              </w:rPr>
            </w:pPr>
            <w:r>
              <w:rPr>
                <w:rFonts w:hint="eastAsia" w:ascii="宋体" w:hAnsi="宋体" w:eastAsia="宋体" w:cs="宋体"/>
                <w:color w:val="auto"/>
                <w:szCs w:val="21"/>
                <w:lang w:val="en-US" w:eastAsia="zh-CN"/>
              </w:rPr>
              <w:t>②</w:t>
            </w:r>
            <w:r>
              <w:rPr>
                <w:rFonts w:hint="eastAsia" w:ascii="宋体" w:hAnsi="宋体" w:eastAsia="宋体" w:cs="宋体"/>
                <w:szCs w:val="21"/>
              </w:rPr>
              <w:t>安装与验收方案较为符合项目实际要求的得4分；</w:t>
            </w:r>
          </w:p>
          <w:p w14:paraId="43F9586D">
            <w:pPr>
              <w:keepNext w:val="0"/>
              <w:keepLines w:val="0"/>
              <w:suppressLineNumbers w:val="0"/>
              <w:tabs>
                <w:tab w:val="left" w:pos="4915"/>
              </w:tabs>
              <w:spacing w:before="0" w:beforeAutospacing="0" w:after="0" w:afterAutospacing="0" w:line="440" w:lineRule="exact"/>
              <w:ind w:left="0" w:right="0"/>
              <w:jc w:val="left"/>
              <w:rPr>
                <w:rFonts w:hint="eastAsia" w:ascii="宋体" w:hAnsi="宋体" w:eastAsia="宋体" w:cs="宋体"/>
                <w:szCs w:val="21"/>
              </w:rPr>
            </w:pPr>
            <w:r>
              <w:rPr>
                <w:rFonts w:hint="eastAsia" w:ascii="宋体" w:hAnsi="宋体" w:eastAsia="宋体" w:cs="宋体"/>
                <w:color w:val="auto"/>
                <w:szCs w:val="21"/>
                <w:lang w:val="en-US" w:eastAsia="zh-CN"/>
              </w:rPr>
              <w:t>③</w:t>
            </w:r>
            <w:r>
              <w:rPr>
                <w:rFonts w:hint="eastAsia" w:ascii="宋体" w:hAnsi="宋体" w:eastAsia="宋体" w:cs="宋体"/>
                <w:szCs w:val="21"/>
              </w:rPr>
              <w:t>安装与验收方案基本符合项目实际要求的得3分；</w:t>
            </w:r>
          </w:p>
          <w:p w14:paraId="479368C6">
            <w:pPr>
              <w:keepNext w:val="0"/>
              <w:keepLines w:val="0"/>
              <w:suppressLineNumbers w:val="0"/>
              <w:tabs>
                <w:tab w:val="left" w:pos="4915"/>
              </w:tabs>
              <w:spacing w:before="0" w:beforeAutospacing="0" w:after="0" w:afterAutospacing="0" w:line="440" w:lineRule="exact"/>
              <w:ind w:left="0" w:right="0"/>
              <w:jc w:val="left"/>
              <w:rPr>
                <w:rFonts w:hint="eastAsia" w:ascii="宋体" w:hAnsi="宋体" w:eastAsia="宋体" w:cs="宋体"/>
                <w:szCs w:val="21"/>
              </w:rPr>
            </w:pPr>
            <w:r>
              <w:rPr>
                <w:rFonts w:hint="eastAsia" w:ascii="宋体" w:hAnsi="宋体" w:eastAsia="宋体" w:cs="宋体"/>
                <w:color w:val="auto"/>
                <w:szCs w:val="21"/>
                <w:lang w:val="en-US" w:eastAsia="zh-CN"/>
              </w:rPr>
              <w:t>④</w:t>
            </w:r>
            <w:r>
              <w:rPr>
                <w:rFonts w:hint="eastAsia" w:ascii="宋体" w:hAnsi="宋体" w:eastAsia="宋体" w:cs="宋体"/>
                <w:szCs w:val="21"/>
              </w:rPr>
              <w:t>安装与验收方案欠符合项目实际要求的得2分；</w:t>
            </w:r>
          </w:p>
          <w:p w14:paraId="0EA6C25E">
            <w:pPr>
              <w:keepNext w:val="0"/>
              <w:keepLines w:val="0"/>
              <w:suppressLineNumbers w:val="0"/>
              <w:tabs>
                <w:tab w:val="left" w:pos="4915"/>
              </w:tabs>
              <w:spacing w:before="0" w:beforeAutospacing="0" w:after="0" w:afterAutospacing="0" w:line="440" w:lineRule="exact"/>
              <w:ind w:left="0" w:right="0"/>
              <w:jc w:val="left"/>
              <w:rPr>
                <w:rFonts w:hint="eastAsia" w:ascii="宋体" w:hAnsi="宋体" w:eastAsia="宋体" w:cs="宋体"/>
                <w:szCs w:val="21"/>
              </w:rPr>
            </w:pPr>
            <w:r>
              <w:rPr>
                <w:rFonts w:hint="eastAsia" w:ascii="宋体" w:hAnsi="宋体" w:eastAsia="宋体" w:cs="宋体"/>
                <w:color w:val="auto"/>
                <w:szCs w:val="21"/>
              </w:rPr>
              <w:t>⑤</w:t>
            </w:r>
            <w:r>
              <w:rPr>
                <w:rFonts w:hint="eastAsia" w:ascii="宋体" w:hAnsi="宋体" w:eastAsia="宋体" w:cs="宋体"/>
                <w:szCs w:val="21"/>
              </w:rPr>
              <w:t>安装与验收方案存在明显缺陷的得1分；</w:t>
            </w:r>
          </w:p>
          <w:p w14:paraId="6122E4F6">
            <w:pPr>
              <w:keepNext w:val="0"/>
              <w:keepLines w:val="0"/>
              <w:suppressLineNumbers w:val="0"/>
              <w:tabs>
                <w:tab w:val="left" w:pos="4915"/>
              </w:tabs>
              <w:spacing w:before="0" w:beforeAutospacing="0" w:after="0" w:afterAutospacing="0" w:line="440" w:lineRule="exact"/>
              <w:ind w:left="0" w:right="0"/>
              <w:jc w:val="left"/>
              <w:rPr>
                <w:rFonts w:hint="eastAsia" w:ascii="宋体" w:hAnsi="宋体" w:eastAsia="宋体" w:cs="宋体"/>
                <w:szCs w:val="21"/>
              </w:rPr>
            </w:pPr>
            <w:r>
              <w:rPr>
                <w:rFonts w:hint="eastAsia" w:ascii="宋体" w:hAnsi="宋体" w:eastAsia="宋体" w:cs="宋体"/>
                <w:szCs w:val="21"/>
                <w:lang w:val="zh-CN"/>
              </w:rPr>
              <w:t>未提供不得分。</w:t>
            </w:r>
          </w:p>
        </w:tc>
      </w:tr>
      <w:tr w14:paraId="6E0F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07" w:type="dxa"/>
            <w:vMerge w:val="continue"/>
            <w:tcBorders>
              <w:left w:val="single" w:color="auto" w:sz="4" w:space="0"/>
              <w:right w:val="single" w:color="auto" w:sz="4" w:space="0"/>
            </w:tcBorders>
            <w:vAlign w:val="center"/>
          </w:tcPr>
          <w:p w14:paraId="6B6E42DB">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p>
        </w:tc>
        <w:tc>
          <w:tcPr>
            <w:tcW w:w="1542" w:type="dxa"/>
            <w:tcBorders>
              <w:left w:val="single" w:color="auto" w:sz="4" w:space="0"/>
            </w:tcBorders>
            <w:vAlign w:val="center"/>
          </w:tcPr>
          <w:p w14:paraId="38042DEF">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lang w:val="en-US" w:eastAsia="zh-CN"/>
              </w:rPr>
            </w:pPr>
            <w:r>
              <w:rPr>
                <w:rFonts w:hint="eastAsia" w:ascii="宋体" w:hAnsi="宋体" w:eastAsia="宋体" w:cs="宋体"/>
                <w:szCs w:val="21"/>
              </w:rPr>
              <w:t>售后</w:t>
            </w:r>
            <w:r>
              <w:rPr>
                <w:rFonts w:hint="default" w:ascii="宋体" w:hAnsi="宋体" w:eastAsia="宋体" w:cs="宋体"/>
                <w:szCs w:val="21"/>
              </w:rPr>
              <w:t>服务</w:t>
            </w:r>
            <w:r>
              <w:rPr>
                <w:rFonts w:hint="eastAsia" w:ascii="宋体" w:hAnsi="宋体" w:cs="宋体"/>
                <w:szCs w:val="21"/>
                <w:lang w:eastAsia="zh-CN"/>
              </w:rPr>
              <w:t>（</w:t>
            </w:r>
            <w:r>
              <w:rPr>
                <w:rFonts w:hint="eastAsia" w:ascii="宋体" w:hAnsi="宋体" w:cs="宋体"/>
                <w:szCs w:val="21"/>
                <w:lang w:val="en-US" w:eastAsia="zh-CN"/>
              </w:rPr>
              <w:t>5分）</w:t>
            </w:r>
          </w:p>
        </w:tc>
        <w:tc>
          <w:tcPr>
            <w:tcW w:w="6336" w:type="dxa"/>
            <w:vAlign w:val="center"/>
          </w:tcPr>
          <w:p w14:paraId="474A3442">
            <w:pPr>
              <w:keepNext w:val="0"/>
              <w:keepLines w:val="0"/>
              <w:suppressLineNumbers w:val="0"/>
              <w:adjustRightInd w:val="0"/>
              <w:snapToGrid w:val="0"/>
              <w:spacing w:before="0" w:beforeAutospacing="0" w:after="0" w:afterAutospacing="0" w:line="360" w:lineRule="exact"/>
              <w:ind w:left="0" w:right="0"/>
              <w:rPr>
                <w:rFonts w:hint="eastAsia" w:ascii="宋体" w:hAnsi="宋体" w:cs="宋体"/>
                <w:szCs w:val="21"/>
                <w:lang w:val="en-US" w:eastAsia="zh-CN"/>
              </w:rPr>
            </w:pPr>
            <w:r>
              <w:rPr>
                <w:rFonts w:hint="eastAsia" w:ascii="宋体" w:hAnsi="宋体" w:cs="宋体"/>
                <w:szCs w:val="21"/>
                <w:lang w:val="en-US" w:eastAsia="zh-CN"/>
              </w:rPr>
              <w:t>12、评标委员会根据</w:t>
            </w:r>
            <w:r>
              <w:rPr>
                <w:rFonts w:hint="eastAsia" w:ascii="宋体" w:hAnsi="宋体" w:cs="宋体"/>
                <w:szCs w:val="21"/>
              </w:rPr>
              <w:t>供应商</w:t>
            </w:r>
            <w:r>
              <w:rPr>
                <w:rFonts w:hint="eastAsia" w:ascii="宋体" w:hAnsi="宋体" w:eastAsia="宋体" w:cs="宋体"/>
                <w:szCs w:val="21"/>
              </w:rPr>
              <w:t>提供的</w:t>
            </w:r>
            <w:r>
              <w:rPr>
                <w:rFonts w:hint="eastAsia" w:ascii="宋体" w:hAnsi="宋体" w:eastAsia="宋体" w:cs="宋体"/>
                <w:bCs/>
                <w:color w:val="auto"/>
                <w:sz w:val="21"/>
                <w:szCs w:val="21"/>
                <w:highlight w:val="none"/>
              </w:rPr>
              <w:t>售后</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snapToGrid w:val="0"/>
                <w:color w:val="auto"/>
                <w:kern w:val="2"/>
                <w:sz w:val="21"/>
                <w:szCs w:val="21"/>
                <w:highlight w:val="none"/>
                <w:lang w:val="zh-CN" w:eastAsia="zh-CN" w:bidi="ar-SA"/>
              </w:rPr>
              <w:t>便捷性情况（响应时间及到达现场的时间）、</w:t>
            </w:r>
            <w:r>
              <w:rPr>
                <w:rFonts w:hint="eastAsia" w:ascii="宋体" w:hAnsi="宋体" w:eastAsia="宋体" w:cs="宋体"/>
                <w:bCs/>
                <w:color w:val="auto"/>
                <w:sz w:val="21"/>
                <w:szCs w:val="21"/>
                <w:highlight w:val="none"/>
              </w:rPr>
              <w:t>质保期方案、售后服务优惠承诺、售后服务保障进行评议</w:t>
            </w:r>
            <w:r>
              <w:rPr>
                <w:rFonts w:hint="eastAsia" w:ascii="宋体" w:hAnsi="宋体" w:cs="宋体"/>
                <w:szCs w:val="21"/>
                <w:lang w:val="en-US" w:eastAsia="zh-CN"/>
              </w:rPr>
              <w:t>：</w:t>
            </w:r>
          </w:p>
          <w:p w14:paraId="32D2CEC3">
            <w:pPr>
              <w:keepNext w:val="0"/>
              <w:keepLines w:val="0"/>
              <w:numPr>
                <w:ilvl w:val="0"/>
                <w:numId w:val="0"/>
              </w:numPr>
              <w:suppressLineNumbers w:val="0"/>
              <w:tabs>
                <w:tab w:val="left" w:pos="4915"/>
              </w:tabs>
              <w:spacing w:before="0" w:beforeAutospacing="0" w:after="0" w:afterAutospacing="0" w:line="330" w:lineRule="exact"/>
              <w:ind w:left="0" w:leftChars="0" w:right="0" w:rightChars="0"/>
              <w:rPr>
                <w:rFonts w:hint="default" w:ascii="宋体" w:hAnsi="宋体" w:cs="宋体"/>
                <w:szCs w:val="21"/>
              </w:rPr>
            </w:pPr>
            <w:r>
              <w:rPr>
                <w:rFonts w:hint="eastAsia" w:ascii="宋体" w:hAnsi="宋体" w:eastAsia="宋体" w:cs="宋体"/>
                <w:color w:val="auto"/>
                <w:szCs w:val="21"/>
              </w:rPr>
              <w:t>①</w:t>
            </w:r>
            <w:r>
              <w:rPr>
                <w:rFonts w:hint="eastAsia" w:ascii="宋体" w:hAnsi="宋体" w:eastAsia="宋体" w:cs="宋体"/>
                <w:bCs/>
                <w:color w:val="auto"/>
                <w:sz w:val="21"/>
                <w:szCs w:val="21"/>
                <w:highlight w:val="none"/>
              </w:rPr>
              <w:t>售后</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snapToGrid w:val="0"/>
                <w:color w:val="auto"/>
                <w:kern w:val="2"/>
                <w:sz w:val="21"/>
                <w:szCs w:val="21"/>
                <w:highlight w:val="none"/>
                <w:lang w:val="zh-CN" w:eastAsia="zh-CN" w:bidi="ar-SA"/>
              </w:rPr>
              <w:t>便捷，</w:t>
            </w:r>
            <w:r>
              <w:rPr>
                <w:rFonts w:hint="eastAsia" w:ascii="宋体" w:hAnsi="宋体" w:eastAsia="宋体" w:cs="宋体"/>
                <w:szCs w:val="21"/>
                <w:lang w:val="en-US" w:eastAsia="zh-CN"/>
              </w:rPr>
              <w:t>质保期方案完全适应本项目，售后服务优惠承诺及保障全面的得5分；</w:t>
            </w:r>
          </w:p>
          <w:p w14:paraId="586C9FBE">
            <w:pPr>
              <w:keepNext w:val="0"/>
              <w:keepLines w:val="0"/>
              <w:suppressLineNumbers w:val="0"/>
              <w:tabs>
                <w:tab w:val="left" w:pos="4915"/>
              </w:tabs>
              <w:spacing w:before="0" w:beforeAutospacing="0" w:after="0" w:afterAutospacing="0" w:line="330" w:lineRule="exact"/>
              <w:ind w:left="0" w:right="0"/>
              <w:rPr>
                <w:rFonts w:hint="default" w:ascii="宋体" w:hAnsi="宋体" w:cs="宋体"/>
                <w:szCs w:val="21"/>
              </w:rPr>
            </w:pPr>
            <w:r>
              <w:rPr>
                <w:rFonts w:hint="eastAsia" w:ascii="宋体" w:hAnsi="宋体" w:eastAsia="宋体" w:cs="宋体"/>
                <w:color w:val="auto"/>
                <w:szCs w:val="21"/>
                <w:lang w:val="en-US" w:eastAsia="zh-CN"/>
              </w:rPr>
              <w:t>②</w:t>
            </w:r>
            <w:r>
              <w:rPr>
                <w:rFonts w:hint="eastAsia" w:ascii="宋体" w:hAnsi="宋体" w:eastAsia="宋体" w:cs="宋体"/>
                <w:bCs/>
                <w:color w:val="auto"/>
                <w:sz w:val="21"/>
                <w:szCs w:val="21"/>
                <w:highlight w:val="none"/>
              </w:rPr>
              <w:t>售后</w:t>
            </w:r>
            <w:r>
              <w:rPr>
                <w:rFonts w:hint="eastAsia" w:ascii="宋体" w:hAnsi="宋体" w:eastAsia="宋体" w:cs="宋体"/>
                <w:bCs/>
                <w:color w:val="auto"/>
                <w:sz w:val="21"/>
                <w:szCs w:val="21"/>
                <w:highlight w:val="none"/>
                <w:lang w:val="en-US" w:eastAsia="zh-CN"/>
              </w:rPr>
              <w:t>服务较</w:t>
            </w:r>
            <w:r>
              <w:rPr>
                <w:rFonts w:hint="eastAsia" w:ascii="宋体" w:hAnsi="宋体" w:eastAsia="宋体" w:cs="宋体"/>
                <w:snapToGrid w:val="0"/>
                <w:color w:val="auto"/>
                <w:kern w:val="2"/>
                <w:sz w:val="21"/>
                <w:szCs w:val="21"/>
                <w:highlight w:val="none"/>
                <w:lang w:val="zh-CN" w:eastAsia="zh-CN" w:bidi="ar-SA"/>
              </w:rPr>
              <w:t>便捷，</w:t>
            </w:r>
            <w:r>
              <w:rPr>
                <w:rFonts w:hint="eastAsia" w:ascii="宋体" w:hAnsi="宋体" w:eastAsia="宋体" w:cs="宋体"/>
                <w:szCs w:val="21"/>
                <w:lang w:val="en-US" w:eastAsia="zh-CN"/>
              </w:rPr>
              <w:t>质保期方案较适应本项目，售后服务优惠承诺及保障较全面的得4分；</w:t>
            </w:r>
          </w:p>
          <w:p w14:paraId="682A517D">
            <w:pPr>
              <w:keepNext w:val="0"/>
              <w:keepLines w:val="0"/>
              <w:suppressLineNumbers w:val="0"/>
              <w:tabs>
                <w:tab w:val="left" w:pos="4915"/>
              </w:tabs>
              <w:spacing w:before="0" w:beforeAutospacing="0" w:after="0" w:afterAutospacing="0" w:line="330" w:lineRule="exact"/>
              <w:ind w:left="0" w:right="0"/>
              <w:rPr>
                <w:rFonts w:hint="default" w:ascii="宋体" w:hAnsi="宋体" w:cs="宋体"/>
                <w:szCs w:val="21"/>
              </w:rPr>
            </w:pPr>
            <w:r>
              <w:rPr>
                <w:rFonts w:hint="eastAsia" w:ascii="宋体" w:hAnsi="宋体" w:eastAsia="宋体" w:cs="宋体"/>
                <w:color w:val="auto"/>
                <w:szCs w:val="21"/>
                <w:lang w:val="en-US" w:eastAsia="zh-CN"/>
              </w:rPr>
              <w:t>③</w:t>
            </w:r>
            <w:r>
              <w:rPr>
                <w:rFonts w:hint="eastAsia" w:ascii="宋体" w:hAnsi="宋体" w:eastAsia="宋体" w:cs="宋体"/>
                <w:bCs/>
                <w:color w:val="auto"/>
                <w:sz w:val="21"/>
                <w:szCs w:val="21"/>
                <w:highlight w:val="none"/>
              </w:rPr>
              <w:t>售后</w:t>
            </w: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snapToGrid w:val="0"/>
                <w:color w:val="auto"/>
                <w:kern w:val="2"/>
                <w:sz w:val="21"/>
                <w:szCs w:val="21"/>
                <w:highlight w:val="none"/>
                <w:lang w:val="zh-CN" w:eastAsia="zh-CN" w:bidi="ar-SA"/>
              </w:rPr>
              <w:t>便捷</w:t>
            </w:r>
            <w:r>
              <w:rPr>
                <w:rFonts w:hint="eastAsia" w:ascii="宋体" w:hAnsi="宋体" w:eastAsia="宋体" w:cs="宋体"/>
                <w:snapToGrid w:val="0"/>
                <w:color w:val="auto"/>
                <w:kern w:val="2"/>
                <w:sz w:val="21"/>
                <w:szCs w:val="21"/>
                <w:highlight w:val="none"/>
                <w:lang w:val="en-US" w:eastAsia="zh-CN" w:bidi="ar-SA"/>
              </w:rPr>
              <w:t>性一般</w:t>
            </w:r>
            <w:r>
              <w:rPr>
                <w:rFonts w:hint="eastAsia" w:ascii="宋体" w:hAnsi="宋体" w:eastAsia="宋体" w:cs="宋体"/>
                <w:snapToGrid w:val="0"/>
                <w:color w:val="auto"/>
                <w:kern w:val="2"/>
                <w:sz w:val="21"/>
                <w:szCs w:val="21"/>
                <w:highlight w:val="none"/>
                <w:lang w:val="zh-CN" w:eastAsia="zh-CN" w:bidi="ar-SA"/>
              </w:rPr>
              <w:t>，</w:t>
            </w:r>
            <w:r>
              <w:rPr>
                <w:rFonts w:hint="eastAsia" w:ascii="宋体" w:hAnsi="宋体" w:eastAsia="宋体" w:cs="宋体"/>
                <w:szCs w:val="21"/>
                <w:lang w:val="en-US" w:eastAsia="zh-CN"/>
              </w:rPr>
              <w:t>质保期方案基本适应本项目，售后服务优惠承诺及保障基本全面的得3分；</w:t>
            </w:r>
          </w:p>
          <w:p w14:paraId="263A134F">
            <w:pPr>
              <w:keepNext w:val="0"/>
              <w:keepLines w:val="0"/>
              <w:suppressLineNumbers w:val="0"/>
              <w:tabs>
                <w:tab w:val="left" w:pos="4915"/>
              </w:tabs>
              <w:spacing w:before="0" w:beforeAutospacing="0" w:after="0" w:afterAutospacing="0" w:line="330" w:lineRule="exact"/>
              <w:ind w:left="0" w:right="0"/>
              <w:rPr>
                <w:rFonts w:hint="default" w:ascii="宋体" w:hAnsi="宋体" w:cs="宋体"/>
                <w:szCs w:val="21"/>
              </w:rPr>
            </w:pPr>
            <w:r>
              <w:rPr>
                <w:rFonts w:hint="eastAsia" w:ascii="宋体" w:hAnsi="宋体" w:eastAsia="宋体" w:cs="宋体"/>
                <w:color w:val="auto"/>
                <w:szCs w:val="21"/>
                <w:lang w:val="en-US" w:eastAsia="zh-CN"/>
              </w:rPr>
              <w:t>④</w:t>
            </w:r>
            <w:r>
              <w:rPr>
                <w:rFonts w:hint="eastAsia" w:ascii="宋体" w:hAnsi="宋体" w:eastAsia="宋体" w:cs="宋体"/>
                <w:bCs/>
                <w:color w:val="auto"/>
                <w:sz w:val="21"/>
                <w:szCs w:val="21"/>
                <w:highlight w:val="none"/>
              </w:rPr>
              <w:t>售后</w:t>
            </w:r>
            <w:r>
              <w:rPr>
                <w:rFonts w:hint="eastAsia" w:ascii="宋体" w:hAnsi="宋体" w:eastAsia="宋体" w:cs="宋体"/>
                <w:bCs/>
                <w:color w:val="auto"/>
                <w:sz w:val="21"/>
                <w:szCs w:val="21"/>
                <w:highlight w:val="none"/>
                <w:lang w:val="en-US" w:eastAsia="zh-CN"/>
              </w:rPr>
              <w:t>服务欠</w:t>
            </w:r>
            <w:r>
              <w:rPr>
                <w:rFonts w:hint="eastAsia" w:ascii="宋体" w:hAnsi="宋体" w:eastAsia="宋体" w:cs="宋体"/>
                <w:snapToGrid w:val="0"/>
                <w:color w:val="auto"/>
                <w:kern w:val="2"/>
                <w:sz w:val="21"/>
                <w:szCs w:val="21"/>
                <w:highlight w:val="none"/>
                <w:lang w:val="zh-CN" w:eastAsia="zh-CN" w:bidi="ar-SA"/>
              </w:rPr>
              <w:t>便捷，</w:t>
            </w:r>
            <w:r>
              <w:rPr>
                <w:rFonts w:hint="eastAsia" w:ascii="宋体" w:hAnsi="宋体" w:eastAsia="宋体" w:cs="宋体"/>
                <w:szCs w:val="21"/>
                <w:lang w:val="en-US" w:eastAsia="zh-CN"/>
              </w:rPr>
              <w:t>质保期方案欠适应本项目，售后服务优惠承诺及保障欠全面的得2分</w:t>
            </w:r>
            <w:r>
              <w:rPr>
                <w:rFonts w:hint="eastAsia" w:ascii="宋体" w:hAnsi="宋体" w:cs="宋体"/>
                <w:szCs w:val="21"/>
              </w:rPr>
              <w:t>；</w:t>
            </w:r>
          </w:p>
          <w:p w14:paraId="534D199E">
            <w:pPr>
              <w:keepNext w:val="0"/>
              <w:keepLines w:val="0"/>
              <w:suppressLineNumbers w:val="0"/>
              <w:autoSpaceDE w:val="0"/>
              <w:autoSpaceDN w:val="0"/>
              <w:adjustRightInd w:val="0"/>
              <w:snapToGrid w:val="0"/>
              <w:spacing w:before="0" w:beforeAutospacing="0" w:after="0" w:afterAutospacing="0" w:line="360" w:lineRule="exact"/>
              <w:ind w:left="0" w:right="0"/>
              <w:rPr>
                <w:rFonts w:hint="eastAsia" w:ascii="宋体" w:hAnsi="宋体" w:eastAsia="宋体" w:cs="宋体"/>
                <w:szCs w:val="21"/>
                <w:lang w:eastAsia="zh-CN"/>
              </w:rPr>
            </w:pPr>
            <w:r>
              <w:rPr>
                <w:rFonts w:hint="eastAsia" w:ascii="宋体" w:hAnsi="宋体" w:eastAsia="宋体" w:cs="宋体"/>
                <w:color w:val="auto"/>
                <w:szCs w:val="21"/>
              </w:rPr>
              <w:t>⑤</w:t>
            </w:r>
            <w:r>
              <w:rPr>
                <w:rFonts w:hint="eastAsia" w:ascii="宋体" w:hAnsi="宋体" w:eastAsia="宋体" w:cs="宋体"/>
                <w:bCs/>
                <w:color w:val="auto"/>
                <w:sz w:val="21"/>
                <w:szCs w:val="21"/>
                <w:highlight w:val="none"/>
              </w:rPr>
              <w:t>售后</w:t>
            </w:r>
            <w:r>
              <w:rPr>
                <w:rFonts w:hint="eastAsia" w:ascii="宋体" w:hAnsi="宋体" w:eastAsia="宋体" w:cs="宋体"/>
                <w:bCs/>
                <w:color w:val="auto"/>
                <w:sz w:val="21"/>
                <w:szCs w:val="21"/>
                <w:highlight w:val="none"/>
                <w:lang w:val="en-US" w:eastAsia="zh-CN"/>
              </w:rPr>
              <w:t>服务不够</w:t>
            </w:r>
            <w:r>
              <w:rPr>
                <w:rFonts w:hint="eastAsia" w:ascii="宋体" w:hAnsi="宋体" w:eastAsia="宋体" w:cs="宋体"/>
                <w:snapToGrid w:val="0"/>
                <w:color w:val="auto"/>
                <w:kern w:val="2"/>
                <w:sz w:val="21"/>
                <w:szCs w:val="21"/>
                <w:highlight w:val="none"/>
                <w:lang w:val="zh-CN" w:eastAsia="zh-CN" w:bidi="ar-SA"/>
              </w:rPr>
              <w:t>便捷，</w:t>
            </w:r>
            <w:r>
              <w:rPr>
                <w:rFonts w:hint="eastAsia" w:ascii="宋体" w:hAnsi="宋体" w:eastAsia="宋体" w:cs="宋体"/>
                <w:szCs w:val="21"/>
                <w:lang w:val="en-US" w:eastAsia="zh-CN"/>
              </w:rPr>
              <w:t>质保期方案不适应本项目，售后服务优惠承诺及保障不全面的得1分</w:t>
            </w:r>
            <w:r>
              <w:rPr>
                <w:rFonts w:hint="eastAsia" w:ascii="宋体" w:hAnsi="宋体" w:cs="宋体"/>
                <w:szCs w:val="21"/>
                <w:lang w:eastAsia="zh-CN"/>
              </w:rPr>
              <w:t>；</w:t>
            </w:r>
          </w:p>
          <w:p w14:paraId="20D30709">
            <w:pPr>
              <w:keepNext w:val="0"/>
              <w:keepLines w:val="0"/>
              <w:suppressLineNumbers w:val="0"/>
              <w:adjustRightInd w:val="0"/>
              <w:snapToGrid w:val="0"/>
              <w:spacing w:before="0" w:beforeAutospacing="0" w:after="0" w:afterAutospacing="0" w:line="360" w:lineRule="exact"/>
              <w:ind w:left="0" w:right="0"/>
              <w:rPr>
                <w:rFonts w:hint="default" w:ascii="宋体" w:hAnsi="宋体" w:eastAsia="宋体" w:cs="宋体"/>
                <w:szCs w:val="21"/>
              </w:rPr>
            </w:pPr>
            <w:r>
              <w:rPr>
                <w:rFonts w:hint="eastAsia" w:ascii="宋体" w:hAnsi="宋体" w:eastAsia="宋体" w:cs="宋体"/>
                <w:szCs w:val="21"/>
                <w:lang w:val="en-US" w:eastAsia="zh-CN"/>
              </w:rPr>
              <w:t>无相关内容不得分</w:t>
            </w:r>
            <w:r>
              <w:rPr>
                <w:rFonts w:hint="eastAsia" w:ascii="宋体" w:hAnsi="宋体" w:cs="宋体"/>
                <w:szCs w:val="21"/>
              </w:rPr>
              <w:t>。</w:t>
            </w:r>
          </w:p>
        </w:tc>
      </w:tr>
      <w:tr w14:paraId="4DE3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107" w:type="dxa"/>
            <w:tcBorders>
              <w:left w:val="single" w:color="auto" w:sz="4" w:space="0"/>
              <w:right w:val="single" w:color="auto" w:sz="4" w:space="0"/>
            </w:tcBorders>
            <w:vAlign w:val="center"/>
          </w:tcPr>
          <w:p w14:paraId="1F3EEF11">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p>
        </w:tc>
        <w:tc>
          <w:tcPr>
            <w:tcW w:w="1542" w:type="dxa"/>
            <w:tcBorders>
              <w:left w:val="single" w:color="auto" w:sz="4" w:space="0"/>
            </w:tcBorders>
            <w:vAlign w:val="center"/>
          </w:tcPr>
          <w:p w14:paraId="489B7465">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color w:val="FF0000"/>
                <w:szCs w:val="21"/>
                <w:lang w:val="en-US" w:eastAsia="zh-CN"/>
              </w:rPr>
            </w:pPr>
            <w:r>
              <w:rPr>
                <w:rFonts w:hint="eastAsia" w:ascii="宋体" w:hAnsi="宋体" w:cs="宋体"/>
                <w:color w:val="auto"/>
                <w:szCs w:val="21"/>
                <w:lang w:val="en-US" w:eastAsia="zh-CN"/>
              </w:rPr>
              <w:t>应急方案（5分）</w:t>
            </w:r>
          </w:p>
        </w:tc>
        <w:tc>
          <w:tcPr>
            <w:tcW w:w="6336" w:type="dxa"/>
            <w:vAlign w:val="center"/>
          </w:tcPr>
          <w:p w14:paraId="3BF9A804">
            <w:pPr>
              <w:keepNext w:val="0"/>
              <w:keepLines w:val="0"/>
              <w:suppressLineNumbers w:val="0"/>
              <w:autoSpaceDE w:val="0"/>
              <w:autoSpaceDN w:val="0"/>
              <w:spacing w:before="0" w:beforeAutospacing="0" w:after="0" w:afterAutospacing="0" w:line="380" w:lineRule="atLeast"/>
              <w:ind w:left="0" w:right="0"/>
              <w:jc w:val="left"/>
              <w:rPr>
                <w:rFonts w:hint="eastAsia" w:ascii="Times New Roman" w:hAnsi="宋体" w:eastAsia="宋体" w:cs="宋体"/>
                <w:color w:val="auto"/>
                <w:sz w:val="21"/>
                <w:szCs w:val="20"/>
                <w:highlight w:val="none"/>
                <w:lang w:val="en-US" w:eastAsia="zh-CN"/>
              </w:rPr>
            </w:pPr>
            <w:r>
              <w:rPr>
                <w:rFonts w:hint="eastAsia" w:ascii="宋体" w:hAnsi="宋体" w:cs="宋体"/>
                <w:szCs w:val="21"/>
                <w:lang w:val="en-US" w:eastAsia="zh-CN"/>
              </w:rPr>
              <w:t>13、评标委员会根据</w:t>
            </w:r>
            <w:r>
              <w:rPr>
                <w:rFonts w:hint="eastAsia" w:ascii="宋体" w:hAnsi="宋体" w:cs="宋体"/>
                <w:szCs w:val="21"/>
              </w:rPr>
              <w:t>供应商</w:t>
            </w:r>
            <w:r>
              <w:rPr>
                <w:rFonts w:hint="eastAsia" w:ascii="宋体" w:hAnsi="宋体" w:eastAsia="宋体" w:cs="宋体"/>
                <w:szCs w:val="21"/>
              </w:rPr>
              <w:t>提供的</w:t>
            </w:r>
            <w:r>
              <w:rPr>
                <w:rFonts w:hint="eastAsia" w:ascii="Times New Roman" w:hAnsi="宋体" w:eastAsia="宋体" w:cs="宋体"/>
                <w:color w:val="auto"/>
                <w:sz w:val="21"/>
                <w:szCs w:val="20"/>
                <w:highlight w:val="none"/>
              </w:rPr>
              <w:t>应急预案(包括临时突发情况、现场处置方案等）的针对性、科学合理性</w:t>
            </w:r>
            <w:r>
              <w:rPr>
                <w:rFonts w:hint="eastAsia" w:ascii="Times New Roman" w:hAnsi="宋体" w:eastAsia="宋体" w:cs="宋体"/>
                <w:color w:val="auto"/>
                <w:sz w:val="21"/>
                <w:szCs w:val="20"/>
                <w:highlight w:val="none"/>
                <w:lang w:val="en-US" w:eastAsia="zh-CN"/>
              </w:rPr>
              <w:t>进行综合评议：</w:t>
            </w:r>
          </w:p>
          <w:p w14:paraId="2E0BE3D3">
            <w:pPr>
              <w:keepNext w:val="0"/>
              <w:keepLines w:val="0"/>
              <w:suppressLineNumbers w:val="0"/>
              <w:tabs>
                <w:tab w:val="left" w:pos="4915"/>
              </w:tabs>
              <w:spacing w:before="0" w:beforeAutospacing="0" w:after="0" w:afterAutospacing="0" w:line="340" w:lineRule="exact"/>
              <w:ind w:left="0" w:right="0"/>
              <w:rPr>
                <w:rFonts w:hint="default" w:ascii="宋体" w:hAnsi="宋体" w:cs="宋体"/>
                <w:spacing w:val="-6"/>
                <w:szCs w:val="21"/>
              </w:rPr>
            </w:pPr>
            <w:r>
              <w:rPr>
                <w:rFonts w:hint="eastAsia" w:ascii="宋体" w:hAnsi="宋体" w:eastAsia="宋体" w:cs="宋体"/>
                <w:color w:val="auto"/>
                <w:szCs w:val="21"/>
              </w:rPr>
              <w:t>①</w:t>
            </w:r>
            <w:r>
              <w:rPr>
                <w:rFonts w:hint="eastAsia" w:ascii="宋体" w:hAnsi="宋体" w:cs="宋体"/>
                <w:spacing w:val="-6"/>
                <w:szCs w:val="21"/>
              </w:rPr>
              <w:t>应急预案</w:t>
            </w:r>
            <w:r>
              <w:rPr>
                <w:rFonts w:hint="eastAsia" w:ascii="Times New Roman" w:hAnsi="宋体" w:eastAsia="宋体" w:cs="宋体"/>
                <w:color w:val="auto"/>
                <w:sz w:val="21"/>
                <w:szCs w:val="20"/>
                <w:highlight w:val="none"/>
              </w:rPr>
              <w:t>(包括临时突发情况、现场处置方案等）</w:t>
            </w:r>
            <w:r>
              <w:rPr>
                <w:rFonts w:hint="eastAsia" w:ascii="宋体" w:hAnsi="宋体" w:cs="宋体"/>
                <w:spacing w:val="-6"/>
                <w:szCs w:val="21"/>
              </w:rPr>
              <w:t>条款完整、措施得力、能有效降低突发事件的不利影响的得5 分；</w:t>
            </w:r>
          </w:p>
          <w:p w14:paraId="0D1BF064">
            <w:pPr>
              <w:keepNext w:val="0"/>
              <w:keepLines w:val="0"/>
              <w:suppressLineNumbers w:val="0"/>
              <w:tabs>
                <w:tab w:val="left" w:pos="4915"/>
              </w:tabs>
              <w:spacing w:before="0" w:beforeAutospacing="0" w:after="0" w:afterAutospacing="0" w:line="340" w:lineRule="exact"/>
              <w:ind w:left="0" w:right="0"/>
              <w:rPr>
                <w:rFonts w:hint="eastAsia" w:ascii="宋体" w:hAnsi="宋体" w:eastAsia="宋体" w:cs="宋体"/>
                <w:spacing w:val="-6"/>
                <w:szCs w:val="21"/>
                <w:lang w:eastAsia="zh-CN"/>
              </w:rPr>
            </w:pPr>
            <w:r>
              <w:rPr>
                <w:rFonts w:hint="eastAsia" w:ascii="宋体" w:hAnsi="宋体" w:eastAsia="宋体" w:cs="宋体"/>
                <w:color w:val="auto"/>
                <w:szCs w:val="21"/>
                <w:lang w:val="en-US" w:eastAsia="zh-CN"/>
              </w:rPr>
              <w:t>②</w:t>
            </w:r>
            <w:r>
              <w:rPr>
                <w:rFonts w:hint="eastAsia" w:ascii="宋体" w:hAnsi="宋体" w:cs="宋体"/>
                <w:spacing w:val="-6"/>
                <w:szCs w:val="21"/>
              </w:rPr>
              <w:t>应急预案</w:t>
            </w:r>
            <w:r>
              <w:rPr>
                <w:rFonts w:hint="eastAsia" w:ascii="Times New Roman" w:hAnsi="宋体" w:eastAsia="宋体" w:cs="宋体"/>
                <w:color w:val="auto"/>
                <w:sz w:val="21"/>
                <w:szCs w:val="20"/>
                <w:highlight w:val="none"/>
              </w:rPr>
              <w:t>(包括临时突发情况、现场处置方案等）</w:t>
            </w:r>
            <w:r>
              <w:rPr>
                <w:rFonts w:hint="eastAsia" w:ascii="宋体" w:hAnsi="宋体" w:cs="宋体"/>
                <w:spacing w:val="-6"/>
                <w:szCs w:val="21"/>
              </w:rPr>
              <w:t>条款内容完整，措施基本得力，能降低突发事件的不利影响的得4 分</w:t>
            </w:r>
            <w:r>
              <w:rPr>
                <w:rFonts w:hint="eastAsia" w:ascii="宋体" w:hAnsi="宋体" w:cs="宋体"/>
                <w:spacing w:val="-6"/>
                <w:szCs w:val="21"/>
                <w:lang w:eastAsia="zh-CN"/>
              </w:rPr>
              <w:t>；</w:t>
            </w:r>
          </w:p>
          <w:p w14:paraId="39C56DD1">
            <w:pPr>
              <w:keepNext w:val="0"/>
              <w:keepLines w:val="0"/>
              <w:suppressLineNumbers w:val="0"/>
              <w:tabs>
                <w:tab w:val="left" w:pos="4915"/>
              </w:tabs>
              <w:spacing w:before="0" w:beforeAutospacing="0" w:after="0" w:afterAutospacing="0" w:line="340" w:lineRule="exact"/>
              <w:ind w:left="0" w:right="0"/>
              <w:rPr>
                <w:rFonts w:hint="default" w:ascii="宋体" w:hAnsi="宋体" w:cs="宋体"/>
                <w:spacing w:val="-11"/>
                <w:szCs w:val="21"/>
              </w:rPr>
            </w:pPr>
            <w:r>
              <w:rPr>
                <w:rFonts w:hint="eastAsia" w:ascii="宋体" w:hAnsi="宋体" w:eastAsia="宋体" w:cs="宋体"/>
                <w:color w:val="auto"/>
                <w:szCs w:val="21"/>
                <w:lang w:val="en-US" w:eastAsia="zh-CN"/>
              </w:rPr>
              <w:t>③</w:t>
            </w:r>
            <w:r>
              <w:rPr>
                <w:rFonts w:hint="eastAsia" w:ascii="宋体" w:hAnsi="宋体" w:cs="宋体"/>
                <w:spacing w:val="-11"/>
                <w:szCs w:val="21"/>
              </w:rPr>
              <w:t>条款内容完整、但具体措施与实际情况略有偏差、预计尚不影响履约得3分；</w:t>
            </w:r>
          </w:p>
          <w:p w14:paraId="441F5CDA">
            <w:pPr>
              <w:keepNext w:val="0"/>
              <w:keepLines w:val="0"/>
              <w:suppressLineNumbers w:val="0"/>
              <w:tabs>
                <w:tab w:val="left" w:pos="4915"/>
              </w:tabs>
              <w:spacing w:before="0" w:beforeAutospacing="0" w:after="0" w:afterAutospacing="0" w:line="340" w:lineRule="exact"/>
              <w:ind w:left="0" w:right="0"/>
              <w:rPr>
                <w:rFonts w:hint="default" w:ascii="宋体" w:hAnsi="宋体" w:cs="宋体"/>
                <w:spacing w:val="-11"/>
                <w:szCs w:val="21"/>
              </w:rPr>
            </w:pPr>
            <w:r>
              <w:rPr>
                <w:rFonts w:hint="eastAsia" w:ascii="宋体" w:hAnsi="宋体" w:eastAsia="宋体" w:cs="宋体"/>
                <w:color w:val="auto"/>
                <w:szCs w:val="21"/>
                <w:lang w:val="en-US" w:eastAsia="zh-CN"/>
              </w:rPr>
              <w:t>④</w:t>
            </w:r>
            <w:r>
              <w:rPr>
                <w:rFonts w:hint="eastAsia" w:ascii="宋体" w:hAnsi="宋体" w:cs="宋体"/>
                <w:spacing w:val="-11"/>
                <w:szCs w:val="21"/>
              </w:rPr>
              <w:t>条款内容具体措施有明显缺漏项，或过于笼统但能保证项目顺利实施的得2分；</w:t>
            </w:r>
          </w:p>
          <w:p w14:paraId="2A11C52F">
            <w:pPr>
              <w:keepNext w:val="0"/>
              <w:keepLines w:val="0"/>
              <w:suppressLineNumbers w:val="0"/>
              <w:tabs>
                <w:tab w:val="left" w:pos="4915"/>
              </w:tabs>
              <w:spacing w:before="0" w:beforeAutospacing="0" w:after="0" w:afterAutospacing="0" w:line="340" w:lineRule="exact"/>
              <w:ind w:left="0" w:right="0"/>
              <w:rPr>
                <w:rFonts w:hint="default" w:ascii="宋体" w:hAnsi="宋体" w:cs="宋体"/>
                <w:szCs w:val="21"/>
              </w:rPr>
            </w:pPr>
            <w:r>
              <w:rPr>
                <w:rFonts w:hint="eastAsia" w:ascii="宋体" w:hAnsi="宋体" w:eastAsia="宋体" w:cs="宋体"/>
                <w:color w:val="auto"/>
                <w:szCs w:val="21"/>
              </w:rPr>
              <w:t>⑤</w:t>
            </w:r>
            <w:r>
              <w:rPr>
                <w:rFonts w:hint="eastAsia" w:ascii="宋体" w:hAnsi="宋体" w:cs="宋体"/>
                <w:sz w:val="22"/>
                <w:szCs w:val="22"/>
              </w:rPr>
              <w:t>条款内容不完整、或措施没有实际效果、无法保障项目实施的得1分；</w:t>
            </w:r>
          </w:p>
          <w:p w14:paraId="4A8F7E83">
            <w:pPr>
              <w:keepNext w:val="0"/>
              <w:keepLines w:val="0"/>
              <w:suppressLineNumbers w:val="0"/>
              <w:adjustRightInd w:val="0"/>
              <w:snapToGrid w:val="0"/>
              <w:spacing w:before="0" w:beforeAutospacing="0" w:after="0" w:afterAutospacing="0" w:line="360" w:lineRule="exact"/>
              <w:ind w:left="0" w:right="0"/>
              <w:rPr>
                <w:rFonts w:hint="eastAsia" w:ascii="宋体" w:hAnsi="宋体" w:eastAsia="宋体" w:cs="宋体"/>
                <w:color w:val="FF0000"/>
                <w:szCs w:val="21"/>
              </w:rPr>
            </w:pPr>
            <w:r>
              <w:rPr>
                <w:rFonts w:hint="eastAsia" w:ascii="宋体" w:hAnsi="宋体" w:eastAsia="宋体" w:cs="宋体"/>
                <w:szCs w:val="21"/>
                <w:lang w:val="en-US" w:eastAsia="zh-CN"/>
              </w:rPr>
              <w:t>无相关内容不得分</w:t>
            </w:r>
            <w:r>
              <w:rPr>
                <w:rFonts w:hint="eastAsia" w:ascii="宋体" w:hAnsi="宋体" w:cs="宋体"/>
                <w:szCs w:val="21"/>
              </w:rPr>
              <w:t>。</w:t>
            </w:r>
          </w:p>
        </w:tc>
      </w:tr>
      <w:tr w14:paraId="7337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107" w:type="dxa"/>
            <w:tcBorders>
              <w:left w:val="single" w:color="auto" w:sz="4" w:space="0"/>
              <w:right w:val="single" w:color="auto" w:sz="4" w:space="0"/>
            </w:tcBorders>
            <w:vAlign w:val="center"/>
          </w:tcPr>
          <w:p w14:paraId="5C21B37E">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rPr>
            </w:pPr>
          </w:p>
        </w:tc>
        <w:tc>
          <w:tcPr>
            <w:tcW w:w="1542" w:type="dxa"/>
            <w:tcBorders>
              <w:left w:val="single" w:color="auto" w:sz="4" w:space="0"/>
            </w:tcBorders>
            <w:vAlign w:val="center"/>
          </w:tcPr>
          <w:p w14:paraId="6100FF00">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eastAsia="宋体" w:cs="宋体"/>
                <w:szCs w:val="21"/>
                <w:lang w:val="en-US" w:eastAsia="zh-CN"/>
              </w:rPr>
            </w:pPr>
            <w:r>
              <w:rPr>
                <w:rFonts w:hint="eastAsia" w:ascii="宋体" w:hAnsi="宋体" w:eastAsia="宋体" w:cs="宋体"/>
                <w:szCs w:val="21"/>
              </w:rPr>
              <w:t>业绩</w:t>
            </w:r>
            <w:r>
              <w:rPr>
                <w:rFonts w:hint="eastAsia" w:ascii="宋体" w:hAnsi="宋体" w:cs="宋体"/>
                <w:szCs w:val="21"/>
                <w:lang w:eastAsia="zh-CN"/>
              </w:rPr>
              <w:t>（</w:t>
            </w:r>
            <w:r>
              <w:rPr>
                <w:rFonts w:hint="eastAsia" w:ascii="宋体" w:hAnsi="宋体" w:cs="宋体"/>
                <w:szCs w:val="21"/>
                <w:lang w:val="en-US" w:eastAsia="zh-CN"/>
              </w:rPr>
              <w:t>1分）</w:t>
            </w:r>
          </w:p>
        </w:tc>
        <w:tc>
          <w:tcPr>
            <w:tcW w:w="6336" w:type="dxa"/>
            <w:vAlign w:val="center"/>
          </w:tcPr>
          <w:p w14:paraId="71AF7706">
            <w:pPr>
              <w:keepNext w:val="0"/>
              <w:keepLines w:val="0"/>
              <w:suppressLineNumbers w:val="0"/>
              <w:adjustRightInd w:val="0"/>
              <w:snapToGrid w:val="0"/>
              <w:spacing w:before="0" w:beforeAutospacing="0" w:after="0" w:afterAutospacing="0" w:line="360" w:lineRule="exact"/>
              <w:ind w:left="0" w:right="0"/>
              <w:rPr>
                <w:rFonts w:hint="default" w:ascii="宋体" w:hAnsi="宋体" w:cs="宋体"/>
                <w:szCs w:val="21"/>
                <w:lang w:val="zh-CN"/>
              </w:rPr>
            </w:pPr>
            <w:r>
              <w:rPr>
                <w:rFonts w:hint="eastAsia" w:ascii="宋体" w:hAnsi="宋体" w:cs="宋体"/>
                <w:szCs w:val="21"/>
                <w:lang w:val="en-US" w:eastAsia="zh-CN"/>
              </w:rPr>
              <w:t>14、</w:t>
            </w:r>
            <w:r>
              <w:rPr>
                <w:rFonts w:hint="eastAsia" w:ascii="宋体" w:hAnsi="宋体" w:cs="宋体"/>
                <w:szCs w:val="21"/>
              </w:rPr>
              <w:t>投标人自</w:t>
            </w:r>
            <w:r>
              <w:rPr>
                <w:rFonts w:hint="default" w:ascii="宋体" w:hAnsi="宋体" w:cs="宋体"/>
                <w:color w:val="auto"/>
                <w:szCs w:val="21"/>
                <w:lang w:val="zh-CN"/>
              </w:rPr>
              <w:t>20</w:t>
            </w:r>
            <w:r>
              <w:rPr>
                <w:rFonts w:hint="eastAsia" w:ascii="宋体" w:hAnsi="宋体" w:cs="宋体"/>
                <w:color w:val="auto"/>
                <w:szCs w:val="21"/>
              </w:rPr>
              <w:t>2</w:t>
            </w:r>
            <w:r>
              <w:rPr>
                <w:rFonts w:hint="eastAsia" w:ascii="宋体" w:hAnsi="宋体" w:cs="宋体"/>
                <w:color w:val="auto"/>
                <w:szCs w:val="21"/>
                <w:lang w:val="en-US" w:eastAsia="zh-CN"/>
              </w:rPr>
              <w:t>2</w:t>
            </w:r>
            <w:r>
              <w:rPr>
                <w:rFonts w:hint="default" w:ascii="宋体" w:hAnsi="宋体" w:cs="宋体"/>
                <w:color w:val="auto"/>
                <w:szCs w:val="21"/>
                <w:lang w:val="zh-CN"/>
              </w:rPr>
              <w:t>年</w:t>
            </w:r>
            <w:r>
              <w:rPr>
                <w:rFonts w:hint="default" w:ascii="宋体" w:hAnsi="宋体" w:cs="宋体"/>
                <w:szCs w:val="21"/>
                <w:lang w:val="zh-CN"/>
              </w:rPr>
              <w:t>1月以来有类似</w:t>
            </w:r>
            <w:r>
              <w:rPr>
                <w:rFonts w:hint="eastAsia" w:ascii="宋体" w:hAnsi="宋体" w:cs="宋体"/>
                <w:color w:val="auto"/>
                <w:szCs w:val="21"/>
                <w:highlight w:val="none"/>
                <w:lang w:val="zh-CN"/>
              </w:rPr>
              <w:t>项目</w:t>
            </w:r>
            <w:r>
              <w:rPr>
                <w:rFonts w:hint="default" w:ascii="宋体" w:hAnsi="宋体" w:cs="宋体"/>
                <w:szCs w:val="21"/>
                <w:lang w:val="zh-CN"/>
              </w:rPr>
              <w:t>案例，每提供一个得</w:t>
            </w:r>
            <w:r>
              <w:rPr>
                <w:rFonts w:hint="eastAsia" w:ascii="宋体" w:hAnsi="宋体" w:cs="宋体"/>
                <w:szCs w:val="21"/>
                <w:lang w:val="en-US" w:eastAsia="zh-CN"/>
              </w:rPr>
              <w:t>0.5</w:t>
            </w:r>
            <w:r>
              <w:rPr>
                <w:rFonts w:hint="default" w:ascii="宋体" w:hAnsi="宋体" w:cs="宋体"/>
                <w:szCs w:val="21"/>
                <w:lang w:val="zh-CN"/>
              </w:rPr>
              <w:t>分，最多</w:t>
            </w:r>
            <w:r>
              <w:rPr>
                <w:rFonts w:hint="eastAsia" w:ascii="宋体" w:hAnsi="宋体" w:cs="宋体"/>
                <w:szCs w:val="21"/>
                <w:lang w:val="en-US" w:eastAsia="zh-CN"/>
              </w:rPr>
              <w:t>1</w:t>
            </w:r>
            <w:r>
              <w:rPr>
                <w:rFonts w:hint="default" w:ascii="宋体" w:hAnsi="宋体" w:cs="宋体"/>
                <w:szCs w:val="21"/>
                <w:lang w:val="zh-CN"/>
              </w:rPr>
              <w:t>分。</w:t>
            </w:r>
          </w:p>
          <w:p w14:paraId="3710B206">
            <w:pPr>
              <w:pStyle w:val="92"/>
              <w:keepNext w:val="0"/>
              <w:keepLines w:val="0"/>
              <w:widowControl/>
              <w:suppressLineNumbers w:val="0"/>
              <w:spacing w:before="0" w:beforeAutospacing="0" w:after="0" w:afterAutospacing="0"/>
              <w:ind w:left="0" w:right="0"/>
              <w:rPr>
                <w:rFonts w:hint="default" w:hAnsi="宋体"/>
                <w:szCs w:val="20"/>
              </w:rPr>
            </w:pPr>
            <w:r>
              <w:rPr>
                <w:rFonts w:hint="eastAsia" w:hAnsi="宋体" w:cs="宋体"/>
                <w:b/>
                <w:szCs w:val="21"/>
                <w:lang w:val="zh-CN"/>
              </w:rPr>
              <w:t>备注</w:t>
            </w:r>
            <w:r>
              <w:rPr>
                <w:rFonts w:hint="default" w:hAnsi="宋体" w:cs="宋体"/>
                <w:b/>
                <w:szCs w:val="21"/>
                <w:lang w:val="zh-CN"/>
              </w:rPr>
              <w:t>：（标书中附上相关合同</w:t>
            </w:r>
            <w:r>
              <w:rPr>
                <w:rFonts w:hint="eastAsia" w:hAnsi="宋体" w:cs="宋体"/>
                <w:b/>
                <w:color w:val="auto"/>
                <w:szCs w:val="21"/>
                <w:lang w:val="en-US" w:eastAsia="zh-CN"/>
              </w:rPr>
              <w:t>及</w:t>
            </w:r>
            <w:r>
              <w:rPr>
                <w:rFonts w:hint="eastAsia" w:hAnsi="宋体" w:cs="宋体"/>
                <w:b/>
                <w:szCs w:val="21"/>
                <w:lang w:val="en-US" w:eastAsia="zh-CN"/>
              </w:rPr>
              <w:t>中标通知书</w:t>
            </w:r>
            <w:r>
              <w:rPr>
                <w:rFonts w:hint="default" w:hAnsi="宋体" w:cs="宋体"/>
                <w:b/>
                <w:szCs w:val="21"/>
                <w:lang w:val="zh-CN"/>
              </w:rPr>
              <w:t>扫描件</w:t>
            </w:r>
            <w:r>
              <w:rPr>
                <w:rFonts w:hint="eastAsia" w:hAnsi="宋体" w:cs="宋体"/>
                <w:b/>
                <w:szCs w:val="21"/>
                <w:lang w:val="en-US" w:eastAsia="zh-CN"/>
              </w:rPr>
              <w:t>并加盖公章</w:t>
            </w:r>
            <w:r>
              <w:rPr>
                <w:rFonts w:hint="default" w:hAnsi="宋体" w:cs="宋体"/>
                <w:b/>
                <w:szCs w:val="21"/>
                <w:lang w:val="zh-CN"/>
              </w:rPr>
              <w:t>）。</w:t>
            </w:r>
          </w:p>
        </w:tc>
      </w:tr>
    </w:tbl>
    <w:p w14:paraId="113856C7">
      <w:pPr>
        <w:adjustRightInd/>
        <w:spacing w:line="360" w:lineRule="auto"/>
        <w:jc w:val="left"/>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rPr>
        <w:t>备注：供应商编制响应文件时，建议按此目录（序号和内容）提供评审标准相应的商务技术资料。</w:t>
      </w:r>
      <w:r>
        <w:rPr>
          <w:rFonts w:hint="eastAsia" w:ascii="宋体" w:hAnsi="宋体" w:eastAsia="宋体" w:cs="宋体"/>
          <w:b/>
          <w:kern w:val="0"/>
          <w:sz w:val="24"/>
          <w:highlight w:val="none"/>
          <w:lang w:val="en-US" w:eastAsia="zh-CN"/>
        </w:rPr>
        <w:t>小数点后保留一位小数。</w:t>
      </w:r>
    </w:p>
    <w:p w14:paraId="73AC9F88">
      <w:pPr>
        <w:keepNext w:val="0"/>
        <w:keepLines w:val="0"/>
        <w:pageBreakBefore w:val="0"/>
        <w:widowControl w:val="0"/>
        <w:kinsoku/>
        <w:wordWrap/>
        <w:overflowPunct/>
        <w:topLinePunct w:val="0"/>
        <w:autoSpaceDE/>
        <w:autoSpaceDN/>
        <w:bidi w:val="0"/>
        <w:snapToGrid w:val="0"/>
        <w:spacing w:line="336" w:lineRule="auto"/>
        <w:jc w:val="both"/>
        <w:textAlignment w:val="auto"/>
        <w:outlineLvl w:val="9"/>
        <w:rPr>
          <w:rFonts w:hint="eastAsia" w:ascii="宋体" w:hAnsi="宋体" w:cs="宋体"/>
          <w:b/>
          <w:sz w:val="32"/>
        </w:rPr>
      </w:pPr>
      <w:bookmarkStart w:id="21" w:name="_Toc462908589"/>
    </w:p>
    <w:p w14:paraId="2BC75D5F">
      <w:pPr>
        <w:kinsoku/>
        <w:wordWrap/>
        <w:overflowPunct/>
        <w:topLinePunct w:val="0"/>
        <w:bidi w:val="0"/>
        <w:snapToGrid w:val="0"/>
        <w:spacing w:line="360" w:lineRule="auto"/>
        <w:jc w:val="center"/>
        <w:outlineLvl w:val="9"/>
        <w:rPr>
          <w:rFonts w:ascii="宋体" w:hAnsi="宋体" w:cs="宋体"/>
          <w:b/>
          <w:sz w:val="28"/>
          <w:szCs w:val="28"/>
        </w:rPr>
      </w:pPr>
      <w:r>
        <w:rPr>
          <w:rFonts w:hint="eastAsia" w:ascii="宋体" w:hAnsi="宋体" w:cs="宋体"/>
          <w:b/>
          <w:sz w:val="32"/>
        </w:rPr>
        <w:t>一、评审方法</w:t>
      </w:r>
    </w:p>
    <w:p w14:paraId="47058E01">
      <w:pPr>
        <w:kinsoku/>
        <w:wordWrap/>
        <w:overflowPunct/>
        <w:topLinePunct w:val="0"/>
        <w:bidi w:val="0"/>
        <w:adjustRightInd/>
        <w:spacing w:line="360" w:lineRule="auto"/>
        <w:ind w:firstLine="472" w:firstLineChars="196"/>
        <w:outlineLvl w:val="9"/>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4925644E">
      <w:pPr>
        <w:kinsoku/>
        <w:wordWrap/>
        <w:overflowPunct/>
        <w:topLinePunct w:val="0"/>
        <w:bidi w:val="0"/>
        <w:snapToGrid w:val="0"/>
        <w:spacing w:line="360" w:lineRule="auto"/>
        <w:jc w:val="center"/>
        <w:outlineLvl w:val="9"/>
        <w:rPr>
          <w:rFonts w:ascii="宋体" w:hAnsi="宋体" w:cs="宋体"/>
          <w:b/>
          <w:sz w:val="32"/>
        </w:rPr>
      </w:pPr>
      <w:r>
        <w:rPr>
          <w:rFonts w:hint="eastAsia" w:ascii="宋体" w:hAnsi="宋体" w:cs="宋体"/>
          <w:b/>
          <w:sz w:val="32"/>
        </w:rPr>
        <w:t>二、评审标准</w:t>
      </w:r>
    </w:p>
    <w:p w14:paraId="7628F386">
      <w:pPr>
        <w:kinsoku/>
        <w:wordWrap/>
        <w:overflowPunct/>
        <w:topLinePunct w:val="0"/>
        <w:bidi w:val="0"/>
        <w:spacing w:line="360" w:lineRule="auto"/>
        <w:ind w:firstLine="472" w:firstLineChars="196"/>
        <w:outlineLvl w:val="9"/>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5E4486C3">
      <w:pPr>
        <w:kinsoku/>
        <w:wordWrap/>
        <w:overflowPunct/>
        <w:topLinePunct w:val="0"/>
        <w:bidi w:val="0"/>
        <w:snapToGrid w:val="0"/>
        <w:spacing w:line="360" w:lineRule="auto"/>
        <w:jc w:val="center"/>
        <w:outlineLvl w:val="9"/>
        <w:rPr>
          <w:rFonts w:ascii="宋体" w:hAnsi="宋体" w:cs="宋体"/>
          <w:b/>
          <w:sz w:val="32"/>
        </w:rPr>
      </w:pPr>
      <w:r>
        <w:rPr>
          <w:rFonts w:hint="eastAsia" w:ascii="宋体" w:hAnsi="宋体" w:cs="宋体"/>
          <w:b/>
          <w:sz w:val="32"/>
        </w:rPr>
        <w:t>三、评审程序</w:t>
      </w:r>
    </w:p>
    <w:p w14:paraId="3F762CA3">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55ABDE7F">
      <w:pPr>
        <w:kinsoku/>
        <w:wordWrap/>
        <w:overflowPunct/>
        <w:topLinePunct w:val="0"/>
        <w:bidi w:val="0"/>
        <w:spacing w:line="360" w:lineRule="auto"/>
        <w:ind w:firstLine="472" w:firstLineChars="196"/>
        <w:outlineLvl w:val="9"/>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r>
        <w:rPr>
          <w:rFonts w:hint="eastAsia" w:ascii="宋体" w:hAnsi="宋体" w:cs="宋体"/>
          <w:b/>
          <w:bCs/>
          <w:sz w:val="24"/>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635DF698">
      <w:pPr>
        <w:kinsoku/>
        <w:wordWrap/>
        <w:overflowPunct/>
        <w:topLinePunct w:val="0"/>
        <w:bidi w:val="0"/>
        <w:spacing w:line="360" w:lineRule="auto"/>
        <w:ind w:firstLine="470" w:firstLineChars="196"/>
        <w:outlineLvl w:val="9"/>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470C0893">
      <w:pPr>
        <w:kinsoku/>
        <w:wordWrap/>
        <w:overflowPunct/>
        <w:topLinePunct w:val="0"/>
        <w:bidi w:val="0"/>
        <w:spacing w:line="360" w:lineRule="auto"/>
        <w:ind w:firstLine="470" w:firstLineChars="196"/>
        <w:outlineLvl w:val="9"/>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6088D20">
      <w:pPr>
        <w:kinsoku/>
        <w:wordWrap/>
        <w:overflowPunct/>
        <w:topLinePunct w:val="0"/>
        <w:bidi w:val="0"/>
        <w:spacing w:line="360" w:lineRule="auto"/>
        <w:ind w:firstLine="470" w:firstLineChars="196"/>
        <w:outlineLvl w:val="9"/>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供应商。</w:t>
      </w:r>
    </w:p>
    <w:p w14:paraId="34985A6C">
      <w:pPr>
        <w:kinsoku/>
        <w:wordWrap/>
        <w:overflowPunct/>
        <w:topLinePunct w:val="0"/>
        <w:bidi w:val="0"/>
        <w:spacing w:line="360" w:lineRule="auto"/>
        <w:ind w:firstLine="472" w:firstLineChars="196"/>
        <w:outlineLvl w:val="9"/>
        <w:rPr>
          <w:rFonts w:ascii="宋体" w:hAnsi="宋体" w:cs="宋体"/>
          <w:b/>
          <w:bCs/>
          <w:kern w:val="0"/>
          <w:sz w:val="24"/>
        </w:rPr>
      </w:pPr>
      <w:r>
        <w:rPr>
          <w:rFonts w:hint="eastAsia" w:ascii="宋体" w:hAnsi="宋体" w:cs="宋体"/>
          <w:b/>
          <w:bCs/>
          <w:kern w:val="0"/>
          <w:sz w:val="24"/>
        </w:rPr>
        <w:t>3.3最后报价</w:t>
      </w:r>
    </w:p>
    <w:p w14:paraId="18A4AC7A">
      <w:pPr>
        <w:kinsoku/>
        <w:wordWrap/>
        <w:overflowPunct/>
        <w:topLinePunct w:val="0"/>
        <w:bidi w:val="0"/>
        <w:spacing w:line="360" w:lineRule="auto"/>
        <w:ind w:firstLine="470" w:firstLineChars="196"/>
        <w:outlineLvl w:val="9"/>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79191321">
      <w:pPr>
        <w:kinsoku/>
        <w:wordWrap/>
        <w:overflowPunct/>
        <w:topLinePunct w:val="0"/>
        <w:bidi w:val="0"/>
        <w:spacing w:line="360" w:lineRule="auto"/>
        <w:ind w:firstLine="470" w:firstLineChars="196"/>
        <w:outlineLvl w:val="9"/>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9ECA85B">
      <w:pPr>
        <w:kinsoku/>
        <w:wordWrap/>
        <w:overflowPunct/>
        <w:topLinePunct w:val="0"/>
        <w:bidi w:val="0"/>
        <w:spacing w:line="360" w:lineRule="auto"/>
        <w:ind w:firstLine="470" w:firstLineChars="196"/>
        <w:outlineLvl w:val="9"/>
        <w:rPr>
          <w:rFonts w:ascii="宋体" w:hAnsi="宋体" w:cs="宋体"/>
          <w:kern w:val="0"/>
          <w:sz w:val="24"/>
        </w:rPr>
      </w:pPr>
      <w:r>
        <w:rPr>
          <w:rFonts w:hint="eastAsia" w:ascii="宋体" w:hAnsi="宋体" w:cs="宋体"/>
          <w:kern w:val="0"/>
          <w:sz w:val="24"/>
        </w:rPr>
        <w:t>3.3.3 已提交响应文件的供应商，在提交最后报价之前，可以根据磋商情况退出磋商。如供应商未按磋商小组的要求在规定的时间内提交最后报价的，视为退出磋商。</w:t>
      </w:r>
    </w:p>
    <w:p w14:paraId="622042FD">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37465266">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55C54484">
      <w:pPr>
        <w:kinsoku/>
        <w:wordWrap/>
        <w:overflowPunct/>
        <w:topLinePunct w:val="0"/>
        <w:bidi w:val="0"/>
        <w:spacing w:line="360" w:lineRule="auto"/>
        <w:ind w:firstLine="472" w:firstLineChars="196"/>
        <w:outlineLvl w:val="9"/>
        <w:rPr>
          <w:rFonts w:ascii="宋体" w:hAnsi="宋体" w:cs="宋体"/>
          <w:b/>
          <w:kern w:val="0"/>
          <w:sz w:val="24"/>
        </w:rPr>
      </w:pPr>
      <w:r>
        <w:rPr>
          <w:rFonts w:hint="eastAsia" w:ascii="宋体" w:hAnsi="宋体" w:cs="宋体"/>
          <w:b/>
          <w:kern w:val="0"/>
          <w:sz w:val="24"/>
        </w:rPr>
        <w:t>3.6报价评审。</w:t>
      </w:r>
    </w:p>
    <w:p w14:paraId="499770B8">
      <w:pPr>
        <w:pStyle w:val="79"/>
        <w:kinsoku/>
        <w:wordWrap/>
        <w:overflowPunct/>
        <w:topLinePunct w:val="0"/>
        <w:bidi w:val="0"/>
        <w:spacing w:before="0"/>
        <w:ind w:firstLine="508" w:firstLineChars="212"/>
        <w:outlineLvl w:val="9"/>
        <w:rPr>
          <w:rFonts w:ascii="宋体" w:hAnsi="宋体" w:cs="宋体"/>
          <w:kern w:val="0"/>
        </w:rPr>
      </w:pPr>
      <w:r>
        <w:rPr>
          <w:rFonts w:hint="eastAsia" w:ascii="宋体" w:hAnsi="宋体" w:cs="宋体"/>
          <w:kern w:val="0"/>
        </w:rPr>
        <w:t>3.6.1响应文件报价出现前后不一致的，按照下列规定修正（修正原则）：</w:t>
      </w:r>
    </w:p>
    <w:p w14:paraId="69298E33">
      <w:pPr>
        <w:pStyle w:val="79"/>
        <w:kinsoku/>
        <w:wordWrap/>
        <w:overflowPunct/>
        <w:topLinePunct w:val="0"/>
        <w:bidi w:val="0"/>
        <w:spacing w:before="0"/>
        <w:ind w:firstLine="480"/>
        <w:outlineLvl w:val="9"/>
        <w:rPr>
          <w:rFonts w:hint="eastAsia" w:ascii="宋体" w:hAnsi="宋体" w:eastAsia="宋体" w:cs="宋体"/>
          <w:kern w:val="0"/>
          <w:szCs w:val="24"/>
          <w:lang w:eastAsia="zh-CN"/>
        </w:rPr>
      </w:pPr>
      <w:r>
        <w:rPr>
          <w:rFonts w:hint="eastAsia" w:ascii="宋体" w:hAnsi="宋体" w:cs="宋体"/>
          <w:kern w:val="0"/>
          <w:szCs w:val="24"/>
        </w:rPr>
        <w:t>3.6.1.1响应文件中已标价工程量清单</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内容与响应文件中相应内容不一致的，以已标价工程量清单</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3A47A23C">
      <w:pPr>
        <w:pStyle w:val="79"/>
        <w:kinsoku/>
        <w:wordWrap/>
        <w:overflowPunct/>
        <w:topLinePunct w:val="0"/>
        <w:bidi w:val="0"/>
        <w:spacing w:before="0"/>
        <w:ind w:firstLine="480"/>
        <w:outlineLvl w:val="9"/>
        <w:rPr>
          <w:rFonts w:hint="eastAsia" w:ascii="宋体" w:hAnsi="宋体" w:eastAsia="宋体" w:cs="宋体"/>
          <w:kern w:val="0"/>
          <w:szCs w:val="24"/>
          <w:lang w:eastAsia="zh-CN"/>
        </w:rPr>
      </w:pPr>
      <w:r>
        <w:rPr>
          <w:rFonts w:hint="eastAsia" w:ascii="宋体" w:hAnsi="宋体" w:cs="宋体"/>
          <w:kern w:val="0"/>
          <w:szCs w:val="24"/>
        </w:rPr>
        <w:t>3.6.1.2大写金额和小写金额不一致的，以大写金额为准</w:t>
      </w:r>
      <w:r>
        <w:rPr>
          <w:rFonts w:hint="eastAsia" w:ascii="宋体" w:hAnsi="宋体" w:cs="宋体"/>
          <w:kern w:val="0"/>
          <w:szCs w:val="24"/>
          <w:lang w:eastAsia="zh-CN"/>
        </w:rPr>
        <w:t>；</w:t>
      </w:r>
    </w:p>
    <w:p w14:paraId="6C2A81A6">
      <w:pPr>
        <w:pStyle w:val="79"/>
        <w:kinsoku/>
        <w:wordWrap/>
        <w:overflowPunct/>
        <w:topLinePunct w:val="0"/>
        <w:bidi w:val="0"/>
        <w:spacing w:before="0"/>
        <w:ind w:firstLine="480"/>
        <w:outlineLvl w:val="9"/>
        <w:rPr>
          <w:rFonts w:hint="eastAsia" w:ascii="宋体" w:hAnsi="宋体" w:eastAsia="宋体" w:cs="宋体"/>
          <w:kern w:val="0"/>
          <w:szCs w:val="24"/>
          <w:lang w:eastAsia="zh-CN"/>
        </w:rPr>
      </w:pPr>
      <w:r>
        <w:rPr>
          <w:rFonts w:hint="eastAsia" w:ascii="宋体" w:hAnsi="宋体" w:cs="宋体"/>
          <w:kern w:val="0"/>
          <w:szCs w:val="24"/>
        </w:rPr>
        <w:t>3.6.1.3单价金额小数点或者百分比有明显错位的，以已标价工程量清单</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的总价为准，并修改单价</w:t>
      </w:r>
      <w:r>
        <w:rPr>
          <w:rFonts w:hint="eastAsia" w:ascii="宋体" w:hAnsi="宋体" w:cs="宋体"/>
          <w:kern w:val="0"/>
          <w:szCs w:val="24"/>
          <w:lang w:eastAsia="zh-CN"/>
        </w:rPr>
        <w:t>；</w:t>
      </w:r>
    </w:p>
    <w:p w14:paraId="4B78D58D">
      <w:pPr>
        <w:pStyle w:val="7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70F7627F">
      <w:pPr>
        <w:pStyle w:val="7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14697B16">
      <w:pPr>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8F312FE">
      <w:pPr>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28647956">
      <w:pPr>
        <w:pStyle w:val="79"/>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1%的扣除，用扣除后的价格参加评审。组成联合体或者接受分包的小微企业与联合体内其他企业、分包企业之间存在直接控股、管理关系的，不享受价格扣除优惠政策。</w:t>
      </w:r>
    </w:p>
    <w:p w14:paraId="5DFC678B">
      <w:pPr>
        <w:kinsoku/>
        <w:wordWrap/>
        <w:overflowPunct/>
        <w:topLinePunct w:val="0"/>
        <w:bidi w:val="0"/>
        <w:spacing w:line="360" w:lineRule="auto"/>
        <w:ind w:firstLine="472" w:firstLineChars="196"/>
        <w:outlineLvl w:val="9"/>
        <w:rPr>
          <w:rFonts w:hint="eastAsia" w:ascii="宋体" w:hAnsi="宋体" w:eastAsia="宋体" w:cs="宋体"/>
          <w:b w:val="0"/>
          <w:bCs/>
          <w:kern w:val="0"/>
          <w:sz w:val="24"/>
          <w:lang w:val="en-US" w:eastAsia="zh-CN"/>
        </w:rPr>
      </w:pPr>
      <w:r>
        <w:rPr>
          <w:rFonts w:hint="eastAsia" w:ascii="宋体" w:hAnsi="宋体" w:cs="宋体"/>
          <w:b/>
          <w:kern w:val="0"/>
          <w:sz w:val="24"/>
        </w:rPr>
        <w:t>3.7排序与推荐。</w:t>
      </w:r>
      <w:r>
        <w:rPr>
          <w:rFonts w:hint="eastAsia" w:ascii="宋体" w:hAnsi="宋体" w:cs="宋体"/>
          <w:b w:val="0"/>
          <w:bCs/>
          <w:kern w:val="0"/>
          <w:sz w:val="24"/>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r>
        <w:rPr>
          <w:rFonts w:hint="eastAsia" w:ascii="宋体" w:hAnsi="宋体" w:cs="宋体"/>
          <w:kern w:val="0"/>
          <w:sz w:val="24"/>
        </w:rPr>
        <w:t>。</w:t>
      </w:r>
    </w:p>
    <w:p w14:paraId="51175AF5">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4E4CC6D">
      <w:pPr>
        <w:kinsoku/>
        <w:wordWrap/>
        <w:overflowPunct/>
        <w:topLinePunct w:val="0"/>
        <w:bidi w:val="0"/>
        <w:snapToGrid w:val="0"/>
        <w:spacing w:line="360" w:lineRule="auto"/>
        <w:jc w:val="center"/>
        <w:outlineLvl w:val="9"/>
        <w:rPr>
          <w:rFonts w:ascii="宋体" w:hAnsi="宋体" w:cs="宋体"/>
          <w:b/>
          <w:sz w:val="32"/>
        </w:rPr>
      </w:pPr>
      <w:r>
        <w:rPr>
          <w:rFonts w:hint="eastAsia" w:ascii="宋体" w:hAnsi="宋体" w:cs="宋体"/>
          <w:b/>
          <w:sz w:val="32"/>
        </w:rPr>
        <w:t>四、评审中的其他事项</w:t>
      </w:r>
    </w:p>
    <w:p w14:paraId="4FB874DC">
      <w:pPr>
        <w:pStyle w:val="79"/>
        <w:kinsoku/>
        <w:wordWrap/>
        <w:overflowPunct/>
        <w:topLinePunct w:val="0"/>
        <w:bidi w:val="0"/>
        <w:spacing w:before="0"/>
        <w:ind w:firstLine="472" w:firstLineChars="196"/>
        <w:outlineLvl w:val="9"/>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31AB49A">
      <w:pPr>
        <w:pStyle w:val="10"/>
        <w:kinsoku/>
        <w:wordWrap/>
        <w:overflowPunct/>
        <w:topLinePunct w:val="0"/>
        <w:bidi w:val="0"/>
        <w:spacing w:line="360" w:lineRule="auto"/>
        <w:ind w:left="954" w:leftChars="226" w:hanging="479" w:firstLineChars="0"/>
        <w:outlineLvl w:val="9"/>
        <w:rPr>
          <w:rFonts w:cs="宋体"/>
          <w:szCs w:val="21"/>
        </w:rPr>
      </w:pPr>
      <w:r>
        <w:rPr>
          <w:rFonts w:hint="eastAsia" w:cs="宋体"/>
          <w:b/>
          <w:kern w:val="0"/>
        </w:rPr>
        <w:t>4.2响应文件无效。</w:t>
      </w:r>
      <w:r>
        <w:rPr>
          <w:rFonts w:hint="eastAsia" w:cs="宋体"/>
          <w:szCs w:val="21"/>
        </w:rPr>
        <w:t>有下列情形之一的，响应文件无效：</w:t>
      </w:r>
    </w:p>
    <w:p w14:paraId="16EEB1B5">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B291D78">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4.2.2响应文件未按照采购文件要求签署、盖章的；</w:t>
      </w:r>
    </w:p>
    <w:p w14:paraId="4D575F02">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65609A8B">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4.2.4响应文件含有采购人不能接受的附加条件的；</w:t>
      </w:r>
    </w:p>
    <w:p w14:paraId="25277D78">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0D1CC5D9">
      <w:pPr>
        <w:kinsoku/>
        <w:wordWrap/>
        <w:overflowPunct/>
        <w:topLinePunct w:val="0"/>
        <w:bidi w:val="0"/>
        <w:spacing w:line="360" w:lineRule="auto"/>
        <w:ind w:firstLine="480" w:firstLineChars="200"/>
        <w:outlineLvl w:val="9"/>
        <w:rPr>
          <w:rFonts w:hint="eastAsia" w:ascii="宋体" w:hAnsi="宋体" w:eastAsia="宋体" w:cs="宋体"/>
          <w:kern w:val="0"/>
          <w:sz w:val="24"/>
          <w:lang w:eastAsia="zh-CN"/>
        </w:rPr>
      </w:pPr>
      <w:r>
        <w:rPr>
          <w:rFonts w:hint="eastAsia" w:ascii="宋体" w:hAnsi="宋体" w:cs="宋体"/>
          <w:kern w:val="0"/>
          <w:sz w:val="24"/>
        </w:rPr>
        <w:t>4.2.6响应文件出现不是唯一的、有选择性最后报价的</w:t>
      </w:r>
      <w:r>
        <w:rPr>
          <w:rFonts w:hint="eastAsia" w:ascii="宋体" w:hAnsi="宋体" w:cs="宋体"/>
          <w:kern w:val="0"/>
          <w:sz w:val="24"/>
          <w:lang w:eastAsia="zh-CN"/>
        </w:rPr>
        <w:t>；</w:t>
      </w:r>
    </w:p>
    <w:p w14:paraId="30FD3E85">
      <w:pPr>
        <w:kinsoku/>
        <w:wordWrap/>
        <w:overflowPunct/>
        <w:topLinePunct w:val="0"/>
        <w:bidi w:val="0"/>
        <w:spacing w:line="360" w:lineRule="auto"/>
        <w:ind w:firstLine="480" w:firstLineChars="200"/>
        <w:outlineLvl w:val="9"/>
        <w:rPr>
          <w:rFonts w:hint="eastAsia" w:ascii="宋体" w:hAnsi="宋体" w:eastAsia="宋体" w:cs="宋体"/>
          <w:kern w:val="0"/>
          <w:sz w:val="24"/>
          <w:lang w:eastAsia="zh-CN"/>
        </w:rPr>
      </w:pPr>
      <w:r>
        <w:rPr>
          <w:rFonts w:hint="eastAsia" w:ascii="宋体" w:hAnsi="宋体" w:cs="宋体"/>
          <w:kern w:val="0"/>
          <w:sz w:val="24"/>
        </w:rPr>
        <w:t>4.2.7最后报价超过采购文件中规定的预算金额或者最高限价的</w:t>
      </w:r>
      <w:r>
        <w:rPr>
          <w:rFonts w:hint="eastAsia" w:ascii="宋体" w:hAnsi="宋体" w:cs="宋体"/>
          <w:kern w:val="0"/>
          <w:sz w:val="24"/>
          <w:lang w:eastAsia="zh-CN"/>
        </w:rPr>
        <w:t>；</w:t>
      </w:r>
    </w:p>
    <w:p w14:paraId="6948A838">
      <w:pPr>
        <w:kinsoku/>
        <w:wordWrap/>
        <w:overflowPunct/>
        <w:topLinePunct w:val="0"/>
        <w:bidi w:val="0"/>
        <w:spacing w:line="360" w:lineRule="auto"/>
        <w:ind w:firstLine="480" w:firstLineChars="200"/>
        <w:outlineLvl w:val="9"/>
        <w:rPr>
          <w:rFonts w:hint="eastAsia" w:ascii="宋体" w:hAnsi="宋体" w:eastAsia="宋体" w:cs="宋体"/>
          <w:kern w:val="0"/>
          <w:sz w:val="24"/>
          <w:lang w:eastAsia="zh-CN"/>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404E8A90">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4.2.9供应商对根据修正原则修正后的报价不确认的；</w:t>
      </w:r>
    </w:p>
    <w:p w14:paraId="78D14A2F">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4.2.10供应商提供虚假材料响应的；</w:t>
      </w:r>
    </w:p>
    <w:p w14:paraId="512B0010">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335700D2">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1012E6CA">
      <w:pPr>
        <w:kinsoku/>
        <w:wordWrap/>
        <w:overflowPunct/>
        <w:topLinePunct w:val="0"/>
        <w:bidi w:val="0"/>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4.2.13 响应文件不满足采购文件的其它实质性要求的；</w:t>
      </w:r>
    </w:p>
    <w:p w14:paraId="1946640A">
      <w:pPr>
        <w:kinsoku/>
        <w:wordWrap/>
        <w:overflowPunct/>
        <w:topLinePunct w:val="0"/>
        <w:bidi w:val="0"/>
        <w:spacing w:line="360" w:lineRule="auto"/>
        <w:ind w:firstLine="480" w:firstLineChars="200"/>
        <w:outlineLvl w:val="9"/>
        <w:rPr>
          <w:rFonts w:hint="default" w:ascii="宋体" w:hAnsi="宋体" w:eastAsia="宋体" w:cs="宋体"/>
          <w:kern w:val="0"/>
          <w:sz w:val="24"/>
          <w:lang w:val="en-US" w:eastAsia="zh-CN"/>
        </w:rPr>
      </w:pPr>
      <w:r>
        <w:rPr>
          <w:rFonts w:hint="eastAsia" w:ascii="宋体" w:hAnsi="宋体" w:cs="宋体"/>
          <w:kern w:val="0"/>
          <w:sz w:val="24"/>
          <w:lang w:val="en-US" w:eastAsia="zh-CN"/>
        </w:rPr>
        <w:t>4.2.14投标人的电子投标文件唯一标识符相同（①网卡MAC地址或②硬盘（含U盘、移动硬盘等移动存储介质）序列号或③互联网接入IP地址）的；</w:t>
      </w:r>
    </w:p>
    <w:p w14:paraId="5894DD11">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1D003E3E">
      <w:pPr>
        <w:pStyle w:val="10"/>
        <w:kinsoku/>
        <w:wordWrap/>
        <w:overflowPunct/>
        <w:topLinePunct w:val="0"/>
        <w:bidi w:val="0"/>
        <w:snapToGrid w:val="0"/>
        <w:spacing w:line="360" w:lineRule="auto"/>
        <w:ind w:firstLine="472" w:firstLineChars="196"/>
        <w:outlineLvl w:val="9"/>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7EA78E0B">
      <w:pPr>
        <w:pStyle w:val="10"/>
        <w:kinsoku/>
        <w:wordWrap/>
        <w:overflowPunct/>
        <w:topLinePunct w:val="0"/>
        <w:bidi w:val="0"/>
        <w:snapToGrid w:val="0"/>
        <w:spacing w:line="360" w:lineRule="auto"/>
        <w:outlineLvl w:val="9"/>
        <w:rPr>
          <w:rFonts w:cs="宋体"/>
        </w:rPr>
      </w:pPr>
      <w:r>
        <w:rPr>
          <w:rFonts w:hint="eastAsia" w:cs="宋体"/>
        </w:rPr>
        <w:t>5.1因情况变化，不再符合规定的竞争性磋商采购方式适用情形的；</w:t>
      </w:r>
    </w:p>
    <w:p w14:paraId="08DE912B">
      <w:pPr>
        <w:pStyle w:val="10"/>
        <w:kinsoku/>
        <w:wordWrap/>
        <w:overflowPunct/>
        <w:topLinePunct w:val="0"/>
        <w:bidi w:val="0"/>
        <w:snapToGrid w:val="0"/>
        <w:spacing w:line="360" w:lineRule="auto"/>
        <w:outlineLvl w:val="9"/>
        <w:rPr>
          <w:rFonts w:cs="宋体"/>
        </w:rPr>
      </w:pPr>
      <w:r>
        <w:rPr>
          <w:rFonts w:hint="eastAsia" w:cs="宋体"/>
        </w:rPr>
        <w:t>5.2出现影响采购公正的违法、违规行为的；</w:t>
      </w:r>
    </w:p>
    <w:p w14:paraId="763336CD">
      <w:pPr>
        <w:pStyle w:val="10"/>
        <w:kinsoku/>
        <w:wordWrap/>
        <w:overflowPunct/>
        <w:topLinePunct w:val="0"/>
        <w:bidi w:val="0"/>
        <w:snapToGrid w:val="0"/>
        <w:spacing w:line="360" w:lineRule="auto"/>
        <w:outlineLvl w:val="9"/>
        <w:rPr>
          <w:rFonts w:cs="宋体"/>
        </w:rPr>
      </w:pPr>
      <w:r>
        <w:rPr>
          <w:rFonts w:hint="eastAsia" w:cs="宋体"/>
        </w:rPr>
        <w:t>5.3除本办法第二十一条第三款规定的情形外，在采购过程中符合要求的供应商或者报价未超过采购预算的供应商不足3家的。</w:t>
      </w:r>
    </w:p>
    <w:p w14:paraId="15337E7F">
      <w:pPr>
        <w:pStyle w:val="10"/>
        <w:kinsoku/>
        <w:wordWrap/>
        <w:overflowPunct/>
        <w:topLinePunct w:val="0"/>
        <w:bidi w:val="0"/>
        <w:snapToGrid w:val="0"/>
        <w:spacing w:line="360" w:lineRule="auto"/>
        <w:outlineLvl w:val="9"/>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39A694A2">
      <w:pPr>
        <w:pStyle w:val="10"/>
        <w:kinsoku/>
        <w:wordWrap/>
        <w:overflowPunct/>
        <w:topLinePunct w:val="0"/>
        <w:bidi w:val="0"/>
        <w:snapToGrid w:val="0"/>
        <w:spacing w:line="360" w:lineRule="auto"/>
        <w:ind w:firstLine="482"/>
        <w:outlineLvl w:val="9"/>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2886837C">
      <w:pPr>
        <w:pStyle w:val="10"/>
        <w:kinsoku/>
        <w:wordWrap/>
        <w:overflowPunct/>
        <w:topLinePunct w:val="0"/>
        <w:bidi w:val="0"/>
        <w:snapToGrid w:val="0"/>
        <w:spacing w:line="360" w:lineRule="auto"/>
        <w:outlineLvl w:val="9"/>
        <w:rPr>
          <w:rFonts w:cs="宋体"/>
        </w:rPr>
      </w:pPr>
      <w:r>
        <w:rPr>
          <w:rFonts w:hint="eastAsia" w:cs="宋体"/>
        </w:rPr>
        <w:t>6.1未确定成交供应商的，终止本次政府采购活动，重新开展政府采购活动。</w:t>
      </w:r>
    </w:p>
    <w:p w14:paraId="25F6BC83">
      <w:pPr>
        <w:pStyle w:val="10"/>
        <w:kinsoku/>
        <w:wordWrap/>
        <w:overflowPunct/>
        <w:topLinePunct w:val="0"/>
        <w:bidi w:val="0"/>
        <w:snapToGrid w:val="0"/>
        <w:spacing w:line="360" w:lineRule="auto"/>
        <w:outlineLvl w:val="9"/>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0E0E84A6">
      <w:pPr>
        <w:pStyle w:val="10"/>
        <w:kinsoku/>
        <w:wordWrap/>
        <w:overflowPunct/>
        <w:topLinePunct w:val="0"/>
        <w:bidi w:val="0"/>
        <w:snapToGrid w:val="0"/>
        <w:spacing w:line="360" w:lineRule="auto"/>
        <w:outlineLvl w:val="9"/>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626A21B2">
      <w:pPr>
        <w:pStyle w:val="10"/>
        <w:kinsoku/>
        <w:wordWrap/>
        <w:overflowPunct/>
        <w:topLinePunct w:val="0"/>
        <w:bidi w:val="0"/>
        <w:snapToGrid w:val="0"/>
        <w:spacing w:line="360" w:lineRule="auto"/>
        <w:outlineLvl w:val="9"/>
        <w:rPr>
          <w:rFonts w:cs="宋体"/>
        </w:rPr>
      </w:pPr>
      <w:r>
        <w:rPr>
          <w:rFonts w:hint="eastAsia" w:cs="宋体"/>
        </w:rPr>
        <w:t>6.4政府采购合同已经履行，给采购人、供应商造成损失的，由责任人承担赔偿责任。</w:t>
      </w:r>
    </w:p>
    <w:p w14:paraId="094AAAE0">
      <w:pPr>
        <w:pStyle w:val="10"/>
        <w:kinsoku/>
        <w:wordWrap/>
        <w:overflowPunct/>
        <w:topLinePunct w:val="0"/>
        <w:bidi w:val="0"/>
        <w:snapToGrid w:val="0"/>
        <w:spacing w:line="360" w:lineRule="auto"/>
        <w:outlineLvl w:val="9"/>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1EAFBDBF">
      <w:pPr>
        <w:kinsoku/>
        <w:wordWrap/>
        <w:overflowPunct/>
        <w:topLinePunct w:val="0"/>
        <w:bidi w:val="0"/>
        <w:spacing w:line="348" w:lineRule="auto"/>
        <w:ind w:firstLine="643" w:firstLineChars="200"/>
        <w:jc w:val="center"/>
        <w:outlineLvl w:val="9"/>
        <w:rPr>
          <w:rFonts w:ascii="宋体" w:hAnsi="宋体" w:cs="宋体"/>
          <w:b/>
          <w:sz w:val="32"/>
          <w:szCs w:val="20"/>
        </w:rPr>
      </w:pPr>
      <w:r>
        <w:rPr>
          <w:rFonts w:hint="eastAsia" w:ascii="宋体" w:hAnsi="宋体" w:cs="宋体"/>
          <w:b/>
          <w:sz w:val="32"/>
          <w:szCs w:val="20"/>
        </w:rPr>
        <w:t>五、磋商小组的组成</w:t>
      </w:r>
    </w:p>
    <w:p w14:paraId="65975657">
      <w:pPr>
        <w:kinsoku/>
        <w:wordWrap/>
        <w:overflowPunct/>
        <w:topLinePunct w:val="0"/>
        <w:bidi w:val="0"/>
        <w:spacing w:line="348" w:lineRule="auto"/>
        <w:outlineLvl w:val="9"/>
        <w:rPr>
          <w:rFonts w:ascii="宋体" w:hAnsi="宋体" w:cs="宋体"/>
          <w:b/>
          <w:kern w:val="0"/>
          <w:sz w:val="24"/>
          <w:szCs w:val="20"/>
        </w:rPr>
      </w:pPr>
      <w:r>
        <w:rPr>
          <w:rFonts w:hint="eastAsia" w:ascii="宋体" w:hAnsi="宋体" w:cs="宋体"/>
          <w:b/>
          <w:kern w:val="0"/>
          <w:sz w:val="24"/>
          <w:szCs w:val="20"/>
        </w:rPr>
        <w:t>1.磋商小组的组成。</w:t>
      </w:r>
    </w:p>
    <w:p w14:paraId="706C8DCA">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693F4980">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F4F24A1">
      <w:pPr>
        <w:kinsoku/>
        <w:wordWrap/>
        <w:overflowPunct/>
        <w:topLinePunct w:val="0"/>
        <w:bidi w:val="0"/>
        <w:snapToGrid w:val="0"/>
        <w:spacing w:line="348" w:lineRule="auto"/>
        <w:outlineLvl w:val="9"/>
        <w:rPr>
          <w:rFonts w:ascii="宋体" w:hAnsi="宋体" w:cs="宋体"/>
          <w:b/>
          <w:kern w:val="0"/>
          <w:sz w:val="24"/>
          <w:szCs w:val="20"/>
        </w:rPr>
      </w:pPr>
      <w:r>
        <w:rPr>
          <w:rFonts w:hint="eastAsia" w:ascii="宋体" w:hAnsi="宋体" w:cs="宋体"/>
          <w:b/>
          <w:kern w:val="0"/>
          <w:sz w:val="24"/>
          <w:szCs w:val="20"/>
        </w:rPr>
        <w:t>2.磋商小组的组成人员的回避。</w:t>
      </w:r>
    </w:p>
    <w:p w14:paraId="45FDCEE2">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在政府采购活动中，磋商小组的组成人员与供应商有下列利害关系之一的，应当回避：</w:t>
      </w:r>
    </w:p>
    <w:p w14:paraId="4B5DCEF7">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2.1参加采购活动前三年内，与供应商存在劳动关系，或者担任过供应商的董事、监事，或者是供应商的控股股东或实际控制人；</w:t>
      </w:r>
    </w:p>
    <w:p w14:paraId="3F3CB79F">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2.2与供应商的法定代表人或者负责人有夫妻、直系血亲、三代以内旁系血亲或者近姻亲关系；</w:t>
      </w:r>
    </w:p>
    <w:p w14:paraId="0AE0712D">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2.3与供应商有其他可能影响政府采购活动公平、公正进行的关系。</w:t>
      </w:r>
    </w:p>
    <w:p w14:paraId="7745D324">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2.4参与过采购项目进口产品论证。</w:t>
      </w:r>
    </w:p>
    <w:p w14:paraId="6C3215A5">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2.5通过随机抽到本单位的评审专家，采购人已经指定了采购人代表，该评审专家应当回避，采购人自行选定相应专业领域评审专家情形除外。</w:t>
      </w:r>
    </w:p>
    <w:p w14:paraId="409E062D">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2.6法律、法规、规章规定应当回避以及其他可能影响公正评审的.</w:t>
      </w:r>
    </w:p>
    <w:p w14:paraId="14F00729">
      <w:pPr>
        <w:kinsoku/>
        <w:wordWrap/>
        <w:overflowPunct/>
        <w:topLinePunct w:val="0"/>
        <w:bidi w:val="0"/>
        <w:snapToGrid w:val="0"/>
        <w:spacing w:line="348" w:lineRule="auto"/>
        <w:ind w:left="120" w:leftChars="57" w:firstLine="482" w:firstLineChars="150"/>
        <w:jc w:val="center"/>
        <w:outlineLvl w:val="9"/>
        <w:rPr>
          <w:rFonts w:ascii="宋体" w:hAnsi="宋体" w:cs="宋体"/>
          <w:b/>
          <w:sz w:val="32"/>
          <w:szCs w:val="32"/>
        </w:rPr>
      </w:pPr>
      <w:r>
        <w:rPr>
          <w:rFonts w:hint="eastAsia" w:ascii="宋体" w:hAnsi="宋体" w:cs="宋体"/>
          <w:b/>
          <w:sz w:val="32"/>
        </w:rPr>
        <w:t>六、磋商小组的职责</w:t>
      </w:r>
    </w:p>
    <w:p w14:paraId="20BE4A1E">
      <w:pPr>
        <w:kinsoku/>
        <w:wordWrap/>
        <w:overflowPunct/>
        <w:topLinePunct w:val="0"/>
        <w:bidi w:val="0"/>
        <w:spacing w:line="348" w:lineRule="auto"/>
        <w:outlineLvl w:val="9"/>
        <w:rPr>
          <w:rFonts w:ascii="宋体" w:hAnsi="宋体" w:cs="宋体"/>
          <w:b/>
          <w:kern w:val="0"/>
          <w:sz w:val="24"/>
        </w:rPr>
      </w:pPr>
      <w:r>
        <w:rPr>
          <w:rFonts w:hint="eastAsia" w:ascii="宋体" w:hAnsi="宋体" w:cs="宋体"/>
          <w:b/>
          <w:kern w:val="0"/>
          <w:sz w:val="24"/>
        </w:rPr>
        <w:t>1.磋商小组负责具体评审事务，并独立履行下列职责：</w:t>
      </w:r>
    </w:p>
    <w:p w14:paraId="7C2507D2">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1.1</w:t>
      </w:r>
      <w:r>
        <w:rPr>
          <w:rFonts w:hint="eastAsia" w:ascii="宋体" w:hAnsi="宋体" w:cs="宋体"/>
          <w:sz w:val="24"/>
        </w:rPr>
        <w:t>对供应商的资格进行审查；</w:t>
      </w:r>
      <w:r>
        <w:rPr>
          <w:rFonts w:hint="eastAsia" w:ascii="宋体" w:hAnsi="宋体" w:cs="宋体"/>
          <w:sz w:val="24"/>
          <w:szCs w:val="20"/>
        </w:rPr>
        <w:t>对响应文件的有效性、完整性和响应程度进行审查；</w:t>
      </w:r>
    </w:p>
    <w:p w14:paraId="084C85E1">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1.2审查、评价响应文件是否符合磋商文件的商务、技术等实质性要求；</w:t>
      </w:r>
    </w:p>
    <w:p w14:paraId="53EA7A39">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1.3要求供应商对响应文件有关事项作出澄清、说明或者更正；</w:t>
      </w:r>
    </w:p>
    <w:p w14:paraId="236EF36E">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1.4磋商小组集中与单一供应商分别进行磋商；</w:t>
      </w:r>
    </w:p>
    <w:p w14:paraId="13D98983">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1.5确定磋商文件的变动情况，并确定提交最后报价的供应商；</w:t>
      </w:r>
    </w:p>
    <w:p w14:paraId="6A433E3C">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1.6根据磋商文件确定的评审办法及评审标准对提交最后报价的供应商的响应文件和最后报价采用综合评分法进行综合评分；</w:t>
      </w:r>
    </w:p>
    <w:p w14:paraId="21FC510C">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1.7编制评审报告，确定成交候选人名单，以及根据采购人委托直接确定成交人；</w:t>
      </w:r>
    </w:p>
    <w:p w14:paraId="44461660">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1.8向采购人、采购代理机构或者有关部门报告评审中发现的违法行为；</w:t>
      </w:r>
    </w:p>
    <w:p w14:paraId="499B3782">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1.9法律、法规、规章、磋商文件等规定的其它事项。</w:t>
      </w:r>
    </w:p>
    <w:p w14:paraId="1437740F">
      <w:pPr>
        <w:kinsoku/>
        <w:wordWrap/>
        <w:overflowPunct/>
        <w:topLinePunct w:val="0"/>
        <w:bidi w:val="0"/>
        <w:spacing w:line="348" w:lineRule="auto"/>
        <w:outlineLvl w:val="9"/>
        <w:rPr>
          <w:rFonts w:ascii="宋体" w:hAnsi="宋体" w:cs="宋体"/>
          <w:b/>
          <w:kern w:val="0"/>
          <w:sz w:val="24"/>
        </w:rPr>
      </w:pPr>
      <w:r>
        <w:rPr>
          <w:rFonts w:hint="eastAsia" w:ascii="宋体" w:hAnsi="宋体" w:cs="宋体"/>
          <w:b/>
          <w:kern w:val="0"/>
          <w:sz w:val="24"/>
        </w:rPr>
        <w:t>2.磋商小组及其成员不得有下列行为：</w:t>
      </w:r>
    </w:p>
    <w:p w14:paraId="2CB2E86D">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2.1确定参与本项目至评审结束前私自接触供应商；</w:t>
      </w:r>
    </w:p>
    <w:p w14:paraId="1C1DCD08">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 xml:space="preserve">2.2接受供应商提出的“超出响应文件的范围或者改变响应文件的实质性内容”的澄清、说明或者更正； </w:t>
      </w:r>
    </w:p>
    <w:p w14:paraId="3626F29C">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2.3违反评审纪律发表倾向性意见或者征询采购人的倾向性意见；</w:t>
      </w:r>
    </w:p>
    <w:p w14:paraId="567439AC">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2.4对需要专业判断的主观评审因素协商评分；</w:t>
      </w:r>
    </w:p>
    <w:p w14:paraId="7C0D2E8B">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2.5在评审过程中擅离职守，影响评审程序正常进行的；</w:t>
      </w:r>
    </w:p>
    <w:p w14:paraId="777D376A">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2.6记录、复制或者带走任何评审资料；</w:t>
      </w:r>
    </w:p>
    <w:p w14:paraId="7D8A51EE">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2.7其他不遵守评审纪律的行为。</w:t>
      </w:r>
    </w:p>
    <w:p w14:paraId="711B4F0C">
      <w:pPr>
        <w:kinsoku/>
        <w:wordWrap/>
        <w:overflowPunct/>
        <w:topLinePunct w:val="0"/>
        <w:bidi w:val="0"/>
        <w:spacing w:line="348" w:lineRule="auto"/>
        <w:ind w:firstLine="480" w:firstLineChars="200"/>
        <w:outlineLvl w:val="9"/>
        <w:rPr>
          <w:rFonts w:ascii="宋体" w:hAnsi="宋体" w:cs="宋体"/>
        </w:rPr>
      </w:pPr>
      <w:r>
        <w:rPr>
          <w:rFonts w:hint="eastAsia" w:ascii="宋体" w:hAnsi="宋体" w:cs="宋体"/>
          <w:sz w:val="24"/>
          <w:szCs w:val="20"/>
        </w:rPr>
        <w:t>磋商小组成员有2.1-2.5行为之一的，其评审意见无效，并不得获取评审劳务报酬和报销异地评审差旅费。</w:t>
      </w:r>
    </w:p>
    <w:p w14:paraId="15995507">
      <w:pPr>
        <w:widowControl/>
        <w:adjustRightInd/>
        <w:jc w:val="left"/>
        <w:rPr>
          <w:rFonts w:hint="eastAsia" w:ascii="黑体" w:hAnsi="宋体" w:eastAsia="黑体"/>
          <w:b/>
          <w:bCs/>
          <w:color w:val="auto"/>
          <w:sz w:val="28"/>
          <w:szCs w:val="28"/>
          <w:highlight w:val="none"/>
        </w:rPr>
      </w:pPr>
      <w:r>
        <w:rPr>
          <w:rFonts w:cs="仿宋_GB2312" w:asciiTheme="minorEastAsia" w:hAnsiTheme="minorEastAsia" w:eastAsiaTheme="minorEastAsia"/>
          <w:b/>
          <w:color w:val="auto"/>
          <w:sz w:val="36"/>
          <w:szCs w:val="36"/>
          <w:highlight w:val="none"/>
        </w:rPr>
        <w:br w:type="page"/>
      </w:r>
    </w:p>
    <w:p w14:paraId="0C46EA6E">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3875CD9E">
      <w:pPr>
        <w:numPr>
          <w:ilvl w:val="0"/>
          <w:numId w:val="5"/>
        </w:numPr>
        <w:spacing w:line="360" w:lineRule="auto"/>
        <w:rPr>
          <w:rFonts w:hint="eastAsia"/>
          <w:b/>
          <w:sz w:val="32"/>
          <w:szCs w:val="32"/>
        </w:rPr>
      </w:pPr>
    </w:p>
    <w:p w14:paraId="2BE0F3EF">
      <w:pPr>
        <w:numPr>
          <w:ilvl w:val="0"/>
          <w:numId w:val="5"/>
        </w:numPr>
        <w:spacing w:line="360" w:lineRule="auto"/>
        <w:rPr>
          <w:rFonts w:hint="eastAsia"/>
          <w:b/>
          <w:sz w:val="32"/>
          <w:szCs w:val="32"/>
        </w:rPr>
      </w:pPr>
      <w:r>
        <w:rPr>
          <w:rFonts w:hint="eastAsia"/>
          <w:b/>
          <w:sz w:val="32"/>
          <w:szCs w:val="32"/>
        </w:rPr>
        <w:t>(GF-201</w:t>
      </w:r>
      <w:r>
        <w:rPr>
          <w:b/>
          <w:sz w:val="32"/>
          <w:szCs w:val="32"/>
        </w:rPr>
        <w:t>7</w:t>
      </w:r>
      <w:r>
        <w:rPr>
          <w:rFonts w:hint="eastAsia"/>
          <w:b/>
          <w:sz w:val="32"/>
          <w:szCs w:val="32"/>
        </w:rPr>
        <w:t>-0201)</w:t>
      </w:r>
    </w:p>
    <w:p w14:paraId="2F46B4B5">
      <w:pPr>
        <w:numPr>
          <w:ilvl w:val="0"/>
          <w:numId w:val="5"/>
        </w:numPr>
        <w:spacing w:line="360" w:lineRule="auto"/>
        <w:jc w:val="center"/>
        <w:rPr>
          <w:rFonts w:hint="eastAsia"/>
          <w:b/>
          <w:sz w:val="36"/>
        </w:rPr>
      </w:pPr>
    </w:p>
    <w:p w14:paraId="68534240">
      <w:pPr>
        <w:numPr>
          <w:ilvl w:val="0"/>
          <w:numId w:val="5"/>
        </w:numPr>
        <w:spacing w:line="360" w:lineRule="auto"/>
        <w:jc w:val="center"/>
        <w:rPr>
          <w:rFonts w:hint="eastAsia"/>
          <w:b/>
          <w:sz w:val="48"/>
        </w:rPr>
      </w:pPr>
    </w:p>
    <w:p w14:paraId="5A4C6BF2">
      <w:pPr>
        <w:numPr>
          <w:ilvl w:val="0"/>
          <w:numId w:val="5"/>
        </w:numPr>
        <w:spacing w:line="360" w:lineRule="auto"/>
        <w:jc w:val="center"/>
        <w:rPr>
          <w:rFonts w:hint="eastAsia"/>
          <w:b/>
          <w:sz w:val="48"/>
        </w:rPr>
      </w:pPr>
    </w:p>
    <w:p w14:paraId="735B1E87">
      <w:pPr>
        <w:numPr>
          <w:ilvl w:val="0"/>
          <w:numId w:val="5"/>
        </w:numPr>
        <w:spacing w:line="360" w:lineRule="auto"/>
        <w:jc w:val="center"/>
        <w:rPr>
          <w:rFonts w:hint="eastAsia" w:ascii="宋体" w:hAnsi="宋体"/>
          <w:b/>
          <w:spacing w:val="-100"/>
          <w:sz w:val="84"/>
          <w:szCs w:val="84"/>
        </w:rPr>
      </w:pPr>
      <w:r>
        <w:rPr>
          <w:rFonts w:hint="eastAsia" w:ascii="宋体" w:hAnsi="宋体"/>
          <w:b/>
          <w:spacing w:val="-100"/>
          <w:sz w:val="84"/>
          <w:szCs w:val="84"/>
        </w:rPr>
        <w:t>建 设 工 程 施 工 合 同</w:t>
      </w:r>
    </w:p>
    <w:p w14:paraId="12B06C17">
      <w:pPr>
        <w:numPr>
          <w:ilvl w:val="0"/>
          <w:numId w:val="5"/>
        </w:numPr>
        <w:spacing w:line="360" w:lineRule="auto"/>
        <w:jc w:val="center"/>
        <w:rPr>
          <w:rFonts w:hint="eastAsia"/>
          <w:b/>
          <w:sz w:val="36"/>
        </w:rPr>
      </w:pPr>
    </w:p>
    <w:p w14:paraId="11096C74">
      <w:pPr>
        <w:pStyle w:val="11"/>
        <w:numPr>
          <w:ilvl w:val="0"/>
          <w:numId w:val="5"/>
        </w:numPr>
        <w:rPr>
          <w:rFonts w:hint="eastAsia" w:hAnsi="宋体"/>
          <w:sz w:val="28"/>
          <w:szCs w:val="28"/>
        </w:rPr>
      </w:pPr>
    </w:p>
    <w:p w14:paraId="5970F8FF">
      <w:pPr>
        <w:numPr>
          <w:ilvl w:val="0"/>
          <w:numId w:val="5"/>
        </w:numPr>
        <w:spacing w:line="360" w:lineRule="auto"/>
        <w:jc w:val="center"/>
        <w:rPr>
          <w:rFonts w:hint="eastAsia" w:ascii="宋体" w:hAnsi="宋体"/>
          <w:b/>
          <w:sz w:val="32"/>
          <w:szCs w:val="32"/>
        </w:rPr>
      </w:pPr>
    </w:p>
    <w:p w14:paraId="3E4CB4EC">
      <w:pPr>
        <w:spacing w:line="360" w:lineRule="auto"/>
        <w:jc w:val="center"/>
        <w:rPr>
          <w:rFonts w:hint="eastAsia" w:ascii="宋体" w:hAnsi="宋体"/>
          <w:b/>
          <w:sz w:val="32"/>
          <w:szCs w:val="32"/>
        </w:rPr>
      </w:pPr>
    </w:p>
    <w:p w14:paraId="1DBF0F35">
      <w:pPr>
        <w:pStyle w:val="93"/>
        <w:rPr>
          <w:rFonts w:hint="eastAsia"/>
        </w:rPr>
      </w:pPr>
    </w:p>
    <w:p w14:paraId="6C69D4F3">
      <w:pPr>
        <w:pStyle w:val="93"/>
        <w:rPr>
          <w:rFonts w:hint="eastAsia"/>
        </w:rPr>
      </w:pPr>
    </w:p>
    <w:p w14:paraId="3F495F1D">
      <w:pPr>
        <w:pStyle w:val="93"/>
        <w:rPr>
          <w:rFonts w:hint="eastAsia"/>
        </w:rPr>
      </w:pPr>
    </w:p>
    <w:p w14:paraId="048158DB">
      <w:pPr>
        <w:pStyle w:val="93"/>
        <w:rPr>
          <w:rFonts w:hint="eastAsia"/>
        </w:rPr>
      </w:pPr>
    </w:p>
    <w:p w14:paraId="4F494E7E">
      <w:pPr>
        <w:pStyle w:val="93"/>
        <w:rPr>
          <w:rFonts w:hint="eastAsia"/>
        </w:rPr>
      </w:pPr>
    </w:p>
    <w:p w14:paraId="50C5F132">
      <w:pPr>
        <w:pStyle w:val="93"/>
        <w:rPr>
          <w:rFonts w:hint="eastAsia"/>
        </w:rPr>
      </w:pPr>
    </w:p>
    <w:p w14:paraId="104C3144">
      <w:pPr>
        <w:pStyle w:val="93"/>
        <w:rPr>
          <w:rFonts w:hint="eastAsia"/>
        </w:rPr>
      </w:pPr>
    </w:p>
    <w:p w14:paraId="203AAB41">
      <w:pPr>
        <w:numPr>
          <w:ilvl w:val="0"/>
          <w:numId w:val="5"/>
        </w:numPr>
        <w:spacing w:line="360" w:lineRule="auto"/>
        <w:jc w:val="center"/>
        <w:rPr>
          <w:rFonts w:hint="eastAsia" w:ascii="宋体" w:hAnsi="宋体"/>
          <w:b/>
          <w:sz w:val="32"/>
          <w:szCs w:val="32"/>
        </w:rPr>
      </w:pPr>
    </w:p>
    <w:p w14:paraId="3C937F75">
      <w:pPr>
        <w:numPr>
          <w:ilvl w:val="0"/>
          <w:numId w:val="5"/>
        </w:numPr>
        <w:spacing w:line="360" w:lineRule="auto"/>
        <w:jc w:val="center"/>
        <w:rPr>
          <w:rFonts w:hint="eastAsia" w:ascii="宋体" w:hAnsi="宋体"/>
          <w:b/>
          <w:sz w:val="32"/>
          <w:szCs w:val="32"/>
        </w:rPr>
      </w:pPr>
    </w:p>
    <w:p w14:paraId="7FED980A">
      <w:pPr>
        <w:numPr>
          <w:ilvl w:val="0"/>
          <w:numId w:val="5"/>
        </w:numPr>
        <w:spacing w:line="360" w:lineRule="auto"/>
        <w:rPr>
          <w:rFonts w:hint="eastAsia"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lang w:val="en-US" w:eastAsia="zh-CN"/>
        </w:rPr>
        <w:t xml:space="preserve"> 宁海县高级职业技术中心学校实训大楼数控设备通电、        </w:t>
      </w:r>
    </w:p>
    <w:p w14:paraId="7FEA7DFA">
      <w:pPr>
        <w:numPr>
          <w:ilvl w:val="0"/>
          <w:numId w:val="5"/>
        </w:numPr>
        <w:spacing w:line="360" w:lineRule="auto"/>
        <w:rPr>
          <w:rFonts w:hint="eastAsia" w:ascii="黑体" w:hAnsi="宋体"/>
          <w:b/>
          <w:sz w:val="32"/>
          <w:szCs w:val="32"/>
          <w:u w:val="single"/>
        </w:rPr>
      </w:pPr>
      <w:r>
        <w:rPr>
          <w:rFonts w:hint="eastAsia" w:ascii="宋体" w:hAnsi="宋体"/>
          <w:b/>
          <w:sz w:val="28"/>
          <w:szCs w:val="28"/>
          <w:u w:val="none"/>
          <w:lang w:val="en-US" w:eastAsia="zh-CN"/>
        </w:rPr>
        <w:t xml:space="preserve">             </w:t>
      </w:r>
      <w:r>
        <w:rPr>
          <w:rFonts w:hint="eastAsia" w:ascii="宋体" w:hAnsi="宋体"/>
          <w:b/>
          <w:sz w:val="28"/>
          <w:szCs w:val="28"/>
          <w:u w:val="single"/>
          <w:lang w:val="en-US" w:eastAsia="zh-CN"/>
        </w:rPr>
        <w:t>通气及烹饪实习工场通电等项目工程</w:t>
      </w:r>
    </w:p>
    <w:p w14:paraId="0CD64FFB">
      <w:pPr>
        <w:numPr>
          <w:ilvl w:val="0"/>
          <w:numId w:val="5"/>
        </w:numPr>
        <w:spacing w:line="360" w:lineRule="auto"/>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宋体" w:hAnsi="宋体" w:eastAsia="宋体" w:cs="Times New Roman"/>
          <w:b/>
          <w:sz w:val="28"/>
          <w:szCs w:val="28"/>
          <w:u w:val="single"/>
          <w:lang w:val="en-US" w:eastAsia="zh-CN"/>
        </w:rPr>
        <w:t xml:space="preserve">                             </w:t>
      </w:r>
      <w:r>
        <w:rPr>
          <w:rFonts w:hint="eastAsia" w:ascii="黑体" w:hAnsi="宋体" w:eastAsia="黑体"/>
          <w:b/>
          <w:sz w:val="32"/>
          <w:szCs w:val="32"/>
          <w:u w:val="single"/>
          <w:lang w:val="en-US" w:eastAsia="zh-CN"/>
        </w:rPr>
        <w:t xml:space="preserve">        </w:t>
      </w:r>
      <w:r>
        <w:rPr>
          <w:rFonts w:hint="eastAsia" w:ascii="黑体" w:hAnsi="宋体" w:eastAsia="黑体"/>
          <w:b/>
          <w:sz w:val="32"/>
          <w:szCs w:val="32"/>
          <w:u w:val="none"/>
        </w:rPr>
        <w:t xml:space="preserve">  </w:t>
      </w:r>
    </w:p>
    <w:p w14:paraId="04F228C6">
      <w:pPr>
        <w:numPr>
          <w:ilvl w:val="0"/>
          <w:numId w:val="5"/>
        </w:numPr>
        <w:spacing w:line="360" w:lineRule="auto"/>
        <w:rPr>
          <w:rFonts w:ascii="黑体" w:hAnsi="华文中宋"/>
        </w:rPr>
        <w:sectPr>
          <w:headerReference r:id="rId7" w:type="default"/>
          <w:footerReference r:id="rId8" w:type="default"/>
          <w:pgSz w:w="11906" w:h="16838"/>
          <w:pgMar w:top="1440" w:right="1440" w:bottom="1440" w:left="1440" w:header="851" w:footer="992" w:gutter="0"/>
          <w:pgNumType w:fmt="decimal"/>
          <w:cols w:space="720" w:num="1"/>
          <w:titlePg/>
          <w:docGrid w:linePitch="312" w:charSpace="0"/>
        </w:sectPr>
      </w:pPr>
      <w:r>
        <w:rPr>
          <w:rFonts w:hint="eastAsia" w:ascii="宋体" w:hAnsi="宋体"/>
          <w:b/>
          <w:sz w:val="32"/>
          <w:szCs w:val="32"/>
        </w:rPr>
        <w:t xml:space="preserve">  </w:t>
      </w: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黑体" w:hAnsi="宋体" w:eastAsia="黑体"/>
          <w:b/>
          <w:sz w:val="32"/>
          <w:szCs w:val="32"/>
          <w:u w:val="single"/>
          <w:lang w:val="en-US" w:eastAsia="zh-CN"/>
        </w:rPr>
        <w:t xml:space="preserve">   </w:t>
      </w:r>
      <w:r>
        <w:rPr>
          <w:rFonts w:hint="eastAsia" w:ascii="黑体" w:hAnsi="宋体" w:eastAsia="黑体"/>
          <w:b/>
          <w:sz w:val="32"/>
          <w:szCs w:val="32"/>
          <w:u w:val="single"/>
        </w:rPr>
        <w:t xml:space="preserve">       </w:t>
      </w:r>
    </w:p>
    <w:p w14:paraId="1C2904B1">
      <w:pPr>
        <w:pStyle w:val="4"/>
        <w:keepNext w:val="0"/>
        <w:keepLines w:val="0"/>
        <w:numPr>
          <w:ilvl w:val="2"/>
          <w:numId w:val="0"/>
        </w:numPr>
        <w:jc w:val="center"/>
        <w:rPr>
          <w:rFonts w:ascii="黑体" w:eastAsia="黑体"/>
          <w:b w:val="0"/>
          <w:color w:val="000000"/>
        </w:rPr>
      </w:pPr>
      <w:r>
        <w:rPr>
          <w:rFonts w:ascii="黑体" w:hAnsi="华文中宋" w:eastAsia="黑体"/>
          <w:color w:val="000000"/>
        </w:rPr>
        <w:t>第一部分 合同协议书</w:t>
      </w:r>
    </w:p>
    <w:p w14:paraId="42AC4670">
      <w:pPr>
        <w:spacing w:line="360" w:lineRule="auto"/>
        <w:rPr>
          <w:rFonts w:hint="default" w:ascii="黑体" w:eastAsia="黑体"/>
          <w:color w:val="000000"/>
          <w:sz w:val="24"/>
          <w:u w:val="single"/>
          <w:lang w:val="en-US" w:eastAsia="zh-CN"/>
        </w:rPr>
      </w:pPr>
      <w:r>
        <w:rPr>
          <w:rFonts w:ascii="黑体" w:eastAsia="黑体"/>
          <w:color w:val="000000"/>
          <w:sz w:val="24"/>
        </w:rPr>
        <w:t>发包人（全称）：</w:t>
      </w:r>
      <w:r>
        <w:rPr>
          <w:rFonts w:hint="eastAsia" w:ascii="黑体" w:eastAsia="黑体"/>
          <w:color w:val="000000"/>
          <w:sz w:val="24"/>
          <w:u w:val="single"/>
          <w:lang w:val="en-US" w:eastAsia="zh-CN"/>
        </w:rPr>
        <w:t xml:space="preserve">                                 </w:t>
      </w:r>
    </w:p>
    <w:p w14:paraId="606DD5D6">
      <w:pPr>
        <w:spacing w:line="360" w:lineRule="auto"/>
        <w:rPr>
          <w:rFonts w:hint="default" w:ascii="黑体" w:eastAsia="黑体"/>
          <w:color w:val="000000"/>
          <w:sz w:val="24"/>
          <w:u w:val="single"/>
          <w:lang w:val="en-US" w:eastAsia="zh-CN"/>
        </w:rPr>
      </w:pPr>
      <w:r>
        <w:rPr>
          <w:rFonts w:ascii="黑体" w:eastAsia="黑体"/>
          <w:color w:val="000000"/>
          <w:sz w:val="24"/>
        </w:rPr>
        <w:t>承包人（全称）：</w:t>
      </w:r>
      <w:r>
        <w:rPr>
          <w:rFonts w:eastAsia="黑体"/>
          <w:color w:val="000000"/>
          <w:sz w:val="24"/>
          <w:u w:val="single"/>
        </w:rPr>
        <w:t></w:t>
      </w:r>
      <w:r>
        <w:rPr>
          <w:rFonts w:ascii="黑体" w:eastAsia="黑体"/>
          <w:color w:val="000000"/>
          <w:sz w:val="24"/>
          <w:u w:val="single"/>
        </w:rPr>
        <w:t xml:space="preserve">  </w:t>
      </w:r>
      <w:r>
        <w:rPr>
          <w:rFonts w:hint="eastAsia" w:ascii="黑体" w:eastAsia="黑体"/>
          <w:color w:val="000000"/>
          <w:sz w:val="24"/>
          <w:u w:val="single"/>
        </w:rPr>
        <w:t xml:space="preserve">         </w:t>
      </w:r>
      <w:r>
        <w:rPr>
          <w:rFonts w:ascii="黑体" w:eastAsia="黑体"/>
          <w:color w:val="000000"/>
          <w:sz w:val="24"/>
          <w:u w:val="single"/>
        </w:rPr>
        <w:t xml:space="preserve">  </w:t>
      </w:r>
      <w:r>
        <w:rPr>
          <w:rFonts w:hint="eastAsia" w:ascii="黑体" w:eastAsia="黑体"/>
          <w:color w:val="000000"/>
          <w:sz w:val="24"/>
          <w:u w:val="single"/>
        </w:rPr>
        <w:t xml:space="preserve"> </w:t>
      </w:r>
      <w:r>
        <w:rPr>
          <w:rFonts w:eastAsia="黑体"/>
          <w:color w:val="000000"/>
          <w:sz w:val="24"/>
          <w:u w:val="single"/>
        </w:rPr>
        <w:t></w:t>
      </w:r>
      <w:r>
        <w:rPr>
          <w:rFonts w:hint="eastAsia" w:ascii="黑体" w:eastAsia="黑体"/>
          <w:color w:val="000000"/>
          <w:sz w:val="24"/>
          <w:u w:val="single"/>
        </w:rPr>
        <w:t xml:space="preserve">   </w:t>
      </w:r>
      <w:r>
        <w:rPr>
          <w:rFonts w:ascii="黑体" w:eastAsia="黑体"/>
          <w:color w:val="000000"/>
          <w:sz w:val="24"/>
          <w:u w:val="single"/>
        </w:rPr>
        <w:t xml:space="preserve"> </w:t>
      </w:r>
      <w:r>
        <w:rPr>
          <w:rFonts w:hint="eastAsia" w:ascii="黑体" w:eastAsia="黑体"/>
          <w:color w:val="000000"/>
          <w:sz w:val="24"/>
          <w:u w:val="single"/>
          <w:lang w:val="en-US" w:eastAsia="zh-CN"/>
        </w:rPr>
        <w:t xml:space="preserve">     </w:t>
      </w:r>
    </w:p>
    <w:p w14:paraId="6A82A8FA">
      <w:pPr>
        <w:spacing w:line="360" w:lineRule="auto"/>
        <w:ind w:firstLine="480" w:firstLineChars="200"/>
        <w:rPr>
          <w:rFonts w:ascii="宋体" w:hAnsi="宋体"/>
          <w:color w:val="000000"/>
          <w:sz w:val="24"/>
          <w:u w:val="single"/>
        </w:rPr>
      </w:pPr>
      <w:r>
        <w:rPr>
          <w:rFonts w:ascii="宋体" w:hAnsi="宋体"/>
          <w:color w:val="000000"/>
          <w:sz w:val="24"/>
        </w:rPr>
        <w:t>根据《中华人民共和国</w:t>
      </w:r>
      <w:r>
        <w:rPr>
          <w:rFonts w:hint="eastAsia" w:ascii="宋体" w:hAnsi="宋体"/>
          <w:color w:val="000000"/>
          <w:sz w:val="24"/>
        </w:rPr>
        <w:t>民法典</w:t>
      </w:r>
      <w:r>
        <w:rPr>
          <w:rFonts w:ascii="宋体" w:hAnsi="宋体"/>
          <w:color w:val="000000"/>
          <w:sz w:val="24"/>
        </w:rPr>
        <w:t>》、《中华人民共和国建筑法》及有关法律规定，遵循平等、自愿、公平和诚实信用的原则，双方就</w:t>
      </w:r>
      <w:r>
        <w:rPr>
          <w:rFonts w:hint="eastAsia" w:ascii="宋体" w:hAnsi="宋体" w:cs="FangSong_GB2312"/>
          <w:color w:val="000000"/>
          <w:sz w:val="24"/>
          <w:u w:val="single"/>
          <w:lang w:eastAsia="zh-CN"/>
        </w:rPr>
        <w:t>宁海县高级职业技术中心学校实训大楼数控设备通电、通气及烹饪实习工场通电等项目工程</w:t>
      </w:r>
      <w:r>
        <w:rPr>
          <w:rFonts w:ascii="宋体" w:hAnsi="宋体"/>
          <w:color w:val="000000"/>
          <w:sz w:val="24"/>
        </w:rPr>
        <w:t>施工及有关事项协商一致</w:t>
      </w:r>
      <w:r>
        <w:rPr>
          <w:rFonts w:hint="eastAsia" w:ascii="宋体" w:hAnsi="宋体"/>
          <w:color w:val="000000"/>
          <w:sz w:val="24"/>
        </w:rPr>
        <w:t>，</w:t>
      </w:r>
      <w:r>
        <w:rPr>
          <w:rFonts w:ascii="宋体" w:hAnsi="宋体"/>
          <w:color w:val="000000"/>
          <w:sz w:val="24"/>
        </w:rPr>
        <w:t>共同达成如下协议：</w:t>
      </w:r>
    </w:p>
    <w:p w14:paraId="077B322B">
      <w:pPr>
        <w:pStyle w:val="6"/>
        <w:keepNext w:val="0"/>
        <w:keepLines w:val="0"/>
        <w:spacing w:before="120" w:after="120" w:line="360" w:lineRule="auto"/>
        <w:rPr>
          <w:rFonts w:ascii="黑体" w:hAnsi="宋体"/>
          <w:bCs w:val="0"/>
          <w:color w:val="000000"/>
          <w:sz w:val="24"/>
          <w:szCs w:val="24"/>
        </w:rPr>
      </w:pPr>
      <w:r>
        <w:rPr>
          <w:rFonts w:ascii="Times New Roman" w:hAnsi="Times New Roman"/>
          <w:bCs w:val="0"/>
          <w:color w:val="000000"/>
          <w:sz w:val="32"/>
          <w:szCs w:val="32"/>
        </w:rPr>
        <w:t xml:space="preserve">   </w:t>
      </w:r>
      <w:bookmarkStart w:id="22" w:name="_Toc386638593"/>
      <w:r>
        <w:rPr>
          <w:rFonts w:ascii="黑体" w:hAnsi="宋体"/>
          <w:b w:val="0"/>
          <w:color w:val="000000"/>
          <w:sz w:val="24"/>
          <w:szCs w:val="24"/>
        </w:rPr>
        <w:t>一、工程概况</w:t>
      </w:r>
      <w:bookmarkEnd w:id="22"/>
    </w:p>
    <w:p w14:paraId="09601434">
      <w:pPr>
        <w:spacing w:line="360" w:lineRule="auto"/>
        <w:ind w:firstLine="480" w:firstLineChars="20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cs="FangSong_GB2312"/>
          <w:color w:val="000000"/>
          <w:sz w:val="24"/>
          <w:u w:val="single"/>
          <w:lang w:eastAsia="zh-CN"/>
        </w:rPr>
        <w:t>宁海县高级职业技术中心学校实训大楼数控设备通电、通气及烹饪实习工场通电等项目工程</w:t>
      </w:r>
      <w:r>
        <w:rPr>
          <w:rFonts w:hint="eastAsia" w:ascii="宋体" w:hAnsi="宋体"/>
          <w:color w:val="000000"/>
          <w:sz w:val="24"/>
          <w:u w:val="single"/>
        </w:rPr>
        <w:t xml:space="preserve"> </w:t>
      </w:r>
    </w:p>
    <w:p w14:paraId="5B497B34">
      <w:pPr>
        <w:spacing w:line="360" w:lineRule="auto"/>
        <w:ind w:firstLine="470" w:firstLineChars="196"/>
        <w:rPr>
          <w:rFonts w:hint="eastAsia" w:ascii="宋体" w:hAnsi="宋体"/>
          <w:bCs/>
          <w:color w:val="000000"/>
          <w:sz w:val="24"/>
        </w:rPr>
      </w:pPr>
      <w:r>
        <w:rPr>
          <w:rFonts w:ascii="宋体" w:hAnsi="宋体"/>
          <w:bCs/>
          <w:color w:val="000000"/>
          <w:sz w:val="24"/>
        </w:rPr>
        <w:t>2.工程地点：</w:t>
      </w:r>
      <w:r>
        <w:rPr>
          <w:rFonts w:hint="eastAsia" w:ascii="宋体" w:hAnsi="宋体" w:cs="FangSong_GB2312"/>
          <w:color w:val="000000"/>
          <w:sz w:val="24"/>
          <w:u w:val="single"/>
          <w:lang w:val="en-US" w:eastAsia="zh-CN"/>
        </w:rPr>
        <w:t xml:space="preserve">  </w:t>
      </w:r>
      <w:r>
        <w:rPr>
          <w:rFonts w:hint="eastAsia" w:ascii="宋体" w:hAnsi="宋体" w:cs="FangSong_GB2312"/>
          <w:color w:val="000000"/>
          <w:sz w:val="24"/>
          <w:u w:val="single"/>
          <w:lang w:eastAsia="zh-CN"/>
        </w:rPr>
        <w:t>宁海县高级职业技术中心学校实训大楼</w:t>
      </w:r>
      <w:r>
        <w:rPr>
          <w:rFonts w:hint="eastAsia" w:ascii="宋体" w:hAnsi="宋体" w:cs="FangSong_GB2312"/>
          <w:color w:val="000000"/>
          <w:sz w:val="24"/>
          <w:u w:val="single"/>
          <w:lang w:val="en-US" w:eastAsia="zh-CN"/>
        </w:rPr>
        <w:t xml:space="preserve">      </w:t>
      </w:r>
      <w:r>
        <w:rPr>
          <w:rFonts w:hint="eastAsia" w:ascii="宋体" w:hAnsi="宋体"/>
          <w:color w:val="000000"/>
          <w:sz w:val="24"/>
          <w:u w:val="single"/>
        </w:rPr>
        <w:t xml:space="preserve"> </w:t>
      </w:r>
    </w:p>
    <w:p w14:paraId="236E63C0">
      <w:pPr>
        <w:spacing w:line="360" w:lineRule="auto"/>
        <w:ind w:firstLine="470" w:firstLineChars="196"/>
        <w:rPr>
          <w:rFonts w:ascii="宋体" w:hAnsi="宋体"/>
          <w:bCs/>
          <w:color w:val="000000"/>
          <w:sz w:val="24"/>
        </w:rPr>
      </w:pPr>
      <w:r>
        <w:rPr>
          <w:rFonts w:ascii="宋体" w:hAnsi="宋体"/>
          <w:bCs/>
          <w:color w:val="000000"/>
          <w:sz w:val="24"/>
        </w:rPr>
        <w:t>3.工程立项批准文号：</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3B1148DC">
      <w:pPr>
        <w:spacing w:line="360" w:lineRule="auto"/>
        <w:ind w:firstLine="470" w:firstLineChars="196"/>
        <w:rPr>
          <w:rFonts w:hint="eastAsia" w:ascii="宋体" w:hAnsi="宋体"/>
          <w:bCs/>
          <w:color w:val="000000"/>
          <w:sz w:val="24"/>
        </w:rPr>
      </w:pPr>
      <w:r>
        <w:rPr>
          <w:rFonts w:ascii="宋体" w:hAnsi="宋体"/>
          <w:bCs/>
          <w:color w:val="000000"/>
          <w:sz w:val="24"/>
        </w:rPr>
        <w:t>4.资金来源：</w:t>
      </w:r>
      <w:r>
        <w:rPr>
          <w:rFonts w:hint="eastAsia" w:ascii="宋体" w:hAnsi="宋体" w:cs="宋体"/>
          <w:color w:val="000000"/>
          <w:sz w:val="24"/>
          <w:u w:val="single"/>
        </w:rPr>
        <w:t></w:t>
      </w:r>
      <w:r>
        <w:rPr>
          <w:rFonts w:hint="eastAsia" w:ascii="宋体" w:hAnsi="宋体" w:cs="宋体"/>
          <w:color w:val="000000"/>
          <w:sz w:val="24"/>
          <w:u w:val="single"/>
          <w:lang w:val="en-US" w:eastAsia="zh-CN"/>
        </w:rPr>
        <w:t>上级补助</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029D1A2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ascii="宋体" w:hAnsi="宋体"/>
          <w:color w:val="auto"/>
          <w:sz w:val="24"/>
          <w:u w:val="single"/>
        </w:rPr>
      </w:pPr>
      <w:r>
        <w:rPr>
          <w:rFonts w:hint="eastAsia" w:ascii="宋体" w:hAnsi="宋体"/>
          <w:bCs/>
          <w:color w:val="000000"/>
          <w:sz w:val="24"/>
        </w:rPr>
        <w:t>5.</w:t>
      </w:r>
      <w:r>
        <w:rPr>
          <w:rFonts w:hint="eastAsia" w:ascii="宋体" w:hAnsi="宋体"/>
          <w:bCs/>
          <w:color w:val="auto"/>
          <w:sz w:val="24"/>
        </w:rPr>
        <w:t>工程</w:t>
      </w:r>
      <w:r>
        <w:rPr>
          <w:rFonts w:hint="eastAsia"/>
          <w:bCs/>
          <w:color w:val="auto"/>
          <w:sz w:val="24"/>
          <w:lang w:val="en-US" w:eastAsia="zh-CN"/>
        </w:rPr>
        <w:t>规模</w:t>
      </w:r>
      <w:r>
        <w:rPr>
          <w:rFonts w:hint="eastAsia" w:ascii="宋体" w:hAnsi="宋体"/>
          <w:bCs/>
          <w:color w:val="auto"/>
          <w:sz w:val="24"/>
        </w:rPr>
        <w:t xml:space="preserve">： </w:t>
      </w:r>
      <w:r>
        <w:rPr>
          <w:rFonts w:hint="eastAsia"/>
          <w:bCs/>
          <w:color w:val="auto"/>
          <w:sz w:val="24"/>
          <w:lang w:val="en-US" w:eastAsia="zh-CN"/>
        </w:rPr>
        <w:t xml:space="preserve"> </w:t>
      </w:r>
      <w:r>
        <w:rPr>
          <w:rFonts w:hint="eastAsia" w:ascii="宋体" w:hAnsi="宋体"/>
          <w:color w:val="auto"/>
          <w:sz w:val="24"/>
          <w:u w:val="single"/>
        </w:rPr>
        <w:t xml:space="preserve"> </w:t>
      </w:r>
      <w:r>
        <w:rPr>
          <w:rFonts w:hint="eastAsia"/>
          <w:color w:val="auto"/>
          <w:sz w:val="24"/>
          <w:u w:val="single"/>
          <w:lang w:val="en-US" w:eastAsia="zh-CN"/>
        </w:rPr>
        <w:t xml:space="preserve"> 主要建设内容为配电箱电缆敷设、空气管道及气泵房设备安装、室外电缆敷设等  </w:t>
      </w:r>
      <w:r>
        <w:rPr>
          <w:rFonts w:hint="eastAsia" w:ascii="宋体" w:hAnsi="宋体"/>
          <w:color w:val="auto"/>
          <w:sz w:val="24"/>
          <w:u w:val="single"/>
        </w:rPr>
        <w:t xml:space="preserve"> </w:t>
      </w:r>
    </w:p>
    <w:p w14:paraId="34F045B5">
      <w:pPr>
        <w:spacing w:line="360" w:lineRule="auto"/>
        <w:ind w:firstLine="470" w:firstLineChars="196"/>
        <w:rPr>
          <w:rFonts w:ascii="宋体" w:hAnsi="宋体"/>
          <w:bCs/>
          <w:color w:val="auto"/>
          <w:sz w:val="24"/>
        </w:rPr>
      </w:pPr>
      <w:r>
        <w:rPr>
          <w:rFonts w:hint="eastAsia" w:ascii="宋体" w:hAnsi="宋体"/>
          <w:color w:val="auto"/>
          <w:sz w:val="24"/>
        </w:rPr>
        <w:t>群体工程应附《</w:t>
      </w:r>
      <w:r>
        <w:rPr>
          <w:rFonts w:ascii="宋体" w:hAnsi="宋体"/>
          <w:color w:val="auto"/>
          <w:sz w:val="24"/>
        </w:rPr>
        <w:t>承包人承揽工程项目一览表</w:t>
      </w:r>
      <w:r>
        <w:rPr>
          <w:rFonts w:hint="eastAsia" w:ascii="宋体" w:hAnsi="宋体"/>
          <w:color w:val="auto"/>
          <w:sz w:val="24"/>
        </w:rPr>
        <w:t>》（附件1）。</w:t>
      </w:r>
    </w:p>
    <w:p w14:paraId="0466E699">
      <w:pPr>
        <w:numPr>
          <w:ilvl w:val="0"/>
          <w:numId w:val="6"/>
        </w:numPr>
        <w:spacing w:line="360" w:lineRule="auto"/>
        <w:ind w:firstLine="470" w:firstLineChars="196"/>
        <w:rPr>
          <w:rFonts w:ascii="宋体" w:hAnsi="宋体"/>
          <w:color w:val="auto"/>
          <w:sz w:val="24"/>
        </w:rPr>
      </w:pPr>
      <w:r>
        <w:rPr>
          <w:rFonts w:ascii="宋体" w:hAnsi="宋体"/>
          <w:bCs/>
          <w:color w:val="auto"/>
          <w:sz w:val="24"/>
        </w:rPr>
        <w:t>工程承包范围：</w:t>
      </w:r>
      <w:r>
        <w:rPr>
          <w:rFonts w:hint="eastAsia" w:ascii="宋体" w:hAnsi="宋体"/>
          <w:color w:val="auto"/>
          <w:sz w:val="24"/>
          <w:u w:val="single"/>
        </w:rPr>
        <w:t>(详见工程预算书)</w:t>
      </w:r>
      <w:r>
        <w:rPr>
          <w:rFonts w:ascii="宋体" w:hAnsi="宋体"/>
          <w:color w:val="auto"/>
          <w:sz w:val="24"/>
          <w:u w:val="single"/>
        </w:rPr>
        <w:t>。</w:t>
      </w:r>
    </w:p>
    <w:p w14:paraId="4F372227">
      <w:pPr>
        <w:pStyle w:val="6"/>
        <w:keepNext w:val="0"/>
        <w:keepLines w:val="0"/>
        <w:spacing w:before="120" w:after="120" w:line="360" w:lineRule="auto"/>
        <w:rPr>
          <w:rFonts w:ascii="宋体" w:hAnsi="宋体"/>
          <w:color w:val="auto"/>
          <w:sz w:val="24"/>
          <w:szCs w:val="24"/>
        </w:rPr>
      </w:pPr>
      <w:r>
        <w:rPr>
          <w:rFonts w:ascii="宋体" w:hAnsi="宋体"/>
          <w:b w:val="0"/>
          <w:color w:val="auto"/>
          <w:sz w:val="24"/>
          <w:szCs w:val="24"/>
        </w:rPr>
        <w:t xml:space="preserve">  </w:t>
      </w:r>
      <w:r>
        <w:rPr>
          <w:rFonts w:ascii="宋体" w:hAnsi="宋体"/>
          <w:color w:val="auto"/>
          <w:sz w:val="24"/>
          <w:szCs w:val="24"/>
        </w:rPr>
        <w:t xml:space="preserve"> </w:t>
      </w:r>
      <w:bookmarkStart w:id="23" w:name="_Toc386638594"/>
      <w:r>
        <w:rPr>
          <w:rFonts w:ascii="宋体" w:hAnsi="宋体"/>
          <w:color w:val="auto"/>
          <w:sz w:val="24"/>
          <w:szCs w:val="24"/>
        </w:rPr>
        <w:t>二、合同工期</w:t>
      </w:r>
      <w:bookmarkEnd w:id="23"/>
    </w:p>
    <w:p w14:paraId="1202CAEE">
      <w:pPr>
        <w:spacing w:line="360" w:lineRule="auto"/>
        <w:ind w:firstLine="459"/>
        <w:rPr>
          <w:rFonts w:ascii="宋体" w:hAnsi="宋体"/>
          <w:color w:val="auto"/>
          <w:sz w:val="24"/>
        </w:rPr>
      </w:pPr>
      <w:r>
        <w:rPr>
          <w:rFonts w:ascii="宋体" w:hAnsi="宋体"/>
          <w:color w:val="auto"/>
          <w:sz w:val="24"/>
        </w:rPr>
        <w:t>计划开工日期：</w:t>
      </w:r>
      <w:r>
        <w:rPr>
          <w:rFonts w:hint="eastAsia" w:ascii="宋体" w:hAnsi="宋体"/>
          <w:color w:val="auto"/>
          <w:sz w:val="24"/>
          <w:u w:val="single"/>
          <w:lang w:val="en-US" w:eastAsia="zh-CN"/>
        </w:rPr>
        <w:t xml:space="preserve">      </w:t>
      </w:r>
      <w:r>
        <w:rPr>
          <w:rFonts w:ascii="宋体" w:hAnsi="宋体"/>
          <w:color w:val="auto"/>
          <w:sz w:val="24"/>
        </w:rPr>
        <w:t>年</w:t>
      </w:r>
      <w:r>
        <w:rPr>
          <w:rFonts w:hint="eastAsia" w:ascii="宋体" w:hAnsi="宋体" w:cs="宋体"/>
          <w:color w:val="auto"/>
          <w:sz w:val="24"/>
          <w:u w:val="single"/>
        </w:rPr>
        <w:t xml:space="preserve">     </w:t>
      </w:r>
      <w:r>
        <w:rPr>
          <w:rFonts w:ascii="宋体" w:hAnsi="宋体"/>
          <w:color w:val="auto"/>
          <w:sz w:val="24"/>
        </w:rPr>
        <w:t>月</w:t>
      </w:r>
      <w:r>
        <w:rPr>
          <w:rFonts w:hint="eastAsia" w:ascii="宋体" w:hAnsi="宋体" w:cs="宋体"/>
          <w:color w:val="auto"/>
          <w:sz w:val="24"/>
          <w:u w:val="single"/>
        </w:rPr>
        <w:t></w:t>
      </w:r>
      <w:r>
        <w:rPr>
          <w:rFonts w:ascii="宋体" w:hAnsi="宋体"/>
          <w:color w:val="auto"/>
          <w:sz w:val="24"/>
        </w:rPr>
        <w:t>日</w:t>
      </w:r>
      <w:r>
        <w:rPr>
          <w:rFonts w:hint="eastAsia" w:ascii="宋体" w:hAnsi="宋体"/>
          <w:color w:val="auto"/>
          <w:sz w:val="24"/>
        </w:rPr>
        <w:t>（具体开工时间以</w:t>
      </w:r>
      <w:r>
        <w:rPr>
          <w:rFonts w:hint="eastAsia" w:ascii="宋体" w:hAnsi="宋体"/>
          <w:color w:val="auto"/>
          <w:sz w:val="24"/>
          <w:lang w:val="en-US" w:eastAsia="zh-CN"/>
        </w:rPr>
        <w:t>监理、</w:t>
      </w:r>
      <w:r>
        <w:rPr>
          <w:rFonts w:hint="eastAsia" w:ascii="宋体" w:hAnsi="宋体"/>
          <w:color w:val="auto"/>
          <w:sz w:val="24"/>
        </w:rPr>
        <w:t>发包人签</w:t>
      </w:r>
      <w:r>
        <w:rPr>
          <w:rFonts w:hint="eastAsia" w:ascii="宋体" w:hAnsi="宋体"/>
          <w:color w:val="auto"/>
          <w:sz w:val="24"/>
          <w:lang w:val="en-US" w:eastAsia="zh-CN"/>
        </w:rPr>
        <w:t>发</w:t>
      </w:r>
      <w:r>
        <w:rPr>
          <w:rFonts w:hint="eastAsia" w:ascii="宋体" w:hAnsi="宋体"/>
          <w:color w:val="auto"/>
          <w:sz w:val="24"/>
        </w:rPr>
        <w:t>的开工报告为准）</w:t>
      </w:r>
      <w:r>
        <w:rPr>
          <w:rFonts w:ascii="宋体" w:hAnsi="宋体"/>
          <w:color w:val="auto"/>
          <w:sz w:val="24"/>
        </w:rPr>
        <w:t>。</w:t>
      </w:r>
    </w:p>
    <w:p w14:paraId="5FA6AC23">
      <w:pPr>
        <w:spacing w:line="360" w:lineRule="auto"/>
        <w:ind w:firstLine="459"/>
        <w:rPr>
          <w:rFonts w:ascii="宋体" w:hAnsi="宋体"/>
          <w:color w:val="auto"/>
          <w:sz w:val="24"/>
        </w:rPr>
      </w:pPr>
      <w:r>
        <w:rPr>
          <w:rFonts w:ascii="宋体" w:hAnsi="宋体"/>
          <w:color w:val="auto"/>
          <w:sz w:val="24"/>
        </w:rPr>
        <w:t>计划竣工日期：</w:t>
      </w:r>
      <w:r>
        <w:rPr>
          <w:rFonts w:hint="eastAsia" w:ascii="宋体" w:hAnsi="宋体" w:cs="宋体"/>
          <w:color w:val="auto"/>
          <w:sz w:val="24"/>
          <w:u w:val="single"/>
        </w:rPr>
        <w:t xml:space="preserve">     </w:t>
      </w:r>
      <w:r>
        <w:rPr>
          <w:rFonts w:ascii="宋体" w:hAnsi="宋体"/>
          <w:color w:val="auto"/>
          <w:sz w:val="24"/>
        </w:rPr>
        <w:t>年</w:t>
      </w:r>
      <w:r>
        <w:rPr>
          <w:rFonts w:hint="eastAsia" w:ascii="宋体" w:hAnsi="宋体" w:cs="宋体"/>
          <w:color w:val="auto"/>
          <w:sz w:val="24"/>
          <w:u w:val="single"/>
        </w:rPr>
        <w:t></w:t>
      </w:r>
      <w:r>
        <w:rPr>
          <w:rFonts w:ascii="宋体" w:hAnsi="宋体"/>
          <w:color w:val="auto"/>
          <w:sz w:val="24"/>
        </w:rPr>
        <w:t>月</w:t>
      </w:r>
      <w:r>
        <w:rPr>
          <w:rFonts w:hint="eastAsia" w:ascii="宋体" w:hAnsi="宋体" w:cs="宋体"/>
          <w:color w:val="auto"/>
          <w:sz w:val="24"/>
          <w:u w:val="single"/>
        </w:rPr>
        <w:t></w:t>
      </w:r>
      <w:r>
        <w:rPr>
          <w:rFonts w:ascii="宋体" w:hAnsi="宋体"/>
          <w:color w:val="auto"/>
          <w:sz w:val="24"/>
        </w:rPr>
        <w:t>日</w:t>
      </w:r>
      <w:r>
        <w:rPr>
          <w:rFonts w:hint="eastAsia" w:ascii="宋体" w:hAnsi="宋体"/>
          <w:color w:val="auto"/>
          <w:sz w:val="24"/>
        </w:rPr>
        <w:t>（具体</w:t>
      </w:r>
      <w:r>
        <w:rPr>
          <w:rFonts w:hint="eastAsia" w:ascii="宋体" w:hAnsi="宋体"/>
          <w:color w:val="auto"/>
          <w:sz w:val="24"/>
          <w:lang w:val="en-US" w:eastAsia="zh-CN"/>
        </w:rPr>
        <w:t>竣</w:t>
      </w:r>
      <w:r>
        <w:rPr>
          <w:rFonts w:hint="eastAsia" w:ascii="宋体" w:hAnsi="宋体"/>
          <w:color w:val="auto"/>
          <w:sz w:val="24"/>
        </w:rPr>
        <w:t>工时间以</w:t>
      </w:r>
      <w:r>
        <w:rPr>
          <w:rFonts w:hint="eastAsia" w:ascii="宋体" w:hAnsi="宋体"/>
          <w:color w:val="auto"/>
          <w:sz w:val="24"/>
          <w:lang w:val="en-US" w:eastAsia="zh-CN"/>
        </w:rPr>
        <w:t>监理、</w:t>
      </w:r>
      <w:r>
        <w:rPr>
          <w:rFonts w:hint="eastAsia" w:ascii="宋体" w:hAnsi="宋体"/>
          <w:color w:val="auto"/>
          <w:sz w:val="24"/>
        </w:rPr>
        <w:t>发包人签</w:t>
      </w:r>
      <w:r>
        <w:rPr>
          <w:rFonts w:hint="eastAsia" w:ascii="宋体" w:hAnsi="宋体"/>
          <w:color w:val="auto"/>
          <w:sz w:val="24"/>
          <w:lang w:val="en-US" w:eastAsia="zh-CN"/>
        </w:rPr>
        <w:t>发</w:t>
      </w:r>
      <w:r>
        <w:rPr>
          <w:rFonts w:hint="eastAsia" w:ascii="宋体" w:hAnsi="宋体"/>
          <w:color w:val="auto"/>
          <w:sz w:val="24"/>
        </w:rPr>
        <w:t>的</w:t>
      </w:r>
      <w:r>
        <w:rPr>
          <w:rFonts w:hint="eastAsia" w:ascii="宋体" w:hAnsi="宋体"/>
          <w:color w:val="auto"/>
          <w:sz w:val="24"/>
          <w:lang w:val="en-US" w:eastAsia="zh-CN"/>
        </w:rPr>
        <w:t>竣工</w:t>
      </w:r>
      <w:r>
        <w:rPr>
          <w:rFonts w:hint="eastAsia" w:ascii="宋体" w:hAnsi="宋体"/>
          <w:color w:val="auto"/>
          <w:sz w:val="24"/>
        </w:rPr>
        <w:t>报告为准）</w:t>
      </w:r>
      <w:r>
        <w:rPr>
          <w:rFonts w:ascii="宋体" w:hAnsi="宋体"/>
          <w:color w:val="auto"/>
          <w:sz w:val="24"/>
        </w:rPr>
        <w:t>。</w:t>
      </w:r>
    </w:p>
    <w:p w14:paraId="0745EA46">
      <w:pPr>
        <w:spacing w:line="360" w:lineRule="auto"/>
        <w:ind w:firstLine="459"/>
        <w:rPr>
          <w:rFonts w:ascii="宋体" w:hAnsi="宋体"/>
          <w:color w:val="000000"/>
          <w:sz w:val="24"/>
        </w:rPr>
      </w:pPr>
      <w:r>
        <w:rPr>
          <w:rFonts w:ascii="宋体" w:hAnsi="宋体"/>
          <w:color w:val="auto"/>
          <w:sz w:val="24"/>
        </w:rPr>
        <w:t>工期总日历天数</w:t>
      </w:r>
      <w:r>
        <w:rPr>
          <w:rFonts w:ascii="宋体" w:hAnsi="宋体"/>
          <w:color w:val="auto"/>
          <w:sz w:val="24"/>
          <w:highlight w:val="none"/>
        </w:rPr>
        <w:t>：</w:t>
      </w:r>
      <w:r>
        <w:rPr>
          <w:rFonts w:hint="eastAsia" w:ascii="宋体" w:hAnsi="宋体"/>
          <w:color w:val="auto"/>
          <w:sz w:val="24"/>
          <w:highlight w:val="none"/>
          <w:u w:val="single"/>
          <w:lang w:val="en-US" w:eastAsia="zh-CN"/>
        </w:rPr>
        <w:t xml:space="preserve">  日历天</w:t>
      </w:r>
      <w:r>
        <w:rPr>
          <w:rFonts w:ascii="宋体" w:hAnsi="宋体"/>
          <w:color w:val="auto"/>
          <w:sz w:val="24"/>
        </w:rPr>
        <w:t>。工期</w:t>
      </w:r>
      <w:r>
        <w:rPr>
          <w:rFonts w:ascii="宋体" w:hAnsi="宋体"/>
          <w:color w:val="000000"/>
          <w:sz w:val="24"/>
        </w:rPr>
        <w:t>总日历天数与根据前述计划开竣工日期计算的工期天数不一致的，以工期总日历天数为准。</w:t>
      </w:r>
    </w:p>
    <w:p w14:paraId="1AC930CB">
      <w:pPr>
        <w:pStyle w:val="6"/>
        <w:keepNext w:val="0"/>
        <w:keepLines w:val="0"/>
        <w:spacing w:before="120" w:after="120" w:line="360" w:lineRule="auto"/>
        <w:rPr>
          <w:rFonts w:ascii="黑体" w:hAnsi="宋体"/>
          <w:bCs w:val="0"/>
          <w:color w:val="000000"/>
          <w:sz w:val="24"/>
          <w:szCs w:val="24"/>
        </w:rPr>
      </w:pPr>
      <w:r>
        <w:rPr>
          <w:rFonts w:ascii="宋体" w:hAnsi="宋体"/>
          <w:bCs w:val="0"/>
          <w:color w:val="000000"/>
          <w:sz w:val="24"/>
          <w:szCs w:val="24"/>
        </w:rPr>
        <w:t xml:space="preserve">   </w:t>
      </w:r>
      <w:r>
        <w:rPr>
          <w:rFonts w:ascii="黑体" w:hAnsi="宋体"/>
          <w:bCs w:val="0"/>
          <w:color w:val="000000"/>
          <w:sz w:val="24"/>
          <w:szCs w:val="24"/>
        </w:rPr>
        <w:t xml:space="preserve"> </w:t>
      </w:r>
      <w:bookmarkStart w:id="24" w:name="_Toc386638595"/>
      <w:r>
        <w:rPr>
          <w:rFonts w:ascii="黑体" w:hAnsi="宋体"/>
          <w:b w:val="0"/>
          <w:color w:val="000000"/>
          <w:sz w:val="24"/>
          <w:szCs w:val="24"/>
        </w:rPr>
        <w:t>三、质量标准</w:t>
      </w:r>
      <w:bookmarkEnd w:id="24"/>
    </w:p>
    <w:p w14:paraId="5124EED7">
      <w:pPr>
        <w:spacing w:line="360" w:lineRule="auto"/>
        <w:ind w:firstLine="459"/>
        <w:rPr>
          <w:rFonts w:ascii="宋体" w:hAnsi="宋体"/>
          <w:color w:val="000000"/>
          <w:sz w:val="24"/>
        </w:rPr>
      </w:pPr>
      <w:r>
        <w:rPr>
          <w:rFonts w:ascii="宋体" w:hAnsi="宋体"/>
          <w:color w:val="000000"/>
          <w:sz w:val="24"/>
        </w:rPr>
        <w:t>工程质量</w:t>
      </w:r>
      <w:r>
        <w:rPr>
          <w:rFonts w:hint="eastAsia" w:ascii="宋体" w:hAnsi="宋体" w:cs="宋体"/>
          <w:color w:val="000000"/>
          <w:sz w:val="24"/>
          <w:u w:val="single"/>
        </w:rPr>
        <w:t>符合</w:t>
      </w:r>
      <w:r>
        <w:rPr>
          <w:rFonts w:hint="eastAsia" w:ascii="宋体" w:hAnsi="宋体"/>
          <w:bCs/>
          <w:color w:val="000000"/>
          <w:sz w:val="24"/>
          <w:u w:val="single"/>
        </w:rPr>
        <w:t>现行国家有关工程施工质量验收规范和标准要求，验收合格</w:t>
      </w:r>
      <w:r>
        <w:rPr>
          <w:rFonts w:hint="eastAsia" w:ascii="宋体" w:hAnsi="宋体" w:cs="宋体"/>
          <w:color w:val="000000"/>
          <w:sz w:val="24"/>
          <w:u w:val="single"/>
        </w:rPr>
        <w:t></w:t>
      </w:r>
      <w:r>
        <w:rPr>
          <w:rFonts w:ascii="宋体" w:hAnsi="宋体"/>
          <w:color w:val="000000"/>
          <w:sz w:val="24"/>
        </w:rPr>
        <w:t>标准。</w:t>
      </w:r>
    </w:p>
    <w:p w14:paraId="00D9BDA8">
      <w:pPr>
        <w:pStyle w:val="6"/>
        <w:keepNext w:val="0"/>
        <w:keepLines w:val="0"/>
        <w:spacing w:before="120" w:after="120" w:line="360" w:lineRule="auto"/>
        <w:rPr>
          <w:rFonts w:ascii="宋体" w:hAnsi="宋体"/>
          <w:bCs w:val="0"/>
          <w:color w:val="000000"/>
          <w:sz w:val="24"/>
          <w:szCs w:val="24"/>
        </w:rPr>
      </w:pPr>
      <w:r>
        <w:rPr>
          <w:rFonts w:ascii="宋体" w:hAnsi="宋体"/>
          <w:bCs w:val="0"/>
          <w:color w:val="000000"/>
          <w:sz w:val="24"/>
          <w:szCs w:val="24"/>
        </w:rPr>
        <w:t xml:space="preserve">   </w:t>
      </w:r>
      <w:r>
        <w:rPr>
          <w:rFonts w:ascii="宋体" w:hAnsi="宋体"/>
          <w:b w:val="0"/>
          <w:color w:val="000000"/>
          <w:sz w:val="24"/>
          <w:szCs w:val="24"/>
        </w:rPr>
        <w:t xml:space="preserve"> </w:t>
      </w:r>
      <w:bookmarkStart w:id="25" w:name="_Toc386638596"/>
      <w:r>
        <w:rPr>
          <w:rFonts w:ascii="宋体" w:hAnsi="宋体"/>
          <w:b w:val="0"/>
          <w:color w:val="000000"/>
          <w:sz w:val="24"/>
          <w:szCs w:val="24"/>
        </w:rPr>
        <w:t>四、签约合同价与合同价格形式</w:t>
      </w:r>
      <w:bookmarkEnd w:id="25"/>
      <w:r>
        <w:rPr>
          <w:rFonts w:ascii="宋体" w:hAnsi="宋体"/>
          <w:b w:val="0"/>
          <w:color w:val="000000"/>
          <w:sz w:val="24"/>
          <w:szCs w:val="24"/>
        </w:rPr>
        <w:tab/>
      </w:r>
    </w:p>
    <w:p w14:paraId="1CE4F5CC">
      <w:pPr>
        <w:spacing w:line="360" w:lineRule="auto"/>
        <w:ind w:firstLine="480" w:firstLineChars="200"/>
        <w:rPr>
          <w:rFonts w:ascii="宋体" w:hAnsi="宋体"/>
          <w:color w:val="000000"/>
          <w:sz w:val="24"/>
        </w:rPr>
      </w:pPr>
      <w:r>
        <w:rPr>
          <w:rFonts w:ascii="宋体" w:hAnsi="宋体"/>
          <w:color w:val="000000"/>
          <w:sz w:val="24"/>
        </w:rPr>
        <w:t>1.签约合同价为：</w:t>
      </w:r>
    </w:p>
    <w:p w14:paraId="5561E679">
      <w:pPr>
        <w:spacing w:line="360" w:lineRule="auto"/>
        <w:ind w:firstLine="600" w:firstLineChars="2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s="FangSong_GB2312"/>
          <w:color w:val="000000"/>
          <w:sz w:val="24"/>
          <w:u w:val="single"/>
        </w:rPr>
        <w:t xml:space="preserve">     </w:t>
      </w:r>
      <w:r>
        <w:rPr>
          <w:rFonts w:hint="eastAsia" w:ascii="宋体" w:hAnsi="宋体"/>
          <w:bCs/>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1481F63A">
      <w:pPr>
        <w:spacing w:line="360" w:lineRule="auto"/>
        <w:ind w:firstLine="480" w:firstLineChars="200"/>
        <w:rPr>
          <w:rFonts w:ascii="宋体" w:hAnsi="宋体"/>
          <w:color w:val="000000"/>
          <w:sz w:val="24"/>
        </w:rPr>
      </w:pPr>
      <w:r>
        <w:rPr>
          <w:rFonts w:ascii="宋体" w:hAnsi="宋体"/>
          <w:color w:val="000000"/>
          <w:sz w:val="24"/>
        </w:rPr>
        <w:t>其中：</w:t>
      </w:r>
    </w:p>
    <w:p w14:paraId="2AE3D84F">
      <w:pPr>
        <w:spacing w:line="360" w:lineRule="auto"/>
        <w:ind w:firstLine="480" w:firstLineChars="200"/>
        <w:rPr>
          <w:rFonts w:ascii="宋体" w:hAnsi="宋体"/>
          <w:color w:val="000000"/>
          <w:sz w:val="24"/>
        </w:rPr>
      </w:pPr>
      <w:r>
        <w:rPr>
          <w:rFonts w:ascii="宋体" w:hAnsi="宋体"/>
          <w:color w:val="000000"/>
          <w:sz w:val="24"/>
        </w:rPr>
        <w:t>（1）安全文明施工费：</w:t>
      </w:r>
    </w:p>
    <w:p w14:paraId="6516076D">
      <w:pPr>
        <w:spacing w:line="360" w:lineRule="auto"/>
        <w:ind w:firstLine="1080" w:firstLineChars="4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元)；</w:t>
      </w:r>
    </w:p>
    <w:p w14:paraId="452E0332">
      <w:pPr>
        <w:spacing w:line="360" w:lineRule="auto"/>
        <w:ind w:firstLine="480" w:firstLineChars="200"/>
        <w:rPr>
          <w:rFonts w:ascii="宋体" w:hAnsi="宋体"/>
          <w:color w:val="000000"/>
          <w:sz w:val="24"/>
        </w:rPr>
      </w:pPr>
      <w:r>
        <w:rPr>
          <w:rFonts w:ascii="宋体" w:hAnsi="宋体"/>
          <w:color w:val="000000"/>
          <w:sz w:val="24"/>
        </w:rPr>
        <w:t>（2）材料和工程设备暂估价金额：</w:t>
      </w:r>
    </w:p>
    <w:p w14:paraId="2ABA5D00">
      <w:pPr>
        <w:spacing w:line="360" w:lineRule="auto"/>
        <w:ind w:firstLine="1080" w:firstLineChars="4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1DE566E3">
      <w:pPr>
        <w:spacing w:line="360" w:lineRule="auto"/>
        <w:ind w:firstLine="480" w:firstLineChars="200"/>
        <w:rPr>
          <w:rFonts w:ascii="宋体" w:hAnsi="宋体"/>
          <w:color w:val="000000"/>
          <w:sz w:val="24"/>
        </w:rPr>
      </w:pPr>
      <w:r>
        <w:rPr>
          <w:rFonts w:ascii="宋体" w:hAnsi="宋体"/>
          <w:color w:val="000000"/>
          <w:sz w:val="24"/>
        </w:rPr>
        <w:t>（3）专业工程暂估价金额：</w:t>
      </w:r>
    </w:p>
    <w:p w14:paraId="5BBAF22E">
      <w:pPr>
        <w:spacing w:line="360" w:lineRule="auto"/>
        <w:ind w:firstLine="1080" w:firstLineChars="4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7B28633C">
      <w:pPr>
        <w:spacing w:line="360" w:lineRule="auto"/>
        <w:ind w:firstLine="480" w:firstLineChars="200"/>
        <w:rPr>
          <w:rFonts w:ascii="宋体" w:hAnsi="宋体"/>
          <w:color w:val="000000"/>
          <w:sz w:val="24"/>
        </w:rPr>
      </w:pPr>
      <w:r>
        <w:rPr>
          <w:rFonts w:ascii="宋体" w:hAnsi="宋体"/>
          <w:color w:val="000000"/>
          <w:sz w:val="24"/>
        </w:rPr>
        <w:t>（4）暂列金额：</w:t>
      </w:r>
    </w:p>
    <w:p w14:paraId="3A32897A">
      <w:pPr>
        <w:spacing w:line="360" w:lineRule="auto"/>
        <w:ind w:firstLine="1080" w:firstLineChars="45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352C29E">
      <w:pPr>
        <w:spacing w:line="360" w:lineRule="auto"/>
        <w:ind w:firstLine="480" w:firstLineChars="200"/>
        <w:rPr>
          <w:rFonts w:ascii="宋体" w:hAnsi="宋体"/>
          <w:color w:val="000000"/>
          <w:sz w:val="24"/>
        </w:rPr>
      </w:pPr>
      <w:r>
        <w:rPr>
          <w:rFonts w:ascii="宋体" w:hAnsi="宋体"/>
          <w:color w:val="000000"/>
          <w:sz w:val="24"/>
        </w:rPr>
        <w:t>2.合同价格形式：</w:t>
      </w:r>
      <w:r>
        <w:rPr>
          <w:rFonts w:hint="eastAsia" w:ascii="宋体" w:hAnsi="宋体" w:cs="宋体"/>
          <w:color w:val="000000"/>
          <w:sz w:val="24"/>
          <w:u w:val="single"/>
        </w:rPr>
        <w:t></w:t>
      </w:r>
      <w:r>
        <w:rPr>
          <w:rFonts w:hint="eastAsia" w:ascii="宋体" w:hAnsi="宋体"/>
          <w:color w:val="000000"/>
          <w:sz w:val="24"/>
          <w:u w:val="single"/>
        </w:rPr>
        <w:t xml:space="preserve">单价合同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490B1BEE">
      <w:pPr>
        <w:pStyle w:val="6"/>
        <w:keepNext w:val="0"/>
        <w:keepLines w:val="0"/>
        <w:spacing w:before="120" w:after="120" w:line="360" w:lineRule="auto"/>
        <w:rPr>
          <w:rFonts w:ascii="宋体" w:hAnsi="宋体"/>
          <w:b w:val="0"/>
          <w:color w:val="000000"/>
          <w:sz w:val="24"/>
          <w:szCs w:val="24"/>
        </w:rPr>
      </w:pPr>
      <w:r>
        <w:rPr>
          <w:rFonts w:ascii="宋体" w:hAnsi="宋体"/>
          <w:bCs w:val="0"/>
          <w:color w:val="000000"/>
          <w:sz w:val="24"/>
          <w:szCs w:val="24"/>
        </w:rPr>
        <w:t xml:space="preserve">   </w:t>
      </w:r>
      <w:r>
        <w:rPr>
          <w:rFonts w:ascii="宋体" w:hAnsi="宋体"/>
          <w:b w:val="0"/>
          <w:color w:val="000000"/>
          <w:sz w:val="24"/>
          <w:szCs w:val="24"/>
        </w:rPr>
        <w:t xml:space="preserve"> </w:t>
      </w:r>
      <w:bookmarkStart w:id="26" w:name="_Toc386638597"/>
      <w:r>
        <w:rPr>
          <w:rFonts w:ascii="宋体" w:hAnsi="宋体"/>
          <w:b w:val="0"/>
          <w:color w:val="000000"/>
          <w:sz w:val="24"/>
          <w:szCs w:val="24"/>
        </w:rPr>
        <w:t>五、项目经理</w:t>
      </w:r>
      <w:bookmarkEnd w:id="26"/>
    </w:p>
    <w:p w14:paraId="1504A572">
      <w:pPr>
        <w:spacing w:line="360" w:lineRule="auto"/>
        <w:ind w:firstLine="480" w:firstLineChars="20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62F86A7F">
      <w:pPr>
        <w:pStyle w:val="6"/>
        <w:keepNext w:val="0"/>
        <w:keepLines w:val="0"/>
        <w:spacing w:before="120" w:after="120" w:line="360" w:lineRule="auto"/>
        <w:rPr>
          <w:rFonts w:ascii="宋体" w:hAnsi="宋体"/>
          <w:bCs w:val="0"/>
          <w:color w:val="000000"/>
          <w:sz w:val="24"/>
          <w:szCs w:val="24"/>
        </w:rPr>
      </w:pPr>
      <w:r>
        <w:rPr>
          <w:rFonts w:ascii="宋体" w:hAnsi="宋体"/>
          <w:bCs w:val="0"/>
          <w:color w:val="000000"/>
          <w:sz w:val="24"/>
          <w:szCs w:val="24"/>
        </w:rPr>
        <w:t xml:space="preserve">   </w:t>
      </w:r>
      <w:r>
        <w:rPr>
          <w:rFonts w:ascii="宋体" w:hAnsi="宋体"/>
          <w:b w:val="0"/>
          <w:color w:val="000000"/>
          <w:sz w:val="24"/>
          <w:szCs w:val="24"/>
        </w:rPr>
        <w:t xml:space="preserve"> </w:t>
      </w:r>
      <w:bookmarkStart w:id="27" w:name="_Toc386638598"/>
      <w:r>
        <w:rPr>
          <w:rFonts w:ascii="宋体" w:hAnsi="宋体"/>
          <w:b w:val="0"/>
          <w:color w:val="000000"/>
          <w:sz w:val="24"/>
          <w:szCs w:val="24"/>
        </w:rPr>
        <w:t>六、合同文件构成</w:t>
      </w:r>
      <w:bookmarkEnd w:id="27"/>
    </w:p>
    <w:p w14:paraId="4195DB66">
      <w:pPr>
        <w:spacing w:line="360" w:lineRule="auto"/>
        <w:ind w:firstLine="480" w:firstLineChars="200"/>
        <w:rPr>
          <w:rFonts w:ascii="宋体" w:hAnsi="宋体"/>
          <w:bCs/>
          <w:color w:val="000000"/>
          <w:sz w:val="24"/>
        </w:rPr>
      </w:pPr>
      <w:r>
        <w:rPr>
          <w:rFonts w:ascii="宋体" w:hAnsi="宋体"/>
          <w:bCs/>
          <w:color w:val="000000"/>
          <w:sz w:val="24"/>
        </w:rPr>
        <w:t>本协议书与下列文件一起构成合同文件：</w:t>
      </w:r>
    </w:p>
    <w:p w14:paraId="6C546B99">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（1）中标通知书（如果有）；</w:t>
      </w:r>
    </w:p>
    <w:p w14:paraId="6365F4B5">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 xml:space="preserve">（2）投标函及其附录（如果有）； </w:t>
      </w:r>
    </w:p>
    <w:p w14:paraId="39CFE521">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（3）专用合同条款及其附件；</w:t>
      </w:r>
    </w:p>
    <w:p w14:paraId="6B874A9C">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（4）通用合同条款；</w:t>
      </w:r>
    </w:p>
    <w:p w14:paraId="2993C86F">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（5）技术标准和要求；</w:t>
      </w:r>
    </w:p>
    <w:p w14:paraId="07B45954">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（6）图纸；</w:t>
      </w:r>
    </w:p>
    <w:p w14:paraId="11D2B5EA">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（7）预算书；</w:t>
      </w:r>
    </w:p>
    <w:p w14:paraId="723BC8E0">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（8）其他合同文件。</w:t>
      </w:r>
    </w:p>
    <w:p w14:paraId="39FAD59E">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09E11A23">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r>
        <w:rPr>
          <w:rFonts w:hint="eastAsia" w:ascii="宋体" w:hAnsi="宋体"/>
          <w:color w:val="000000"/>
          <w:sz w:val="24"/>
        </w:rPr>
        <w:t>专用合同条款及其附件须经合同当事人签字或盖章。</w:t>
      </w:r>
    </w:p>
    <w:p w14:paraId="43B7E09B">
      <w:pPr>
        <w:pStyle w:val="6"/>
        <w:keepNext w:val="0"/>
        <w:keepLines w:val="0"/>
        <w:spacing w:before="120" w:after="120" w:line="360" w:lineRule="auto"/>
        <w:rPr>
          <w:rFonts w:ascii="宋体" w:hAnsi="宋体"/>
          <w:b w:val="0"/>
          <w:bCs w:val="0"/>
          <w:color w:val="000000"/>
          <w:sz w:val="24"/>
          <w:szCs w:val="24"/>
        </w:rPr>
      </w:pPr>
      <w:r>
        <w:rPr>
          <w:rFonts w:ascii="宋体" w:hAnsi="宋体"/>
          <w:b w:val="0"/>
          <w:bCs w:val="0"/>
          <w:color w:val="000000"/>
          <w:sz w:val="24"/>
          <w:szCs w:val="24"/>
        </w:rPr>
        <w:t xml:space="preserve">   </w:t>
      </w:r>
      <w:r>
        <w:rPr>
          <w:rFonts w:ascii="宋体" w:hAnsi="宋体"/>
          <w:b w:val="0"/>
          <w:color w:val="000000"/>
          <w:sz w:val="24"/>
          <w:szCs w:val="24"/>
        </w:rPr>
        <w:t xml:space="preserve"> </w:t>
      </w:r>
      <w:bookmarkStart w:id="28" w:name="_Toc386638599"/>
      <w:r>
        <w:rPr>
          <w:rFonts w:ascii="宋体" w:hAnsi="宋体"/>
          <w:b w:val="0"/>
          <w:color w:val="000000"/>
          <w:sz w:val="24"/>
          <w:szCs w:val="24"/>
        </w:rPr>
        <w:t>七、承诺</w:t>
      </w:r>
      <w:bookmarkEnd w:id="28"/>
    </w:p>
    <w:p w14:paraId="0D0B0101">
      <w:pPr>
        <w:spacing w:line="360" w:lineRule="auto"/>
        <w:ind w:firstLine="480" w:firstLineChars="200"/>
        <w:rPr>
          <w:rFonts w:ascii="宋体" w:hAnsi="宋体"/>
          <w:bCs/>
          <w:color w:val="000000"/>
          <w:sz w:val="24"/>
        </w:rPr>
      </w:pPr>
      <w:r>
        <w:rPr>
          <w:rFonts w:ascii="宋体" w:hAnsi="宋体"/>
          <w:bCs/>
          <w:color w:val="000000"/>
          <w:sz w:val="24"/>
        </w:rPr>
        <w:t>1.发包人承诺按照法律规定履行项目审批手续、筹集工程建设资金并按照合同约定的期限和方式支付合同价款。</w:t>
      </w:r>
    </w:p>
    <w:p w14:paraId="335E8403">
      <w:pPr>
        <w:spacing w:line="360" w:lineRule="auto"/>
        <w:ind w:firstLine="480" w:firstLineChars="200"/>
        <w:rPr>
          <w:rFonts w:ascii="宋体" w:hAnsi="宋体"/>
          <w:bCs/>
          <w:color w:val="000000"/>
          <w:sz w:val="24"/>
        </w:rPr>
      </w:pPr>
      <w:r>
        <w:rPr>
          <w:rFonts w:ascii="宋体" w:hAnsi="宋体"/>
          <w:bCs/>
          <w:color w:val="000000"/>
          <w:sz w:val="24"/>
        </w:rPr>
        <w:t>2.承包人承诺按照法律规定及合同约定组织完成工程施工，确保工程质量和安全，不进行转包及违法分包，并在缺陷责任期及保修期内承担相应的工程维修责任。</w:t>
      </w:r>
    </w:p>
    <w:p w14:paraId="0EF83CE2">
      <w:pPr>
        <w:spacing w:line="360" w:lineRule="auto"/>
        <w:ind w:firstLine="480" w:firstLineChars="200"/>
        <w:rPr>
          <w:rFonts w:ascii="宋体" w:hAnsi="宋体"/>
          <w:bCs/>
          <w:color w:val="000000"/>
          <w:sz w:val="24"/>
        </w:rPr>
      </w:pPr>
      <w:r>
        <w:rPr>
          <w:rFonts w:ascii="宋体" w:hAnsi="宋体"/>
          <w:bCs/>
          <w:color w:val="000000"/>
          <w:sz w:val="24"/>
        </w:rPr>
        <w:t>3.发包人和承包人通过招投标形式签订合同的，双方理解并</w:t>
      </w:r>
      <w:r>
        <w:rPr>
          <w:rFonts w:hint="eastAsia" w:ascii="宋体" w:hAnsi="宋体"/>
          <w:bCs/>
          <w:color w:val="000000"/>
          <w:sz w:val="24"/>
        </w:rPr>
        <w:t>承诺</w:t>
      </w:r>
      <w:r>
        <w:rPr>
          <w:rFonts w:ascii="宋体" w:hAnsi="宋体"/>
          <w:bCs/>
          <w:color w:val="000000"/>
          <w:sz w:val="24"/>
        </w:rPr>
        <w:t>不再就同一工程另行签订与合同实质性内容相背离的协议。</w:t>
      </w:r>
    </w:p>
    <w:p w14:paraId="75F1C8AC">
      <w:pPr>
        <w:spacing w:line="360" w:lineRule="auto"/>
        <w:rPr>
          <w:rFonts w:ascii="宋体" w:hAnsi="宋体"/>
          <w:bCs/>
          <w:color w:val="000000"/>
          <w:sz w:val="24"/>
        </w:rPr>
      </w:pPr>
      <w:r>
        <w:rPr>
          <w:rFonts w:hint="eastAsia" w:ascii="宋体" w:hAnsi="宋体"/>
          <w:b/>
          <w:color w:val="000000"/>
          <w:sz w:val="24"/>
        </w:rPr>
        <w:t xml:space="preserve">    </w:t>
      </w:r>
      <w:r>
        <w:rPr>
          <w:rFonts w:ascii="宋体" w:hAnsi="宋体"/>
          <w:b/>
          <w:color w:val="000000"/>
          <w:sz w:val="24"/>
        </w:rPr>
        <w:t>八、词语含义</w:t>
      </w:r>
    </w:p>
    <w:p w14:paraId="04946CB7">
      <w:pPr>
        <w:spacing w:line="360" w:lineRule="auto"/>
        <w:ind w:firstLine="480" w:firstLineChars="200"/>
        <w:rPr>
          <w:rFonts w:ascii="宋体" w:hAnsi="宋体"/>
          <w:bCs/>
          <w:color w:val="000000"/>
          <w:sz w:val="24"/>
        </w:rPr>
      </w:pPr>
      <w:r>
        <w:rPr>
          <w:rFonts w:ascii="宋体" w:hAnsi="宋体"/>
          <w:bCs/>
          <w:color w:val="000000"/>
          <w:sz w:val="24"/>
        </w:rPr>
        <w:t>本协议书中词语含义与第二部分通用合同条款中赋予的含义相同。</w:t>
      </w:r>
    </w:p>
    <w:p w14:paraId="7D987881">
      <w:pPr>
        <w:pStyle w:val="6"/>
        <w:keepNext w:val="0"/>
        <w:keepLines w:val="0"/>
        <w:spacing w:before="120" w:after="120" w:line="360" w:lineRule="auto"/>
        <w:rPr>
          <w:rFonts w:ascii="宋体" w:hAnsi="宋体"/>
          <w:bCs w:val="0"/>
          <w:color w:val="000000"/>
          <w:sz w:val="24"/>
          <w:szCs w:val="24"/>
        </w:rPr>
      </w:pPr>
      <w:r>
        <w:rPr>
          <w:rFonts w:ascii="宋体" w:hAnsi="宋体"/>
          <w:bCs w:val="0"/>
          <w:color w:val="000000"/>
          <w:sz w:val="24"/>
          <w:szCs w:val="24"/>
        </w:rPr>
        <w:t xml:space="preserve">  </w:t>
      </w:r>
      <w:r>
        <w:rPr>
          <w:rFonts w:ascii="宋体" w:hAnsi="宋体"/>
          <w:b w:val="0"/>
          <w:color w:val="000000"/>
          <w:sz w:val="24"/>
          <w:szCs w:val="24"/>
        </w:rPr>
        <w:t xml:space="preserve">  </w:t>
      </w:r>
      <w:bookmarkStart w:id="29" w:name="_Toc386638600"/>
      <w:r>
        <w:rPr>
          <w:rFonts w:ascii="宋体" w:hAnsi="宋体"/>
          <w:b w:val="0"/>
          <w:color w:val="000000"/>
          <w:sz w:val="24"/>
          <w:szCs w:val="24"/>
        </w:rPr>
        <w:t>九、签订时间</w:t>
      </w:r>
      <w:bookmarkEnd w:id="29"/>
    </w:p>
    <w:p w14:paraId="56EFD0A8">
      <w:pPr>
        <w:spacing w:line="360" w:lineRule="auto"/>
        <w:ind w:firstLine="480" w:firstLineChars="200"/>
        <w:rPr>
          <w:rFonts w:ascii="宋体" w:hAnsi="宋体"/>
          <w:bCs/>
          <w:color w:val="000000"/>
          <w:sz w:val="24"/>
        </w:rPr>
      </w:pPr>
      <w:r>
        <w:rPr>
          <w:rFonts w:ascii="宋体" w:hAnsi="宋体"/>
          <w:bCs/>
          <w:color w:val="000000"/>
          <w:sz w:val="24"/>
        </w:rPr>
        <w:t>本合同于</w:t>
      </w:r>
      <w:r>
        <w:rPr>
          <w:rFonts w:hint="eastAsia" w:ascii="宋体" w:hAnsi="宋体"/>
          <w:bCs/>
          <w:color w:val="000000"/>
          <w:sz w:val="24"/>
          <w:u w:val="single"/>
          <w:lang w:val="en-US" w:eastAsia="zh-CN"/>
        </w:rPr>
        <w:t xml:space="preserve">      </w:t>
      </w:r>
      <w:r>
        <w:rPr>
          <w:rFonts w:ascii="宋体" w:hAnsi="宋体"/>
          <w:bCs/>
          <w:color w:val="000000"/>
          <w:sz w:val="24"/>
        </w:rPr>
        <w:t>年</w:t>
      </w:r>
      <w:r>
        <w:rPr>
          <w:rFonts w:ascii="宋体" w:hAnsi="宋体"/>
          <w:bCs/>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月</w:t>
      </w:r>
      <w:r>
        <w:rPr>
          <w:rFonts w:ascii="宋体" w:hAnsi="宋体"/>
          <w:bCs/>
          <w:color w:val="000000"/>
          <w:sz w:val="24"/>
          <w:u w:val="single"/>
        </w:rPr>
        <w:t xml:space="preserve">  </w:t>
      </w:r>
      <w:r>
        <w:rPr>
          <w:rFonts w:hint="eastAsia" w:ascii="宋体" w:hAnsi="宋体"/>
          <w:bCs/>
          <w:color w:val="000000"/>
          <w:sz w:val="24"/>
          <w:u w:val="single"/>
        </w:rPr>
        <w:t xml:space="preserve"> </w:t>
      </w:r>
      <w:r>
        <w:rPr>
          <w:rFonts w:ascii="宋体" w:hAnsi="宋体"/>
          <w:bCs/>
          <w:color w:val="000000"/>
          <w:sz w:val="24"/>
          <w:u w:val="single"/>
        </w:rPr>
        <w:t xml:space="preserve">  </w:t>
      </w:r>
      <w:r>
        <w:rPr>
          <w:rFonts w:ascii="宋体" w:hAnsi="宋体"/>
          <w:bCs/>
          <w:color w:val="000000"/>
          <w:sz w:val="24"/>
        </w:rPr>
        <w:t>日签订。</w:t>
      </w:r>
    </w:p>
    <w:p w14:paraId="609390AB">
      <w:pPr>
        <w:pStyle w:val="6"/>
        <w:keepNext w:val="0"/>
        <w:keepLines w:val="0"/>
        <w:spacing w:before="120" w:after="120" w:line="360" w:lineRule="auto"/>
        <w:rPr>
          <w:rFonts w:ascii="宋体" w:hAnsi="宋体"/>
          <w:bCs w:val="0"/>
          <w:color w:val="000000"/>
          <w:sz w:val="24"/>
          <w:szCs w:val="24"/>
        </w:rPr>
      </w:pPr>
      <w:r>
        <w:rPr>
          <w:rFonts w:ascii="宋体" w:hAnsi="宋体"/>
          <w:bCs w:val="0"/>
          <w:color w:val="000000"/>
          <w:sz w:val="24"/>
          <w:szCs w:val="24"/>
        </w:rPr>
        <w:t xml:space="preserve">    </w:t>
      </w:r>
      <w:bookmarkStart w:id="30" w:name="_Toc386638601"/>
      <w:r>
        <w:rPr>
          <w:rFonts w:ascii="宋体" w:hAnsi="宋体"/>
          <w:b w:val="0"/>
          <w:color w:val="000000"/>
          <w:sz w:val="24"/>
          <w:szCs w:val="24"/>
        </w:rPr>
        <w:t>十、签订地点</w:t>
      </w:r>
      <w:bookmarkEnd w:id="30"/>
    </w:p>
    <w:p w14:paraId="7DE1BA61">
      <w:pPr>
        <w:spacing w:line="360" w:lineRule="auto"/>
        <w:ind w:firstLine="480" w:firstLineChars="200"/>
        <w:rPr>
          <w:rFonts w:ascii="宋体" w:hAnsi="宋体"/>
          <w:bCs/>
          <w:color w:val="000000"/>
          <w:sz w:val="24"/>
        </w:rPr>
      </w:pPr>
      <w:r>
        <w:rPr>
          <w:rFonts w:ascii="宋体" w:hAnsi="宋体"/>
          <w:bCs/>
          <w:color w:val="000000"/>
          <w:sz w:val="24"/>
        </w:rPr>
        <w:t>本合同在</w:t>
      </w:r>
      <w:r>
        <w:rPr>
          <w:rFonts w:hint="eastAsia" w:ascii="宋体" w:hAnsi="宋体"/>
          <w:bCs/>
          <w:color w:val="000000"/>
          <w:sz w:val="24"/>
          <w:lang w:val="en-US" w:eastAsia="zh-CN"/>
        </w:rPr>
        <w:t xml:space="preserve"> </w:t>
      </w:r>
      <w:r>
        <w:rPr>
          <w:rFonts w:hint="eastAsia" w:ascii="宋体" w:hAnsi="宋体"/>
          <w:bCs/>
          <w:color w:val="000000"/>
          <w:sz w:val="24"/>
          <w:u w:val="single"/>
          <w:lang w:val="en-US" w:eastAsia="zh-CN"/>
        </w:rPr>
        <w:t xml:space="preserve">                                </w:t>
      </w:r>
      <w:r>
        <w:rPr>
          <w:rFonts w:ascii="宋体" w:hAnsi="宋体"/>
          <w:bCs/>
          <w:color w:val="000000"/>
          <w:sz w:val="24"/>
        </w:rPr>
        <w:t>签订。</w:t>
      </w:r>
    </w:p>
    <w:p w14:paraId="6003C335">
      <w:pPr>
        <w:pStyle w:val="6"/>
        <w:keepNext w:val="0"/>
        <w:keepLines w:val="0"/>
        <w:spacing w:before="120" w:after="120" w:line="360" w:lineRule="auto"/>
        <w:rPr>
          <w:rFonts w:ascii="宋体" w:hAnsi="宋体"/>
          <w:bCs w:val="0"/>
          <w:color w:val="000000"/>
          <w:sz w:val="24"/>
          <w:szCs w:val="24"/>
        </w:rPr>
      </w:pPr>
      <w:r>
        <w:rPr>
          <w:rFonts w:ascii="宋体" w:hAnsi="宋体"/>
          <w:bCs w:val="0"/>
          <w:color w:val="000000"/>
          <w:sz w:val="24"/>
          <w:szCs w:val="24"/>
        </w:rPr>
        <w:t xml:space="preserve">    </w:t>
      </w:r>
      <w:bookmarkStart w:id="31" w:name="_Toc386638602"/>
      <w:r>
        <w:rPr>
          <w:rFonts w:ascii="宋体" w:hAnsi="宋体"/>
          <w:b w:val="0"/>
          <w:color w:val="000000"/>
          <w:sz w:val="24"/>
          <w:szCs w:val="24"/>
        </w:rPr>
        <w:t>十一、补充协议</w:t>
      </w:r>
      <w:bookmarkEnd w:id="31"/>
    </w:p>
    <w:p w14:paraId="5A89500D">
      <w:pPr>
        <w:spacing w:line="360" w:lineRule="auto"/>
        <w:ind w:firstLine="480" w:firstLineChars="200"/>
        <w:rPr>
          <w:rFonts w:ascii="宋体" w:hAnsi="宋体"/>
          <w:b/>
          <w:bCs/>
          <w:color w:val="000000"/>
          <w:sz w:val="24"/>
        </w:rPr>
      </w:pPr>
      <w:r>
        <w:rPr>
          <w:rFonts w:ascii="宋体" w:hAnsi="宋体"/>
          <w:bCs/>
          <w:color w:val="000000"/>
          <w:sz w:val="24"/>
        </w:rPr>
        <w:t>合同未尽事宜，合同当事人另行签订补充协议</w:t>
      </w:r>
      <w:r>
        <w:rPr>
          <w:rFonts w:hint="eastAsia" w:ascii="宋体" w:hAnsi="宋体"/>
          <w:bCs/>
          <w:color w:val="000000"/>
          <w:sz w:val="24"/>
        </w:rPr>
        <w:t>，</w:t>
      </w:r>
      <w:r>
        <w:rPr>
          <w:rFonts w:ascii="宋体" w:hAnsi="宋体"/>
          <w:bCs/>
          <w:color w:val="000000"/>
          <w:sz w:val="24"/>
        </w:rPr>
        <w:t>补充协议是合同的组成部分。</w:t>
      </w:r>
    </w:p>
    <w:p w14:paraId="21E4DA1C">
      <w:pPr>
        <w:pStyle w:val="6"/>
        <w:keepNext w:val="0"/>
        <w:keepLines w:val="0"/>
        <w:spacing w:before="120" w:after="120" w:line="360" w:lineRule="auto"/>
        <w:rPr>
          <w:rFonts w:ascii="宋体" w:hAnsi="宋体"/>
          <w:bCs w:val="0"/>
          <w:color w:val="000000"/>
          <w:sz w:val="24"/>
          <w:szCs w:val="24"/>
        </w:rPr>
      </w:pPr>
      <w:r>
        <w:rPr>
          <w:rFonts w:ascii="宋体" w:hAnsi="宋体"/>
          <w:bCs w:val="0"/>
          <w:color w:val="000000"/>
          <w:sz w:val="24"/>
          <w:szCs w:val="24"/>
        </w:rPr>
        <w:t xml:space="preserve">    </w:t>
      </w:r>
      <w:bookmarkStart w:id="32" w:name="_Toc386638603"/>
      <w:r>
        <w:rPr>
          <w:rFonts w:ascii="宋体" w:hAnsi="宋体"/>
          <w:b w:val="0"/>
          <w:color w:val="000000"/>
          <w:sz w:val="24"/>
          <w:szCs w:val="24"/>
        </w:rPr>
        <w:t>十二、合同生效</w:t>
      </w:r>
      <w:bookmarkEnd w:id="32"/>
    </w:p>
    <w:p w14:paraId="4D8AE290">
      <w:pPr>
        <w:spacing w:line="360" w:lineRule="auto"/>
        <w:ind w:firstLine="480" w:firstLineChars="200"/>
        <w:rPr>
          <w:rFonts w:ascii="宋体" w:hAnsi="宋体"/>
          <w:bCs/>
          <w:color w:val="000000"/>
          <w:sz w:val="24"/>
        </w:rPr>
      </w:pPr>
      <w:r>
        <w:rPr>
          <w:rFonts w:ascii="宋体" w:hAnsi="宋体"/>
          <w:bCs/>
          <w:color w:val="000000"/>
          <w:sz w:val="24"/>
        </w:rPr>
        <w:t>本合同自</w:t>
      </w:r>
      <w:r>
        <w:rPr>
          <w:rFonts w:ascii="宋体" w:hAnsi="宋体"/>
          <w:bCs/>
          <w:color w:val="000000"/>
          <w:sz w:val="24"/>
          <w:u w:val="single"/>
        </w:rPr>
        <w:t xml:space="preserve"> </w:t>
      </w:r>
      <w:r>
        <w:rPr>
          <w:rFonts w:hint="eastAsia" w:ascii="宋体" w:hAnsi="宋体"/>
          <w:bCs/>
          <w:color w:val="000000"/>
          <w:sz w:val="24"/>
          <w:u w:val="single"/>
        </w:rPr>
        <w:t>双方加盖单位印章并经法定代表人或其委托代理人签字，并按约定提供履约担保后</w:t>
      </w:r>
      <w:r>
        <w:rPr>
          <w:rFonts w:ascii="宋体" w:hAnsi="宋体"/>
          <w:bCs/>
          <w:color w:val="000000"/>
          <w:sz w:val="24"/>
          <w:u w:val="single"/>
        </w:rPr>
        <w:t xml:space="preserve"> </w:t>
      </w:r>
      <w:r>
        <w:rPr>
          <w:rFonts w:ascii="宋体" w:hAnsi="宋体"/>
          <w:bCs/>
          <w:color w:val="000000"/>
          <w:sz w:val="24"/>
        </w:rPr>
        <w:t>生效。</w:t>
      </w:r>
    </w:p>
    <w:p w14:paraId="6F433570">
      <w:pPr>
        <w:pStyle w:val="6"/>
        <w:keepNext w:val="0"/>
        <w:keepLines w:val="0"/>
        <w:spacing w:before="120" w:after="120" w:line="360" w:lineRule="auto"/>
        <w:rPr>
          <w:rFonts w:ascii="宋体" w:hAnsi="宋体"/>
          <w:bCs w:val="0"/>
          <w:color w:val="000000"/>
          <w:sz w:val="24"/>
          <w:szCs w:val="24"/>
        </w:rPr>
      </w:pPr>
      <w:r>
        <w:rPr>
          <w:rFonts w:ascii="宋体" w:hAnsi="宋体"/>
          <w:bCs w:val="0"/>
          <w:color w:val="000000"/>
          <w:sz w:val="24"/>
          <w:szCs w:val="24"/>
        </w:rPr>
        <w:t xml:space="preserve">    </w:t>
      </w:r>
      <w:bookmarkStart w:id="33" w:name="_Toc386638604"/>
      <w:r>
        <w:rPr>
          <w:rFonts w:ascii="宋体" w:hAnsi="宋体"/>
          <w:b w:val="0"/>
          <w:color w:val="000000"/>
          <w:sz w:val="24"/>
          <w:szCs w:val="24"/>
        </w:rPr>
        <w:t>十三、合同份数</w:t>
      </w:r>
      <w:bookmarkEnd w:id="33"/>
    </w:p>
    <w:p w14:paraId="544061A0">
      <w:pPr>
        <w:spacing w:line="360" w:lineRule="auto"/>
        <w:ind w:firstLine="480" w:firstLineChars="200"/>
        <w:rPr>
          <w:rFonts w:ascii="宋体" w:hAnsi="宋体"/>
          <w:bCs/>
          <w:color w:val="000000"/>
          <w:sz w:val="24"/>
        </w:rPr>
      </w:pPr>
      <w:r>
        <w:rPr>
          <w:rFonts w:ascii="宋体" w:hAnsi="宋体"/>
          <w:bCs/>
          <w:color w:val="000000"/>
          <w:sz w:val="24"/>
        </w:rPr>
        <w:t>本合同</w:t>
      </w:r>
      <w:r>
        <w:rPr>
          <w:rFonts w:ascii="宋体" w:hAnsi="宋体"/>
          <w:bCs/>
          <w:color w:val="000000"/>
          <w:sz w:val="24"/>
          <w:highlight w:val="none"/>
        </w:rPr>
        <w:t>一式</w:t>
      </w:r>
      <w:r>
        <w:rPr>
          <w:rFonts w:hint="eastAsia" w:ascii="宋体" w:hAnsi="宋体"/>
          <w:bCs/>
          <w:color w:val="000000"/>
          <w:sz w:val="24"/>
          <w:highlight w:val="none"/>
          <w:u w:val="single"/>
          <w:lang w:val="en-US" w:eastAsia="zh-CN"/>
        </w:rPr>
        <w:t xml:space="preserve">  </w:t>
      </w:r>
      <w:r>
        <w:rPr>
          <w:rFonts w:hint="eastAsia" w:ascii="宋体" w:hAnsi="宋体"/>
          <w:bCs/>
          <w:color w:val="000000"/>
          <w:sz w:val="24"/>
          <w:highlight w:val="none"/>
          <w:u w:val="single"/>
        </w:rPr>
        <w:t>伍</w:t>
      </w:r>
      <w:r>
        <w:rPr>
          <w:rFonts w:ascii="宋体" w:hAnsi="宋体"/>
          <w:bCs/>
          <w:color w:val="000000"/>
          <w:sz w:val="24"/>
          <w:highlight w:val="none"/>
          <w:u w:val="single"/>
        </w:rPr>
        <w:t xml:space="preserve"> </w:t>
      </w:r>
      <w:r>
        <w:rPr>
          <w:rFonts w:ascii="宋体" w:hAnsi="宋体"/>
          <w:bCs/>
          <w:color w:val="000000"/>
          <w:sz w:val="24"/>
          <w:highlight w:val="none"/>
        </w:rPr>
        <w:t>份，</w:t>
      </w:r>
      <w:r>
        <w:rPr>
          <w:rFonts w:ascii="宋体" w:hAnsi="宋体"/>
          <w:bCs/>
          <w:color w:val="000000"/>
          <w:sz w:val="24"/>
        </w:rPr>
        <w:t>均具有同等法律效力，发包人执</w:t>
      </w:r>
      <w:r>
        <w:rPr>
          <w:rFonts w:ascii="宋体" w:hAnsi="宋体"/>
          <w:bCs/>
          <w:color w:val="000000"/>
          <w:sz w:val="24"/>
          <w:u w:val="single"/>
        </w:rPr>
        <w:t xml:space="preserve"> </w:t>
      </w:r>
      <w:r>
        <w:rPr>
          <w:rFonts w:hint="eastAsia" w:ascii="宋体" w:hAnsi="宋体"/>
          <w:bCs/>
          <w:color w:val="000000"/>
          <w:sz w:val="24"/>
          <w:u w:val="single"/>
        </w:rPr>
        <w:t>贰</w:t>
      </w:r>
      <w:r>
        <w:rPr>
          <w:rFonts w:ascii="宋体" w:hAnsi="宋体"/>
          <w:bCs/>
          <w:color w:val="000000"/>
          <w:sz w:val="24"/>
          <w:u w:val="single"/>
        </w:rPr>
        <w:t xml:space="preserve"> </w:t>
      </w:r>
      <w:r>
        <w:rPr>
          <w:rFonts w:ascii="宋体" w:hAnsi="宋体"/>
          <w:bCs/>
          <w:color w:val="000000"/>
          <w:sz w:val="24"/>
        </w:rPr>
        <w:t>份，承包人执</w:t>
      </w:r>
      <w:r>
        <w:rPr>
          <w:rFonts w:ascii="宋体" w:hAnsi="宋体"/>
          <w:bCs/>
          <w:color w:val="000000"/>
          <w:sz w:val="24"/>
          <w:u w:val="single"/>
        </w:rPr>
        <w:t xml:space="preserve"> </w:t>
      </w:r>
      <w:r>
        <w:rPr>
          <w:rFonts w:hint="eastAsia" w:ascii="宋体" w:hAnsi="宋体"/>
          <w:bCs/>
          <w:color w:val="000000"/>
          <w:sz w:val="24"/>
          <w:u w:val="single"/>
        </w:rPr>
        <w:t>贰</w:t>
      </w:r>
      <w:r>
        <w:rPr>
          <w:rFonts w:ascii="宋体" w:hAnsi="宋体"/>
          <w:bCs/>
          <w:color w:val="000000"/>
          <w:sz w:val="24"/>
          <w:u w:val="single"/>
        </w:rPr>
        <w:t xml:space="preserve"> </w:t>
      </w:r>
      <w:r>
        <w:rPr>
          <w:rFonts w:ascii="宋体" w:hAnsi="宋体"/>
          <w:bCs/>
          <w:color w:val="000000"/>
          <w:sz w:val="24"/>
        </w:rPr>
        <w:t>份</w:t>
      </w:r>
      <w:r>
        <w:rPr>
          <w:rFonts w:hint="eastAsia" w:ascii="宋体" w:hAnsi="宋体"/>
          <w:bCs/>
          <w:color w:val="000000"/>
          <w:sz w:val="24"/>
        </w:rPr>
        <w:t>，送</w:t>
      </w:r>
      <w:r>
        <w:rPr>
          <w:rFonts w:hint="eastAsia" w:ascii="宋体" w:hAnsi="宋体"/>
          <w:bCs/>
          <w:color w:val="000000"/>
          <w:sz w:val="24"/>
          <w:lang w:eastAsia="zh-CN"/>
        </w:rPr>
        <w:t>宁海县</w:t>
      </w:r>
      <w:r>
        <w:rPr>
          <w:rFonts w:hint="eastAsia" w:ascii="宋体" w:hAnsi="宋体"/>
          <w:bCs/>
          <w:color w:val="000000"/>
          <w:sz w:val="24"/>
        </w:rPr>
        <w:t>公共资源交管办一份备案</w:t>
      </w:r>
      <w:r>
        <w:rPr>
          <w:rFonts w:ascii="宋体" w:hAnsi="宋体"/>
          <w:bCs/>
          <w:color w:val="000000"/>
          <w:sz w:val="24"/>
        </w:rPr>
        <w:t>。</w:t>
      </w:r>
    </w:p>
    <w:p w14:paraId="15FAF860">
      <w:pPr>
        <w:spacing w:line="360" w:lineRule="auto"/>
        <w:rPr>
          <w:rFonts w:hint="eastAsia" w:ascii="宋体" w:hAnsi="宋体"/>
          <w:color w:val="000000"/>
          <w:sz w:val="24"/>
        </w:rPr>
      </w:pPr>
      <w:r>
        <w:rPr>
          <w:rFonts w:ascii="宋体" w:hAnsi="宋体"/>
          <w:bCs/>
          <w:color w:val="000000"/>
          <w:sz w:val="24"/>
        </w:rPr>
        <w:br w:type="page"/>
      </w: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03BAB8D3">
      <w:pPr>
        <w:spacing w:line="360" w:lineRule="auto"/>
        <w:rPr>
          <w:rFonts w:hint="eastAsia" w:ascii="宋体" w:hAnsi="宋体"/>
          <w:color w:val="000000"/>
          <w:sz w:val="24"/>
          <w:u w:val="single"/>
        </w:rPr>
      </w:pPr>
      <w:r>
        <w:rPr>
          <w:rFonts w:hint="eastAsia" w:ascii="宋体" w:hAnsi="宋体"/>
          <w:color w:val="000000"/>
          <w:sz w:val="24"/>
        </w:rPr>
        <w:t xml:space="preserve">                                 </w:t>
      </w:r>
    </w:p>
    <w:p w14:paraId="0839EE33">
      <w:pPr>
        <w:spacing w:line="360" w:lineRule="auto"/>
        <w:rPr>
          <w:rFonts w:hint="eastAsia" w:ascii="宋体" w:hAnsi="宋体"/>
          <w:color w:val="000000"/>
          <w:sz w:val="24"/>
        </w:rPr>
      </w:pPr>
      <w:r>
        <w:rPr>
          <w:rFonts w:hint="eastAsia" w:ascii="宋体" w:hAnsi="宋体"/>
          <w:color w:val="000000"/>
          <w:sz w:val="24"/>
        </w:rPr>
        <w:t>法定代表人或其委托代理人：  法定代表人或其委托代理人：</w:t>
      </w:r>
    </w:p>
    <w:p w14:paraId="66347D2F">
      <w:pPr>
        <w:spacing w:line="360" w:lineRule="auto"/>
        <w:rPr>
          <w:rFonts w:hint="eastAsia" w:ascii="宋体" w:hAnsi="宋体"/>
          <w:color w:val="000000"/>
          <w:sz w:val="24"/>
        </w:rPr>
      </w:pPr>
      <w:r>
        <w:rPr>
          <w:rFonts w:hint="eastAsia" w:ascii="宋体" w:hAnsi="宋体"/>
          <w:color w:val="000000"/>
          <w:sz w:val="24"/>
        </w:rPr>
        <w:t>（签字）                    （签字）</w:t>
      </w:r>
    </w:p>
    <w:p w14:paraId="2BF91B73">
      <w:pPr>
        <w:spacing w:line="360" w:lineRule="auto"/>
        <w:rPr>
          <w:rFonts w:hint="eastAsia" w:ascii="宋体" w:hAnsi="宋体"/>
          <w:color w:val="000000"/>
          <w:sz w:val="24"/>
          <w:u w:val="single"/>
        </w:rPr>
      </w:pPr>
    </w:p>
    <w:p w14:paraId="55E6C0E0">
      <w:pPr>
        <w:tabs>
          <w:tab w:val="left" w:pos="4410"/>
        </w:tabs>
        <w:spacing w:line="360" w:lineRule="auto"/>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0C42643B">
      <w:pPr>
        <w:spacing w:line="360" w:lineRule="auto"/>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4865357">
      <w:pPr>
        <w:spacing w:line="360" w:lineRule="auto"/>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 xml:space="preserve">   </w:t>
      </w:r>
    </w:p>
    <w:p w14:paraId="05B158FD">
      <w:pPr>
        <w:spacing w:line="360" w:lineRule="auto"/>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7EF579BE">
      <w:pPr>
        <w:spacing w:line="360" w:lineRule="auto"/>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33B373D4">
      <w:pPr>
        <w:spacing w:line="360" w:lineRule="auto"/>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72EEC68A">
      <w:pPr>
        <w:spacing w:line="360" w:lineRule="auto"/>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7E883EBE">
      <w:pPr>
        <w:spacing w:line="360" w:lineRule="auto"/>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p>
    <w:p w14:paraId="3DF15A82">
      <w:pPr>
        <w:spacing w:line="360" w:lineRule="auto"/>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6AC19AF2">
      <w:pPr>
        <w:spacing w:line="360" w:lineRule="auto"/>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xml:space="preserve"> 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045C5AE3">
      <w:pPr>
        <w:pStyle w:val="4"/>
        <w:keepNext w:val="0"/>
        <w:keepLines w:val="0"/>
        <w:numPr>
          <w:ilvl w:val="2"/>
          <w:numId w:val="0"/>
        </w:numPr>
        <w:ind w:left="180" w:leftChars="0"/>
        <w:jc w:val="center"/>
        <w:rPr>
          <w:rFonts w:hint="eastAsia" w:ascii="黑体" w:hAnsi="宋体" w:eastAsia="黑体"/>
          <w:color w:val="000000"/>
        </w:rPr>
      </w:pPr>
      <w:r>
        <w:rPr>
          <w:rFonts w:ascii="宋体" w:hAnsi="宋体"/>
          <w:color w:val="000000"/>
          <w:sz w:val="24"/>
          <w:szCs w:val="24"/>
        </w:rPr>
        <w:br w:type="page"/>
      </w:r>
      <w:bookmarkStart w:id="34" w:name="_Toc386638605"/>
      <w:r>
        <w:rPr>
          <w:rFonts w:ascii="黑体" w:hAnsi="宋体" w:eastAsia="黑体"/>
          <w:color w:val="000000"/>
        </w:rPr>
        <w:t>第二部分 通用合同条款</w:t>
      </w:r>
      <w:bookmarkEnd w:id="34"/>
      <w:bookmarkStart w:id="35" w:name="_Toc337558727"/>
    </w:p>
    <w:p w14:paraId="00BFBA7F">
      <w:pPr>
        <w:spacing w:line="440" w:lineRule="exact"/>
        <w:ind w:firstLine="549" w:firstLineChars="229"/>
        <w:rPr>
          <w:rFonts w:hint="eastAsia"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w:t>
      </w:r>
      <w:r>
        <w:rPr>
          <w:rFonts w:hint="eastAsia" w:ascii="宋体" w:hAnsi="宋体" w:cs="宋体"/>
          <w:color w:val="000000"/>
          <w:sz w:val="24"/>
          <w:lang w:val="en-US" w:eastAsia="zh-CN"/>
        </w:rPr>
        <w:t>7</w:t>
      </w:r>
      <w:r>
        <w:rPr>
          <w:rFonts w:hint="eastAsia" w:ascii="宋体" w:hAnsi="宋体" w:cs="宋体"/>
          <w:color w:val="000000"/>
          <w:sz w:val="24"/>
        </w:rPr>
        <w:t>-0201）第二部分“通用合同条款”内容。</w:t>
      </w:r>
    </w:p>
    <w:bookmarkEnd w:id="35"/>
    <w:p w14:paraId="7739A874">
      <w:pPr>
        <w:spacing w:line="360" w:lineRule="auto"/>
        <w:jc w:val="center"/>
        <w:outlineLvl w:val="1"/>
        <w:rPr>
          <w:rFonts w:hint="eastAsia" w:eastAsia="黑体"/>
          <w:color w:val="000000"/>
          <w:sz w:val="32"/>
        </w:rPr>
      </w:pPr>
      <w:bookmarkStart w:id="36" w:name="_Toc411083384"/>
      <w:bookmarkStart w:id="37" w:name="_Toc296503163"/>
      <w:bookmarkStart w:id="38" w:name="_Toc296347162"/>
      <w:bookmarkStart w:id="39" w:name="_Toc297048349"/>
      <w:bookmarkStart w:id="40" w:name="_Toc296346664"/>
      <w:bookmarkStart w:id="41" w:name="_Toc296891203"/>
      <w:bookmarkStart w:id="42" w:name="_Toc296890991"/>
      <w:bookmarkStart w:id="43" w:name="_Toc292559872"/>
      <w:bookmarkStart w:id="44" w:name="_Toc292559367"/>
      <w:bookmarkStart w:id="45" w:name="_Toc296944502"/>
      <w:bookmarkStart w:id="46" w:name="_Toc297120463"/>
    </w:p>
    <w:p w14:paraId="6B10EEC0">
      <w:pPr>
        <w:spacing w:line="360" w:lineRule="auto"/>
        <w:jc w:val="center"/>
        <w:outlineLvl w:val="1"/>
        <w:rPr>
          <w:rFonts w:eastAsia="黑体"/>
          <w:color w:val="000000"/>
          <w:sz w:val="32"/>
        </w:rPr>
      </w:pPr>
      <w:r>
        <w:rPr>
          <w:rFonts w:hint="eastAsia" w:eastAsia="黑体"/>
          <w:color w:val="000000"/>
          <w:sz w:val="32"/>
        </w:rPr>
        <w:t>第三部分</w:t>
      </w:r>
      <w:r>
        <w:rPr>
          <w:rFonts w:eastAsia="黑体"/>
          <w:color w:val="000000"/>
          <w:sz w:val="32"/>
        </w:rPr>
        <w:t xml:space="preserve"> </w:t>
      </w:r>
      <w:r>
        <w:rPr>
          <w:rFonts w:hint="eastAsia" w:eastAsia="黑体"/>
          <w:color w:val="000000"/>
          <w:sz w:val="32"/>
        </w:rPr>
        <w:t>专用条款</w:t>
      </w:r>
      <w:bookmarkEnd w:id="36"/>
    </w:p>
    <w:p w14:paraId="420BFAB5">
      <w:pPr>
        <w:pStyle w:val="6"/>
        <w:spacing w:before="0" w:after="0" w:line="360" w:lineRule="auto"/>
        <w:rPr>
          <w:rFonts w:hint="eastAsia" w:ascii="宋体" w:hAnsi="宋体" w:eastAsia="宋体" w:cs="宋体"/>
          <w:b w:val="0"/>
          <w:color w:val="000000"/>
          <w:sz w:val="24"/>
          <w:szCs w:val="24"/>
        </w:rPr>
      </w:pPr>
      <w:bookmarkStart w:id="47" w:name="_Toc351203633"/>
      <w:bookmarkStart w:id="48" w:name="_Toc386638607"/>
      <w:r>
        <w:rPr>
          <w:rFonts w:hint="eastAsia" w:ascii="宋体" w:hAnsi="宋体" w:eastAsia="宋体" w:cs="宋体"/>
          <w:b w:val="0"/>
          <w:color w:val="000000"/>
          <w:sz w:val="24"/>
          <w:szCs w:val="24"/>
        </w:rPr>
        <w:t>1</w:t>
      </w:r>
      <w:bookmarkStart w:id="49" w:name="_Toc296891196"/>
      <w:bookmarkStart w:id="50" w:name="_Toc296503156"/>
      <w:bookmarkStart w:id="51" w:name="_Toc297120456"/>
      <w:bookmarkStart w:id="52" w:name="_Toc297048342"/>
      <w:bookmarkStart w:id="53" w:name="_Toc296347155"/>
      <w:bookmarkStart w:id="54" w:name="_Toc292559361"/>
      <w:bookmarkStart w:id="55" w:name="_Toc296944495"/>
      <w:bookmarkStart w:id="56" w:name="_Toc292559866"/>
      <w:bookmarkStart w:id="57" w:name="_Toc296346657"/>
      <w:bookmarkStart w:id="58" w:name="_Toc296890984"/>
      <w:r>
        <w:rPr>
          <w:rFonts w:hint="eastAsia" w:ascii="宋体" w:hAnsi="宋体" w:eastAsia="宋体" w:cs="宋体"/>
          <w:b w:val="0"/>
          <w:color w:val="000000"/>
          <w:sz w:val="24"/>
          <w:szCs w:val="24"/>
        </w:rPr>
        <w:t>. 一般约定</w:t>
      </w:r>
      <w:bookmarkEnd w:id="47"/>
      <w:bookmarkEnd w:id="48"/>
    </w:p>
    <w:bookmarkEnd w:id="49"/>
    <w:bookmarkEnd w:id="50"/>
    <w:bookmarkEnd w:id="51"/>
    <w:bookmarkEnd w:id="52"/>
    <w:bookmarkEnd w:id="53"/>
    <w:bookmarkEnd w:id="54"/>
    <w:bookmarkEnd w:id="55"/>
    <w:bookmarkEnd w:id="56"/>
    <w:bookmarkEnd w:id="57"/>
    <w:bookmarkEnd w:id="58"/>
    <w:p w14:paraId="3006AFA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 词语定义</w:t>
      </w:r>
    </w:p>
    <w:p w14:paraId="032637C9">
      <w:pPr>
        <w:spacing w:line="360" w:lineRule="auto"/>
        <w:ind w:firstLine="480" w:firstLineChars="200"/>
        <w:rPr>
          <w:rFonts w:hint="eastAsia" w:ascii="宋体" w:hAnsi="宋体" w:cs="宋体"/>
          <w:color w:val="auto"/>
          <w:sz w:val="24"/>
        </w:rPr>
      </w:pPr>
      <w:r>
        <w:rPr>
          <w:rFonts w:hint="eastAsia" w:ascii="宋体" w:hAnsi="宋体" w:cs="宋体"/>
          <w:color w:val="000000"/>
          <w:sz w:val="24"/>
        </w:rPr>
        <w:t>1.1.1合同</w:t>
      </w:r>
    </w:p>
    <w:p w14:paraId="5ED49BC7">
      <w:pPr>
        <w:spacing w:line="360" w:lineRule="auto"/>
        <w:ind w:firstLine="480" w:firstLineChars="200"/>
        <w:rPr>
          <w:rFonts w:hint="eastAsia" w:ascii="宋体" w:hAnsi="宋体" w:cs="宋体"/>
          <w:color w:val="auto"/>
          <w:sz w:val="24"/>
        </w:rPr>
      </w:pPr>
      <w:r>
        <w:rPr>
          <w:rFonts w:hint="eastAsia" w:ascii="宋体" w:hAnsi="宋体" w:cs="宋体"/>
          <w:color w:val="auto"/>
          <w:sz w:val="24"/>
        </w:rPr>
        <w:t>1.1.1.10其他合同文件包括：</w:t>
      </w:r>
      <w:r>
        <w:rPr>
          <w:rFonts w:hint="eastAsia" w:ascii="宋体" w:hAnsi="宋体" w:cs="宋体"/>
          <w:color w:val="auto"/>
          <w:sz w:val="24"/>
          <w:u w:val="single"/>
          <w:lang w:val="en-US" w:eastAsia="zh-CN"/>
        </w:rPr>
        <w:t>发包文件以及</w:t>
      </w:r>
      <w:r>
        <w:rPr>
          <w:rFonts w:hint="eastAsia" w:ascii="宋体" w:hAnsi="宋体" w:cs="宋体"/>
          <w:color w:val="auto"/>
          <w:sz w:val="24"/>
          <w:u w:val="single"/>
        </w:rPr>
        <w:t xml:space="preserve">双方与合同有关的工程设计变更联系单、洽商、签证等书面协议或文件 </w:t>
      </w:r>
      <w:r>
        <w:rPr>
          <w:rFonts w:hint="eastAsia" w:ascii="宋体" w:hAnsi="宋体" w:cs="宋体"/>
          <w:color w:val="auto"/>
          <w:sz w:val="24"/>
        </w:rPr>
        <w:t>。</w:t>
      </w:r>
    </w:p>
    <w:p w14:paraId="1A910B3B">
      <w:pPr>
        <w:spacing w:line="360" w:lineRule="auto"/>
        <w:ind w:firstLine="480" w:firstLineChars="200"/>
        <w:rPr>
          <w:rFonts w:hint="eastAsia" w:ascii="宋体" w:hAnsi="宋体" w:cs="宋体"/>
          <w:color w:val="auto"/>
          <w:sz w:val="24"/>
        </w:rPr>
      </w:pPr>
      <w:r>
        <w:rPr>
          <w:rFonts w:hint="eastAsia" w:ascii="宋体" w:hAnsi="宋体" w:cs="宋体"/>
          <w:color w:val="auto"/>
          <w:sz w:val="24"/>
        </w:rPr>
        <w:t>1.1.2 合同当事人及其他相关方</w:t>
      </w:r>
    </w:p>
    <w:p w14:paraId="0D6B599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1.1.2.4监理人：</w:t>
      </w:r>
    </w:p>
    <w:p w14:paraId="7E0387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352E494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2713CDA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6165986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4DA2FC2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CD2CCA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1.1.2.5 设计人：</w:t>
      </w:r>
    </w:p>
    <w:p w14:paraId="2B3292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1EC2570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48F4DB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063121A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696B940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851BC7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1.1.3 工程和设备</w:t>
      </w:r>
    </w:p>
    <w:p w14:paraId="18549D35">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130363B8">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0CD834C0">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705EAB9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1.3法律 </w:t>
      </w:r>
    </w:p>
    <w:p w14:paraId="2E8CD885">
      <w:pPr>
        <w:autoSpaceDE w:val="0"/>
        <w:autoSpaceDN w:val="0"/>
        <w:adjustRightInd w:val="0"/>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国家、浙江省、宁波市、宁海县有关工程建设的法规、规章及规范性文件</w:t>
      </w:r>
      <w:r>
        <w:rPr>
          <w:rFonts w:hint="eastAsia" w:ascii="宋体" w:hAnsi="宋体" w:cs="宋体"/>
          <w:color w:val="000000"/>
          <w:sz w:val="24"/>
        </w:rPr>
        <w:t>。</w:t>
      </w:r>
    </w:p>
    <w:p w14:paraId="54814CF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 标准和规范</w:t>
      </w:r>
    </w:p>
    <w:p w14:paraId="1C88F79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739746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 发包人提供国外标准、规范的名称</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w:t>
      </w:r>
      <w:r>
        <w:rPr>
          <w:rFonts w:hint="eastAsia" w:ascii="宋体" w:hAnsi="宋体" w:cs="宋体"/>
          <w:color w:val="000000"/>
          <w:sz w:val="24"/>
          <w:u w:val="single"/>
        </w:rPr>
        <w:t xml:space="preserve">        </w:t>
      </w:r>
      <w:r>
        <w:rPr>
          <w:rFonts w:hint="eastAsia" w:ascii="宋体" w:hAnsi="宋体" w:cs="宋体"/>
          <w:color w:val="000000"/>
          <w:sz w:val="24"/>
        </w:rPr>
        <w:t>；</w:t>
      </w:r>
    </w:p>
    <w:p w14:paraId="182A4D5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639B6A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639DB563">
      <w:pPr>
        <w:spacing w:line="360" w:lineRule="auto"/>
        <w:rPr>
          <w:rFonts w:hint="eastAsia" w:ascii="宋体" w:hAnsi="宋体" w:cs="宋体"/>
          <w:color w:val="000000"/>
          <w:sz w:val="24"/>
        </w:rPr>
      </w:pPr>
      <w:r>
        <w:rPr>
          <w:rFonts w:hint="eastAsia" w:ascii="宋体" w:hAnsi="宋体" w:cs="宋体"/>
          <w:color w:val="000000"/>
          <w:sz w:val="24"/>
        </w:rPr>
        <w:t>1.4.3发包人对工程的技术标准和功能要求的特殊要求：</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p>
    <w:p w14:paraId="2C8757F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 合同文件的优先顺序</w:t>
      </w:r>
    </w:p>
    <w:p w14:paraId="34C14F50">
      <w:pPr>
        <w:spacing w:line="360" w:lineRule="auto"/>
        <w:ind w:firstLine="480" w:firstLineChars="200"/>
        <w:rPr>
          <w:rFonts w:hint="eastAsia" w:ascii="宋体" w:hAnsi="宋体" w:cs="宋体"/>
          <w:color w:val="auto"/>
          <w:sz w:val="24"/>
        </w:rPr>
      </w:pPr>
      <w:r>
        <w:rPr>
          <w:rFonts w:hint="eastAsia" w:ascii="宋体" w:hAnsi="宋体" w:cs="宋体"/>
          <w:color w:val="000000"/>
          <w:sz w:val="24"/>
        </w:rPr>
        <w:t>合</w:t>
      </w:r>
      <w:r>
        <w:rPr>
          <w:rFonts w:hint="eastAsia" w:ascii="宋体" w:hAnsi="宋体" w:cs="宋体"/>
          <w:color w:val="auto"/>
          <w:sz w:val="24"/>
        </w:rPr>
        <w:t>同文件组成及优先顺序为：</w:t>
      </w:r>
      <w:r>
        <w:rPr>
          <w:rFonts w:hint="eastAsia" w:ascii="宋体" w:hAnsi="宋体" w:cs="宋体"/>
          <w:color w:val="auto"/>
          <w:sz w:val="24"/>
          <w:u w:val="single"/>
        </w:rPr>
        <w:t>（1）合同协议书；（2）中标通知书；（3）投标函及其附录；（4）专用合同条款及其附件；（5）通用合同条款；（6）标准</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规范及有关技术文件</w:t>
      </w:r>
      <w:r>
        <w:rPr>
          <w:rFonts w:hint="eastAsia" w:ascii="宋体" w:hAnsi="宋体" w:cs="宋体"/>
          <w:color w:val="auto"/>
          <w:sz w:val="24"/>
          <w:u w:val="single"/>
        </w:rPr>
        <w:t>；（7）图纸；（8）预算书；（9）</w:t>
      </w:r>
      <w:r>
        <w:rPr>
          <w:rFonts w:hint="eastAsia" w:ascii="宋体" w:hAnsi="宋体" w:cs="宋体"/>
          <w:color w:val="auto"/>
          <w:sz w:val="24"/>
          <w:u w:val="single"/>
          <w:lang w:val="en-US" w:eastAsia="zh-CN"/>
        </w:rPr>
        <w:t>双方有关工程的洽商、变更等书面协议或文件视为施工合同的组成部分</w:t>
      </w:r>
      <w:r>
        <w:rPr>
          <w:rFonts w:hint="eastAsia" w:ascii="宋体" w:hAnsi="宋体" w:cs="宋体"/>
          <w:color w:val="auto"/>
          <w:sz w:val="24"/>
          <w:u w:val="single"/>
        </w:rPr>
        <w:t>。</w:t>
      </w:r>
    </w:p>
    <w:p w14:paraId="6ADE8B04">
      <w:pPr>
        <w:spacing w:line="360" w:lineRule="auto"/>
        <w:ind w:firstLine="480" w:firstLineChars="200"/>
        <w:rPr>
          <w:rFonts w:hint="eastAsia" w:ascii="宋体" w:hAnsi="宋体" w:cs="宋体"/>
          <w:color w:val="auto"/>
          <w:sz w:val="24"/>
        </w:rPr>
      </w:pPr>
      <w:r>
        <w:rPr>
          <w:rFonts w:hint="eastAsia" w:ascii="宋体" w:hAnsi="宋体" w:cs="宋体"/>
          <w:color w:val="auto"/>
          <w:sz w:val="24"/>
        </w:rPr>
        <w:t>1.6 图纸和承包人文件</w:t>
      </w:r>
      <w:r>
        <w:rPr>
          <w:rFonts w:hint="eastAsia" w:ascii="宋体" w:hAnsi="宋体" w:cs="宋体"/>
          <w:color w:val="auto"/>
          <w:sz w:val="24"/>
        </w:rPr>
        <w:tab/>
      </w:r>
    </w:p>
    <w:p w14:paraId="095CCA7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图纸的提供</w:t>
      </w:r>
    </w:p>
    <w:p w14:paraId="01FD13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77381041">
      <w:pPr>
        <w:spacing w:line="360" w:lineRule="auto"/>
        <w:ind w:firstLine="480" w:firstLineChars="200"/>
        <w:rPr>
          <w:rFonts w:hint="eastAsia" w:ascii="宋体" w:hAnsi="宋体" w:cs="宋体"/>
          <w:color w:val="auto"/>
          <w:sz w:val="24"/>
        </w:rPr>
      </w:pPr>
      <w:r>
        <w:rPr>
          <w:rFonts w:hint="eastAsia" w:ascii="宋体" w:hAnsi="宋体" w:cs="宋体"/>
          <w:color w:val="000000"/>
          <w:sz w:val="24"/>
        </w:rPr>
        <w:t>发包人向承包人提供图纸的</w:t>
      </w:r>
      <w:r>
        <w:rPr>
          <w:rFonts w:hint="eastAsia" w:ascii="宋体" w:hAnsi="宋体" w:cs="宋体"/>
          <w:color w:val="auto"/>
          <w:sz w:val="24"/>
        </w:rPr>
        <w:t>数量：</w:t>
      </w:r>
      <w:r>
        <w:rPr>
          <w:rFonts w:hint="eastAsia" w:ascii="宋体" w:hAnsi="宋体" w:cs="宋体"/>
          <w:color w:val="auto"/>
          <w:sz w:val="24"/>
          <w:u w:val="single"/>
          <w:lang w:val="en-US" w:eastAsia="zh-CN"/>
        </w:rPr>
        <w:t>一式</w:t>
      </w:r>
      <w:r>
        <w:rPr>
          <w:rFonts w:hint="eastAsia" w:ascii="宋体" w:hAnsi="宋体" w:cs="宋体"/>
          <w:color w:val="auto"/>
          <w:sz w:val="24"/>
          <w:highlight w:val="none"/>
          <w:u w:val="single"/>
          <w:lang w:val="en-US" w:eastAsia="zh-CN"/>
        </w:rPr>
        <w:t>二</w:t>
      </w:r>
      <w:r>
        <w:rPr>
          <w:rFonts w:hint="eastAsia" w:ascii="宋体" w:hAnsi="宋体" w:cs="宋体"/>
          <w:color w:val="auto"/>
          <w:sz w:val="24"/>
          <w:highlight w:val="none"/>
          <w:u w:val="single"/>
        </w:rPr>
        <w:t>套</w:t>
      </w:r>
      <w:r>
        <w:rPr>
          <w:rFonts w:hint="eastAsia" w:ascii="宋体" w:hAnsi="宋体" w:cs="宋体"/>
          <w:color w:val="auto"/>
          <w:sz w:val="24"/>
          <w:u w:val="single"/>
        </w:rPr>
        <w:t></w:t>
      </w:r>
      <w:r>
        <w:rPr>
          <w:rFonts w:hint="eastAsia" w:ascii="宋体" w:hAnsi="宋体" w:cs="宋体"/>
          <w:color w:val="auto"/>
          <w:sz w:val="24"/>
        </w:rPr>
        <w:t>；</w:t>
      </w:r>
    </w:p>
    <w:p w14:paraId="3672D610">
      <w:pPr>
        <w:spacing w:line="360" w:lineRule="auto"/>
        <w:ind w:firstLine="480" w:firstLineChars="200"/>
        <w:rPr>
          <w:rFonts w:hint="eastAsia" w:ascii="宋体" w:hAnsi="宋体" w:cs="宋体"/>
          <w:color w:val="000000"/>
          <w:sz w:val="24"/>
        </w:rPr>
      </w:pPr>
      <w:r>
        <w:rPr>
          <w:rFonts w:hint="eastAsia" w:ascii="宋体" w:hAnsi="宋体" w:cs="宋体"/>
          <w:color w:val="auto"/>
          <w:sz w:val="24"/>
        </w:rPr>
        <w:t>发包人向承包人提供图纸的内容：</w:t>
      </w:r>
      <w:r>
        <w:rPr>
          <w:rFonts w:hint="eastAsia" w:ascii="宋体" w:hAnsi="宋体" w:cs="宋体"/>
          <w:color w:val="auto"/>
          <w:sz w:val="24"/>
          <w:u w:val="single"/>
        </w:rPr>
        <w:t>工程承包范</w:t>
      </w:r>
      <w:r>
        <w:rPr>
          <w:rFonts w:hint="eastAsia" w:ascii="宋体" w:hAnsi="宋体" w:cs="宋体"/>
          <w:color w:val="000000"/>
          <w:sz w:val="24"/>
          <w:u w:val="single"/>
        </w:rPr>
        <w:t>围内的各专业工程</w:t>
      </w:r>
      <w:r>
        <w:rPr>
          <w:rFonts w:hint="eastAsia" w:ascii="宋体" w:hAnsi="宋体" w:cs="宋体"/>
          <w:color w:val="000000"/>
          <w:sz w:val="24"/>
        </w:rPr>
        <w:t>。</w:t>
      </w:r>
    </w:p>
    <w:p w14:paraId="0C394A5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1.6.4 承包人文件</w:t>
      </w:r>
    </w:p>
    <w:p w14:paraId="2752D474">
      <w:pPr>
        <w:spacing w:line="360" w:lineRule="auto"/>
        <w:ind w:firstLine="504" w:firstLineChars="210"/>
        <w:jc w:val="left"/>
        <w:rPr>
          <w:rFonts w:hint="eastAsia"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66C83D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w:t>
      </w:r>
      <w:r>
        <w:rPr>
          <w:rFonts w:hint="eastAsia" w:ascii="宋体" w:hAnsi="宋体" w:cs="宋体"/>
          <w:color w:val="00B050"/>
          <w:sz w:val="24"/>
          <w:u w:val="single"/>
          <w:lang w:val="en-US" w:eastAsia="zh-CN"/>
        </w:rPr>
        <w:t>7</w:t>
      </w:r>
      <w:r>
        <w:rPr>
          <w:rFonts w:hint="eastAsia" w:ascii="宋体" w:hAnsi="宋体" w:cs="宋体"/>
          <w:color w:val="000000"/>
          <w:sz w:val="24"/>
          <w:u w:val="single"/>
        </w:rPr>
        <w:t>天，其他文件在相应专项工程或部位施工前5天</w:t>
      </w:r>
      <w:r>
        <w:rPr>
          <w:rFonts w:hint="eastAsia" w:ascii="宋体" w:hAnsi="宋体" w:cs="宋体"/>
          <w:color w:val="000000"/>
          <w:sz w:val="24"/>
        </w:rPr>
        <w:t>；</w:t>
      </w:r>
    </w:p>
    <w:p w14:paraId="0C1C177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一式五套、电子版一套        </w:t>
      </w:r>
      <w:r>
        <w:rPr>
          <w:rFonts w:hint="eastAsia" w:ascii="宋体" w:hAnsi="宋体" w:cs="宋体"/>
          <w:color w:val="000000"/>
          <w:sz w:val="24"/>
        </w:rPr>
        <w:t>；</w:t>
      </w:r>
    </w:p>
    <w:p w14:paraId="1C77898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纸质版本及电子版本       </w:t>
      </w:r>
      <w:r>
        <w:rPr>
          <w:rFonts w:hint="eastAsia" w:ascii="宋体" w:hAnsi="宋体" w:cs="宋体"/>
          <w:color w:val="000000"/>
          <w:sz w:val="24"/>
        </w:rPr>
        <w:t>；</w:t>
      </w:r>
    </w:p>
    <w:p w14:paraId="2C9666B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                </w:t>
      </w:r>
      <w:r>
        <w:rPr>
          <w:rFonts w:hint="eastAsia" w:ascii="宋体" w:hAnsi="宋体" w:cs="宋体"/>
          <w:color w:val="000000"/>
          <w:sz w:val="24"/>
        </w:rPr>
        <w:t>。</w:t>
      </w:r>
    </w:p>
    <w:p w14:paraId="3058BD7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1.6.5 现场图纸准备</w:t>
      </w:r>
    </w:p>
    <w:p w14:paraId="6EBE7A3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485D5CC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 联络</w:t>
      </w:r>
    </w:p>
    <w:p w14:paraId="4A212C4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4E07D5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发包人驻办公所在地</w:t>
      </w:r>
      <w:r>
        <w:rPr>
          <w:rFonts w:hint="eastAsia" w:ascii="宋体" w:hAnsi="宋体" w:cs="宋体"/>
          <w:color w:val="000000"/>
          <w:sz w:val="24"/>
        </w:rPr>
        <w:t>；</w:t>
      </w:r>
    </w:p>
    <w:p w14:paraId="56516D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               </w:t>
      </w:r>
      <w:r>
        <w:rPr>
          <w:rFonts w:hint="eastAsia" w:ascii="宋体" w:hAnsi="宋体" w:cs="宋体"/>
          <w:color w:val="000000"/>
          <w:sz w:val="24"/>
        </w:rPr>
        <w:t>。</w:t>
      </w:r>
    </w:p>
    <w:p w14:paraId="51DEB9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承包人驻办公所在地    </w:t>
      </w:r>
      <w:r>
        <w:rPr>
          <w:rFonts w:hint="eastAsia" w:ascii="宋体" w:hAnsi="宋体" w:cs="宋体"/>
          <w:color w:val="000000"/>
          <w:sz w:val="24"/>
        </w:rPr>
        <w:t>；</w:t>
      </w:r>
    </w:p>
    <w:p w14:paraId="2DCE97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540BA03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监理人驻办公所在地      </w:t>
      </w:r>
      <w:r>
        <w:rPr>
          <w:rFonts w:hint="eastAsia" w:ascii="宋体" w:hAnsi="宋体" w:cs="宋体"/>
          <w:color w:val="000000"/>
          <w:sz w:val="24"/>
        </w:rPr>
        <w:t>；</w:t>
      </w:r>
    </w:p>
    <w:p w14:paraId="4E1E0C3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02554DB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1.10 交通运输</w:t>
      </w:r>
    </w:p>
    <w:p w14:paraId="0477CD3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59" w:name="_Toc312677986"/>
      <w:bookmarkStart w:id="60" w:name="_Toc318581155"/>
      <w:bookmarkStart w:id="61" w:name="_Toc300934943"/>
      <w:bookmarkStart w:id="62" w:name="_Toc304295521"/>
      <w:bookmarkStart w:id="63" w:name="_Toc303539100"/>
      <w:r>
        <w:rPr>
          <w:rFonts w:hint="eastAsia" w:ascii="宋体" w:hAnsi="宋体" w:cs="宋体"/>
          <w:color w:val="000000"/>
          <w:sz w:val="24"/>
        </w:rPr>
        <w:t>.10.1 出入现场的权利</w:t>
      </w:r>
    </w:p>
    <w:p w14:paraId="7A49588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59"/>
    <w:bookmarkEnd w:id="60"/>
    <w:bookmarkEnd w:id="61"/>
    <w:bookmarkEnd w:id="62"/>
    <w:bookmarkEnd w:id="63"/>
    <w:p w14:paraId="522D1A4E">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w:t>
      </w:r>
      <w:bookmarkStart w:id="64" w:name="_Toc303539101"/>
      <w:bookmarkStart w:id="65" w:name="_Toc300934944"/>
      <w:bookmarkStart w:id="66" w:name="_Toc312677987"/>
      <w:bookmarkStart w:id="67" w:name="_Toc304295522"/>
      <w:bookmarkStart w:id="68" w:name="_Toc318581156"/>
      <w:r>
        <w:rPr>
          <w:rFonts w:hint="eastAsia" w:ascii="宋体" w:hAnsi="宋体" w:cs="宋体"/>
          <w:color w:val="000000"/>
          <w:sz w:val="24"/>
        </w:rPr>
        <w:t>.10.3 场内交通</w:t>
      </w:r>
    </w:p>
    <w:p w14:paraId="37E624FA">
      <w:pPr>
        <w:spacing w:line="360" w:lineRule="auto"/>
        <w:ind w:firstLine="480" w:firstLineChars="200"/>
        <w:jc w:val="left"/>
        <w:rPr>
          <w:rFonts w:hint="eastAsia" w:ascii="宋体" w:hAnsi="宋体" w:cs="宋体"/>
          <w:color w:val="auto"/>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按本工程</w:t>
      </w:r>
      <w:r>
        <w:rPr>
          <w:rFonts w:hint="eastAsia" w:ascii="宋体" w:hAnsi="宋体" w:cs="宋体"/>
          <w:color w:val="auto"/>
          <w:sz w:val="24"/>
          <w:u w:val="single"/>
        </w:rPr>
        <w:t>规划红线范围界定</w:t>
      </w:r>
      <w:r>
        <w:rPr>
          <w:rFonts w:hint="eastAsia" w:ascii="宋体" w:hAnsi="宋体" w:cs="宋体"/>
          <w:color w:val="auto"/>
          <w:sz w:val="24"/>
        </w:rPr>
        <w:t>。</w:t>
      </w:r>
    </w:p>
    <w:p w14:paraId="289F7D7E">
      <w:pPr>
        <w:spacing w:line="360" w:lineRule="auto"/>
        <w:ind w:firstLine="480" w:firstLineChars="200"/>
        <w:jc w:val="left"/>
        <w:rPr>
          <w:rFonts w:hint="eastAsia" w:ascii="宋体" w:hAnsi="宋体" w:cs="宋体"/>
          <w:color w:val="000000"/>
          <w:sz w:val="24"/>
        </w:rPr>
      </w:pPr>
      <w:r>
        <w:rPr>
          <w:rFonts w:hint="eastAsia" w:ascii="宋体" w:hAnsi="宋体" w:cs="宋体"/>
          <w:color w:val="auto"/>
          <w:sz w:val="24"/>
        </w:rPr>
        <w:t>关于发包人向承包人免费提供满足工程施工需要的场内道路和交通设施</w:t>
      </w:r>
      <w:r>
        <w:rPr>
          <w:rFonts w:hint="eastAsia" w:ascii="宋体" w:hAnsi="宋体" w:cs="宋体"/>
          <w:color w:val="000000"/>
          <w:sz w:val="24"/>
        </w:rPr>
        <w:t xml:space="preserve">的约定：  </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64"/>
      <w:bookmarkEnd w:id="65"/>
      <w:bookmarkEnd w:id="66"/>
      <w:bookmarkEnd w:id="67"/>
      <w:bookmarkEnd w:id="68"/>
      <w:r>
        <w:rPr>
          <w:rFonts w:hint="eastAsia" w:ascii="宋体" w:hAnsi="宋体" w:cs="宋体"/>
          <w:color w:val="000000"/>
          <w:sz w:val="24"/>
        </w:rPr>
        <w:t xml:space="preserve">  </w:t>
      </w:r>
      <w:bookmarkStart w:id="69" w:name="_Toc318581157"/>
    </w:p>
    <w:p w14:paraId="2398DE0B">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1.10.4超大件和超重件的运输</w:t>
      </w:r>
    </w:p>
    <w:p w14:paraId="68D28382">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 xml:space="preserve"> 承包人</w:t>
      </w:r>
      <w:r>
        <w:rPr>
          <w:rFonts w:hint="eastAsia" w:ascii="宋体" w:hAnsi="宋体" w:cs="宋体"/>
          <w:color w:val="000000"/>
          <w:sz w:val="24"/>
          <w:u w:val="single"/>
          <w:lang w:val="en-US" w:eastAsia="zh-CN"/>
        </w:rPr>
        <w:t xml:space="preserve"> </w:t>
      </w:r>
      <w:r>
        <w:rPr>
          <w:rFonts w:hint="eastAsia" w:ascii="宋体" w:hAnsi="宋体" w:cs="宋体"/>
          <w:color w:val="000000"/>
          <w:sz w:val="24"/>
        </w:rPr>
        <w:t>承担。</w:t>
      </w:r>
    </w:p>
    <w:bookmarkEnd w:id="69"/>
    <w:p w14:paraId="1B290C3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 知识产权</w:t>
      </w:r>
    </w:p>
    <w:p w14:paraId="421151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781C3E06">
      <w:pPr>
        <w:spacing w:line="360" w:lineRule="auto"/>
        <w:rPr>
          <w:rFonts w:hint="eastAsia"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5A6138B3">
      <w:pPr>
        <w:spacing w:line="360" w:lineRule="auto"/>
        <w:rPr>
          <w:rFonts w:hint="eastAsia"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5171DF05">
      <w:pPr>
        <w:spacing w:line="360" w:lineRule="auto"/>
        <w:ind w:firstLine="600" w:firstLineChars="250"/>
        <w:rPr>
          <w:rFonts w:hint="eastAsia"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739B8F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58C958EC">
      <w:pPr>
        <w:spacing w:line="360" w:lineRule="auto"/>
        <w:ind w:firstLine="480" w:firstLineChars="200"/>
        <w:rPr>
          <w:rFonts w:ascii="宋体" w:hAnsi="宋体"/>
          <w:color w:val="000000"/>
          <w:sz w:val="24"/>
        </w:rPr>
      </w:pPr>
      <w:bookmarkStart w:id="70" w:name="_Toc351203634"/>
      <w:bookmarkStart w:id="71" w:name="_Toc386638608"/>
      <w:r>
        <w:rPr>
          <w:rFonts w:ascii="宋体" w:hAnsi="宋体"/>
          <w:color w:val="000000"/>
          <w:sz w:val="24"/>
        </w:rPr>
        <w:t>1.13工程量清单错误的修正</w:t>
      </w:r>
    </w:p>
    <w:p w14:paraId="7966AA6D">
      <w:pPr>
        <w:spacing w:line="360" w:lineRule="auto"/>
        <w:ind w:firstLine="480" w:firstLineChars="200"/>
        <w:rPr>
          <w:rFonts w:hAnsi="宋体"/>
          <w:color w:val="000000"/>
        </w:rPr>
      </w:pPr>
      <w:r>
        <w:rPr>
          <w:rFonts w:hint="eastAsia" w:ascii="宋体" w:hAnsi="宋体"/>
          <w:color w:val="000000"/>
          <w:sz w:val="24"/>
        </w:rPr>
        <w:t>出现工程量清单错误时，是否调整合同价格：</w:t>
      </w:r>
      <w:r>
        <w:rPr>
          <w:rFonts w:hAnsi="宋体"/>
          <w:color w:val="000000"/>
          <w:u w:val="single"/>
        </w:rPr>
        <w:t xml:space="preserve"> </w:t>
      </w:r>
      <w:r>
        <w:rPr>
          <w:rFonts w:hint="eastAsia" w:hAnsi="宋体"/>
          <w:color w:val="000000"/>
          <w:u w:val="single"/>
        </w:rPr>
        <w:t xml:space="preserve">  </w:t>
      </w:r>
      <w:r>
        <w:rPr>
          <w:rFonts w:hAnsi="宋体"/>
          <w:color w:val="000000"/>
          <w:u w:val="single"/>
        </w:rPr>
        <w:t xml:space="preserve">  </w:t>
      </w:r>
      <w:r>
        <w:rPr>
          <w:rFonts w:hint="eastAsia" w:hAnsi="宋体"/>
          <w:color w:val="000000"/>
          <w:u w:val="single"/>
        </w:rPr>
        <w:t>是</w:t>
      </w:r>
      <w:r>
        <w:rPr>
          <w:rFonts w:hint="eastAsia" w:ascii="MingLiU_HKSCS" w:hAnsi="MingLiU_HKSCS" w:eastAsia="MingLiU_HKSCS" w:cs="MingLiU_HKSCS"/>
          <w:color w:val="000000"/>
          <w:u w:val="single"/>
        </w:rPr>
        <w:t xml:space="preserve"> </w:t>
      </w:r>
      <w:r>
        <w:rPr>
          <w:rFonts w:hint="eastAsia" w:hAnsi="宋体" w:cs="宋体"/>
          <w:color w:val="000000"/>
          <w:u w:val="single"/>
        </w:rPr>
        <w:t xml:space="preserve">  </w:t>
      </w:r>
      <w:r>
        <w:rPr>
          <w:rFonts w:hAnsi="宋体"/>
          <w:color w:val="000000"/>
        </w:rPr>
        <w:t>。</w:t>
      </w:r>
    </w:p>
    <w:p w14:paraId="6E5C264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50F5812A">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w:t>
      </w:r>
      <w:bookmarkStart w:id="72" w:name="_Toc292559362"/>
      <w:bookmarkStart w:id="73" w:name="_Toc292559867"/>
      <w:bookmarkStart w:id="74" w:name="_Toc296346658"/>
      <w:bookmarkStart w:id="75" w:name="_Toc296944496"/>
      <w:bookmarkStart w:id="76" w:name="_Toc296890985"/>
      <w:bookmarkStart w:id="77" w:name="_Toc296891197"/>
      <w:bookmarkStart w:id="78" w:name="_Toc297048343"/>
      <w:bookmarkStart w:id="79" w:name="_Toc297120457"/>
      <w:bookmarkStart w:id="80" w:name="_Toc296347156"/>
      <w:bookmarkStart w:id="81" w:name="_Toc296503157"/>
      <w:r>
        <w:rPr>
          <w:rFonts w:hint="eastAsia" w:ascii="宋体" w:hAnsi="宋体" w:eastAsia="宋体" w:cs="宋体"/>
          <w:b w:val="0"/>
          <w:color w:val="000000"/>
          <w:sz w:val="24"/>
          <w:szCs w:val="24"/>
        </w:rPr>
        <w:t>. 发包人</w:t>
      </w:r>
      <w:bookmarkEnd w:id="70"/>
      <w:bookmarkEnd w:id="71"/>
    </w:p>
    <w:bookmarkEnd w:id="72"/>
    <w:bookmarkEnd w:id="73"/>
    <w:bookmarkEnd w:id="74"/>
    <w:bookmarkEnd w:id="75"/>
    <w:bookmarkEnd w:id="76"/>
    <w:bookmarkEnd w:id="77"/>
    <w:bookmarkEnd w:id="78"/>
    <w:bookmarkEnd w:id="79"/>
    <w:bookmarkEnd w:id="80"/>
    <w:bookmarkEnd w:id="81"/>
    <w:p w14:paraId="15871B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2.2 发包人代表</w:t>
      </w:r>
    </w:p>
    <w:p w14:paraId="203C033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发包人派驻施工现场代表：</w:t>
      </w:r>
    </w:p>
    <w:p w14:paraId="129DA8E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AEDBB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2993B96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2BF59D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6359CB2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6DC2DCA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D7E2332">
      <w:pPr>
        <w:spacing w:line="360" w:lineRule="auto"/>
        <w:ind w:firstLine="480" w:firstLineChars="200"/>
        <w:rPr>
          <w:rFonts w:hint="eastAsia"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3D62863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 施工现场、施工条件和基础资料的提供</w:t>
      </w:r>
    </w:p>
    <w:p w14:paraId="03CBB4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2.4.1 提供施工现场</w:t>
      </w:r>
    </w:p>
    <w:p w14:paraId="33DFE2D9">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155FEA87">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w:t>
      </w:r>
      <w:r>
        <w:rPr>
          <w:rFonts w:hint="eastAsia" w:ascii="宋体" w:hAnsi="宋体" w:cs="宋体"/>
          <w:color w:val="auto"/>
          <w:sz w:val="24"/>
          <w:u w:val="single"/>
        </w:rPr>
        <w:t>水、电</w:t>
      </w:r>
      <w:r>
        <w:rPr>
          <w:rFonts w:hint="eastAsia" w:ascii="宋体" w:hAnsi="宋体" w:cs="宋体"/>
          <w:color w:val="auto"/>
          <w:sz w:val="24"/>
          <w:u w:val="single"/>
          <w:lang w:val="en-US" w:eastAsia="zh-CN"/>
        </w:rPr>
        <w:t>线路</w:t>
      </w:r>
      <w:r>
        <w:rPr>
          <w:rFonts w:hint="eastAsia" w:ascii="宋体" w:hAnsi="宋体" w:cs="宋体"/>
          <w:color w:val="auto"/>
          <w:sz w:val="24"/>
          <w:u w:val="single"/>
        </w:rPr>
        <w:t>接至施工现场；施工场地与公共道路的通道开通；工程地质和地下管线资</w:t>
      </w:r>
      <w:r>
        <w:rPr>
          <w:rFonts w:hint="eastAsia" w:ascii="宋体" w:hAnsi="宋体" w:cs="宋体"/>
          <w:color w:val="000000"/>
          <w:sz w:val="24"/>
          <w:u w:val="single"/>
        </w:rPr>
        <w:t>料；发包人办理的施工所需证件等。</w:t>
      </w:r>
    </w:p>
    <w:p w14:paraId="23555DC8">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2.5 资金来源证明及支付担保：</w:t>
      </w:r>
    </w:p>
    <w:p w14:paraId="44FF4BE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4F163A5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78CA529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 xml:space="preserve">。               </w:t>
      </w:r>
    </w:p>
    <w:p w14:paraId="28D1F025">
      <w:pPr>
        <w:pStyle w:val="6"/>
        <w:spacing w:before="0" w:after="0" w:line="360" w:lineRule="auto"/>
        <w:rPr>
          <w:rFonts w:hint="eastAsia" w:ascii="宋体" w:hAnsi="宋体" w:eastAsia="宋体" w:cs="宋体"/>
          <w:b w:val="0"/>
          <w:color w:val="000000"/>
          <w:sz w:val="24"/>
          <w:szCs w:val="24"/>
        </w:rPr>
      </w:pPr>
      <w:bookmarkStart w:id="82" w:name="_Toc386638609"/>
      <w:bookmarkStart w:id="83" w:name="_Toc351203635"/>
      <w:r>
        <w:rPr>
          <w:rFonts w:hint="eastAsia" w:ascii="宋体" w:hAnsi="宋体" w:eastAsia="宋体" w:cs="宋体"/>
          <w:b w:val="0"/>
          <w:color w:val="000000"/>
          <w:sz w:val="24"/>
          <w:szCs w:val="24"/>
        </w:rPr>
        <w:t>3</w:t>
      </w:r>
      <w:bookmarkStart w:id="84" w:name="_Toc297120458"/>
      <w:bookmarkStart w:id="85" w:name="_Toc296503158"/>
      <w:bookmarkStart w:id="86" w:name="_Toc296346659"/>
      <w:bookmarkStart w:id="87" w:name="_Toc292559363"/>
      <w:bookmarkStart w:id="88" w:name="_Toc297048344"/>
      <w:bookmarkStart w:id="89" w:name="_Toc296891198"/>
      <w:bookmarkStart w:id="90" w:name="_Toc296890986"/>
      <w:bookmarkStart w:id="91" w:name="_Toc296944497"/>
      <w:bookmarkStart w:id="92" w:name="_Toc296347157"/>
      <w:bookmarkStart w:id="93" w:name="_Toc292559868"/>
      <w:r>
        <w:rPr>
          <w:rFonts w:hint="eastAsia" w:ascii="宋体" w:hAnsi="宋体" w:eastAsia="宋体" w:cs="宋体"/>
          <w:b w:val="0"/>
          <w:color w:val="000000"/>
          <w:sz w:val="24"/>
          <w:szCs w:val="24"/>
        </w:rPr>
        <w:t>. 承包人</w:t>
      </w:r>
      <w:bookmarkEnd w:id="82"/>
      <w:bookmarkEnd w:id="83"/>
    </w:p>
    <w:bookmarkEnd w:id="84"/>
    <w:bookmarkEnd w:id="85"/>
    <w:bookmarkEnd w:id="86"/>
    <w:bookmarkEnd w:id="87"/>
    <w:bookmarkEnd w:id="88"/>
    <w:bookmarkEnd w:id="89"/>
    <w:bookmarkEnd w:id="90"/>
    <w:bookmarkEnd w:id="91"/>
    <w:bookmarkEnd w:id="92"/>
    <w:bookmarkEnd w:id="93"/>
    <w:p w14:paraId="2038D14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3.1 承包人的一般义务</w:t>
      </w:r>
    </w:p>
    <w:p w14:paraId="1766FB71">
      <w:pPr>
        <w:spacing w:line="360" w:lineRule="auto"/>
        <w:ind w:firstLine="504" w:firstLineChars="210"/>
        <w:jc w:val="left"/>
        <w:rPr>
          <w:rFonts w:hint="eastAsia"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w:t>
      </w:r>
      <w:r>
        <w:rPr>
          <w:rFonts w:hint="eastAsia" w:ascii="宋体" w:hAnsi="宋体" w:cs="宋体"/>
          <w:color w:val="000000"/>
          <w:sz w:val="24"/>
        </w:rPr>
        <w:t>。</w:t>
      </w:r>
    </w:p>
    <w:p w14:paraId="1D5E35D0">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1D697B3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4F1BDB79">
      <w:pPr>
        <w:spacing w:line="360" w:lineRule="auto"/>
        <w:ind w:firstLine="504" w:firstLineChars="210"/>
        <w:jc w:val="left"/>
        <w:rPr>
          <w:rFonts w:hint="eastAsia"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6E8CB75A">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07473BC">
      <w:pPr>
        <w:spacing w:line="360" w:lineRule="auto"/>
        <w:ind w:firstLine="491" w:firstLineChars="205"/>
        <w:rPr>
          <w:rFonts w:hint="eastAsia" w:ascii="宋体" w:hAnsi="宋体" w:cs="宋体"/>
          <w:color w:val="000000"/>
          <w:sz w:val="24"/>
        </w:rPr>
      </w:pPr>
      <w:r>
        <w:rPr>
          <w:rFonts w:hint="eastAsia" w:ascii="宋体" w:hAnsi="宋体" w:cs="宋体"/>
          <w:color w:val="000000"/>
          <w:sz w:val="24"/>
        </w:rPr>
        <w:t>（6）承包人应履行的其他义务：</w:t>
      </w:r>
    </w:p>
    <w:p w14:paraId="114F9F76">
      <w:pPr>
        <w:spacing w:line="360" w:lineRule="auto"/>
        <w:ind w:firstLine="491" w:firstLineChars="205"/>
        <w:rPr>
          <w:rFonts w:hint="eastAsia"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2F847B90">
      <w:pPr>
        <w:spacing w:line="360" w:lineRule="auto"/>
        <w:ind w:firstLine="570"/>
        <w:rPr>
          <w:rFonts w:hint="eastAsia"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7E5F85FE">
      <w:pPr>
        <w:spacing w:line="360" w:lineRule="auto"/>
        <w:ind w:firstLine="570"/>
        <w:rPr>
          <w:rFonts w:hint="eastAsia" w:ascii="宋体" w:hAnsi="宋体" w:cs="宋体"/>
          <w:color w:val="000000"/>
          <w:sz w:val="24"/>
          <w:u w:val="single"/>
        </w:rPr>
      </w:pPr>
      <w:r>
        <w:rPr>
          <w:rFonts w:hint="eastAsia" w:ascii="宋体" w:hAnsi="宋体" w:cs="宋体"/>
          <w:color w:val="000000"/>
          <w:sz w:val="24"/>
          <w:u w:val="single"/>
        </w:rPr>
        <w:t>(2)退休或离开本单位的；</w:t>
      </w:r>
    </w:p>
    <w:p w14:paraId="55C4EA9F">
      <w:pPr>
        <w:spacing w:line="360" w:lineRule="auto"/>
        <w:ind w:firstLine="570"/>
        <w:rPr>
          <w:rFonts w:hint="eastAsia"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0FCB0DCE">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39CA63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 项目负责人</w:t>
      </w:r>
    </w:p>
    <w:p w14:paraId="707A763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3.2.1 项目负责人：</w:t>
      </w:r>
    </w:p>
    <w:p w14:paraId="48522E6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0E51909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4D80B24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244750C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3D5B22C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49CA04F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2855BF5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1A79BF5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0DC4AA1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334F56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72A79B2E">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58613F1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6FC54EDE">
      <w:pPr>
        <w:spacing w:line="360" w:lineRule="auto"/>
        <w:ind w:firstLine="480" w:firstLineChars="200"/>
        <w:rPr>
          <w:rFonts w:hint="eastAsia" w:hAnsi="宋体"/>
          <w:u w:val="single"/>
        </w:rPr>
      </w:pPr>
      <w:r>
        <w:rPr>
          <w:rFonts w:hint="eastAsia" w:ascii="宋体" w:hAnsi="宋体" w:cs="宋体"/>
          <w:color w:val="000000"/>
          <w:sz w:val="24"/>
        </w:rPr>
        <w:t>3.2.3 承包人擅自更换项目经理的违约责任：</w:t>
      </w:r>
      <w:r>
        <w:rPr>
          <w:rFonts w:hint="eastAsia" w:ascii="宋体" w:hAnsi="宋体"/>
          <w:color w:val="000000"/>
          <w:sz w:val="24"/>
          <w:u w:val="single"/>
        </w:rPr>
        <w:t>处违约金10000 元/次，违约金从监理和发包人发现违约情况的当月工程款中扣除</w:t>
      </w:r>
      <w:r>
        <w:rPr>
          <w:rFonts w:hint="eastAsia" w:hAnsi="宋体"/>
          <w:color w:val="000000"/>
          <w:sz w:val="24"/>
          <w:u w:val="single"/>
        </w:rPr>
        <w:t>。</w:t>
      </w:r>
    </w:p>
    <w:p w14:paraId="1097F8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w:t>
      </w:r>
      <w:r>
        <w:rPr>
          <w:rFonts w:hint="eastAsia" w:ascii="宋体" w:hAnsi="宋体"/>
          <w:color w:val="auto"/>
          <w:sz w:val="24"/>
          <w:highlight w:val="none"/>
          <w:u w:val="single"/>
        </w:rPr>
        <w:t>承包人无正当理由拒绝更换的，处违约金 10000 元/次，违约金从监理和发包人发现违约情况的当月工程款中扣除。</w:t>
      </w:r>
      <w:r>
        <w:rPr>
          <w:rFonts w:hint="eastAsia" w:ascii="宋体" w:hAnsi="宋体" w:cs="宋体"/>
          <w:color w:val="000000"/>
          <w:sz w:val="24"/>
          <w:u w:val="single"/>
        </w:rPr>
        <w:t>情节严重的，发包人有权解除合同，由此造成的一切损失由承包人承担。</w:t>
      </w:r>
    </w:p>
    <w:p w14:paraId="1F3CEC8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3.3 承包人人员</w:t>
      </w:r>
    </w:p>
    <w:p w14:paraId="38480EF2">
      <w:pPr>
        <w:spacing w:line="360" w:lineRule="auto"/>
        <w:ind w:firstLine="480" w:firstLineChars="200"/>
        <w:rPr>
          <w:rFonts w:hint="eastAsia" w:ascii="宋体" w:hAnsi="宋体" w:cs="宋体"/>
          <w:color w:val="auto"/>
          <w:sz w:val="24"/>
          <w:u w:val="single"/>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 xml:space="preserve"> 承包人</w:t>
      </w:r>
      <w:r>
        <w:rPr>
          <w:rFonts w:hint="eastAsia" w:ascii="宋体" w:hAnsi="宋体" w:cs="宋体"/>
          <w:color w:val="auto"/>
          <w:sz w:val="24"/>
          <w:u w:val="single"/>
        </w:rPr>
        <w:t>应在合同备案前将项目管理机构及施工现场管理人员报招标代理机构审查，并报发包人备案。(详见附表二：项目部关键岗位人员配备表) 。</w:t>
      </w:r>
    </w:p>
    <w:p w14:paraId="0B489954">
      <w:pPr>
        <w:spacing w:line="360" w:lineRule="auto"/>
        <w:ind w:firstLine="480" w:firstLineChars="200"/>
        <w:rPr>
          <w:rFonts w:hint="default" w:ascii="宋体" w:hAnsi="宋体" w:eastAsia="宋体" w:cs="宋体"/>
          <w:color w:val="auto"/>
          <w:sz w:val="24"/>
          <w:u w:val="none"/>
          <w:lang w:val="en-US" w:eastAsia="zh-CN"/>
        </w:rPr>
      </w:pPr>
      <w:r>
        <w:rPr>
          <w:rFonts w:hint="eastAsia" w:ascii="宋体" w:hAnsi="宋体" w:cs="宋体"/>
          <w:color w:val="auto"/>
          <w:sz w:val="24"/>
          <w:u w:val="none"/>
          <w:lang w:val="en-US" w:eastAsia="zh-CN"/>
        </w:rPr>
        <w:t>关于项目部关键岗位人员每月在施工现场的时间要求：</w:t>
      </w:r>
      <w:r>
        <w:rPr>
          <w:rFonts w:hint="eastAsia" w:ascii="宋体" w:hAnsi="宋体" w:cs="宋体"/>
          <w:color w:val="auto"/>
          <w:sz w:val="24"/>
          <w:u w:val="single"/>
          <w:lang w:val="en-US" w:eastAsia="zh-CN"/>
        </w:rPr>
        <w:t xml:space="preserve">        /         </w:t>
      </w:r>
      <w:r>
        <w:rPr>
          <w:rFonts w:hint="eastAsia" w:ascii="宋体" w:hAnsi="宋体" w:cs="宋体"/>
          <w:color w:val="auto"/>
          <w:sz w:val="24"/>
          <w:u w:val="none"/>
          <w:lang w:val="en-US" w:eastAsia="zh-CN"/>
        </w:rPr>
        <w:t>。</w:t>
      </w:r>
    </w:p>
    <w:p w14:paraId="2565A26B">
      <w:pPr>
        <w:spacing w:line="360" w:lineRule="auto"/>
        <w:ind w:firstLine="480" w:firstLineChars="200"/>
        <w:rPr>
          <w:rFonts w:hint="eastAsia" w:ascii="宋体" w:hAnsi="宋体" w:cs="宋体"/>
          <w:color w:val="auto"/>
          <w:sz w:val="24"/>
        </w:rPr>
      </w:pPr>
      <w:r>
        <w:rPr>
          <w:rFonts w:hint="eastAsia" w:ascii="宋体" w:hAnsi="宋体" w:cs="宋体"/>
          <w:color w:val="auto"/>
          <w:sz w:val="24"/>
        </w:rPr>
        <w:t>3.3.3承包人无正当理由拒绝撤换项目部关键岗位人员的违约责任：</w:t>
      </w:r>
      <w:r>
        <w:rPr>
          <w:rFonts w:hint="eastAsia" w:ascii="宋体" w:hAnsi="宋体" w:cs="宋体"/>
          <w:color w:val="auto"/>
          <w:sz w:val="24"/>
          <w:u w:val="single"/>
        </w:rPr>
        <w:t>发包人认为项目部关键岗位人员（指技术负责人、安全员、施工员、质量员）无法履行职责的，应提供相关证明材料，并签发《整改通知书》。</w:t>
      </w:r>
    </w:p>
    <w:p w14:paraId="4D9BCDA1">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3.3.4承包人项目部关键岗位人员离开施工现场的批准要求：</w:t>
      </w:r>
      <w:r>
        <w:rPr>
          <w:rFonts w:hint="eastAsia" w:ascii="宋体" w:hAnsi="宋体" w:cs="宋体"/>
          <w:color w:val="auto"/>
          <w:sz w:val="24"/>
          <w:u w:val="single"/>
        </w:rPr>
        <w:t xml:space="preserve"> 书面形式，并由发包人及总监工程师签字确认 </w:t>
      </w:r>
    </w:p>
    <w:p w14:paraId="5C2BBE6E">
      <w:pPr>
        <w:spacing w:line="360" w:lineRule="auto"/>
        <w:ind w:firstLine="480" w:firstLineChars="200"/>
        <w:rPr>
          <w:rFonts w:hint="eastAsia" w:ascii="宋体" w:hAnsi="宋体" w:cs="宋体"/>
          <w:color w:val="auto"/>
          <w:sz w:val="24"/>
        </w:rPr>
      </w:pPr>
      <w:r>
        <w:rPr>
          <w:rFonts w:hint="eastAsia" w:ascii="宋体" w:hAnsi="宋体" w:cs="宋体"/>
          <w:color w:val="auto"/>
          <w:sz w:val="24"/>
        </w:rPr>
        <w:t>3.3.5承包人擅自更换项目部关键岗位人员的违约责任：</w:t>
      </w:r>
      <w:r>
        <w:rPr>
          <w:rFonts w:hint="eastAsia" w:ascii="宋体" w:hAnsi="宋体" w:cs="宋体"/>
          <w:color w:val="auto"/>
          <w:kern w:val="0"/>
          <w:sz w:val="24"/>
          <w:u w:val="single"/>
          <w:lang w:val="en-US" w:eastAsia="zh-CN"/>
        </w:rPr>
        <w:t>/</w:t>
      </w:r>
      <w:r>
        <w:rPr>
          <w:rFonts w:hint="eastAsia" w:ascii="宋体" w:hAnsi="宋体" w:cs="宋体"/>
          <w:color w:val="auto"/>
          <w:kern w:val="0"/>
          <w:sz w:val="24"/>
          <w:u w:val="single"/>
        </w:rPr>
        <w:t>。</w:t>
      </w:r>
      <w:r>
        <w:rPr>
          <w:rFonts w:hint="eastAsia" w:ascii="宋体" w:hAnsi="宋体" w:cs="宋体"/>
          <w:color w:val="auto"/>
          <w:sz w:val="24"/>
          <w:u w:val="single"/>
        </w:rPr>
        <w:t xml:space="preserve"> </w:t>
      </w:r>
    </w:p>
    <w:p w14:paraId="376D82A6">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bookmarkStart w:id="94" w:name="_Toc303539102"/>
      <w:bookmarkStart w:id="95" w:name="_Toc300934945"/>
      <w:bookmarkStart w:id="96" w:name="_Toc297216151"/>
      <w:bookmarkStart w:id="97" w:name="_Toc304295523"/>
      <w:bookmarkStart w:id="98" w:name="_Toc296944498"/>
      <w:bookmarkStart w:id="99" w:name="_Toc297120459"/>
      <w:bookmarkStart w:id="100" w:name="_Toc296890987"/>
      <w:bookmarkStart w:id="101" w:name="_Toc297048345"/>
      <w:bookmarkStart w:id="102" w:name="_Toc296347158"/>
      <w:bookmarkStart w:id="103" w:name="_Toc296503159"/>
      <w:bookmarkStart w:id="104" w:name="_Toc297123492"/>
      <w:bookmarkStart w:id="105" w:name="_Toc292559364"/>
      <w:bookmarkStart w:id="106" w:name="_Toc296346660"/>
      <w:bookmarkStart w:id="107" w:name="_Toc296891199"/>
      <w:bookmarkStart w:id="108" w:name="_Toc292559869"/>
      <w:bookmarkStart w:id="109" w:name="_Toc312677988"/>
      <w:r>
        <w:rPr>
          <w:rFonts w:hint="eastAsia" w:ascii="宋体" w:hAnsi="宋体" w:cs="宋体"/>
          <w:color w:val="auto"/>
          <w:sz w:val="24"/>
        </w:rPr>
        <w:t>.5 分包</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0C84A039">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bookmarkStart w:id="110" w:name="_Toc318581158"/>
      <w:bookmarkStart w:id="111" w:name="_Toc300934946"/>
      <w:bookmarkStart w:id="112" w:name="_Toc297048346"/>
      <w:bookmarkStart w:id="113" w:name="_Toc297216152"/>
      <w:bookmarkStart w:id="114" w:name="_Toc296890988"/>
      <w:bookmarkStart w:id="115" w:name="_Toc296347159"/>
      <w:bookmarkStart w:id="116" w:name="_Toc296891200"/>
      <w:bookmarkStart w:id="117" w:name="_Toc297120460"/>
      <w:bookmarkStart w:id="118" w:name="_Toc296503160"/>
      <w:bookmarkStart w:id="119" w:name="_Toc292559870"/>
      <w:bookmarkStart w:id="120" w:name="_Toc296346661"/>
      <w:bookmarkStart w:id="121" w:name="_Toc292559365"/>
      <w:bookmarkStart w:id="122" w:name="_Toc297123493"/>
      <w:bookmarkStart w:id="123" w:name="_Toc303539103"/>
      <w:bookmarkStart w:id="124" w:name="_Toc304295524"/>
      <w:bookmarkStart w:id="125" w:name="_Toc296944499"/>
      <w:bookmarkStart w:id="126" w:name="_Toc312677989"/>
      <w:r>
        <w:rPr>
          <w:rFonts w:hint="eastAsia" w:ascii="宋体" w:hAnsi="宋体" w:cs="宋体"/>
          <w:color w:val="auto"/>
          <w:sz w:val="24"/>
        </w:rPr>
        <w:t>.5.1 分包的一般约定</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cs="宋体"/>
          <w:color w:val="auto"/>
          <w:sz w:val="24"/>
        </w:rPr>
        <w:t>：</w:t>
      </w:r>
    </w:p>
    <w:p w14:paraId="7A04C429">
      <w:pPr>
        <w:spacing w:line="360" w:lineRule="auto"/>
        <w:ind w:firstLine="480" w:firstLineChars="200"/>
        <w:rPr>
          <w:rFonts w:hint="eastAsia" w:ascii="宋体" w:hAnsi="宋体" w:cs="宋体"/>
          <w:color w:val="auto"/>
          <w:sz w:val="24"/>
        </w:rPr>
      </w:pPr>
      <w:r>
        <w:rPr>
          <w:rFonts w:hint="eastAsia" w:ascii="宋体" w:hAnsi="宋体" w:cs="宋体"/>
          <w:color w:val="auto"/>
          <w:sz w:val="24"/>
        </w:rPr>
        <w:t>禁止分包的工程包括：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6662ABC0">
      <w:pPr>
        <w:spacing w:line="360" w:lineRule="auto"/>
        <w:ind w:firstLine="480" w:firstLineChars="200"/>
        <w:rPr>
          <w:rFonts w:hint="eastAsia" w:ascii="宋体" w:hAnsi="宋体" w:cs="宋体"/>
          <w:color w:val="auto"/>
          <w:sz w:val="24"/>
        </w:rPr>
      </w:pPr>
      <w:r>
        <w:rPr>
          <w:rFonts w:hint="eastAsia" w:ascii="宋体" w:hAnsi="宋体" w:cs="宋体"/>
          <w:color w:val="auto"/>
          <w:sz w:val="24"/>
        </w:rPr>
        <w:t>主体结构、关键性工作的范围：</w:t>
      </w:r>
      <w:r>
        <w:rPr>
          <w:rFonts w:hint="eastAsia" w:ascii="宋体" w:hAnsi="宋体" w:cs="宋体"/>
          <w:color w:val="auto"/>
          <w:sz w:val="24"/>
          <w:u w:val="single"/>
        </w:rPr>
        <w:t xml:space="preserve">         /             </w:t>
      </w:r>
      <w:r>
        <w:rPr>
          <w:rFonts w:hint="eastAsia" w:ascii="宋体" w:hAnsi="宋体" w:cs="宋体"/>
          <w:color w:val="auto"/>
          <w:sz w:val="24"/>
        </w:rPr>
        <w:t>。</w:t>
      </w:r>
    </w:p>
    <w:p w14:paraId="6746573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w:t>
      </w:r>
      <w:bookmarkStart w:id="127" w:name="_Toc312677990"/>
      <w:bookmarkStart w:id="128" w:name="_Toc318581159"/>
      <w:r>
        <w:rPr>
          <w:rFonts w:hint="eastAsia" w:ascii="宋体" w:hAnsi="宋体" w:cs="宋体"/>
          <w:color w:val="000000"/>
          <w:sz w:val="24"/>
        </w:rPr>
        <w:t>.5.2分包的确定</w:t>
      </w:r>
    </w:p>
    <w:p w14:paraId="5BE9718D">
      <w:pPr>
        <w:spacing w:line="360" w:lineRule="auto"/>
        <w:ind w:firstLine="480" w:firstLineChars="200"/>
        <w:rPr>
          <w:rFonts w:hint="eastAsia" w:ascii="宋体" w:hAnsi="宋体" w:cs="宋体"/>
          <w:color w:val="auto"/>
          <w:sz w:val="24"/>
          <w:u w:val="single"/>
        </w:rPr>
      </w:pPr>
      <w:r>
        <w:rPr>
          <w:rFonts w:hint="eastAsia" w:ascii="宋体" w:hAnsi="宋体" w:cs="宋体"/>
          <w:color w:val="000000"/>
          <w:sz w:val="24"/>
        </w:rPr>
        <w:t>允许分包的</w:t>
      </w:r>
      <w:r>
        <w:rPr>
          <w:rFonts w:hint="eastAsia" w:ascii="宋体" w:hAnsi="宋体" w:cs="宋体"/>
          <w:color w:val="auto"/>
          <w:sz w:val="24"/>
        </w:rPr>
        <w:t>专业工程包括：</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w:t>
      </w:r>
    </w:p>
    <w:p w14:paraId="45D6F26B">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其他关于分包的约定：</w:t>
      </w:r>
      <w:r>
        <w:rPr>
          <w:rFonts w:hint="eastAsia" w:ascii="宋体" w:hAnsi="宋体" w:cs="宋体"/>
          <w:color w:val="auto"/>
          <w:sz w:val="24"/>
          <w:u w:val="single"/>
        </w:rPr>
        <w:t xml:space="preserve">    /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bookmarkEnd w:id="127"/>
    <w:bookmarkEnd w:id="128"/>
    <w:p w14:paraId="1DEE6320">
      <w:pPr>
        <w:spacing w:line="360" w:lineRule="auto"/>
        <w:ind w:firstLine="480" w:firstLineChars="200"/>
        <w:rPr>
          <w:rFonts w:hint="eastAsia" w:ascii="宋体" w:hAnsi="宋体" w:cs="宋体"/>
          <w:color w:val="auto"/>
          <w:sz w:val="24"/>
        </w:rPr>
      </w:pPr>
      <w:r>
        <w:rPr>
          <w:rFonts w:hint="eastAsia" w:ascii="宋体" w:hAnsi="宋体" w:cs="宋体"/>
          <w:color w:val="auto"/>
          <w:sz w:val="24"/>
        </w:rPr>
        <w:t>3.6 工程照管与成品、半成品保护</w:t>
      </w:r>
    </w:p>
    <w:p w14:paraId="3531D484">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承包人负责照管工程及工程相关的材料、工程设备的起始时间：</w:t>
      </w:r>
      <w:r>
        <w:rPr>
          <w:rFonts w:hint="eastAsia" w:ascii="宋体" w:hAnsi="宋体" w:cs="宋体"/>
          <w:color w:val="auto"/>
          <w:sz w:val="24"/>
          <w:u w:val="single"/>
        </w:rPr>
        <w:t>工程开工令发布之日</w:t>
      </w:r>
      <w:r>
        <w:rPr>
          <w:rFonts w:hint="eastAsia" w:ascii="宋体" w:hAnsi="宋体" w:cs="宋体"/>
          <w:color w:val="auto"/>
          <w:sz w:val="24"/>
        </w:rPr>
        <w:t>。</w:t>
      </w:r>
    </w:p>
    <w:p w14:paraId="274E45E4">
      <w:pPr>
        <w:spacing w:line="360" w:lineRule="auto"/>
        <w:ind w:firstLine="480" w:firstLineChars="200"/>
        <w:rPr>
          <w:rFonts w:hint="eastAsia" w:ascii="宋体" w:hAnsi="宋体" w:eastAsia="宋体" w:cs="宋体"/>
          <w:color w:val="auto"/>
          <w:sz w:val="24"/>
          <w:szCs w:val="24"/>
        </w:rPr>
      </w:pPr>
      <w:bookmarkStart w:id="129" w:name="_Toc386638610"/>
      <w:bookmarkStart w:id="130" w:name="_Toc351203636"/>
      <w:r>
        <w:rPr>
          <w:rFonts w:hint="eastAsia" w:ascii="宋体" w:hAnsi="宋体" w:eastAsia="宋体" w:cs="宋体"/>
          <w:color w:val="auto"/>
          <w:sz w:val="24"/>
          <w:szCs w:val="24"/>
        </w:rPr>
        <w:t>3.7 履约担保</w:t>
      </w:r>
    </w:p>
    <w:p w14:paraId="60234BAE">
      <w:pPr>
        <w:spacing w:line="360" w:lineRule="auto"/>
        <w:ind w:firstLine="504" w:firstLineChars="210"/>
        <w:rPr>
          <w:rFonts w:hint="eastAsia" w:ascii="宋体" w:hAnsi="宋体" w:eastAsia="宋体" w:cs="宋体"/>
          <w:color w:val="auto"/>
          <w:sz w:val="24"/>
          <w:szCs w:val="24"/>
        </w:rPr>
      </w:pPr>
      <w:r>
        <w:rPr>
          <w:rFonts w:hint="eastAsia" w:ascii="宋体" w:hAnsi="宋体" w:eastAsia="宋体" w:cs="宋体"/>
          <w:color w:val="auto"/>
          <w:sz w:val="24"/>
          <w:szCs w:val="24"/>
        </w:rPr>
        <w:t>承包人是否提供履约担保：</w:t>
      </w:r>
      <w:r>
        <w:rPr>
          <w:rFonts w:hint="eastAsia" w:ascii="宋体" w:hAnsi="宋体" w:eastAsia="宋体" w:cs="宋体"/>
          <w:color w:val="auto"/>
          <w:sz w:val="24"/>
          <w:szCs w:val="24"/>
          <w:u w:val="single"/>
        </w:rPr>
        <w:t xml:space="preserve">       是      </w:t>
      </w:r>
      <w:r>
        <w:rPr>
          <w:rFonts w:hint="eastAsia" w:ascii="宋体" w:hAnsi="宋体" w:eastAsia="宋体" w:cs="宋体"/>
          <w:color w:val="auto"/>
          <w:sz w:val="24"/>
          <w:szCs w:val="24"/>
        </w:rPr>
        <w:t>。</w:t>
      </w:r>
    </w:p>
    <w:p w14:paraId="69BF4D5F">
      <w:pPr>
        <w:spacing w:line="360" w:lineRule="auto"/>
        <w:ind w:firstLine="504" w:firstLineChars="210"/>
        <w:rPr>
          <w:rFonts w:hint="eastAsia" w:ascii="宋体" w:hAnsi="宋体" w:eastAsia="宋体" w:cs="宋体"/>
          <w:color w:val="auto"/>
          <w:sz w:val="24"/>
          <w:szCs w:val="24"/>
        </w:rPr>
      </w:pPr>
      <w:r>
        <w:rPr>
          <w:rFonts w:hint="eastAsia" w:ascii="宋体" w:hAnsi="宋体" w:eastAsia="宋体" w:cs="宋体"/>
          <w:color w:val="auto"/>
          <w:sz w:val="24"/>
          <w:szCs w:val="24"/>
        </w:rPr>
        <w:t>承包人提供履约担保的形式、金额及期限的约定：</w:t>
      </w:r>
    </w:p>
    <w:p w14:paraId="66FEE04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（1） 按照《关于印发宁海县房屋建筑和市政基础设施工程担保管理办法(试行)的通知》(宁建［2014］67 号)、《转发市住建委关于进一步优化建筑业发展环境减轻建筑企业负担的通知》(宁建发［2017］46 号)、转发《关于开展建设工程综合保险试点工作的通知》、转发市住建局等五部门《关于进一步推进宁波市建设工程综合保险工作的通知》（甬建发【2018】182 号）和《关于公布宁波市建设工程综合保险首席承保人名称的通知》（甬建发【2019】25 号）及《关于在全省工程领域改革保证金制度的通知》（浙建【2020】7号）、宁海县住建局颁发的《关于进一步推动落实建筑业惠企减负政策的通知》的文件规定，合同签订前 7天内承包人向发包人提供符合本合同附件 8《履约保函》格式的银行保函一份或与保险公司签订的履约保证保险合同一份。</w:t>
      </w:r>
    </w:p>
    <w:p w14:paraId="5A57D9F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eastAsia="宋体" w:cs="Times New Roman"/>
          <w:color w:val="auto"/>
          <w:sz w:val="24"/>
          <w:lang w:val="en-US" w:eastAsia="zh-CN"/>
        </w:rPr>
        <w:t>履约担保期限自合同生效之日起至发包人签认并由发包人向承包人出具工程接收证书之日止</w:t>
      </w:r>
      <w:r>
        <w:rPr>
          <w:rFonts w:hint="eastAsia" w:ascii="宋体" w:hAnsi="宋体" w:eastAsia="宋体" w:cs="宋体"/>
          <w:b w:val="0"/>
          <w:bCs/>
          <w:color w:val="auto"/>
          <w:sz w:val="24"/>
          <w:szCs w:val="24"/>
          <w:lang w:val="en-US" w:eastAsia="zh-CN"/>
        </w:rPr>
        <w:t>。</w:t>
      </w:r>
    </w:p>
    <w:p w14:paraId="1EA3A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u w:val="none"/>
        </w:rPr>
        <w:t>（</w:t>
      </w:r>
      <w:r>
        <w:rPr>
          <w:rFonts w:hint="eastAsia" w:ascii="宋体" w:hAnsi="宋体" w:eastAsia="宋体" w:cs="宋体"/>
          <w:b w:val="0"/>
          <w:bCs/>
          <w:color w:val="auto"/>
          <w:kern w:val="0"/>
          <w:sz w:val="24"/>
          <w:szCs w:val="24"/>
          <w:u w:val="none"/>
          <w:lang w:val="en-US" w:eastAsia="zh-CN"/>
        </w:rPr>
        <w:t>3</w:t>
      </w:r>
      <w:r>
        <w:rPr>
          <w:rFonts w:hint="eastAsia" w:ascii="宋体" w:hAnsi="宋体" w:eastAsia="宋体" w:cs="宋体"/>
          <w:b w:val="0"/>
          <w:bCs/>
          <w:color w:val="auto"/>
          <w:kern w:val="0"/>
          <w:sz w:val="24"/>
          <w:szCs w:val="24"/>
          <w:u w:val="none"/>
        </w:rPr>
        <w:t>）</w:t>
      </w:r>
      <w:r>
        <w:rPr>
          <w:rFonts w:hint="eastAsia" w:ascii="宋体" w:hAnsi="宋体" w:eastAsia="宋体" w:cs="宋体"/>
          <w:b w:val="0"/>
          <w:bCs/>
          <w:color w:val="auto"/>
          <w:kern w:val="0"/>
          <w:sz w:val="24"/>
          <w:szCs w:val="24"/>
        </w:rPr>
        <w:t>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677F1D8D">
      <w:pPr>
        <w:pStyle w:val="9"/>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（4）履约担保金额为签约合同价的</w:t>
      </w:r>
      <w:r>
        <w:rPr>
          <w:rFonts w:hint="eastAsia" w:ascii="宋体" w:hAnsi="宋体" w:eastAsia="宋体" w:cs="宋体"/>
          <w:b w:val="0"/>
          <w:bCs/>
          <w:color w:val="auto"/>
          <w:kern w:val="0"/>
          <w:sz w:val="24"/>
          <w:szCs w:val="24"/>
          <w:u w:val="single"/>
          <w:lang w:val="en-US" w:eastAsia="zh-CN" w:bidi="ar-SA"/>
        </w:rPr>
        <w:t xml:space="preserve">  1   </w:t>
      </w:r>
      <w:r>
        <w:rPr>
          <w:rFonts w:hint="eastAsia" w:ascii="宋体" w:hAnsi="宋体" w:eastAsia="宋体" w:cs="宋体"/>
          <w:b w:val="0"/>
          <w:bCs/>
          <w:color w:val="auto"/>
          <w:kern w:val="0"/>
          <w:sz w:val="24"/>
          <w:szCs w:val="24"/>
          <w:lang w:val="en-US" w:eastAsia="zh-CN" w:bidi="ar-SA"/>
        </w:rPr>
        <w:t xml:space="preserve">% </w:t>
      </w:r>
    </w:p>
    <w:p w14:paraId="2BC18D6C">
      <w:pPr>
        <w:pStyle w:val="9"/>
        <w:ind w:firstLine="480" w:firstLineChars="200"/>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（5）履约担保返还期限：在工程竣工验收合格后10日内全额返还。</w:t>
      </w:r>
    </w:p>
    <w:p w14:paraId="565A4F67">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w:t>
      </w:r>
      <w:bookmarkStart w:id="131" w:name="_Toc297120462"/>
      <w:bookmarkStart w:id="132" w:name="_Toc296347161"/>
      <w:bookmarkStart w:id="133" w:name="_Toc292559871"/>
      <w:bookmarkStart w:id="134" w:name="_Toc267251413"/>
      <w:bookmarkStart w:id="135" w:name="_Toc292559366"/>
      <w:bookmarkStart w:id="136" w:name="_Toc296891202"/>
      <w:bookmarkStart w:id="137" w:name="_Toc296944501"/>
      <w:bookmarkStart w:id="138" w:name="_Toc297048348"/>
      <w:bookmarkStart w:id="139" w:name="_Toc296346663"/>
      <w:bookmarkStart w:id="140" w:name="_Toc296890990"/>
      <w:bookmarkStart w:id="141" w:name="_Toc296503162"/>
      <w:r>
        <w:rPr>
          <w:rFonts w:hint="eastAsia" w:ascii="宋体" w:hAnsi="宋体" w:eastAsia="宋体" w:cs="宋体"/>
          <w:b w:val="0"/>
          <w:color w:val="000000"/>
          <w:sz w:val="24"/>
          <w:szCs w:val="24"/>
        </w:rPr>
        <w:t>. 监</w:t>
      </w:r>
      <w:bookmarkEnd w:id="131"/>
      <w:bookmarkEnd w:id="132"/>
      <w:bookmarkEnd w:id="133"/>
      <w:bookmarkEnd w:id="134"/>
      <w:bookmarkEnd w:id="135"/>
      <w:bookmarkEnd w:id="136"/>
      <w:bookmarkEnd w:id="137"/>
      <w:bookmarkEnd w:id="138"/>
      <w:bookmarkEnd w:id="139"/>
      <w:bookmarkEnd w:id="140"/>
      <w:bookmarkEnd w:id="141"/>
      <w:r>
        <w:rPr>
          <w:rFonts w:hint="eastAsia" w:ascii="宋体" w:hAnsi="宋体" w:eastAsia="宋体" w:cs="宋体"/>
          <w:b w:val="0"/>
          <w:color w:val="000000"/>
          <w:sz w:val="24"/>
          <w:szCs w:val="24"/>
        </w:rPr>
        <w:t>理人</w:t>
      </w:r>
      <w:bookmarkEnd w:id="129"/>
      <w:bookmarkEnd w:id="130"/>
    </w:p>
    <w:p w14:paraId="5B99A5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4.1监理人的一般规定</w:t>
      </w:r>
    </w:p>
    <w:p w14:paraId="0E86C7B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3CB4066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 xml:space="preserve">。 </w:t>
      </w:r>
    </w:p>
    <w:p w14:paraId="42546B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11A3572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4.2 监理人员</w:t>
      </w:r>
    </w:p>
    <w:p w14:paraId="5F42810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总监理工程师：</w:t>
      </w:r>
    </w:p>
    <w:p w14:paraId="5A77BE0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476DE4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21634B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1AB816D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2A3E71B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2EE7C06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75CCEEC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45EC0BD9">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4.4 商定或确定：</w:t>
      </w:r>
    </w:p>
    <w:p w14:paraId="72DE0446">
      <w:pPr>
        <w:spacing w:line="360" w:lineRule="auto"/>
        <w:ind w:firstLine="480" w:firstLineChars="200"/>
        <w:rPr>
          <w:rFonts w:hint="eastAsia"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065BBF23">
      <w:pPr>
        <w:pStyle w:val="6"/>
        <w:spacing w:before="0" w:after="0" w:line="360" w:lineRule="auto"/>
        <w:rPr>
          <w:rFonts w:hint="eastAsia" w:ascii="宋体" w:hAnsi="宋体" w:eastAsia="宋体" w:cs="宋体"/>
          <w:b w:val="0"/>
          <w:color w:val="000000"/>
          <w:sz w:val="24"/>
          <w:szCs w:val="24"/>
        </w:rPr>
      </w:pPr>
      <w:bookmarkStart w:id="142" w:name="_Toc267251418"/>
      <w:bookmarkStart w:id="143" w:name="_Toc386638611"/>
      <w:bookmarkStart w:id="144" w:name="_Toc351203637"/>
      <w:r>
        <w:rPr>
          <w:rFonts w:hint="eastAsia" w:ascii="宋体" w:hAnsi="宋体" w:eastAsia="宋体" w:cs="宋体"/>
          <w:b w:val="0"/>
          <w:color w:val="000000"/>
          <w:sz w:val="24"/>
          <w:szCs w:val="24"/>
        </w:rPr>
        <w:t>5</w:t>
      </w:r>
      <w:bookmarkEnd w:id="142"/>
      <w:r>
        <w:rPr>
          <w:rFonts w:hint="eastAsia" w:ascii="宋体" w:hAnsi="宋体" w:eastAsia="宋体" w:cs="宋体"/>
          <w:b w:val="0"/>
          <w:color w:val="000000"/>
          <w:sz w:val="24"/>
          <w:szCs w:val="24"/>
        </w:rPr>
        <w:t>. 工程质量</w:t>
      </w:r>
      <w:bookmarkEnd w:id="143"/>
      <w:bookmarkEnd w:id="144"/>
    </w:p>
    <w:p w14:paraId="41911E8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5.1 质量要求</w:t>
      </w:r>
    </w:p>
    <w:p w14:paraId="4E8A7E43">
      <w:pPr>
        <w:spacing w:line="360" w:lineRule="auto"/>
        <w:ind w:firstLine="480" w:firstLineChars="200"/>
        <w:rPr>
          <w:rFonts w:hint="eastAsia" w:ascii="宋体" w:hAnsi="宋体" w:cs="宋体"/>
          <w:color w:val="000000"/>
          <w:sz w:val="24"/>
          <w:u w:val="single"/>
        </w:rPr>
      </w:pPr>
      <w:r>
        <w:rPr>
          <w:rFonts w:hint="eastAsia" w:ascii="宋体" w:hAnsi="宋体" w:cs="宋体"/>
          <w:bCs/>
          <w:color w:val="000000"/>
          <w:sz w:val="24"/>
        </w:rPr>
        <w:t>5.1.1</w:t>
      </w:r>
      <w:r>
        <w:rPr>
          <w:rFonts w:hint="eastAsia" w:ascii="宋体" w:hAnsi="宋体" w:cs="宋体"/>
          <w:color w:val="000000"/>
          <w:sz w:val="24"/>
          <w:u w:val="none"/>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1D2F237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5</w:t>
      </w:r>
      <w:bookmarkStart w:id="145" w:name="_Toc304295527"/>
      <w:bookmarkStart w:id="146" w:name="_Toc300934949"/>
      <w:bookmarkStart w:id="147" w:name="_Toc303539106"/>
      <w:bookmarkStart w:id="148" w:name="_Toc318581164"/>
      <w:bookmarkStart w:id="149" w:name="_Toc297123496"/>
      <w:bookmarkStart w:id="150" w:name="_Toc297216155"/>
      <w:bookmarkStart w:id="151" w:name="_Toc312677997"/>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5D639714">
      <w:pPr>
        <w:spacing w:line="360" w:lineRule="auto"/>
        <w:ind w:firstLine="600" w:firstLineChars="250"/>
        <w:jc w:val="left"/>
        <w:rPr>
          <w:rFonts w:hint="eastAsia"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767833C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5.3 隐蔽工程检查</w:t>
      </w:r>
    </w:p>
    <w:p w14:paraId="1512E86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5.3.2承包人提前通知监理人隐蔽工程检查的期限的约定：</w:t>
      </w:r>
      <w:r>
        <w:rPr>
          <w:rFonts w:hint="eastAsia" w:ascii="宋体" w:hAnsi="宋体" w:cs="宋体"/>
          <w:color w:val="000000"/>
          <w:sz w:val="24"/>
          <w:u w:val="single"/>
        </w:rPr>
        <w:t xml:space="preserve">承包人应在共同检查前48小时书面通知监理人检查 </w:t>
      </w:r>
      <w:r>
        <w:rPr>
          <w:rFonts w:hint="eastAsia" w:ascii="宋体" w:hAnsi="宋体" w:cs="宋体"/>
          <w:color w:val="000000"/>
          <w:sz w:val="24"/>
        </w:rPr>
        <w:t>。</w:t>
      </w:r>
    </w:p>
    <w:p w14:paraId="5AE9168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645A20B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 xml:space="preserve"> 48</w:t>
      </w:r>
      <w:r>
        <w:rPr>
          <w:rFonts w:hint="eastAsia" w:ascii="宋体" w:hAnsi="宋体" w:cs="宋体"/>
          <w:color w:val="000000"/>
          <w:sz w:val="24"/>
        </w:rPr>
        <w:t>小时。</w:t>
      </w:r>
    </w:p>
    <w:p w14:paraId="57741719">
      <w:pPr>
        <w:pStyle w:val="6"/>
        <w:spacing w:before="0" w:after="0" w:line="360" w:lineRule="auto"/>
        <w:rPr>
          <w:rFonts w:hint="eastAsia" w:ascii="宋体" w:hAnsi="宋体" w:eastAsia="宋体" w:cs="宋体"/>
          <w:b w:val="0"/>
          <w:color w:val="000000"/>
          <w:sz w:val="24"/>
          <w:szCs w:val="24"/>
        </w:rPr>
      </w:pPr>
      <w:bookmarkStart w:id="152" w:name="_Toc386638612"/>
      <w:bookmarkStart w:id="153" w:name="_Toc351203638"/>
      <w:r>
        <w:rPr>
          <w:rFonts w:hint="eastAsia" w:ascii="宋体" w:hAnsi="宋体" w:eastAsia="宋体" w:cs="宋体"/>
          <w:b w:val="0"/>
          <w:color w:val="000000"/>
          <w:sz w:val="24"/>
          <w:szCs w:val="24"/>
        </w:rPr>
        <w:t>6. 安全文明施工与环境保护</w:t>
      </w:r>
      <w:bookmarkEnd w:id="152"/>
      <w:bookmarkEnd w:id="153"/>
    </w:p>
    <w:p w14:paraId="4E9F8290">
      <w:pPr>
        <w:spacing w:line="360" w:lineRule="auto"/>
        <w:ind w:firstLine="480" w:firstLineChars="200"/>
        <w:rPr>
          <w:rFonts w:hint="eastAsia" w:ascii="宋体" w:hAnsi="宋体" w:cs="宋体"/>
          <w:color w:val="auto"/>
          <w:sz w:val="24"/>
        </w:rPr>
      </w:pPr>
      <w:r>
        <w:rPr>
          <w:rFonts w:hint="eastAsia" w:ascii="宋体" w:hAnsi="宋体" w:cs="宋体"/>
          <w:color w:val="auto"/>
          <w:sz w:val="24"/>
        </w:rPr>
        <w:t>6.1安全文明施工</w:t>
      </w:r>
    </w:p>
    <w:p w14:paraId="16978DD3">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6.1.1 项目安全生产的达标目标及相应事项的约定：</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承包人须对合同范围内所有施工和施工人员全部安全负责，承包人应严格按</w:t>
      </w:r>
      <w:r>
        <w:rPr>
          <w:rFonts w:hint="eastAsia" w:ascii="宋体" w:hAnsi="宋体" w:eastAsia="宋体" w:cs="宋体"/>
          <w:color w:val="auto"/>
          <w:sz w:val="24"/>
          <w:u w:val="single"/>
          <w:lang w:val="en-US" w:eastAsia="zh-CN"/>
        </w:rPr>
        <w:t>《建设工程安全生产管理条例》等法律、工程建设安全生产地的有关管理规定，采取安全措施组织施工。若发生安全事故，一切责任及损失均由承包方承担</w:t>
      </w:r>
      <w:r>
        <w:rPr>
          <w:rFonts w:hint="eastAsia" w:ascii="宋体" w:hAnsi="宋体" w:cs="宋体"/>
          <w:color w:val="auto"/>
          <w:sz w:val="24"/>
          <w:u w:val="single"/>
        </w:rPr>
        <w:t xml:space="preserve"> </w:t>
      </w:r>
      <w:r>
        <w:rPr>
          <w:rFonts w:hint="eastAsia" w:ascii="宋体" w:hAnsi="宋体" w:cs="宋体"/>
          <w:color w:val="auto"/>
          <w:sz w:val="24"/>
        </w:rPr>
        <w:t>。</w:t>
      </w:r>
    </w:p>
    <w:p w14:paraId="2100F9DE">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6.1.4 关于治安保卫的特别约定：</w:t>
      </w:r>
      <w:r>
        <w:rPr>
          <w:rFonts w:hint="eastAsia" w:ascii="宋体" w:hAnsi="宋体" w:cs="宋体"/>
          <w:color w:val="auto"/>
          <w:sz w:val="24"/>
          <w:u w:val="single"/>
        </w:rPr>
        <w:t xml:space="preserve">         /             </w:t>
      </w:r>
      <w:r>
        <w:rPr>
          <w:rFonts w:hint="eastAsia" w:ascii="宋体" w:hAnsi="宋体" w:cs="宋体"/>
          <w:color w:val="auto"/>
          <w:sz w:val="24"/>
        </w:rPr>
        <w:t>。</w:t>
      </w:r>
    </w:p>
    <w:p w14:paraId="38DAA5A3">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关于编制施工场地治安管理计划的约定：</w:t>
      </w:r>
      <w:r>
        <w:rPr>
          <w:rFonts w:hint="eastAsia" w:ascii="宋体" w:hAnsi="宋体" w:cs="宋体"/>
          <w:color w:val="auto"/>
          <w:sz w:val="24"/>
          <w:u w:val="single"/>
        </w:rPr>
        <w:t xml:space="preserve">         /       </w:t>
      </w:r>
      <w:r>
        <w:rPr>
          <w:rFonts w:hint="eastAsia" w:ascii="宋体" w:hAnsi="宋体" w:cs="宋体"/>
          <w:color w:val="auto"/>
          <w:sz w:val="24"/>
        </w:rPr>
        <w:t>。</w:t>
      </w:r>
    </w:p>
    <w:p w14:paraId="40FC28AF">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6.1.5 文明施工</w:t>
      </w:r>
    </w:p>
    <w:p w14:paraId="38F19159">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合同当事人对文明施工的要求：</w:t>
      </w:r>
      <w:r>
        <w:rPr>
          <w:rFonts w:hint="eastAsia" w:ascii="宋体" w:hAnsi="宋体" w:cs="宋体"/>
          <w:color w:val="auto"/>
          <w:sz w:val="24"/>
          <w:u w:val="single"/>
        </w:rPr>
        <w:t>按《宁波市建设工程文明施工管理规定》(宁波市政府令第195号)、《</w:t>
      </w:r>
      <w:r>
        <w:rPr>
          <w:rFonts w:hint="eastAsia" w:ascii="宋体" w:hAnsi="宋体" w:cs="宋体"/>
          <w:color w:val="auto"/>
          <w:sz w:val="24"/>
          <w:u w:val="single"/>
          <w:lang w:val="en-US" w:eastAsia="zh-CN"/>
        </w:rPr>
        <w:t>宁海县人民政府办公室关于印发宁海县扬尘污染防治暂行管理办法</w:t>
      </w:r>
      <w:r>
        <w:rPr>
          <w:rFonts w:hint="eastAsia" w:ascii="宋体" w:hAnsi="宋体" w:cs="宋体"/>
          <w:color w:val="auto"/>
          <w:sz w:val="24"/>
          <w:u w:val="single"/>
        </w:rPr>
        <w:t>的通知》(宁</w:t>
      </w:r>
      <w:r>
        <w:rPr>
          <w:rFonts w:hint="eastAsia" w:ascii="宋体" w:hAnsi="宋体" w:cs="宋体"/>
          <w:color w:val="auto"/>
          <w:sz w:val="24"/>
          <w:u w:val="single"/>
          <w:lang w:val="en-US" w:eastAsia="zh-CN"/>
        </w:rPr>
        <w:t>政办发</w:t>
      </w:r>
      <w:r>
        <w:rPr>
          <w:rFonts w:hint="eastAsia" w:ascii="宋体" w:hAnsi="宋体" w:cs="宋体"/>
          <w:color w:val="auto"/>
          <w:sz w:val="24"/>
          <w:u w:val="single"/>
        </w:rPr>
        <w:t>［20</w:t>
      </w:r>
      <w:r>
        <w:rPr>
          <w:rFonts w:hint="eastAsia" w:ascii="宋体" w:hAnsi="宋体" w:cs="宋体"/>
          <w:color w:val="auto"/>
          <w:sz w:val="24"/>
          <w:u w:val="single"/>
          <w:lang w:val="en-US" w:eastAsia="zh-CN"/>
        </w:rPr>
        <w:t>20</w:t>
      </w:r>
      <w:r>
        <w:rPr>
          <w:rFonts w:hint="eastAsia" w:ascii="宋体" w:hAnsi="宋体" w:cs="宋体"/>
          <w:color w:val="auto"/>
          <w:sz w:val="24"/>
          <w:u w:val="single"/>
        </w:rPr>
        <w:t>］</w:t>
      </w:r>
      <w:r>
        <w:rPr>
          <w:rFonts w:hint="eastAsia" w:ascii="宋体" w:hAnsi="宋体" w:cs="宋体"/>
          <w:color w:val="auto"/>
          <w:sz w:val="24"/>
          <w:u w:val="single"/>
          <w:lang w:val="en-US" w:eastAsia="zh-CN"/>
        </w:rPr>
        <w:t>32</w:t>
      </w:r>
      <w:r>
        <w:rPr>
          <w:rFonts w:hint="eastAsia" w:ascii="宋体" w:hAnsi="宋体" w:cs="宋体"/>
          <w:color w:val="auto"/>
          <w:sz w:val="24"/>
          <w:u w:val="single"/>
        </w:rPr>
        <w:t>号)</w:t>
      </w:r>
      <w:r>
        <w:rPr>
          <w:rFonts w:hint="eastAsia" w:ascii="宋体" w:hAnsi="宋体" w:cs="宋体"/>
          <w:color w:val="auto"/>
          <w:sz w:val="24"/>
          <w:u w:val="single"/>
          <w:lang w:val="en-US" w:eastAsia="zh-CN"/>
        </w:rPr>
        <w:t>等</w:t>
      </w:r>
      <w:r>
        <w:rPr>
          <w:rFonts w:hint="eastAsia" w:ascii="宋体" w:hAnsi="宋体" w:cs="宋体"/>
          <w:color w:val="auto"/>
          <w:sz w:val="24"/>
          <w:u w:val="single"/>
        </w:rPr>
        <w:t xml:space="preserve">文件要求执行  </w:t>
      </w:r>
      <w:r>
        <w:rPr>
          <w:rFonts w:hint="eastAsia" w:ascii="宋体" w:hAnsi="宋体" w:cs="宋体"/>
          <w:color w:val="auto"/>
          <w:sz w:val="24"/>
        </w:rPr>
        <w:t>。</w:t>
      </w:r>
    </w:p>
    <w:p w14:paraId="1EF37D62">
      <w:pPr>
        <w:spacing w:line="360" w:lineRule="auto"/>
        <w:ind w:firstLine="480" w:firstLineChars="200"/>
        <w:jc w:val="left"/>
        <w:rPr>
          <w:rFonts w:hint="eastAsia" w:ascii="宋体" w:hAnsi="宋体" w:cs="宋体"/>
          <w:color w:val="000000"/>
          <w:sz w:val="24"/>
        </w:rPr>
      </w:pPr>
      <w:r>
        <w:rPr>
          <w:rFonts w:hint="eastAsia" w:ascii="宋体" w:hAnsi="宋体" w:cs="宋体"/>
          <w:color w:val="auto"/>
          <w:sz w:val="24"/>
        </w:rPr>
        <w:t>6.1.6 关于安全文明施工费支付比例和支付期限的约定：</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000000"/>
          <w:sz w:val="24"/>
        </w:rPr>
        <w:t>。</w:t>
      </w:r>
    </w:p>
    <w:bookmarkEnd w:id="145"/>
    <w:bookmarkEnd w:id="146"/>
    <w:bookmarkEnd w:id="147"/>
    <w:bookmarkEnd w:id="148"/>
    <w:bookmarkEnd w:id="149"/>
    <w:bookmarkEnd w:id="150"/>
    <w:bookmarkEnd w:id="151"/>
    <w:p w14:paraId="5368E71A">
      <w:pPr>
        <w:pStyle w:val="6"/>
        <w:spacing w:before="0" w:after="0" w:line="360" w:lineRule="auto"/>
        <w:rPr>
          <w:rFonts w:hint="eastAsia" w:ascii="宋体" w:hAnsi="宋体" w:eastAsia="宋体" w:cs="宋体"/>
          <w:b w:val="0"/>
          <w:color w:val="000000"/>
          <w:sz w:val="24"/>
          <w:szCs w:val="24"/>
        </w:rPr>
      </w:pPr>
      <w:bookmarkStart w:id="154" w:name="_Toc351203639"/>
      <w:bookmarkStart w:id="155" w:name="_Toc386638613"/>
      <w:r>
        <w:rPr>
          <w:rFonts w:hint="eastAsia" w:ascii="宋体" w:hAnsi="宋体" w:eastAsia="宋体" w:cs="宋体"/>
          <w:b w:val="0"/>
          <w:color w:val="000000"/>
          <w:sz w:val="24"/>
          <w:szCs w:val="24"/>
        </w:rPr>
        <w:t>7. 工期和进度</w:t>
      </w:r>
      <w:bookmarkEnd w:id="154"/>
      <w:bookmarkEnd w:id="155"/>
    </w:p>
    <w:p w14:paraId="775C7050">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7.1 施工组织设计</w:t>
      </w:r>
    </w:p>
    <w:p w14:paraId="4191659B">
      <w:pPr>
        <w:autoSpaceDE w:val="0"/>
        <w:autoSpaceDN w:val="0"/>
        <w:adjustRightInd w:val="0"/>
        <w:spacing w:line="360" w:lineRule="auto"/>
        <w:ind w:firstLine="504" w:firstLineChars="210"/>
        <w:jc w:val="left"/>
        <w:rPr>
          <w:rFonts w:hint="eastAsia"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0DCA3A08">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7.1.2 施工组织设计的提交和修改</w:t>
      </w:r>
    </w:p>
    <w:p w14:paraId="32197BE9">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 xml:space="preserve">合同签订后14天内，但至迟不得晚于开工前7天 </w:t>
      </w:r>
      <w:r>
        <w:rPr>
          <w:rFonts w:hint="eastAsia" w:ascii="宋体" w:hAnsi="宋体" w:cs="宋体"/>
          <w:color w:val="000000"/>
          <w:sz w:val="24"/>
        </w:rPr>
        <w:t>。</w:t>
      </w:r>
    </w:p>
    <w:p w14:paraId="70F6709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204415CB">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w:t>
      </w:r>
      <w:bookmarkStart w:id="156" w:name="_Toc312677479"/>
      <w:bookmarkStart w:id="157" w:name="_Toc297123514"/>
      <w:bookmarkStart w:id="158" w:name="_Toc303539123"/>
      <w:bookmarkStart w:id="159" w:name="_Toc304295541"/>
      <w:bookmarkStart w:id="160" w:name="_Toc300934966"/>
      <w:bookmarkStart w:id="161" w:name="_Toc297216173"/>
      <w:bookmarkStart w:id="162" w:name="_Toc312678005"/>
      <w:r>
        <w:rPr>
          <w:rFonts w:hint="eastAsia" w:ascii="宋体" w:hAnsi="宋体" w:cs="宋体"/>
          <w:color w:val="000000"/>
          <w:sz w:val="24"/>
        </w:rPr>
        <w:t>.2 施工进度计划</w:t>
      </w:r>
    </w:p>
    <w:p w14:paraId="7EE11F27">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7.2.2 施工进度计划的修订</w:t>
      </w:r>
    </w:p>
    <w:p w14:paraId="74881B0A">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670B4B9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7.3 开工</w:t>
      </w:r>
    </w:p>
    <w:p w14:paraId="129FF6A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7.3.1 开工准备</w:t>
      </w:r>
    </w:p>
    <w:p w14:paraId="0710349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发包人应按约定完成开工准备工作。</w:t>
      </w:r>
    </w:p>
    <w:p w14:paraId="293F596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7.3.2开工通知</w:t>
      </w:r>
    </w:p>
    <w:p w14:paraId="63B1E952">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156"/>
    <w:bookmarkEnd w:id="157"/>
    <w:bookmarkEnd w:id="158"/>
    <w:bookmarkEnd w:id="159"/>
    <w:bookmarkEnd w:id="160"/>
    <w:bookmarkEnd w:id="161"/>
    <w:bookmarkEnd w:id="162"/>
    <w:p w14:paraId="06C556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7.4 测量放线</w:t>
      </w:r>
    </w:p>
    <w:p w14:paraId="44521BB3">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7.4.1发包人通过监理人向承包人提供测量基准点、基准线和水准点及其书面资料的期限：</w:t>
      </w:r>
      <w:r>
        <w:rPr>
          <w:rFonts w:hint="eastAsia" w:ascii="宋体" w:hAnsi="宋体" w:cs="宋体"/>
          <w:color w:val="000000"/>
          <w:sz w:val="24"/>
          <w:u w:val="single"/>
        </w:rPr>
        <w:t xml:space="preserve">不得晚于开工通知中载明的开工日期前7天 </w:t>
      </w:r>
      <w:r>
        <w:rPr>
          <w:rFonts w:hint="eastAsia" w:ascii="宋体" w:hAnsi="宋体" w:cs="宋体"/>
          <w:color w:val="000000"/>
          <w:sz w:val="24"/>
        </w:rPr>
        <w:t>。</w:t>
      </w:r>
    </w:p>
    <w:p w14:paraId="1C33361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163" w:name="_Toc312677484"/>
      <w:bookmarkStart w:id="164" w:name="_Toc303539125"/>
      <w:bookmarkStart w:id="165" w:name="_Toc304295546"/>
      <w:bookmarkStart w:id="166" w:name="_Toc300934968"/>
      <w:bookmarkStart w:id="167" w:name="_Toc297216175"/>
      <w:bookmarkStart w:id="168" w:name="_Toc312678010"/>
      <w:bookmarkStart w:id="169" w:name="_Toc297123516"/>
      <w:r>
        <w:rPr>
          <w:rFonts w:hint="eastAsia" w:ascii="宋体" w:hAnsi="宋体" w:cs="宋体"/>
          <w:color w:val="000000"/>
          <w:sz w:val="24"/>
        </w:rPr>
        <w:t>.5 工期延误</w:t>
      </w:r>
    </w:p>
    <w:bookmarkEnd w:id="163"/>
    <w:bookmarkEnd w:id="164"/>
    <w:bookmarkEnd w:id="165"/>
    <w:bookmarkEnd w:id="166"/>
    <w:bookmarkEnd w:id="167"/>
    <w:bookmarkEnd w:id="168"/>
    <w:bookmarkEnd w:id="169"/>
    <w:p w14:paraId="13B80A68">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7.5.1 因发包人原因导致工期延误</w:t>
      </w:r>
    </w:p>
    <w:p w14:paraId="388EDA93">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28957EAB">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w:t>
      </w:r>
      <w:bookmarkStart w:id="170" w:name="_Toc312677486"/>
      <w:bookmarkStart w:id="171" w:name="_Toc312678012"/>
      <w:bookmarkStart w:id="172" w:name="_Toc318581169"/>
      <w:bookmarkStart w:id="173" w:name="_Toc300934970"/>
      <w:bookmarkStart w:id="174" w:name="_Toc297123518"/>
      <w:bookmarkStart w:id="175" w:name="_Toc297216177"/>
      <w:bookmarkStart w:id="176" w:name="_Toc303539127"/>
      <w:bookmarkStart w:id="177" w:name="_Toc304295548"/>
      <w:r>
        <w:rPr>
          <w:rFonts w:hint="eastAsia" w:ascii="宋体" w:hAnsi="宋体" w:cs="宋体"/>
          <w:color w:val="000000"/>
          <w:sz w:val="24"/>
        </w:rPr>
        <w:t>.5.2 因承包人原因导致工期延误</w:t>
      </w:r>
    </w:p>
    <w:bookmarkEnd w:id="170"/>
    <w:bookmarkEnd w:id="171"/>
    <w:bookmarkEnd w:id="172"/>
    <w:p w14:paraId="7D89A8CC">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因</w:t>
      </w:r>
      <w:bookmarkStart w:id="178" w:name="_Toc312678013"/>
      <w:bookmarkStart w:id="179" w:name="_Toc312677487"/>
      <w:bookmarkStart w:id="180"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highlight w:val="none"/>
        </w:rPr>
        <w:t>：</w:t>
      </w:r>
      <w:r>
        <w:rPr>
          <w:rFonts w:hint="eastAsia" w:ascii="宋体" w:hAnsi="宋体" w:cs="宋体"/>
          <w:color w:val="000000"/>
          <w:sz w:val="24"/>
          <w:highlight w:val="none"/>
          <w:u w:val="single"/>
        </w:rPr>
        <w:t>5000元/</w:t>
      </w:r>
      <w:r>
        <w:rPr>
          <w:rFonts w:hint="eastAsia" w:ascii="宋体" w:hAnsi="宋体" w:cs="宋体"/>
          <w:color w:val="000000"/>
          <w:sz w:val="24"/>
          <w:u w:val="single"/>
        </w:rPr>
        <w:t>天</w:t>
      </w:r>
      <w:r>
        <w:rPr>
          <w:rFonts w:hint="eastAsia" w:ascii="宋体" w:hAnsi="宋体" w:cs="宋体"/>
          <w:color w:val="000000"/>
          <w:sz w:val="24"/>
        </w:rPr>
        <w:t>。</w:t>
      </w:r>
      <w:bookmarkEnd w:id="173"/>
      <w:bookmarkEnd w:id="174"/>
      <w:bookmarkEnd w:id="175"/>
      <w:bookmarkEnd w:id="176"/>
      <w:bookmarkEnd w:id="177"/>
      <w:bookmarkEnd w:id="178"/>
      <w:bookmarkEnd w:id="179"/>
    </w:p>
    <w:bookmarkEnd w:id="180"/>
    <w:p w14:paraId="735B6180">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因承包人原因造成工期延误，逾</w:t>
      </w:r>
      <w:bookmarkStart w:id="181" w:name="_Toc312678014"/>
      <w:bookmarkStart w:id="182" w:name="_Toc318581171"/>
      <w:r>
        <w:rPr>
          <w:rFonts w:hint="eastAsia" w:ascii="宋体" w:hAnsi="宋体" w:cs="宋体"/>
          <w:color w:val="000000"/>
          <w:sz w:val="24"/>
        </w:rPr>
        <w:t>期竣工违约金的上限：</w:t>
      </w:r>
      <w:r>
        <w:rPr>
          <w:rFonts w:hint="eastAsia" w:ascii="宋体" w:hAnsi="宋体" w:cs="宋体"/>
          <w:color w:val="000000"/>
          <w:sz w:val="24"/>
          <w:u w:val="single"/>
        </w:rPr>
        <w:t xml:space="preserve">  </w:t>
      </w:r>
      <w:r>
        <w:rPr>
          <w:rFonts w:hint="eastAsia" w:ascii="宋体" w:hAnsi="宋体"/>
          <w:color w:val="000000"/>
          <w:sz w:val="24"/>
          <w:u w:val="single"/>
        </w:rPr>
        <w:t>合同价款的3%</w:t>
      </w:r>
      <w:r>
        <w:rPr>
          <w:rFonts w:hint="eastAsia" w:ascii="宋体" w:hAnsi="宋体" w:cs="宋体"/>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p>
    <w:bookmarkEnd w:id="181"/>
    <w:bookmarkEnd w:id="182"/>
    <w:p w14:paraId="5D1493F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w:t>
      </w:r>
      <w:bookmarkStart w:id="183" w:name="_Toc297216178"/>
      <w:bookmarkStart w:id="184" w:name="_Toc303539128"/>
      <w:bookmarkStart w:id="185" w:name="_Toc304295549"/>
      <w:bookmarkStart w:id="186" w:name="_Toc300934971"/>
      <w:bookmarkStart w:id="187" w:name="_Toc297123519"/>
      <w:bookmarkStart w:id="188" w:name="_Toc312678015"/>
      <w:r>
        <w:rPr>
          <w:rFonts w:hint="eastAsia" w:ascii="宋体" w:hAnsi="宋体" w:cs="宋体"/>
          <w:color w:val="000000"/>
          <w:sz w:val="24"/>
        </w:rPr>
        <w:t>.6 不</w:t>
      </w:r>
      <w:bookmarkEnd w:id="183"/>
      <w:bookmarkEnd w:id="184"/>
      <w:bookmarkEnd w:id="185"/>
      <w:bookmarkEnd w:id="186"/>
      <w:bookmarkEnd w:id="187"/>
      <w:bookmarkEnd w:id="188"/>
      <w:r>
        <w:rPr>
          <w:rFonts w:hint="eastAsia" w:ascii="宋体" w:hAnsi="宋体" w:cs="宋体"/>
          <w:color w:val="000000"/>
          <w:sz w:val="24"/>
        </w:rPr>
        <w:t>利物质条件</w:t>
      </w:r>
    </w:p>
    <w:p w14:paraId="14CED311">
      <w:pPr>
        <w:spacing w:line="360" w:lineRule="auto"/>
        <w:ind w:firstLine="360" w:firstLineChars="150"/>
        <w:jc w:val="left"/>
        <w:rPr>
          <w:rFonts w:hint="eastAsia" w:ascii="宋体" w:hAnsi="宋体" w:cs="宋体"/>
          <w:color w:val="000000"/>
          <w:sz w:val="24"/>
          <w:u w:val="single"/>
        </w:rPr>
      </w:pPr>
      <w:bookmarkStart w:id="189" w:name="_Toc312678016"/>
      <w:bookmarkStart w:id="190" w:name="_Toc304295550"/>
      <w:bookmarkStart w:id="191" w:name="_Toc297216179"/>
      <w:bookmarkStart w:id="192" w:name="_Toc303539129"/>
      <w:bookmarkStart w:id="193" w:name="_Toc297123520"/>
      <w:bookmarkStart w:id="194" w:name="_Toc300934972"/>
      <w:bookmarkStart w:id="195" w:name="_Toc318581172"/>
      <w:r>
        <w:rPr>
          <w:rFonts w:hint="eastAsia" w:ascii="宋体" w:hAnsi="宋体" w:cs="宋体"/>
          <w:color w:val="000000"/>
          <w:sz w:val="24"/>
        </w:rPr>
        <w:t>不利物质条件的其他情形和有关约定：</w:t>
      </w:r>
      <w:bookmarkEnd w:id="189"/>
      <w:bookmarkEnd w:id="190"/>
      <w:bookmarkEnd w:id="191"/>
      <w:bookmarkEnd w:id="192"/>
      <w:bookmarkEnd w:id="193"/>
      <w:bookmarkEnd w:id="194"/>
      <w:bookmarkEnd w:id="195"/>
      <w:r>
        <w:rPr>
          <w:rFonts w:hint="eastAsia" w:ascii="宋体" w:hAnsi="宋体" w:cs="宋体"/>
          <w:color w:val="000000"/>
          <w:sz w:val="24"/>
          <w:u w:val="single"/>
        </w:rPr>
        <w:t xml:space="preserve">            /              </w:t>
      </w:r>
      <w:r>
        <w:rPr>
          <w:rFonts w:hint="eastAsia" w:ascii="宋体" w:hAnsi="宋体" w:cs="宋体"/>
          <w:color w:val="000000"/>
          <w:sz w:val="24"/>
        </w:rPr>
        <w:t>。</w:t>
      </w:r>
    </w:p>
    <w:p w14:paraId="6072E53D">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w:t>
      </w:r>
      <w:bookmarkStart w:id="196" w:name="_Toc300934973"/>
      <w:bookmarkStart w:id="197" w:name="_Toc297123521"/>
      <w:bookmarkStart w:id="198" w:name="_Toc297216180"/>
      <w:bookmarkStart w:id="199" w:name="_Toc304295551"/>
      <w:bookmarkStart w:id="200" w:name="_Toc303539130"/>
      <w:bookmarkStart w:id="201" w:name="_Toc312678017"/>
      <w:r>
        <w:rPr>
          <w:rFonts w:hint="eastAsia" w:ascii="宋体" w:hAnsi="宋体" w:cs="宋体"/>
          <w:color w:val="000000"/>
          <w:sz w:val="24"/>
        </w:rPr>
        <w:t>.7异常恶劣的气候条件</w:t>
      </w:r>
      <w:bookmarkEnd w:id="196"/>
      <w:bookmarkEnd w:id="197"/>
      <w:bookmarkEnd w:id="198"/>
      <w:bookmarkEnd w:id="199"/>
      <w:bookmarkEnd w:id="200"/>
      <w:bookmarkEnd w:id="201"/>
    </w:p>
    <w:p w14:paraId="1475F9AC">
      <w:pPr>
        <w:spacing w:line="360" w:lineRule="auto"/>
        <w:ind w:firstLine="480" w:firstLineChars="200"/>
        <w:jc w:val="left"/>
        <w:rPr>
          <w:rFonts w:hint="eastAsia" w:ascii="宋体" w:hAnsi="宋体" w:eastAsia="宋体" w:cs="宋体"/>
          <w:sz w:val="24"/>
          <w:lang w:val="en-US" w:eastAsia="zh-CN"/>
        </w:rPr>
      </w:pPr>
      <w:r>
        <w:rPr>
          <w:rFonts w:hint="eastAsia" w:ascii="宋体" w:hAnsi="宋体" w:cs="宋体"/>
          <w:sz w:val="24"/>
        </w:rPr>
        <w:t>发包人和承包人同意以下情形视为异常恶劣的气候条件：</w:t>
      </w:r>
      <w:r>
        <w:rPr>
          <w:rFonts w:hint="eastAsia" w:ascii="宋体" w:hAnsi="宋体" w:cs="宋体"/>
          <w:sz w:val="24"/>
          <w:lang w:val="en-US" w:eastAsia="zh-CN"/>
        </w:rPr>
        <w:t>/</w:t>
      </w:r>
    </w:p>
    <w:p w14:paraId="33DEAB05">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7.9 提前竣工的奖励</w:t>
      </w:r>
    </w:p>
    <w:p w14:paraId="221335AD">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7.9.2提前竣工的奖励：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016A0D7F">
      <w:pPr>
        <w:pStyle w:val="6"/>
        <w:keepNext w:val="0"/>
        <w:keepLines w:val="0"/>
        <w:spacing w:before="0" w:after="0" w:line="360" w:lineRule="auto"/>
        <w:rPr>
          <w:rFonts w:hint="eastAsia" w:ascii="宋体" w:hAnsi="宋体" w:eastAsia="宋体" w:cs="宋体"/>
          <w:b w:val="0"/>
          <w:color w:val="000000"/>
          <w:sz w:val="24"/>
          <w:szCs w:val="24"/>
        </w:rPr>
      </w:pPr>
      <w:bookmarkStart w:id="202" w:name="_Toc386638614"/>
      <w:bookmarkStart w:id="203" w:name="_Toc351203640"/>
      <w:r>
        <w:rPr>
          <w:rFonts w:hint="eastAsia" w:ascii="宋体" w:hAnsi="宋体" w:eastAsia="宋体" w:cs="宋体"/>
          <w:b w:val="0"/>
          <w:color w:val="000000"/>
          <w:sz w:val="24"/>
          <w:szCs w:val="24"/>
        </w:rPr>
        <w:t>8. 材料与设备</w:t>
      </w:r>
      <w:bookmarkEnd w:id="202"/>
      <w:bookmarkEnd w:id="203"/>
    </w:p>
    <w:bookmarkEnd w:id="37"/>
    <w:bookmarkEnd w:id="38"/>
    <w:bookmarkEnd w:id="39"/>
    <w:bookmarkEnd w:id="40"/>
    <w:bookmarkEnd w:id="41"/>
    <w:bookmarkEnd w:id="42"/>
    <w:bookmarkEnd w:id="43"/>
    <w:bookmarkEnd w:id="44"/>
    <w:bookmarkEnd w:id="45"/>
    <w:bookmarkEnd w:id="46"/>
    <w:p w14:paraId="6EFD3712">
      <w:pPr>
        <w:spacing w:line="480" w:lineRule="exact"/>
        <w:ind w:firstLine="480" w:firstLineChars="200"/>
        <w:rPr>
          <w:rFonts w:hint="eastAsia" w:ascii="宋体" w:hAnsi="宋体"/>
          <w:color w:val="auto"/>
          <w:sz w:val="24"/>
        </w:rPr>
      </w:pPr>
      <w:r>
        <w:rPr>
          <w:rFonts w:hint="eastAsia" w:ascii="宋体" w:hAnsi="宋体"/>
          <w:color w:val="auto"/>
          <w:sz w:val="24"/>
        </w:rPr>
        <w:t>8.2承包人采购材料与工程设备：</w:t>
      </w:r>
    </w:p>
    <w:p w14:paraId="646A0E54">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1</w:t>
      </w:r>
      <w:r>
        <w:rPr>
          <w:rFonts w:hint="eastAsia" w:ascii="宋体" w:hAnsi="宋体" w:cs="宋体"/>
          <w:color w:val="auto"/>
          <w:sz w:val="24"/>
          <w:u w:val="single"/>
          <w:lang w:eastAsia="zh-CN"/>
        </w:rPr>
        <w:t>）</w:t>
      </w:r>
      <w:r>
        <w:rPr>
          <w:rFonts w:hint="eastAsia" w:ascii="宋体" w:hAnsi="宋体" w:cs="宋体"/>
          <w:color w:val="auto"/>
          <w:sz w:val="24"/>
          <w:u w:val="single"/>
        </w:rPr>
        <w:t>所有材料、设备均由承包人自行采购。承包人所采购的材料设备应与投标时注明的设备、材料、品牌、生产厂家、产地、规格、型号、性能等相符。</w:t>
      </w:r>
    </w:p>
    <w:p w14:paraId="3739D4CF">
      <w:pPr>
        <w:spacing w:line="480" w:lineRule="exact"/>
        <w:ind w:firstLine="480" w:firstLineChars="200"/>
        <w:rPr>
          <w:rFonts w:hint="eastAsia" w:ascii="宋体" w:hAnsi="宋体"/>
          <w:color w:val="auto"/>
          <w:sz w:val="24"/>
          <w:u w:val="single"/>
        </w:rPr>
      </w:pPr>
      <w:r>
        <w:rPr>
          <w:rFonts w:hint="eastAsia" w:ascii="宋体" w:hAnsi="宋体"/>
          <w:color w:val="auto"/>
          <w:sz w:val="24"/>
          <w:u w:val="single"/>
          <w:lang w:eastAsia="zh-CN"/>
        </w:rPr>
        <w:t>（</w:t>
      </w:r>
      <w:r>
        <w:rPr>
          <w:rFonts w:hint="eastAsia" w:ascii="宋体" w:hAnsi="宋体"/>
          <w:color w:val="auto"/>
          <w:sz w:val="24"/>
          <w:u w:val="single"/>
          <w:lang w:val="en-US" w:eastAsia="zh-CN"/>
        </w:rPr>
        <w:t>2</w:t>
      </w:r>
      <w:r>
        <w:rPr>
          <w:rFonts w:hint="eastAsia" w:ascii="宋体" w:hAnsi="宋体"/>
          <w:color w:val="auto"/>
          <w:sz w:val="24"/>
          <w:u w:val="single"/>
          <w:lang w:eastAsia="zh-CN"/>
        </w:rPr>
        <w:t>）</w:t>
      </w:r>
      <w:r>
        <w:rPr>
          <w:rFonts w:hint="eastAsia" w:ascii="宋体" w:hAnsi="宋体"/>
          <w:color w:val="auto"/>
          <w:sz w:val="24"/>
          <w:u w:val="single"/>
        </w:rPr>
        <w:t>同类材料的品牌应一致，质量、规格、型号均应</w:t>
      </w:r>
      <w:r>
        <w:rPr>
          <w:rFonts w:hint="eastAsia" w:ascii="宋体" w:hAnsi="宋体" w:cs="宋体"/>
          <w:color w:val="auto"/>
          <w:sz w:val="24"/>
          <w:u w:val="single"/>
        </w:rPr>
        <w:t>符合设计文件和标准、规范要求，进场材料和设备应有合格证和检测报告。</w:t>
      </w:r>
      <w:r>
        <w:rPr>
          <w:rFonts w:hint="eastAsia" w:ascii="宋体" w:hAnsi="宋体"/>
          <w:color w:val="auto"/>
          <w:sz w:val="24"/>
          <w:u w:val="single"/>
        </w:rPr>
        <w:t>经监理认证、甲方验收审核合格后方可使用，否则由此造成的损失由承包人承担。</w:t>
      </w:r>
    </w:p>
    <w:p w14:paraId="5400B535">
      <w:pPr>
        <w:spacing w:line="360" w:lineRule="auto"/>
        <w:ind w:firstLine="480" w:firstLineChars="200"/>
        <w:jc w:val="left"/>
        <w:rPr>
          <w:rFonts w:hint="eastAsia" w:ascii="宋体" w:hAnsi="宋体"/>
          <w:color w:val="auto"/>
          <w:sz w:val="24"/>
          <w:u w:val="single"/>
        </w:rPr>
      </w:pPr>
      <w:r>
        <w:rPr>
          <w:rFonts w:hint="eastAsia" w:ascii="宋体" w:hAnsi="宋体" w:cs="宋体"/>
          <w:color w:val="auto"/>
          <w:sz w:val="24"/>
          <w:u w:val="single"/>
        </w:rPr>
        <w:t>(3)承包人采购的材料设备承包人必须在定购材料和设备</w:t>
      </w:r>
      <w:r>
        <w:rPr>
          <w:rFonts w:hint="eastAsia" w:ascii="宋体" w:hAnsi="宋体" w:cs="宋体"/>
          <w:color w:val="auto"/>
          <w:sz w:val="24"/>
          <w:u w:val="single"/>
          <w:lang w:val="en-US" w:eastAsia="zh-CN"/>
        </w:rPr>
        <w:t>10天</w:t>
      </w:r>
      <w:r>
        <w:rPr>
          <w:rFonts w:hint="eastAsia" w:ascii="宋体" w:hAnsi="宋体" w:cs="宋体"/>
          <w:color w:val="auto"/>
          <w:sz w:val="24"/>
          <w:u w:val="single"/>
        </w:rPr>
        <w:t>前将材料的样品、质量、品牌、型号、产地等计划内容报给监理人，监理人确认后，报发包人审核;监理人、发包人认为有必要派员参加选点和看样的，其品牌、型号、性能须经发包人、监理人确认后，承包人方可采购。</w:t>
      </w:r>
    </w:p>
    <w:p w14:paraId="19BB6A9E">
      <w:pPr>
        <w:spacing w:line="360" w:lineRule="auto"/>
        <w:ind w:firstLine="480" w:firstLineChars="200"/>
        <w:jc w:val="left"/>
        <w:rPr>
          <w:rFonts w:hint="eastAsia" w:ascii="宋体" w:hAnsi="宋体"/>
          <w:color w:val="auto"/>
          <w:sz w:val="24"/>
          <w:u w:val="single"/>
        </w:rPr>
      </w:pP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4</w:t>
      </w:r>
      <w:r>
        <w:rPr>
          <w:rFonts w:hint="eastAsia" w:ascii="宋体" w:hAnsi="宋体" w:cs="宋体"/>
          <w:color w:val="auto"/>
          <w:sz w:val="24"/>
          <w:u w:val="single"/>
          <w:lang w:eastAsia="zh-CN"/>
        </w:rPr>
        <w:t>）</w:t>
      </w:r>
      <w:r>
        <w:rPr>
          <w:rFonts w:hint="eastAsia" w:ascii="宋体" w:hAnsi="宋体" w:cs="宋体"/>
          <w:color w:val="auto"/>
          <w:sz w:val="24"/>
          <w:u w:val="single"/>
        </w:rPr>
        <w:t>若采购时备选品牌的型号停产的(须提供品牌生产厂家出具的停产证明)或者厂家不具备生产能力的(提供相应的证明)，承包人可在另外两个备选品牌中进行选择，且经发包人、监理人</w:t>
      </w:r>
      <w:r>
        <w:rPr>
          <w:rFonts w:hint="eastAsia" w:ascii="宋体" w:hAnsi="宋体" w:cs="宋体"/>
          <w:color w:val="auto"/>
          <w:sz w:val="24"/>
          <w:u w:val="single"/>
          <w:lang w:eastAsia="zh-CN"/>
        </w:rPr>
        <w:t>、</w:t>
      </w:r>
      <w:r>
        <w:rPr>
          <w:rFonts w:hint="eastAsia" w:ascii="宋体" w:hAnsi="宋体" w:cs="宋体"/>
          <w:color w:val="auto"/>
          <w:sz w:val="24"/>
          <w:u w:val="single"/>
        </w:rPr>
        <w:t>跟踪审计单位确认后方能采购。产品单价不做调整。如承包人未选用投标时响应的备选品牌或擅自更换品牌或选用品牌时未经发包人、监理单位、跟踪审计单位三方共同确认的，发包人有权不支付对应工程款，并按违约处置。</w:t>
      </w:r>
    </w:p>
    <w:p w14:paraId="2AF6C28B">
      <w:pPr>
        <w:spacing w:line="360" w:lineRule="auto"/>
        <w:ind w:firstLine="480" w:firstLineChars="200"/>
        <w:rPr>
          <w:rFonts w:hint="eastAsia" w:ascii="宋体" w:hAnsi="宋体" w:cs="宋体"/>
          <w:color w:val="auto"/>
          <w:sz w:val="24"/>
        </w:rPr>
      </w:pPr>
      <w:r>
        <w:rPr>
          <w:rFonts w:hint="eastAsia" w:ascii="宋体" w:hAnsi="宋体" w:cs="宋体"/>
          <w:color w:val="auto"/>
          <w:sz w:val="24"/>
        </w:rPr>
        <w:t>8</w:t>
      </w:r>
      <w:bookmarkStart w:id="204" w:name="_Toc296503167"/>
      <w:bookmarkStart w:id="205" w:name="_Toc304295556"/>
      <w:bookmarkStart w:id="206" w:name="_Toc297123527"/>
      <w:bookmarkStart w:id="207" w:name="_Toc296347166"/>
      <w:bookmarkStart w:id="208" w:name="_Toc303539136"/>
      <w:bookmarkStart w:id="209" w:name="_Toc296944506"/>
      <w:bookmarkStart w:id="210" w:name="_Toc312678019"/>
      <w:bookmarkStart w:id="211" w:name="_Toc312677493"/>
      <w:bookmarkStart w:id="212" w:name="_Toc297048353"/>
      <w:bookmarkStart w:id="213" w:name="_Toc296891207"/>
      <w:bookmarkStart w:id="214" w:name="_Toc300934979"/>
      <w:bookmarkStart w:id="215" w:name="_Toc292559372"/>
      <w:bookmarkStart w:id="216" w:name="_Toc296346668"/>
      <w:bookmarkStart w:id="217" w:name="_Toc297216186"/>
      <w:bookmarkStart w:id="218" w:name="_Toc292559877"/>
      <w:bookmarkStart w:id="219" w:name="_Toc280868654"/>
      <w:bookmarkStart w:id="220" w:name="_Toc297120467"/>
      <w:bookmarkStart w:id="221" w:name="_Toc296890995"/>
      <w:bookmarkStart w:id="222" w:name="_Toc267251424"/>
      <w:bookmarkStart w:id="223" w:name="_Toc280868656"/>
      <w:bookmarkStart w:id="224" w:name="_Toc280868655"/>
      <w:r>
        <w:rPr>
          <w:rFonts w:hint="eastAsia" w:ascii="宋体" w:hAnsi="宋体" w:cs="宋体"/>
          <w:color w:val="auto"/>
          <w:sz w:val="24"/>
        </w:rPr>
        <w:t>.4材料与工程设备的保管与使用</w:t>
      </w:r>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14:paraId="329F6EDF">
      <w:pPr>
        <w:spacing w:line="360" w:lineRule="auto"/>
        <w:ind w:firstLine="480" w:firstLineChars="200"/>
        <w:jc w:val="left"/>
        <w:rPr>
          <w:rFonts w:hint="eastAsia" w:ascii="宋体" w:hAnsi="宋体" w:cs="宋体"/>
          <w:color w:val="auto"/>
          <w:sz w:val="24"/>
          <w:u w:val="single"/>
        </w:rPr>
      </w:pPr>
      <w:bookmarkStart w:id="225" w:name="_Toc297048354"/>
      <w:bookmarkStart w:id="226" w:name="_Toc304295557"/>
      <w:bookmarkStart w:id="227" w:name="_Toc296891208"/>
      <w:bookmarkStart w:id="228" w:name="_Toc297123528"/>
      <w:bookmarkStart w:id="229" w:name="_Toc296346669"/>
      <w:bookmarkStart w:id="230" w:name="_Toc296347167"/>
      <w:bookmarkStart w:id="231" w:name="_Toc318581173"/>
      <w:bookmarkStart w:id="232" w:name="_Toc312678020"/>
      <w:bookmarkStart w:id="233" w:name="_Toc296890996"/>
      <w:bookmarkStart w:id="234" w:name="_Toc297216187"/>
      <w:bookmarkStart w:id="235" w:name="_Toc296944507"/>
      <w:bookmarkStart w:id="236" w:name="_Toc297120468"/>
      <w:bookmarkStart w:id="237" w:name="_Toc296503168"/>
      <w:bookmarkStart w:id="238" w:name="_Toc303539137"/>
      <w:bookmarkStart w:id="239" w:name="_Toc312677494"/>
      <w:bookmarkStart w:id="240" w:name="_Toc300934980"/>
      <w:r>
        <w:rPr>
          <w:rFonts w:hint="eastAsia" w:ascii="宋体" w:hAnsi="宋体" w:cs="宋体"/>
          <w:color w:val="auto"/>
          <w:sz w:val="24"/>
        </w:rPr>
        <w:t>(</w:t>
      </w:r>
      <w:r>
        <w:rPr>
          <w:rFonts w:hint="eastAsia" w:ascii="宋体" w:hAnsi="宋体" w:cs="宋体"/>
          <w:color w:val="auto"/>
          <w:sz w:val="24"/>
          <w:u w:val="single"/>
          <w:lang w:val="en-US" w:eastAsia="zh-CN"/>
        </w:rPr>
        <w:t>1</w:t>
      </w:r>
      <w:r>
        <w:rPr>
          <w:rFonts w:hint="eastAsia" w:ascii="宋体" w:hAnsi="宋体" w:cs="宋体"/>
          <w:color w:val="auto"/>
          <w:sz w:val="24"/>
          <w:u w:val="single"/>
        </w:rPr>
        <w:t>)承包人未按要求采购设备材料，以次充好或使用假冒伪劣产品的，必须承担工程的返工损失和工期、质量的违约责任。</w:t>
      </w:r>
    </w:p>
    <w:p w14:paraId="3CD4A945">
      <w:pPr>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val="en-US" w:eastAsia="zh-CN"/>
        </w:rPr>
        <w:t>2</w:t>
      </w:r>
      <w:r>
        <w:rPr>
          <w:rFonts w:hint="eastAsia" w:ascii="宋体" w:hAnsi="宋体" w:cs="宋体"/>
          <w:color w:val="auto"/>
          <w:sz w:val="24"/>
          <w:u w:val="single"/>
        </w:rPr>
        <w:t>)实验费用:承包人除承担所有试件样品的现场试验费用外，还承担承包人委托专业试验室的全部费用。平行检测费用如检测合格，费用则由发包人承担，如平行检测不合格，费用则由承包人承担。</w:t>
      </w:r>
    </w:p>
    <w:p w14:paraId="18E2DE71">
      <w:pPr>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u w:val="single"/>
        </w:rPr>
        <w:t>(</w:t>
      </w:r>
      <w:r>
        <w:rPr>
          <w:rFonts w:hint="eastAsia" w:ascii="宋体" w:hAnsi="宋体" w:cs="宋体"/>
          <w:color w:val="auto"/>
          <w:sz w:val="24"/>
          <w:u w:val="single"/>
          <w:lang w:val="en-US" w:eastAsia="zh-CN"/>
        </w:rPr>
        <w:t>3</w:t>
      </w:r>
      <w:r>
        <w:rPr>
          <w:rFonts w:hint="eastAsia" w:ascii="宋体" w:hAnsi="宋体" w:cs="宋体"/>
          <w:color w:val="auto"/>
          <w:sz w:val="24"/>
          <w:u w:val="single"/>
        </w:rPr>
        <w:t>)到货查验:设备运抵现场后，承包人提供到货清单并标明设备元件、配件规格型号及产地品牌。发包人自接收承包人书面申请检验起7天内组织监理等单位对设备质量、规格、性能、数量和重量等进行初步检验，该检验不代表已经验收合格(最终验收以通过竣工验收为准)。如发现设备元件、配件规格型号及产地品牌与招投标文件不符，承包人应无条件及时更换，并保证工程进度需要。如发现设备的规格和数量或两者都与合同文件、招投标文件不符，发包人有权在设备运抵现场后90天内根据承包人检验标准自己检验</w:t>
      </w:r>
      <w:r>
        <w:rPr>
          <w:rFonts w:hint="eastAsia" w:ascii="宋体" w:hAnsi="宋体" w:cs="宋体"/>
          <w:color w:val="auto"/>
          <w:sz w:val="24"/>
          <w:u w:val="single"/>
          <w:lang w:val="en-US" w:eastAsia="zh-CN"/>
        </w:rPr>
        <w:t>的</w:t>
      </w:r>
      <w:r>
        <w:rPr>
          <w:rFonts w:hint="eastAsia" w:ascii="宋体" w:hAnsi="宋体" w:cs="宋体"/>
          <w:color w:val="auto"/>
          <w:sz w:val="24"/>
          <w:u w:val="single"/>
        </w:rPr>
        <w:t>结果或县级以上技术质检部门出具的检验证书向承包人提出索赔。</w:t>
      </w:r>
    </w:p>
    <w:p w14:paraId="133C986A">
      <w:pPr>
        <w:spacing w:line="360" w:lineRule="auto"/>
        <w:ind w:firstLine="480" w:firstLineChars="200"/>
        <w:rPr>
          <w:rFonts w:hint="eastAsia" w:ascii="宋体" w:hAnsi="宋体" w:cs="宋体"/>
          <w:color w:val="auto"/>
          <w:sz w:val="24"/>
        </w:rPr>
      </w:pPr>
      <w:r>
        <w:rPr>
          <w:rFonts w:hint="eastAsia" w:ascii="宋体" w:hAnsi="宋体" w:cs="宋体"/>
          <w:color w:val="auto"/>
          <w:sz w:val="24"/>
        </w:rPr>
        <w:t>8.6 样品</w:t>
      </w:r>
    </w:p>
    <w:p w14:paraId="36666499">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8.6.1</w:t>
      </w:r>
      <w:r>
        <w:rPr>
          <w:rFonts w:hint="eastAsia" w:ascii="宋体" w:hAnsi="宋体" w:cs="宋体"/>
          <w:color w:val="000000"/>
          <w:sz w:val="24"/>
        </w:rPr>
        <w:tab/>
      </w:r>
      <w:r>
        <w:rPr>
          <w:rFonts w:hint="eastAsia" w:ascii="宋体" w:hAnsi="宋体" w:cs="宋体"/>
          <w:color w:val="000000"/>
          <w:sz w:val="24"/>
        </w:rPr>
        <w:t>样品的报送与封存</w:t>
      </w:r>
    </w:p>
    <w:p w14:paraId="1C5E0DB2">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3798B439">
      <w:pPr>
        <w:autoSpaceDE w:val="0"/>
        <w:autoSpaceDN w:val="0"/>
        <w:adjustRightInd w:val="0"/>
        <w:spacing w:line="360" w:lineRule="auto"/>
        <w:ind w:firstLine="480" w:firstLineChars="200"/>
        <w:jc w:val="left"/>
        <w:rPr>
          <w:rFonts w:hint="eastAsia" w:ascii="宋体" w:hAnsi="宋体" w:eastAsia="宋体" w:cs="宋体"/>
          <w:color w:val="auto"/>
          <w:sz w:val="24"/>
          <w:u w:val="none"/>
          <w:lang w:eastAsia="zh-CN"/>
        </w:rPr>
      </w:pP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执行通用条款</w:t>
      </w:r>
      <w:r>
        <w:rPr>
          <w:rFonts w:hint="eastAsia" w:ascii="宋体" w:hAnsi="宋体" w:cs="宋体"/>
          <w:color w:val="auto"/>
          <w:sz w:val="24"/>
          <w:u w:val="single"/>
        </w:rPr>
        <w:t xml:space="preserve">   </w:t>
      </w:r>
      <w:r>
        <w:rPr>
          <w:rFonts w:hint="eastAsia" w:ascii="宋体" w:hAnsi="宋体" w:cs="宋体"/>
          <w:color w:val="auto"/>
          <w:sz w:val="24"/>
          <w:u w:val="none"/>
        </w:rPr>
        <w:t xml:space="preserve"> </w:t>
      </w:r>
      <w:r>
        <w:rPr>
          <w:rFonts w:hint="eastAsia" w:ascii="宋体" w:hAnsi="宋体" w:cs="宋体"/>
          <w:color w:val="auto"/>
          <w:sz w:val="24"/>
          <w:u w:val="none"/>
          <w:lang w:eastAsia="zh-CN"/>
        </w:rPr>
        <w:t>。</w:t>
      </w:r>
    </w:p>
    <w:p w14:paraId="5526822B">
      <w:pPr>
        <w:spacing w:line="360" w:lineRule="auto"/>
        <w:ind w:firstLine="480" w:firstLineChars="200"/>
        <w:rPr>
          <w:rFonts w:hint="eastAsia" w:ascii="宋体" w:hAnsi="宋体" w:cs="宋体"/>
          <w:color w:val="auto"/>
          <w:sz w:val="24"/>
        </w:rPr>
      </w:pPr>
      <w:r>
        <w:rPr>
          <w:rFonts w:hint="eastAsia" w:ascii="宋体" w:hAnsi="宋体" w:cs="宋体"/>
          <w:color w:val="auto"/>
          <w:sz w:val="24"/>
        </w:rPr>
        <w:t>8.8 施工设备和临时设施</w:t>
      </w:r>
    </w:p>
    <w:p w14:paraId="1CF4C4E5">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auto"/>
          <w:sz w:val="24"/>
        </w:rPr>
        <w:t>8.8.1 承包人提供的施工设备和临时</w:t>
      </w:r>
      <w:r>
        <w:rPr>
          <w:rFonts w:hint="eastAsia" w:ascii="宋体" w:hAnsi="宋体" w:cs="宋体"/>
          <w:color w:val="000000"/>
          <w:sz w:val="24"/>
        </w:rPr>
        <w:t>设施</w:t>
      </w:r>
    </w:p>
    <w:p w14:paraId="71ECB966">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14:paraId="4C833CE5">
      <w:pPr>
        <w:pStyle w:val="6"/>
        <w:keepNext w:val="0"/>
        <w:keepLines w:val="0"/>
        <w:spacing w:before="0" w:after="0" w:line="360" w:lineRule="auto"/>
        <w:rPr>
          <w:rFonts w:hint="eastAsia" w:ascii="宋体" w:hAnsi="宋体" w:eastAsia="宋体" w:cs="宋体"/>
          <w:b w:val="0"/>
          <w:color w:val="000000"/>
          <w:sz w:val="24"/>
          <w:szCs w:val="24"/>
        </w:rPr>
      </w:pPr>
      <w:bookmarkStart w:id="241" w:name="_Toc351203641"/>
      <w:bookmarkStart w:id="242" w:name="_Toc386638615"/>
      <w:r>
        <w:rPr>
          <w:rFonts w:hint="eastAsia" w:ascii="宋体" w:hAnsi="宋体" w:eastAsia="宋体" w:cs="宋体"/>
          <w:b w:val="0"/>
          <w:color w:val="000000"/>
          <w:sz w:val="24"/>
          <w:szCs w:val="24"/>
        </w:rPr>
        <w:t>9</w:t>
      </w:r>
      <w:bookmarkEnd w:id="222"/>
      <w:bookmarkEnd w:id="223"/>
      <w:bookmarkEnd w:id="224"/>
      <w:bookmarkStart w:id="243" w:name="_Toc297216192"/>
      <w:bookmarkStart w:id="244" w:name="_Toc303539139"/>
      <w:bookmarkStart w:id="245" w:name="_Toc297123533"/>
      <w:bookmarkStart w:id="246" w:name="_Toc304295559"/>
      <w:bookmarkStart w:id="247" w:name="_Toc312677495"/>
      <w:bookmarkStart w:id="248" w:name="_Toc312678021"/>
      <w:bookmarkStart w:id="249" w:name="_Toc300934982"/>
      <w:bookmarkStart w:id="250" w:name="_Toc296346674"/>
      <w:bookmarkStart w:id="251" w:name="_Toc267251428"/>
      <w:bookmarkStart w:id="252" w:name="_Toc296347172"/>
      <w:bookmarkStart w:id="253" w:name="_Toc292559883"/>
      <w:bookmarkStart w:id="254" w:name="_Toc292559378"/>
      <w:bookmarkStart w:id="255" w:name="_Toc296891001"/>
      <w:bookmarkStart w:id="256" w:name="_Toc296891213"/>
      <w:bookmarkStart w:id="257" w:name="_Toc297048359"/>
      <w:bookmarkStart w:id="258" w:name="_Toc296503173"/>
      <w:bookmarkStart w:id="259" w:name="_Toc297120473"/>
      <w:bookmarkStart w:id="260" w:name="_Toc267251427"/>
      <w:bookmarkStart w:id="261" w:name="_Toc296944512"/>
      <w:r>
        <w:rPr>
          <w:rFonts w:hint="eastAsia" w:ascii="宋体" w:hAnsi="宋体" w:eastAsia="宋体" w:cs="宋体"/>
          <w:b w:val="0"/>
          <w:color w:val="000000"/>
          <w:sz w:val="24"/>
          <w:szCs w:val="24"/>
        </w:rPr>
        <w:t>. 试验与检验</w:t>
      </w:r>
      <w:bookmarkEnd w:id="241"/>
      <w:bookmarkEnd w:id="242"/>
    </w:p>
    <w:bookmarkEnd w:id="243"/>
    <w:bookmarkEnd w:id="244"/>
    <w:bookmarkEnd w:id="245"/>
    <w:bookmarkEnd w:id="246"/>
    <w:bookmarkEnd w:id="247"/>
    <w:bookmarkEnd w:id="248"/>
    <w:bookmarkEnd w:id="249"/>
    <w:p w14:paraId="2E2179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w:t>
      </w:r>
      <w:bookmarkStart w:id="262" w:name="_Toc312678022"/>
      <w:bookmarkStart w:id="263" w:name="_Toc312677496"/>
      <w:bookmarkStart w:id="264" w:name="_Toc297216193"/>
      <w:bookmarkStart w:id="265" w:name="_Toc303539140"/>
      <w:bookmarkStart w:id="266" w:name="_Toc304295560"/>
      <w:bookmarkStart w:id="267" w:name="_Toc297123534"/>
      <w:bookmarkStart w:id="268" w:name="_Toc300934983"/>
      <w:r>
        <w:rPr>
          <w:rFonts w:hint="eastAsia" w:ascii="宋体" w:hAnsi="宋体" w:cs="宋体"/>
          <w:color w:val="000000"/>
          <w:sz w:val="24"/>
        </w:rPr>
        <w:t>.1试验设备与试验人员</w:t>
      </w:r>
    </w:p>
    <w:bookmarkEnd w:id="262"/>
    <w:bookmarkEnd w:id="263"/>
    <w:bookmarkEnd w:id="264"/>
    <w:bookmarkEnd w:id="265"/>
    <w:bookmarkEnd w:id="266"/>
    <w:bookmarkEnd w:id="267"/>
    <w:bookmarkEnd w:id="268"/>
    <w:p w14:paraId="5BF3738C">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9</w:t>
      </w:r>
      <w:bookmarkStart w:id="269" w:name="_Toc300934984"/>
      <w:bookmarkStart w:id="270" w:name="_Toc312678023"/>
      <w:bookmarkStart w:id="271" w:name="_Toc297216194"/>
      <w:bookmarkStart w:id="272" w:name="_Toc304295561"/>
      <w:bookmarkStart w:id="273" w:name="_Toc297123535"/>
      <w:bookmarkStart w:id="274" w:name="_Toc312677497"/>
      <w:bookmarkStart w:id="275" w:name="_Toc303539141"/>
      <w:bookmarkStart w:id="276" w:name="_Toc318581174"/>
      <w:r>
        <w:rPr>
          <w:rFonts w:hint="eastAsia" w:ascii="宋体" w:hAnsi="宋体" w:cs="宋体"/>
          <w:color w:val="000000"/>
          <w:sz w:val="24"/>
        </w:rPr>
        <w:t>.1.2 试验设备</w:t>
      </w:r>
    </w:p>
    <w:p w14:paraId="1DE259AA">
      <w:pPr>
        <w:spacing w:line="360" w:lineRule="auto"/>
        <w:ind w:firstLine="420" w:firstLineChars="175"/>
        <w:jc w:val="left"/>
        <w:rPr>
          <w:rFonts w:hint="eastAsia" w:ascii="宋体" w:hAnsi="宋体" w:cs="宋体"/>
          <w:color w:val="000000"/>
          <w:sz w:val="24"/>
        </w:rPr>
      </w:pPr>
      <w:r>
        <w:rPr>
          <w:rFonts w:hint="eastAsia" w:ascii="宋体" w:hAnsi="宋体" w:cs="宋体"/>
          <w:color w:val="000000"/>
          <w:sz w:val="24"/>
        </w:rPr>
        <w:t>施工现场需要配置的试验场所：</w:t>
      </w:r>
      <w:bookmarkEnd w:id="269"/>
      <w:bookmarkEnd w:id="270"/>
      <w:bookmarkEnd w:id="271"/>
      <w:bookmarkEnd w:id="272"/>
      <w:bookmarkEnd w:id="273"/>
      <w:bookmarkEnd w:id="274"/>
      <w:bookmarkEnd w:id="275"/>
      <w:bookmarkStart w:id="277" w:name="_Toc312678024"/>
      <w:bookmarkStart w:id="278" w:name="_Toc297123536"/>
      <w:bookmarkStart w:id="279" w:name="_Toc297216195"/>
      <w:bookmarkStart w:id="280" w:name="_Toc304295562"/>
      <w:bookmarkStart w:id="281" w:name="_Toc312677498"/>
      <w:bookmarkStart w:id="282" w:name="_Toc300934985"/>
      <w:bookmarkStart w:id="283" w:name="_Toc303539142"/>
      <w:r>
        <w:rPr>
          <w:rFonts w:hint="eastAsia" w:ascii="宋体" w:hAnsi="宋体" w:cs="宋体"/>
          <w:color w:val="000000"/>
          <w:sz w:val="24"/>
          <w:u w:val="single"/>
        </w:rPr>
        <w:t xml:space="preserve">        /          </w:t>
      </w:r>
      <w:r>
        <w:rPr>
          <w:rFonts w:hint="eastAsia" w:ascii="宋体" w:hAnsi="宋体" w:cs="宋体"/>
          <w:color w:val="000000"/>
          <w:sz w:val="24"/>
        </w:rPr>
        <w:t xml:space="preserve">。 </w:t>
      </w:r>
    </w:p>
    <w:p w14:paraId="188BA19F">
      <w:pPr>
        <w:spacing w:line="360" w:lineRule="auto"/>
        <w:ind w:firstLine="420" w:firstLineChars="175"/>
        <w:jc w:val="left"/>
        <w:rPr>
          <w:rFonts w:hint="eastAsia"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220C7F3B">
      <w:pPr>
        <w:spacing w:line="360" w:lineRule="auto"/>
        <w:ind w:firstLine="420" w:firstLineChars="175"/>
        <w:jc w:val="left"/>
        <w:rPr>
          <w:rFonts w:hint="eastAsia"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4FC261E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9.4 现场工艺试验 </w:t>
      </w:r>
    </w:p>
    <w:p w14:paraId="45195121">
      <w:pPr>
        <w:spacing w:line="360" w:lineRule="auto"/>
        <w:ind w:firstLine="420" w:firstLineChars="175"/>
        <w:jc w:val="left"/>
        <w:rPr>
          <w:rFonts w:hint="eastAsia"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250"/>
    <w:bookmarkEnd w:id="251"/>
    <w:bookmarkEnd w:id="252"/>
    <w:bookmarkEnd w:id="253"/>
    <w:bookmarkEnd w:id="254"/>
    <w:bookmarkEnd w:id="255"/>
    <w:bookmarkEnd w:id="256"/>
    <w:bookmarkEnd w:id="257"/>
    <w:bookmarkEnd w:id="258"/>
    <w:bookmarkEnd w:id="259"/>
    <w:bookmarkEnd w:id="260"/>
    <w:bookmarkEnd w:id="261"/>
    <w:bookmarkEnd w:id="276"/>
    <w:bookmarkEnd w:id="277"/>
    <w:bookmarkEnd w:id="278"/>
    <w:bookmarkEnd w:id="279"/>
    <w:bookmarkEnd w:id="280"/>
    <w:bookmarkEnd w:id="281"/>
    <w:bookmarkEnd w:id="282"/>
    <w:bookmarkEnd w:id="283"/>
    <w:p w14:paraId="718BE129">
      <w:pPr>
        <w:pStyle w:val="6"/>
        <w:keepNext w:val="0"/>
        <w:keepLines w:val="0"/>
        <w:spacing w:before="0" w:after="0" w:line="360" w:lineRule="auto"/>
        <w:rPr>
          <w:rFonts w:hint="eastAsia" w:ascii="宋体" w:hAnsi="宋体" w:eastAsia="宋体" w:cs="宋体"/>
          <w:b w:val="0"/>
          <w:color w:val="000000"/>
          <w:sz w:val="24"/>
          <w:szCs w:val="24"/>
        </w:rPr>
      </w:pPr>
      <w:bookmarkStart w:id="284" w:name="_Toc351203642"/>
      <w:bookmarkStart w:id="285" w:name="_Toc386638616"/>
      <w:bookmarkStart w:id="286" w:name="_Toc267251441"/>
      <w:bookmarkStart w:id="287" w:name="_Toc267251433"/>
      <w:bookmarkStart w:id="288" w:name="_Toc267251435"/>
      <w:bookmarkStart w:id="289" w:name="_Toc267251437"/>
      <w:bookmarkStart w:id="290" w:name="_Toc267251440"/>
      <w:bookmarkStart w:id="291" w:name="_Toc267251439"/>
      <w:bookmarkStart w:id="292" w:name="_Toc267251442"/>
      <w:r>
        <w:rPr>
          <w:rFonts w:hint="eastAsia" w:ascii="宋体" w:hAnsi="宋体" w:eastAsia="宋体" w:cs="宋体"/>
          <w:b w:val="0"/>
          <w:color w:val="000000"/>
          <w:sz w:val="24"/>
          <w:szCs w:val="24"/>
        </w:rPr>
        <w:t>1</w:t>
      </w:r>
      <w:bookmarkStart w:id="293" w:name="_Toc292559398"/>
      <w:bookmarkStart w:id="294" w:name="_Toc303539146"/>
      <w:bookmarkStart w:id="295" w:name="_Toc300934989"/>
      <w:bookmarkStart w:id="296" w:name="_Toc296346694"/>
      <w:bookmarkStart w:id="297" w:name="_Toc297048379"/>
      <w:bookmarkStart w:id="298" w:name="_Toc296347192"/>
      <w:bookmarkStart w:id="299" w:name="_Toc292559903"/>
      <w:bookmarkStart w:id="300" w:name="_Toc296891233"/>
      <w:bookmarkStart w:id="301" w:name="_Toc297120493"/>
      <w:bookmarkStart w:id="302" w:name="_Toc297123540"/>
      <w:bookmarkStart w:id="303" w:name="_Toc296944532"/>
      <w:bookmarkStart w:id="304" w:name="_Toc296891021"/>
      <w:bookmarkStart w:id="305" w:name="_Toc296503193"/>
      <w:bookmarkStart w:id="306" w:name="_Toc297216199"/>
      <w:bookmarkStart w:id="307" w:name="_Toc304295566"/>
      <w:bookmarkStart w:id="308" w:name="_Toc312677499"/>
      <w:bookmarkStart w:id="309" w:name="_Toc312678025"/>
      <w:r>
        <w:rPr>
          <w:rFonts w:hint="eastAsia" w:ascii="宋体" w:hAnsi="宋体" w:eastAsia="宋体" w:cs="宋体"/>
          <w:b w:val="0"/>
          <w:color w:val="000000"/>
          <w:sz w:val="24"/>
          <w:szCs w:val="24"/>
        </w:rPr>
        <w:t>0. 变更</w:t>
      </w:r>
      <w:bookmarkEnd w:id="284"/>
      <w:bookmarkEnd w:id="285"/>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bookmarkEnd w:id="308"/>
    <w:bookmarkEnd w:id="309"/>
    <w:p w14:paraId="768F6D0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w:t>
      </w:r>
      <w:bookmarkStart w:id="310" w:name="_Toc297216200"/>
      <w:bookmarkStart w:id="311" w:name="_Toc296944533"/>
      <w:bookmarkStart w:id="312" w:name="_Toc296503194"/>
      <w:bookmarkStart w:id="313" w:name="_Toc292559904"/>
      <w:bookmarkStart w:id="314" w:name="_Toc312678026"/>
      <w:bookmarkStart w:id="315" w:name="_Toc303539147"/>
      <w:bookmarkStart w:id="316" w:name="_Toc292559399"/>
      <w:bookmarkStart w:id="317" w:name="_Toc297048380"/>
      <w:bookmarkStart w:id="318" w:name="_Toc297123541"/>
      <w:bookmarkStart w:id="319" w:name="_Toc296347193"/>
      <w:bookmarkStart w:id="320" w:name="_Toc300934990"/>
      <w:bookmarkStart w:id="321" w:name="_Toc296346695"/>
      <w:bookmarkStart w:id="322" w:name="_Toc296891022"/>
      <w:bookmarkStart w:id="323" w:name="_Toc296891234"/>
      <w:bookmarkStart w:id="324" w:name="_Toc304295567"/>
      <w:bookmarkStart w:id="325" w:name="_Toc297120494"/>
      <w:bookmarkStart w:id="326" w:name="_Toc312677500"/>
      <w:r>
        <w:rPr>
          <w:rFonts w:hint="eastAsia" w:ascii="宋体" w:hAnsi="宋体" w:cs="宋体"/>
          <w:color w:val="000000"/>
          <w:sz w:val="24"/>
        </w:rPr>
        <w:t>0.1变更的范围</w:t>
      </w:r>
    </w:p>
    <w:p w14:paraId="15972927">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286"/>
    <w:bookmarkEnd w:id="287"/>
    <w:bookmarkEnd w:id="288"/>
    <w:bookmarkEnd w:id="289"/>
    <w:bookmarkEnd w:id="290"/>
    <w:bookmarkEnd w:id="291"/>
    <w:bookmarkEnd w:id="292"/>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6B66D09E">
      <w:pPr>
        <w:spacing w:line="360" w:lineRule="auto"/>
        <w:ind w:firstLine="480" w:firstLineChars="200"/>
        <w:jc w:val="left"/>
        <w:rPr>
          <w:rFonts w:hint="eastAsia" w:ascii="宋体" w:hAnsi="宋体" w:eastAsia="宋体" w:cs="宋体"/>
          <w:color w:val="auto"/>
          <w:sz w:val="24"/>
          <w:szCs w:val="24"/>
        </w:rPr>
      </w:pPr>
      <w:bookmarkStart w:id="327" w:name="_Toc351203645"/>
      <w:bookmarkStart w:id="328" w:name="_Toc386638619"/>
      <w:bookmarkStart w:id="329" w:name="_Toc296891047"/>
      <w:bookmarkStart w:id="330" w:name="_Toc304295593"/>
      <w:bookmarkStart w:id="331" w:name="_Toc297216223"/>
      <w:bookmarkStart w:id="332" w:name="_Toc296503219"/>
      <w:bookmarkStart w:id="333" w:name="_Toc297123564"/>
      <w:bookmarkStart w:id="334" w:name="_Toc296346720"/>
      <w:bookmarkStart w:id="335" w:name="_Toc297120519"/>
      <w:bookmarkStart w:id="336" w:name="_Toc297048405"/>
      <w:bookmarkStart w:id="337" w:name="_Toc296347218"/>
      <w:bookmarkStart w:id="338" w:name="_Toc312678053"/>
      <w:bookmarkStart w:id="339" w:name="_Toc292559929"/>
      <w:bookmarkStart w:id="340" w:name="_Toc292559424"/>
      <w:bookmarkStart w:id="341" w:name="_Toc303539172"/>
      <w:bookmarkStart w:id="342" w:name="_Toc296944558"/>
      <w:bookmarkStart w:id="343" w:name="_Toc300935015"/>
      <w:bookmarkStart w:id="344" w:name="_Toc296891259"/>
      <w:r>
        <w:rPr>
          <w:rFonts w:hint="eastAsia" w:ascii="宋体" w:hAnsi="宋体" w:eastAsia="宋体" w:cs="宋体"/>
          <w:color w:val="auto"/>
          <w:sz w:val="24"/>
          <w:szCs w:val="24"/>
        </w:rPr>
        <w:t>10.2变更权</w:t>
      </w:r>
    </w:p>
    <w:p w14:paraId="4E1B7E19">
      <w:pPr>
        <w:spacing w:line="360" w:lineRule="auto"/>
        <w:ind w:firstLine="480" w:firstLineChars="200"/>
        <w:jc w:val="left"/>
        <w:rPr>
          <w:rFonts w:hint="eastAsia" w:ascii="宋体" w:hAnsi="宋体"/>
          <w:color w:val="auto"/>
          <w:sz w:val="24"/>
          <w:u w:val="single"/>
        </w:rPr>
      </w:pPr>
      <w:r>
        <w:rPr>
          <w:rFonts w:hint="eastAsia" w:ascii="宋体" w:hAnsi="宋体" w:cs="宋体"/>
          <w:color w:val="auto"/>
          <w:sz w:val="24"/>
          <w:u w:val="single"/>
        </w:rPr>
        <w:t>合同履行过程中发生工程变更的，工程变更权限按以下文件执行：</w:t>
      </w:r>
      <w:r>
        <w:rPr>
          <w:rFonts w:hint="eastAsia" w:ascii="宋体" w:hAnsi="宋体" w:cs="宋体"/>
          <w:color w:val="auto"/>
          <w:sz w:val="24"/>
          <w:u w:val="single"/>
          <w:lang w:eastAsia="zh-CN"/>
        </w:rPr>
        <w:t>《宁海县政府投资项目工程造价管控办法》（宁发改（2023）51号）</w:t>
      </w:r>
      <w:r>
        <w:rPr>
          <w:rFonts w:hint="eastAsia" w:ascii="宋体" w:hAnsi="宋体" w:cs="宋体"/>
          <w:color w:val="auto"/>
          <w:sz w:val="24"/>
          <w:u w:val="single"/>
        </w:rPr>
        <w:t>和建设单位工程变更管理办法</w:t>
      </w:r>
      <w:r>
        <w:rPr>
          <w:rFonts w:hint="eastAsia" w:ascii="宋体" w:hAnsi="宋体"/>
          <w:color w:val="auto"/>
          <w:sz w:val="24"/>
          <w:u w:val="single"/>
        </w:rPr>
        <w:t>。</w:t>
      </w:r>
    </w:p>
    <w:p w14:paraId="536EE4BD">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10.3变更程序</w:t>
      </w:r>
    </w:p>
    <w:p w14:paraId="2BEBA0F4">
      <w:pPr>
        <w:spacing w:line="360" w:lineRule="auto"/>
        <w:ind w:firstLine="480" w:firstLineChars="200"/>
        <w:rPr>
          <w:rFonts w:hint="eastAsia" w:ascii="宋体" w:hAnsi="宋体" w:eastAsia="宋体" w:cs="宋体"/>
          <w:color w:val="auto"/>
          <w:sz w:val="24"/>
          <w:szCs w:val="24"/>
          <w:u w:val="single"/>
        </w:rPr>
      </w:pPr>
      <w:r>
        <w:rPr>
          <w:rFonts w:hint="eastAsia" w:ascii="宋体" w:hAnsi="宋体" w:cs="宋体"/>
          <w:color w:val="auto"/>
          <w:sz w:val="24"/>
        </w:rPr>
        <w:t>合同履行</w:t>
      </w:r>
      <w:r>
        <w:rPr>
          <w:rFonts w:hint="eastAsia" w:ascii="宋体" w:hAnsi="宋体"/>
          <w:color w:val="auto"/>
          <w:sz w:val="24"/>
        </w:rPr>
        <w:t>过程中发生工程</w:t>
      </w:r>
      <w:r>
        <w:rPr>
          <w:rFonts w:hint="eastAsia" w:ascii="宋体" w:hAnsi="宋体" w:cs="宋体"/>
          <w:color w:val="auto"/>
          <w:sz w:val="24"/>
        </w:rPr>
        <w:t>变更的，工程变更按</w:t>
      </w:r>
      <w:r>
        <w:rPr>
          <w:rFonts w:hint="eastAsia" w:ascii="宋体" w:hAnsi="宋体"/>
          <w:color w:val="auto"/>
          <w:sz w:val="24"/>
          <w:u w:val="single"/>
          <w:lang w:eastAsia="zh-CN"/>
        </w:rPr>
        <w:t>《宁海县政府投资项目工程造价管控办法》（宁发改（2023）51号）</w:t>
      </w:r>
      <w:r>
        <w:rPr>
          <w:rFonts w:hint="eastAsia" w:ascii="宋体" w:hAnsi="宋体"/>
          <w:color w:val="auto"/>
          <w:sz w:val="24"/>
          <w:u w:val="single"/>
        </w:rPr>
        <w:t>规定的程序和建设单位工程变更程序办理。</w:t>
      </w:r>
    </w:p>
    <w:p w14:paraId="003AAD50">
      <w:pPr>
        <w:spacing w:line="360" w:lineRule="auto"/>
        <w:ind w:firstLine="480" w:firstLineChars="200"/>
        <w:rPr>
          <w:rFonts w:ascii="宋体" w:hAnsi="宋体"/>
          <w:sz w:val="24"/>
        </w:rPr>
      </w:pPr>
      <w:r>
        <w:rPr>
          <w:rFonts w:ascii="宋体" w:hAnsi="宋体"/>
          <w:sz w:val="24"/>
        </w:rPr>
        <w:t>10.4 变更估价</w:t>
      </w:r>
    </w:p>
    <w:p w14:paraId="4590EFBF">
      <w:pPr>
        <w:spacing w:line="360" w:lineRule="auto"/>
        <w:ind w:firstLine="480" w:firstLineChars="200"/>
        <w:jc w:val="left"/>
        <w:rPr>
          <w:rFonts w:hint="eastAsia" w:ascii="宋体" w:hAnsi="宋体"/>
          <w:sz w:val="24"/>
        </w:rPr>
      </w:pPr>
      <w:r>
        <w:rPr>
          <w:rFonts w:hint="eastAsia" w:ascii="宋体" w:hAnsi="宋体"/>
          <w:sz w:val="24"/>
        </w:rPr>
        <w:t>10.4.1 变更估价原则</w:t>
      </w:r>
    </w:p>
    <w:p w14:paraId="2C56AB13">
      <w:pPr>
        <w:spacing w:line="360" w:lineRule="auto"/>
        <w:ind w:firstLine="480" w:firstLineChars="200"/>
        <w:rPr>
          <w:rFonts w:hint="eastAsia" w:ascii="宋体" w:hAnsi="宋体"/>
          <w:sz w:val="24"/>
        </w:rPr>
      </w:pPr>
      <w:r>
        <w:rPr>
          <w:rFonts w:ascii="宋体" w:hAnsi="宋体"/>
          <w:sz w:val="24"/>
        </w:rPr>
        <w:t xml:space="preserve">关于变更估价的约定: </w:t>
      </w:r>
    </w:p>
    <w:p w14:paraId="0700868D">
      <w:pPr>
        <w:spacing w:line="360" w:lineRule="auto"/>
        <w:ind w:firstLine="504" w:firstLineChars="210"/>
        <w:rPr>
          <w:rFonts w:hint="eastAsia" w:ascii="宋体" w:hAnsi="宋体"/>
          <w:sz w:val="24"/>
        </w:rPr>
      </w:pPr>
      <w:r>
        <w:rPr>
          <w:rFonts w:hint="eastAsia" w:ascii="宋体" w:hAnsi="宋体"/>
          <w:sz w:val="24"/>
        </w:rPr>
        <w:t xml:space="preserve">合同履行过程中，发生下列情况之一的，工程量清单项目及其工程量均应按实调整： </w:t>
      </w:r>
    </w:p>
    <w:p w14:paraId="5BF4A0BE">
      <w:pPr>
        <w:spacing w:line="360" w:lineRule="auto"/>
        <w:ind w:firstLine="504" w:firstLineChars="210"/>
        <w:rPr>
          <w:rFonts w:hint="eastAsia" w:ascii="宋体" w:hAnsi="宋体"/>
          <w:sz w:val="24"/>
        </w:rPr>
      </w:pPr>
      <w:r>
        <w:rPr>
          <w:rFonts w:hint="eastAsia" w:ascii="宋体" w:hAnsi="宋体"/>
          <w:sz w:val="24"/>
        </w:rPr>
        <w:t>（1）设计变更引起新增清单项目或取消原有项目；</w:t>
      </w:r>
    </w:p>
    <w:p w14:paraId="08BC67ED">
      <w:pPr>
        <w:spacing w:line="360" w:lineRule="auto"/>
        <w:ind w:firstLine="504" w:firstLineChars="210"/>
        <w:rPr>
          <w:rFonts w:hint="eastAsia" w:ascii="宋体" w:hAnsi="宋体"/>
          <w:sz w:val="24"/>
        </w:rPr>
      </w:pPr>
      <w:r>
        <w:rPr>
          <w:rFonts w:hint="eastAsia" w:ascii="宋体" w:hAnsi="宋体"/>
          <w:sz w:val="24"/>
        </w:rPr>
        <w:t>（2）设计变更引起的工程量清单项目数量的增减。</w:t>
      </w:r>
    </w:p>
    <w:p w14:paraId="1C812C0B">
      <w:pPr>
        <w:spacing w:line="360" w:lineRule="auto"/>
        <w:ind w:firstLine="504" w:firstLineChars="210"/>
        <w:rPr>
          <w:rFonts w:hint="eastAsia" w:ascii="宋体" w:hAnsi="宋体"/>
          <w:sz w:val="24"/>
        </w:rPr>
      </w:pPr>
      <w:r>
        <w:rPr>
          <w:rFonts w:hint="eastAsia" w:ascii="宋体" w:hAnsi="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22220C05">
      <w:pPr>
        <w:spacing w:line="360" w:lineRule="auto"/>
        <w:ind w:firstLine="360" w:firstLineChars="150"/>
        <w:rPr>
          <w:rFonts w:hint="default" w:ascii="宋体" w:hAnsi="宋体" w:eastAsia="宋体"/>
          <w:sz w:val="24"/>
          <w:lang w:val="en-US" w:eastAsia="zh-CN"/>
        </w:rPr>
      </w:pPr>
      <w:r>
        <w:rPr>
          <w:rFonts w:hint="eastAsia" w:ascii="宋体" w:hAnsi="宋体"/>
          <w:sz w:val="24"/>
          <w:lang w:val="en-US" w:eastAsia="zh-CN"/>
        </w:rPr>
        <w:t>10.4.1.1</w:t>
      </w:r>
    </w:p>
    <w:p w14:paraId="2993EE54">
      <w:pPr>
        <w:spacing w:line="360" w:lineRule="auto"/>
        <w:ind w:firstLine="360" w:firstLineChars="150"/>
        <w:rPr>
          <w:rFonts w:hint="eastAsia" w:ascii="宋体" w:hAnsi="宋体"/>
          <w:color w:val="0000FF"/>
          <w:sz w:val="24"/>
        </w:rPr>
      </w:pPr>
      <w:r>
        <w:rPr>
          <w:rFonts w:hint="eastAsia" w:ascii="宋体" w:hAnsi="宋体"/>
          <w:sz w:val="24"/>
        </w:rPr>
        <w:t xml:space="preserve">（1）非承包人原因引起的工程量偏差，该项工程量变化幅度在规定范围以内的，应执行合同原有的综合单价； </w:t>
      </w:r>
      <w:r>
        <w:rPr>
          <w:rFonts w:hint="eastAsia" w:ascii="宋体" w:hAnsi="宋体"/>
          <w:color w:val="0000FF"/>
          <w:sz w:val="24"/>
        </w:rPr>
        <w:t xml:space="preserve"> </w:t>
      </w:r>
    </w:p>
    <w:p w14:paraId="1C6E76BC">
      <w:pPr>
        <w:spacing w:line="480" w:lineRule="exact"/>
        <w:ind w:firstLine="504" w:firstLineChars="210"/>
        <w:contextualSpacing/>
        <w:rPr>
          <w:rFonts w:hint="eastAsia" w:ascii="宋体" w:hAnsi="宋体" w:eastAsia="宋体" w:cs="宋体"/>
          <w:sz w:val="24"/>
        </w:rPr>
      </w:pPr>
      <w:r>
        <w:rPr>
          <w:rFonts w:hint="eastAsia" w:ascii="宋体" w:hAnsi="宋体"/>
          <w:sz w:val="24"/>
        </w:rPr>
        <w:t>合价金额占合同总价2%及以上的分部分项清单项目其工程量增减超过本项工程量15%及以上，或合价金额占合同总价不到2%的分部分项清单项目，但其工程量增减超过本项目工程数</w:t>
      </w:r>
      <w:r>
        <w:rPr>
          <w:rFonts w:hint="eastAsia" w:ascii="宋体" w:hAnsi="宋体"/>
          <w:sz w:val="24"/>
          <w:highlight w:val="none"/>
        </w:rPr>
        <w:t>量</w:t>
      </w:r>
      <w:r>
        <w:rPr>
          <w:rFonts w:hint="eastAsia" w:ascii="宋体" w:hAnsi="宋体"/>
          <w:sz w:val="24"/>
          <w:highlight w:val="none"/>
          <w:lang w:val="en-US" w:eastAsia="zh-CN"/>
        </w:rPr>
        <w:t>2</w:t>
      </w:r>
      <w:r>
        <w:rPr>
          <w:rFonts w:hint="eastAsia" w:ascii="宋体" w:hAnsi="宋体"/>
          <w:sz w:val="24"/>
          <w:highlight w:val="none"/>
        </w:rPr>
        <w:t>5%及</w:t>
      </w:r>
      <w:r>
        <w:rPr>
          <w:rFonts w:hint="eastAsia" w:ascii="宋体" w:hAnsi="宋体"/>
          <w:sz w:val="24"/>
        </w:rPr>
        <w:t>以上时，则超过部分应重新确定综合单价。综合单价由承包人按合同约定(招标文件)的计价依据并取费结合</w:t>
      </w:r>
      <w:r>
        <w:rPr>
          <w:rFonts w:hint="eastAsia" w:ascii="宋体" w:hAnsi="宋体" w:eastAsia="宋体" w:cs="宋体"/>
          <w:sz w:val="24"/>
        </w:rPr>
        <w:t>《关于进一步加强建设工程要素价格动态管理工作的通知》（甬建价〔2021〕9号）文件</w:t>
      </w:r>
      <w:r>
        <w:rPr>
          <w:rFonts w:hint="eastAsia" w:ascii="宋体" w:hAnsi="宋体"/>
          <w:sz w:val="24"/>
        </w:rPr>
        <w:t>按招标文件约定下浮率（总价</w:t>
      </w:r>
      <w:r>
        <w:rPr>
          <w:rFonts w:hint="eastAsia" w:ascii="宋体" w:hAnsi="宋体"/>
          <w:color w:val="auto"/>
          <w:sz w:val="24"/>
        </w:rPr>
        <w:t>下浮</w:t>
      </w:r>
      <w:r>
        <w:rPr>
          <w:rFonts w:hint="eastAsia" w:ascii="宋体" w:hAnsi="宋体"/>
          <w:color w:val="auto"/>
          <w:sz w:val="24"/>
          <w:lang w:val="en-US" w:eastAsia="zh-CN"/>
        </w:rPr>
        <w:t xml:space="preserve">  </w:t>
      </w:r>
      <w:r>
        <w:rPr>
          <w:rFonts w:hint="eastAsia" w:ascii="宋体" w:hAnsi="宋体"/>
          <w:color w:val="auto"/>
          <w:sz w:val="24"/>
          <w:lang w:eastAsia="zh-CN"/>
        </w:rPr>
        <w:t>%</w:t>
      </w:r>
      <w:r>
        <w:rPr>
          <w:rFonts w:hint="eastAsia" w:ascii="宋体" w:hAnsi="宋体"/>
          <w:color w:val="auto"/>
          <w:sz w:val="24"/>
        </w:rPr>
        <w:t>）</w:t>
      </w:r>
      <w:r>
        <w:rPr>
          <w:rFonts w:hint="eastAsia" w:ascii="宋体" w:hAnsi="宋体"/>
          <w:sz w:val="24"/>
        </w:rPr>
        <w:t>组价后提出，经发包人确认后调整。[工程类别：</w:t>
      </w:r>
      <w:r>
        <w:rPr>
          <w:rFonts w:hint="eastAsia" w:ascii="宋体" w:hAnsi="宋体"/>
          <w:sz w:val="24"/>
          <w:lang w:val="en-US" w:eastAsia="zh-CN"/>
        </w:rPr>
        <w:t>按一般计税法，装修工程按单独装饰工程取费，安装工程按水电暖通、消防、智能化、自控及通信安装工程取费，(其中:安全文明施工费（非市区），</w:t>
      </w:r>
      <w:r>
        <w:rPr>
          <w:rFonts w:hint="eastAsia" w:ascii="宋体" w:hAnsi="宋体"/>
          <w:b w:val="0"/>
          <w:bCs/>
          <w:color w:val="000000"/>
          <w:sz w:val="24"/>
        </w:rPr>
        <w:t>冬雨季施工增加费按弹性费率取中值计取(提前竣工增加费、二次搬运费</w:t>
      </w:r>
      <w:r>
        <w:rPr>
          <w:rFonts w:hint="eastAsia" w:ascii="宋体" w:hAnsi="宋体"/>
          <w:b w:val="0"/>
          <w:bCs/>
          <w:color w:val="000000"/>
          <w:sz w:val="24"/>
          <w:lang w:eastAsia="zh-CN"/>
        </w:rPr>
        <w:t>、其他施工组织措施费</w:t>
      </w:r>
      <w:r>
        <w:rPr>
          <w:rFonts w:hint="eastAsia" w:ascii="宋体" w:hAnsi="宋体"/>
          <w:b w:val="0"/>
          <w:bCs/>
          <w:color w:val="000000"/>
          <w:sz w:val="24"/>
        </w:rPr>
        <w:t>不计取)；</w:t>
      </w:r>
      <w:r>
        <w:rPr>
          <w:rFonts w:hint="eastAsia" w:ascii="宋体" w:hAnsi="宋体"/>
          <w:sz w:val="24"/>
        </w:rPr>
        <w:t>宁波市</w:t>
      </w:r>
      <w:r>
        <w:rPr>
          <w:rFonts w:hint="eastAsia" w:ascii="宋体" w:hAnsi="宋体" w:eastAsia="宋体" w:cs="宋体"/>
          <w:sz w:val="24"/>
        </w:rPr>
        <w:t>房屋建筑与市政基础设施工程安全生产责任保险费用按市建管[2024]12号计取</w:t>
      </w:r>
      <w:r>
        <w:rPr>
          <w:rFonts w:hint="eastAsia" w:ascii="宋体" w:hAnsi="宋体" w:eastAsia="宋体" w:cs="宋体"/>
          <w:sz w:val="24"/>
          <w:lang w:eastAsia="zh-CN"/>
        </w:rPr>
        <w:t>，</w:t>
      </w:r>
      <w:r>
        <w:rPr>
          <w:rFonts w:hint="eastAsia" w:ascii="宋体" w:hAnsi="宋体" w:eastAsia="宋体" w:cs="宋体"/>
          <w:sz w:val="24"/>
        </w:rPr>
        <w:t>税金</w:t>
      </w:r>
      <w:r>
        <w:rPr>
          <w:rFonts w:hint="eastAsia" w:ascii="宋体" w:hAnsi="宋体" w:eastAsia="宋体" w:cs="宋体"/>
          <w:sz w:val="24"/>
          <w:lang w:eastAsia="zh-CN"/>
        </w:rPr>
        <w:t>按税率</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eastAsia="zh-CN"/>
        </w:rPr>
        <w:t>计取，规费按费率</w:t>
      </w:r>
      <w:r>
        <w:rPr>
          <w:rFonts w:hint="eastAsia" w:ascii="宋体" w:hAnsi="宋体" w:eastAsia="宋体" w:cs="宋体"/>
          <w:sz w:val="24"/>
          <w:lang w:val="en-US" w:eastAsia="zh-CN"/>
        </w:rPr>
        <w:t>*0.3计取</w:t>
      </w:r>
      <w:r>
        <w:rPr>
          <w:rFonts w:hint="eastAsia" w:ascii="宋体" w:hAnsi="宋体" w:eastAsia="宋体" w:cs="宋体"/>
          <w:sz w:val="24"/>
        </w:rPr>
        <w:t>。]</w:t>
      </w:r>
    </w:p>
    <w:p w14:paraId="52A0E7E2">
      <w:pPr>
        <w:spacing w:line="480" w:lineRule="exact"/>
        <w:ind w:firstLine="504" w:firstLineChars="210"/>
        <w:contextualSpacing/>
        <w:rPr>
          <w:rFonts w:hint="eastAsia" w:ascii="宋体" w:hAnsi="宋体"/>
          <w:sz w:val="24"/>
        </w:rPr>
      </w:pPr>
      <w:r>
        <w:rPr>
          <w:rFonts w:hint="eastAsia" w:ascii="宋体" w:hAnsi="宋体" w:eastAsia="宋体" w:cs="宋体"/>
          <w:sz w:val="24"/>
        </w:rPr>
        <w:t>［减少后剩余部分工程量是指</w:t>
      </w:r>
      <w:r>
        <w:rPr>
          <w:rFonts w:hint="eastAsia" w:ascii="宋体" w:hAnsi="宋体"/>
          <w:sz w:val="24"/>
        </w:rPr>
        <w:t>工程量减少超过15%以上部分。例：原清单某项工程量为100m3，①实际结算工程量为65 m3，即减少超过15%以上部份工程量20 m3；②实际结算工程量零，即减少超过15%工程量为85 m3］</w:t>
      </w:r>
    </w:p>
    <w:p w14:paraId="2D8F7188">
      <w:pPr>
        <w:numPr>
          <w:ilvl w:val="0"/>
          <w:numId w:val="7"/>
        </w:numPr>
        <w:spacing w:line="360" w:lineRule="auto"/>
        <w:ind w:firstLine="504" w:firstLineChars="210"/>
        <w:rPr>
          <w:rFonts w:hint="eastAsia" w:ascii="宋体" w:hAnsi="宋体"/>
          <w:sz w:val="24"/>
        </w:rPr>
      </w:pPr>
      <w:r>
        <w:rPr>
          <w:rFonts w:hint="eastAsia" w:ascii="宋体" w:hAnsi="宋体"/>
          <w:sz w:val="24"/>
        </w:rPr>
        <w:t>因施工中出现施工图纸与工程量清单项目特征描述不符、分部分项工程量清单项目缺项(或漏项)、非承包人原因的工程变更等，引起新的工程项目，其相应的综合单价按以下方法确定：</w:t>
      </w:r>
    </w:p>
    <w:p w14:paraId="24907D32">
      <w:pPr>
        <w:spacing w:line="360" w:lineRule="auto"/>
        <w:ind w:firstLine="504" w:firstLineChars="210"/>
        <w:rPr>
          <w:rFonts w:hint="eastAsia" w:ascii="宋体" w:hAnsi="宋体"/>
          <w:sz w:val="24"/>
        </w:rPr>
      </w:pPr>
      <w:r>
        <w:rPr>
          <w:rFonts w:hint="eastAsia" w:ascii="宋体" w:hAnsi="宋体"/>
          <w:sz w:val="24"/>
        </w:rPr>
        <w:t>①已标价工程量清单中存在适用于变更工程项目的，采用该项目的单价；</w:t>
      </w:r>
    </w:p>
    <w:p w14:paraId="274803A5">
      <w:pPr>
        <w:spacing w:line="360" w:lineRule="auto"/>
        <w:ind w:firstLine="504" w:firstLineChars="210"/>
        <w:rPr>
          <w:rFonts w:hint="eastAsia" w:ascii="宋体" w:hAnsi="宋体"/>
          <w:sz w:val="24"/>
        </w:rPr>
      </w:pPr>
      <w:r>
        <w:rPr>
          <w:rFonts w:hint="eastAsia" w:ascii="宋体" w:hAnsi="宋体"/>
          <w:sz w:val="24"/>
        </w:rPr>
        <w:t>②已标价工程量清单中不存在适用单价但存在与变更工程类似项目价格的，可以参照类似项目的单价；如</w:t>
      </w:r>
      <w:r>
        <w:rPr>
          <w:rFonts w:hint="eastAsia" w:ascii="宋体" w:hAnsi="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sz w:val="24"/>
        </w:rPr>
        <w:t>；</w:t>
      </w:r>
    </w:p>
    <w:p w14:paraId="39D32FAF">
      <w:pPr>
        <w:spacing w:line="360" w:lineRule="auto"/>
        <w:ind w:firstLine="504" w:firstLineChars="210"/>
      </w:pPr>
      <w:r>
        <w:rPr>
          <w:rFonts w:hint="eastAsia" w:ascii="宋体" w:hAnsi="宋体"/>
          <w:sz w:val="24"/>
        </w:rPr>
        <w:t xml:space="preserve"> ③</w:t>
      </w:r>
      <w:r>
        <w:rPr>
          <w:rFonts w:hint="eastAsia" w:ascii="宋体" w:hAnsi="宋体" w:eastAsia="宋体" w:cs="宋体"/>
          <w:sz w:val="24"/>
        </w:rPr>
        <w:t>已标价工程量清单中不存在适用的价格也没有类似的变更工程项目价格的(一般指新增项目)，则由承包人按照变更工程资料、合同约定或者招标文件采用的计价依据、取费类别结合《关于进一步加强建设工程要素价格动态管理工作的通知》（甬建价〔2021〕9号）文件按招标文件约定下浮率</w:t>
      </w:r>
      <w:r>
        <w:rPr>
          <w:rFonts w:hint="eastAsia" w:ascii="宋体" w:hAnsi="宋体"/>
          <w:color w:val="auto"/>
          <w:sz w:val="24"/>
        </w:rPr>
        <w:t>（下浮</w:t>
      </w:r>
      <w:r>
        <w:rPr>
          <w:rFonts w:hint="eastAsia" w:ascii="宋体" w:hAnsi="宋体"/>
          <w:color w:val="auto"/>
          <w:sz w:val="24"/>
          <w:u w:val="single"/>
          <w:lang w:val="en-US" w:eastAsia="zh-CN"/>
        </w:rPr>
        <w:t xml:space="preserve">  </w:t>
      </w:r>
      <w:r>
        <w:rPr>
          <w:rFonts w:hint="eastAsia" w:ascii="宋体" w:hAnsi="宋体"/>
          <w:color w:val="auto"/>
          <w:sz w:val="24"/>
          <w:lang w:eastAsia="zh-CN"/>
        </w:rPr>
        <w:t>%</w:t>
      </w:r>
      <w:r>
        <w:rPr>
          <w:rFonts w:hint="eastAsia" w:ascii="宋体" w:hAnsi="宋体"/>
          <w:color w:val="auto"/>
          <w:sz w:val="24"/>
        </w:rPr>
        <w:t>）</w:t>
      </w:r>
      <w:r>
        <w:rPr>
          <w:rFonts w:hint="eastAsia" w:ascii="宋体" w:hAnsi="宋体"/>
          <w:sz w:val="24"/>
        </w:rPr>
        <w:t>组价后提出，经发包人确认后调整。</w:t>
      </w:r>
      <w:r>
        <w:rPr>
          <w:rFonts w:ascii="宋体" w:hAnsi="宋体"/>
          <w:sz w:val="24"/>
        </w:rPr>
        <w:t>[</w:t>
      </w:r>
      <w:r>
        <w:rPr>
          <w:rFonts w:hint="eastAsia" w:ascii="宋体" w:hAnsi="宋体"/>
          <w:sz w:val="24"/>
        </w:rPr>
        <w:t>工程类别：</w:t>
      </w:r>
      <w:r>
        <w:rPr>
          <w:rFonts w:hint="eastAsia" w:ascii="宋体" w:hAnsi="宋体" w:eastAsia="宋体" w:cs="Times New Roman"/>
          <w:sz w:val="24"/>
          <w:lang w:val="en-US" w:eastAsia="zh-CN"/>
        </w:rPr>
        <w:t>园林绿化工程按园林绿化及景观工程计取；组织措施费（计取安全文明施工费、二次搬运费、冬雨季施工增加费。其他费未计），费率按弹性区间中值计，规费按标准费率打3折计取</w:t>
      </w:r>
      <w:r>
        <w:rPr>
          <w:rFonts w:hint="eastAsia" w:ascii="宋体" w:hAnsi="宋体" w:eastAsia="宋体" w:cs="Times New Roman"/>
          <w:sz w:val="24"/>
        </w:rPr>
        <w:t>。]</w:t>
      </w:r>
    </w:p>
    <w:p w14:paraId="0AE9F058">
      <w:pPr>
        <w:spacing w:line="360" w:lineRule="auto"/>
        <w:ind w:firstLine="480" w:firstLineChars="200"/>
        <w:rPr>
          <w:rFonts w:hint="eastAsia" w:ascii="宋体" w:hAnsi="宋体"/>
          <w:kern w:val="0"/>
          <w:sz w:val="24"/>
        </w:rPr>
      </w:pPr>
      <w:r>
        <w:rPr>
          <w:rFonts w:hint="eastAsia" w:ascii="宋体" w:hAnsi="宋体"/>
          <w:kern w:val="0"/>
          <w:sz w:val="24"/>
        </w:rPr>
        <w:t>10.4.1.2 关于变更措施项目费的约定：</w:t>
      </w:r>
    </w:p>
    <w:p w14:paraId="6E606E31">
      <w:pPr>
        <w:spacing w:line="360" w:lineRule="auto"/>
        <w:ind w:firstLine="480" w:firstLineChars="200"/>
        <w:rPr>
          <w:rFonts w:hint="eastAsia" w:ascii="宋体" w:hAnsi="宋体"/>
          <w:kern w:val="0"/>
          <w:sz w:val="24"/>
        </w:rPr>
      </w:pPr>
      <w:r>
        <w:rPr>
          <w:rFonts w:hint="eastAsia" w:ascii="宋体" w:hAnsi="宋体"/>
          <w:kern w:val="0"/>
          <w:sz w:val="24"/>
        </w:rPr>
        <w:t>分部分项工程量清单非承包人原因的工程变更，造成施工组织设计或施工方案变更，以及分部分项工程量变化，引起措施项目数量、内容发生变化，措施项目费按以下原则调整：</w:t>
      </w:r>
    </w:p>
    <w:p w14:paraId="3478A260">
      <w:pPr>
        <w:spacing w:line="360" w:lineRule="auto"/>
        <w:ind w:firstLine="480" w:firstLineChars="200"/>
        <w:rPr>
          <w:rFonts w:hint="eastAsia" w:ascii="宋体" w:hAnsi="宋体"/>
          <w:kern w:val="0"/>
          <w:sz w:val="24"/>
          <w:u w:val="single"/>
        </w:rPr>
      </w:pPr>
      <w:r>
        <w:rPr>
          <w:rFonts w:hint="eastAsia" w:ascii="宋体" w:hAnsi="宋体"/>
          <w:kern w:val="0"/>
          <w:sz w:val="24"/>
        </w:rPr>
        <w:t>（1）施工组织措施费（按取费定额计取部分）按</w:t>
      </w:r>
      <w:r>
        <w:rPr>
          <w:rFonts w:hint="eastAsia" w:ascii="宋体" w:hAnsi="宋体"/>
          <w:sz w:val="24"/>
        </w:rPr>
        <w:t>已标价工程量清单中的所列</w:t>
      </w:r>
      <w:r>
        <w:rPr>
          <w:rFonts w:hint="eastAsia" w:ascii="宋体" w:hAnsi="宋体"/>
          <w:kern w:val="0"/>
          <w:sz w:val="24"/>
        </w:rPr>
        <w:t>费用包干使用，结算时无论工程量增减是否超过15%或新增项目均不作调整；新增的单项或单位工程施工组织措施费按相应工程计取。</w:t>
      </w:r>
    </w:p>
    <w:p w14:paraId="290C37D2">
      <w:pPr>
        <w:spacing w:line="360" w:lineRule="auto"/>
        <w:ind w:firstLine="480" w:firstLineChars="200"/>
        <w:rPr>
          <w:rFonts w:hint="eastAsia" w:ascii="宋体" w:hAnsi="宋体"/>
          <w:kern w:val="0"/>
          <w:sz w:val="24"/>
        </w:rPr>
      </w:pPr>
      <w:r>
        <w:rPr>
          <w:rFonts w:hint="eastAsia" w:ascii="宋体" w:hAnsi="宋体"/>
          <w:kern w:val="0"/>
          <w:sz w:val="24"/>
        </w:rPr>
        <w:t>（2）大型机械设备进退场费及安拆费按</w:t>
      </w:r>
      <w:r>
        <w:rPr>
          <w:rFonts w:hint="eastAsia" w:ascii="宋体" w:hAnsi="宋体"/>
          <w:sz w:val="24"/>
        </w:rPr>
        <w:t>已标价工程量清单中</w:t>
      </w:r>
      <w:r>
        <w:rPr>
          <w:rFonts w:hint="eastAsia" w:ascii="宋体" w:hAnsi="宋体"/>
          <w:kern w:val="0"/>
          <w:sz w:val="24"/>
        </w:rPr>
        <w:t>施工技术措施清单所列数量包干使用，结算时不作调整；</w:t>
      </w:r>
    </w:p>
    <w:p w14:paraId="0DEEC883">
      <w:pPr>
        <w:spacing w:line="360" w:lineRule="auto"/>
        <w:ind w:firstLine="480" w:firstLineChars="200"/>
        <w:rPr>
          <w:rFonts w:hint="eastAsia" w:ascii="宋体" w:hAnsi="宋体"/>
          <w:sz w:val="24"/>
        </w:rPr>
      </w:pPr>
      <w:r>
        <w:rPr>
          <w:rFonts w:hint="eastAsia" w:ascii="宋体" w:hAnsi="宋体"/>
          <w:kern w:val="0"/>
          <w:sz w:val="24"/>
        </w:rPr>
        <w:t>（3）施工技术措施项目（按现行定额部分）</w:t>
      </w:r>
      <w:r>
        <w:rPr>
          <w:rFonts w:hint="eastAsia" w:ascii="宋体" w:hAnsi="宋体"/>
          <w:sz w:val="24"/>
          <w:u w:val="single"/>
        </w:rPr>
        <w:t>按工程量清单项目结算办法结算</w:t>
      </w:r>
      <w:r>
        <w:rPr>
          <w:rFonts w:hint="eastAsia" w:ascii="宋体" w:hAnsi="宋体"/>
          <w:sz w:val="24"/>
        </w:rPr>
        <w:t>。</w:t>
      </w:r>
    </w:p>
    <w:p w14:paraId="363CB3C3">
      <w:pPr>
        <w:spacing w:line="360" w:lineRule="auto"/>
        <w:ind w:firstLine="480" w:firstLineChars="200"/>
        <w:rPr>
          <w:rFonts w:ascii="宋体" w:hAnsi="宋体"/>
          <w:color w:val="000000"/>
          <w:sz w:val="24"/>
        </w:rPr>
      </w:pPr>
      <w:r>
        <w:rPr>
          <w:rFonts w:ascii="宋体" w:hAnsi="宋体"/>
          <w:color w:val="000000"/>
          <w:sz w:val="24"/>
        </w:rPr>
        <w:t>1</w:t>
      </w:r>
      <w:bookmarkStart w:id="345" w:name="_Toc296891025"/>
      <w:bookmarkStart w:id="346" w:name="_Toc292559907"/>
      <w:bookmarkStart w:id="347" w:name="_Toc300934993"/>
      <w:bookmarkStart w:id="348" w:name="_Toc296944536"/>
      <w:bookmarkStart w:id="349" w:name="_Toc296891237"/>
      <w:bookmarkStart w:id="350" w:name="_Toc297216203"/>
      <w:bookmarkStart w:id="351" w:name="_Toc303539150"/>
      <w:bookmarkStart w:id="352" w:name="_Toc297048383"/>
      <w:bookmarkStart w:id="353" w:name="_Toc297123544"/>
      <w:bookmarkStart w:id="354" w:name="_Toc297120497"/>
      <w:bookmarkStart w:id="355" w:name="_Toc296503197"/>
      <w:bookmarkStart w:id="356" w:name="_Toc296347196"/>
      <w:bookmarkStart w:id="357" w:name="_Toc296346698"/>
      <w:bookmarkStart w:id="358" w:name="_Toc292559402"/>
      <w:bookmarkStart w:id="359" w:name="_Toc312677503"/>
      <w:bookmarkStart w:id="360" w:name="_Toc312678029"/>
      <w:bookmarkStart w:id="361" w:name="_Toc304295570"/>
      <w:r>
        <w:rPr>
          <w:rFonts w:ascii="宋体" w:hAnsi="宋体"/>
          <w:color w:val="000000"/>
          <w:sz w:val="24"/>
        </w:rPr>
        <w:t>0.5承</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Start w:id="362" w:name="_Toc292559408"/>
      <w:bookmarkStart w:id="363" w:name="_Toc296503203"/>
      <w:bookmarkStart w:id="364" w:name="_Toc297216204"/>
      <w:bookmarkStart w:id="365" w:name="_Toc297048389"/>
      <w:bookmarkStart w:id="366" w:name="_Toc296346704"/>
      <w:bookmarkStart w:id="367" w:name="_Toc292559913"/>
      <w:bookmarkStart w:id="368" w:name="_Toc303539151"/>
      <w:bookmarkStart w:id="369" w:name="_Toc296891031"/>
      <w:bookmarkStart w:id="370" w:name="_Toc297120503"/>
      <w:bookmarkStart w:id="371" w:name="_Toc300934994"/>
      <w:bookmarkStart w:id="372" w:name="_Toc297123545"/>
      <w:bookmarkStart w:id="373" w:name="_Toc296891243"/>
      <w:bookmarkStart w:id="374" w:name="_Toc296944542"/>
      <w:bookmarkStart w:id="375" w:name="_Toc296347202"/>
      <w:r>
        <w:rPr>
          <w:rFonts w:ascii="宋体" w:hAnsi="宋体"/>
          <w:color w:val="000000"/>
          <w:sz w:val="24"/>
        </w:rPr>
        <w:t>包人的合理化建议</w:t>
      </w:r>
    </w:p>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49A62AE0">
      <w:pPr>
        <w:spacing w:line="360" w:lineRule="auto"/>
        <w:ind w:firstLine="480" w:firstLineChars="200"/>
        <w:jc w:val="left"/>
        <w:rPr>
          <w:rFonts w:ascii="宋体" w:hAnsi="宋体"/>
          <w:color w:val="000000"/>
          <w:sz w:val="24"/>
        </w:rPr>
      </w:pPr>
      <w:r>
        <w:rPr>
          <w:rFonts w:ascii="宋体" w:hAnsi="宋体"/>
          <w:color w:val="000000"/>
          <w:sz w:val="24"/>
        </w:rPr>
        <w:t>监理人审查承包人合理化建议的期限：</w:t>
      </w:r>
      <w:r>
        <w:rPr>
          <w:rFonts w:hint="eastAsia" w:ascii="宋体" w:hAnsi="宋体"/>
          <w:color w:val="000000"/>
          <w:sz w:val="24"/>
          <w:u w:val="single"/>
        </w:rPr>
        <w:t xml:space="preserve">   /   </w:t>
      </w:r>
      <w:r>
        <w:rPr>
          <w:rFonts w:ascii="宋体" w:hAnsi="宋体"/>
          <w:color w:val="000000"/>
          <w:sz w:val="24"/>
        </w:rPr>
        <w:t>。</w:t>
      </w:r>
    </w:p>
    <w:p w14:paraId="5C87AA26">
      <w:pPr>
        <w:spacing w:line="360" w:lineRule="auto"/>
        <w:ind w:firstLine="480" w:firstLineChars="200"/>
        <w:jc w:val="left"/>
        <w:rPr>
          <w:rFonts w:ascii="宋体" w:hAnsi="宋体"/>
          <w:color w:val="000000"/>
          <w:sz w:val="24"/>
        </w:rPr>
      </w:pPr>
      <w:r>
        <w:rPr>
          <w:rFonts w:ascii="宋体" w:hAnsi="宋体"/>
          <w:color w:val="000000"/>
          <w:sz w:val="24"/>
        </w:rPr>
        <w:t>发包人审批承包人合理化建议的期限：</w:t>
      </w:r>
      <w:r>
        <w:rPr>
          <w:rFonts w:hint="eastAsia" w:ascii="宋体" w:hAnsi="宋体"/>
          <w:color w:val="000000"/>
          <w:sz w:val="24"/>
          <w:u w:val="single"/>
        </w:rPr>
        <w:t xml:space="preserve">   /   </w:t>
      </w:r>
      <w:r>
        <w:rPr>
          <w:rFonts w:ascii="宋体" w:hAnsi="宋体"/>
          <w:color w:val="000000"/>
          <w:sz w:val="24"/>
        </w:rPr>
        <w:t>。</w:t>
      </w:r>
    </w:p>
    <w:p w14:paraId="7FCEB2AE">
      <w:pPr>
        <w:spacing w:line="360" w:lineRule="auto"/>
        <w:jc w:val="left"/>
        <w:rPr>
          <w:rFonts w:ascii="宋体" w:hAnsi="宋体"/>
          <w:color w:val="000000"/>
          <w:sz w:val="24"/>
          <w:u w:val="single"/>
        </w:rPr>
      </w:pPr>
      <w:r>
        <w:rPr>
          <w:rFonts w:ascii="宋体" w:hAnsi="宋体"/>
          <w:color w:val="000000"/>
          <w:sz w:val="24"/>
        </w:rPr>
        <w:t>承</w:t>
      </w:r>
      <w:bookmarkStart w:id="376" w:name="_Toc304295571"/>
      <w:bookmarkStart w:id="377" w:name="_Toc300934995"/>
      <w:bookmarkStart w:id="378" w:name="_Toc312678030"/>
      <w:bookmarkStart w:id="379" w:name="_Toc292559409"/>
      <w:bookmarkStart w:id="380" w:name="_Toc318581175"/>
      <w:bookmarkStart w:id="381" w:name="_Toc303539152"/>
      <w:bookmarkStart w:id="382" w:name="_Toc297123546"/>
      <w:bookmarkStart w:id="383" w:name="_Toc296891032"/>
      <w:bookmarkStart w:id="384" w:name="_Toc297216205"/>
      <w:bookmarkStart w:id="385" w:name="_Toc312677504"/>
      <w:bookmarkStart w:id="386" w:name="_Toc292559914"/>
      <w:bookmarkStart w:id="387" w:name="_Toc297120504"/>
      <w:bookmarkStart w:id="388" w:name="_Toc296346705"/>
      <w:bookmarkStart w:id="389" w:name="_Toc296503204"/>
      <w:bookmarkStart w:id="390" w:name="_Toc296891244"/>
      <w:bookmarkStart w:id="391" w:name="_Toc296944543"/>
      <w:bookmarkStart w:id="392" w:name="_Toc297048390"/>
      <w:bookmarkStart w:id="393" w:name="_Toc296347203"/>
      <w:r>
        <w:rPr>
          <w:rFonts w:ascii="宋体" w:hAnsi="宋体"/>
          <w:color w:val="000000"/>
          <w:sz w:val="24"/>
        </w:rPr>
        <w:t>包人提出的合理化建议降低了合同价格或者提高了工程经济效益的奖励的方法和金额为：</w:t>
      </w:r>
      <w:r>
        <w:rPr>
          <w:rFonts w:hint="eastAsia" w:ascii="宋体" w:hAnsi="宋体"/>
          <w:color w:val="000000"/>
          <w:kern w:val="0"/>
          <w:sz w:val="24"/>
        </w:rPr>
        <w:t>奖励由承包人的合理化建议带给发包人利益的</w:t>
      </w:r>
      <w:r>
        <w:rPr>
          <w:rFonts w:hint="eastAsia" w:ascii="宋体" w:hAnsi="宋体"/>
          <w:color w:val="000000"/>
          <w:kern w:val="0"/>
          <w:sz w:val="24"/>
          <w:u w:val="single"/>
        </w:rPr>
        <w:t xml:space="preserve">   /   </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14:paraId="7E363439">
      <w:pPr>
        <w:spacing w:line="360" w:lineRule="auto"/>
        <w:ind w:firstLine="480" w:firstLineChars="200"/>
        <w:rPr>
          <w:rFonts w:ascii="宋体" w:hAnsi="宋体"/>
          <w:color w:val="000000"/>
          <w:sz w:val="24"/>
        </w:rPr>
      </w:pPr>
      <w:bookmarkStart w:id="394" w:name="_Toc312678034"/>
      <w:bookmarkStart w:id="395" w:name="_Toc318581176"/>
      <w:bookmarkStart w:id="396" w:name="_Toc312677508"/>
      <w:r>
        <w:rPr>
          <w:rFonts w:ascii="宋体" w:hAnsi="宋体"/>
          <w:color w:val="000000"/>
          <w:sz w:val="24"/>
        </w:rPr>
        <w:t>1</w:t>
      </w:r>
      <w:bookmarkStart w:id="397" w:name="_Toc296891027"/>
      <w:bookmarkStart w:id="398" w:name="_Toc296347198"/>
      <w:bookmarkStart w:id="399" w:name="_Toc296944538"/>
      <w:bookmarkStart w:id="400" w:name="_Toc296891239"/>
      <w:bookmarkStart w:id="401" w:name="_Toc292559404"/>
      <w:bookmarkStart w:id="402" w:name="_Toc312678033"/>
      <w:bookmarkStart w:id="403" w:name="_Toc292559909"/>
      <w:bookmarkStart w:id="404" w:name="_Toc297216207"/>
      <w:bookmarkStart w:id="405" w:name="_Toc297123548"/>
      <w:bookmarkStart w:id="406" w:name="_Toc304295574"/>
      <w:bookmarkStart w:id="407" w:name="_Toc297120499"/>
      <w:bookmarkStart w:id="408" w:name="_Toc312677507"/>
      <w:bookmarkStart w:id="409" w:name="_Toc303539154"/>
      <w:bookmarkStart w:id="410" w:name="_Toc297048385"/>
      <w:bookmarkStart w:id="411" w:name="_Toc300934997"/>
      <w:bookmarkStart w:id="412" w:name="_Toc296503199"/>
      <w:bookmarkStart w:id="413" w:name="_Toc296346700"/>
      <w:r>
        <w:rPr>
          <w:rFonts w:ascii="宋体" w:hAnsi="宋体"/>
          <w:color w:val="000000"/>
          <w:sz w:val="24"/>
        </w:rPr>
        <w:t>0.7 暂估价</w:t>
      </w:r>
    </w:p>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75753302">
      <w:pPr>
        <w:spacing w:line="360" w:lineRule="auto"/>
        <w:ind w:firstLine="480" w:firstLineChars="200"/>
        <w:jc w:val="left"/>
        <w:rPr>
          <w:rFonts w:ascii="宋体" w:hAnsi="宋体"/>
          <w:color w:val="000000"/>
          <w:sz w:val="24"/>
        </w:rPr>
      </w:pPr>
      <w:r>
        <w:rPr>
          <w:rFonts w:ascii="宋体" w:hAnsi="宋体"/>
          <w:color w:val="000000"/>
          <w:kern w:val="0"/>
          <w:sz w:val="24"/>
        </w:rPr>
        <w:t>暂估价材料和工程设备的明细详见附件</w:t>
      </w:r>
      <w:r>
        <w:rPr>
          <w:rFonts w:hint="eastAsia" w:ascii="宋体" w:hAnsi="宋体"/>
          <w:color w:val="000000"/>
          <w:kern w:val="0"/>
          <w:sz w:val="24"/>
        </w:rPr>
        <w:t>13-1和13-3：《材料</w:t>
      </w:r>
      <w:r>
        <w:rPr>
          <w:rFonts w:ascii="宋体" w:hAnsi="宋体"/>
          <w:color w:val="000000"/>
          <w:sz w:val="24"/>
        </w:rPr>
        <w:t>暂</w:t>
      </w:r>
      <w:r>
        <w:rPr>
          <w:rFonts w:hint="eastAsia" w:ascii="宋体" w:hAnsi="宋体"/>
          <w:color w:val="000000"/>
          <w:sz w:val="24"/>
        </w:rPr>
        <w:t>估</w:t>
      </w:r>
      <w:r>
        <w:rPr>
          <w:rFonts w:ascii="宋体" w:hAnsi="宋体"/>
          <w:color w:val="000000"/>
          <w:sz w:val="24"/>
        </w:rPr>
        <w:t>价一览表</w:t>
      </w:r>
      <w:r>
        <w:rPr>
          <w:rFonts w:hint="eastAsia" w:ascii="宋体" w:hAnsi="宋体"/>
          <w:color w:val="000000"/>
          <w:sz w:val="24"/>
        </w:rPr>
        <w:t>》和、《专业工程</w:t>
      </w:r>
      <w:r>
        <w:rPr>
          <w:rFonts w:hint="eastAsia" w:ascii="宋体" w:hAnsi="宋体" w:cs="宋体"/>
          <w:color w:val="000000"/>
          <w:sz w:val="24"/>
        </w:rPr>
        <w:t>暂估价表》</w:t>
      </w:r>
      <w:r>
        <w:rPr>
          <w:rFonts w:hint="eastAsia" w:ascii="宋体" w:hAnsi="宋体"/>
          <w:color w:val="000000"/>
          <w:kern w:val="0"/>
          <w:sz w:val="24"/>
        </w:rPr>
        <w:t>。</w:t>
      </w:r>
    </w:p>
    <w:p w14:paraId="27479F8B">
      <w:pPr>
        <w:spacing w:line="360" w:lineRule="auto"/>
        <w:ind w:firstLine="480" w:firstLineChars="200"/>
        <w:jc w:val="left"/>
        <w:rPr>
          <w:rFonts w:ascii="宋体" w:hAnsi="宋体"/>
          <w:color w:val="000000"/>
          <w:sz w:val="24"/>
        </w:rPr>
      </w:pPr>
      <w:r>
        <w:rPr>
          <w:rFonts w:ascii="宋体" w:hAnsi="宋体"/>
          <w:color w:val="000000"/>
          <w:sz w:val="24"/>
        </w:rPr>
        <w:t>10.7.1 依法必须招标的暂估价项目</w:t>
      </w:r>
    </w:p>
    <w:p w14:paraId="6BDCE01C">
      <w:pPr>
        <w:spacing w:line="360" w:lineRule="auto"/>
        <w:ind w:firstLine="480" w:firstLineChars="200"/>
        <w:jc w:val="left"/>
        <w:rPr>
          <w:rFonts w:ascii="宋体" w:hAnsi="宋体"/>
          <w:color w:val="000000"/>
          <w:sz w:val="24"/>
        </w:rPr>
      </w:pPr>
      <w:r>
        <w:rPr>
          <w:rFonts w:ascii="宋体" w:hAnsi="宋体"/>
          <w:color w:val="000000"/>
          <w:sz w:val="24"/>
        </w:rPr>
        <w:t>对于依法必须招标的暂估价项目的确认和批准采取第</w:t>
      </w:r>
      <w:r>
        <w:rPr>
          <w:rFonts w:ascii="宋体" w:hAnsi="宋体"/>
          <w:color w:val="000000"/>
          <w:sz w:val="24"/>
          <w:u w:val="single"/>
        </w:rPr>
        <w:t xml:space="preserve"> </w:t>
      </w:r>
      <w:r>
        <w:rPr>
          <w:rFonts w:hint="eastAsia" w:ascii="宋体" w:hAnsi="宋体"/>
          <w:color w:val="000000"/>
          <w:sz w:val="24"/>
          <w:u w:val="single"/>
        </w:rPr>
        <w:t>1</w:t>
      </w:r>
      <w:r>
        <w:rPr>
          <w:rFonts w:ascii="宋体" w:hAnsi="宋体"/>
          <w:color w:val="000000"/>
          <w:sz w:val="24"/>
          <w:u w:val="single"/>
        </w:rPr>
        <w:t xml:space="preserve"> </w:t>
      </w:r>
      <w:r>
        <w:rPr>
          <w:rFonts w:ascii="宋体" w:hAnsi="宋体"/>
          <w:color w:val="000000"/>
          <w:sz w:val="24"/>
        </w:rPr>
        <w:t>种方式确定。</w:t>
      </w:r>
    </w:p>
    <w:p w14:paraId="4E083952">
      <w:pPr>
        <w:spacing w:line="360" w:lineRule="auto"/>
        <w:ind w:firstLine="480" w:firstLineChars="200"/>
        <w:jc w:val="left"/>
        <w:rPr>
          <w:highlight w:val="none"/>
        </w:rPr>
      </w:pPr>
      <w:r>
        <w:rPr>
          <w:rFonts w:hint="eastAsia" w:ascii="宋体" w:hAnsi="宋体"/>
          <w:color w:val="auto"/>
          <w:sz w:val="24"/>
          <w:szCs w:val="24"/>
          <w:highlight w:val="none"/>
        </w:rPr>
        <w:t>第1种方式：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57D9D629">
      <w:pPr>
        <w:spacing w:line="360" w:lineRule="auto"/>
        <w:ind w:firstLine="480" w:firstLineChars="200"/>
        <w:jc w:val="left"/>
        <w:rPr>
          <w:rFonts w:ascii="宋体" w:hAnsi="宋体"/>
          <w:color w:val="000000"/>
          <w:sz w:val="24"/>
        </w:rPr>
      </w:pPr>
      <w:r>
        <w:rPr>
          <w:rFonts w:ascii="宋体" w:hAnsi="宋体"/>
          <w:color w:val="000000"/>
          <w:sz w:val="24"/>
        </w:rPr>
        <w:t>10.7.2 不属于依法必须招标的暂估价项目</w:t>
      </w:r>
    </w:p>
    <w:p w14:paraId="2B9910D7">
      <w:pPr>
        <w:spacing w:line="360" w:lineRule="auto"/>
        <w:ind w:firstLine="480" w:firstLineChars="200"/>
        <w:jc w:val="left"/>
        <w:rPr>
          <w:rFonts w:hint="eastAsia" w:ascii="宋体" w:hAnsi="宋体"/>
          <w:color w:val="000000"/>
          <w:sz w:val="24"/>
        </w:rPr>
      </w:pPr>
      <w:r>
        <w:rPr>
          <w:rFonts w:ascii="宋体" w:hAnsi="宋体"/>
          <w:color w:val="000000"/>
          <w:sz w:val="24"/>
        </w:rPr>
        <w:t>对于不属于依法必须招标的暂估价项目的确认和批准采取第</w:t>
      </w:r>
      <w:r>
        <w:rPr>
          <w:rFonts w:hint="eastAsia" w:ascii="宋体" w:hAnsi="宋体"/>
          <w:color w:val="000000"/>
          <w:sz w:val="24"/>
          <w:u w:val="single"/>
        </w:rPr>
        <w:t>3</w:t>
      </w:r>
      <w:r>
        <w:rPr>
          <w:rFonts w:ascii="宋体" w:hAnsi="宋体"/>
          <w:color w:val="000000"/>
          <w:sz w:val="24"/>
        </w:rPr>
        <w:t>种方式确定。</w:t>
      </w:r>
    </w:p>
    <w:p w14:paraId="11C19D62">
      <w:pPr>
        <w:spacing w:line="360" w:lineRule="auto"/>
        <w:ind w:firstLine="480" w:firstLineChars="200"/>
        <w:rPr>
          <w:rFonts w:hint="eastAsia" w:ascii="宋体" w:hAnsi="宋体"/>
          <w:sz w:val="24"/>
          <w:u w:val="single"/>
        </w:rPr>
      </w:pPr>
      <w:r>
        <w:rPr>
          <w:rFonts w:ascii="宋体" w:hAnsi="宋体"/>
          <w:color w:val="000000"/>
          <w:sz w:val="24"/>
        </w:rPr>
        <w:t>第3种方式：</w:t>
      </w:r>
      <w:r>
        <w:rPr>
          <w:rFonts w:ascii="宋体" w:hAnsi="宋体"/>
          <w:color w:val="000000"/>
          <w:kern w:val="0"/>
          <w:sz w:val="24"/>
        </w:rPr>
        <w:t>承包人直接实施的暂估价项目</w:t>
      </w:r>
      <w:bookmarkEnd w:id="394"/>
      <w:bookmarkEnd w:id="395"/>
      <w:bookmarkEnd w:id="396"/>
      <w:r>
        <w:rPr>
          <w:rFonts w:hint="eastAsia" w:ascii="宋体" w:hAnsi="宋体"/>
          <w:color w:val="000000"/>
          <w:kern w:val="0"/>
          <w:sz w:val="24"/>
          <w:u w:val="single"/>
          <w:lang w:val="en-US" w:eastAsia="zh-CN"/>
        </w:rPr>
        <w:t xml:space="preserve"> 竣工结算时工程量按实计算，套用现行定额及相应的工程类别取费和主要材料参照按《关于进一步加强建设工程要素价格动态管理工作的通知》（甬建价[2021]9 号）平均信息价并按下浮  %结算，其中签证的特殊材料，只计取税金，不计其他任何费用，不下浮     </w:t>
      </w:r>
      <w:r>
        <w:rPr>
          <w:rFonts w:hint="eastAsia" w:ascii="宋体" w:hAnsi="宋体"/>
          <w:color w:val="000000"/>
          <w:sz w:val="24"/>
        </w:rPr>
        <w:t>。</w:t>
      </w:r>
    </w:p>
    <w:p w14:paraId="37960D6A">
      <w:pPr>
        <w:spacing w:line="360" w:lineRule="auto"/>
        <w:ind w:firstLine="480" w:firstLineChars="200"/>
        <w:rPr>
          <w:rFonts w:ascii="宋体" w:hAnsi="宋体"/>
          <w:color w:val="000000"/>
          <w:sz w:val="24"/>
        </w:rPr>
      </w:pPr>
      <w:r>
        <w:rPr>
          <w:rFonts w:ascii="宋体" w:hAnsi="宋体"/>
          <w:color w:val="000000"/>
          <w:sz w:val="24"/>
        </w:rPr>
        <w:t>10.8 暂列金额</w:t>
      </w:r>
    </w:p>
    <w:p w14:paraId="7152C39B">
      <w:pPr>
        <w:autoSpaceDE w:val="0"/>
        <w:autoSpaceDN w:val="0"/>
        <w:adjustRightInd w:val="0"/>
        <w:spacing w:line="360" w:lineRule="auto"/>
        <w:ind w:firstLine="600" w:firstLineChars="250"/>
        <w:jc w:val="left"/>
        <w:rPr>
          <w:rFonts w:ascii="宋体" w:hAnsi="宋体"/>
          <w:color w:val="000000"/>
          <w:kern w:val="0"/>
          <w:sz w:val="24"/>
        </w:rPr>
      </w:pPr>
      <w:r>
        <w:rPr>
          <w:rFonts w:hint="eastAsia" w:ascii="宋体" w:hAnsi="宋体"/>
          <w:color w:val="000000"/>
          <w:kern w:val="0"/>
          <w:sz w:val="24"/>
        </w:rPr>
        <w:t>合同当事人关于暂列金额使用的约定：</w:t>
      </w:r>
      <w:r>
        <w:rPr>
          <w:rFonts w:hint="eastAsia" w:ascii="宋体" w:hAnsi="宋体" w:cs="宋体"/>
          <w:sz w:val="24"/>
          <w:u w:val="single"/>
          <w:lang w:val="en-US" w:eastAsia="zh-CN"/>
        </w:rPr>
        <w:t xml:space="preserve">     /     </w:t>
      </w:r>
      <w:r>
        <w:rPr>
          <w:rFonts w:hint="eastAsia" w:ascii="宋体" w:hAnsi="宋体"/>
          <w:color w:val="000000"/>
          <w:kern w:val="0"/>
          <w:sz w:val="24"/>
        </w:rPr>
        <w:t>。</w:t>
      </w:r>
    </w:p>
    <w:p w14:paraId="560345A7">
      <w:pPr>
        <w:pStyle w:val="6"/>
        <w:spacing w:before="0" w:after="0" w:line="360" w:lineRule="auto"/>
        <w:ind w:firstLine="480" w:firstLineChars="200"/>
        <w:rPr>
          <w:rFonts w:hint="eastAsia" w:ascii="宋体" w:hAnsi="宋体" w:eastAsia="宋体" w:cs="宋体"/>
          <w:b w:val="0"/>
          <w:color w:val="000000"/>
          <w:sz w:val="24"/>
          <w:szCs w:val="24"/>
        </w:rPr>
      </w:pPr>
      <w:bookmarkStart w:id="414" w:name="_Toc351203643"/>
      <w:bookmarkStart w:id="415" w:name="_Toc386638617"/>
      <w:r>
        <w:rPr>
          <w:rFonts w:hint="eastAsia" w:ascii="宋体" w:hAnsi="宋体" w:eastAsia="宋体" w:cs="宋体"/>
          <w:b w:val="0"/>
          <w:color w:val="000000"/>
          <w:sz w:val="24"/>
          <w:szCs w:val="24"/>
        </w:rPr>
        <w:t>11. 价格调整</w:t>
      </w:r>
      <w:bookmarkEnd w:id="414"/>
      <w:bookmarkEnd w:id="415"/>
    </w:p>
    <w:p w14:paraId="72B5ACEA">
      <w:pPr>
        <w:spacing w:line="360" w:lineRule="auto"/>
        <w:ind w:firstLine="480" w:firstLineChars="200"/>
        <w:rPr>
          <w:rFonts w:hint="eastAsia" w:ascii="宋体" w:hAnsi="宋体" w:eastAsia="宋体"/>
          <w:b/>
          <w:bCs/>
          <w:sz w:val="24"/>
          <w:szCs w:val="24"/>
          <w:lang w:eastAsia="zh-CN"/>
        </w:rPr>
      </w:pPr>
      <w:bookmarkStart w:id="416" w:name="_Toc296347200"/>
      <w:bookmarkStart w:id="417" w:name="_Toc300935000"/>
      <w:bookmarkStart w:id="418" w:name="_Toc296944540"/>
      <w:bookmarkStart w:id="419" w:name="_Toc312678039"/>
      <w:bookmarkStart w:id="420" w:name="_Toc297123550"/>
      <w:bookmarkStart w:id="421" w:name="_Toc296891029"/>
      <w:bookmarkStart w:id="422" w:name="_Toc297216209"/>
      <w:bookmarkStart w:id="423" w:name="_Toc296503201"/>
      <w:bookmarkStart w:id="424" w:name="_Toc296891241"/>
      <w:bookmarkStart w:id="425" w:name="_Toc292559406"/>
      <w:bookmarkStart w:id="426" w:name="_Toc292559911"/>
      <w:bookmarkStart w:id="427" w:name="_Toc296346702"/>
      <w:bookmarkStart w:id="428" w:name="_Toc297120501"/>
      <w:bookmarkStart w:id="429" w:name="_Toc304295577"/>
      <w:bookmarkStart w:id="430" w:name="_Toc297048387"/>
      <w:bookmarkStart w:id="431" w:name="_Toc303539157"/>
      <w:r>
        <w:rPr>
          <w:rFonts w:hint="eastAsia" w:ascii="宋体" w:hAnsi="宋体" w:cs="宋体"/>
          <w:sz w:val="24"/>
        </w:rPr>
        <w:t>11.1 市场价格波动引起的调整</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8F2281A">
      <w:pPr>
        <w:spacing w:line="360" w:lineRule="auto"/>
        <w:ind w:firstLine="480" w:firstLineChars="200"/>
        <w:jc w:val="left"/>
        <w:rPr>
          <w:rFonts w:hint="eastAsia" w:ascii="宋体" w:hAnsi="宋体"/>
          <w:sz w:val="24"/>
          <w:szCs w:val="24"/>
          <w:u w:val="single"/>
        </w:rPr>
      </w:pPr>
      <w:r>
        <w:rPr>
          <w:rFonts w:ascii="宋体" w:hAnsi="宋体"/>
          <w:kern w:val="0"/>
          <w:sz w:val="24"/>
          <w:szCs w:val="24"/>
        </w:rPr>
        <w:t>市场价格波动是否调整合同价格的约定：</w:t>
      </w:r>
      <w:r>
        <w:rPr>
          <w:rFonts w:hint="eastAsia" w:ascii="宋体" w:hAnsi="宋体"/>
          <w:kern w:val="0"/>
          <w:sz w:val="24"/>
          <w:szCs w:val="24"/>
        </w:rPr>
        <w:t>按《关于进一步加强建设工程要素价格动态管理工 作的通知》（甬建价[2021]9 号）</w:t>
      </w:r>
      <w:r>
        <w:rPr>
          <w:rFonts w:hint="eastAsia" w:ascii="宋体" w:hAnsi="宋体"/>
          <w:sz w:val="24"/>
          <w:szCs w:val="24"/>
        </w:rPr>
        <w:t>执行，具体材料指</w:t>
      </w:r>
      <w:r>
        <w:rPr>
          <w:rFonts w:hint="eastAsia" w:ascii="宋体" w:hAnsi="宋体"/>
          <w:sz w:val="24"/>
          <w:szCs w:val="24"/>
          <w:u w:val="single"/>
        </w:rPr>
        <w:t xml:space="preserve">  </w:t>
      </w:r>
      <w:r>
        <w:rPr>
          <w:rFonts w:hint="eastAsia" w:ascii="宋体" w:hAnsi="宋体"/>
          <w:kern w:val="0"/>
          <w:sz w:val="24"/>
          <w:szCs w:val="24"/>
          <w:u w:val="single"/>
        </w:rPr>
        <w:t>《</w:t>
      </w:r>
      <w:r>
        <w:rPr>
          <w:rFonts w:hint="eastAsia" w:ascii="宋体" w:hAnsi="宋体"/>
          <w:sz w:val="24"/>
          <w:szCs w:val="24"/>
          <w:u w:val="single"/>
        </w:rPr>
        <w:t>关于明确政府投资建设工程要素价格风险的通知》文件中建筑工程材料价差结算期表中所列的种类。</w:t>
      </w:r>
    </w:p>
    <w:p w14:paraId="0C20F44E">
      <w:pPr>
        <w:pStyle w:val="94"/>
        <w:spacing w:line="360" w:lineRule="auto"/>
        <w:ind w:firstLine="458" w:firstLineChars="190"/>
        <w:rPr>
          <w:rFonts w:hint="eastAsia" w:hAnsi="宋体"/>
          <w:color w:val="000000"/>
          <w:szCs w:val="24"/>
        </w:rPr>
      </w:pPr>
      <w:r>
        <w:rPr>
          <w:rFonts w:hint="eastAsia" w:hAnsi="宋体"/>
          <w:color w:val="000000"/>
          <w:szCs w:val="24"/>
        </w:rPr>
        <w:t>11.2 法律变化引起的调整</w:t>
      </w:r>
    </w:p>
    <w:p w14:paraId="149F2F0D">
      <w:pPr>
        <w:spacing w:line="360" w:lineRule="auto"/>
        <w:ind w:firstLine="480" w:firstLineChars="200"/>
        <w:rPr>
          <w:rFonts w:hint="eastAsia" w:ascii="宋体" w:hAnsi="宋体"/>
          <w:color w:val="000000"/>
          <w:sz w:val="24"/>
        </w:rPr>
      </w:pPr>
      <w:r>
        <w:rPr>
          <w:rFonts w:hint="eastAsia" w:ascii="宋体" w:hAnsi="宋体"/>
          <w:color w:val="000000"/>
          <w:sz w:val="24"/>
        </w:rPr>
        <w:t>合同当事人关于本条的补充约定：</w:t>
      </w:r>
    </w:p>
    <w:p w14:paraId="1CC0A403">
      <w:pPr>
        <w:spacing w:line="360" w:lineRule="auto"/>
        <w:ind w:firstLine="480" w:firstLineChars="200"/>
        <w:rPr>
          <w:rFonts w:hint="eastAsia" w:ascii="宋体" w:hAnsi="宋体"/>
          <w:color w:val="000000"/>
          <w:sz w:val="24"/>
        </w:rPr>
      </w:pPr>
      <w:r>
        <w:rPr>
          <w:rFonts w:hint="eastAsia" w:ascii="宋体" w:hAnsi="宋体"/>
          <w:color w:val="000000"/>
          <w:sz w:val="24"/>
        </w:rPr>
        <w:t>（1）本条所称的法律包括法律、法规、规章及规范性文件。</w:t>
      </w:r>
    </w:p>
    <w:p w14:paraId="7FE0CEAF">
      <w:pPr>
        <w:spacing w:line="360" w:lineRule="auto"/>
        <w:ind w:firstLine="480" w:firstLineChars="200"/>
        <w:rPr>
          <w:rFonts w:hint="eastAsia" w:ascii="宋体" w:hAnsi="宋体"/>
          <w:color w:val="000000"/>
          <w:sz w:val="24"/>
        </w:rPr>
      </w:pPr>
      <w:r>
        <w:rPr>
          <w:rFonts w:hint="eastAsia" w:ascii="宋体" w:hAnsi="宋体"/>
          <w:color w:val="000000"/>
          <w:sz w:val="24"/>
        </w:rPr>
        <w:t>基准日期后，法律变化引起工程造价增减变化的，发包人和承包人双方应按照省级或行业建设主管部门或其授权的工程造价管理机构据此发布的规定调整合同价款。</w:t>
      </w:r>
    </w:p>
    <w:p w14:paraId="08D1484B">
      <w:pPr>
        <w:spacing w:line="360" w:lineRule="auto"/>
        <w:ind w:firstLine="482" w:firstLineChars="200"/>
        <w:rPr>
          <w:rFonts w:hint="eastAsia" w:ascii="宋体" w:hAnsi="宋体"/>
          <w:b/>
          <w:color w:val="000000"/>
          <w:sz w:val="24"/>
        </w:rPr>
      </w:pPr>
      <w:r>
        <w:rPr>
          <w:rFonts w:hint="eastAsia" w:ascii="宋体" w:hAnsi="宋体"/>
          <w:b/>
          <w:color w:val="000000"/>
          <w:sz w:val="24"/>
        </w:rPr>
        <w:t>11.3 其他项目费用的调整</w:t>
      </w:r>
    </w:p>
    <w:p w14:paraId="07E93C82">
      <w:pPr>
        <w:spacing w:line="360" w:lineRule="auto"/>
        <w:ind w:firstLine="480" w:firstLineChars="200"/>
        <w:rPr>
          <w:rFonts w:hint="eastAsia" w:ascii="宋体" w:hAnsi="宋体"/>
          <w:color w:val="000000"/>
          <w:sz w:val="24"/>
        </w:rPr>
      </w:pPr>
      <w:r>
        <w:rPr>
          <w:rFonts w:hint="eastAsia" w:ascii="宋体" w:hAnsi="宋体"/>
          <w:color w:val="000000"/>
          <w:sz w:val="24"/>
        </w:rPr>
        <w:t>（1）承包人应发包人要求完成合同以外的项目、工作，或者发生应由发包人承担责任的事件，承包人应按合同约定的时间、程序向发包人提出费用或责任事件确认的现场签证，发包人就涉及工程量、价、费等内容进行核对，并详细、明确签署相应意见。现场签证作为期中结算、竣工结算的依据。</w:t>
      </w:r>
    </w:p>
    <w:p w14:paraId="32351538">
      <w:pPr>
        <w:spacing w:line="360" w:lineRule="auto"/>
        <w:ind w:firstLine="480" w:firstLineChars="200"/>
        <w:rPr>
          <w:rFonts w:hint="eastAsia" w:ascii="宋体" w:hAnsi="宋体"/>
          <w:color w:val="000000"/>
          <w:sz w:val="24"/>
        </w:rPr>
      </w:pPr>
      <w:r>
        <w:rPr>
          <w:rFonts w:hint="eastAsia" w:ascii="宋体" w:hAnsi="宋体"/>
          <w:color w:val="000000"/>
          <w:sz w:val="24"/>
        </w:rPr>
        <w:t>（2）计日工应按发包人实际签证确认的事项所发生的数量计算。</w:t>
      </w:r>
    </w:p>
    <w:p w14:paraId="4E4F37D6">
      <w:pPr>
        <w:spacing w:line="360" w:lineRule="auto"/>
        <w:ind w:firstLine="480" w:firstLineChars="200"/>
        <w:jc w:val="left"/>
        <w:rPr>
          <w:rFonts w:ascii="宋体" w:hAnsi="宋体"/>
          <w:color w:val="000000"/>
          <w:sz w:val="24"/>
        </w:rPr>
      </w:pPr>
      <w:r>
        <w:rPr>
          <w:rFonts w:hint="eastAsia" w:ascii="宋体" w:hAnsi="宋体"/>
          <w:color w:val="000000"/>
          <w:sz w:val="24"/>
        </w:rPr>
        <w:t>（3）如发包人在工程量清单中提供了暂估价的设备材料属于依法必须招标的，由发包人和承包人共同通过招标确定设备材料的单价，若设备材料不属于依法必须招标的，按双方协商确认的市场价格或参照工程造价管理机构发布的相应市场价格信息确认单价，并相应调整合同价款</w:t>
      </w:r>
      <w:r>
        <w:rPr>
          <w:rFonts w:ascii="宋体" w:hAnsi="宋体"/>
          <w:color w:val="000000"/>
          <w:sz w:val="24"/>
        </w:rPr>
        <w:t>。</w:t>
      </w:r>
    </w:p>
    <w:p w14:paraId="7CFDD843">
      <w:pPr>
        <w:pStyle w:val="6"/>
        <w:spacing w:before="0" w:after="0" w:line="360" w:lineRule="auto"/>
        <w:rPr>
          <w:rFonts w:ascii="宋体" w:hAnsi="宋体"/>
          <w:b w:val="0"/>
          <w:sz w:val="24"/>
          <w:szCs w:val="24"/>
        </w:rPr>
      </w:pPr>
      <w:bookmarkStart w:id="432" w:name="_Toc297048391"/>
      <w:bookmarkStart w:id="433" w:name="_Toc296503205"/>
      <w:bookmarkStart w:id="434" w:name="_Toc297120505"/>
      <w:bookmarkStart w:id="435" w:name="_Toc296346706"/>
      <w:bookmarkStart w:id="436" w:name="_Toc296944544"/>
      <w:bookmarkStart w:id="437" w:name="_Toc296891245"/>
      <w:bookmarkStart w:id="438" w:name="_Toc296891033"/>
      <w:bookmarkStart w:id="439" w:name="_Toc296347204"/>
      <w:bookmarkStart w:id="440" w:name="_Toc292559915"/>
      <w:bookmarkStart w:id="441" w:name="_Toc292559410"/>
      <w:bookmarkStart w:id="442" w:name="_Toc351203644"/>
      <w:bookmarkStart w:id="443" w:name="_Toc386638618"/>
      <w:bookmarkStart w:id="444" w:name="_Toc312678040"/>
      <w:bookmarkStart w:id="445" w:name="_Toc297216211"/>
      <w:bookmarkStart w:id="446" w:name="_Toc300935002"/>
      <w:bookmarkStart w:id="447" w:name="_Toc304295579"/>
      <w:bookmarkStart w:id="448" w:name="_Toc297123552"/>
      <w:bookmarkStart w:id="449" w:name="_Toc303539159"/>
      <w:bookmarkStart w:id="450" w:name="_Toc296347206"/>
      <w:bookmarkStart w:id="451" w:name="_Toc312678042"/>
      <w:bookmarkStart w:id="452" w:name="_Toc292559917"/>
      <w:bookmarkStart w:id="453" w:name="_Toc296891247"/>
      <w:bookmarkStart w:id="454" w:name="_Toc297120507"/>
      <w:bookmarkStart w:id="455" w:name="_Toc296346708"/>
      <w:bookmarkStart w:id="456" w:name="_Toc300935004"/>
      <w:bookmarkStart w:id="457" w:name="_Toc297216213"/>
      <w:bookmarkStart w:id="458" w:name="_Toc296944546"/>
      <w:bookmarkStart w:id="459" w:name="_Toc292559412"/>
      <w:bookmarkStart w:id="460" w:name="_Toc297048393"/>
      <w:bookmarkStart w:id="461" w:name="_Toc297123554"/>
      <w:bookmarkStart w:id="462" w:name="_Toc303539161"/>
      <w:bookmarkStart w:id="463" w:name="_Toc304295581"/>
      <w:bookmarkStart w:id="464" w:name="_Toc296503207"/>
      <w:bookmarkStart w:id="465" w:name="_Toc296891035"/>
      <w:r>
        <w:rPr>
          <w:rFonts w:ascii="宋体" w:hAnsi="宋体"/>
          <w:b w:val="0"/>
          <w:sz w:val="24"/>
          <w:szCs w:val="24"/>
        </w:rPr>
        <w:t xml:space="preserve">12. </w:t>
      </w:r>
      <w:bookmarkEnd w:id="432"/>
      <w:bookmarkEnd w:id="433"/>
      <w:bookmarkEnd w:id="434"/>
      <w:bookmarkEnd w:id="435"/>
      <w:bookmarkEnd w:id="436"/>
      <w:bookmarkEnd w:id="437"/>
      <w:bookmarkEnd w:id="438"/>
      <w:bookmarkEnd w:id="439"/>
      <w:bookmarkEnd w:id="440"/>
      <w:bookmarkEnd w:id="441"/>
      <w:r>
        <w:rPr>
          <w:rFonts w:ascii="宋体" w:hAnsi="宋体"/>
          <w:b w:val="0"/>
          <w:sz w:val="24"/>
          <w:szCs w:val="24"/>
        </w:rPr>
        <w:t>合同价格、计量与支付</w:t>
      </w:r>
      <w:bookmarkEnd w:id="442"/>
      <w:bookmarkEnd w:id="443"/>
    </w:p>
    <w:bookmarkEnd w:id="444"/>
    <w:bookmarkEnd w:id="445"/>
    <w:bookmarkEnd w:id="446"/>
    <w:bookmarkEnd w:id="447"/>
    <w:bookmarkEnd w:id="448"/>
    <w:bookmarkEnd w:id="449"/>
    <w:p w14:paraId="3AA29A60">
      <w:pPr>
        <w:spacing w:line="360" w:lineRule="auto"/>
        <w:ind w:firstLine="480" w:firstLineChars="200"/>
        <w:rPr>
          <w:rFonts w:ascii="宋体" w:hAnsi="宋体"/>
          <w:sz w:val="24"/>
        </w:rPr>
      </w:pPr>
      <w:bookmarkStart w:id="466" w:name="_Toc292559411"/>
      <w:bookmarkStart w:id="467" w:name="_Toc267251461"/>
      <w:bookmarkStart w:id="468" w:name="_Toc292559916"/>
      <w:bookmarkStart w:id="469" w:name="_Toc296503206"/>
      <w:bookmarkStart w:id="470" w:name="_Toc296891034"/>
      <w:bookmarkStart w:id="471" w:name="_Toc297048392"/>
      <w:bookmarkStart w:id="472" w:name="_Toc296891246"/>
      <w:bookmarkStart w:id="473" w:name="_Toc296346707"/>
      <w:bookmarkStart w:id="474" w:name="_Toc296944545"/>
      <w:bookmarkStart w:id="475" w:name="_Toc296347205"/>
      <w:bookmarkStart w:id="476" w:name="_Toc297120506"/>
      <w:bookmarkStart w:id="477" w:name="_Toc312678041"/>
      <w:bookmarkStart w:id="478" w:name="_Toc303539160"/>
      <w:bookmarkStart w:id="479" w:name="_Toc300935003"/>
      <w:bookmarkStart w:id="480" w:name="_Toc297216212"/>
      <w:bookmarkStart w:id="481" w:name="_Toc297123553"/>
      <w:bookmarkStart w:id="482" w:name="_Toc304295580"/>
      <w:r>
        <w:rPr>
          <w:rFonts w:ascii="宋体" w:hAnsi="宋体"/>
          <w:sz w:val="24"/>
        </w:rPr>
        <w:t>12.1 合</w:t>
      </w:r>
      <w:bookmarkEnd w:id="466"/>
      <w:bookmarkEnd w:id="467"/>
      <w:bookmarkEnd w:id="468"/>
      <w:r>
        <w:rPr>
          <w:rFonts w:ascii="宋体" w:hAnsi="宋体"/>
          <w:sz w:val="24"/>
        </w:rPr>
        <w:t>同价</w:t>
      </w:r>
      <w:bookmarkEnd w:id="469"/>
      <w:bookmarkEnd w:id="470"/>
      <w:bookmarkEnd w:id="471"/>
      <w:bookmarkEnd w:id="472"/>
      <w:bookmarkEnd w:id="473"/>
      <w:bookmarkEnd w:id="474"/>
      <w:bookmarkEnd w:id="475"/>
      <w:bookmarkEnd w:id="476"/>
      <w:r>
        <w:rPr>
          <w:rFonts w:ascii="宋体" w:hAnsi="宋体"/>
          <w:sz w:val="24"/>
        </w:rPr>
        <w:t>格形式</w:t>
      </w:r>
    </w:p>
    <w:bookmarkEnd w:id="477"/>
    <w:bookmarkEnd w:id="478"/>
    <w:bookmarkEnd w:id="479"/>
    <w:bookmarkEnd w:id="480"/>
    <w:bookmarkEnd w:id="481"/>
    <w:bookmarkEnd w:id="482"/>
    <w:p w14:paraId="2941EDAA">
      <w:pPr>
        <w:spacing w:line="360" w:lineRule="auto"/>
        <w:ind w:firstLine="480" w:firstLineChars="200"/>
        <w:rPr>
          <w:rFonts w:hint="eastAsia" w:ascii="宋体" w:hAnsi="宋体"/>
          <w:b/>
          <w:kern w:val="0"/>
          <w:sz w:val="24"/>
          <w:u w:val="single"/>
        </w:rPr>
      </w:pPr>
      <w:r>
        <w:rPr>
          <w:rFonts w:hint="eastAsia" w:ascii="宋体" w:hAnsi="宋体"/>
          <w:kern w:val="0"/>
          <w:sz w:val="24"/>
        </w:rPr>
        <w:t>1、本合同采用合同当事人签订的合同协议书中约定的价格形式，即：</w:t>
      </w:r>
      <w:r>
        <w:rPr>
          <w:rFonts w:hint="eastAsia" w:ascii="宋体" w:hAnsi="宋体"/>
          <w:b/>
          <w:kern w:val="0"/>
          <w:sz w:val="24"/>
          <w:u w:val="single"/>
        </w:rPr>
        <w:t xml:space="preserve">单价合同，综合单价除合同规定的调整外按发包人提供的下浮后已标价工程量清单中的综合单价作为结算依据。 </w:t>
      </w:r>
    </w:p>
    <w:p w14:paraId="6830BC8B">
      <w:pPr>
        <w:spacing w:line="360" w:lineRule="auto"/>
        <w:ind w:firstLine="480" w:firstLineChars="200"/>
        <w:rPr>
          <w:rFonts w:hint="eastAsia" w:ascii="宋体" w:hAnsi="宋体"/>
          <w:sz w:val="24"/>
        </w:rPr>
      </w:pPr>
      <w:r>
        <w:rPr>
          <w:rFonts w:hint="eastAsia" w:ascii="宋体" w:hAnsi="宋体"/>
          <w:kern w:val="0"/>
          <w:sz w:val="24"/>
        </w:rPr>
        <w:t>（1）综合单价包含的风险范围：</w:t>
      </w:r>
      <w:r>
        <w:rPr>
          <w:rFonts w:hint="eastAsia" w:ascii="宋体" w:hAnsi="宋体"/>
          <w:sz w:val="24"/>
          <w:u w:val="single"/>
        </w:rPr>
        <w:t xml:space="preserve"> 5 </w:t>
      </w:r>
      <w:r>
        <w:rPr>
          <w:rFonts w:hint="eastAsia" w:ascii="宋体" w:hAnsi="宋体"/>
          <w:sz w:val="24"/>
        </w:rPr>
        <w:t>%的人工价格风险由承包人承担，</w:t>
      </w:r>
      <w:r>
        <w:rPr>
          <w:rFonts w:hint="eastAsia" w:ascii="宋体" w:hAnsi="宋体"/>
          <w:sz w:val="24"/>
          <w:u w:val="single"/>
        </w:rPr>
        <w:t xml:space="preserve"> 5 </w:t>
      </w:r>
      <w:r>
        <w:rPr>
          <w:rFonts w:hint="eastAsia" w:ascii="宋体" w:hAnsi="宋体"/>
          <w:sz w:val="24"/>
        </w:rPr>
        <w:t>%的材料价格风险由承包人承担，即人工、材料涨跌幅度在</w:t>
      </w:r>
      <w:r>
        <w:rPr>
          <w:rFonts w:hint="eastAsia" w:ascii="宋体" w:hAnsi="宋体"/>
          <w:sz w:val="24"/>
          <w:u w:val="single"/>
        </w:rPr>
        <w:t xml:space="preserve"> 5 </w:t>
      </w:r>
      <w:r>
        <w:rPr>
          <w:rFonts w:hint="eastAsia" w:ascii="宋体" w:hAnsi="宋体"/>
          <w:sz w:val="24"/>
        </w:rPr>
        <w:t>%及以内的，其价差由承包人承担或受益；在</w:t>
      </w:r>
      <w:r>
        <w:rPr>
          <w:rFonts w:hint="eastAsia" w:ascii="宋体" w:hAnsi="宋体"/>
          <w:sz w:val="24"/>
          <w:u w:val="single"/>
        </w:rPr>
        <w:t xml:space="preserve"> 5 </w:t>
      </w:r>
      <w:r>
        <w:rPr>
          <w:rFonts w:hint="eastAsia" w:ascii="宋体" w:hAnsi="宋体"/>
          <w:sz w:val="24"/>
        </w:rPr>
        <w:t>%以上的，其超出部分的价差由发包人承担或受益。</w:t>
      </w:r>
    </w:p>
    <w:p w14:paraId="13B4651C">
      <w:pPr>
        <w:spacing w:line="360" w:lineRule="auto"/>
        <w:ind w:firstLine="480" w:firstLineChars="200"/>
        <w:rPr>
          <w:rFonts w:hint="eastAsia" w:ascii="宋体" w:hAnsi="宋体"/>
          <w:color w:val="auto"/>
          <w:sz w:val="24"/>
        </w:rPr>
      </w:pPr>
      <w:r>
        <w:rPr>
          <w:rFonts w:hint="eastAsia" w:ascii="宋体" w:hAnsi="宋体"/>
          <w:color w:val="auto"/>
          <w:sz w:val="24"/>
        </w:rPr>
        <w:t>要素价格的具体基期时间：</w:t>
      </w:r>
    </w:p>
    <w:p w14:paraId="74D50FC8">
      <w:pPr>
        <w:spacing w:line="480" w:lineRule="exact"/>
        <w:ind w:firstLine="600" w:firstLineChars="250"/>
        <w:contextualSpacing/>
        <w:rPr>
          <w:rFonts w:hint="eastAsia" w:ascii="宋体" w:hAnsi="宋体" w:eastAsia="宋体" w:cs="宋体"/>
          <w:sz w:val="24"/>
          <w:u w:val="single"/>
        </w:rPr>
      </w:pPr>
      <w:r>
        <w:rPr>
          <w:rFonts w:hint="eastAsia" w:ascii="宋体" w:hAnsi="宋体" w:eastAsia="宋体" w:cs="宋体"/>
          <w:kern w:val="2"/>
          <w:sz w:val="24"/>
          <w:szCs w:val="24"/>
          <w:u w:val="single"/>
          <w:lang w:val="en-US" w:eastAsia="zh-CN" w:bidi="ar-SA"/>
        </w:rPr>
        <w:t>（1）</w:t>
      </w:r>
      <w:r>
        <w:rPr>
          <w:rFonts w:hint="eastAsia" w:ascii="宋体" w:hAnsi="宋体" w:eastAsia="宋体" w:cs="宋体"/>
          <w:sz w:val="24"/>
          <w:u w:val="single"/>
        </w:rPr>
        <w:t>材料价格（含燃料动力材料）：A、参照2025年1月《宁波建设工程造价信息》宁海县、宁波市材料信息价除税价及《浙江造价信息》信息价除税价；B、建设单位市场调查价格除税价</w:t>
      </w:r>
      <w:r>
        <w:rPr>
          <w:rFonts w:hint="eastAsia" w:ascii="宋体" w:hAnsi="宋体" w:eastAsia="宋体" w:cs="宋体"/>
          <w:sz w:val="24"/>
          <w:u w:val="single"/>
          <w:lang w:eastAsia="zh-CN"/>
        </w:rPr>
        <w:t>；</w:t>
      </w:r>
      <w:r>
        <w:rPr>
          <w:rFonts w:hint="eastAsia" w:ascii="宋体" w:hAnsi="宋体" w:eastAsia="宋体" w:cs="宋体"/>
          <w:sz w:val="24"/>
          <w:u w:val="single"/>
        </w:rPr>
        <w:t>人工价格（含机上人工）：参照2025年1月宁波建设工程造价信息》信息价。</w:t>
      </w:r>
    </w:p>
    <w:p w14:paraId="265526D2">
      <w:pPr>
        <w:spacing w:line="480" w:lineRule="exact"/>
        <w:ind w:firstLine="600" w:firstLineChars="250"/>
        <w:contextualSpacing/>
        <w:rPr>
          <w:rFonts w:hint="eastAsia" w:ascii="宋体" w:hAnsi="宋体" w:eastAsia="宋体" w:cs="宋体"/>
          <w:sz w:val="24"/>
          <w:u w:val="single"/>
        </w:rPr>
      </w:pPr>
      <w:r>
        <w:rPr>
          <w:rFonts w:hint="eastAsia" w:ascii="宋体" w:hAnsi="宋体" w:eastAsia="宋体" w:cs="宋体"/>
          <w:sz w:val="24"/>
          <w:szCs w:val="24"/>
          <w:u w:val="single"/>
        </w:rPr>
        <w:t>（2）人工价差调整的结算期及方法</w:t>
      </w:r>
      <w:r>
        <w:rPr>
          <w:rFonts w:hint="eastAsia" w:ascii="宋体" w:hAnsi="宋体" w:eastAsia="宋体" w:cs="宋体"/>
          <w:sz w:val="24"/>
          <w:u w:val="single"/>
        </w:rPr>
        <w:t>：以结算期的人工市场信息价算术平均值与基期的市场信息价的差额（承担5%风险后）以及合同约定计价依据的相应消耗量为计算依据，经计算所得的金额列入工程造价，补差部分只计取税金，不计取其他费用。</w:t>
      </w:r>
      <w:r>
        <w:rPr>
          <w:rFonts w:hint="eastAsia" w:ascii="宋体" w:hAnsi="宋体" w:eastAsia="宋体" w:cs="宋体"/>
          <w:sz w:val="24"/>
          <w:szCs w:val="24"/>
          <w:u w:val="single"/>
        </w:rPr>
        <w:t>（建筑工程材料价格结算期明细按《关于进一步加强建设工程要素价格动态管理工作的通知》（甬建价〔2021〕9号）</w:t>
      </w:r>
      <w:r>
        <w:rPr>
          <w:rFonts w:hint="eastAsia" w:ascii="宋体" w:hAnsi="宋体" w:eastAsia="宋体" w:cs="宋体"/>
          <w:sz w:val="24"/>
          <w:u w:val="single"/>
        </w:rPr>
        <w:t>文件中建筑工程材料价格结算期表中所列的执行。）</w:t>
      </w:r>
    </w:p>
    <w:p w14:paraId="448A27BD">
      <w:pPr>
        <w:spacing w:line="480" w:lineRule="exact"/>
        <w:ind w:firstLine="600" w:firstLineChars="250"/>
        <w:contextualSpacing/>
        <w:rPr>
          <w:rFonts w:hint="eastAsia" w:ascii="宋体" w:hAnsi="宋体"/>
          <w:sz w:val="24"/>
          <w:u w:val="single"/>
        </w:rPr>
      </w:pPr>
      <w:r>
        <w:rPr>
          <w:rFonts w:hint="eastAsia" w:ascii="宋体" w:hAnsi="宋体"/>
          <w:sz w:val="24"/>
        </w:rPr>
        <w:t>（</w:t>
      </w:r>
      <w:r>
        <w:rPr>
          <w:rFonts w:hint="eastAsia" w:ascii="宋体" w:hAnsi="宋体"/>
          <w:sz w:val="24"/>
          <w:lang w:val="en-US" w:eastAsia="zh-CN"/>
        </w:rPr>
        <w:t>3</w:t>
      </w:r>
      <w:r>
        <w:rPr>
          <w:rFonts w:hint="eastAsia" w:ascii="宋体" w:hAnsi="宋体"/>
          <w:sz w:val="24"/>
        </w:rPr>
        <w:t>）</w:t>
      </w:r>
      <w:r>
        <w:rPr>
          <w:rFonts w:hint="eastAsia" w:ascii="宋体" w:hAnsi="宋体" w:eastAsia="宋体" w:cs="宋体"/>
          <w:sz w:val="24"/>
          <w:u w:val="single"/>
        </w:rPr>
        <w:t>如因发包人原因造成工期延误的，延误期间遇人工、单项材料上涨时，按实际工期月份结合《关于进一步加强建设工程要素价格动态管理工作的通知》（甬建价〔2021〕9号）文件的市场信息价的算术平均值计取价差；反之，遇人工、单项材料下降时，按合同工期月份结合《关于进一步加强建设工程要素价格动态管理工作的通知》（甬建价〔2021〕9号）文件的市场信息价的算术平均值计取价差。因承包人原因造成工期延误的，延误期间遇材料人工、单项材料上涨时，按合同工期月份的市场信息价的算术平均值计取价差；反之，遇人工、单项材料下降时，按实际工期月份《关于进一步加强建设工程要素价格动态管理工作的通知》（甬建价〔2021〕9号）文件的市场信息价的算术平均值计取价差。</w:t>
      </w:r>
    </w:p>
    <w:p w14:paraId="3B68F274">
      <w:pPr>
        <w:spacing w:line="360" w:lineRule="auto"/>
        <w:ind w:firstLine="600" w:firstLineChars="250"/>
        <w:rPr>
          <w:rFonts w:hint="eastAsia" w:ascii="宋体" w:hAnsi="宋体"/>
          <w:sz w:val="24"/>
          <w:u w:val="single"/>
        </w:rPr>
      </w:pPr>
      <w:r>
        <w:rPr>
          <w:rFonts w:hint="eastAsia" w:ascii="宋体" w:hAnsi="宋体"/>
          <w:sz w:val="24"/>
          <w:u w:val="single"/>
        </w:rPr>
        <w:t>以上发生的材料、人工的价差，只计取价差和税金，不计取其他任何费用。上述调整的价格差额在工程竣工结算时统一结算。</w:t>
      </w:r>
    </w:p>
    <w:p w14:paraId="57805502">
      <w:pPr>
        <w:spacing w:line="360" w:lineRule="auto"/>
        <w:ind w:firstLine="480" w:firstLineChars="200"/>
        <w:rPr>
          <w:rFonts w:hint="eastAsia" w:ascii="宋体" w:hAnsi="宋体" w:eastAsia="宋体" w:cs="Times New Roman"/>
          <w:sz w:val="24"/>
        </w:rPr>
      </w:pPr>
      <w:r>
        <w:rPr>
          <w:rFonts w:hint="eastAsia" w:ascii="宋体" w:hAnsi="宋体"/>
          <w:sz w:val="24"/>
        </w:rPr>
        <w:t>2、本合同采用的计价依据</w:t>
      </w:r>
      <w:r>
        <w:rPr>
          <w:rFonts w:hint="eastAsia" w:ascii="宋体" w:hAnsi="宋体" w:eastAsia="宋体" w:cs="Times New Roman"/>
          <w:sz w:val="24"/>
        </w:rPr>
        <w:t>：《浙江省建设工程计价规则(2018)版》、《浙江省市政工程预算定额(2018)版》、《浙江省园林绿化及仿古建筑工程预算定额(2018)版》、《浙江省施工费用定额(2018)版》、《浙江省通用安装工程预算定额(2018)版》。</w:t>
      </w:r>
    </w:p>
    <w:p w14:paraId="6D61E34D">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12.2 预付款</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1042345B">
      <w:pPr>
        <w:spacing w:line="360" w:lineRule="auto"/>
        <w:ind w:firstLine="480" w:firstLineChars="200"/>
        <w:jc w:val="left"/>
        <w:rPr>
          <w:rFonts w:hint="eastAsia" w:ascii="宋体" w:hAnsi="宋体"/>
          <w:color w:val="auto"/>
          <w:sz w:val="24"/>
        </w:rPr>
      </w:pPr>
      <w:r>
        <w:rPr>
          <w:rFonts w:ascii="宋体" w:hAnsi="宋体"/>
          <w:color w:val="auto"/>
          <w:sz w:val="24"/>
        </w:rPr>
        <w:t>12.2.1 预付款的支付</w:t>
      </w:r>
    </w:p>
    <w:p w14:paraId="28329298">
      <w:pPr>
        <w:spacing w:line="360" w:lineRule="auto"/>
        <w:ind w:firstLine="480" w:firstLineChars="200"/>
        <w:jc w:val="left"/>
        <w:rPr>
          <w:rFonts w:ascii="宋体" w:hAnsi="宋体"/>
          <w:color w:val="auto"/>
          <w:sz w:val="24"/>
        </w:rPr>
      </w:pPr>
      <w:r>
        <w:rPr>
          <w:rFonts w:ascii="宋体" w:hAnsi="宋体"/>
          <w:color w:val="auto"/>
          <w:sz w:val="24"/>
        </w:rPr>
        <w:t>预付款支付比例或</w:t>
      </w:r>
      <w:r>
        <w:rPr>
          <w:rFonts w:hint="eastAsia" w:ascii="宋体" w:hAnsi="宋体"/>
          <w:color w:val="auto"/>
          <w:sz w:val="24"/>
        </w:rPr>
        <w:t>期限</w:t>
      </w:r>
      <w:r>
        <w:rPr>
          <w:rFonts w:ascii="宋体" w:hAnsi="宋体"/>
          <w:color w:val="auto"/>
          <w:sz w:val="24"/>
        </w:rPr>
        <w:t>：</w:t>
      </w:r>
      <w:r>
        <w:rPr>
          <w:rFonts w:hint="eastAsia" w:ascii="宋体" w:hAnsi="宋体"/>
          <w:color w:val="auto"/>
          <w:kern w:val="0"/>
          <w:sz w:val="24"/>
          <w:u w:val="single"/>
        </w:rPr>
        <w:t>开工报告批准后7日内，发包人支付给承包人合同价的</w:t>
      </w:r>
      <w:r>
        <w:rPr>
          <w:rFonts w:hint="eastAsia" w:ascii="宋体" w:hAnsi="宋体"/>
          <w:color w:val="auto"/>
          <w:kern w:val="0"/>
          <w:sz w:val="24"/>
          <w:u w:val="single"/>
          <w:lang w:val="en-US" w:eastAsia="zh-CN"/>
        </w:rPr>
        <w:t>4</w:t>
      </w:r>
      <w:r>
        <w:rPr>
          <w:rFonts w:hint="eastAsia" w:ascii="宋体" w:hAnsi="宋体"/>
          <w:color w:val="auto"/>
          <w:kern w:val="0"/>
          <w:sz w:val="24"/>
          <w:u w:val="single"/>
        </w:rPr>
        <w:t>0%作为工程预付款。</w:t>
      </w:r>
    </w:p>
    <w:p w14:paraId="4F36A6F9">
      <w:pPr>
        <w:spacing w:line="360" w:lineRule="auto"/>
        <w:ind w:firstLine="480" w:firstLineChars="200"/>
        <w:rPr>
          <w:rFonts w:ascii="宋体" w:hAnsi="宋体"/>
          <w:color w:val="000000"/>
          <w:sz w:val="24"/>
        </w:rPr>
      </w:pPr>
      <w:r>
        <w:rPr>
          <w:rFonts w:ascii="宋体" w:hAnsi="宋体"/>
          <w:color w:val="000000"/>
          <w:sz w:val="24"/>
        </w:rPr>
        <w:t>12.3 计量</w:t>
      </w:r>
    </w:p>
    <w:p w14:paraId="4734D4A4">
      <w:pPr>
        <w:spacing w:line="360" w:lineRule="auto"/>
        <w:ind w:firstLine="480" w:firstLineChars="200"/>
        <w:jc w:val="left"/>
        <w:rPr>
          <w:rFonts w:ascii="宋体" w:hAnsi="宋体"/>
          <w:color w:val="000000"/>
          <w:sz w:val="24"/>
        </w:rPr>
      </w:pPr>
      <w:r>
        <w:rPr>
          <w:rFonts w:ascii="宋体" w:hAnsi="宋体"/>
          <w:color w:val="000000"/>
          <w:sz w:val="24"/>
        </w:rPr>
        <w:t>12.3.1 计量原则</w:t>
      </w:r>
    </w:p>
    <w:p w14:paraId="0C290CEC">
      <w:pPr>
        <w:spacing w:line="360" w:lineRule="auto"/>
        <w:ind w:firstLine="480" w:firstLineChars="200"/>
        <w:jc w:val="left"/>
        <w:rPr>
          <w:rFonts w:ascii="宋体" w:hAnsi="宋体"/>
          <w:color w:val="000000"/>
          <w:sz w:val="24"/>
        </w:rPr>
      </w:pPr>
      <w:r>
        <w:rPr>
          <w:rFonts w:ascii="宋体" w:hAnsi="宋体"/>
          <w:color w:val="000000"/>
          <w:sz w:val="24"/>
        </w:rPr>
        <w:t>工程量计算规则：</w:t>
      </w:r>
      <w:r>
        <w:rPr>
          <w:rFonts w:ascii="宋体" w:hAnsi="宋体"/>
          <w:color w:val="000000"/>
          <w:sz w:val="24"/>
          <w:u w:val="single"/>
        </w:rPr>
        <w:t xml:space="preserve"> </w:t>
      </w:r>
      <w:r>
        <w:rPr>
          <w:rFonts w:hint="eastAsia" w:ascii="宋体" w:hAnsi="宋体"/>
          <w:color w:val="000000"/>
          <w:sz w:val="24"/>
          <w:u w:val="single"/>
        </w:rPr>
        <w:t>按现行的工程量计算规则执行</w:t>
      </w:r>
      <w:r>
        <w:rPr>
          <w:rFonts w:ascii="宋体" w:hAnsi="宋体"/>
          <w:color w:val="000000"/>
          <w:sz w:val="24"/>
          <w:u w:val="single"/>
        </w:rPr>
        <w:t xml:space="preserve"> </w:t>
      </w:r>
      <w:r>
        <w:rPr>
          <w:rFonts w:ascii="宋体" w:hAnsi="宋体"/>
          <w:color w:val="000000"/>
          <w:sz w:val="24"/>
        </w:rPr>
        <w:t>。</w:t>
      </w:r>
    </w:p>
    <w:p w14:paraId="687E2450">
      <w:pPr>
        <w:spacing w:line="360" w:lineRule="auto"/>
        <w:ind w:firstLine="480" w:firstLineChars="200"/>
        <w:jc w:val="left"/>
        <w:rPr>
          <w:rFonts w:ascii="宋体" w:hAnsi="宋体"/>
          <w:color w:val="000000"/>
          <w:sz w:val="24"/>
        </w:rPr>
      </w:pPr>
      <w:r>
        <w:rPr>
          <w:rFonts w:ascii="宋体" w:hAnsi="宋体"/>
          <w:color w:val="000000"/>
          <w:sz w:val="24"/>
        </w:rPr>
        <w:t>12.3.2 计量周期</w:t>
      </w:r>
    </w:p>
    <w:p w14:paraId="02617F2F">
      <w:pPr>
        <w:spacing w:line="360" w:lineRule="auto"/>
        <w:ind w:firstLine="480" w:firstLineChars="200"/>
        <w:jc w:val="left"/>
        <w:rPr>
          <w:rFonts w:ascii="宋体" w:hAnsi="宋体"/>
          <w:color w:val="000000"/>
          <w:sz w:val="24"/>
        </w:rPr>
      </w:pPr>
      <w:r>
        <w:rPr>
          <w:rFonts w:ascii="宋体" w:hAnsi="宋体"/>
          <w:color w:val="000000"/>
          <w:sz w:val="24"/>
        </w:rPr>
        <w:t>关于计量周期的约定：</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按进度进行</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ascii="宋体" w:hAnsi="宋体"/>
          <w:color w:val="000000"/>
          <w:sz w:val="24"/>
        </w:rPr>
        <w:t>。</w:t>
      </w:r>
    </w:p>
    <w:p w14:paraId="6552DD0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12.3.3 单价合同的计量</w:t>
      </w:r>
    </w:p>
    <w:p w14:paraId="541359EE">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1A429B6E">
      <w:pPr>
        <w:spacing w:line="360" w:lineRule="auto"/>
        <w:ind w:firstLine="480" w:firstLineChars="200"/>
        <w:jc w:val="left"/>
        <w:rPr>
          <w:rFonts w:hint="eastAsia" w:ascii="宋体" w:hAnsi="宋体" w:cs="宋体"/>
          <w:sz w:val="24"/>
        </w:rPr>
      </w:pPr>
      <w:r>
        <w:rPr>
          <w:rFonts w:hint="eastAsia" w:ascii="宋体" w:hAnsi="宋体" w:cs="宋体"/>
          <w:sz w:val="24"/>
        </w:rPr>
        <w:t>12.3.4 总价合同的计量</w:t>
      </w:r>
    </w:p>
    <w:p w14:paraId="78EEE054">
      <w:pPr>
        <w:spacing w:line="360" w:lineRule="auto"/>
        <w:ind w:firstLine="480" w:firstLineChars="200"/>
        <w:jc w:val="left"/>
        <w:rPr>
          <w:rFonts w:hint="eastAsia"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7825B926">
      <w:pPr>
        <w:spacing w:line="360" w:lineRule="auto"/>
        <w:ind w:firstLine="480" w:firstLineChars="200"/>
        <w:jc w:val="left"/>
        <w:rPr>
          <w:rFonts w:hint="eastAsia"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02514470">
      <w:pPr>
        <w:spacing w:line="360" w:lineRule="auto"/>
        <w:ind w:firstLine="480" w:firstLineChars="200"/>
        <w:jc w:val="left"/>
        <w:rPr>
          <w:rFonts w:hint="eastAsia" w:ascii="宋体" w:hAnsi="宋体" w:cs="宋体"/>
          <w:sz w:val="24"/>
        </w:rPr>
      </w:pPr>
      <w:r>
        <w:rPr>
          <w:rFonts w:hint="eastAsia" w:ascii="宋体" w:hAnsi="宋体" w:cs="宋体"/>
          <w:sz w:val="24"/>
        </w:rPr>
        <w:t>12.3.6 其他价格形式合同的计量</w:t>
      </w:r>
    </w:p>
    <w:p w14:paraId="1310DE5F">
      <w:pPr>
        <w:spacing w:line="360" w:lineRule="auto"/>
        <w:jc w:val="left"/>
        <w:rPr>
          <w:rFonts w:hint="eastAsia"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47CEC88B">
      <w:pPr>
        <w:spacing w:line="360" w:lineRule="auto"/>
        <w:ind w:firstLine="480" w:firstLineChars="200"/>
        <w:rPr>
          <w:rFonts w:hint="eastAsia" w:ascii="宋体" w:hAnsi="宋体"/>
          <w:sz w:val="24"/>
        </w:rPr>
      </w:pPr>
      <w:r>
        <w:rPr>
          <w:rFonts w:hint="eastAsia" w:ascii="宋体" w:hAnsi="宋体" w:cs="宋体"/>
          <w:sz w:val="24"/>
        </w:rPr>
        <w:t>12.4 工程进度款支付</w:t>
      </w:r>
    </w:p>
    <w:p w14:paraId="0AB2E4B9">
      <w:pPr>
        <w:widowControl/>
        <w:snapToGrid w:val="0"/>
        <w:spacing w:line="336" w:lineRule="auto"/>
        <w:ind w:firstLine="480"/>
        <w:rPr>
          <w:rFonts w:hint="eastAsia" w:ascii="宋体" w:hAnsi="宋体"/>
          <w:b/>
          <w:bCs/>
          <w:color w:val="auto"/>
          <w:sz w:val="24"/>
          <w:lang w:val="en-US" w:eastAsia="zh-CN"/>
        </w:rPr>
      </w:pPr>
      <w:r>
        <w:rPr>
          <w:rFonts w:hint="eastAsia" w:ascii="宋体" w:hAnsi="宋体"/>
          <w:b/>
          <w:bCs/>
          <w:color w:val="auto"/>
          <w:sz w:val="24"/>
          <w:lang w:val="en-US" w:eastAsia="zh-CN"/>
        </w:rPr>
        <w:t>1、合同生效且具备实施条件后七个工作日内支付合同总额的40%作为预付款；（合同签订时成交人书面承诺放弃预付款或降低预付款支付比例的，可不适用本条款）。</w:t>
      </w:r>
    </w:p>
    <w:p w14:paraId="3BC20A26">
      <w:pPr>
        <w:widowControl/>
        <w:snapToGrid w:val="0"/>
        <w:spacing w:line="336" w:lineRule="auto"/>
        <w:ind w:firstLine="480"/>
        <w:rPr>
          <w:rFonts w:hint="eastAsia" w:ascii="宋体" w:hAnsi="宋体"/>
          <w:b/>
          <w:bCs/>
          <w:color w:val="auto"/>
          <w:sz w:val="24"/>
        </w:rPr>
      </w:pPr>
      <w:r>
        <w:rPr>
          <w:rFonts w:hint="eastAsia" w:ascii="宋体" w:hAnsi="宋体"/>
          <w:b/>
          <w:bCs/>
          <w:color w:val="auto"/>
          <w:sz w:val="24"/>
          <w:lang w:val="en-US" w:eastAsia="zh-CN"/>
        </w:rPr>
        <w:t>2、项目施工完成</w:t>
      </w:r>
      <w:r>
        <w:rPr>
          <w:rFonts w:hint="eastAsia" w:ascii="宋体" w:hAnsi="宋体"/>
          <w:b/>
          <w:bCs/>
          <w:color w:val="auto"/>
          <w:sz w:val="24"/>
        </w:rPr>
        <w:t>经验收合格交付后支付至结算价的100%。</w:t>
      </w:r>
    </w:p>
    <w:p w14:paraId="74181E39">
      <w:pPr>
        <w:pageBreakBefore w:val="0"/>
        <w:kinsoku/>
        <w:wordWrap/>
        <w:overflowPunct/>
        <w:topLinePunct w:val="0"/>
        <w:bidi w:val="0"/>
        <w:adjustRightInd w:val="0"/>
        <w:snapToGrid/>
        <w:spacing w:line="320" w:lineRule="exact"/>
        <w:ind w:firstLine="420" w:firstLineChars="200"/>
        <w:contextualSpacing/>
        <w:textAlignment w:val="auto"/>
        <w:rPr>
          <w:rFonts w:hint="eastAsia"/>
        </w:rPr>
      </w:pPr>
      <w:r>
        <w:rPr>
          <w:rFonts w:hint="eastAsia" w:ascii="宋体" w:hAnsi="宋体" w:cs="宋体"/>
          <w:sz w:val="21"/>
          <w:szCs w:val="21"/>
        </w:rPr>
        <w:t>注：具体条款以双方签订的合同约定为准。</w:t>
      </w:r>
    </w:p>
    <w:p w14:paraId="19EB4AD6">
      <w:pPr>
        <w:spacing w:line="360" w:lineRule="auto"/>
        <w:ind w:firstLine="480" w:firstLineChars="200"/>
        <w:jc w:val="left"/>
        <w:rPr>
          <w:rFonts w:hint="eastAsia" w:ascii="宋体" w:hAnsi="宋体" w:cs="宋体"/>
          <w:color w:val="000000"/>
          <w:sz w:val="24"/>
        </w:rPr>
      </w:pPr>
      <w:bookmarkStart w:id="483" w:name="_Hlk89721287"/>
      <w:r>
        <w:rPr>
          <w:rFonts w:hint="eastAsia" w:ascii="宋体" w:hAnsi="宋体" w:cs="宋体"/>
          <w:color w:val="000000"/>
          <w:sz w:val="24"/>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483"/>
    <w:p w14:paraId="692967B9">
      <w:pPr>
        <w:spacing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规定程序指</w:t>
      </w:r>
      <w:r>
        <w:rPr>
          <w:rFonts w:hint="eastAsia" w:ascii="宋体" w:hAnsi="宋体" w:cs="宋体"/>
          <w:b/>
          <w:bCs/>
          <w:color w:val="000000"/>
          <w:sz w:val="24"/>
          <w:lang w:eastAsia="zh-CN"/>
        </w:rPr>
        <w:t>《宁海县政府投资项目工程造价管控办法》（宁发改（2023）51号）</w:t>
      </w:r>
      <w:r>
        <w:rPr>
          <w:rFonts w:hint="eastAsia" w:ascii="宋体" w:hAnsi="宋体" w:cs="宋体"/>
          <w:b/>
          <w:bCs/>
          <w:color w:val="000000"/>
          <w:sz w:val="24"/>
        </w:rPr>
        <w:t>及发包人相应工程变更管理办法。</w:t>
      </w:r>
    </w:p>
    <w:p w14:paraId="2DB79ADE">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13. 验收和工程试车</w:t>
      </w:r>
      <w:bookmarkEnd w:id="327"/>
      <w:bookmarkEnd w:id="328"/>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14:paraId="5502A55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13.1 分部分项工程验收</w:t>
      </w:r>
    </w:p>
    <w:p w14:paraId="1364AB98">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6DBC327B">
      <w:pPr>
        <w:spacing w:line="360" w:lineRule="auto"/>
        <w:ind w:firstLine="480" w:firstLineChars="200"/>
        <w:jc w:val="left"/>
        <w:rPr>
          <w:rFonts w:hint="eastAsia"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33938EAF">
      <w:pPr>
        <w:spacing w:line="360" w:lineRule="auto"/>
        <w:ind w:firstLine="480" w:firstLineChars="200"/>
        <w:rPr>
          <w:rFonts w:hint="eastAsia" w:ascii="宋体" w:hAnsi="宋体" w:cs="宋体"/>
          <w:color w:val="000000"/>
          <w:sz w:val="24"/>
        </w:rPr>
      </w:pPr>
      <w:bookmarkStart w:id="484" w:name="_Toc300935016"/>
      <w:bookmarkStart w:id="485" w:name="_Toc297123565"/>
      <w:bookmarkStart w:id="486" w:name="_Toc297216224"/>
      <w:bookmarkStart w:id="487" w:name="_Toc297048409"/>
      <w:bookmarkStart w:id="488" w:name="_Toc292559933"/>
      <w:bookmarkStart w:id="489" w:name="_Toc312678056"/>
      <w:bookmarkStart w:id="490" w:name="_Toc304295596"/>
      <w:bookmarkStart w:id="491" w:name="_Toc296346724"/>
      <w:bookmarkStart w:id="492" w:name="_Toc296891051"/>
      <w:bookmarkStart w:id="493" w:name="_Toc292559428"/>
      <w:bookmarkStart w:id="494" w:name="_Toc296944562"/>
      <w:bookmarkStart w:id="495" w:name="_Toc296347222"/>
      <w:bookmarkStart w:id="496" w:name="_Toc296891263"/>
      <w:bookmarkStart w:id="497" w:name="_Toc303539173"/>
      <w:bookmarkStart w:id="498" w:name="_Toc296503223"/>
      <w:bookmarkStart w:id="499" w:name="_Toc297120523"/>
      <w:bookmarkStart w:id="500" w:name="_Toc267251473"/>
      <w:bookmarkStart w:id="501" w:name="_Toc267251475"/>
      <w:bookmarkStart w:id="502" w:name="_Toc267251472"/>
      <w:bookmarkStart w:id="503" w:name="_Toc267251471"/>
      <w:bookmarkStart w:id="504" w:name="_Toc267251470"/>
      <w:bookmarkStart w:id="505" w:name="_Toc267251476"/>
      <w:bookmarkStart w:id="506" w:name="_Toc267251474"/>
      <w:r>
        <w:rPr>
          <w:rFonts w:hint="eastAsia" w:ascii="宋体" w:hAnsi="宋体" w:cs="宋体"/>
          <w:color w:val="000000"/>
          <w:sz w:val="24"/>
        </w:rPr>
        <w:t>13.2 竣工验收</w:t>
      </w:r>
    </w:p>
    <w:p w14:paraId="7AF6145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13.2.1竣工验收条件</w:t>
      </w:r>
    </w:p>
    <w:p w14:paraId="215CDB6D">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工程具备以下条件的，承包人可以申请竣工验收：</w:t>
      </w:r>
    </w:p>
    <w:p w14:paraId="4FE2CE17">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5E5B1147">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0A0B90D7">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（3）已按合同约定的内容和份数备齐竣工资料。</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55975559">
      <w:pPr>
        <w:spacing w:line="360" w:lineRule="auto"/>
        <w:ind w:firstLine="480" w:firstLineChars="200"/>
        <w:jc w:val="left"/>
        <w:rPr>
          <w:rFonts w:hint="eastAsia" w:ascii="宋体" w:hAnsi="宋体" w:cs="宋体"/>
          <w:color w:val="000000"/>
          <w:sz w:val="24"/>
        </w:rPr>
      </w:pPr>
      <w:bookmarkStart w:id="507" w:name="_Toc280868704"/>
      <w:bookmarkStart w:id="508" w:name="_Toc280868705"/>
      <w:bookmarkStart w:id="509" w:name="_Toc280868706"/>
      <w:bookmarkStart w:id="510" w:name="_Toc280868707"/>
      <w:bookmarkStart w:id="511" w:name="_Toc280868708"/>
      <w:bookmarkStart w:id="512" w:name="_Toc280868709"/>
      <w:r>
        <w:rPr>
          <w:rFonts w:hint="eastAsia" w:ascii="宋体" w:hAnsi="宋体" w:cs="宋体"/>
          <w:color w:val="000000"/>
          <w:sz w:val="24"/>
        </w:rPr>
        <w:t>13.2.2竣工验收程序</w:t>
      </w:r>
    </w:p>
    <w:bookmarkEnd w:id="507"/>
    <w:p w14:paraId="58DB18E4">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A9B615F">
      <w:pPr>
        <w:widowControl/>
        <w:autoSpaceDN w:val="0"/>
        <w:spacing w:line="360" w:lineRule="auto"/>
        <w:ind w:firstLine="480"/>
        <w:rPr>
          <w:rFonts w:hint="eastAsia"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5BCEBDDB">
      <w:pPr>
        <w:spacing w:line="360" w:lineRule="auto"/>
        <w:jc w:val="left"/>
        <w:rPr>
          <w:rFonts w:hint="eastAsia"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508"/>
    <w:p w14:paraId="6A16B16A">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13.2.5移交、接收全部与部分工程</w:t>
      </w:r>
    </w:p>
    <w:bookmarkEnd w:id="509"/>
    <w:p w14:paraId="76BB2110">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w:t>
      </w:r>
      <w:r>
        <w:rPr>
          <w:rFonts w:hint="eastAsia" w:ascii="宋体" w:hAnsi="宋体" w:cs="宋体"/>
          <w:color w:val="000000"/>
          <w:sz w:val="24"/>
        </w:rPr>
        <w:t>天内完成工程的移交。</w:t>
      </w:r>
    </w:p>
    <w:p w14:paraId="36CDFF85">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 xml:space="preserve">发包人未按本合同约定接收全部或部分工程的，违约金的计算方法为：除承担自应接收工程之日起的工程照管、成本保护、保管等与工程有关的各项费用外，应当按本专用条款约定的提前竣工奖励的 </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2540D6B2">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510"/>
    <w:p w14:paraId="0DA8F86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13.3 工程试车</w:t>
      </w:r>
    </w:p>
    <w:bookmarkEnd w:id="511"/>
    <w:p w14:paraId="7275603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13.3.1 试车程序</w:t>
      </w:r>
    </w:p>
    <w:p w14:paraId="1A93A348">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8266438">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74FC9877">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15DE640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13.3.3 投料试车</w:t>
      </w:r>
    </w:p>
    <w:p w14:paraId="2FC8E48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3345CAE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13.6 竣工退场</w:t>
      </w:r>
    </w:p>
    <w:p w14:paraId="1F63971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13.6.1 竣工退场</w:t>
      </w:r>
    </w:p>
    <w:p w14:paraId="1B57E6A9">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500"/>
    <w:bookmarkEnd w:id="501"/>
    <w:bookmarkEnd w:id="502"/>
    <w:bookmarkEnd w:id="503"/>
    <w:bookmarkEnd w:id="504"/>
    <w:bookmarkEnd w:id="505"/>
    <w:bookmarkEnd w:id="506"/>
    <w:bookmarkEnd w:id="512"/>
    <w:p w14:paraId="100AD2C9">
      <w:pPr>
        <w:pStyle w:val="6"/>
        <w:keepNext w:val="0"/>
        <w:keepLines w:val="0"/>
        <w:spacing w:before="0" w:after="0" w:line="360" w:lineRule="auto"/>
        <w:rPr>
          <w:rFonts w:hint="eastAsia" w:ascii="宋体" w:hAnsi="宋体" w:eastAsia="宋体" w:cs="宋体"/>
          <w:b w:val="0"/>
          <w:color w:val="000000"/>
          <w:sz w:val="24"/>
          <w:szCs w:val="24"/>
        </w:rPr>
      </w:pPr>
      <w:bookmarkStart w:id="513" w:name="_Toc351203646"/>
      <w:bookmarkStart w:id="514" w:name="_Toc386638620"/>
      <w:bookmarkStart w:id="515" w:name="_Toc351203647"/>
      <w:bookmarkStart w:id="516" w:name="_Toc386638621"/>
      <w:bookmarkStart w:id="517" w:name="_Toc267251483"/>
      <w:bookmarkStart w:id="518" w:name="_Toc267251484"/>
      <w:bookmarkStart w:id="519" w:name="_Toc267251482"/>
      <w:bookmarkStart w:id="520" w:name="_Toc267251485"/>
      <w:bookmarkStart w:id="521" w:name="_Toc267251490"/>
      <w:bookmarkStart w:id="522" w:name="_Toc267251486"/>
      <w:bookmarkStart w:id="523" w:name="_Toc267251489"/>
      <w:bookmarkStart w:id="524" w:name="_Toc267251488"/>
      <w:bookmarkStart w:id="525" w:name="_Toc267251502"/>
      <w:bookmarkStart w:id="526" w:name="_Toc267251497"/>
      <w:bookmarkStart w:id="527" w:name="_Toc267251496"/>
      <w:bookmarkStart w:id="528" w:name="_Toc267251498"/>
      <w:bookmarkStart w:id="529" w:name="_Toc267251493"/>
      <w:bookmarkStart w:id="530" w:name="_Toc267251495"/>
      <w:bookmarkStart w:id="531" w:name="_Toc267251499"/>
      <w:bookmarkStart w:id="532" w:name="_Toc267251503"/>
      <w:bookmarkStart w:id="533" w:name="_Toc267251491"/>
      <w:bookmarkStart w:id="534" w:name="_Toc267251494"/>
      <w:bookmarkStart w:id="535" w:name="_Toc267251492"/>
      <w:bookmarkStart w:id="536" w:name="_Toc267251501"/>
      <w:bookmarkStart w:id="537" w:name="_Toc267251513"/>
      <w:bookmarkStart w:id="538" w:name="_Toc267251510"/>
      <w:bookmarkStart w:id="539" w:name="_Toc267251515"/>
      <w:bookmarkStart w:id="540" w:name="_Toc267251511"/>
      <w:bookmarkStart w:id="541" w:name="_Toc267251504"/>
      <w:bookmarkStart w:id="542" w:name="_Toc267251509"/>
      <w:bookmarkStart w:id="543" w:name="_Toc267251507"/>
      <w:bookmarkStart w:id="544" w:name="_Toc267251506"/>
      <w:bookmarkStart w:id="545" w:name="_Toc267251514"/>
      <w:bookmarkStart w:id="546" w:name="_Toc267251508"/>
      <w:r>
        <w:rPr>
          <w:rFonts w:hint="eastAsia" w:ascii="宋体" w:hAnsi="宋体" w:eastAsia="宋体" w:cs="宋体"/>
          <w:b w:val="0"/>
          <w:color w:val="000000"/>
          <w:sz w:val="24"/>
          <w:szCs w:val="24"/>
        </w:rPr>
        <w:t>14. 竣工结算</w:t>
      </w:r>
      <w:bookmarkEnd w:id="513"/>
      <w:bookmarkEnd w:id="514"/>
    </w:p>
    <w:p w14:paraId="12E69F13">
      <w:pPr>
        <w:pStyle w:val="94"/>
        <w:spacing w:line="360" w:lineRule="auto"/>
        <w:ind w:firstLine="456" w:firstLineChars="190"/>
        <w:rPr>
          <w:rFonts w:hint="eastAsia" w:hAnsi="宋体" w:cs="宋体"/>
          <w:b w:val="0"/>
          <w:color w:val="000000"/>
          <w:szCs w:val="24"/>
        </w:rPr>
      </w:pPr>
      <w:r>
        <w:rPr>
          <w:rFonts w:hint="eastAsia" w:hAnsi="宋体" w:cs="宋体"/>
          <w:b w:val="0"/>
          <w:color w:val="000000"/>
          <w:szCs w:val="24"/>
        </w:rPr>
        <w:t>14.1竣工结算款的申请</w:t>
      </w:r>
    </w:p>
    <w:p w14:paraId="7480BB1B">
      <w:pPr>
        <w:pStyle w:val="94"/>
        <w:spacing w:line="360" w:lineRule="auto"/>
        <w:ind w:firstLine="456" w:firstLineChars="190"/>
        <w:rPr>
          <w:rFonts w:hint="eastAsia" w:hAnsi="宋体"/>
          <w:b w:val="0"/>
          <w:color w:val="000000"/>
          <w:szCs w:val="24"/>
        </w:rPr>
      </w:pPr>
      <w:r>
        <w:rPr>
          <w:rFonts w:hint="eastAsia" w:hAnsi="宋体"/>
          <w:b w:val="0"/>
          <w:color w:val="000000"/>
          <w:szCs w:val="24"/>
        </w:rPr>
        <w:t>承包人应在工程竣工结算审核完成、竣工验收并取得《建筑工程竣工档案专项验收意见书》、竣工结算审核结论及相关资料备案后</w:t>
      </w:r>
      <w:r>
        <w:rPr>
          <w:rFonts w:hint="eastAsia" w:hAnsi="宋体"/>
          <w:b w:val="0"/>
          <w:color w:val="000000"/>
          <w:szCs w:val="24"/>
          <w:u w:val="single"/>
        </w:rPr>
        <w:t xml:space="preserve">  7 </w:t>
      </w:r>
      <w:r>
        <w:rPr>
          <w:rFonts w:hint="eastAsia" w:hAnsi="宋体"/>
          <w:b w:val="0"/>
          <w:color w:val="000000"/>
          <w:szCs w:val="24"/>
        </w:rPr>
        <w:t>天内向发包人提交竣工结算申请单（附相关结算资料）。</w:t>
      </w:r>
    </w:p>
    <w:p w14:paraId="3C88F21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14.2竣工结算书的提交和核对</w:t>
      </w:r>
    </w:p>
    <w:p w14:paraId="6FCA9A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承包人应当在工程竣工验收合格后 60 天内向发包人提交工程竣工结算书及其完整的结算资料 叁 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 60  日内完成对竣工结算书的核对。</w:t>
      </w:r>
    </w:p>
    <w:p w14:paraId="05196E8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14.3 竣工结算审核</w:t>
      </w:r>
    </w:p>
    <w:p w14:paraId="0E8750E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本工程的竣工结算由发包人核对后委托具有相应资质的工程造价咨询企业审核，作为支付工程价款最终结算支付的依据。</w:t>
      </w:r>
    </w:p>
    <w:p w14:paraId="14A45F0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14.4 最终结清</w:t>
      </w:r>
    </w:p>
    <w:p w14:paraId="21244E2E">
      <w:pPr>
        <w:spacing w:line="360" w:lineRule="auto"/>
        <w:ind w:firstLine="480" w:firstLineChars="200"/>
        <w:jc w:val="left"/>
        <w:rPr>
          <w:rFonts w:ascii="宋体" w:hAnsi="宋体"/>
          <w:color w:val="000000"/>
          <w:kern w:val="0"/>
          <w:sz w:val="24"/>
        </w:rPr>
      </w:pPr>
      <w:r>
        <w:rPr>
          <w:rFonts w:ascii="宋体" w:hAnsi="宋体"/>
          <w:color w:val="000000"/>
          <w:kern w:val="0"/>
          <w:sz w:val="24"/>
        </w:rPr>
        <w:t>14.</w:t>
      </w:r>
      <w:r>
        <w:rPr>
          <w:rFonts w:hint="eastAsia" w:ascii="宋体" w:hAnsi="宋体"/>
          <w:color w:val="000000"/>
          <w:kern w:val="0"/>
          <w:sz w:val="24"/>
        </w:rPr>
        <w:t>4</w:t>
      </w:r>
      <w:r>
        <w:rPr>
          <w:rFonts w:ascii="宋体" w:hAnsi="宋体"/>
          <w:color w:val="000000"/>
          <w:kern w:val="0"/>
          <w:sz w:val="24"/>
        </w:rPr>
        <w:t>.1 最终结清申请单</w:t>
      </w:r>
    </w:p>
    <w:p w14:paraId="2C64E7C8">
      <w:pPr>
        <w:spacing w:line="360" w:lineRule="auto"/>
        <w:ind w:firstLine="480" w:firstLineChars="200"/>
        <w:jc w:val="left"/>
        <w:rPr>
          <w:rFonts w:ascii="宋体" w:hAnsi="宋体"/>
          <w:color w:val="000000"/>
          <w:kern w:val="0"/>
          <w:sz w:val="24"/>
        </w:rPr>
      </w:pPr>
      <w:r>
        <w:rPr>
          <w:rFonts w:ascii="宋体" w:hAnsi="宋体"/>
          <w:color w:val="000000"/>
          <w:kern w:val="0"/>
          <w:sz w:val="24"/>
        </w:rPr>
        <w:t>承包人提交最终结清申请单的份数：</w:t>
      </w:r>
      <w:r>
        <w:rPr>
          <w:rFonts w:ascii="宋体" w:hAnsi="宋体"/>
          <w:color w:val="000000"/>
          <w:sz w:val="24"/>
          <w:u w:val="single"/>
        </w:rPr>
        <w:t xml:space="preserve">   </w:t>
      </w:r>
      <w:r>
        <w:rPr>
          <w:rFonts w:hint="eastAsia" w:ascii="宋体" w:hAnsi="宋体"/>
          <w:color w:val="000000"/>
          <w:sz w:val="24"/>
          <w:u w:val="single"/>
        </w:rPr>
        <w:t>3份</w:t>
      </w:r>
      <w:r>
        <w:rPr>
          <w:rFonts w:ascii="宋体" w:hAnsi="宋体"/>
          <w:color w:val="000000"/>
          <w:sz w:val="24"/>
          <w:u w:val="single"/>
        </w:rPr>
        <w:t xml:space="preserve">   </w:t>
      </w:r>
      <w:r>
        <w:rPr>
          <w:rFonts w:ascii="宋体" w:hAnsi="宋体"/>
          <w:color w:val="000000"/>
          <w:sz w:val="24"/>
        </w:rPr>
        <w:t>。</w:t>
      </w:r>
    </w:p>
    <w:p w14:paraId="55A1BF14">
      <w:pPr>
        <w:spacing w:line="360" w:lineRule="auto"/>
        <w:ind w:firstLine="480" w:firstLineChars="200"/>
        <w:jc w:val="left"/>
        <w:rPr>
          <w:rFonts w:hint="eastAsia" w:ascii="宋体" w:hAnsi="宋体"/>
          <w:color w:val="000000"/>
          <w:sz w:val="24"/>
        </w:rPr>
      </w:pPr>
      <w:r>
        <w:rPr>
          <w:rFonts w:ascii="宋体" w:hAnsi="宋体"/>
          <w:color w:val="000000"/>
          <w:kern w:val="0"/>
          <w:sz w:val="24"/>
        </w:rPr>
        <w:t>承包人提交最终结算申请单的期限：</w:t>
      </w:r>
      <w:r>
        <w:rPr>
          <w:rFonts w:ascii="宋体" w:hAnsi="宋体"/>
          <w:color w:val="000000"/>
          <w:sz w:val="24"/>
          <w:u w:val="single"/>
        </w:rPr>
        <w:t xml:space="preserve"> </w:t>
      </w:r>
      <w:r>
        <w:rPr>
          <w:rFonts w:hint="eastAsia" w:ascii="宋体" w:hAnsi="宋体"/>
          <w:color w:val="000000"/>
          <w:sz w:val="24"/>
          <w:u w:val="single"/>
        </w:rPr>
        <w:t>承包人应在缺陷责任期终止证书颁发后7天内提交</w:t>
      </w:r>
      <w:r>
        <w:rPr>
          <w:rFonts w:ascii="宋体" w:hAnsi="宋体"/>
          <w:color w:val="000000"/>
          <w:sz w:val="24"/>
          <w:u w:val="single"/>
        </w:rPr>
        <w:t xml:space="preserve"> </w:t>
      </w:r>
      <w:r>
        <w:rPr>
          <w:rFonts w:ascii="宋体" w:hAnsi="宋体"/>
          <w:color w:val="000000"/>
          <w:sz w:val="24"/>
        </w:rPr>
        <w:t xml:space="preserve">。 </w:t>
      </w:r>
    </w:p>
    <w:p w14:paraId="246DCB8B">
      <w:pPr>
        <w:spacing w:line="360" w:lineRule="auto"/>
        <w:ind w:firstLine="480" w:firstLineChars="200"/>
        <w:jc w:val="left"/>
        <w:rPr>
          <w:rFonts w:hint="eastAsia" w:ascii="宋体" w:hAnsi="宋体"/>
          <w:color w:val="000000"/>
          <w:sz w:val="24"/>
        </w:rPr>
      </w:pPr>
      <w:r>
        <w:rPr>
          <w:rFonts w:hint="eastAsia" w:ascii="宋体" w:hAnsi="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BA4DFE7">
      <w:pPr>
        <w:spacing w:line="360" w:lineRule="auto"/>
        <w:ind w:firstLine="480" w:firstLineChars="200"/>
        <w:jc w:val="left"/>
        <w:rPr>
          <w:rFonts w:ascii="宋体" w:hAnsi="宋体"/>
          <w:color w:val="000000"/>
          <w:sz w:val="24"/>
        </w:rPr>
      </w:pPr>
      <w:r>
        <w:rPr>
          <w:rFonts w:ascii="宋体" w:hAnsi="宋体"/>
          <w:color w:val="000000"/>
          <w:sz w:val="24"/>
        </w:rPr>
        <w:t>14.</w:t>
      </w:r>
      <w:r>
        <w:rPr>
          <w:rFonts w:hint="eastAsia" w:ascii="宋体" w:hAnsi="宋体"/>
          <w:color w:val="000000"/>
          <w:sz w:val="24"/>
        </w:rPr>
        <w:t>4</w:t>
      </w:r>
      <w:r>
        <w:rPr>
          <w:rFonts w:ascii="宋体" w:hAnsi="宋体"/>
          <w:color w:val="000000"/>
          <w:sz w:val="24"/>
        </w:rPr>
        <w:t>.2 最终结清证书和支付</w:t>
      </w:r>
    </w:p>
    <w:p w14:paraId="7E8DB66A">
      <w:pPr>
        <w:spacing w:line="360" w:lineRule="auto"/>
        <w:ind w:firstLine="480" w:firstLineChars="200"/>
        <w:jc w:val="left"/>
        <w:rPr>
          <w:rFonts w:ascii="宋体" w:hAnsi="宋体"/>
          <w:color w:val="000000"/>
          <w:sz w:val="24"/>
        </w:rPr>
      </w:pPr>
      <w:r>
        <w:rPr>
          <w:rFonts w:ascii="宋体" w:hAnsi="宋体"/>
          <w:color w:val="000000"/>
          <w:sz w:val="24"/>
        </w:rPr>
        <w:t>（1）发包人完成最终结清申请单的</w:t>
      </w:r>
      <w:r>
        <w:rPr>
          <w:rFonts w:hint="eastAsia" w:ascii="宋体" w:hAnsi="宋体"/>
          <w:color w:val="000000"/>
          <w:sz w:val="24"/>
        </w:rPr>
        <w:t>审批</w:t>
      </w:r>
      <w:r>
        <w:rPr>
          <w:rFonts w:ascii="宋体" w:hAnsi="宋体"/>
          <w:color w:val="000000"/>
          <w:sz w:val="24"/>
        </w:rPr>
        <w:t>并颁发最终结清证书的期限：</w:t>
      </w:r>
      <w:r>
        <w:rPr>
          <w:rFonts w:hint="eastAsia" w:ascii="宋体" w:hAnsi="宋体"/>
          <w:color w:val="000000"/>
          <w:sz w:val="24"/>
        </w:rPr>
        <w:t>发包人应在收到承包人提交的最终结清申请单后</w:t>
      </w:r>
      <w:r>
        <w:rPr>
          <w:rFonts w:hint="eastAsia" w:ascii="宋体" w:hAnsi="宋体"/>
          <w:color w:val="000000"/>
          <w:sz w:val="24"/>
          <w:u w:val="single"/>
        </w:rPr>
        <w:t>　14</w:t>
      </w:r>
      <w:r>
        <w:rPr>
          <w:rFonts w:hint="eastAsia" w:ascii="宋体" w:hAnsi="宋体"/>
          <w:color w:val="000000"/>
          <w:kern w:val="0"/>
          <w:sz w:val="24"/>
          <w:u w:val="single"/>
        </w:rPr>
        <w:t xml:space="preserve"> </w:t>
      </w:r>
      <w:r>
        <w:rPr>
          <w:rFonts w:hint="eastAsia" w:ascii="宋体" w:hAnsi="宋体"/>
          <w:color w:val="000000"/>
          <w:sz w:val="24"/>
        </w:rPr>
        <w:t>天内完成审批并向承包人颁发最终结清证书。发包人逾期未完成审批，又未提出修改意见的，视为发包人同意承包人提交的最终结清申请单并已颁发最终结清证书。</w:t>
      </w:r>
    </w:p>
    <w:p w14:paraId="68CF4BFB">
      <w:pPr>
        <w:spacing w:line="360" w:lineRule="auto"/>
        <w:ind w:firstLine="480" w:firstLineChars="200"/>
        <w:jc w:val="left"/>
        <w:rPr>
          <w:rFonts w:hint="eastAsia" w:ascii="宋体" w:hAnsi="宋体"/>
          <w:color w:val="000000"/>
          <w:sz w:val="24"/>
        </w:rPr>
      </w:pPr>
      <w:r>
        <w:rPr>
          <w:rFonts w:ascii="宋体" w:hAnsi="宋体"/>
          <w:color w:val="000000"/>
          <w:sz w:val="24"/>
        </w:rPr>
        <w:t>（2）发包人完成支付的期限：</w:t>
      </w:r>
    </w:p>
    <w:p w14:paraId="5ACD5182">
      <w:pPr>
        <w:spacing w:line="360" w:lineRule="auto"/>
        <w:ind w:firstLine="480" w:firstLineChars="200"/>
        <w:jc w:val="left"/>
        <w:rPr>
          <w:rFonts w:ascii="宋体" w:hAnsi="宋体"/>
          <w:color w:val="000000"/>
          <w:sz w:val="24"/>
        </w:rPr>
      </w:pPr>
      <w:r>
        <w:rPr>
          <w:rFonts w:hint="eastAsia" w:ascii="宋体" w:hAnsi="宋体"/>
          <w:color w:val="000000"/>
          <w:sz w:val="24"/>
        </w:rPr>
        <w:t>发包人应在颁发最终结清证书后</w:t>
      </w:r>
      <w:r>
        <w:rPr>
          <w:rFonts w:hint="eastAsia" w:ascii="宋体" w:hAnsi="宋体"/>
          <w:color w:val="000000"/>
          <w:sz w:val="24"/>
          <w:u w:val="single"/>
        </w:rPr>
        <w:t>　14　</w:t>
      </w:r>
      <w:r>
        <w:rPr>
          <w:rFonts w:hint="eastAsia" w:ascii="宋体" w:hAnsi="宋体"/>
          <w:color w:val="000000"/>
          <w:kern w:val="0"/>
          <w:sz w:val="24"/>
        </w:rPr>
        <w:t>天</w:t>
      </w:r>
      <w:r>
        <w:rPr>
          <w:rFonts w:hint="eastAsia" w:ascii="宋体" w:hAnsi="宋体"/>
          <w:color w:val="000000"/>
          <w:sz w:val="24"/>
        </w:rPr>
        <w:t>内完成支付。发包人逾期支付的违约责任按通用条款执行</w:t>
      </w:r>
      <w:r>
        <w:rPr>
          <w:rFonts w:ascii="宋体" w:hAnsi="宋体"/>
          <w:color w:val="000000"/>
          <w:sz w:val="24"/>
        </w:rPr>
        <w:t>。</w:t>
      </w:r>
    </w:p>
    <w:p w14:paraId="5306CE2C">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15. 缺陷责任期与保修</w:t>
      </w:r>
      <w:bookmarkEnd w:id="515"/>
      <w:bookmarkEnd w:id="516"/>
    </w:p>
    <w:p w14:paraId="4D2D4D2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15.2缺陷责任期</w:t>
      </w:r>
      <w:bookmarkEnd w:id="517"/>
    </w:p>
    <w:p w14:paraId="53ED977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lang w:val="en-US" w:eastAsia="zh-CN"/>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12</w:t>
      </w:r>
      <w:r>
        <w:rPr>
          <w:rFonts w:hint="eastAsia" w:ascii="宋体" w:hAnsi="宋体" w:cs="宋体"/>
          <w:color w:val="000000"/>
          <w:sz w:val="24"/>
          <w:u w:val="single"/>
          <w:lang w:val="en-US" w:eastAsia="zh-CN"/>
        </w:rPr>
        <w:t xml:space="preserve"> </w:t>
      </w:r>
      <w:r>
        <w:rPr>
          <w:rFonts w:hint="eastAsia" w:ascii="宋体" w:hAnsi="宋体" w:cs="宋体"/>
          <w:color w:val="000000"/>
          <w:sz w:val="24"/>
        </w:rPr>
        <w:t>个月。</w:t>
      </w:r>
    </w:p>
    <w:p w14:paraId="7704A6C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12</w:t>
      </w:r>
      <w:r>
        <w:rPr>
          <w:rFonts w:hint="eastAsia" w:ascii="宋体" w:hAnsi="宋体" w:cs="宋体"/>
          <w:color w:val="000000"/>
          <w:sz w:val="24"/>
        </w:rPr>
        <w:t>个月。</w:t>
      </w:r>
    </w:p>
    <w:bookmarkEnd w:id="518"/>
    <w:bookmarkEnd w:id="519"/>
    <w:p w14:paraId="0CAE11E6">
      <w:pPr>
        <w:spacing w:line="360" w:lineRule="auto"/>
        <w:ind w:firstLine="480" w:firstLineChars="200"/>
        <w:rPr>
          <w:rFonts w:hint="eastAsia" w:ascii="宋体" w:hAnsi="宋体"/>
          <w:color w:val="000000"/>
          <w:sz w:val="24"/>
        </w:rPr>
      </w:pPr>
      <w:r>
        <w:rPr>
          <w:rFonts w:hint="eastAsia" w:ascii="宋体" w:hAnsi="宋体"/>
          <w:color w:val="000000"/>
          <w:sz w:val="24"/>
        </w:rPr>
        <w:t>15.3 质量保证金</w:t>
      </w:r>
    </w:p>
    <w:p w14:paraId="2D497B9D">
      <w:pPr>
        <w:spacing w:line="460" w:lineRule="exact"/>
        <w:ind w:firstLine="480" w:firstLineChars="200"/>
        <w:rPr>
          <w:rFonts w:hint="eastAsia" w:ascii="宋体" w:hAnsi="宋体" w:cs="宋体"/>
          <w:sz w:val="24"/>
        </w:rPr>
      </w:pPr>
      <w:r>
        <w:rPr>
          <w:rFonts w:hint="eastAsia" w:ascii="宋体" w:hAnsi="宋体" w:cs="宋体"/>
          <w:sz w:val="24"/>
        </w:rPr>
        <w:t>关于是否扣留质量保证金的约定：</w:t>
      </w:r>
      <w:r>
        <w:rPr>
          <w:rFonts w:hint="eastAsia" w:ascii="宋体" w:hAnsi="宋体" w:cs="宋体"/>
          <w:sz w:val="24"/>
          <w:u w:val="single"/>
          <w:lang w:val="en-US" w:eastAsia="zh-CN"/>
        </w:rPr>
        <w:t xml:space="preserve"> 关于是否扣留质量保证金的约定：按《关于印发宁海县房屋建筑和市政基础设施工程担保管理办法（试行）的通知》（宁建〔2014〕67号）规定并结合《宁波市住房和城乡建设委员会关于进一步优化建筑业发展环境减轻建筑企业负担的通知》（甬建函〔2017〕96 号）、《关于在全省工程建设领域改革保证金制度的通知》（浙建〔2020〕7号）及宁海县住建局颁发《关于进一步推动落实建筑业惠企减负政策的通知》的文件，承包人向发包人提供 </w:t>
      </w:r>
      <w:r>
        <w:rPr>
          <w:rFonts w:hint="eastAsia" w:ascii="宋体" w:hAnsi="宋体" w:cs="宋体"/>
          <w:sz w:val="24"/>
        </w:rPr>
        <w:t>。</w:t>
      </w:r>
    </w:p>
    <w:p w14:paraId="205F6DBC">
      <w:pPr>
        <w:spacing w:line="460" w:lineRule="exact"/>
        <w:ind w:firstLine="482" w:firstLineChars="200"/>
        <w:rPr>
          <w:rFonts w:hint="eastAsia" w:ascii="宋体" w:hAnsi="宋体" w:cs="宋体"/>
          <w:b/>
          <w:bCs/>
          <w:color w:val="auto"/>
          <w:sz w:val="24"/>
        </w:rPr>
      </w:pPr>
      <w:r>
        <w:rPr>
          <w:rFonts w:hint="eastAsia" w:ascii="宋体" w:hAnsi="宋体" w:cs="宋体"/>
          <w:b/>
          <w:bCs/>
          <w:color w:val="auto"/>
          <w:sz w:val="24"/>
        </w:rPr>
        <w:t>（1）承包人提供的质量保证担保形式为</w:t>
      </w:r>
      <w:r>
        <w:rPr>
          <w:rFonts w:hint="eastAsia" w:ascii="宋体" w:hAnsi="宋体" w:cs="宋体"/>
          <w:b/>
          <w:bCs/>
          <w:color w:val="auto"/>
          <w:sz w:val="24"/>
          <w:u w:val="single"/>
        </w:rPr>
        <w:t>银行保函或保险机构保证保险保单。</w:t>
      </w:r>
    </w:p>
    <w:p w14:paraId="4CAE3B00">
      <w:pPr>
        <w:autoSpaceDE w:val="0"/>
        <w:autoSpaceDN w:val="0"/>
        <w:adjustRightInd w:val="0"/>
        <w:spacing w:line="460" w:lineRule="exact"/>
        <w:ind w:firstLine="480" w:firstLineChars="200"/>
        <w:rPr>
          <w:rFonts w:hint="eastAsia" w:ascii="宋体" w:hAnsi="宋体" w:eastAsia="宋体" w:cs="宋体"/>
          <w:color w:val="000000"/>
          <w:sz w:val="24"/>
        </w:rPr>
      </w:pPr>
      <w:r>
        <w:rPr>
          <w:rFonts w:hint="eastAsia" w:ascii="宋体" w:hAnsi="宋体" w:cs="宋体"/>
          <w:color w:val="auto"/>
          <w:sz w:val="24"/>
        </w:rPr>
        <w:t>（2）质量保证金保函担保时间或质量保证金扣留期限与第15.2款约定的缺陷责任期保持一致。</w:t>
      </w:r>
    </w:p>
    <w:p w14:paraId="1CFC998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（3）质量保证金额度为结算价的</w:t>
      </w:r>
      <w:r>
        <w:rPr>
          <w:rFonts w:hint="eastAsia" w:ascii="宋体" w:hAnsi="宋体" w:eastAsia="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14:paraId="34BCF595">
      <w:pPr>
        <w:spacing w:line="360" w:lineRule="auto"/>
        <w:ind w:firstLine="504" w:firstLineChars="210"/>
        <w:rPr>
          <w:rFonts w:hint="eastAsia" w:ascii="宋体" w:hAnsi="宋体" w:cs="宋体"/>
          <w:color w:val="000000"/>
          <w:sz w:val="24"/>
        </w:rPr>
      </w:pPr>
      <w:r>
        <w:rPr>
          <w:rFonts w:hint="eastAsia" w:ascii="宋体" w:hAnsi="宋体" w:cs="宋体"/>
          <w:color w:val="000000"/>
          <w:sz w:val="24"/>
        </w:rPr>
        <w:t>15.3.3 质量保修金的退还</w:t>
      </w:r>
    </w:p>
    <w:p w14:paraId="19AAA88C">
      <w:pPr>
        <w:spacing w:line="360" w:lineRule="auto"/>
        <w:ind w:firstLine="480" w:firstLineChars="200"/>
        <w:rPr>
          <w:rFonts w:hint="eastAsia" w:ascii="宋体" w:hAnsi="宋体"/>
          <w:sz w:val="24"/>
          <w:u w:val="single"/>
        </w:rPr>
      </w:pPr>
      <w:r>
        <w:rPr>
          <w:rFonts w:hint="eastAsia" w:ascii="宋体" w:hAnsi="宋体"/>
          <w:sz w:val="24"/>
          <w:u w:val="single"/>
        </w:rPr>
        <w:t>发包人应按约定退还质量保修金，质量保修金保留期为</w:t>
      </w:r>
      <w:r>
        <w:rPr>
          <w:rFonts w:hint="eastAsia" w:ascii="宋体" w:hAnsi="宋体"/>
          <w:sz w:val="24"/>
          <w:u w:val="single"/>
          <w:lang w:val="en-US" w:eastAsia="zh-CN"/>
        </w:rPr>
        <w:t>2</w:t>
      </w:r>
      <w:r>
        <w:rPr>
          <w:rFonts w:hint="eastAsia" w:ascii="宋体" w:hAnsi="宋体"/>
          <w:sz w:val="24"/>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4"/>
          <w:u w:val="single"/>
          <w:lang w:eastAsia="zh-CN"/>
        </w:rPr>
        <w:t>。</w:t>
      </w:r>
      <w:r>
        <w:rPr>
          <w:rFonts w:hint="eastAsia" w:ascii="宋体" w:hAnsi="宋体"/>
          <w:sz w:val="24"/>
          <w:u w:val="single"/>
        </w:rPr>
        <w:t>保修期内保修金不计息。</w:t>
      </w:r>
    </w:p>
    <w:p w14:paraId="04BA0CE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15.4保修</w:t>
      </w:r>
    </w:p>
    <w:bookmarkEnd w:id="520"/>
    <w:p w14:paraId="0061E116">
      <w:pPr>
        <w:spacing w:line="360" w:lineRule="auto"/>
        <w:ind w:firstLine="468" w:firstLineChars="195"/>
        <w:jc w:val="left"/>
        <w:rPr>
          <w:rFonts w:hint="eastAsia" w:ascii="宋体" w:hAnsi="宋体" w:cs="宋体"/>
          <w:color w:val="000000"/>
          <w:sz w:val="24"/>
        </w:rPr>
      </w:pPr>
      <w:r>
        <w:rPr>
          <w:rFonts w:hint="eastAsia" w:ascii="宋体" w:hAnsi="宋体" w:cs="宋体"/>
          <w:color w:val="000000"/>
          <w:sz w:val="24"/>
        </w:rPr>
        <w:t>15.4.1 保修责任</w:t>
      </w:r>
    </w:p>
    <w:p w14:paraId="64F9D16E">
      <w:pPr>
        <w:autoSpaceDE w:val="0"/>
        <w:autoSpaceDN w:val="0"/>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工程保修期为：</w:t>
      </w:r>
    </w:p>
    <w:p w14:paraId="64CBDAAE">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5D63647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2C28F77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53BBDD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lang w:val="en-US" w:eastAsia="zh-CN"/>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2 </w:t>
      </w:r>
      <w:r>
        <w:rPr>
          <w:rFonts w:hint="eastAsia" w:ascii="宋体" w:hAnsi="宋体" w:cs="宋体"/>
          <w:color w:val="000000"/>
          <w:sz w:val="24"/>
        </w:rPr>
        <w:t>年；</w:t>
      </w:r>
    </w:p>
    <w:p w14:paraId="6E3F445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2  </w:t>
      </w:r>
      <w:r>
        <w:rPr>
          <w:rFonts w:hint="eastAsia" w:ascii="宋体" w:hAnsi="宋体" w:cs="宋体"/>
          <w:color w:val="000000"/>
          <w:sz w:val="24"/>
        </w:rPr>
        <w:t>个采暖期、供冷期；</w:t>
      </w:r>
    </w:p>
    <w:p w14:paraId="5E7B60B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1 </w:t>
      </w:r>
      <w:r>
        <w:rPr>
          <w:rFonts w:hint="eastAsia" w:ascii="宋体" w:hAnsi="宋体" w:cs="宋体"/>
          <w:color w:val="000000"/>
          <w:sz w:val="24"/>
        </w:rPr>
        <w:t>年；</w:t>
      </w:r>
    </w:p>
    <w:p w14:paraId="620146F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lang w:val="en-US" w:eastAsia="zh-CN"/>
        </w:rPr>
        <w:t xml:space="preserve"> </w:t>
      </w:r>
      <w:r>
        <w:rPr>
          <w:rFonts w:hint="eastAsia" w:ascii="宋体" w:hAnsi="宋体" w:eastAsia="宋体" w:cs="宋体"/>
          <w:color w:val="auto"/>
          <w:kern w:val="0"/>
          <w:sz w:val="24"/>
          <w:szCs w:val="24"/>
          <w:u w:val="single"/>
        </w:rPr>
        <w:t>除上述约定外，本工程其余部分保修期为</w:t>
      </w:r>
      <w:r>
        <w:rPr>
          <w:rFonts w:hint="eastAsia" w:ascii="宋体" w:hAnsi="宋体" w:eastAsia="宋体" w:cs="宋体"/>
          <w:color w:val="000000"/>
          <w:kern w:val="0"/>
          <w:sz w:val="24"/>
          <w:szCs w:val="24"/>
          <w:u w:val="single"/>
          <w:lang w:val="en-US" w:eastAsia="zh-CN"/>
        </w:rPr>
        <w:t>2</w:t>
      </w:r>
      <w:r>
        <w:rPr>
          <w:rFonts w:hint="eastAsia" w:ascii="宋体" w:hAnsi="宋体" w:eastAsia="宋体" w:cs="宋体"/>
          <w:color w:val="000000"/>
          <w:kern w:val="0"/>
          <w:sz w:val="24"/>
          <w:szCs w:val="24"/>
          <w:u w:val="single"/>
        </w:rPr>
        <w:t>年</w:t>
      </w:r>
      <w:r>
        <w:rPr>
          <w:rFonts w:hint="eastAsia" w:ascii="宋体" w:hAnsi="宋体"/>
          <w:color w:val="000000"/>
          <w:sz w:val="24"/>
          <w:u w:val="single"/>
        </w:rPr>
        <w:t>。</w:t>
      </w:r>
    </w:p>
    <w:p w14:paraId="182AA658">
      <w:pPr>
        <w:spacing w:line="360" w:lineRule="auto"/>
        <w:ind w:firstLine="468" w:firstLineChars="195"/>
        <w:jc w:val="left"/>
        <w:rPr>
          <w:rFonts w:hint="eastAsia" w:ascii="宋体" w:hAnsi="宋体" w:cs="宋体"/>
          <w:color w:val="000000"/>
          <w:sz w:val="24"/>
        </w:rPr>
      </w:pPr>
      <w:r>
        <w:rPr>
          <w:rFonts w:hint="eastAsia" w:ascii="宋体" w:hAnsi="宋体" w:cs="宋体"/>
          <w:color w:val="000000"/>
          <w:sz w:val="24"/>
        </w:rPr>
        <w:t>15.4.3 修复通知</w:t>
      </w:r>
    </w:p>
    <w:p w14:paraId="0D20E912">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521"/>
    <w:bookmarkEnd w:id="522"/>
    <w:bookmarkEnd w:id="523"/>
    <w:bookmarkEnd w:id="524"/>
    <w:p w14:paraId="04C51FF4">
      <w:pPr>
        <w:pStyle w:val="6"/>
        <w:spacing w:before="0" w:after="0" w:line="360" w:lineRule="auto"/>
        <w:rPr>
          <w:rFonts w:hint="eastAsia" w:ascii="宋体" w:hAnsi="宋体" w:eastAsia="宋体" w:cs="宋体"/>
          <w:b w:val="0"/>
          <w:color w:val="000000"/>
          <w:sz w:val="24"/>
          <w:szCs w:val="24"/>
        </w:rPr>
      </w:pPr>
      <w:bookmarkStart w:id="547" w:name="_Toc351203648"/>
      <w:bookmarkStart w:id="548" w:name="_Toc386638622"/>
      <w:bookmarkStart w:id="549" w:name="_Toc280868717"/>
      <w:bookmarkStart w:id="550" w:name="_Toc280868718"/>
      <w:r>
        <w:rPr>
          <w:rFonts w:hint="eastAsia" w:ascii="宋体" w:hAnsi="宋体" w:eastAsia="宋体" w:cs="宋体"/>
          <w:b w:val="0"/>
          <w:color w:val="000000"/>
          <w:sz w:val="24"/>
          <w:szCs w:val="24"/>
        </w:rPr>
        <w:t>16. 违约</w:t>
      </w:r>
      <w:bookmarkEnd w:id="547"/>
      <w:bookmarkEnd w:id="548"/>
    </w:p>
    <w:p w14:paraId="68751BB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16.1 发包人违约</w:t>
      </w:r>
    </w:p>
    <w:p w14:paraId="1184FE99">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16.1.1发包人违约的情形</w:t>
      </w:r>
    </w:p>
    <w:p w14:paraId="73D9B885">
      <w:pPr>
        <w:spacing w:line="360" w:lineRule="auto"/>
        <w:ind w:left="720" w:hanging="720" w:hangingChars="300"/>
        <w:jc w:val="left"/>
        <w:rPr>
          <w:rFonts w:hint="eastAsia"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0225EB7">
      <w:pPr>
        <w:spacing w:line="360" w:lineRule="auto"/>
        <w:ind w:left="1200" w:hanging="1200" w:hangingChars="500"/>
        <w:jc w:val="left"/>
        <w:rPr>
          <w:rFonts w:hint="eastAsia" w:ascii="宋体" w:hAnsi="宋体" w:cs="宋体"/>
          <w:color w:val="000000"/>
          <w:sz w:val="24"/>
        </w:rPr>
      </w:pPr>
      <w:r>
        <w:rPr>
          <w:rFonts w:hint="eastAsia" w:ascii="宋体" w:hAnsi="宋体" w:cs="宋体"/>
          <w:color w:val="000000"/>
          <w:sz w:val="24"/>
        </w:rPr>
        <w:t xml:space="preserve">    16.1.2 发包人违约的责任</w:t>
      </w:r>
    </w:p>
    <w:p w14:paraId="7EEFE63D">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发包人违约责任的承担方式和计算方法：</w:t>
      </w:r>
    </w:p>
    <w:p w14:paraId="527D9364">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7DBFF7F8">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68AC106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5F892F1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4F56340">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5B228C3E">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3079C3F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4943CDF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16.1.3 因发包人违约解除合同</w:t>
      </w:r>
    </w:p>
    <w:p w14:paraId="65997981">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7CE8020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16.2 承包人违约</w:t>
      </w:r>
    </w:p>
    <w:p w14:paraId="77E6EF85">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16.2.1 承包人违约的情形、承担方式和计算方法</w:t>
      </w:r>
    </w:p>
    <w:p w14:paraId="098979F3">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21A91468">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①未达到工程质量验收合格标准违约金为中标价的</w:t>
      </w:r>
      <w:r>
        <w:rPr>
          <w:rFonts w:hint="eastAsia" w:ascii="宋体" w:hAnsi="宋体" w:cs="宋体"/>
          <w:color w:val="000000"/>
          <w:sz w:val="24"/>
          <w:lang w:val="en-US" w:eastAsia="zh-CN"/>
        </w:rPr>
        <w:t>3</w:t>
      </w:r>
      <w:r>
        <w:rPr>
          <w:rFonts w:hint="eastAsia" w:ascii="宋体" w:hAnsi="宋体" w:cs="宋体"/>
          <w:color w:val="000000"/>
          <w:sz w:val="24"/>
        </w:rPr>
        <w:t>%</w:t>
      </w:r>
    </w:p>
    <w:p w14:paraId="1202452B">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②未履行安全文明施工承诺违约金为中标价的</w:t>
      </w:r>
      <w:r>
        <w:rPr>
          <w:rFonts w:hint="eastAsia" w:ascii="宋体" w:hAnsi="宋体" w:cs="宋体"/>
          <w:color w:val="000000"/>
          <w:sz w:val="24"/>
          <w:lang w:val="en-US" w:eastAsia="zh-CN"/>
        </w:rPr>
        <w:t>3</w:t>
      </w:r>
      <w:r>
        <w:rPr>
          <w:rFonts w:hint="eastAsia" w:ascii="宋体" w:hAnsi="宋体" w:cs="宋体"/>
          <w:color w:val="000000"/>
          <w:sz w:val="24"/>
        </w:rPr>
        <w:t>%</w:t>
      </w:r>
    </w:p>
    <w:p w14:paraId="61357EEB">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48316992">
      <w:pPr>
        <w:spacing w:line="360" w:lineRule="auto"/>
        <w:ind w:firstLine="360" w:firstLineChars="150"/>
        <w:jc w:val="left"/>
        <w:rPr>
          <w:rFonts w:hint="eastAsia"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49680AB6">
      <w:pPr>
        <w:spacing w:line="360" w:lineRule="auto"/>
        <w:ind w:firstLine="480" w:firstLineChars="200"/>
        <w:rPr>
          <w:rFonts w:hint="eastAsia" w:ascii="宋体" w:hAnsi="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353B460F">
      <w:pPr>
        <w:spacing w:line="360" w:lineRule="auto"/>
        <w:ind w:firstLine="480" w:firstLineChars="200"/>
        <w:rPr>
          <w:rFonts w:hint="eastAsia" w:ascii="宋体" w:hAnsi="宋体"/>
          <w:color w:val="000000"/>
          <w:kern w:val="0"/>
          <w:sz w:val="24"/>
        </w:rPr>
      </w:pPr>
      <w:r>
        <w:rPr>
          <w:rFonts w:hint="eastAsia" w:ascii="宋体" w:hAnsi="宋体"/>
          <w:color w:val="000000"/>
          <w:kern w:val="0"/>
          <w:sz w:val="24"/>
        </w:rPr>
        <w:t>2、承包人擅自更换项目负责人违约金</w:t>
      </w:r>
      <w:r>
        <w:rPr>
          <w:rFonts w:hint="eastAsia" w:ascii="宋体" w:hAnsi="宋体"/>
          <w:color w:val="000000"/>
          <w:kern w:val="0"/>
          <w:sz w:val="24"/>
          <w:u w:val="single"/>
        </w:rPr>
        <w:t>10000</w:t>
      </w:r>
      <w:r>
        <w:rPr>
          <w:rFonts w:hint="eastAsia" w:ascii="宋体" w:hAnsi="宋体"/>
          <w:color w:val="000000"/>
          <w:kern w:val="0"/>
          <w:sz w:val="24"/>
        </w:rPr>
        <w:t>元/次。</w:t>
      </w:r>
    </w:p>
    <w:p w14:paraId="2E5CA729">
      <w:pPr>
        <w:spacing w:line="480" w:lineRule="exact"/>
        <w:ind w:firstLine="360" w:firstLineChars="150"/>
        <w:jc w:val="left"/>
        <w:rPr>
          <w:rFonts w:hint="eastAsia" w:ascii="宋体" w:hAnsi="宋体"/>
          <w:color w:val="000000"/>
          <w:kern w:val="0"/>
          <w:sz w:val="24"/>
        </w:rPr>
      </w:pPr>
      <w:r>
        <w:rPr>
          <w:rFonts w:hint="eastAsia" w:ascii="宋体" w:hAnsi="宋体"/>
          <w:color w:val="000000"/>
          <w:kern w:val="0"/>
          <w:sz w:val="24"/>
        </w:rPr>
        <w:t xml:space="preserve"> 3、承包人擅自更换项目部其余关键岗位人员违约金</w:t>
      </w:r>
      <w:r>
        <w:rPr>
          <w:rFonts w:hint="eastAsia" w:ascii="宋体" w:hAnsi="宋体"/>
          <w:color w:val="000000"/>
          <w:kern w:val="0"/>
          <w:sz w:val="24"/>
          <w:u w:val="single"/>
        </w:rPr>
        <w:t>5000</w:t>
      </w:r>
      <w:r>
        <w:rPr>
          <w:rFonts w:hint="eastAsia" w:ascii="宋体" w:hAnsi="宋体"/>
          <w:color w:val="000000"/>
          <w:kern w:val="0"/>
          <w:sz w:val="24"/>
        </w:rPr>
        <w:t>元/人/次。</w:t>
      </w:r>
    </w:p>
    <w:p w14:paraId="4236C52F">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16.2.3 因承包人违约解除合同</w:t>
      </w:r>
    </w:p>
    <w:p w14:paraId="185225F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2CB8FD8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2EB8504B">
      <w:pPr>
        <w:pStyle w:val="6"/>
        <w:spacing w:before="0" w:after="0" w:line="360" w:lineRule="auto"/>
        <w:rPr>
          <w:rFonts w:hint="eastAsia" w:ascii="宋体" w:hAnsi="宋体" w:eastAsia="宋体" w:cs="宋体"/>
          <w:b w:val="0"/>
          <w:color w:val="000000"/>
          <w:sz w:val="24"/>
          <w:szCs w:val="24"/>
        </w:rPr>
      </w:pPr>
      <w:bookmarkStart w:id="551" w:name="_Toc351203649"/>
      <w:bookmarkStart w:id="552" w:name="_Toc386638623"/>
      <w:r>
        <w:rPr>
          <w:rFonts w:hint="eastAsia" w:ascii="宋体" w:hAnsi="宋体" w:eastAsia="宋体" w:cs="宋体"/>
          <w:b w:val="0"/>
          <w:color w:val="000000"/>
          <w:sz w:val="24"/>
          <w:szCs w:val="24"/>
        </w:rPr>
        <w:t>17. 不可抗力</w:t>
      </w:r>
      <w:bookmarkEnd w:id="551"/>
      <w:bookmarkEnd w:id="552"/>
      <w:r>
        <w:rPr>
          <w:rFonts w:hint="eastAsia" w:ascii="宋体" w:hAnsi="宋体" w:eastAsia="宋体" w:cs="宋体"/>
          <w:b w:val="0"/>
          <w:color w:val="000000"/>
          <w:sz w:val="24"/>
          <w:szCs w:val="24"/>
        </w:rPr>
        <w:t xml:space="preserve"> </w:t>
      </w:r>
      <w:bookmarkEnd w:id="549"/>
    </w:p>
    <w:p w14:paraId="529C4C6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17.1 不可抗力的确认</w:t>
      </w:r>
    </w:p>
    <w:p w14:paraId="2C4769FB">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7519BF4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17.4 因不可抗力解除合同</w:t>
      </w:r>
    </w:p>
    <w:p w14:paraId="00CEED4D">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28</w:t>
      </w:r>
      <w:r>
        <w:rPr>
          <w:rFonts w:hint="eastAsia" w:ascii="宋体" w:hAnsi="宋体" w:cs="宋体"/>
          <w:color w:val="000000"/>
          <w:sz w:val="24"/>
        </w:rPr>
        <w:t>天内完成款项的支付。</w:t>
      </w:r>
    </w:p>
    <w:p w14:paraId="36380B96">
      <w:pPr>
        <w:pStyle w:val="6"/>
        <w:spacing w:before="0" w:after="0" w:line="360" w:lineRule="auto"/>
        <w:rPr>
          <w:rFonts w:hint="eastAsia" w:ascii="宋体" w:hAnsi="宋体" w:eastAsia="宋体" w:cs="宋体"/>
          <w:b w:val="0"/>
          <w:color w:val="000000"/>
          <w:sz w:val="24"/>
          <w:szCs w:val="24"/>
        </w:rPr>
      </w:pPr>
      <w:bookmarkStart w:id="553" w:name="_Toc386638624"/>
      <w:bookmarkStart w:id="554" w:name="_Toc351203650"/>
      <w:r>
        <w:rPr>
          <w:rFonts w:hint="eastAsia" w:ascii="宋体" w:hAnsi="宋体" w:eastAsia="宋体" w:cs="宋体"/>
          <w:b w:val="0"/>
          <w:color w:val="000000"/>
          <w:sz w:val="24"/>
          <w:szCs w:val="24"/>
        </w:rPr>
        <w:t>18. 保险</w:t>
      </w:r>
      <w:bookmarkEnd w:id="553"/>
      <w:bookmarkEnd w:id="554"/>
    </w:p>
    <w:bookmarkEnd w:id="525"/>
    <w:bookmarkEnd w:id="526"/>
    <w:bookmarkEnd w:id="527"/>
    <w:bookmarkEnd w:id="528"/>
    <w:bookmarkEnd w:id="529"/>
    <w:bookmarkEnd w:id="530"/>
    <w:bookmarkEnd w:id="531"/>
    <w:bookmarkEnd w:id="532"/>
    <w:bookmarkEnd w:id="533"/>
    <w:bookmarkEnd w:id="534"/>
    <w:bookmarkEnd w:id="535"/>
    <w:bookmarkEnd w:id="536"/>
    <w:bookmarkEnd w:id="550"/>
    <w:p w14:paraId="292E89BA">
      <w:pPr>
        <w:spacing w:line="360" w:lineRule="auto"/>
        <w:ind w:firstLine="480" w:firstLineChars="200"/>
        <w:rPr>
          <w:rFonts w:ascii="宋体" w:hAnsi="宋体"/>
          <w:sz w:val="24"/>
        </w:rPr>
      </w:pPr>
      <w:bookmarkStart w:id="555" w:name="_Toc351203651"/>
      <w:bookmarkStart w:id="556" w:name="_Toc386638625"/>
      <w:r>
        <w:rPr>
          <w:rFonts w:ascii="宋体" w:hAnsi="宋体"/>
          <w:sz w:val="24"/>
        </w:rPr>
        <w:t>18.1 工程保险</w:t>
      </w:r>
    </w:p>
    <w:p w14:paraId="3D0C42AB">
      <w:pPr>
        <w:spacing w:line="360" w:lineRule="auto"/>
        <w:ind w:firstLine="480" w:firstLineChars="200"/>
        <w:jc w:val="left"/>
        <w:rPr>
          <w:rFonts w:ascii="宋体" w:hAnsi="宋体"/>
          <w:sz w:val="24"/>
        </w:rPr>
      </w:pPr>
      <w:r>
        <w:rPr>
          <w:rFonts w:ascii="宋体" w:hAnsi="宋体"/>
          <w:sz w:val="24"/>
        </w:rPr>
        <w:t>关于工程保险的特别约定：</w:t>
      </w:r>
      <w:r>
        <w:rPr>
          <w:rFonts w:hint="eastAsia" w:ascii="宋体" w:hAnsi="宋体"/>
          <w:sz w:val="24"/>
          <w:u w:val="single"/>
        </w:rPr>
        <w:t>/</w:t>
      </w:r>
      <w:r>
        <w:rPr>
          <w:rFonts w:ascii="宋体" w:hAnsi="宋体"/>
          <w:kern w:val="0"/>
          <w:sz w:val="24"/>
        </w:rPr>
        <w:t>。</w:t>
      </w:r>
    </w:p>
    <w:p w14:paraId="0FA9CCA8">
      <w:pPr>
        <w:spacing w:line="360" w:lineRule="auto"/>
        <w:ind w:firstLine="480" w:firstLineChars="200"/>
        <w:rPr>
          <w:rFonts w:ascii="宋体" w:hAnsi="宋体"/>
          <w:sz w:val="24"/>
        </w:rPr>
      </w:pPr>
      <w:r>
        <w:rPr>
          <w:rFonts w:ascii="宋体" w:hAnsi="宋体"/>
          <w:sz w:val="24"/>
        </w:rPr>
        <w:t>18.3 其他保险</w:t>
      </w:r>
    </w:p>
    <w:p w14:paraId="62499577">
      <w:pPr>
        <w:spacing w:line="360" w:lineRule="auto"/>
        <w:ind w:firstLine="480" w:firstLineChars="200"/>
        <w:jc w:val="left"/>
        <w:rPr>
          <w:rFonts w:ascii="宋体" w:hAnsi="宋体"/>
          <w:kern w:val="0"/>
          <w:sz w:val="24"/>
        </w:rPr>
      </w:pPr>
      <w:r>
        <w:rPr>
          <w:rFonts w:ascii="宋体" w:hAnsi="宋体"/>
          <w:sz w:val="24"/>
        </w:rPr>
        <w:t>关于其他保险的约定：</w:t>
      </w:r>
      <w:r>
        <w:rPr>
          <w:rFonts w:ascii="宋体" w:hAnsi="宋体"/>
          <w:kern w:val="0"/>
          <w:sz w:val="24"/>
          <w:u w:val="single"/>
        </w:rPr>
        <w:t xml:space="preserve"> </w:t>
      </w:r>
      <w:r>
        <w:rPr>
          <w:rFonts w:hint="eastAsia" w:ascii="宋体" w:hAnsi="宋体"/>
          <w:kern w:val="0"/>
          <w:sz w:val="24"/>
          <w:u w:val="single"/>
        </w:rPr>
        <w:t xml:space="preserve"> 民工工伤保险  </w:t>
      </w:r>
      <w:r>
        <w:rPr>
          <w:rFonts w:ascii="宋体" w:hAnsi="宋体"/>
          <w:kern w:val="0"/>
          <w:sz w:val="24"/>
          <w:u w:val="single"/>
        </w:rPr>
        <w:t xml:space="preserve"> </w:t>
      </w:r>
      <w:r>
        <w:rPr>
          <w:rFonts w:ascii="宋体" w:hAnsi="宋体"/>
          <w:kern w:val="0"/>
          <w:sz w:val="24"/>
        </w:rPr>
        <w:t>。</w:t>
      </w:r>
    </w:p>
    <w:p w14:paraId="356F2355">
      <w:pPr>
        <w:spacing w:line="360" w:lineRule="auto"/>
        <w:ind w:firstLine="480" w:firstLineChars="200"/>
        <w:jc w:val="left"/>
        <w:rPr>
          <w:rFonts w:ascii="宋体" w:hAnsi="宋体"/>
          <w:kern w:val="0"/>
          <w:sz w:val="24"/>
        </w:rPr>
      </w:pPr>
      <w:r>
        <w:rPr>
          <w:rFonts w:ascii="宋体" w:hAnsi="宋体"/>
          <w:sz w:val="24"/>
        </w:rPr>
        <w:t>承包人是否应为其施工设备等办理财产保险：</w:t>
      </w:r>
      <w:r>
        <w:rPr>
          <w:rFonts w:hint="eastAsia" w:ascii="宋体" w:hAnsi="宋体"/>
          <w:sz w:val="24"/>
        </w:rPr>
        <w:t>承包人</w:t>
      </w:r>
      <w:r>
        <w:rPr>
          <w:rFonts w:hint="eastAsia" w:ascii="宋体" w:hAnsi="宋体"/>
          <w:sz w:val="24"/>
          <w:u w:val="single"/>
        </w:rPr>
        <w:t xml:space="preserve">  应当  </w:t>
      </w:r>
      <w:r>
        <w:rPr>
          <w:rFonts w:hint="eastAsia" w:ascii="宋体" w:hAnsi="宋体"/>
          <w:sz w:val="24"/>
        </w:rPr>
        <w:t>为其施工设备等办理财产保险</w:t>
      </w:r>
    </w:p>
    <w:p w14:paraId="770C61F0">
      <w:pPr>
        <w:spacing w:line="360" w:lineRule="auto"/>
        <w:ind w:firstLine="480" w:firstLineChars="200"/>
        <w:rPr>
          <w:rFonts w:ascii="宋体" w:hAnsi="宋体"/>
          <w:sz w:val="24"/>
        </w:rPr>
      </w:pPr>
      <w:r>
        <w:rPr>
          <w:rFonts w:ascii="宋体" w:hAnsi="宋体"/>
          <w:sz w:val="24"/>
        </w:rPr>
        <w:t>18.7 通知义务</w:t>
      </w:r>
    </w:p>
    <w:p w14:paraId="5088821B">
      <w:pPr>
        <w:spacing w:line="360" w:lineRule="auto"/>
        <w:ind w:firstLine="360" w:firstLineChars="150"/>
        <w:jc w:val="left"/>
        <w:rPr>
          <w:rFonts w:hint="eastAsia" w:ascii="宋体" w:hAnsi="宋体"/>
          <w:sz w:val="24"/>
        </w:rPr>
      </w:pPr>
      <w:r>
        <w:rPr>
          <w:rFonts w:ascii="宋体" w:hAnsi="宋体"/>
          <w:kern w:val="0"/>
          <w:sz w:val="24"/>
        </w:rPr>
        <w:t>关于变更保险合同时的通知义务的约定：</w:t>
      </w:r>
      <w:r>
        <w:rPr>
          <w:rFonts w:hint="eastAsia" w:ascii="宋体" w:hAnsi="宋体"/>
          <w:sz w:val="24"/>
          <w:u w:val="single"/>
        </w:rPr>
        <w:t xml:space="preserve">       /       </w:t>
      </w:r>
      <w:r>
        <w:rPr>
          <w:rFonts w:ascii="宋体" w:hAnsi="宋体"/>
          <w:sz w:val="24"/>
          <w:u w:val="single"/>
        </w:rPr>
        <w:t xml:space="preserve"> </w:t>
      </w:r>
      <w:r>
        <w:rPr>
          <w:rFonts w:ascii="宋体" w:hAnsi="宋体"/>
          <w:sz w:val="24"/>
        </w:rPr>
        <w:t>。</w:t>
      </w:r>
    </w:p>
    <w:p w14:paraId="39EA6C3B">
      <w:pPr>
        <w:spacing w:line="360" w:lineRule="auto"/>
        <w:ind w:firstLine="361" w:firstLineChars="150"/>
        <w:jc w:val="left"/>
        <w:rPr>
          <w:rFonts w:hint="eastAsia" w:ascii="宋体" w:hAnsi="宋体"/>
          <w:b/>
          <w:sz w:val="24"/>
        </w:rPr>
      </w:pPr>
      <w:r>
        <w:rPr>
          <w:rFonts w:hint="eastAsia" w:ascii="宋体" w:hAnsi="宋体"/>
          <w:b/>
          <w:sz w:val="24"/>
        </w:rPr>
        <w:t>本工程的民工工伤保险和建筑施工人员团体意外伤害保险由承包人一次性支付。</w:t>
      </w:r>
    </w:p>
    <w:p w14:paraId="405F5D95">
      <w:pPr>
        <w:spacing w:line="360" w:lineRule="auto"/>
        <w:ind w:firstLine="360" w:firstLineChars="150"/>
        <w:jc w:val="left"/>
        <w:rPr>
          <w:rFonts w:hint="eastAsia" w:ascii="宋体" w:hAnsi="宋体"/>
          <w:sz w:val="24"/>
        </w:rPr>
      </w:pPr>
      <w:r>
        <w:rPr>
          <w:rFonts w:hint="eastAsia" w:ascii="宋体" w:hAnsi="宋体"/>
          <w:sz w:val="24"/>
        </w:rPr>
        <w:t>承包人在与分包单位签订分包合同时，应当同时按《宁波市建筑施工企业从业人员参加工伤保险暂行办法》（甬人社发[2014]170 号文件）规定签订《建设项目从业人员工伤保险费代缴协议》，作为分包合同的组成部分。</w:t>
      </w:r>
    </w:p>
    <w:p w14:paraId="3C4E2D9C">
      <w:pPr>
        <w:spacing w:line="360" w:lineRule="auto"/>
        <w:ind w:firstLine="360" w:firstLineChars="150"/>
        <w:jc w:val="left"/>
        <w:rPr>
          <w:rFonts w:ascii="宋体" w:hAnsi="宋体"/>
          <w:sz w:val="24"/>
        </w:rPr>
      </w:pPr>
      <w:r>
        <w:rPr>
          <w:rFonts w:hint="eastAsia" w:ascii="宋体" w:hAnsi="宋体"/>
          <w:sz w:val="24"/>
        </w:rPr>
        <w:t>承包人为建设项目缴纳工伤保险费后，应当将《建设项目工伤保险参保登记表》和《建设项目从业人员工伤保险费代缴协议》发送给本建设项目中各分包单位。</w:t>
      </w:r>
    </w:p>
    <w:p w14:paraId="00C74F3E">
      <w:pPr>
        <w:spacing w:line="360" w:lineRule="auto"/>
        <w:ind w:firstLine="361" w:firstLineChars="150"/>
        <w:jc w:val="left"/>
        <w:rPr>
          <w:rFonts w:hint="eastAsia" w:ascii="宋体" w:hAnsi="宋体"/>
          <w:b/>
          <w:sz w:val="24"/>
        </w:rPr>
      </w:pPr>
      <w:r>
        <w:rPr>
          <w:rFonts w:hint="eastAsia" w:ascii="宋体" w:hAnsi="宋体"/>
          <w:b/>
          <w:sz w:val="24"/>
        </w:rPr>
        <w:t>承包人缴纳建筑施工人员团体意外伤害保险时应按照《团体建筑工人意外伤害保险条款（</w:t>
      </w:r>
      <w:r>
        <w:rPr>
          <w:rFonts w:ascii="宋体" w:hAnsi="宋体"/>
          <w:b/>
          <w:sz w:val="24"/>
        </w:rPr>
        <w:t xml:space="preserve">2012 </w:t>
      </w:r>
      <w:r>
        <w:rPr>
          <w:rFonts w:hint="eastAsia" w:ascii="宋体" w:hAnsi="宋体"/>
          <w:b/>
          <w:sz w:val="24"/>
        </w:rPr>
        <w:t>版）》规定采用按总造价计算保险费用的方法缴纳。</w:t>
      </w:r>
    </w:p>
    <w:p w14:paraId="100DA0ED">
      <w:pPr>
        <w:spacing w:line="360" w:lineRule="auto"/>
        <w:ind w:firstLine="360" w:firstLineChars="150"/>
        <w:jc w:val="left"/>
        <w:rPr>
          <w:rFonts w:hint="eastAsia" w:ascii="宋体" w:hAnsi="宋体" w:eastAsia="宋体"/>
          <w:sz w:val="24"/>
          <w:lang w:eastAsia="zh-CN"/>
        </w:rPr>
      </w:pPr>
      <w:r>
        <w:rPr>
          <w:rFonts w:hint="eastAsia" w:ascii="宋体" w:hAnsi="宋体"/>
          <w:sz w:val="24"/>
        </w:rPr>
        <w:t>为其施工设备等办理财产保险：承包人</w:t>
      </w:r>
      <w:r>
        <w:rPr>
          <w:rFonts w:hint="eastAsia" w:ascii="宋体" w:hAnsi="宋体"/>
          <w:sz w:val="24"/>
          <w:u w:val="single"/>
        </w:rPr>
        <w:t xml:space="preserve"> 应当 </w:t>
      </w:r>
      <w:r>
        <w:rPr>
          <w:rFonts w:hint="eastAsia" w:ascii="宋体" w:hAnsi="宋体"/>
          <w:sz w:val="24"/>
        </w:rPr>
        <w:t>为其施工设备等办理财产保险</w:t>
      </w:r>
      <w:r>
        <w:rPr>
          <w:rFonts w:hint="eastAsia" w:ascii="宋体" w:hAnsi="宋体"/>
          <w:sz w:val="24"/>
          <w:lang w:eastAsia="zh-CN"/>
        </w:rPr>
        <w:t>。</w:t>
      </w:r>
    </w:p>
    <w:p w14:paraId="222386F3">
      <w:pPr>
        <w:pStyle w:val="6"/>
        <w:spacing w:before="0" w:after="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20. 争议解决</w:t>
      </w:r>
    </w:p>
    <w:p w14:paraId="172FB19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20.3 争议评审</w:t>
      </w:r>
    </w:p>
    <w:p w14:paraId="4DE348E0">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w:t>
      </w:r>
      <w:r>
        <w:rPr>
          <w:rFonts w:hint="eastAsia" w:ascii="宋体" w:hAnsi="宋体" w:cs="宋体"/>
          <w:color w:val="000000"/>
          <w:sz w:val="24"/>
        </w:rPr>
        <w:t xml:space="preserve">。  </w:t>
      </w:r>
    </w:p>
    <w:p w14:paraId="237BFD99">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20.3.1 争议评审小组的确定</w:t>
      </w:r>
    </w:p>
    <w:p w14:paraId="0E112AFD">
      <w:pPr>
        <w:spacing w:line="360" w:lineRule="auto"/>
        <w:ind w:firstLine="480" w:firstLineChars="200"/>
        <w:jc w:val="left"/>
        <w:rPr>
          <w:rFonts w:hint="eastAsia"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71197D2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746CA244">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083C1FD9">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26AA6D8">
      <w:pPr>
        <w:autoSpaceDE w:val="0"/>
        <w:autoSpaceDN w:val="0"/>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20.3.2 争议评审小组的决定</w:t>
      </w:r>
    </w:p>
    <w:p w14:paraId="07E516C6">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0D14E0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20.4仲裁或诉讼</w:t>
      </w:r>
    </w:p>
    <w:p w14:paraId="3C1943C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11EEECB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（1）由合同双方本着合法、客观、平等、合理的原则进行协商；</w:t>
      </w:r>
    </w:p>
    <w:p w14:paraId="0A5805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（2）提请建设工程造价管理机构进行调解；</w:t>
      </w:r>
    </w:p>
    <w:p w14:paraId="7CAFA8E2">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 xml:space="preserve">种下列方式解决： </w:t>
      </w:r>
    </w:p>
    <w:p w14:paraId="741D20BB">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19D996F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2E0BF6B7">
      <w:pPr>
        <w:spacing w:line="360" w:lineRule="auto"/>
        <w:jc w:val="left"/>
        <w:rPr>
          <w:rFonts w:hint="eastAsia" w:ascii="宋体" w:hAnsi="宋体" w:cs="宋体"/>
          <w:color w:val="000000"/>
          <w:sz w:val="24"/>
        </w:rPr>
      </w:pPr>
      <w:r>
        <w:rPr>
          <w:rFonts w:hint="eastAsia" w:ascii="宋体" w:hAnsi="宋体" w:cs="宋体"/>
          <w:color w:val="000000"/>
          <w:sz w:val="24"/>
        </w:rPr>
        <w:t>21、补充条款</w:t>
      </w:r>
    </w:p>
    <w:p w14:paraId="7FA3CB5E">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21.1实际施工时，无论工程量增减多少，承包人均应无条件服从。增减工程量或工程项目按价款结算的有关条款结算，承包人不得提出额外索赔。</w:t>
      </w:r>
    </w:p>
    <w:p w14:paraId="576C1903">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21.2在工程开工后直至完工退场，工地现场发生的卫生费、治安费等均由承包人承担。</w:t>
      </w:r>
    </w:p>
    <w:p w14:paraId="5F2DF05C">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21.3承包人须自备发电机，保证在停电时能连续施工，费用由承包人自理。</w:t>
      </w:r>
    </w:p>
    <w:p w14:paraId="7353B0E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21.4</w:t>
      </w:r>
      <w:r>
        <w:rPr>
          <w:rFonts w:hint="eastAsia" w:ascii="宋体" w:hAnsi="宋体"/>
          <w:color w:val="auto"/>
          <w:sz w:val="24"/>
          <w:szCs w:val="24"/>
        </w:rPr>
        <w:t>根据《宁海县人民政府办公室关于印发宁海县扬尘污染防治暂行管理办法的通知》(宁政办发［2020］32号)文件规定，中标人应做好防止扬尘污染环境等相关工作</w:t>
      </w:r>
      <w:r>
        <w:rPr>
          <w:rFonts w:hint="eastAsia" w:ascii="宋体" w:hAnsi="宋体" w:cs="宋体"/>
          <w:color w:val="000000"/>
          <w:sz w:val="24"/>
        </w:rPr>
        <w:t>，该费用已包括在合同价中。</w:t>
      </w:r>
    </w:p>
    <w:p w14:paraId="67741109">
      <w:pPr>
        <w:spacing w:line="360" w:lineRule="auto"/>
        <w:ind w:firstLine="480" w:firstLineChars="200"/>
        <w:rPr>
          <w:rFonts w:hint="eastAsia" w:ascii="宋体" w:hAnsi="宋体" w:cs="宋体"/>
          <w:color w:val="000000"/>
          <w:spacing w:val="8"/>
          <w:sz w:val="24"/>
        </w:rPr>
      </w:pPr>
      <w:r>
        <w:rPr>
          <w:rFonts w:hint="eastAsia" w:ascii="宋体" w:hAnsi="宋体" w:cs="宋体"/>
          <w:color w:val="000000"/>
          <w:sz w:val="24"/>
        </w:rPr>
        <w:t>21.5</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w:t>
      </w:r>
      <w:r>
        <w:rPr>
          <w:rFonts w:hint="eastAsia" w:ascii="宋体" w:hAnsi="宋体" w:cs="宋体"/>
          <w:color w:val="000000"/>
          <w:spacing w:val="8"/>
          <w:sz w:val="24"/>
        </w:rPr>
        <w:t>中标人应办理相关险种</w:t>
      </w:r>
      <w:r>
        <w:rPr>
          <w:rFonts w:hint="eastAsia" w:ascii="宋体" w:hAnsi="宋体" w:cs="宋体"/>
          <w:color w:val="000000"/>
          <w:sz w:val="24"/>
        </w:rPr>
        <w:t>。</w:t>
      </w:r>
    </w:p>
    <w:p w14:paraId="03362C55">
      <w:pPr>
        <w:adjustRightInd w:val="0"/>
        <w:spacing w:line="360" w:lineRule="auto"/>
        <w:ind w:firstLine="480" w:firstLineChars="200"/>
        <w:rPr>
          <w:rFonts w:hint="eastAsia" w:ascii="宋体" w:hAnsi="宋体" w:cs="宋体"/>
          <w:color w:val="auto"/>
          <w:sz w:val="24"/>
        </w:rPr>
      </w:pPr>
      <w:r>
        <w:rPr>
          <w:rFonts w:hint="eastAsia" w:ascii="宋体" w:hAnsi="宋体" w:cs="宋体"/>
          <w:color w:val="000000"/>
          <w:sz w:val="24"/>
        </w:rPr>
        <w:t>21.6施工场地周围邻近建筑物、地下管线、构筑物由中标人负责保护及承担措施费用。保护期间若</w:t>
      </w:r>
      <w:r>
        <w:rPr>
          <w:rFonts w:hint="eastAsia" w:ascii="宋体" w:hAnsi="宋体" w:cs="宋体"/>
          <w:color w:val="auto"/>
          <w:sz w:val="24"/>
        </w:rPr>
        <w:t>发生损坏，由承包人承担。</w:t>
      </w:r>
    </w:p>
    <w:p w14:paraId="0316E7CA">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21.7施工过程中临时围护</w:t>
      </w:r>
      <w:r>
        <w:rPr>
          <w:rFonts w:hint="eastAsia" w:ascii="宋体" w:hAnsi="宋体" w:cs="宋体"/>
          <w:color w:val="auto"/>
          <w:sz w:val="24"/>
          <w:lang w:eastAsia="zh-CN"/>
        </w:rPr>
        <w:t>、</w:t>
      </w:r>
      <w:r>
        <w:rPr>
          <w:rFonts w:hint="eastAsia" w:ascii="宋体" w:hAnsi="宋体" w:cs="宋体"/>
          <w:color w:val="auto"/>
          <w:sz w:val="24"/>
          <w:lang w:val="en-US" w:eastAsia="zh-CN"/>
        </w:rPr>
        <w:t>围挡（包括广告美化、宣传等）</w:t>
      </w:r>
      <w:r>
        <w:rPr>
          <w:rFonts w:hint="eastAsia" w:ascii="宋体" w:hAnsi="宋体" w:cs="宋体"/>
          <w:color w:val="auto"/>
          <w:sz w:val="24"/>
        </w:rPr>
        <w:t>费用由竞包人根据实地情况，在投标报价时综合考虑，包含在合同价中。</w:t>
      </w:r>
    </w:p>
    <w:p w14:paraId="05E57BF1">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21.8承包人应充分考虑施工过程中的各种不利因素，合理安排施工人员，在合同工期内保质保量完成施工任务。</w:t>
      </w:r>
    </w:p>
    <w:p w14:paraId="57FCAA4D">
      <w:pPr>
        <w:adjustRightIn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21.9</w:t>
      </w:r>
      <w:r>
        <w:rPr>
          <w:rFonts w:hint="eastAsia" w:ascii="宋体" w:hAnsi="宋体" w:cs="宋体"/>
          <w:snapToGrid/>
          <w:color w:val="000000"/>
          <w:spacing w:val="0"/>
          <w:w w:val="100"/>
          <w:kern w:val="0"/>
          <w:sz w:val="24"/>
          <w:highlight w:val="none"/>
        </w:rPr>
        <w:t>工程务工工资专用账户管理：发包人、承包人必须按照宁海县住房和城乡于建设局转发市住建委关于《宁波市房屋建筑和市政基础设施工程工资专用账户管理实施细则（试行）》的通知（宁建发【2018】77号）及《关于在全省工程领域改革保证金制度的通知》（浙建【2020】7号）及《宁波市人力资源和社会保障局等6部门关于印发《宁波市工程建设领域农民工工资专用账户管理实施细则（试行）》的通知等文件规定执行。以上文件若有冲突，以最新发布的为准</w:t>
      </w:r>
      <w:r>
        <w:rPr>
          <w:rFonts w:hint="eastAsia" w:ascii="宋体" w:hAnsi="宋体" w:cs="宋体"/>
          <w:color w:val="000000"/>
          <w:sz w:val="24"/>
        </w:rPr>
        <w:t>。</w:t>
      </w:r>
    </w:p>
    <w:p w14:paraId="6107EBDA">
      <w:pPr>
        <w:spacing w:line="360" w:lineRule="auto"/>
        <w:ind w:firstLine="480" w:firstLineChars="200"/>
        <w:rPr>
          <w:rFonts w:hint="eastAsia" w:ascii="宋体" w:hAnsi="宋体"/>
          <w:color w:val="000000"/>
          <w:sz w:val="24"/>
        </w:rPr>
      </w:pPr>
      <w:r>
        <w:rPr>
          <w:rFonts w:hint="eastAsia" w:ascii="宋体" w:hAnsi="宋体"/>
          <w:color w:val="000000"/>
          <w:sz w:val="24"/>
        </w:rPr>
        <w:t>21.10承包人签订施工合同后由于非承包人原因造成延期开工的，且在延期开工期间主要材料价格、人工信息出现涨跌波动的，承发包双方按预算编制期的信息价与开工前一个月的当期信息价进行价格调整，调整价差部分按</w:t>
      </w:r>
      <w:r>
        <w:rPr>
          <w:rFonts w:hint="eastAsia" w:ascii="宋体" w:hAnsi="宋体"/>
          <w:color w:val="000000"/>
          <w:sz w:val="24"/>
          <w:lang w:val="en-US" w:eastAsia="zh-CN"/>
        </w:rPr>
        <w:t xml:space="preserve">  </w:t>
      </w:r>
      <w:r>
        <w:rPr>
          <w:rFonts w:hint="eastAsia" w:ascii="宋体" w:hAnsi="宋体"/>
          <w:color w:val="000000"/>
          <w:sz w:val="24"/>
          <w:lang w:eastAsia="zh-CN"/>
        </w:rPr>
        <w:t>%</w:t>
      </w:r>
      <w:r>
        <w:rPr>
          <w:rFonts w:hint="eastAsia" w:ascii="宋体" w:hAnsi="宋体"/>
          <w:color w:val="000000"/>
          <w:sz w:val="24"/>
        </w:rPr>
        <w:t>下浮后，调整合同总价。</w:t>
      </w:r>
    </w:p>
    <w:p w14:paraId="35249C4F">
      <w:pPr>
        <w:spacing w:line="360" w:lineRule="auto"/>
        <w:ind w:firstLine="480" w:firstLineChars="200"/>
        <w:rPr>
          <w:rFonts w:ascii="宋体" w:hAnsi="宋体"/>
          <w:color w:val="000000"/>
          <w:sz w:val="24"/>
        </w:rPr>
      </w:pPr>
      <w:r>
        <w:rPr>
          <w:rFonts w:hint="eastAsia" w:ascii="宋体" w:hAnsi="宋体"/>
          <w:color w:val="000000"/>
          <w:sz w:val="24"/>
        </w:rPr>
        <w:t>21.11承包人需配合发包人做好上级领导的检查工作。发包人在不妨碍承包人正常作业的情况下，可以随时对作业质量安全进行检查。</w:t>
      </w:r>
    </w:p>
    <w:p w14:paraId="5F167BD4">
      <w:pPr>
        <w:spacing w:line="360" w:lineRule="auto"/>
        <w:ind w:firstLine="480" w:firstLineChars="200"/>
        <w:rPr>
          <w:rFonts w:hint="eastAsia" w:ascii="宋体" w:hAnsi="宋体"/>
          <w:color w:val="000000"/>
          <w:sz w:val="24"/>
        </w:rPr>
      </w:pPr>
      <w:r>
        <w:rPr>
          <w:rFonts w:hint="eastAsia" w:ascii="宋体" w:hAnsi="宋体"/>
          <w:color w:val="000000"/>
          <w:sz w:val="24"/>
        </w:rPr>
        <w:t>21.12按规定计取的安全文明施工费不得挪作它用，应能保障工程现场的安全文明施工，并按相关文件执行。</w:t>
      </w:r>
    </w:p>
    <w:bookmarkEnd w:id="537"/>
    <w:bookmarkEnd w:id="538"/>
    <w:bookmarkEnd w:id="539"/>
    <w:bookmarkEnd w:id="540"/>
    <w:bookmarkEnd w:id="541"/>
    <w:bookmarkEnd w:id="542"/>
    <w:bookmarkEnd w:id="543"/>
    <w:bookmarkEnd w:id="544"/>
    <w:bookmarkEnd w:id="545"/>
    <w:bookmarkEnd w:id="546"/>
    <w:bookmarkEnd w:id="555"/>
    <w:bookmarkEnd w:id="556"/>
    <w:p w14:paraId="75FCC81A">
      <w:pPr>
        <w:spacing w:line="360" w:lineRule="auto"/>
        <w:ind w:firstLine="480" w:firstLineChars="200"/>
        <w:rPr>
          <w:rFonts w:hint="eastAsia" w:ascii="宋体" w:hAnsi="宋体"/>
          <w:sz w:val="24"/>
          <w:szCs w:val="22"/>
        </w:rPr>
      </w:pPr>
      <w:r>
        <w:rPr>
          <w:rFonts w:hint="eastAsia" w:ascii="宋体" w:hAnsi="宋体"/>
          <w:sz w:val="24"/>
          <w:szCs w:val="22"/>
        </w:rPr>
        <w:t>21.13承包人必须配合发包人另行发包的项目施工，配合服务费用已包含在投标报价中，中标人不得向发包人提出任何补偿费用。</w:t>
      </w:r>
    </w:p>
    <w:p w14:paraId="1693272F">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21.1</w:t>
      </w:r>
      <w:r>
        <w:rPr>
          <w:rFonts w:hint="eastAsia" w:ascii="宋体" w:hAnsi="宋体" w:eastAsia="宋体" w:cs="Times New Roman"/>
          <w:color w:val="000000"/>
          <w:sz w:val="24"/>
          <w:lang w:val="en-US" w:eastAsia="zh-CN"/>
        </w:rPr>
        <w:t>4</w:t>
      </w:r>
      <w:r>
        <w:rPr>
          <w:rFonts w:hint="eastAsia" w:ascii="宋体" w:hAnsi="宋体" w:eastAsia="宋体" w:cs="Times New Roman"/>
          <w:color w:val="000000"/>
          <w:sz w:val="24"/>
        </w:rPr>
        <w:t>中标单位施工时，有噪音产生的工序，应尽量避免中午休息时段施工，如收到相关投诉，应立即制止。</w:t>
      </w:r>
    </w:p>
    <w:p w14:paraId="098AD2E5">
      <w:pPr>
        <w:pStyle w:val="9"/>
        <w:ind w:firstLine="480" w:firstLineChars="200"/>
        <w:rPr>
          <w:rFonts w:hint="eastAsia" w:ascii="宋体" w:hAnsi="宋体" w:eastAsia="宋体" w:cs="Times New Roman"/>
          <w:color w:val="000000"/>
          <w:kern w:val="2"/>
          <w:sz w:val="24"/>
          <w:lang w:val="en-US" w:eastAsia="zh-CN" w:bidi="ar-SA"/>
        </w:rPr>
      </w:pPr>
      <w:r>
        <w:rPr>
          <w:rFonts w:hint="eastAsia" w:ascii="宋体" w:hAnsi="宋体" w:eastAsia="宋体" w:cs="Times New Roman"/>
          <w:color w:val="000000"/>
          <w:kern w:val="2"/>
          <w:sz w:val="24"/>
          <w:lang w:val="en-US" w:eastAsia="zh-CN" w:bidi="ar-SA"/>
        </w:rPr>
        <w:t>21.15本合同未尽事宜，由双方协商解决。</w:t>
      </w:r>
    </w:p>
    <w:p w14:paraId="7B13FEDA">
      <w:pPr>
        <w:spacing w:line="440" w:lineRule="exact"/>
        <w:rPr>
          <w:rFonts w:hint="eastAsia" w:ascii="宋体" w:hAnsi="宋体" w:cs="宋体"/>
          <w:color w:val="000000"/>
          <w:sz w:val="24"/>
        </w:rPr>
      </w:pPr>
      <w:r>
        <w:rPr>
          <w:rFonts w:hint="eastAsia" w:ascii="宋体" w:hAnsi="宋体" w:cs="宋体"/>
          <w:b/>
          <w:color w:val="FF0000"/>
          <w:sz w:val="24"/>
        </w:rPr>
        <w:br w:type="page"/>
      </w:r>
      <w:r>
        <w:rPr>
          <w:rFonts w:hint="eastAsia" w:ascii="宋体" w:hAnsi="宋体" w:cs="宋体"/>
          <w:color w:val="000000"/>
          <w:sz w:val="24"/>
        </w:rPr>
        <w:t xml:space="preserve">   附件3：    </w:t>
      </w:r>
    </w:p>
    <w:p w14:paraId="0249DF47">
      <w:pPr>
        <w:spacing w:line="480" w:lineRule="auto"/>
        <w:ind w:firstLine="482" w:firstLineChars="200"/>
        <w:jc w:val="center"/>
        <w:outlineLvl w:val="1"/>
        <w:rPr>
          <w:rFonts w:hint="eastAsia" w:ascii="宋体" w:hAnsi="宋体" w:cs="宋体"/>
          <w:b/>
          <w:color w:val="000000"/>
          <w:sz w:val="24"/>
        </w:rPr>
      </w:pPr>
      <w:bookmarkStart w:id="557" w:name="_Toc411083385"/>
      <w:r>
        <w:rPr>
          <w:rFonts w:hint="eastAsia" w:ascii="宋体" w:hAnsi="宋体" w:cs="宋体"/>
          <w:b/>
          <w:color w:val="000000"/>
          <w:sz w:val="24"/>
        </w:rPr>
        <w:t>工程质量保修书</w:t>
      </w:r>
      <w:bookmarkEnd w:id="557"/>
    </w:p>
    <w:p w14:paraId="15AC1A10">
      <w:pPr>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p>
    <w:p w14:paraId="677D1B23">
      <w:pPr>
        <w:spacing w:line="360" w:lineRule="auto"/>
        <w:rPr>
          <w:rFonts w:hint="eastAsia"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69A0F6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cs="宋体"/>
          <w:color w:val="000000"/>
          <w:sz w:val="24"/>
          <w:u w:val="single"/>
          <w:lang w:eastAsia="zh-CN"/>
        </w:rPr>
        <w:t>宁海县高级职业技术中心学校实训大楼数控设备通电、通气及烹饪实习工场通电等项目工程</w:t>
      </w:r>
      <w:r>
        <w:rPr>
          <w:rFonts w:hint="eastAsia" w:ascii="宋体" w:hAnsi="宋体" w:cs="宋体"/>
          <w:color w:val="000000"/>
          <w:sz w:val="24"/>
        </w:rPr>
        <w:t>（工程名称）签订保修书。</w:t>
      </w:r>
    </w:p>
    <w:p w14:paraId="2804BFB9">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一、工程保修范围和内容</w:t>
      </w:r>
    </w:p>
    <w:p w14:paraId="2798258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69973D03">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具体保修内容双方约定如下：</w:t>
      </w:r>
      <w:r>
        <w:rPr>
          <w:rFonts w:hint="eastAsia" w:ascii="宋体" w:hAnsi="宋体" w:cs="宋体"/>
          <w:color w:val="000000"/>
          <w:sz w:val="24"/>
          <w:u w:val="single"/>
        </w:rPr>
        <w:t xml:space="preserve">   施工合同约定的工程均为保修项目    </w:t>
      </w:r>
    </w:p>
    <w:p w14:paraId="59B88206">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二、保修期</w:t>
      </w:r>
    </w:p>
    <w:p w14:paraId="3FB3199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210562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141492D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028949F2">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71F196F6">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2</w:t>
      </w:r>
      <w:r>
        <w:rPr>
          <w:rFonts w:hint="eastAsia" w:ascii="宋体" w:hAnsi="宋体" w:cs="宋体"/>
          <w:color w:val="000000"/>
          <w:sz w:val="24"/>
        </w:rPr>
        <w:t>年；</w:t>
      </w:r>
    </w:p>
    <w:p w14:paraId="40D36DAD">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1B2C7C0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663FA95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7、其他项目保修期限约定如下：</w:t>
      </w:r>
      <w:r>
        <w:rPr>
          <w:rFonts w:hint="eastAsia" w:ascii="宋体" w:hAnsi="宋体" w:eastAsia="宋体" w:cs="宋体"/>
          <w:color w:val="auto"/>
          <w:kern w:val="0"/>
          <w:sz w:val="24"/>
          <w:szCs w:val="24"/>
          <w:u w:val="single"/>
        </w:rPr>
        <w:t>除上述约定外，本工程其余部分保修期为</w:t>
      </w:r>
      <w:r>
        <w:rPr>
          <w:rFonts w:hint="eastAsia" w:ascii="宋体" w:hAnsi="宋体" w:eastAsia="宋体" w:cs="宋体"/>
          <w:color w:val="000000"/>
          <w:kern w:val="0"/>
          <w:sz w:val="24"/>
          <w:szCs w:val="24"/>
          <w:u w:val="single"/>
          <w:lang w:val="en-US" w:eastAsia="zh-CN"/>
        </w:rPr>
        <w:t>2</w:t>
      </w:r>
      <w:r>
        <w:rPr>
          <w:rFonts w:hint="eastAsia" w:ascii="宋体" w:hAnsi="宋体" w:eastAsia="宋体" w:cs="宋体"/>
          <w:color w:val="000000"/>
          <w:kern w:val="0"/>
          <w:sz w:val="24"/>
          <w:szCs w:val="24"/>
          <w:u w:val="single"/>
        </w:rPr>
        <w:t>年</w:t>
      </w:r>
      <w:r>
        <w:rPr>
          <w:rFonts w:hint="eastAsia" w:ascii="宋体" w:hAnsi="宋体"/>
          <w:color w:val="000000"/>
          <w:sz w:val="24"/>
          <w:u w:val="single"/>
        </w:rPr>
        <w:t>。</w:t>
      </w:r>
    </w:p>
    <w:p w14:paraId="66BAF091">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三、缺陷责任期</w:t>
      </w:r>
    </w:p>
    <w:p w14:paraId="639D595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lang w:val="en-US" w:eastAsia="zh-CN"/>
        </w:rPr>
        <w:t>12</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lang w:val="en-US" w:eastAsia="zh-CN"/>
        </w:rPr>
        <w:t>12</w:t>
      </w:r>
      <w:r>
        <w:rPr>
          <w:rFonts w:hint="eastAsia" w:ascii="宋体" w:hAnsi="宋体" w:cs="宋体"/>
          <w:color w:val="000000"/>
          <w:sz w:val="24"/>
        </w:rPr>
        <w:t>个月。</w:t>
      </w:r>
    </w:p>
    <w:p w14:paraId="6A86109F">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四、保修责任</w:t>
      </w:r>
    </w:p>
    <w:p w14:paraId="52CFDB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657CDC48">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48F111D5">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5B4D7C4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4、质量保修完成后，由发包人组织验收。</w:t>
      </w:r>
    </w:p>
    <w:p w14:paraId="1DC552F8">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五、保修费用</w:t>
      </w:r>
    </w:p>
    <w:p w14:paraId="67BC3CAB">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保修费用由造成质量缺陷的责任方承担。</w:t>
      </w:r>
    </w:p>
    <w:p w14:paraId="0FB73CE9">
      <w:pPr>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六、其他</w:t>
      </w:r>
    </w:p>
    <w:p w14:paraId="1F68E54F">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双方约定的其他工程保修责任事项：</w:t>
      </w:r>
    </w:p>
    <w:p w14:paraId="784D3BA2">
      <w:pPr>
        <w:spacing w:line="360" w:lineRule="auto"/>
        <w:ind w:firstLine="597" w:firstLineChars="249"/>
        <w:rPr>
          <w:rFonts w:hint="eastAsia" w:ascii="宋体" w:hAnsi="宋体" w:cs="宋体"/>
          <w:color w:val="000000"/>
          <w:sz w:val="24"/>
        </w:rPr>
      </w:pPr>
      <w:r>
        <w:rPr>
          <w:rFonts w:hint="eastAsia" w:ascii="宋体" w:hAnsi="宋体"/>
          <w:sz w:val="24"/>
          <w:u w:val="single"/>
        </w:rPr>
        <w:t>发包人应按约定退还质量保修金，质量保修金保留期为</w:t>
      </w:r>
      <w:r>
        <w:rPr>
          <w:rFonts w:hint="eastAsia" w:ascii="宋体" w:hAnsi="宋体"/>
          <w:sz w:val="24"/>
          <w:u w:val="single"/>
          <w:lang w:val="en-US" w:eastAsia="zh-CN"/>
        </w:rPr>
        <w:t>2</w:t>
      </w:r>
      <w:r>
        <w:rPr>
          <w:rFonts w:hint="eastAsia" w:ascii="宋体" w:hAnsi="宋体"/>
          <w:sz w:val="24"/>
          <w:u w:val="single"/>
        </w:rPr>
        <w:t>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w:t>
      </w:r>
      <w:r>
        <w:rPr>
          <w:rFonts w:hint="eastAsia" w:ascii="宋体" w:hAnsi="宋体"/>
          <w:sz w:val="24"/>
          <w:u w:val="single"/>
          <w:lang w:eastAsia="zh-CN"/>
        </w:rPr>
        <w:t>。</w:t>
      </w:r>
      <w:r>
        <w:rPr>
          <w:rFonts w:hint="eastAsia" w:ascii="宋体" w:hAnsi="宋体"/>
          <w:sz w:val="24"/>
          <w:u w:val="single"/>
        </w:rPr>
        <w:t>保修期内保修金不计息。</w:t>
      </w:r>
      <w:r>
        <w:rPr>
          <w:rFonts w:hint="eastAsia" w:ascii="宋体" w:hAnsi="宋体" w:cs="宋体"/>
          <w:color w:val="000000"/>
          <w:sz w:val="24"/>
        </w:rPr>
        <w:t>本工程保修书，由施工合同发包人、承包商双方在竣工验收前共同签署，作为施工合同附件，其有效期限至保修期满。</w:t>
      </w:r>
    </w:p>
    <w:p w14:paraId="71205420">
      <w:pPr>
        <w:spacing w:line="360" w:lineRule="auto"/>
        <w:rPr>
          <w:rFonts w:hint="eastAsia" w:ascii="宋体" w:hAnsi="宋体" w:cs="宋体"/>
          <w:color w:val="000000"/>
          <w:sz w:val="24"/>
        </w:rPr>
      </w:pPr>
    </w:p>
    <w:p w14:paraId="489A398D">
      <w:pPr>
        <w:spacing w:line="360" w:lineRule="auto"/>
        <w:rPr>
          <w:rFonts w:hint="eastAsia"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09EE2775">
      <w:pPr>
        <w:spacing w:line="360" w:lineRule="auto"/>
        <w:rPr>
          <w:rFonts w:hint="eastAsia"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7BE23422">
      <w:pPr>
        <w:spacing w:line="360" w:lineRule="auto"/>
        <w:rPr>
          <w:rFonts w:hint="eastAsia" w:ascii="宋体" w:hAnsi="宋体" w:cs="宋体"/>
          <w:color w:val="000000"/>
          <w:sz w:val="24"/>
        </w:rPr>
      </w:pPr>
      <w:r>
        <w:rPr>
          <w:rFonts w:hint="eastAsia" w:ascii="宋体" w:hAnsi="宋体" w:cs="宋体"/>
          <w:color w:val="000000"/>
          <w:sz w:val="24"/>
        </w:rPr>
        <w:t>法定代表人或其                           法定代表人或其</w:t>
      </w:r>
    </w:p>
    <w:p w14:paraId="2D96CBB6">
      <w:pPr>
        <w:spacing w:line="360" w:lineRule="auto"/>
        <w:rPr>
          <w:rFonts w:hint="eastAsia"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3CA423C0">
      <w:pPr>
        <w:spacing w:line="440" w:lineRule="exact"/>
        <w:rPr>
          <w:rFonts w:hint="eastAsia" w:ascii="宋体" w:hAnsi="宋体" w:cs="宋体"/>
          <w:color w:val="000000"/>
          <w:sz w:val="24"/>
        </w:rPr>
      </w:pPr>
    </w:p>
    <w:p w14:paraId="686E2B1D">
      <w:pPr>
        <w:spacing w:line="440" w:lineRule="exact"/>
        <w:rPr>
          <w:rFonts w:hint="eastAsia" w:hAnsi="宋体"/>
          <w:color w:val="000000"/>
        </w:rPr>
      </w:pPr>
      <w:r>
        <w:rPr>
          <w:rFonts w:hint="eastAsia" w:ascii="宋体" w:hAnsi="宋体" w:cs="宋体"/>
          <w:color w:val="000000"/>
          <w:sz w:val="24"/>
        </w:rPr>
        <w:br w:type="page"/>
      </w:r>
      <w:r>
        <w:rPr>
          <w:rFonts w:hint="eastAsia" w:hAnsi="宋体"/>
          <w:color w:val="000000"/>
        </w:rPr>
        <w:t>附件14：</w:t>
      </w:r>
    </w:p>
    <w:p w14:paraId="7DC555D6">
      <w:pPr>
        <w:spacing w:line="410" w:lineRule="exact"/>
        <w:ind w:left="120" w:leftChars="57" w:firstLine="640" w:firstLineChars="200"/>
        <w:jc w:val="center"/>
        <w:rPr>
          <w:rFonts w:hint="eastAsia" w:ascii="黑体" w:hAnsi="宋体" w:eastAsia="黑体" w:cs="宋体"/>
          <w:color w:val="000000"/>
          <w:sz w:val="32"/>
          <w:szCs w:val="32"/>
          <w:lang w:val="zh-CN"/>
        </w:rPr>
      </w:pPr>
      <w:r>
        <w:rPr>
          <w:rFonts w:hint="eastAsia" w:ascii="黑体" w:hAnsi="宋体" w:eastAsia="黑体" w:cs="宋体"/>
          <w:color w:val="000000"/>
          <w:sz w:val="32"/>
          <w:szCs w:val="32"/>
          <w:lang w:val="zh-CN"/>
        </w:rPr>
        <w:t>工程项目廉政合同</w:t>
      </w:r>
    </w:p>
    <w:p w14:paraId="721BBE62">
      <w:pPr>
        <w:autoSpaceDE w:val="0"/>
        <w:autoSpaceDN w:val="0"/>
        <w:adjustRightInd w:val="0"/>
        <w:spacing w:line="480" w:lineRule="exact"/>
        <w:jc w:val="center"/>
        <w:outlineLvl w:val="1"/>
        <w:rPr>
          <w:rFonts w:hint="eastAsia" w:ascii="黑体" w:hAnsi="宋体" w:eastAsia="黑体" w:cs="宋体"/>
          <w:color w:val="000000"/>
          <w:lang w:val="zh-CN"/>
        </w:rPr>
      </w:pPr>
    </w:p>
    <w:p w14:paraId="6DB73389">
      <w:pPr>
        <w:autoSpaceDE w:val="0"/>
        <w:autoSpaceDN w:val="0"/>
        <w:adjustRightInd w:val="0"/>
        <w:spacing w:line="360" w:lineRule="auto"/>
        <w:jc w:val="left"/>
        <w:rPr>
          <w:rFonts w:hint="eastAsia" w:ascii="宋体" w:hAnsi="宋体" w:cs="宋体"/>
          <w:color w:val="000000"/>
          <w:sz w:val="24"/>
          <w:u w:val="single"/>
        </w:rPr>
      </w:pPr>
      <w:r>
        <w:rPr>
          <w:rFonts w:hint="eastAsia" w:ascii="宋体" w:hAnsi="宋体" w:cs="宋体"/>
          <w:color w:val="000000"/>
          <w:sz w:val="24"/>
          <w:lang w:val="zh-CN"/>
        </w:rPr>
        <w:t>工程项目名称：</w:t>
      </w:r>
      <w:r>
        <w:rPr>
          <w:rFonts w:hint="eastAsia" w:ascii="宋体" w:hAnsi="宋体" w:cs="宋体"/>
          <w:color w:val="000000"/>
          <w:sz w:val="24"/>
          <w:u w:val="single"/>
        </w:rPr>
        <w:t xml:space="preserve"> </w:t>
      </w:r>
      <w:r>
        <w:rPr>
          <w:rFonts w:hint="eastAsia" w:ascii="宋体" w:hAnsi="宋体" w:cs="宋体"/>
          <w:color w:val="000000"/>
          <w:sz w:val="24"/>
          <w:u w:val="single"/>
          <w:lang w:eastAsia="zh-CN"/>
        </w:rPr>
        <w:t>宁海县高级职业技术中心学校实训大楼数控设备通电、通气及烹饪实习工场通电等项目工程</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22DF8D69">
      <w:pPr>
        <w:autoSpaceDE w:val="0"/>
        <w:autoSpaceDN w:val="0"/>
        <w:adjustRightInd w:val="0"/>
        <w:spacing w:line="360" w:lineRule="auto"/>
        <w:jc w:val="left"/>
        <w:rPr>
          <w:rFonts w:hint="eastAsia" w:ascii="宋体" w:hAnsi="宋体" w:cs="宋体"/>
          <w:color w:val="000000"/>
          <w:sz w:val="24"/>
          <w:lang w:val="zh-CN"/>
        </w:rPr>
      </w:pPr>
      <w:r>
        <w:rPr>
          <w:rFonts w:hint="eastAsia" w:ascii="宋体" w:hAnsi="宋体" w:cs="宋体"/>
          <w:color w:val="000000"/>
          <w:sz w:val="24"/>
          <w:lang w:val="zh-CN"/>
        </w:rPr>
        <w:t>发包人名称(以下称甲方)：</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val="zh-CN"/>
        </w:rPr>
        <w:t xml:space="preserve"> </w:t>
      </w:r>
    </w:p>
    <w:p w14:paraId="769E5B9D">
      <w:pPr>
        <w:spacing w:line="360" w:lineRule="auto"/>
        <w:rPr>
          <w:rFonts w:hint="eastAsia" w:ascii="宋体" w:hAnsi="宋体" w:cs="宋体"/>
          <w:color w:val="000000"/>
          <w:sz w:val="24"/>
          <w:lang w:val="zh-CN"/>
        </w:rPr>
      </w:pPr>
      <w:r>
        <w:rPr>
          <w:rFonts w:hint="eastAsia" w:ascii="宋体" w:hAnsi="宋体" w:cs="宋体"/>
          <w:color w:val="000000"/>
          <w:sz w:val="24"/>
          <w:lang w:val="zh-CN"/>
        </w:rPr>
        <w:t>承包人名称(以下称乙方)：</w:t>
      </w:r>
      <w:r>
        <w:rPr>
          <w:rFonts w:hint="eastAsia" w:ascii="宋体" w:hAnsi="宋体" w:cs="宋体"/>
          <w:color w:val="000000"/>
          <w:sz w:val="24"/>
          <w:u w:val="single"/>
        </w:rPr>
        <w:t xml:space="preserve">                          </w:t>
      </w:r>
      <w:r>
        <w:rPr>
          <w:rFonts w:hint="eastAsia" w:ascii="宋体" w:hAnsi="宋体" w:cs="宋体"/>
          <w:color w:val="000000"/>
          <w:sz w:val="24"/>
          <w:lang w:val="zh-CN"/>
        </w:rPr>
        <w:t xml:space="preserve">  </w:t>
      </w:r>
    </w:p>
    <w:p w14:paraId="6F293424">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43EC2CAC">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第一条  甲乙双方的权利和义务    </w:t>
      </w:r>
    </w:p>
    <w:p w14:paraId="17818041">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(一)严格遵守国家关于市场准入、勘测设计、施工监理、招标询价、工程施工、设备安装和市场经营活动等有关法律法规和相关政策，以及廉政建设的各项规定。    </w:t>
      </w:r>
    </w:p>
    <w:p w14:paraId="42E5764E">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(二)严格执行本项目发包承包双方签订的 (施工合同、监理合同、勘测设计合同、采购合同、代理合同等)合同，自觉按合同办事。    </w:t>
      </w:r>
    </w:p>
    <w:p w14:paraId="03BEA07F">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64F0B9A1">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540A63BD">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第二条  甲方的责任    </w:t>
      </w:r>
    </w:p>
    <w:p w14:paraId="0C04CCDC">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甲方的负责人和从事该工程项目的工作人员，在工程项目的事前、事中、事后应遵守以下规定：    </w:t>
      </w:r>
    </w:p>
    <w:p w14:paraId="76658149">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(一)不以任何理由向乙方索要或接受回扣、礼金、有价证券、贵重物品和好处费、感谢费等；不在乙方报销应由甲方或个人支付的费用。    </w:t>
      </w:r>
    </w:p>
    <w:p w14:paraId="73E93C9B">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(二)不参加乙方安排的宴请及其他消费活动；不接受乙方提供的通讯工具、交通工具、高档办公用品等。    </w:t>
      </w:r>
    </w:p>
    <w:p w14:paraId="7822381E">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(三)不要求、暗示和接受乙方为个人装修住房、为配偶子女的工作安排以及本人或亲属旅游、出国(境)等提供方便。    </w:t>
      </w:r>
    </w:p>
    <w:p w14:paraId="7CFCB2BB">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(四)配偶、子女不得从事与乙方承包工程有关的设备材料供应、工程分包、劳务等经济活动。    </w:t>
      </w:r>
    </w:p>
    <w:p w14:paraId="06C04925">
      <w:pPr>
        <w:autoSpaceDE w:val="0"/>
        <w:autoSpaceDN w:val="0"/>
        <w:adjustRightInd w:val="0"/>
        <w:spacing w:line="360" w:lineRule="auto"/>
        <w:ind w:firstLine="360" w:firstLineChars="150"/>
        <w:jc w:val="left"/>
        <w:rPr>
          <w:rFonts w:hint="eastAsia" w:ascii="宋体" w:hAnsi="宋体" w:cs="宋体"/>
          <w:color w:val="000000"/>
          <w:sz w:val="24"/>
          <w:lang w:val="zh-CN"/>
        </w:rPr>
      </w:pPr>
      <w:r>
        <w:rPr>
          <w:rFonts w:hint="eastAsia" w:ascii="宋体" w:hAnsi="宋体" w:cs="宋体"/>
          <w:color w:val="000000"/>
          <w:sz w:val="24"/>
          <w:lang w:val="zh-CN"/>
        </w:rPr>
        <w:t>（五)不以任何理由向乙方推荐分包人或要求乙方购买项目合同规定以外的材料、设备和服务等。</w:t>
      </w:r>
    </w:p>
    <w:p w14:paraId="057C978B">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第三条  乙方的责任</w:t>
      </w:r>
    </w:p>
    <w:p w14:paraId="269831AC">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乙方应与甲方保持正常的业务交往，按照有关法律法规和程序丌展业务活动，严格执行工程建设的有关方针、政策，尤其是有关强制性标准和规范，并遵守以下规定：    </w:t>
      </w:r>
    </w:p>
    <w:p w14:paraId="5CF85D9F">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(一)不以任何理由向甲方及其工作人员行贿或赠送礼金、有价证券、贵重物品。    </w:t>
      </w:r>
    </w:p>
    <w:p w14:paraId="00D9B9A3">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(二)不以任何名义为甲方及其工作人员报销应由对方支付的费用。    </w:t>
      </w:r>
    </w:p>
    <w:p w14:paraId="61599A54">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(三)不以任何理由宴请甲方工作人员或安排其他消费活动。    </w:t>
      </w:r>
    </w:p>
    <w:p w14:paraId="4A5944A0">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(四)不为甲方和工作人员购置或提供通讯工具、交通工具、高档办公用品和装修住房等。 </w:t>
      </w:r>
    </w:p>
    <w:p w14:paraId="28FFCABC">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第四条  违约责任 </w:t>
      </w:r>
    </w:p>
    <w:p w14:paraId="724B2525">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74CC044C">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1CCEAED5">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(三)乙方如将部分辅助项目分包的，乙方有责任向分包人交待本合同的具体内容，并严格执行本合同之规定，分包人如有违反上述责任行为的，乙方将承担连带责任。    </w:t>
      </w:r>
    </w:p>
    <w:p w14:paraId="67A6B43F">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第五条  双方约定：在自觉履行合同的同时，由甲、乙双方的监督单位负责对本合同履行情况进行监督检查。</w:t>
      </w:r>
    </w:p>
    <w:p w14:paraId="1F06CAA3">
      <w:pPr>
        <w:spacing w:line="360" w:lineRule="auto"/>
        <w:ind w:firstLine="460" w:firstLineChars="192"/>
        <w:rPr>
          <w:rFonts w:hint="eastAsia" w:ascii="宋体" w:hAnsi="宋体" w:cs="宋体"/>
          <w:color w:val="000000"/>
          <w:sz w:val="24"/>
          <w:lang w:val="zh-CN"/>
        </w:rPr>
      </w:pPr>
      <w:r>
        <w:rPr>
          <w:rFonts w:hint="eastAsia" w:ascii="宋体" w:hAnsi="宋体" w:cs="宋体"/>
          <w:color w:val="000000"/>
          <w:sz w:val="24"/>
          <w:lang w:val="zh-CN"/>
        </w:rPr>
        <w:t>第六条  本合同作为</w:t>
      </w:r>
      <w:r>
        <w:rPr>
          <w:rFonts w:hint="eastAsia" w:ascii="宋体" w:hAnsi="宋体" w:cs="宋体"/>
          <w:color w:val="000000"/>
          <w:sz w:val="24"/>
          <w:u w:val="single"/>
          <w:lang w:eastAsia="zh-CN"/>
        </w:rPr>
        <w:t>宁海县高级职业技术中心学校实训大楼数控设备通电、通气及烹饪实习工场通电等项目工程</w:t>
      </w:r>
      <w:r>
        <w:rPr>
          <w:rFonts w:hint="eastAsia" w:ascii="宋体" w:hAnsi="宋体" w:cs="宋体"/>
          <w:color w:val="000000"/>
          <w:sz w:val="24"/>
          <w:u w:val="single"/>
        </w:rPr>
        <w:t xml:space="preserve"> </w:t>
      </w:r>
      <w:r>
        <w:rPr>
          <w:rFonts w:hint="eastAsia" w:ascii="宋体" w:hAnsi="宋体" w:cs="宋体"/>
          <w:color w:val="000000"/>
          <w:sz w:val="24"/>
        </w:rPr>
        <w:t>施工合同的附件，与主合同具有</w:t>
      </w:r>
      <w:r>
        <w:rPr>
          <w:rFonts w:hint="eastAsia" w:ascii="宋体" w:hAnsi="宋体" w:cs="宋体"/>
          <w:color w:val="000000"/>
          <w:sz w:val="24"/>
          <w:lang w:val="zh-CN"/>
        </w:rPr>
        <w:t>同等法律效力。甲乙双方签署后立即生效。</w:t>
      </w:r>
    </w:p>
    <w:p w14:paraId="0ECB7A0D">
      <w:pPr>
        <w:autoSpaceDE w:val="0"/>
        <w:autoSpaceDN w:val="0"/>
        <w:adjustRightInd w:val="0"/>
        <w:spacing w:line="360" w:lineRule="auto"/>
        <w:ind w:firstLine="480" w:firstLineChars="200"/>
        <w:jc w:val="left"/>
        <w:rPr>
          <w:rFonts w:hint="eastAsia" w:ascii="宋体" w:hAnsi="宋体" w:cs="宋体"/>
          <w:color w:val="000000"/>
          <w:sz w:val="24"/>
          <w:lang w:val="zh-CN"/>
        </w:rPr>
      </w:pPr>
      <w:r>
        <w:rPr>
          <w:rFonts w:hint="eastAsia" w:ascii="宋体" w:hAnsi="宋体" w:cs="宋体"/>
          <w:color w:val="000000"/>
          <w:sz w:val="24"/>
          <w:lang w:val="zh-CN"/>
        </w:rPr>
        <w:t xml:space="preserve">第七条  本合同的有效期为双方签署之日起至该工程项目竣工验收合格时止。    </w:t>
      </w:r>
    </w:p>
    <w:p w14:paraId="6A5820BC">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第八条  本合同一式五份，由甲、乙双方各执一份，送交甲、乙双方的监督单位各一份，送</w:t>
      </w:r>
      <w:r>
        <w:rPr>
          <w:rFonts w:hint="eastAsia" w:ascii="宋体" w:hAnsi="宋体" w:cs="宋体"/>
          <w:color w:val="000000"/>
          <w:sz w:val="24"/>
          <w:lang w:eastAsia="zh-CN"/>
        </w:rPr>
        <w:t>宁海县</w:t>
      </w:r>
      <w:r>
        <w:rPr>
          <w:rFonts w:hint="eastAsia" w:ascii="宋体" w:hAnsi="宋体" w:cs="宋体"/>
          <w:color w:val="000000"/>
          <w:sz w:val="24"/>
        </w:rPr>
        <w:t>公共资源交管办一份备案。</w:t>
      </w:r>
    </w:p>
    <w:p w14:paraId="01D5B476">
      <w:pPr>
        <w:spacing w:line="360" w:lineRule="auto"/>
        <w:ind w:firstLine="480" w:firstLineChars="200"/>
        <w:rPr>
          <w:rFonts w:hint="eastAsia" w:ascii="宋体" w:hAnsi="宋体" w:cs="宋体"/>
          <w:color w:val="000000"/>
          <w:sz w:val="24"/>
        </w:rPr>
      </w:pPr>
    </w:p>
    <w:p w14:paraId="26D004B8">
      <w:pPr>
        <w:tabs>
          <w:tab w:val="left" w:pos="496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甲方（盖章）：</w:t>
      </w:r>
      <w:r>
        <w:rPr>
          <w:rFonts w:hint="eastAsia" w:ascii="宋体" w:hAnsi="宋体" w:cs="宋体"/>
          <w:color w:val="000000"/>
          <w:sz w:val="24"/>
        </w:rPr>
        <w:tab/>
      </w:r>
      <w:r>
        <w:rPr>
          <w:rFonts w:hint="eastAsia" w:ascii="宋体" w:hAnsi="宋体" w:cs="宋体"/>
          <w:color w:val="000000"/>
          <w:sz w:val="24"/>
        </w:rPr>
        <w:t>乙方（盖章）：</w:t>
      </w:r>
    </w:p>
    <w:p w14:paraId="2ECB208E">
      <w:pPr>
        <w:tabs>
          <w:tab w:val="left" w:pos="496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rPr>
        <w:tab/>
      </w:r>
      <w:r>
        <w:rPr>
          <w:rFonts w:hint="eastAsia" w:ascii="宋体" w:hAnsi="宋体" w:cs="宋体"/>
          <w:color w:val="000000"/>
          <w:sz w:val="24"/>
        </w:rPr>
        <w:t>法定代表人：</w:t>
      </w:r>
    </w:p>
    <w:p w14:paraId="09E6B499">
      <w:pPr>
        <w:tabs>
          <w:tab w:val="left" w:pos="496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地址：</w:t>
      </w:r>
      <w:r>
        <w:rPr>
          <w:rFonts w:hint="eastAsia" w:ascii="宋体" w:hAnsi="宋体" w:cs="宋体"/>
          <w:color w:val="000000"/>
          <w:sz w:val="24"/>
        </w:rPr>
        <w:tab/>
      </w:r>
      <w:r>
        <w:rPr>
          <w:rFonts w:hint="eastAsia" w:ascii="宋体" w:hAnsi="宋体" w:cs="宋体"/>
          <w:color w:val="000000"/>
          <w:sz w:val="24"/>
        </w:rPr>
        <w:t>地址：</w:t>
      </w:r>
    </w:p>
    <w:p w14:paraId="7901D8B1">
      <w:pPr>
        <w:tabs>
          <w:tab w:val="left" w:pos="496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电话：</w:t>
      </w:r>
      <w:r>
        <w:rPr>
          <w:rFonts w:hint="eastAsia" w:ascii="宋体" w:hAnsi="宋体" w:cs="宋体"/>
          <w:color w:val="000000"/>
          <w:sz w:val="24"/>
        </w:rPr>
        <w:tab/>
      </w:r>
      <w:r>
        <w:rPr>
          <w:rFonts w:hint="eastAsia" w:ascii="宋体" w:hAnsi="宋体" w:cs="宋体"/>
          <w:color w:val="000000"/>
          <w:sz w:val="24"/>
        </w:rPr>
        <w:t>电话：</w:t>
      </w:r>
    </w:p>
    <w:p w14:paraId="5145B016">
      <w:pPr>
        <w:tabs>
          <w:tab w:val="left" w:pos="496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年   月   日</w:t>
      </w:r>
      <w:r>
        <w:rPr>
          <w:rFonts w:hint="eastAsia" w:ascii="宋体" w:hAnsi="宋体" w:cs="宋体"/>
          <w:color w:val="000000"/>
          <w:sz w:val="24"/>
        </w:rPr>
        <w:tab/>
      </w:r>
      <w:r>
        <w:rPr>
          <w:rFonts w:hint="eastAsia" w:ascii="宋体" w:hAnsi="宋体" w:cs="宋体"/>
          <w:color w:val="000000"/>
          <w:sz w:val="24"/>
        </w:rPr>
        <w:t>年   月   日</w:t>
      </w:r>
    </w:p>
    <w:p w14:paraId="37050B63">
      <w:pPr>
        <w:tabs>
          <w:tab w:val="left" w:pos="4962"/>
        </w:tabs>
        <w:spacing w:line="360" w:lineRule="auto"/>
        <w:ind w:firstLine="480" w:firstLineChars="200"/>
        <w:rPr>
          <w:rFonts w:hint="eastAsia" w:ascii="宋体" w:hAnsi="宋体" w:cs="宋体"/>
          <w:color w:val="000000"/>
          <w:sz w:val="24"/>
        </w:rPr>
      </w:pPr>
    </w:p>
    <w:p w14:paraId="75E33A59">
      <w:pPr>
        <w:tabs>
          <w:tab w:val="left" w:pos="4962"/>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甲方监督单位（盖章）</w:t>
      </w:r>
      <w:r>
        <w:rPr>
          <w:rFonts w:hint="eastAsia" w:ascii="宋体" w:hAnsi="宋体" w:cs="宋体"/>
          <w:color w:val="000000"/>
          <w:sz w:val="24"/>
        </w:rPr>
        <w:tab/>
      </w:r>
      <w:r>
        <w:rPr>
          <w:rFonts w:hint="eastAsia" w:ascii="宋体" w:hAnsi="宋体" w:cs="宋体"/>
          <w:color w:val="000000"/>
          <w:sz w:val="24"/>
        </w:rPr>
        <w:t>乙方监督单位（盖章）</w:t>
      </w:r>
    </w:p>
    <w:p w14:paraId="1500C414">
      <w:pPr>
        <w:rPr>
          <w:rFonts w:ascii="宋体" w:hAnsi="宋体" w:cs="宋体"/>
          <w:b/>
          <w:sz w:val="36"/>
          <w:szCs w:val="20"/>
        </w:rPr>
      </w:pPr>
      <w:r>
        <w:rPr>
          <w:rFonts w:hint="eastAsia" w:ascii="宋体" w:hAnsi="宋体" w:cs="宋体"/>
          <w:color w:val="000000"/>
          <w:sz w:val="24"/>
        </w:rPr>
        <w:t xml:space="preserve">年   月   日                         年   月  日 </w:t>
      </w:r>
      <w:r>
        <w:rPr>
          <w:rFonts w:hint="eastAsia" w:ascii="宋体" w:hAnsi="宋体" w:cs="宋体"/>
          <w:b/>
          <w:color w:val="000000"/>
          <w:sz w:val="24"/>
        </w:rPr>
        <w:br w:type="page"/>
      </w:r>
    </w:p>
    <w:p w14:paraId="4118195E">
      <w:pPr>
        <w:rPr>
          <w:rFonts w:hint="eastAsia"/>
          <w:b/>
          <w:color w:val="auto"/>
          <w:sz w:val="36"/>
          <w:szCs w:val="36"/>
        </w:rPr>
      </w:pPr>
    </w:p>
    <w:p w14:paraId="7F648CB8">
      <w:pPr>
        <w:rPr>
          <w:rFonts w:hint="eastAsia"/>
          <w:b/>
          <w:color w:val="auto"/>
          <w:sz w:val="36"/>
          <w:szCs w:val="36"/>
        </w:rPr>
      </w:pPr>
    </w:p>
    <w:bookmarkEnd w:id="21"/>
    <w:p w14:paraId="5ED7A1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sz w:val="36"/>
          <w:szCs w:val="20"/>
        </w:rPr>
      </w:pPr>
      <w:bookmarkStart w:id="558" w:name="_Toc7671"/>
      <w:r>
        <w:rPr>
          <w:rFonts w:hint="eastAsia" w:ascii="宋体" w:hAnsi="宋体" w:cs="宋体"/>
          <w:b/>
          <w:sz w:val="36"/>
          <w:szCs w:val="20"/>
        </w:rPr>
        <w:t>第</w:t>
      </w:r>
      <w:r>
        <w:rPr>
          <w:rFonts w:hint="eastAsia" w:ascii="宋体" w:hAnsi="宋体" w:cs="宋体"/>
          <w:b/>
          <w:sz w:val="36"/>
          <w:szCs w:val="20"/>
          <w:lang w:val="en-US" w:eastAsia="zh-CN"/>
        </w:rPr>
        <w:t>六</w:t>
      </w:r>
      <w:r>
        <w:rPr>
          <w:rFonts w:hint="eastAsia" w:ascii="宋体" w:hAnsi="宋体" w:cs="宋体"/>
          <w:b/>
          <w:sz w:val="36"/>
          <w:szCs w:val="20"/>
        </w:rPr>
        <w:t>部分 应提交的有关格式范例</w:t>
      </w:r>
      <w:bookmarkEnd w:id="558"/>
    </w:p>
    <w:p w14:paraId="40904DC4">
      <w:pPr>
        <w:kinsoku/>
        <w:wordWrap/>
        <w:overflowPunct/>
        <w:topLinePunct w:val="0"/>
        <w:bidi w:val="0"/>
        <w:spacing w:line="360" w:lineRule="auto"/>
        <w:jc w:val="center"/>
        <w:outlineLvl w:val="9"/>
        <w:rPr>
          <w:rFonts w:ascii="宋体" w:hAnsi="宋体" w:cs="宋体"/>
          <w:b/>
          <w:kern w:val="0"/>
          <w:sz w:val="36"/>
          <w:szCs w:val="36"/>
        </w:rPr>
      </w:pPr>
    </w:p>
    <w:p w14:paraId="5DB098D0">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资格文件部分</w:t>
      </w:r>
    </w:p>
    <w:p w14:paraId="0FA41243">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0E75D0B6">
      <w:pPr>
        <w:kinsoku/>
        <w:wordWrap/>
        <w:overflowPunct/>
        <w:topLinePunct w:val="0"/>
        <w:bidi w:val="0"/>
        <w:spacing w:line="360" w:lineRule="auto"/>
        <w:jc w:val="center"/>
        <w:outlineLvl w:val="9"/>
        <w:rPr>
          <w:rFonts w:ascii="宋体" w:hAnsi="宋体" w:cs="宋体"/>
          <w:b/>
          <w:kern w:val="0"/>
          <w:sz w:val="36"/>
          <w:szCs w:val="36"/>
        </w:rPr>
      </w:pPr>
    </w:p>
    <w:p w14:paraId="30B99E00">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（1）符合参加政府采购活动应当具备的一般条件的承诺函……………（页码）</w:t>
      </w:r>
    </w:p>
    <w:p w14:paraId="34F7A6AC">
      <w:pPr>
        <w:kinsoku/>
        <w:wordWrap/>
        <w:overflowPunct/>
        <w:topLinePunct w:val="0"/>
        <w:bidi w:val="0"/>
        <w:snapToGrid w:val="0"/>
        <w:spacing w:line="360" w:lineRule="auto"/>
        <w:outlineLvl w:val="9"/>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D9D19B3">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（3）落实政府采购政策需满足的资格要求………………………………（页码）</w:t>
      </w:r>
    </w:p>
    <w:p w14:paraId="09745CEA">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（4）本项目的特定资格要求………………………………………………（页码）</w:t>
      </w:r>
    </w:p>
    <w:p w14:paraId="3506F625">
      <w:pPr>
        <w:kinsoku/>
        <w:wordWrap/>
        <w:overflowPunct/>
        <w:topLinePunct w:val="0"/>
        <w:bidi w:val="0"/>
        <w:snapToGrid w:val="0"/>
        <w:spacing w:line="360" w:lineRule="auto"/>
        <w:ind w:firstLine="480" w:firstLineChars="200"/>
        <w:outlineLvl w:val="9"/>
        <w:rPr>
          <w:rFonts w:ascii="宋体" w:hAnsi="宋体" w:cs="宋体"/>
          <w:sz w:val="24"/>
        </w:rPr>
      </w:pPr>
    </w:p>
    <w:p w14:paraId="6D8FD2F3">
      <w:pPr>
        <w:kinsoku/>
        <w:wordWrap/>
        <w:overflowPunct/>
        <w:topLinePunct w:val="0"/>
        <w:bidi w:val="0"/>
        <w:spacing w:line="360" w:lineRule="auto"/>
        <w:ind w:firstLine="480" w:firstLineChars="200"/>
        <w:outlineLvl w:val="9"/>
        <w:rPr>
          <w:rFonts w:ascii="宋体" w:hAnsi="宋体" w:cs="宋体"/>
          <w:sz w:val="24"/>
        </w:rPr>
      </w:pPr>
    </w:p>
    <w:p w14:paraId="58B782E2">
      <w:pPr>
        <w:kinsoku/>
        <w:wordWrap/>
        <w:overflowPunct/>
        <w:topLinePunct w:val="0"/>
        <w:bidi w:val="0"/>
        <w:snapToGrid w:val="0"/>
        <w:spacing w:line="360" w:lineRule="auto"/>
        <w:ind w:right="480"/>
        <w:jc w:val="center"/>
        <w:outlineLvl w:val="9"/>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3D9C963">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（采购人）、（采购代理机构）：</w:t>
      </w:r>
    </w:p>
    <w:p w14:paraId="500503F8">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我方参与（</w:t>
      </w:r>
      <w:r>
        <w:rPr>
          <w:rFonts w:hint="eastAsia" w:ascii="宋体" w:hAnsi="宋体" w:cs="宋体"/>
          <w:sz w:val="24"/>
          <w:u w:val="single"/>
          <w:lang w:val="en-US" w:eastAsia="zh-CN"/>
        </w:rPr>
        <w:t xml:space="preserve">                   </w:t>
      </w:r>
      <w:r>
        <w:rPr>
          <w:rFonts w:hint="eastAsia" w:ascii="宋体" w:hAnsi="宋体" w:cs="宋体"/>
          <w:sz w:val="24"/>
          <w:u w:val="single"/>
        </w:rPr>
        <w:t>项目名称</w:t>
      </w: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】政府采购活动，郑重承诺：</w:t>
      </w:r>
    </w:p>
    <w:p w14:paraId="79049D78">
      <w:pPr>
        <w:kinsoku/>
        <w:wordWrap/>
        <w:overflowPunct/>
        <w:topLinePunct w:val="0"/>
        <w:bidi w:val="0"/>
        <w:snapToGrid w:val="0"/>
        <w:spacing w:line="360" w:lineRule="auto"/>
        <w:ind w:firstLine="360" w:firstLineChars="150"/>
        <w:outlineLvl w:val="9"/>
        <w:rPr>
          <w:rFonts w:ascii="宋体" w:hAnsi="宋体" w:cs="宋体"/>
          <w:sz w:val="24"/>
        </w:rPr>
      </w:pPr>
      <w:r>
        <w:rPr>
          <w:rFonts w:hint="eastAsia" w:ascii="宋体" w:hAnsi="宋体" w:cs="宋体"/>
          <w:sz w:val="24"/>
        </w:rPr>
        <w:t>（一）具备《中华人民共和国政府采购法》第二十二条第一款规定的条件：</w:t>
      </w:r>
    </w:p>
    <w:p w14:paraId="252A1263">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1、具有独立承担民事责任的能力；</w:t>
      </w:r>
    </w:p>
    <w:p w14:paraId="351EDF65">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 xml:space="preserve">2、具有良好的商业信誉和健全的财务会计制度； </w:t>
      </w:r>
    </w:p>
    <w:p w14:paraId="2FC12829">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3、具有履行合同所必需的设备和专业技术能力；</w:t>
      </w:r>
    </w:p>
    <w:p w14:paraId="53681D4A">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4、有依法缴纳税收和社会保障资金的良好记录；</w:t>
      </w:r>
    </w:p>
    <w:p w14:paraId="2CA30693">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5、参加政府采购活动前三年内，在经营活动中没有重大违法记录；</w:t>
      </w:r>
    </w:p>
    <w:p w14:paraId="3CCBCC89">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6、具有法律、行政法规规定的其他条件。</w:t>
      </w:r>
    </w:p>
    <w:p w14:paraId="52978ADC">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（二）未被信用中国（www.creditchina.gov.cn)、中国政府采购网（www.ccgp.gov.cn）列入失信被执行人、重大税收违法案件当事人名单(即：重大税收违法失信主体)、政府采购严重违法失信行为记录名单。</w:t>
      </w:r>
    </w:p>
    <w:p w14:paraId="25C29C80">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（三）不存在以下情况：</w:t>
      </w:r>
    </w:p>
    <w:p w14:paraId="37F9CCA1">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4D62B25">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DB78CB0">
      <w:pPr>
        <w:kinsoku/>
        <w:wordWrap/>
        <w:overflowPunct/>
        <w:topLinePunct w:val="0"/>
        <w:bidi w:val="0"/>
        <w:snapToGrid w:val="0"/>
        <w:spacing w:line="360" w:lineRule="auto"/>
        <w:ind w:firstLine="5520" w:firstLineChars="2300"/>
        <w:outlineLvl w:val="9"/>
        <w:rPr>
          <w:rFonts w:ascii="宋体" w:hAnsi="宋体" w:cs="宋体"/>
          <w:kern w:val="0"/>
          <w:sz w:val="24"/>
        </w:rPr>
      </w:pPr>
      <w:r>
        <w:rPr>
          <w:rFonts w:hint="eastAsia" w:ascii="宋体" w:hAnsi="宋体" w:cs="宋体"/>
          <w:kern w:val="0"/>
          <w:sz w:val="24"/>
          <w:lang w:val="zh-CN"/>
        </w:rPr>
        <w:t>供应商名称(电子签名)：</w:t>
      </w:r>
    </w:p>
    <w:p w14:paraId="1B7917F1">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26FCA9C">
      <w:pPr>
        <w:kinsoku/>
        <w:wordWrap/>
        <w:overflowPunct/>
        <w:topLinePunct w:val="0"/>
        <w:bidi w:val="0"/>
        <w:snapToGrid w:val="0"/>
        <w:spacing w:line="360" w:lineRule="auto"/>
        <w:ind w:right="480"/>
        <w:jc w:val="center"/>
        <w:outlineLvl w:val="9"/>
        <w:rPr>
          <w:rFonts w:ascii="宋体" w:hAnsi="宋体" w:cs="宋体"/>
          <w:b/>
          <w:kern w:val="0"/>
          <w:sz w:val="32"/>
          <w:szCs w:val="32"/>
        </w:rPr>
        <w:sectPr>
          <w:footerReference r:id="rId11" w:type="first"/>
          <w:headerReference r:id="rId9" w:type="default"/>
          <w:footerReference r:id="rId10" w:type="default"/>
          <w:pgSz w:w="11906" w:h="16838"/>
          <w:pgMar w:top="1440" w:right="1080" w:bottom="1440" w:left="1080" w:header="851" w:footer="992" w:gutter="0"/>
          <w:pgNumType w:fmt="decimal"/>
          <w:cols w:space="720" w:num="1"/>
          <w:titlePg/>
          <w:docGrid w:linePitch="312" w:charSpace="0"/>
        </w:sectPr>
      </w:pPr>
    </w:p>
    <w:p w14:paraId="04C0F768">
      <w:pPr>
        <w:widowControl/>
        <w:kinsoku/>
        <w:wordWrap/>
        <w:overflowPunct/>
        <w:topLinePunct w:val="0"/>
        <w:bidi w:val="0"/>
        <w:spacing w:line="360" w:lineRule="auto"/>
        <w:ind w:firstLine="643" w:firstLineChars="200"/>
        <w:jc w:val="center"/>
        <w:outlineLvl w:val="9"/>
        <w:rPr>
          <w:rFonts w:ascii="宋体" w:hAnsi="宋体" w:cs="宋体"/>
          <w:b/>
          <w:kern w:val="0"/>
          <w:sz w:val="32"/>
          <w:szCs w:val="32"/>
        </w:rPr>
      </w:pPr>
      <w:r>
        <w:rPr>
          <w:rFonts w:hint="eastAsia" w:ascii="宋体" w:hAnsi="宋体" w:cs="宋体"/>
          <w:b/>
          <w:kern w:val="0"/>
          <w:sz w:val="32"/>
          <w:szCs w:val="32"/>
        </w:rPr>
        <w:t>二、联合协议（如果有）</w:t>
      </w:r>
    </w:p>
    <w:p w14:paraId="0267D2E9">
      <w:pPr>
        <w:widowControl/>
        <w:kinsoku/>
        <w:wordWrap/>
        <w:overflowPunct/>
        <w:topLinePunct w:val="0"/>
        <w:bidi w:val="0"/>
        <w:spacing w:line="360" w:lineRule="auto"/>
        <w:ind w:firstLine="482" w:firstLineChars="200"/>
        <w:jc w:val="left"/>
        <w:outlineLvl w:val="9"/>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1118C4DB">
      <w:pPr>
        <w:kinsoku/>
        <w:wordWrap/>
        <w:overflowPunct/>
        <w:topLinePunct w:val="0"/>
        <w:bidi w:val="0"/>
        <w:snapToGrid w:val="0"/>
        <w:spacing w:line="360" w:lineRule="auto"/>
        <w:ind w:right="48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54C2FB02">
      <w:pPr>
        <w:kinsoku/>
        <w:wordWrap/>
        <w:overflowPunct/>
        <w:topLinePunct w:val="0"/>
        <w:bidi w:val="0"/>
        <w:snapToGrid w:val="0"/>
        <w:spacing w:line="360" w:lineRule="auto"/>
        <w:ind w:right="480"/>
        <w:jc w:val="center"/>
        <w:outlineLvl w:val="9"/>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F1B44AE">
      <w:pPr>
        <w:kinsoku/>
        <w:wordWrap/>
        <w:overflowPunct/>
        <w:topLinePunct w:val="0"/>
        <w:bidi w:val="0"/>
        <w:spacing w:line="360" w:lineRule="auto"/>
        <w:outlineLvl w:val="9"/>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45AB3C6">
      <w:pPr>
        <w:kinsoku/>
        <w:wordWrap/>
        <w:overflowPunct/>
        <w:topLinePunct w:val="0"/>
        <w:bidi w:val="0"/>
        <w:snapToGrid w:val="0"/>
        <w:spacing w:before="50" w:after="50" w:line="360" w:lineRule="auto"/>
        <w:ind w:firstLine="472" w:firstLineChars="196"/>
        <w:jc w:val="left"/>
        <w:outlineLvl w:val="9"/>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工程</w:t>
      </w:r>
      <w:r>
        <w:rPr>
          <w:rFonts w:hint="eastAsia" w:ascii="宋体" w:hAnsi="宋体" w:cs="宋体"/>
          <w:sz w:val="24"/>
        </w:rPr>
        <w:t xml:space="preserve">全部由符合政策要求的中小企业（或小微企业）承建的，提供相应的中小企业声明函（附件7）。 </w:t>
      </w:r>
    </w:p>
    <w:p w14:paraId="78DD6610">
      <w:pPr>
        <w:widowControl/>
        <w:kinsoku/>
        <w:wordWrap/>
        <w:overflowPunct/>
        <w:topLinePunct w:val="0"/>
        <w:bidi w:val="0"/>
        <w:spacing w:line="360" w:lineRule="auto"/>
        <w:ind w:firstLine="480"/>
        <w:jc w:val="left"/>
        <w:outlineLvl w:val="9"/>
        <w:rPr>
          <w:rFonts w:ascii="宋体" w:hAnsi="宋体" w:cs="宋体"/>
          <w:sz w:val="24"/>
        </w:rPr>
      </w:pPr>
    </w:p>
    <w:p w14:paraId="497067F0">
      <w:pPr>
        <w:widowControl/>
        <w:kinsoku/>
        <w:wordWrap/>
        <w:overflowPunct/>
        <w:topLinePunct w:val="0"/>
        <w:bidi w:val="0"/>
        <w:spacing w:line="360" w:lineRule="auto"/>
        <w:ind w:firstLine="472" w:firstLineChars="196"/>
        <w:jc w:val="left"/>
        <w:outlineLvl w:val="9"/>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344F20E">
      <w:pPr>
        <w:kinsoku/>
        <w:wordWrap/>
        <w:overflowPunct/>
        <w:topLinePunct w:val="0"/>
        <w:bidi w:val="0"/>
        <w:snapToGrid w:val="0"/>
        <w:spacing w:before="50" w:after="50" w:line="360" w:lineRule="auto"/>
        <w:jc w:val="center"/>
        <w:outlineLvl w:val="9"/>
        <w:rPr>
          <w:rFonts w:ascii="宋体" w:hAnsi="宋体" w:cs="宋体"/>
          <w:sz w:val="24"/>
        </w:rPr>
      </w:pPr>
      <w:r>
        <w:rPr>
          <w:rFonts w:hint="eastAsia" w:ascii="宋体" w:hAnsi="宋体" w:cs="宋体"/>
          <w:b/>
          <w:sz w:val="24"/>
        </w:rPr>
        <w:t xml:space="preserve">    </w:t>
      </w:r>
    </w:p>
    <w:p w14:paraId="1CBB05EB">
      <w:pPr>
        <w:kinsoku/>
        <w:wordWrap/>
        <w:overflowPunct/>
        <w:topLinePunct w:val="0"/>
        <w:bidi w:val="0"/>
        <w:spacing w:line="360" w:lineRule="auto"/>
        <w:ind w:firstLine="482" w:firstLineChars="200"/>
        <w:outlineLvl w:val="9"/>
        <w:rPr>
          <w:rFonts w:ascii="宋体" w:hAnsi="宋体" w:cs="宋体"/>
          <w:sz w:val="24"/>
        </w:rPr>
      </w:pPr>
      <w:r>
        <w:rPr>
          <w:rFonts w:hint="eastAsia" w:ascii="宋体" w:hAnsi="宋体" w:cs="宋体"/>
          <w:b/>
          <w:sz w:val="24"/>
        </w:rPr>
        <w:t>C</w:t>
      </w:r>
      <w:r>
        <w:rPr>
          <w:rFonts w:hint="eastAsia" w:ascii="宋体" w:hAnsi="宋体" w:cs="宋体"/>
          <w:b/>
          <w:sz w:val="24"/>
          <w:lang w:val="en-US" w:eastAsia="zh-CN"/>
        </w:rPr>
        <w:t>.</w:t>
      </w:r>
      <w:r>
        <w:rPr>
          <w:rFonts w:hint="eastAsia" w:ascii="宋体" w:hAnsi="宋体" w:cs="宋体"/>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349CABD">
      <w:pPr>
        <w:widowControl/>
        <w:kinsoku/>
        <w:wordWrap/>
        <w:overflowPunct/>
        <w:topLinePunct w:val="0"/>
        <w:bidi w:val="0"/>
        <w:spacing w:line="360" w:lineRule="auto"/>
        <w:ind w:left="150"/>
        <w:jc w:val="center"/>
        <w:outlineLvl w:val="9"/>
        <w:rPr>
          <w:rFonts w:ascii="宋体" w:hAnsi="宋体" w:cs="宋体"/>
          <w:b/>
          <w:kern w:val="0"/>
          <w:sz w:val="32"/>
          <w:szCs w:val="32"/>
        </w:rPr>
      </w:pPr>
    </w:p>
    <w:p w14:paraId="7DE51A71">
      <w:pPr>
        <w:pStyle w:val="39"/>
        <w:rPr>
          <w:rFonts w:ascii="宋体" w:hAnsi="宋体" w:cs="宋体"/>
          <w:b/>
          <w:kern w:val="0"/>
          <w:sz w:val="32"/>
          <w:szCs w:val="32"/>
        </w:rPr>
      </w:pPr>
    </w:p>
    <w:p w14:paraId="5B6B04EA">
      <w:pPr>
        <w:pStyle w:val="39"/>
        <w:rPr>
          <w:rFonts w:ascii="宋体" w:hAnsi="宋体" w:cs="宋体"/>
          <w:b/>
          <w:kern w:val="0"/>
          <w:sz w:val="32"/>
          <w:szCs w:val="32"/>
        </w:rPr>
      </w:pPr>
    </w:p>
    <w:p w14:paraId="6981ACD8">
      <w:pPr>
        <w:pStyle w:val="39"/>
        <w:rPr>
          <w:rFonts w:ascii="宋体" w:hAnsi="宋体" w:cs="宋体"/>
          <w:b/>
          <w:kern w:val="0"/>
          <w:sz w:val="32"/>
          <w:szCs w:val="32"/>
        </w:rPr>
      </w:pPr>
    </w:p>
    <w:p w14:paraId="7FEA2629">
      <w:pPr>
        <w:pStyle w:val="39"/>
        <w:rPr>
          <w:rFonts w:ascii="宋体" w:hAnsi="宋体" w:cs="宋体"/>
          <w:b/>
          <w:kern w:val="0"/>
          <w:sz w:val="32"/>
          <w:szCs w:val="32"/>
        </w:rPr>
      </w:pPr>
    </w:p>
    <w:p w14:paraId="1963F6BF">
      <w:pPr>
        <w:pStyle w:val="39"/>
        <w:rPr>
          <w:rFonts w:ascii="宋体" w:hAnsi="宋体" w:cs="宋体"/>
          <w:b/>
          <w:kern w:val="0"/>
          <w:sz w:val="32"/>
          <w:szCs w:val="32"/>
        </w:rPr>
      </w:pPr>
    </w:p>
    <w:p w14:paraId="24FF1AF1">
      <w:pPr>
        <w:pStyle w:val="39"/>
        <w:rPr>
          <w:rFonts w:ascii="宋体" w:hAnsi="宋体" w:cs="宋体"/>
          <w:b/>
          <w:kern w:val="0"/>
          <w:sz w:val="32"/>
          <w:szCs w:val="32"/>
        </w:rPr>
      </w:pPr>
    </w:p>
    <w:p w14:paraId="114509B0">
      <w:pPr>
        <w:pStyle w:val="39"/>
        <w:rPr>
          <w:rFonts w:ascii="宋体" w:hAnsi="宋体" w:cs="宋体"/>
          <w:b/>
          <w:kern w:val="0"/>
          <w:sz w:val="32"/>
          <w:szCs w:val="32"/>
        </w:rPr>
      </w:pPr>
    </w:p>
    <w:p w14:paraId="438CE219">
      <w:pPr>
        <w:pStyle w:val="39"/>
        <w:rPr>
          <w:rFonts w:ascii="宋体" w:hAnsi="宋体" w:cs="宋体"/>
          <w:b/>
          <w:kern w:val="0"/>
          <w:sz w:val="32"/>
          <w:szCs w:val="32"/>
        </w:rPr>
      </w:pPr>
    </w:p>
    <w:p w14:paraId="2794A705">
      <w:pPr>
        <w:widowControl/>
        <w:kinsoku/>
        <w:wordWrap/>
        <w:overflowPunct/>
        <w:topLinePunct w:val="0"/>
        <w:bidi w:val="0"/>
        <w:spacing w:line="360" w:lineRule="auto"/>
        <w:ind w:left="150"/>
        <w:jc w:val="center"/>
        <w:outlineLvl w:val="9"/>
        <w:rPr>
          <w:rFonts w:ascii="宋体" w:hAnsi="宋体" w:cs="宋体"/>
          <w:b/>
          <w:kern w:val="0"/>
          <w:sz w:val="32"/>
          <w:szCs w:val="32"/>
        </w:rPr>
      </w:pPr>
      <w:r>
        <w:rPr>
          <w:rFonts w:hint="eastAsia" w:ascii="宋体" w:hAnsi="宋体" w:cs="宋体"/>
          <w:b/>
          <w:kern w:val="0"/>
          <w:sz w:val="32"/>
          <w:szCs w:val="32"/>
        </w:rPr>
        <w:t>四、本项目的特定资格要求</w:t>
      </w:r>
    </w:p>
    <w:p w14:paraId="0B568CC4">
      <w:pPr>
        <w:kinsoku/>
        <w:wordWrap/>
        <w:overflowPunct/>
        <w:topLinePunct w:val="0"/>
        <w:bidi w:val="0"/>
        <w:spacing w:line="360" w:lineRule="auto"/>
        <w:jc w:val="center"/>
        <w:outlineLvl w:val="9"/>
        <w:rPr>
          <w:rFonts w:ascii="宋体" w:hAnsi="宋体" w:cs="宋体"/>
          <w:sz w:val="24"/>
        </w:rPr>
      </w:pPr>
      <w:r>
        <w:rPr>
          <w:rFonts w:hint="eastAsia" w:ascii="宋体" w:hAnsi="宋体" w:cs="宋体"/>
          <w:sz w:val="24"/>
        </w:rPr>
        <w:t>（根据竞争性磋商公告本项目的特定资格要求提供相应的材料；未要求的，无需提供）</w:t>
      </w:r>
    </w:p>
    <w:p w14:paraId="6091F273">
      <w:pPr>
        <w:kinsoku/>
        <w:wordWrap/>
        <w:overflowPunct/>
        <w:topLinePunct w:val="0"/>
        <w:bidi w:val="0"/>
        <w:outlineLvl w:val="9"/>
        <w:rPr>
          <w:rFonts w:ascii="宋体" w:hAnsi="宋体" w:cs="宋体"/>
        </w:rPr>
      </w:pPr>
    </w:p>
    <w:p w14:paraId="16907647">
      <w:pPr>
        <w:kinsoku/>
        <w:wordWrap/>
        <w:overflowPunct/>
        <w:topLinePunct w:val="0"/>
        <w:bidi w:val="0"/>
        <w:outlineLvl w:val="9"/>
        <w:rPr>
          <w:rFonts w:ascii="宋体" w:hAnsi="宋体" w:cs="宋体"/>
        </w:rPr>
      </w:pPr>
    </w:p>
    <w:p w14:paraId="0954702C">
      <w:pPr>
        <w:kinsoku/>
        <w:wordWrap/>
        <w:overflowPunct/>
        <w:topLinePunct w:val="0"/>
        <w:bidi w:val="0"/>
        <w:snapToGrid w:val="0"/>
        <w:spacing w:line="360" w:lineRule="auto"/>
        <w:ind w:right="48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187F0144">
      <w:pPr>
        <w:tabs>
          <w:tab w:val="left" w:pos="432"/>
        </w:tabs>
        <w:kinsoku/>
        <w:wordWrap/>
        <w:overflowPunct/>
        <w:topLinePunct w:val="0"/>
        <w:bidi w:val="0"/>
        <w:outlineLvl w:val="9"/>
        <w:rPr>
          <w:rFonts w:ascii="宋体" w:hAnsi="宋体" w:eastAsia="宋体" w:cs="宋体"/>
          <w:b w:val="0"/>
          <w:kern w:val="0"/>
          <w:sz w:val="36"/>
          <w:szCs w:val="36"/>
        </w:rPr>
      </w:pPr>
    </w:p>
    <w:p w14:paraId="7F8B3ACE">
      <w:pPr>
        <w:kinsoku/>
        <w:wordWrap/>
        <w:overflowPunct/>
        <w:topLinePunct w:val="0"/>
        <w:bidi w:val="0"/>
        <w:spacing w:line="360" w:lineRule="auto"/>
        <w:ind w:right="420" w:firstLine="3614" w:firstLineChars="1000"/>
        <w:outlineLvl w:val="9"/>
        <w:rPr>
          <w:rFonts w:ascii="宋体" w:hAnsi="宋体" w:cs="宋体"/>
          <w:b/>
          <w:kern w:val="0"/>
          <w:sz w:val="36"/>
          <w:szCs w:val="36"/>
        </w:rPr>
      </w:pPr>
      <w:r>
        <w:rPr>
          <w:rFonts w:hint="eastAsia" w:ascii="宋体" w:hAnsi="宋体" w:cs="宋体"/>
          <w:b/>
          <w:kern w:val="0"/>
          <w:sz w:val="36"/>
          <w:szCs w:val="36"/>
        </w:rPr>
        <w:t>商务技术文件部分</w:t>
      </w:r>
    </w:p>
    <w:p w14:paraId="2E445B7B">
      <w:pPr>
        <w:kinsoku/>
        <w:wordWrap/>
        <w:overflowPunct/>
        <w:topLinePunct w:val="0"/>
        <w:bidi w:val="0"/>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14:paraId="16F32615">
      <w:pPr>
        <w:numPr>
          <w:ilvl w:val="255"/>
          <w:numId w:val="0"/>
        </w:num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（1）响应函……………………………………………………………………………（页码）</w:t>
      </w:r>
    </w:p>
    <w:p w14:paraId="70F853FD">
      <w:pPr>
        <w:numPr>
          <w:ilvl w:val="255"/>
          <w:numId w:val="0"/>
        </w:num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（2）授权委托书或法定代表人（单位负责人、自然人本人）身份证明……………（页码）</w:t>
      </w:r>
    </w:p>
    <w:p w14:paraId="47124CF5">
      <w:pPr>
        <w:kinsoku/>
        <w:wordWrap/>
        <w:overflowPunct/>
        <w:topLinePunct w:val="0"/>
        <w:bidi w:val="0"/>
        <w:snapToGrid w:val="0"/>
        <w:spacing w:line="360" w:lineRule="auto"/>
        <w:ind w:left="479" w:leftChars="228"/>
        <w:outlineLvl w:val="9"/>
        <w:rPr>
          <w:rFonts w:ascii="宋体" w:hAnsi="宋体" w:cs="宋体"/>
          <w:sz w:val="24"/>
        </w:rPr>
      </w:pPr>
      <w:r>
        <w:rPr>
          <w:rFonts w:hint="eastAsia" w:ascii="宋体" w:hAnsi="宋体" w:cs="宋体"/>
          <w:sz w:val="24"/>
        </w:rPr>
        <w:t>（3）分包意向协议………………………………………………………………………（页码）</w:t>
      </w:r>
    </w:p>
    <w:p w14:paraId="5B0909CC">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（4）符合性审查资料……………………………………………………………………（页码）</w:t>
      </w:r>
    </w:p>
    <w:p w14:paraId="391E34CE">
      <w:pPr>
        <w:kinsoku/>
        <w:wordWrap/>
        <w:overflowPunct/>
        <w:topLinePunct w:val="0"/>
        <w:bidi w:val="0"/>
        <w:snapToGrid w:val="0"/>
        <w:spacing w:line="360" w:lineRule="auto"/>
        <w:ind w:left="479" w:leftChars="228"/>
        <w:outlineLvl w:val="9"/>
        <w:rPr>
          <w:rFonts w:ascii="宋体" w:hAnsi="宋体" w:cs="宋体"/>
          <w:sz w:val="24"/>
        </w:rPr>
      </w:pPr>
      <w:r>
        <w:rPr>
          <w:rFonts w:hint="eastAsia" w:ascii="宋体" w:hAnsi="宋体" w:cs="宋体"/>
          <w:sz w:val="24"/>
        </w:rPr>
        <w:t>（5）评审标准相应的商务技术资料……………………………………………………（页码）（6）商务技术偏离表……………………………………………………………………（页码）</w:t>
      </w:r>
    </w:p>
    <w:p w14:paraId="35AB3E5F">
      <w:pPr>
        <w:kinsoku/>
        <w:wordWrap/>
        <w:overflowPunct/>
        <w:topLinePunct w:val="0"/>
        <w:bidi w:val="0"/>
        <w:snapToGrid w:val="0"/>
        <w:spacing w:line="360" w:lineRule="auto"/>
        <w:ind w:left="479" w:leftChars="228"/>
        <w:outlineLvl w:val="9"/>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631AFD7A">
      <w:pPr>
        <w:kinsoku/>
        <w:wordWrap/>
        <w:overflowPunct/>
        <w:topLinePunct w:val="0"/>
        <w:bidi w:val="0"/>
        <w:snapToGrid w:val="0"/>
        <w:spacing w:line="360" w:lineRule="auto"/>
        <w:jc w:val="center"/>
        <w:outlineLvl w:val="9"/>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664E1E6B">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一、响应函</w:t>
      </w:r>
    </w:p>
    <w:p w14:paraId="4D65AF6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p>
    <w:p w14:paraId="25FA76A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】采购的有关活动，并对此项目提交响应文件及报价。为此：</w:t>
      </w:r>
    </w:p>
    <w:p w14:paraId="641412AA">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1、我方承诺响应文件有效期从提交响应文件的截止之日起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天（不少于90天），本响应文件在响应文件有效期满之前均具有约束力。</w:t>
      </w:r>
    </w:p>
    <w:p w14:paraId="09F70C2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2、我方的响应文件包括以下内容：</w:t>
      </w:r>
    </w:p>
    <w:p w14:paraId="0ADA00D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3586EF8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605AC30">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3209859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B1B2F5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C6E91C2">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1EF0A19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2.2.1响应函；</w:t>
      </w:r>
      <w:r>
        <w:rPr>
          <w:rFonts w:hint="eastAsia" w:ascii="宋体" w:hAnsi="宋体" w:cs="宋体"/>
          <w:color w:val="auto"/>
          <w:sz w:val="21"/>
          <w:szCs w:val="21"/>
          <w:highlight w:val="none"/>
          <w:lang w:val="zh-CN"/>
        </w:rPr>
        <w:t xml:space="preserve"> </w:t>
      </w:r>
    </w:p>
    <w:p w14:paraId="1B7308D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BA86419">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DBF5E4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77A661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p>
    <w:p w14:paraId="6B09B90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2.2.6商务技术偏离表；</w:t>
      </w:r>
    </w:p>
    <w:p w14:paraId="372BAD7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4975955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F8CA35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2.3.1报价单；</w:t>
      </w:r>
    </w:p>
    <w:p w14:paraId="3F06408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2.3.2中小企业声明函（如果有）。</w:t>
      </w:r>
    </w:p>
    <w:p w14:paraId="29C6668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3、我方承诺除商务技术偏离表列出的偏离外，我方响应采购文件的全部要求。</w:t>
      </w:r>
    </w:p>
    <w:p w14:paraId="3B17F3B3">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4、如我方成交，我方承诺：</w:t>
      </w:r>
    </w:p>
    <w:p w14:paraId="7E84A8C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4.1在收到成交通知书后，在成交通知书规定的期限内与你方签订合同； </w:t>
      </w:r>
    </w:p>
    <w:p w14:paraId="63325E1B">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AE7697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4.3按照采购文件要求提交履约保证金； </w:t>
      </w:r>
    </w:p>
    <w:p w14:paraId="279FD6F4">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4.4在合同约定的期限内完成合同规定的全部义务。</w:t>
      </w:r>
    </w:p>
    <w:p w14:paraId="2F30203E">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4.5</w:t>
      </w:r>
      <w:r>
        <w:rPr>
          <w:rFonts w:hint="eastAsia" w:ascii="宋体" w:hAnsi="宋体" w:cs="宋体"/>
          <w:color w:val="auto"/>
          <w:sz w:val="21"/>
          <w:szCs w:val="21"/>
          <w:highlight w:val="none"/>
        </w:rPr>
        <w:t xml:space="preserve"> 按照招标文件的规定，在中标后向采购代理机构一次性支付招标代理服务费。</w:t>
      </w:r>
    </w:p>
    <w:p w14:paraId="2BDD728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D9DB26">
      <w:pPr>
        <w:keepNext w:val="0"/>
        <w:keepLines w:val="0"/>
        <w:pageBreakBefore w:val="0"/>
        <w:widowControl w:val="0"/>
        <w:kinsoku/>
        <w:wordWrap/>
        <w:overflowPunct/>
        <w:topLinePunct w:val="0"/>
        <w:autoSpaceDE/>
        <w:autoSpaceDN/>
        <w:bidi w:val="0"/>
        <w:adjustRightInd w:val="0"/>
        <w:spacing w:line="336"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供应商名称（电子签名）：                          </w:t>
      </w:r>
    </w:p>
    <w:p w14:paraId="0B72722C">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2518A82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3675" w:firstLineChars="1750"/>
        <w:textAlignment w:val="auto"/>
        <w:rPr>
          <w:rFonts w:ascii="宋体" w:hAnsi="宋体" w:cs="宋体"/>
          <w:color w:val="auto"/>
          <w:kern w:val="0"/>
          <w:sz w:val="21"/>
          <w:szCs w:val="21"/>
          <w:highlight w:val="none"/>
          <w:u w:val="single"/>
        </w:rPr>
      </w:pPr>
    </w:p>
    <w:p w14:paraId="0CAD5657">
      <w:pPr>
        <w:keepNext w:val="0"/>
        <w:keepLines w:val="0"/>
        <w:pageBreakBefore w:val="0"/>
        <w:widowControl w:val="0"/>
        <w:kinsoku/>
        <w:wordWrap/>
        <w:overflowPunct/>
        <w:topLinePunct w:val="0"/>
        <w:autoSpaceDE/>
        <w:autoSpaceDN/>
        <w:bidi w:val="0"/>
        <w:adjustRightInd w:val="0"/>
        <w:spacing w:line="336"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136149BC">
      <w:pPr>
        <w:kinsoku/>
        <w:wordWrap/>
        <w:overflowPunct/>
        <w:topLinePunct w:val="0"/>
        <w:bidi w:val="0"/>
        <w:snapToGrid w:val="0"/>
        <w:jc w:val="center"/>
        <w:outlineLvl w:val="9"/>
        <w:rPr>
          <w:rFonts w:hint="eastAsia" w:ascii="宋体" w:hAnsi="宋体" w:cs="宋体"/>
          <w:b/>
          <w:bCs/>
          <w:sz w:val="32"/>
          <w:szCs w:val="32"/>
          <w:lang w:val="zh-CN"/>
        </w:rPr>
      </w:pPr>
    </w:p>
    <w:p w14:paraId="6C4AD2F4">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2A2B18EF">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 xml:space="preserve">                                </w:t>
      </w:r>
    </w:p>
    <w:p w14:paraId="153154CF">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6CFC36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E132F0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77F5CCB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F40E35D">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215440BE">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lang w:val="zh-CN"/>
        </w:rPr>
        <w:t xml:space="preserve">                                                 供应商名称(电子签名)：</w:t>
      </w:r>
    </w:p>
    <w:p w14:paraId="3FD0AF4B">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签发日期：  年  月   日</w:t>
      </w:r>
    </w:p>
    <w:p w14:paraId="47D32171">
      <w:pPr>
        <w:kinsoku/>
        <w:wordWrap/>
        <w:overflowPunct/>
        <w:topLinePunct w:val="0"/>
        <w:bidi w:val="0"/>
        <w:snapToGrid w:val="0"/>
        <w:spacing w:line="360" w:lineRule="auto"/>
        <w:outlineLvl w:val="9"/>
        <w:rPr>
          <w:rFonts w:ascii="宋体" w:hAnsi="宋体" w:cs="宋体"/>
          <w:sz w:val="24"/>
        </w:rPr>
      </w:pPr>
    </w:p>
    <w:p w14:paraId="1DE6BCA3">
      <w:pPr>
        <w:kinsoku/>
        <w:wordWrap/>
        <w:overflowPunct/>
        <w:topLinePunct w:val="0"/>
        <w:bidi w:val="0"/>
        <w:snapToGrid w:val="0"/>
        <w:spacing w:line="360" w:lineRule="auto"/>
        <w:outlineLvl w:val="9"/>
        <w:rPr>
          <w:rFonts w:ascii="宋体" w:hAnsi="宋体" w:cs="宋体"/>
          <w:sz w:val="24"/>
        </w:rPr>
      </w:pPr>
    </w:p>
    <w:p w14:paraId="69A3B3C3">
      <w:pPr>
        <w:kinsoku/>
        <w:wordWrap/>
        <w:overflowPunct/>
        <w:topLinePunct w:val="0"/>
        <w:bidi w:val="0"/>
        <w:snapToGrid w:val="0"/>
        <w:spacing w:line="360" w:lineRule="auto"/>
        <w:outlineLvl w:val="9"/>
        <w:rPr>
          <w:rFonts w:ascii="宋体" w:hAnsi="宋体" w:cs="宋体"/>
          <w:sz w:val="24"/>
        </w:rPr>
      </w:pPr>
    </w:p>
    <w:p w14:paraId="6E9ADEDC">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27F387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5715EE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18375FC3">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16B6251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1C0EE315">
      <w:pPr>
        <w:kinsoku/>
        <w:wordWrap/>
        <w:overflowPunct/>
        <w:topLinePunct w:val="0"/>
        <w:bidi w:val="0"/>
        <w:jc w:val="center"/>
        <w:outlineLvl w:val="9"/>
        <w:rPr>
          <w:rFonts w:ascii="宋体" w:hAnsi="宋体" w:cs="宋体"/>
          <w:b/>
          <w:kern w:val="0"/>
          <w:sz w:val="32"/>
          <w:szCs w:val="32"/>
        </w:rPr>
      </w:pPr>
    </w:p>
    <w:p w14:paraId="0E3EAFE9">
      <w:pPr>
        <w:kinsoku/>
        <w:wordWrap/>
        <w:overflowPunct/>
        <w:topLinePunct w:val="0"/>
        <w:bidi w:val="0"/>
        <w:jc w:val="center"/>
        <w:outlineLvl w:val="9"/>
        <w:rPr>
          <w:rFonts w:ascii="宋体" w:hAnsi="宋体" w:cs="宋体"/>
          <w:b/>
          <w:kern w:val="0"/>
          <w:sz w:val="32"/>
          <w:szCs w:val="32"/>
        </w:rPr>
      </w:pPr>
    </w:p>
    <w:p w14:paraId="13CAC9F7">
      <w:pPr>
        <w:kinsoku/>
        <w:wordWrap/>
        <w:overflowPunct/>
        <w:topLinePunct w:val="0"/>
        <w:bidi w:val="0"/>
        <w:jc w:val="center"/>
        <w:outlineLvl w:val="9"/>
        <w:rPr>
          <w:rFonts w:ascii="宋体" w:hAnsi="宋体" w:cs="宋体"/>
          <w:b/>
          <w:kern w:val="0"/>
          <w:sz w:val="32"/>
          <w:szCs w:val="32"/>
        </w:rPr>
      </w:pPr>
    </w:p>
    <w:p w14:paraId="34F3E8ED">
      <w:pPr>
        <w:kinsoku/>
        <w:wordWrap/>
        <w:overflowPunct/>
        <w:topLinePunct w:val="0"/>
        <w:bidi w:val="0"/>
        <w:outlineLvl w:val="9"/>
        <w:rPr>
          <w:rFonts w:ascii="宋体" w:hAnsi="宋体" w:cs="宋体"/>
        </w:rPr>
      </w:pPr>
    </w:p>
    <w:p w14:paraId="5186644C">
      <w:pPr>
        <w:kinsoku/>
        <w:wordWrap/>
        <w:overflowPunct/>
        <w:topLinePunct w:val="0"/>
        <w:bidi w:val="0"/>
        <w:snapToGrid w:val="0"/>
        <w:spacing w:line="360"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14:paraId="2B64082F">
      <w:pPr>
        <w:kinsoku/>
        <w:wordWrap/>
        <w:overflowPunct/>
        <w:topLinePunct w:val="0"/>
        <w:bidi w:val="0"/>
        <w:snapToGrid w:val="0"/>
        <w:spacing w:line="360"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14:paraId="1999765C">
      <w:pPr>
        <w:kinsoku/>
        <w:wordWrap/>
        <w:overflowPunct/>
        <w:topLinePunct w:val="0"/>
        <w:bidi w:val="0"/>
        <w:snapToGrid w:val="0"/>
        <w:spacing w:line="360" w:lineRule="auto"/>
        <w:ind w:firstLine="5760" w:firstLineChars="2400"/>
        <w:outlineLvl w:val="9"/>
        <w:rPr>
          <w:rFonts w:ascii="宋体" w:hAnsi="宋体" w:cs="宋体"/>
        </w:rPr>
      </w:pPr>
      <w:r>
        <w:rPr>
          <w:rFonts w:hint="eastAsia" w:ascii="宋体" w:hAnsi="宋体" w:cs="宋体"/>
          <w:kern w:val="0"/>
          <w:sz w:val="24"/>
          <w:lang w:val="zh-CN"/>
        </w:rPr>
        <w:t>……</w:t>
      </w:r>
    </w:p>
    <w:p w14:paraId="21D16684">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日期：  年  月   日</w:t>
      </w:r>
    </w:p>
    <w:p w14:paraId="3AA8FF4F">
      <w:pPr>
        <w:kinsoku/>
        <w:wordWrap/>
        <w:overflowPunct/>
        <w:topLinePunct w:val="0"/>
        <w:bidi w:val="0"/>
        <w:outlineLvl w:val="9"/>
        <w:rPr>
          <w:rFonts w:ascii="宋体" w:hAnsi="宋体" w:cs="宋体"/>
          <w:b/>
          <w:bCs/>
          <w:sz w:val="32"/>
          <w:szCs w:val="32"/>
          <w:lang w:val="zh-CN"/>
        </w:rPr>
      </w:pPr>
      <w:r>
        <w:rPr>
          <w:rFonts w:hint="eastAsia" w:ascii="宋体" w:hAnsi="宋体" w:cs="宋体"/>
          <w:b/>
          <w:bCs/>
          <w:sz w:val="32"/>
          <w:szCs w:val="32"/>
          <w:lang w:val="zh-CN"/>
        </w:rPr>
        <w:br w:type="page"/>
      </w:r>
    </w:p>
    <w:p w14:paraId="61C020D7">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0A354BF">
      <w:pPr>
        <w:pStyle w:val="81"/>
        <w:kinsoku/>
        <w:wordWrap/>
        <w:overflowPunct/>
        <w:topLinePunct w:val="0"/>
        <w:bidi w:val="0"/>
        <w:spacing w:line="360" w:lineRule="auto"/>
        <w:outlineLvl w:val="9"/>
        <w:rPr>
          <w:rFonts w:hAnsi="宋体" w:cs="宋体"/>
          <w:bCs/>
          <w:sz w:val="24"/>
        </w:rPr>
      </w:pPr>
      <w:r>
        <w:rPr>
          <w:rFonts w:hint="eastAsia" w:hAnsi="宋体" w:cs="宋体"/>
          <w:bCs/>
          <w:sz w:val="24"/>
        </w:rPr>
        <w:t>身份证件扫描件：</w:t>
      </w:r>
    </w:p>
    <w:tbl>
      <w:tblPr>
        <w:tblStyle w:val="2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96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B6B78FD">
            <w:pPr>
              <w:pStyle w:val="81"/>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sz w:val="24"/>
              </w:rPr>
            </w:pPr>
            <w:r>
              <w:rPr>
                <w:rFonts w:hint="eastAsia" w:hAnsi="宋体" w:cs="宋体"/>
                <w:bCs/>
                <w:sz w:val="24"/>
              </w:rPr>
              <w:t>正面：                                 反面：</w:t>
            </w:r>
          </w:p>
          <w:p w14:paraId="435CD8FD">
            <w:pPr>
              <w:pStyle w:val="81"/>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sz w:val="24"/>
              </w:rPr>
            </w:pPr>
          </w:p>
        </w:tc>
      </w:tr>
    </w:tbl>
    <w:p w14:paraId="6C8F7CA9">
      <w:pPr>
        <w:kinsoku/>
        <w:wordWrap/>
        <w:overflowPunct/>
        <w:topLinePunct w:val="0"/>
        <w:bidi w:val="0"/>
        <w:snapToGrid w:val="0"/>
        <w:spacing w:line="360" w:lineRule="auto"/>
        <w:ind w:firstLine="576"/>
        <w:jc w:val="center"/>
        <w:outlineLvl w:val="9"/>
        <w:rPr>
          <w:rFonts w:ascii="宋体" w:hAnsi="宋体" w:cs="宋体"/>
          <w:kern w:val="0"/>
          <w:sz w:val="24"/>
          <w:lang w:val="zh-CN"/>
        </w:rPr>
      </w:pPr>
      <w:r>
        <w:rPr>
          <w:rFonts w:hint="eastAsia" w:ascii="宋体" w:hAnsi="宋体" w:cs="宋体"/>
          <w:kern w:val="0"/>
          <w:sz w:val="24"/>
          <w:lang w:val="zh-CN"/>
        </w:rPr>
        <w:t xml:space="preserve">                 </w:t>
      </w:r>
    </w:p>
    <w:p w14:paraId="649235FC">
      <w:pPr>
        <w:kinsoku/>
        <w:wordWrap/>
        <w:overflowPunct/>
        <w:topLinePunct w:val="0"/>
        <w:bidi w:val="0"/>
        <w:snapToGrid w:val="0"/>
        <w:spacing w:line="360" w:lineRule="auto"/>
        <w:ind w:firstLine="576"/>
        <w:jc w:val="center"/>
        <w:outlineLvl w:val="9"/>
        <w:rPr>
          <w:rFonts w:ascii="宋体" w:hAnsi="宋体" w:cs="宋体"/>
          <w:kern w:val="0"/>
          <w:sz w:val="24"/>
          <w:lang w:val="zh-CN"/>
        </w:rPr>
      </w:pPr>
      <w:r>
        <w:rPr>
          <w:rFonts w:hint="eastAsia" w:ascii="宋体" w:hAnsi="宋体" w:cs="宋体"/>
          <w:kern w:val="0"/>
          <w:sz w:val="24"/>
          <w:lang w:val="zh-CN"/>
        </w:rPr>
        <w:t xml:space="preserve">                  供应商名称(电子签名)：                              </w:t>
      </w:r>
    </w:p>
    <w:p w14:paraId="34A97CAC">
      <w:pPr>
        <w:kinsoku/>
        <w:wordWrap/>
        <w:overflowPunct/>
        <w:topLinePunct w:val="0"/>
        <w:bidi w:val="0"/>
        <w:spacing w:line="360" w:lineRule="auto"/>
        <w:jc w:val="center"/>
        <w:outlineLvl w:val="9"/>
        <w:rPr>
          <w:rFonts w:ascii="宋体" w:hAnsi="宋体" w:cs="宋体"/>
          <w:kern w:val="0"/>
          <w:sz w:val="24"/>
          <w:lang w:val="zh-CN"/>
        </w:rPr>
      </w:pPr>
      <w:r>
        <w:rPr>
          <w:rFonts w:hint="eastAsia" w:ascii="宋体" w:hAnsi="宋体" w:cs="宋体"/>
          <w:kern w:val="0"/>
          <w:sz w:val="24"/>
          <w:lang w:val="zh-CN"/>
        </w:rPr>
        <w:t xml:space="preserve">                   日期：  年  月  日</w:t>
      </w:r>
    </w:p>
    <w:p w14:paraId="0A8C0E3B">
      <w:pPr>
        <w:kinsoku/>
        <w:wordWrap/>
        <w:overflowPunct/>
        <w:topLinePunct w:val="0"/>
        <w:bidi w:val="0"/>
        <w:jc w:val="center"/>
        <w:outlineLvl w:val="9"/>
        <w:rPr>
          <w:rFonts w:ascii="宋体" w:hAnsi="宋体" w:cs="宋体"/>
          <w:b/>
          <w:kern w:val="0"/>
          <w:sz w:val="32"/>
          <w:szCs w:val="32"/>
        </w:rPr>
      </w:pPr>
    </w:p>
    <w:p w14:paraId="799F164C">
      <w:pPr>
        <w:kinsoku/>
        <w:wordWrap/>
        <w:overflowPunct/>
        <w:topLinePunct w:val="0"/>
        <w:bidi w:val="0"/>
        <w:jc w:val="center"/>
        <w:outlineLvl w:val="9"/>
        <w:rPr>
          <w:rFonts w:ascii="宋体" w:hAnsi="宋体" w:cs="宋体"/>
          <w:b/>
          <w:kern w:val="0"/>
          <w:sz w:val="32"/>
          <w:szCs w:val="32"/>
        </w:rPr>
      </w:pPr>
    </w:p>
    <w:p w14:paraId="6A9179C3">
      <w:pPr>
        <w:kinsoku/>
        <w:wordWrap/>
        <w:overflowPunct/>
        <w:topLinePunct w:val="0"/>
        <w:bidi w:val="0"/>
        <w:jc w:val="center"/>
        <w:outlineLvl w:val="9"/>
        <w:rPr>
          <w:rFonts w:ascii="宋体" w:hAnsi="宋体" w:cs="宋体"/>
          <w:b/>
          <w:kern w:val="0"/>
          <w:sz w:val="32"/>
          <w:szCs w:val="32"/>
        </w:rPr>
      </w:pPr>
    </w:p>
    <w:p w14:paraId="0CBED7C1">
      <w:pPr>
        <w:kinsoku/>
        <w:wordWrap/>
        <w:overflowPunct/>
        <w:topLinePunct w:val="0"/>
        <w:bidi w:val="0"/>
        <w:jc w:val="center"/>
        <w:outlineLvl w:val="9"/>
        <w:rPr>
          <w:rFonts w:ascii="宋体" w:hAnsi="宋体" w:cs="宋体"/>
          <w:b/>
          <w:kern w:val="0"/>
          <w:sz w:val="32"/>
          <w:szCs w:val="32"/>
        </w:rPr>
      </w:pPr>
    </w:p>
    <w:p w14:paraId="6D340CBF">
      <w:pPr>
        <w:kinsoku/>
        <w:wordWrap/>
        <w:overflowPunct/>
        <w:topLinePunct w:val="0"/>
        <w:bidi w:val="0"/>
        <w:jc w:val="center"/>
        <w:outlineLvl w:val="9"/>
        <w:rPr>
          <w:rFonts w:ascii="宋体" w:hAnsi="宋体" w:cs="宋体"/>
          <w:b/>
          <w:kern w:val="0"/>
          <w:sz w:val="32"/>
          <w:szCs w:val="32"/>
        </w:rPr>
      </w:pPr>
    </w:p>
    <w:p w14:paraId="27607416">
      <w:pPr>
        <w:kinsoku/>
        <w:wordWrap/>
        <w:overflowPunct/>
        <w:topLinePunct w:val="0"/>
        <w:bidi w:val="0"/>
        <w:jc w:val="center"/>
        <w:outlineLvl w:val="9"/>
        <w:rPr>
          <w:rFonts w:ascii="宋体" w:hAnsi="宋体" w:cs="宋体"/>
          <w:b/>
          <w:kern w:val="0"/>
          <w:sz w:val="32"/>
          <w:szCs w:val="32"/>
        </w:rPr>
      </w:pPr>
    </w:p>
    <w:p w14:paraId="3FE3A43C">
      <w:pPr>
        <w:kinsoku/>
        <w:wordWrap/>
        <w:overflowPunct/>
        <w:topLinePunct w:val="0"/>
        <w:bidi w:val="0"/>
        <w:jc w:val="center"/>
        <w:outlineLvl w:val="9"/>
        <w:rPr>
          <w:rFonts w:ascii="宋体" w:hAnsi="宋体" w:cs="宋体"/>
          <w:b/>
          <w:kern w:val="0"/>
          <w:sz w:val="32"/>
          <w:szCs w:val="32"/>
        </w:rPr>
      </w:pPr>
    </w:p>
    <w:p w14:paraId="27EB45D4">
      <w:pPr>
        <w:kinsoku/>
        <w:wordWrap/>
        <w:overflowPunct/>
        <w:topLinePunct w:val="0"/>
        <w:bidi w:val="0"/>
        <w:jc w:val="center"/>
        <w:outlineLvl w:val="9"/>
        <w:rPr>
          <w:rFonts w:ascii="宋体" w:hAnsi="宋体" w:cs="宋体"/>
          <w:b/>
          <w:kern w:val="0"/>
          <w:sz w:val="32"/>
          <w:szCs w:val="32"/>
        </w:rPr>
      </w:pPr>
    </w:p>
    <w:p w14:paraId="41E61CAD">
      <w:pPr>
        <w:kinsoku/>
        <w:wordWrap/>
        <w:overflowPunct/>
        <w:topLinePunct w:val="0"/>
        <w:bidi w:val="0"/>
        <w:jc w:val="center"/>
        <w:outlineLvl w:val="9"/>
        <w:rPr>
          <w:rFonts w:ascii="宋体" w:hAnsi="宋体" w:cs="宋体"/>
          <w:b/>
          <w:kern w:val="0"/>
          <w:sz w:val="32"/>
          <w:szCs w:val="32"/>
        </w:rPr>
      </w:pPr>
    </w:p>
    <w:p w14:paraId="3E8049FE">
      <w:pPr>
        <w:kinsoku/>
        <w:wordWrap/>
        <w:overflowPunct/>
        <w:topLinePunct w:val="0"/>
        <w:bidi w:val="0"/>
        <w:jc w:val="center"/>
        <w:outlineLvl w:val="9"/>
        <w:rPr>
          <w:rFonts w:ascii="宋体" w:hAnsi="宋体" w:cs="宋体"/>
          <w:b/>
          <w:kern w:val="0"/>
          <w:sz w:val="32"/>
          <w:szCs w:val="32"/>
        </w:rPr>
      </w:pPr>
    </w:p>
    <w:p w14:paraId="3E026FC5">
      <w:pPr>
        <w:kinsoku/>
        <w:wordWrap/>
        <w:overflowPunct/>
        <w:topLinePunct w:val="0"/>
        <w:bidi w:val="0"/>
        <w:snapToGrid w:val="0"/>
        <w:spacing w:line="360" w:lineRule="auto"/>
        <w:ind w:right="480"/>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610200E1">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三、分包意向协议</w:t>
      </w:r>
    </w:p>
    <w:p w14:paraId="10E6223C">
      <w:pPr>
        <w:widowControl/>
        <w:kinsoku/>
        <w:wordWrap/>
        <w:overflowPunct/>
        <w:topLinePunct w:val="0"/>
        <w:bidi w:val="0"/>
        <w:spacing w:line="360" w:lineRule="auto"/>
        <w:ind w:firstLine="120" w:firstLineChars="50"/>
        <w:jc w:val="left"/>
        <w:outlineLvl w:val="9"/>
        <w:rPr>
          <w:rFonts w:ascii="宋体" w:hAnsi="宋体" w:cs="宋体"/>
          <w:sz w:val="24"/>
        </w:rPr>
      </w:pPr>
      <w:bookmarkStart w:id="559" w:name="_Hlk101169080"/>
      <w:r>
        <w:rPr>
          <w:rFonts w:hint="eastAsia" w:ascii="宋体" w:hAnsi="宋体" w:cs="宋体"/>
          <w:sz w:val="24"/>
        </w:rPr>
        <w:t>[</w:t>
      </w:r>
      <w:r>
        <w:rPr>
          <w:rFonts w:hint="eastAsia" w:ascii="宋体" w:hAnsi="宋体" w:cs="宋体"/>
          <w:b/>
          <w:sz w:val="24"/>
        </w:rPr>
        <w:t>成交后以分包方式履行合同的，提供分包意向协议(附件6)；采购人不同意分包或者供应商成交后不以分包方式履行合同的，则不需要提供。</w:t>
      </w:r>
      <w:r>
        <w:rPr>
          <w:rFonts w:hint="eastAsia" w:ascii="宋体" w:hAnsi="宋体" w:cs="宋体"/>
          <w:sz w:val="24"/>
        </w:rPr>
        <w:t>]</w:t>
      </w:r>
    </w:p>
    <w:bookmarkEnd w:id="559"/>
    <w:p w14:paraId="5D3C47AF">
      <w:pPr>
        <w:kinsoku/>
        <w:wordWrap/>
        <w:overflowPunct/>
        <w:topLinePunct w:val="0"/>
        <w:bidi w:val="0"/>
        <w:snapToGrid w:val="0"/>
        <w:spacing w:line="360" w:lineRule="auto"/>
        <w:outlineLvl w:val="9"/>
        <w:rPr>
          <w:rFonts w:ascii="宋体" w:hAnsi="宋体" w:cs="宋体"/>
          <w:kern w:val="0"/>
          <w:sz w:val="24"/>
        </w:rPr>
      </w:pPr>
    </w:p>
    <w:p w14:paraId="2F98D9E3">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四、符合性审查资料</w:t>
      </w:r>
    </w:p>
    <w:p w14:paraId="0D34732A">
      <w:pPr>
        <w:kinsoku/>
        <w:wordWrap/>
        <w:overflowPunct/>
        <w:topLinePunct w:val="0"/>
        <w:bidi w:val="0"/>
        <w:jc w:val="center"/>
        <w:outlineLvl w:val="9"/>
        <w:rPr>
          <w:rFonts w:ascii="宋体" w:hAnsi="宋体" w:cs="宋体"/>
          <w:b/>
          <w:kern w:val="0"/>
          <w:sz w:val="32"/>
          <w:szCs w:val="32"/>
        </w:rPr>
      </w:pPr>
    </w:p>
    <w:tbl>
      <w:tblPr>
        <w:tblStyle w:val="2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FB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CBF146">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166E420D">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6735308">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74036E2C">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响应文件中的</w:t>
            </w:r>
          </w:p>
          <w:p w14:paraId="6DAA1697">
            <w:pPr>
              <w:keepNext w:val="0"/>
              <w:keepLines w:val="0"/>
              <w:suppressLineNumbers w:val="0"/>
              <w:snapToGrid w:val="0"/>
              <w:spacing w:before="0" w:beforeAutospacing="0" w:after="0" w:afterAutospacing="0" w:line="240" w:lineRule="atLeast"/>
              <w:ind w:left="0" w:right="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0D8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7F2961">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1EEA4003">
            <w:pPr>
              <w:keepNext w:val="0"/>
              <w:keepLines w:val="0"/>
              <w:suppressLineNumbers w:val="0"/>
              <w:spacing w:before="0" w:beforeAutospacing="0" w:after="0" w:afterAutospacing="0" w:line="360" w:lineRule="auto"/>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响应文件按照采购文件要求签署、盖章。</w:t>
            </w:r>
          </w:p>
        </w:tc>
        <w:tc>
          <w:tcPr>
            <w:tcW w:w="2551" w:type="dxa"/>
            <w:vAlign w:val="center"/>
          </w:tcPr>
          <w:p w14:paraId="74D56334">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需要使用电子签名或者签字盖章的响应文件的组成部分</w:t>
            </w:r>
          </w:p>
        </w:tc>
        <w:tc>
          <w:tcPr>
            <w:tcW w:w="1418" w:type="dxa"/>
            <w:vAlign w:val="center"/>
          </w:tcPr>
          <w:p w14:paraId="5C0FF63D">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见响应文件</w:t>
            </w:r>
          </w:p>
          <w:p w14:paraId="0586315A">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12E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2D745">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54F2493F">
            <w:pPr>
              <w:keepNext w:val="0"/>
              <w:keepLines w:val="0"/>
              <w:suppressLineNumbers w:val="0"/>
              <w:spacing w:before="0" w:beforeAutospacing="0" w:after="0" w:afterAutospacing="0" w:line="360" w:lineRule="auto"/>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响应文件中承诺的响应文件有效期不少于采购文件中载明的响应文件有效期。</w:t>
            </w:r>
          </w:p>
        </w:tc>
        <w:tc>
          <w:tcPr>
            <w:tcW w:w="2551" w:type="dxa"/>
            <w:vAlign w:val="center"/>
          </w:tcPr>
          <w:p w14:paraId="2740658D">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响应函</w:t>
            </w:r>
          </w:p>
        </w:tc>
        <w:tc>
          <w:tcPr>
            <w:tcW w:w="1418" w:type="dxa"/>
            <w:vAlign w:val="center"/>
          </w:tcPr>
          <w:p w14:paraId="16399FEE">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6B1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66852B">
            <w:pPr>
              <w:keepNext w:val="0"/>
              <w:keepLines w:val="0"/>
              <w:suppressLineNumbers w:val="0"/>
              <w:spacing w:before="0" w:beforeAutospacing="0" w:after="0" w:afterAutospacing="0"/>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4</w:t>
            </w:r>
          </w:p>
        </w:tc>
        <w:tc>
          <w:tcPr>
            <w:tcW w:w="4991" w:type="dxa"/>
            <w:vAlign w:val="center"/>
          </w:tcPr>
          <w:p w14:paraId="57C0E8E0">
            <w:pPr>
              <w:keepNext w:val="0"/>
              <w:keepLines w:val="0"/>
              <w:suppressLineNumbers w:val="0"/>
              <w:spacing w:before="0" w:beforeAutospacing="0" w:after="0" w:afterAutospacing="0" w:line="360" w:lineRule="auto"/>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p>
        </w:tc>
        <w:tc>
          <w:tcPr>
            <w:tcW w:w="2551" w:type="dxa"/>
            <w:vAlign w:val="center"/>
          </w:tcPr>
          <w:p w14:paraId="344D3A0E">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14:paraId="3AD9896B">
            <w:pPr>
              <w:keepNext w:val="0"/>
              <w:keepLines w:val="0"/>
              <w:suppressLineNumbers w:val="0"/>
              <w:spacing w:before="0" w:beforeAutospacing="0" w:after="0" w:afterAutospacing="0"/>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2DAE1C8D">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14:paraId="15D1B3FF">
      <w:pPr>
        <w:kinsoku/>
        <w:wordWrap/>
        <w:overflowPunct/>
        <w:topLinePunct w:val="0"/>
        <w:bidi w:val="0"/>
        <w:snapToGrid w:val="0"/>
        <w:jc w:val="center"/>
        <w:outlineLvl w:val="9"/>
        <w:rPr>
          <w:rFonts w:ascii="宋体" w:hAnsi="宋体" w:cs="宋体"/>
          <w:b/>
          <w:bCs/>
          <w:sz w:val="32"/>
          <w:szCs w:val="32"/>
        </w:rPr>
      </w:pPr>
    </w:p>
    <w:p w14:paraId="3BE7F80D">
      <w:pPr>
        <w:pStyle w:val="39"/>
        <w:rPr>
          <w:rFonts w:ascii="宋体" w:hAnsi="宋体" w:cs="宋体"/>
          <w:b/>
          <w:bCs/>
          <w:sz w:val="32"/>
          <w:szCs w:val="32"/>
        </w:rPr>
      </w:pPr>
    </w:p>
    <w:p w14:paraId="1573BA37">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五、评审标准相应的商务技术资料</w:t>
      </w:r>
    </w:p>
    <w:p w14:paraId="31FC29BD">
      <w:pPr>
        <w:kinsoku/>
        <w:wordWrap/>
        <w:overflowPunct/>
        <w:topLinePunct w:val="0"/>
        <w:bidi w:val="0"/>
        <w:snapToGrid w:val="0"/>
        <w:spacing w:line="360" w:lineRule="auto"/>
        <w:jc w:val="left"/>
        <w:outlineLvl w:val="9"/>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7F866252">
      <w:pPr>
        <w:kinsoku/>
        <w:wordWrap/>
        <w:overflowPunct/>
        <w:topLinePunct w:val="0"/>
        <w:bidi w:val="0"/>
        <w:jc w:val="center"/>
        <w:outlineLvl w:val="9"/>
        <w:rPr>
          <w:rFonts w:ascii="宋体" w:hAnsi="宋体" w:cs="宋体"/>
          <w:b/>
          <w:kern w:val="0"/>
          <w:sz w:val="32"/>
          <w:szCs w:val="32"/>
        </w:rPr>
      </w:pPr>
    </w:p>
    <w:p w14:paraId="004A120A">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六、商务技术偏离表</w:t>
      </w:r>
    </w:p>
    <w:tbl>
      <w:tblPr>
        <w:tblStyle w:val="3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99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1C297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szCs w:val="20"/>
              </w:rPr>
            </w:pPr>
            <w:r>
              <w:rPr>
                <w:rFonts w:hint="eastAsia" w:ascii="宋体" w:hAnsi="宋体" w:cs="宋体"/>
                <w:b/>
                <w:bCs/>
                <w:sz w:val="24"/>
                <w:szCs w:val="20"/>
              </w:rPr>
              <w:t>序号</w:t>
            </w:r>
          </w:p>
        </w:tc>
        <w:tc>
          <w:tcPr>
            <w:tcW w:w="3683" w:type="dxa"/>
          </w:tcPr>
          <w:p w14:paraId="15E9365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szCs w:val="20"/>
              </w:rPr>
            </w:pPr>
            <w:r>
              <w:rPr>
                <w:rFonts w:hint="eastAsia" w:ascii="宋体" w:hAnsi="宋体" w:cs="宋体"/>
                <w:b/>
                <w:bCs/>
                <w:sz w:val="24"/>
                <w:szCs w:val="20"/>
              </w:rPr>
              <w:t>采购文件章节及具体内容</w:t>
            </w:r>
          </w:p>
        </w:tc>
        <w:tc>
          <w:tcPr>
            <w:tcW w:w="3546" w:type="dxa"/>
          </w:tcPr>
          <w:p w14:paraId="79194F77">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szCs w:val="20"/>
              </w:rPr>
            </w:pPr>
            <w:r>
              <w:rPr>
                <w:rFonts w:hint="eastAsia" w:ascii="宋体" w:hAnsi="宋体" w:cs="宋体"/>
                <w:b/>
                <w:bCs/>
                <w:sz w:val="24"/>
                <w:szCs w:val="20"/>
              </w:rPr>
              <w:t>响应文件章节及具体内容</w:t>
            </w:r>
          </w:p>
        </w:tc>
        <w:tc>
          <w:tcPr>
            <w:tcW w:w="1276" w:type="dxa"/>
          </w:tcPr>
          <w:p w14:paraId="380D0048">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szCs w:val="20"/>
              </w:rPr>
            </w:pPr>
            <w:r>
              <w:rPr>
                <w:rFonts w:hint="eastAsia" w:ascii="宋体" w:hAnsi="宋体" w:cs="宋体"/>
                <w:b/>
                <w:bCs/>
                <w:sz w:val="24"/>
                <w:szCs w:val="20"/>
              </w:rPr>
              <w:t>偏离说明</w:t>
            </w:r>
          </w:p>
        </w:tc>
      </w:tr>
      <w:tr w14:paraId="64C5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C46ADA9">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kern w:val="0"/>
                <w:sz w:val="24"/>
                <w:szCs w:val="20"/>
              </w:rPr>
            </w:pPr>
            <w:r>
              <w:rPr>
                <w:rFonts w:hint="eastAsia" w:ascii="宋体" w:hAnsi="宋体" w:cs="宋体"/>
                <w:kern w:val="0"/>
                <w:sz w:val="24"/>
                <w:szCs w:val="20"/>
              </w:rPr>
              <w:t>1</w:t>
            </w:r>
          </w:p>
        </w:tc>
        <w:tc>
          <w:tcPr>
            <w:tcW w:w="3683" w:type="dxa"/>
          </w:tcPr>
          <w:p w14:paraId="710E299B">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3546" w:type="dxa"/>
          </w:tcPr>
          <w:p w14:paraId="4AF506B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1276" w:type="dxa"/>
          </w:tcPr>
          <w:p w14:paraId="1C2CA93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r>
      <w:tr w14:paraId="6AE0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4E8D30">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kern w:val="0"/>
                <w:sz w:val="24"/>
                <w:szCs w:val="20"/>
              </w:rPr>
            </w:pPr>
            <w:r>
              <w:rPr>
                <w:rFonts w:hint="eastAsia" w:ascii="宋体" w:hAnsi="宋体" w:cs="宋体"/>
                <w:kern w:val="0"/>
                <w:sz w:val="24"/>
                <w:szCs w:val="20"/>
              </w:rPr>
              <w:t>2</w:t>
            </w:r>
          </w:p>
        </w:tc>
        <w:tc>
          <w:tcPr>
            <w:tcW w:w="3683" w:type="dxa"/>
          </w:tcPr>
          <w:p w14:paraId="7A9CB6B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3546" w:type="dxa"/>
          </w:tcPr>
          <w:p w14:paraId="4876BFC6">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1276" w:type="dxa"/>
          </w:tcPr>
          <w:p w14:paraId="7C7A7FFC">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r>
      <w:tr w14:paraId="1AC7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CCD35A">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kern w:val="0"/>
                <w:sz w:val="24"/>
                <w:szCs w:val="20"/>
              </w:rPr>
            </w:pPr>
            <w:r>
              <w:rPr>
                <w:rFonts w:hint="eastAsia" w:ascii="宋体" w:hAnsi="宋体" w:cs="宋体"/>
                <w:kern w:val="0"/>
                <w:sz w:val="24"/>
                <w:szCs w:val="20"/>
              </w:rPr>
              <w:t>……</w:t>
            </w:r>
          </w:p>
        </w:tc>
        <w:tc>
          <w:tcPr>
            <w:tcW w:w="3683" w:type="dxa"/>
          </w:tcPr>
          <w:p w14:paraId="49858303">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3546" w:type="dxa"/>
          </w:tcPr>
          <w:p w14:paraId="5AC078DF">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c>
          <w:tcPr>
            <w:tcW w:w="1276" w:type="dxa"/>
          </w:tcPr>
          <w:p w14:paraId="1E14FA25">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rPr>
            </w:pPr>
          </w:p>
        </w:tc>
      </w:tr>
    </w:tbl>
    <w:p w14:paraId="7B0654AA">
      <w:pPr>
        <w:kinsoku/>
        <w:wordWrap/>
        <w:overflowPunct/>
        <w:topLinePunct w:val="0"/>
        <w:bidi w:val="0"/>
        <w:jc w:val="left"/>
        <w:outlineLvl w:val="9"/>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2EE93C76">
      <w:pPr>
        <w:kinsoku/>
        <w:wordWrap/>
        <w:overflowPunct/>
        <w:topLinePunct w:val="0"/>
        <w:bidi w:val="0"/>
        <w:jc w:val="center"/>
        <w:outlineLvl w:val="9"/>
        <w:rPr>
          <w:rFonts w:ascii="宋体" w:hAnsi="宋体" w:cs="宋体"/>
          <w:b/>
          <w:kern w:val="0"/>
          <w:sz w:val="32"/>
          <w:szCs w:val="32"/>
        </w:rPr>
      </w:pPr>
    </w:p>
    <w:p w14:paraId="5E1841A0">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14:paraId="5DB74FA6">
      <w:pPr>
        <w:kinsoku/>
        <w:wordWrap/>
        <w:overflowPunct/>
        <w:topLinePunct w:val="0"/>
        <w:bidi w:val="0"/>
        <w:ind w:firstLine="1911" w:firstLineChars="595"/>
        <w:outlineLvl w:val="9"/>
        <w:rPr>
          <w:rFonts w:ascii="宋体" w:hAnsi="宋体" w:cs="宋体"/>
          <w:b/>
          <w:bCs/>
          <w:sz w:val="32"/>
          <w:szCs w:val="32"/>
        </w:rPr>
        <w:sectPr>
          <w:footerReference r:id="rId13" w:type="first"/>
          <w:footerReference r:id="rId12" w:type="default"/>
          <w:pgSz w:w="11906" w:h="16838"/>
          <w:pgMar w:top="1440" w:right="1080" w:bottom="1440" w:left="1080" w:header="851" w:footer="992" w:gutter="0"/>
          <w:pgNumType w:fmt="decimal"/>
          <w:cols w:space="720" w:num="1"/>
          <w:titlePg/>
          <w:docGrid w:linePitch="312" w:charSpace="0"/>
        </w:sectPr>
      </w:pPr>
    </w:p>
    <w:p w14:paraId="76CE0BAF">
      <w:pPr>
        <w:kinsoku/>
        <w:wordWrap/>
        <w:overflowPunct/>
        <w:topLinePunct w:val="0"/>
        <w:bidi w:val="0"/>
        <w:snapToGrid w:val="0"/>
        <w:jc w:val="center"/>
        <w:outlineLvl w:val="9"/>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2F34071">
      <w:pPr>
        <w:kinsoku/>
        <w:wordWrap/>
        <w:overflowPunct/>
        <w:topLinePunct w:val="0"/>
        <w:bidi w:val="0"/>
        <w:snapToGrid w:val="0"/>
        <w:spacing w:line="360" w:lineRule="auto"/>
        <w:outlineLvl w:val="9"/>
        <w:rPr>
          <w:rFonts w:ascii="宋体" w:hAnsi="宋体" w:cs="宋体"/>
          <w:sz w:val="24"/>
        </w:rPr>
      </w:pPr>
    </w:p>
    <w:p w14:paraId="43ADB326">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50BC5B0">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8EBFFB5">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458265F9">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DC42256">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E3BF60B">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2D76AA1">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5E27F549">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201BFCD">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B56B5BE">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14:paraId="0D6FF320">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14:paraId="54BE2232">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14:paraId="3FB16D34">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46185FB3">
      <w:pPr>
        <w:kinsoku/>
        <w:wordWrap/>
        <w:overflowPunct/>
        <w:topLinePunct w:val="0"/>
        <w:bidi w:val="0"/>
        <w:spacing w:line="360" w:lineRule="auto"/>
        <w:ind w:left="4620" w:leftChars="2200"/>
        <w:outlineLvl w:val="9"/>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8211FF3">
      <w:pPr>
        <w:kinsoku/>
        <w:wordWrap/>
        <w:overflowPunct/>
        <w:topLinePunct w:val="0"/>
        <w:bidi w:val="0"/>
        <w:spacing w:line="360" w:lineRule="auto"/>
        <w:jc w:val="center"/>
        <w:outlineLvl w:val="9"/>
        <w:rPr>
          <w:rFonts w:ascii="宋体" w:hAnsi="宋体" w:cs="宋体"/>
          <w:b/>
          <w:bCs/>
          <w:sz w:val="24"/>
        </w:rPr>
      </w:pPr>
    </w:p>
    <w:p w14:paraId="3B8D55DA">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14:paraId="42124D65">
      <w:pPr>
        <w:kinsoku/>
        <w:wordWrap/>
        <w:overflowPunct/>
        <w:topLinePunct w:val="0"/>
        <w:bidi w:val="0"/>
        <w:spacing w:line="360" w:lineRule="auto"/>
        <w:jc w:val="center"/>
        <w:outlineLvl w:val="9"/>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1440D7D7">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报价文件部分</w:t>
      </w:r>
    </w:p>
    <w:p w14:paraId="13CB22D7">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2F6C0978">
      <w:pPr>
        <w:kinsoku/>
        <w:wordWrap/>
        <w:overflowPunct/>
        <w:topLinePunct w:val="0"/>
        <w:bidi w:val="0"/>
        <w:spacing w:line="360" w:lineRule="auto"/>
        <w:jc w:val="center"/>
        <w:outlineLvl w:val="9"/>
        <w:rPr>
          <w:rFonts w:ascii="宋体" w:hAnsi="宋体" w:cs="宋体"/>
          <w:b/>
          <w:kern w:val="0"/>
          <w:sz w:val="36"/>
          <w:szCs w:val="36"/>
        </w:rPr>
      </w:pPr>
    </w:p>
    <w:p w14:paraId="382C024F">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（1）报价单…………………………………………………………………………（页码）</w:t>
      </w:r>
    </w:p>
    <w:p w14:paraId="503C3832">
      <w:pPr>
        <w:kinsoku/>
        <w:wordWrap/>
        <w:overflowPunct/>
        <w:topLinePunct w:val="0"/>
        <w:bidi w:val="0"/>
        <w:snapToGrid w:val="0"/>
        <w:spacing w:line="360" w:lineRule="auto"/>
        <w:outlineLvl w:val="9"/>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）中小企业声明函………………………………………………………………（页码）</w:t>
      </w:r>
    </w:p>
    <w:p w14:paraId="73A88732">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654EA8DA">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5BC6618E">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4E3717CC">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2938F94A">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3212A9A9">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62E12177">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497EF2E7">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09597CE0">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01F7F1B7">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602D3FDF">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684A601E">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159F2299">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20E0B8D7">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47FA5C00">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209D1470">
      <w:pPr>
        <w:pStyle w:val="8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440" w:right="1080" w:bottom="1440" w:left="1080" w:header="851" w:footer="992" w:gutter="0"/>
          <w:pgNumType w:fmt="decimal"/>
          <w:cols w:space="720" w:num="1"/>
          <w:titlePg/>
          <w:docGrid w:linePitch="312" w:charSpace="0"/>
        </w:sectPr>
      </w:pPr>
    </w:p>
    <w:p w14:paraId="2F9415BD">
      <w:pPr>
        <w:pStyle w:val="8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pPr>
      <w:bookmarkStart w:id="560" w:name="_Toc1827"/>
      <w:r>
        <w:rPr>
          <w:rFonts w:hint="eastAsia" w:ascii="宋体" w:hAnsi="宋体" w:eastAsia="宋体" w:cs="宋体"/>
          <w:kern w:val="2"/>
          <w:sz w:val="32"/>
          <w:szCs w:val="32"/>
        </w:rPr>
        <w:t>一、报价单（初次报价）</w:t>
      </w:r>
      <w:bookmarkEnd w:id="560"/>
    </w:p>
    <w:p w14:paraId="789D3238">
      <w:pPr>
        <w:tabs>
          <w:tab w:val="left" w:pos="1494"/>
        </w:tabs>
        <w:spacing w:line="400" w:lineRule="exact"/>
        <w:rPr>
          <w:rFonts w:hint="eastAsia" w:eastAsia="宋体"/>
          <w:color w:val="auto"/>
          <w:szCs w:val="22"/>
          <w:highlight w:val="none"/>
        </w:rPr>
      </w:pPr>
      <w:r>
        <w:rPr>
          <w:rFonts w:hint="eastAsia" w:eastAsia="宋体"/>
          <w:color w:val="auto"/>
          <w:szCs w:val="22"/>
          <w:highlight w:val="none"/>
        </w:rPr>
        <w:t>项目编号：</w:t>
      </w:r>
      <w:r>
        <w:rPr>
          <w:rFonts w:hint="eastAsia"/>
          <w:color w:val="auto"/>
          <w:szCs w:val="22"/>
          <w:highlight w:val="none"/>
          <w:lang w:val="en-US" w:eastAsia="zh-CN"/>
        </w:rPr>
        <w:t xml:space="preserve">                 </w:t>
      </w:r>
      <w:r>
        <w:rPr>
          <w:rFonts w:hint="eastAsia" w:eastAsia="宋体"/>
          <w:color w:val="auto"/>
          <w:szCs w:val="22"/>
          <w:highlight w:val="none"/>
        </w:rPr>
        <w:t>项目名称：</w:t>
      </w:r>
      <w:r>
        <w:rPr>
          <w:rFonts w:hint="eastAsia"/>
          <w:color w:val="auto"/>
          <w:szCs w:val="22"/>
          <w:highlight w:val="none"/>
          <w:lang w:val="en-US" w:eastAsia="zh-CN"/>
        </w:rPr>
        <w:t xml:space="preserve">                                </w:t>
      </w:r>
      <w:r>
        <w:rPr>
          <w:rFonts w:hint="eastAsia" w:eastAsia="宋体"/>
          <w:color w:val="auto"/>
          <w:szCs w:val="22"/>
          <w:highlight w:val="none"/>
        </w:rPr>
        <w:t>单位：人民币元</w:t>
      </w:r>
    </w:p>
    <w:tbl>
      <w:tblPr>
        <w:tblStyle w:val="29"/>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3E7103B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096F04">
            <w:pPr>
              <w:keepNext w:val="0"/>
              <w:keepLines w:val="0"/>
              <w:widowControl/>
              <w:suppressLineNumbers w:val="0"/>
              <w:tabs>
                <w:tab w:val="left" w:pos="1494"/>
              </w:tabs>
              <w:spacing w:before="0" w:beforeAutospacing="0" w:after="0" w:afterAutospacing="0"/>
              <w:ind w:left="0" w:right="0"/>
              <w:jc w:val="center"/>
              <w:textAlignment w:val="center"/>
              <w:rPr>
                <w:rFonts w:hint="default" w:eastAsia="宋体"/>
                <w:color w:val="auto"/>
                <w:kern w:val="2"/>
                <w:szCs w:val="22"/>
                <w:highlight w:val="none"/>
              </w:rPr>
            </w:pPr>
            <w:r>
              <w:rPr>
                <w:rFonts w:hint="eastAsia" w:eastAsia="宋体"/>
                <w:color w:val="auto"/>
                <w:kern w:val="2"/>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68A6DE">
            <w:pPr>
              <w:keepNext w:val="0"/>
              <w:keepLines w:val="0"/>
              <w:widowControl/>
              <w:suppressLineNumbers w:val="0"/>
              <w:tabs>
                <w:tab w:val="left" w:pos="1494"/>
              </w:tabs>
              <w:spacing w:before="0" w:beforeAutospacing="0" w:after="0" w:afterAutospacing="0"/>
              <w:ind w:left="0" w:right="0"/>
              <w:jc w:val="center"/>
              <w:textAlignment w:val="center"/>
              <w:rPr>
                <w:rFonts w:hint="default" w:eastAsia="宋体"/>
                <w:color w:val="auto"/>
                <w:kern w:val="2"/>
                <w:szCs w:val="22"/>
                <w:highlight w:val="none"/>
              </w:rPr>
            </w:pPr>
            <w:r>
              <w:rPr>
                <w:rFonts w:hint="eastAsia" w:eastAsia="宋体"/>
                <w:color w:val="auto"/>
                <w:kern w:val="2"/>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B02D4E">
            <w:pPr>
              <w:keepNext w:val="0"/>
              <w:keepLines w:val="0"/>
              <w:widowControl/>
              <w:suppressLineNumbers w:val="0"/>
              <w:tabs>
                <w:tab w:val="left" w:pos="1494"/>
              </w:tabs>
              <w:spacing w:before="0" w:beforeAutospacing="0" w:after="0" w:afterAutospacing="0"/>
              <w:ind w:left="0" w:right="0"/>
              <w:jc w:val="center"/>
              <w:textAlignment w:val="center"/>
              <w:rPr>
                <w:rFonts w:hint="default" w:eastAsia="宋体"/>
                <w:color w:val="auto"/>
                <w:kern w:val="2"/>
                <w:szCs w:val="22"/>
                <w:highlight w:val="none"/>
              </w:rPr>
            </w:pPr>
            <w:r>
              <w:rPr>
                <w:rFonts w:hint="eastAsia" w:eastAsia="宋体"/>
                <w:color w:val="auto"/>
                <w:kern w:val="2"/>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43FA01">
            <w:pPr>
              <w:keepNext w:val="0"/>
              <w:keepLines w:val="0"/>
              <w:widowControl/>
              <w:suppressLineNumbers w:val="0"/>
              <w:tabs>
                <w:tab w:val="left" w:pos="1494"/>
              </w:tabs>
              <w:spacing w:before="0" w:beforeAutospacing="0" w:after="0" w:afterAutospacing="0"/>
              <w:ind w:left="0" w:right="0"/>
              <w:jc w:val="center"/>
              <w:textAlignment w:val="center"/>
              <w:rPr>
                <w:rFonts w:hint="default" w:eastAsia="宋体"/>
                <w:color w:val="auto"/>
                <w:kern w:val="2"/>
                <w:szCs w:val="22"/>
                <w:highlight w:val="none"/>
              </w:rPr>
            </w:pPr>
            <w:r>
              <w:rPr>
                <w:rFonts w:hint="eastAsia" w:eastAsia="宋体"/>
                <w:color w:val="auto"/>
                <w:kern w:val="2"/>
                <w:szCs w:val="22"/>
                <w:highlight w:val="none"/>
              </w:rPr>
              <w:t>备注</w:t>
            </w:r>
          </w:p>
        </w:tc>
      </w:tr>
      <w:tr w14:paraId="29C57C0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856627">
            <w:pPr>
              <w:keepNext w:val="0"/>
              <w:keepLines w:val="0"/>
              <w:widowControl/>
              <w:suppressLineNumbers w:val="0"/>
              <w:tabs>
                <w:tab w:val="left" w:pos="1494"/>
              </w:tabs>
              <w:spacing w:before="0" w:beforeAutospacing="0" w:after="0" w:afterAutospacing="0"/>
              <w:ind w:left="0" w:right="0"/>
              <w:jc w:val="center"/>
              <w:textAlignment w:val="bottom"/>
              <w:rPr>
                <w:rFonts w:hint="default" w:eastAsia="宋体"/>
                <w:color w:val="auto"/>
                <w:kern w:val="2"/>
                <w:szCs w:val="22"/>
                <w:highlight w:val="none"/>
              </w:rPr>
            </w:pPr>
            <w:r>
              <w:rPr>
                <w:rFonts w:hint="eastAsia"/>
                <w:color w:val="auto"/>
                <w:kern w:val="2"/>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83254C">
            <w:pPr>
              <w:keepNext w:val="0"/>
              <w:keepLines w:val="0"/>
              <w:widowControl/>
              <w:suppressLineNumbers w:val="0"/>
              <w:tabs>
                <w:tab w:val="left" w:pos="1494"/>
              </w:tabs>
              <w:spacing w:before="0" w:beforeAutospacing="0" w:after="0" w:afterAutospacing="0"/>
              <w:ind w:left="0" w:right="0"/>
              <w:jc w:val="center"/>
              <w:textAlignment w:val="bottom"/>
              <w:rPr>
                <w:rFonts w:hint="default" w:eastAsia="宋体"/>
                <w:color w:val="auto"/>
                <w:kern w:val="2"/>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14E1D2">
            <w:pPr>
              <w:keepNext w:val="0"/>
              <w:keepLines w:val="0"/>
              <w:widowControl/>
              <w:suppressLineNumbers w:val="0"/>
              <w:tabs>
                <w:tab w:val="left" w:pos="1494"/>
              </w:tabs>
              <w:spacing w:before="0" w:beforeAutospacing="0" w:after="0" w:afterAutospacing="0"/>
              <w:ind w:left="0" w:right="0"/>
              <w:jc w:val="center"/>
              <w:textAlignment w:val="bottom"/>
              <w:rPr>
                <w:rFonts w:hint="default" w:eastAsia="宋体"/>
                <w:color w:val="auto"/>
                <w:kern w:val="2"/>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13CCF1">
            <w:pPr>
              <w:keepNext w:val="0"/>
              <w:keepLines w:val="0"/>
              <w:widowControl w:val="0"/>
              <w:suppressLineNumbers w:val="0"/>
              <w:tabs>
                <w:tab w:val="left" w:pos="1494"/>
              </w:tabs>
              <w:spacing w:before="0" w:beforeAutospacing="0" w:after="0" w:afterAutospacing="0" w:line="360" w:lineRule="exact"/>
              <w:ind w:left="0" w:right="13" w:rightChars="6"/>
              <w:rPr>
                <w:rFonts w:hint="default" w:eastAsia="宋体"/>
                <w:color w:val="auto"/>
                <w:kern w:val="2"/>
                <w:szCs w:val="22"/>
                <w:highlight w:val="none"/>
              </w:rPr>
            </w:pPr>
          </w:p>
        </w:tc>
      </w:tr>
      <w:tr w14:paraId="6C63C01F">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16ECA5">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eastAsia="宋体"/>
                <w:color w:val="auto"/>
                <w:kern w:val="2"/>
                <w:szCs w:val="22"/>
                <w:highlight w:val="none"/>
              </w:rPr>
            </w:pPr>
            <w:r>
              <w:rPr>
                <w:rFonts w:hint="eastAsia"/>
                <w:color w:val="auto"/>
                <w:kern w:val="2"/>
                <w:szCs w:val="20"/>
                <w:highlight w:val="none"/>
              </w:rPr>
              <w:t>报价大写：</w:t>
            </w:r>
            <w:r>
              <w:rPr>
                <w:rFonts w:hint="eastAsia"/>
                <w:color w:val="auto"/>
                <w:kern w:val="2"/>
                <w:szCs w:val="20"/>
                <w:highlight w:val="none"/>
                <w:u w:val="single"/>
                <w:lang w:val="en-US" w:eastAsia="zh-CN"/>
              </w:rPr>
              <w:t xml:space="preserve">             </w:t>
            </w:r>
            <w:r>
              <w:rPr>
                <w:rFonts w:hint="eastAsia"/>
                <w:color w:val="auto"/>
                <w:kern w:val="2"/>
                <w:szCs w:val="20"/>
                <w:highlight w:val="none"/>
              </w:rPr>
              <w:t>元整（小写：</w:t>
            </w:r>
            <w:r>
              <w:rPr>
                <w:rFonts w:hint="eastAsia"/>
                <w:color w:val="auto"/>
                <w:kern w:val="2"/>
                <w:szCs w:val="20"/>
                <w:highlight w:val="none"/>
                <w:u w:val="single"/>
                <w:lang w:val="en-US" w:eastAsia="zh-CN"/>
              </w:rPr>
              <w:t xml:space="preserve">              </w:t>
            </w:r>
            <w:r>
              <w:rPr>
                <w:rFonts w:hint="eastAsia"/>
                <w:color w:val="auto"/>
                <w:kern w:val="2"/>
                <w:szCs w:val="20"/>
                <w:highlight w:val="none"/>
              </w:rPr>
              <w:t xml:space="preserve">￥） </w:t>
            </w:r>
          </w:p>
        </w:tc>
      </w:tr>
      <w:tr w14:paraId="05D23290">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A3F3C6A">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eastAsia="宋体"/>
                <w:color w:val="auto"/>
                <w:kern w:val="2"/>
                <w:szCs w:val="22"/>
                <w:highlight w:val="none"/>
              </w:rPr>
            </w:pPr>
            <w:r>
              <w:rPr>
                <w:rFonts w:hint="eastAsia" w:eastAsia="宋体"/>
                <w:color w:val="auto"/>
                <w:kern w:val="2"/>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C7C1846">
            <w:pPr>
              <w:keepNext w:val="0"/>
              <w:keepLines w:val="0"/>
              <w:widowControl/>
              <w:suppressLineNumbers w:val="0"/>
              <w:tabs>
                <w:tab w:val="left" w:pos="1494"/>
              </w:tabs>
              <w:spacing w:before="0" w:beforeAutospacing="0" w:after="0" w:afterAutospacing="0"/>
              <w:ind w:left="0" w:right="0"/>
              <w:jc w:val="center"/>
              <w:textAlignment w:val="bottom"/>
              <w:rPr>
                <w:rFonts w:hint="default" w:eastAsia="宋体"/>
                <w:color w:val="auto"/>
                <w:kern w:val="2"/>
                <w:szCs w:val="22"/>
                <w:highlight w:val="none"/>
              </w:rPr>
            </w:pPr>
          </w:p>
        </w:tc>
      </w:tr>
      <w:tr w14:paraId="6BC531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29E6568">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auto"/>
                <w:kern w:val="2"/>
                <w:szCs w:val="20"/>
                <w:highlight w:val="none"/>
              </w:rPr>
            </w:pPr>
            <w:r>
              <w:rPr>
                <w:rFonts w:hint="eastAsia"/>
                <w:color w:val="auto"/>
                <w:kern w:val="2"/>
                <w:szCs w:val="20"/>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F8D5878">
            <w:pPr>
              <w:keepNext w:val="0"/>
              <w:keepLines w:val="0"/>
              <w:widowControl/>
              <w:suppressLineNumbers w:val="0"/>
              <w:tabs>
                <w:tab w:val="left" w:pos="1494"/>
              </w:tabs>
              <w:spacing w:before="0" w:beforeAutospacing="0" w:after="0" w:afterAutospacing="0"/>
              <w:ind w:left="0" w:right="0"/>
              <w:jc w:val="center"/>
              <w:textAlignment w:val="bottom"/>
              <w:rPr>
                <w:rFonts w:hint="default" w:eastAsia="宋体"/>
                <w:color w:val="auto"/>
                <w:kern w:val="2"/>
                <w:szCs w:val="22"/>
                <w:highlight w:val="none"/>
              </w:rPr>
            </w:pPr>
          </w:p>
        </w:tc>
      </w:tr>
      <w:tr w14:paraId="55B1B46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2026B13">
            <w:pPr>
              <w:keepNext w:val="0"/>
              <w:keepLines w:val="0"/>
              <w:widowControl/>
              <w:suppressLineNumbers w:val="0"/>
              <w:tabs>
                <w:tab w:val="left" w:pos="1494"/>
              </w:tabs>
              <w:spacing w:before="0" w:beforeAutospacing="0" w:after="0" w:afterAutospacing="0"/>
              <w:ind w:left="0" w:right="0" w:firstLine="210" w:firstLineChars="100"/>
              <w:textAlignment w:val="bottom"/>
              <w:rPr>
                <w:rFonts w:hint="default"/>
                <w:color w:val="auto"/>
                <w:kern w:val="2"/>
                <w:szCs w:val="20"/>
                <w:highlight w:val="none"/>
              </w:rPr>
            </w:pPr>
            <w:r>
              <w:rPr>
                <w:rFonts w:hint="eastAsia"/>
                <w:color w:val="auto"/>
                <w:kern w:val="2"/>
                <w:szCs w:val="20"/>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982686D">
            <w:pPr>
              <w:keepNext w:val="0"/>
              <w:keepLines w:val="0"/>
              <w:widowControl/>
              <w:suppressLineNumbers w:val="0"/>
              <w:tabs>
                <w:tab w:val="left" w:pos="1494"/>
              </w:tabs>
              <w:spacing w:before="0" w:beforeAutospacing="0" w:after="0" w:afterAutospacing="0"/>
              <w:ind w:left="0" w:right="0"/>
              <w:jc w:val="center"/>
              <w:textAlignment w:val="bottom"/>
              <w:rPr>
                <w:rFonts w:hint="default" w:eastAsia="宋体"/>
                <w:color w:val="auto"/>
                <w:kern w:val="2"/>
                <w:szCs w:val="22"/>
                <w:highlight w:val="none"/>
              </w:rPr>
            </w:pPr>
          </w:p>
        </w:tc>
      </w:tr>
    </w:tbl>
    <w:p w14:paraId="117F6F9A">
      <w:pPr>
        <w:keepNext w:val="0"/>
        <w:keepLines w:val="0"/>
        <w:pageBreakBefore w:val="0"/>
        <w:widowControl w:val="0"/>
        <w:tabs>
          <w:tab w:val="left" w:pos="1494"/>
        </w:tabs>
        <w:kinsoku/>
        <w:wordWrap/>
        <w:overflowPunct/>
        <w:topLinePunct w:val="0"/>
        <w:autoSpaceDE/>
        <w:autoSpaceDN/>
        <w:bidi w:val="0"/>
        <w:adjustRightInd w:val="0"/>
        <w:snapToGrid/>
        <w:jc w:val="both"/>
        <w:textAlignment w:val="auto"/>
        <w:rPr>
          <w:rFonts w:eastAsia="宋体"/>
          <w:color w:val="auto"/>
          <w:szCs w:val="22"/>
          <w:highlight w:val="none"/>
        </w:rPr>
      </w:pPr>
      <w:r>
        <w:rPr>
          <w:rFonts w:hint="eastAsia" w:eastAsia="宋体"/>
          <w:color w:val="auto"/>
          <w:kern w:val="2"/>
          <w:szCs w:val="22"/>
          <w:highlight w:val="none"/>
        </w:rPr>
        <w:t>注：1、报价包含施工、保险、安全文明施工费、保修、风险、管理费、利润及税金、政策性文件规定及为完成本次项目合同实施过程中不可预见费用等的一切费用。</w:t>
      </w:r>
    </w:p>
    <w:p w14:paraId="593B52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ascii="Times New Roman" w:hAnsi="Times New Roman" w:cs="Times New Roman"/>
          <w:color w:val="auto"/>
          <w:kern w:val="2"/>
          <w:szCs w:val="22"/>
          <w:highlight w:val="none"/>
          <w:lang w:val="en-US" w:eastAsia="zh-CN"/>
        </w:rPr>
        <w:t>2</w:t>
      </w:r>
      <w:r>
        <w:rPr>
          <w:rFonts w:hint="eastAsia" w:ascii="Times New Roman" w:hAnsi="Times New Roman" w:eastAsia="宋体" w:cs="Times New Roman"/>
          <w:color w:val="auto"/>
          <w:kern w:val="2"/>
          <w:szCs w:val="22"/>
          <w:highlight w:val="none"/>
        </w:rPr>
        <w:t>、报价一经涂改，应在涂改处加盖单位公章或者由法定代表人或授权代表签字或盖章，否则其投标作无效标处理。</w:t>
      </w:r>
    </w:p>
    <w:p w14:paraId="5DCEFA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cs="Times New Roman"/>
          <w:color w:val="auto"/>
          <w:kern w:val="2"/>
          <w:szCs w:val="22"/>
          <w:highlight w:val="none"/>
          <w:lang w:val="en-US" w:eastAsia="zh-CN"/>
        </w:rPr>
        <w:t>3</w:t>
      </w:r>
      <w:r>
        <w:rPr>
          <w:rFonts w:hint="eastAsia" w:ascii="Times New Roman" w:hAnsi="Times New Roman" w:eastAsia="宋体" w:cs="Times New Roman"/>
          <w:color w:val="auto"/>
          <w:kern w:val="2"/>
          <w:szCs w:val="22"/>
          <w:highlight w:val="none"/>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BA83F27">
      <w:pPr>
        <w:kinsoku/>
        <w:wordWrap/>
        <w:overflowPunct/>
        <w:topLinePunct w:val="0"/>
        <w:bidi w:val="0"/>
        <w:spacing w:line="360" w:lineRule="auto"/>
        <w:ind w:firstLine="482" w:firstLineChars="200"/>
        <w:outlineLvl w:val="9"/>
        <w:rPr>
          <w:rFonts w:ascii="宋体" w:hAnsi="宋体" w:cs="宋体"/>
          <w:b/>
          <w:kern w:val="0"/>
          <w:sz w:val="24"/>
        </w:rPr>
      </w:pPr>
    </w:p>
    <w:p w14:paraId="3BA409CE">
      <w:pPr>
        <w:pStyle w:val="8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pPr>
    </w:p>
    <w:p w14:paraId="09934B29">
      <w:pPr>
        <w:tabs>
          <w:tab w:val="left" w:pos="1494"/>
        </w:tabs>
        <w:spacing w:line="720" w:lineRule="auto"/>
        <w:ind w:firstLine="105" w:firstLineChars="50"/>
        <w:jc w:val="center"/>
        <w:rPr>
          <w:color w:val="auto"/>
          <w:highlight w:val="none"/>
          <w:u w:val="single"/>
        </w:rPr>
      </w:pPr>
      <w:r>
        <w:rPr>
          <w:rFonts w:hint="eastAsia" w:eastAsia="宋体"/>
          <w:color w:val="auto"/>
          <w:highlight w:val="none"/>
        </w:rPr>
        <w:t xml:space="preserve"> </w:t>
      </w:r>
      <w:r>
        <w:rPr>
          <w:rFonts w:hint="eastAsia" w:eastAsia="宋体"/>
          <w:color w:val="auto"/>
          <w:highlight w:val="none"/>
          <w:lang w:val="en-US" w:eastAsia="zh-CN"/>
        </w:rPr>
        <w:t xml:space="preserve">                   </w:t>
      </w:r>
      <w:r>
        <w:rPr>
          <w:rFonts w:hint="eastAsia"/>
          <w:color w:val="auto"/>
          <w:highlight w:val="none"/>
        </w:rPr>
        <w:t>供应商</w:t>
      </w:r>
      <w:r>
        <w:rPr>
          <w:rFonts w:hint="eastAsia"/>
          <w:color w:val="auto"/>
          <w:highlight w:val="none"/>
          <w:lang w:val="en-US" w:eastAsia="zh-CN"/>
        </w:rPr>
        <w:t>名称</w:t>
      </w:r>
      <w:r>
        <w:rPr>
          <w:rFonts w:hint="eastAsia"/>
          <w:color w:val="auto"/>
          <w:highlight w:val="none"/>
        </w:rPr>
        <w:t>（</w:t>
      </w:r>
      <w:r>
        <w:rPr>
          <w:rFonts w:hint="eastAsia"/>
          <w:color w:val="auto"/>
          <w:highlight w:val="none"/>
          <w:lang w:val="en-US" w:eastAsia="zh-CN"/>
        </w:rPr>
        <w:t>电子签名</w:t>
      </w:r>
      <w:r>
        <w:rPr>
          <w:rFonts w:hint="eastAsia"/>
          <w:color w:val="auto"/>
          <w:highlight w:val="none"/>
        </w:rPr>
        <w:t>）：</w:t>
      </w:r>
    </w:p>
    <w:p w14:paraId="6DC2F548">
      <w:pPr>
        <w:tabs>
          <w:tab w:val="left" w:pos="1494"/>
        </w:tabs>
        <w:spacing w:line="720" w:lineRule="auto"/>
        <w:rPr>
          <w:rFonts w:ascii="仿宋" w:hAnsi="仿宋" w:eastAsia="仿宋" w:cs="仿宋"/>
          <w:b w:val="0"/>
          <w:color w:val="auto"/>
          <w:kern w:val="2"/>
          <w:sz w:val="24"/>
          <w:szCs w:val="24"/>
          <w:highlight w:val="none"/>
        </w:rPr>
      </w:pPr>
      <w:r>
        <w:rPr>
          <w:rFonts w:hint="eastAsia"/>
          <w:color w:val="auto"/>
          <w:highlight w:val="none"/>
        </w:rPr>
        <w:t xml:space="preserve">                                         日  期：    年   月   日</w:t>
      </w:r>
    </w:p>
    <w:p w14:paraId="3F4C9CC0">
      <w:pPr>
        <w:pStyle w:val="8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sectPr>
          <w:pgSz w:w="11906" w:h="16838"/>
          <w:pgMar w:top="1080" w:right="1440" w:bottom="1080" w:left="1440" w:header="851" w:footer="992" w:gutter="0"/>
          <w:pgNumType w:fmt="decimal"/>
          <w:cols w:space="720" w:num="1"/>
          <w:titlePg/>
          <w:docGrid w:linePitch="312" w:charSpace="0"/>
        </w:sectPr>
      </w:pPr>
    </w:p>
    <w:p w14:paraId="34D619DF">
      <w:pPr>
        <w:pStyle w:val="83"/>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sz w:val="32"/>
          <w:szCs w:val="32"/>
        </w:rPr>
      </w:pPr>
      <w:bookmarkStart w:id="561" w:name="_Toc5191"/>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562" w:name="_Hlk101259491"/>
      <w:r>
        <w:rPr>
          <w:rFonts w:hint="eastAsia" w:ascii="宋体" w:hAnsi="宋体" w:eastAsia="宋体" w:cs="宋体"/>
          <w:sz w:val="32"/>
          <w:szCs w:val="32"/>
        </w:rPr>
        <w:t>（如果有）</w:t>
      </w:r>
      <w:bookmarkEnd w:id="561"/>
      <w:bookmarkEnd w:id="562"/>
    </w:p>
    <w:p w14:paraId="695DAAAF">
      <w:pPr>
        <w:widowControl/>
        <w:kinsoku/>
        <w:wordWrap/>
        <w:overflowPunct/>
        <w:topLinePunct w:val="0"/>
        <w:bidi w:val="0"/>
        <w:spacing w:line="360" w:lineRule="auto"/>
        <w:ind w:firstLine="120" w:firstLineChars="50"/>
        <w:jc w:val="left"/>
        <w:outlineLvl w:val="9"/>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BDE054D">
      <w:pPr>
        <w:keepNext w:val="0"/>
        <w:keepLines w:val="0"/>
        <w:pageBreakBefore/>
        <w:widowControl/>
        <w:tabs>
          <w:tab w:val="left" w:pos="432"/>
        </w:tabs>
        <w:kinsoku/>
        <w:wordWrap/>
        <w:overflowPunct/>
        <w:topLinePunct w:val="0"/>
        <w:bidi w:val="0"/>
        <w:spacing w:before="100" w:beforeAutospacing="1" w:after="100" w:afterAutospacing="1" w:line="360" w:lineRule="auto"/>
        <w:ind w:left="1290" w:firstLine="2530" w:firstLineChars="700"/>
        <w:outlineLvl w:val="9"/>
        <w:rPr>
          <w:rFonts w:ascii="宋体" w:hAnsi="宋体" w:cs="宋体"/>
          <w:b/>
          <w:bCs/>
          <w:sz w:val="36"/>
          <w:szCs w:val="36"/>
        </w:rPr>
      </w:pPr>
      <w:bookmarkStart w:id="563" w:name="_Toc465665161"/>
      <w:r>
        <w:rPr>
          <w:rFonts w:hint="eastAsia" w:ascii="宋体" w:hAnsi="宋体" w:cs="宋体"/>
          <w:b/>
          <w:bCs/>
          <w:sz w:val="36"/>
          <w:szCs w:val="36"/>
        </w:rPr>
        <w:t>附件</w:t>
      </w:r>
      <w:bookmarkEnd w:id="563"/>
    </w:p>
    <w:p w14:paraId="494AAF62">
      <w:pPr>
        <w:kinsoku/>
        <w:wordWrap/>
        <w:overflowPunct/>
        <w:topLinePunct w:val="0"/>
        <w:bidi w:val="0"/>
        <w:spacing w:line="360" w:lineRule="auto"/>
        <w:outlineLvl w:val="9"/>
        <w:rPr>
          <w:rFonts w:ascii="宋体" w:hAnsi="宋体" w:cs="宋体"/>
          <w:b/>
          <w:spacing w:val="6"/>
          <w:sz w:val="32"/>
          <w:szCs w:val="32"/>
        </w:rPr>
      </w:pPr>
      <w:r>
        <w:rPr>
          <w:rFonts w:hint="eastAsia" w:ascii="宋体" w:hAnsi="宋体" w:cs="宋体"/>
          <w:b/>
          <w:spacing w:val="6"/>
          <w:sz w:val="32"/>
          <w:szCs w:val="32"/>
        </w:rPr>
        <w:t>附件1：</w:t>
      </w:r>
    </w:p>
    <w:p w14:paraId="6880EED0">
      <w:pPr>
        <w:kinsoku/>
        <w:wordWrap/>
        <w:overflowPunct/>
        <w:topLinePunct w:val="0"/>
        <w:bidi w:val="0"/>
        <w:spacing w:line="360" w:lineRule="auto"/>
        <w:jc w:val="center"/>
        <w:outlineLvl w:val="9"/>
        <w:rPr>
          <w:rFonts w:ascii="宋体" w:hAnsi="宋体" w:cs="宋体"/>
          <w:b/>
          <w:spacing w:val="6"/>
          <w:sz w:val="32"/>
          <w:szCs w:val="32"/>
        </w:rPr>
      </w:pPr>
      <w:bookmarkStart w:id="564" w:name="OLE_LINK13"/>
      <w:bookmarkStart w:id="565" w:name="OLE_LINK14"/>
      <w:r>
        <w:rPr>
          <w:rFonts w:hint="eastAsia" w:ascii="宋体" w:hAnsi="宋体" w:cs="宋体"/>
          <w:b/>
          <w:spacing w:val="6"/>
          <w:sz w:val="32"/>
          <w:szCs w:val="32"/>
        </w:rPr>
        <w:t>残疾人福利性单位声明函</w:t>
      </w:r>
    </w:p>
    <w:bookmarkEnd w:id="564"/>
    <w:bookmarkEnd w:id="565"/>
    <w:p w14:paraId="7D071AE1">
      <w:pPr>
        <w:kinsoku/>
        <w:wordWrap/>
        <w:overflowPunct/>
        <w:topLinePunct w:val="0"/>
        <w:bidi w:val="0"/>
        <w:spacing w:line="360" w:lineRule="auto"/>
        <w:outlineLvl w:val="9"/>
        <w:rPr>
          <w:rFonts w:ascii="宋体" w:hAnsi="宋体" w:cs="宋体"/>
          <w:b/>
          <w:spacing w:val="6"/>
          <w:sz w:val="30"/>
          <w:szCs w:val="30"/>
        </w:rPr>
      </w:pPr>
    </w:p>
    <w:p w14:paraId="0F3B5D66">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w:t>
      </w:r>
      <w:r>
        <w:rPr>
          <w:rFonts w:hint="eastAsia" w:ascii="宋体" w:hAnsi="宋体" w:cs="宋体"/>
          <w:color w:val="auto"/>
          <w:sz w:val="24"/>
        </w:rPr>
        <w:t>货物</w:t>
      </w:r>
      <w:r>
        <w:rPr>
          <w:rFonts w:hint="eastAsia" w:ascii="宋体" w:hAnsi="宋体" w:cs="宋体"/>
          <w:sz w:val="24"/>
        </w:rPr>
        <w:t>（由本单位承担工程/提供服务），或者提供其他残疾人福利性单位制造的货物（不包括使用非残疾人福利性单位注册商标的货物）。</w:t>
      </w:r>
    </w:p>
    <w:p w14:paraId="2101BF76">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本单位对上述声明的真实性负责。如有虚假，将依法承担相应责任。</w:t>
      </w:r>
    </w:p>
    <w:p w14:paraId="7F84BACD">
      <w:pPr>
        <w:kinsoku/>
        <w:wordWrap/>
        <w:overflowPunct/>
        <w:topLinePunct w:val="0"/>
        <w:bidi w:val="0"/>
        <w:spacing w:line="360" w:lineRule="auto"/>
        <w:ind w:firstLine="480" w:firstLineChars="200"/>
        <w:outlineLvl w:val="9"/>
        <w:rPr>
          <w:rFonts w:ascii="宋体" w:hAnsi="宋体" w:cs="宋体"/>
          <w:sz w:val="24"/>
        </w:rPr>
      </w:pPr>
    </w:p>
    <w:p w14:paraId="028A096A">
      <w:pPr>
        <w:kinsoku/>
        <w:wordWrap/>
        <w:overflowPunct/>
        <w:topLinePunct w:val="0"/>
        <w:bidi w:val="0"/>
        <w:spacing w:line="360" w:lineRule="auto"/>
        <w:ind w:firstLine="480" w:firstLineChars="200"/>
        <w:outlineLvl w:val="9"/>
        <w:rPr>
          <w:rFonts w:ascii="宋体" w:hAnsi="宋体" w:cs="宋体"/>
          <w:sz w:val="24"/>
        </w:rPr>
      </w:pPr>
    </w:p>
    <w:p w14:paraId="16AF3E65">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42503FF1">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rPr>
      </w:pPr>
      <w:r>
        <w:rPr>
          <w:rFonts w:hint="eastAsia" w:ascii="宋体" w:hAnsi="宋体" w:cs="宋体"/>
          <w:sz w:val="24"/>
        </w:rPr>
        <w:t xml:space="preserve">       日  期：</w:t>
      </w:r>
    </w:p>
    <w:p w14:paraId="6574C6F1">
      <w:pPr>
        <w:kinsoku/>
        <w:wordWrap/>
        <w:overflowPunct/>
        <w:topLinePunct w:val="0"/>
        <w:bidi w:val="0"/>
        <w:spacing w:line="360" w:lineRule="auto"/>
        <w:ind w:firstLine="480" w:firstLineChars="200"/>
        <w:outlineLvl w:val="9"/>
        <w:rPr>
          <w:rFonts w:ascii="宋体" w:hAnsi="宋体" w:cs="宋体"/>
          <w:sz w:val="24"/>
        </w:rPr>
      </w:pPr>
    </w:p>
    <w:p w14:paraId="5AE9E1C0">
      <w:pPr>
        <w:kinsoku/>
        <w:wordWrap/>
        <w:overflowPunct/>
        <w:topLinePunct w:val="0"/>
        <w:bidi w:val="0"/>
        <w:spacing w:line="360" w:lineRule="auto"/>
        <w:ind w:firstLine="420" w:firstLineChars="200"/>
        <w:outlineLvl w:val="9"/>
        <w:rPr>
          <w:rFonts w:ascii="宋体" w:hAnsi="宋体" w:cs="宋体"/>
        </w:rPr>
      </w:pPr>
    </w:p>
    <w:p w14:paraId="19620D22">
      <w:pPr>
        <w:kinsoku/>
        <w:wordWrap/>
        <w:overflowPunct/>
        <w:topLinePunct w:val="0"/>
        <w:bidi w:val="0"/>
        <w:spacing w:line="360" w:lineRule="auto"/>
        <w:ind w:firstLine="420" w:firstLineChars="200"/>
        <w:outlineLvl w:val="9"/>
        <w:rPr>
          <w:rFonts w:ascii="宋体" w:hAnsi="宋体" w:cs="宋体"/>
        </w:rPr>
      </w:pPr>
    </w:p>
    <w:p w14:paraId="654549AA">
      <w:pPr>
        <w:kinsoku/>
        <w:wordWrap/>
        <w:overflowPunct/>
        <w:topLinePunct w:val="0"/>
        <w:bidi w:val="0"/>
        <w:spacing w:line="360" w:lineRule="auto"/>
        <w:ind w:firstLine="420" w:firstLineChars="200"/>
        <w:outlineLvl w:val="9"/>
        <w:rPr>
          <w:rFonts w:ascii="宋体" w:hAnsi="宋体" w:cs="宋体"/>
        </w:rPr>
      </w:pPr>
    </w:p>
    <w:p w14:paraId="61F25D97">
      <w:pPr>
        <w:kinsoku/>
        <w:wordWrap/>
        <w:overflowPunct/>
        <w:topLinePunct w:val="0"/>
        <w:bidi w:val="0"/>
        <w:spacing w:line="360" w:lineRule="auto"/>
        <w:ind w:firstLine="420" w:firstLineChars="200"/>
        <w:outlineLvl w:val="9"/>
        <w:rPr>
          <w:rFonts w:ascii="宋体" w:hAnsi="宋体" w:cs="宋体"/>
        </w:rPr>
      </w:pPr>
    </w:p>
    <w:p w14:paraId="2D6BEE8A">
      <w:pPr>
        <w:kinsoku/>
        <w:wordWrap/>
        <w:overflowPunct/>
        <w:topLinePunct w:val="0"/>
        <w:bidi w:val="0"/>
        <w:spacing w:line="360" w:lineRule="auto"/>
        <w:outlineLvl w:val="9"/>
        <w:rPr>
          <w:rFonts w:ascii="宋体" w:hAnsi="宋体" w:cs="宋体"/>
          <w:b/>
          <w:sz w:val="24"/>
        </w:rPr>
      </w:pPr>
    </w:p>
    <w:p w14:paraId="5D3398DD">
      <w:pPr>
        <w:kinsoku/>
        <w:wordWrap/>
        <w:overflowPunct/>
        <w:topLinePunct w:val="0"/>
        <w:bidi w:val="0"/>
        <w:spacing w:line="360" w:lineRule="auto"/>
        <w:outlineLvl w:val="9"/>
        <w:rPr>
          <w:rFonts w:ascii="宋体" w:hAnsi="宋体" w:cs="宋体"/>
          <w:b/>
          <w:sz w:val="24"/>
        </w:rPr>
      </w:pPr>
    </w:p>
    <w:p w14:paraId="2E2654AB">
      <w:pPr>
        <w:kinsoku/>
        <w:wordWrap/>
        <w:overflowPunct/>
        <w:topLinePunct w:val="0"/>
        <w:bidi w:val="0"/>
        <w:spacing w:line="360" w:lineRule="auto"/>
        <w:outlineLvl w:val="9"/>
        <w:rPr>
          <w:rFonts w:ascii="宋体" w:hAnsi="宋体" w:cs="宋体"/>
          <w:b/>
          <w:sz w:val="24"/>
        </w:rPr>
      </w:pPr>
    </w:p>
    <w:p w14:paraId="680CF35A">
      <w:pPr>
        <w:kinsoku/>
        <w:wordWrap/>
        <w:overflowPunct/>
        <w:topLinePunct w:val="0"/>
        <w:bidi w:val="0"/>
        <w:spacing w:line="360" w:lineRule="auto"/>
        <w:outlineLvl w:val="9"/>
        <w:rPr>
          <w:rFonts w:ascii="宋体" w:hAnsi="宋体" w:cs="宋体"/>
          <w:b/>
          <w:sz w:val="24"/>
        </w:rPr>
      </w:pPr>
    </w:p>
    <w:p w14:paraId="31E1AEB5">
      <w:pPr>
        <w:kinsoku/>
        <w:wordWrap/>
        <w:overflowPunct/>
        <w:topLinePunct w:val="0"/>
        <w:bidi w:val="0"/>
        <w:spacing w:line="360" w:lineRule="auto"/>
        <w:outlineLvl w:val="9"/>
        <w:rPr>
          <w:rFonts w:ascii="宋体" w:hAnsi="宋体" w:cs="宋体"/>
          <w:b/>
          <w:sz w:val="24"/>
        </w:rPr>
      </w:pPr>
    </w:p>
    <w:p w14:paraId="05E64D0E">
      <w:pPr>
        <w:kinsoku/>
        <w:wordWrap/>
        <w:overflowPunct/>
        <w:topLinePunct w:val="0"/>
        <w:bidi w:val="0"/>
        <w:spacing w:line="360" w:lineRule="auto"/>
        <w:outlineLvl w:val="9"/>
        <w:rPr>
          <w:rFonts w:ascii="宋体" w:hAnsi="宋体" w:cs="宋体"/>
          <w:b/>
          <w:sz w:val="24"/>
        </w:rPr>
      </w:pPr>
    </w:p>
    <w:p w14:paraId="0AE31650">
      <w:pPr>
        <w:kinsoku/>
        <w:wordWrap/>
        <w:overflowPunct/>
        <w:topLinePunct w:val="0"/>
        <w:bidi w:val="0"/>
        <w:spacing w:line="360" w:lineRule="auto"/>
        <w:outlineLvl w:val="9"/>
        <w:rPr>
          <w:rFonts w:ascii="宋体" w:hAnsi="宋体" w:cs="宋体"/>
          <w:b/>
          <w:sz w:val="24"/>
        </w:rPr>
      </w:pPr>
    </w:p>
    <w:p w14:paraId="31994F41">
      <w:pPr>
        <w:kinsoku/>
        <w:wordWrap/>
        <w:overflowPunct/>
        <w:topLinePunct w:val="0"/>
        <w:bidi w:val="0"/>
        <w:spacing w:line="360" w:lineRule="auto"/>
        <w:outlineLvl w:val="9"/>
        <w:rPr>
          <w:rFonts w:ascii="宋体" w:hAnsi="宋体" w:cs="宋体"/>
          <w:b/>
          <w:sz w:val="24"/>
        </w:rPr>
      </w:pPr>
    </w:p>
    <w:p w14:paraId="09CA79F7">
      <w:pPr>
        <w:rPr>
          <w:rFonts w:hint="eastAsia" w:ascii="宋体" w:hAnsi="宋体" w:cs="宋体"/>
          <w:b/>
          <w:spacing w:val="6"/>
          <w:sz w:val="32"/>
          <w:szCs w:val="32"/>
        </w:rPr>
      </w:pPr>
      <w:r>
        <w:rPr>
          <w:rFonts w:hint="eastAsia" w:ascii="宋体" w:hAnsi="宋体" w:cs="宋体"/>
          <w:b/>
          <w:spacing w:val="6"/>
          <w:sz w:val="32"/>
          <w:szCs w:val="32"/>
        </w:rPr>
        <w:br w:type="page"/>
      </w:r>
    </w:p>
    <w:p w14:paraId="324B4912">
      <w:pPr>
        <w:kinsoku/>
        <w:wordWrap/>
        <w:overflowPunct/>
        <w:topLinePunct w:val="0"/>
        <w:bidi w:val="0"/>
        <w:spacing w:line="360" w:lineRule="auto"/>
        <w:jc w:val="left"/>
        <w:outlineLvl w:val="9"/>
        <w:rPr>
          <w:rFonts w:ascii="宋体" w:hAnsi="宋体" w:cs="宋体"/>
          <w:b/>
          <w:spacing w:val="6"/>
          <w:sz w:val="32"/>
          <w:szCs w:val="32"/>
        </w:rPr>
      </w:pPr>
      <w:r>
        <w:rPr>
          <w:rFonts w:hint="eastAsia" w:ascii="宋体" w:hAnsi="宋体" w:cs="宋体"/>
          <w:b/>
          <w:spacing w:val="6"/>
          <w:sz w:val="32"/>
          <w:szCs w:val="32"/>
        </w:rPr>
        <w:t>附件2：质疑函范本及制作说明</w:t>
      </w:r>
    </w:p>
    <w:p w14:paraId="7FB1CFA4">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质疑函范本</w:t>
      </w:r>
    </w:p>
    <w:p w14:paraId="6D2351F5">
      <w:pPr>
        <w:kinsoku/>
        <w:wordWrap/>
        <w:overflowPunct/>
        <w:topLinePunct w:val="0"/>
        <w:bidi w:val="0"/>
        <w:snapToGrid w:val="0"/>
        <w:spacing w:before="240" w:beforeLines="100" w:line="360" w:lineRule="auto"/>
        <w:outlineLvl w:val="9"/>
        <w:rPr>
          <w:rFonts w:ascii="宋体" w:hAnsi="宋体" w:cs="宋体"/>
          <w:bCs/>
          <w:sz w:val="24"/>
        </w:rPr>
      </w:pPr>
      <w:r>
        <w:rPr>
          <w:rFonts w:hint="eastAsia" w:ascii="宋体" w:hAnsi="宋体" w:cs="宋体"/>
          <w:bCs/>
          <w:sz w:val="24"/>
        </w:rPr>
        <w:t>一、质疑供应商基本信息</w:t>
      </w:r>
    </w:p>
    <w:p w14:paraId="084283E0">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CBFC141">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25B86B9">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7387BB2">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DA622AE">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04C6C35">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0F9D2EC">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二、质疑项目基本情况</w:t>
      </w:r>
    </w:p>
    <w:p w14:paraId="1AA24D27">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1DB47AE">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AE7DDC7">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D38CACA">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37626A97">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三、质疑事项具体内容</w:t>
      </w:r>
    </w:p>
    <w:p w14:paraId="3E64CF15">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A41EAB3">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3DE2261">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u w:val="dotted"/>
        </w:rPr>
        <w:t xml:space="preserve">                                                       </w:t>
      </w:r>
    </w:p>
    <w:p w14:paraId="160C74BE">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4399346">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u w:val="dotted"/>
        </w:rPr>
        <w:t xml:space="preserve">                                                     </w:t>
      </w:r>
    </w:p>
    <w:p w14:paraId="32E841A5">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质疑事项2</w:t>
      </w:r>
    </w:p>
    <w:p w14:paraId="2D61B360">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w:t>
      </w:r>
    </w:p>
    <w:p w14:paraId="4C8AE74A">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四、与质疑事项相关的质疑请求</w:t>
      </w:r>
    </w:p>
    <w:p w14:paraId="1E187C0E">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57D176C">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签字(签章)：                   公章：                      </w:t>
      </w:r>
    </w:p>
    <w:p w14:paraId="28FC1F84">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日期：    </w:t>
      </w:r>
    </w:p>
    <w:p w14:paraId="3B555182">
      <w:pPr>
        <w:kinsoku/>
        <w:wordWrap/>
        <w:overflowPunct/>
        <w:topLinePunct w:val="0"/>
        <w:bidi w:val="0"/>
        <w:spacing w:line="360" w:lineRule="auto"/>
        <w:jc w:val="center"/>
        <w:outlineLvl w:val="9"/>
        <w:rPr>
          <w:rFonts w:ascii="宋体" w:hAnsi="宋体" w:cs="宋体"/>
          <w:b/>
          <w:bCs/>
          <w:sz w:val="24"/>
        </w:rPr>
      </w:pPr>
    </w:p>
    <w:p w14:paraId="5E6C7E47">
      <w:pPr>
        <w:kinsoku/>
        <w:wordWrap/>
        <w:overflowPunct/>
        <w:topLinePunct w:val="0"/>
        <w:bidi w:val="0"/>
        <w:spacing w:line="360" w:lineRule="auto"/>
        <w:outlineLvl w:val="9"/>
        <w:rPr>
          <w:rFonts w:ascii="宋体" w:hAnsi="宋体" w:cs="宋体"/>
          <w:b/>
          <w:sz w:val="24"/>
        </w:rPr>
      </w:pPr>
    </w:p>
    <w:p w14:paraId="4F376F55">
      <w:pPr>
        <w:kinsoku/>
        <w:wordWrap/>
        <w:overflowPunct/>
        <w:topLinePunct w:val="0"/>
        <w:bidi w:val="0"/>
        <w:spacing w:line="360" w:lineRule="auto"/>
        <w:outlineLvl w:val="9"/>
        <w:rPr>
          <w:rFonts w:ascii="宋体" w:hAnsi="宋体" w:cs="宋体"/>
          <w:b/>
          <w:sz w:val="24"/>
        </w:rPr>
      </w:pPr>
    </w:p>
    <w:p w14:paraId="71B8CEFD">
      <w:pPr>
        <w:kinsoku/>
        <w:wordWrap/>
        <w:overflowPunct/>
        <w:topLinePunct w:val="0"/>
        <w:bidi w:val="0"/>
        <w:spacing w:line="360" w:lineRule="auto"/>
        <w:outlineLvl w:val="9"/>
        <w:rPr>
          <w:rFonts w:ascii="宋体" w:hAnsi="宋体" w:cs="宋体"/>
          <w:b/>
          <w:sz w:val="24"/>
        </w:rPr>
      </w:pPr>
      <w:r>
        <w:rPr>
          <w:rFonts w:hint="eastAsia" w:ascii="宋体" w:hAnsi="宋体" w:cs="宋体"/>
          <w:b/>
          <w:sz w:val="24"/>
        </w:rPr>
        <w:t>质疑函制作说明：</w:t>
      </w:r>
    </w:p>
    <w:p w14:paraId="725261CA">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1.供应商提出质疑时，应提交质疑函和必要的证明材料。</w:t>
      </w:r>
    </w:p>
    <w:p w14:paraId="0B286BDF">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46E52A0">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3.质疑供应商若对项目的某一分包进行质疑，质疑函中应列明具体分包号。</w:t>
      </w:r>
    </w:p>
    <w:p w14:paraId="525CFBB9">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4.质疑函的质疑事项应具体、明确，并有必要的事实依据和法律依据。</w:t>
      </w:r>
    </w:p>
    <w:p w14:paraId="6FFFDCA4">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5.质疑函的质疑请求应与质疑事项相关。</w:t>
      </w:r>
    </w:p>
    <w:p w14:paraId="7EF9313B">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57E3C8B">
      <w:pPr>
        <w:widowControl/>
        <w:kinsoku/>
        <w:wordWrap/>
        <w:overflowPunct/>
        <w:topLinePunct w:val="0"/>
        <w:bidi w:val="0"/>
        <w:spacing w:line="360" w:lineRule="auto"/>
        <w:ind w:firstLine="600" w:firstLineChars="200"/>
        <w:jc w:val="left"/>
        <w:outlineLvl w:val="9"/>
        <w:rPr>
          <w:rFonts w:ascii="宋体" w:hAnsi="宋体" w:cs="宋体"/>
          <w:sz w:val="30"/>
          <w:szCs w:val="30"/>
        </w:rPr>
      </w:pPr>
    </w:p>
    <w:p w14:paraId="62DE12AE">
      <w:pPr>
        <w:kinsoku/>
        <w:wordWrap/>
        <w:overflowPunct/>
        <w:topLinePunct w:val="0"/>
        <w:bidi w:val="0"/>
        <w:spacing w:line="360" w:lineRule="auto"/>
        <w:jc w:val="center"/>
        <w:outlineLvl w:val="9"/>
        <w:rPr>
          <w:rFonts w:ascii="宋体" w:hAnsi="宋体" w:cs="宋体"/>
          <w:b/>
          <w:spacing w:val="6"/>
          <w:sz w:val="32"/>
          <w:szCs w:val="32"/>
        </w:rPr>
      </w:pPr>
    </w:p>
    <w:p w14:paraId="7550EB16">
      <w:pPr>
        <w:kinsoku/>
        <w:wordWrap/>
        <w:overflowPunct/>
        <w:topLinePunct w:val="0"/>
        <w:bidi w:val="0"/>
        <w:spacing w:line="360" w:lineRule="auto"/>
        <w:jc w:val="center"/>
        <w:outlineLvl w:val="9"/>
        <w:rPr>
          <w:rFonts w:ascii="宋体" w:hAnsi="宋体" w:cs="宋体"/>
          <w:b/>
          <w:spacing w:val="6"/>
          <w:sz w:val="32"/>
          <w:szCs w:val="32"/>
        </w:rPr>
      </w:pPr>
    </w:p>
    <w:p w14:paraId="3C6DE1D5">
      <w:pPr>
        <w:kinsoku/>
        <w:wordWrap/>
        <w:overflowPunct/>
        <w:topLinePunct w:val="0"/>
        <w:bidi w:val="0"/>
        <w:spacing w:line="360" w:lineRule="auto"/>
        <w:jc w:val="center"/>
        <w:outlineLvl w:val="9"/>
        <w:rPr>
          <w:rFonts w:ascii="宋体" w:hAnsi="宋体" w:cs="宋体"/>
          <w:b/>
          <w:spacing w:val="6"/>
          <w:sz w:val="32"/>
          <w:szCs w:val="32"/>
        </w:rPr>
      </w:pPr>
    </w:p>
    <w:p w14:paraId="515D2DDC">
      <w:pPr>
        <w:kinsoku/>
        <w:wordWrap/>
        <w:overflowPunct/>
        <w:topLinePunct w:val="0"/>
        <w:bidi w:val="0"/>
        <w:spacing w:line="360" w:lineRule="auto"/>
        <w:jc w:val="center"/>
        <w:outlineLvl w:val="9"/>
        <w:rPr>
          <w:rFonts w:ascii="宋体" w:hAnsi="宋体" w:cs="宋体"/>
          <w:b/>
          <w:spacing w:val="6"/>
          <w:sz w:val="32"/>
          <w:szCs w:val="32"/>
        </w:rPr>
      </w:pPr>
    </w:p>
    <w:p w14:paraId="01D68384">
      <w:pPr>
        <w:kinsoku/>
        <w:wordWrap/>
        <w:overflowPunct/>
        <w:topLinePunct w:val="0"/>
        <w:bidi w:val="0"/>
        <w:spacing w:line="360" w:lineRule="auto"/>
        <w:jc w:val="center"/>
        <w:outlineLvl w:val="9"/>
        <w:rPr>
          <w:rFonts w:ascii="宋体" w:hAnsi="宋体" w:cs="宋体"/>
          <w:b/>
          <w:spacing w:val="6"/>
          <w:sz w:val="32"/>
          <w:szCs w:val="32"/>
        </w:rPr>
      </w:pPr>
    </w:p>
    <w:p w14:paraId="2C07D263">
      <w:pPr>
        <w:kinsoku/>
        <w:wordWrap/>
        <w:overflowPunct/>
        <w:topLinePunct w:val="0"/>
        <w:bidi w:val="0"/>
        <w:spacing w:line="360" w:lineRule="auto"/>
        <w:jc w:val="center"/>
        <w:outlineLvl w:val="9"/>
        <w:rPr>
          <w:rFonts w:ascii="宋体" w:hAnsi="宋体" w:cs="宋体"/>
          <w:b/>
          <w:spacing w:val="6"/>
          <w:sz w:val="32"/>
          <w:szCs w:val="32"/>
        </w:rPr>
      </w:pPr>
    </w:p>
    <w:p w14:paraId="12769B39">
      <w:pPr>
        <w:kinsoku/>
        <w:wordWrap/>
        <w:overflowPunct/>
        <w:topLinePunct w:val="0"/>
        <w:bidi w:val="0"/>
        <w:spacing w:line="360" w:lineRule="auto"/>
        <w:jc w:val="center"/>
        <w:outlineLvl w:val="9"/>
        <w:rPr>
          <w:rFonts w:ascii="宋体" w:hAnsi="宋体" w:cs="宋体"/>
          <w:b/>
          <w:spacing w:val="6"/>
          <w:sz w:val="32"/>
          <w:szCs w:val="32"/>
        </w:rPr>
      </w:pPr>
    </w:p>
    <w:p w14:paraId="73D49F9A">
      <w:pPr>
        <w:kinsoku/>
        <w:wordWrap/>
        <w:overflowPunct/>
        <w:topLinePunct w:val="0"/>
        <w:bidi w:val="0"/>
        <w:spacing w:line="360" w:lineRule="auto"/>
        <w:jc w:val="center"/>
        <w:outlineLvl w:val="9"/>
        <w:rPr>
          <w:rFonts w:ascii="宋体" w:hAnsi="宋体" w:cs="宋体"/>
          <w:b/>
          <w:spacing w:val="6"/>
          <w:sz w:val="32"/>
          <w:szCs w:val="32"/>
        </w:rPr>
      </w:pPr>
    </w:p>
    <w:p w14:paraId="07A816FD">
      <w:pPr>
        <w:kinsoku/>
        <w:wordWrap/>
        <w:overflowPunct/>
        <w:topLinePunct w:val="0"/>
        <w:bidi w:val="0"/>
        <w:spacing w:line="360" w:lineRule="auto"/>
        <w:jc w:val="left"/>
        <w:outlineLvl w:val="9"/>
        <w:rPr>
          <w:rFonts w:ascii="宋体" w:hAnsi="宋体" w:cs="宋体"/>
          <w:b/>
          <w:spacing w:val="6"/>
          <w:sz w:val="32"/>
          <w:szCs w:val="32"/>
        </w:rPr>
      </w:pPr>
    </w:p>
    <w:p w14:paraId="30F01C8E">
      <w:pPr>
        <w:kinsoku/>
        <w:wordWrap/>
        <w:overflowPunct/>
        <w:topLinePunct w:val="0"/>
        <w:bidi w:val="0"/>
        <w:spacing w:line="360" w:lineRule="auto"/>
        <w:jc w:val="left"/>
        <w:outlineLvl w:val="9"/>
        <w:rPr>
          <w:rFonts w:ascii="宋体" w:hAnsi="宋体" w:cs="宋体"/>
          <w:b/>
          <w:spacing w:val="6"/>
          <w:sz w:val="32"/>
          <w:szCs w:val="32"/>
        </w:rPr>
      </w:pPr>
    </w:p>
    <w:p w14:paraId="221919DF">
      <w:pPr>
        <w:rPr>
          <w:rFonts w:hint="eastAsia" w:ascii="宋体" w:hAnsi="宋体" w:cs="宋体"/>
          <w:b/>
          <w:spacing w:val="6"/>
          <w:sz w:val="32"/>
          <w:szCs w:val="32"/>
        </w:rPr>
      </w:pPr>
      <w:r>
        <w:rPr>
          <w:rFonts w:hint="eastAsia" w:ascii="宋体" w:hAnsi="宋体" w:cs="宋体"/>
          <w:b/>
          <w:spacing w:val="6"/>
          <w:sz w:val="32"/>
          <w:szCs w:val="32"/>
        </w:rPr>
        <w:br w:type="page"/>
      </w:r>
    </w:p>
    <w:p w14:paraId="41F95DA2">
      <w:pPr>
        <w:kinsoku/>
        <w:wordWrap/>
        <w:overflowPunct/>
        <w:topLinePunct w:val="0"/>
        <w:bidi w:val="0"/>
        <w:spacing w:line="360" w:lineRule="auto"/>
        <w:jc w:val="left"/>
        <w:outlineLvl w:val="9"/>
        <w:rPr>
          <w:rFonts w:ascii="宋体" w:hAnsi="宋体" w:cs="宋体"/>
          <w:b/>
          <w:spacing w:val="6"/>
          <w:sz w:val="32"/>
          <w:szCs w:val="32"/>
        </w:rPr>
      </w:pPr>
      <w:r>
        <w:rPr>
          <w:rFonts w:hint="eastAsia" w:ascii="宋体" w:hAnsi="宋体" w:cs="宋体"/>
          <w:b/>
          <w:spacing w:val="6"/>
          <w:sz w:val="32"/>
          <w:szCs w:val="32"/>
        </w:rPr>
        <w:t>附件3：投诉书范本及制作说明</w:t>
      </w:r>
    </w:p>
    <w:p w14:paraId="4706948E">
      <w:pPr>
        <w:kinsoku/>
        <w:wordWrap/>
        <w:overflowPunct/>
        <w:topLinePunct w:val="0"/>
        <w:bidi w:val="0"/>
        <w:spacing w:line="360" w:lineRule="auto"/>
        <w:jc w:val="center"/>
        <w:outlineLvl w:val="9"/>
        <w:rPr>
          <w:rFonts w:ascii="宋体" w:hAnsi="宋体" w:cs="宋体"/>
          <w:b/>
          <w:sz w:val="24"/>
        </w:rPr>
      </w:pPr>
    </w:p>
    <w:p w14:paraId="5A83AC4F">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投诉书范本</w:t>
      </w:r>
    </w:p>
    <w:p w14:paraId="4390EA05">
      <w:pPr>
        <w:kinsoku/>
        <w:wordWrap/>
        <w:overflowPunct/>
        <w:topLinePunct w:val="0"/>
        <w:bidi w:val="0"/>
        <w:spacing w:line="360" w:lineRule="auto"/>
        <w:outlineLvl w:val="9"/>
        <w:rPr>
          <w:rFonts w:ascii="宋体" w:hAnsi="宋体" w:cs="宋体"/>
          <w:sz w:val="24"/>
        </w:rPr>
      </w:pPr>
      <w:r>
        <w:rPr>
          <w:rFonts w:hint="eastAsia" w:ascii="宋体" w:hAnsi="宋体" w:cs="宋体"/>
          <w:sz w:val="24"/>
        </w:rPr>
        <w:t>一、投诉相关主体基本情况</w:t>
      </w:r>
    </w:p>
    <w:p w14:paraId="45062E30">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8EE7A3B">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4716E29">
      <w:pPr>
        <w:tabs>
          <w:tab w:val="left" w:pos="6510"/>
        </w:tabs>
        <w:kinsoku/>
        <w:wordWrap/>
        <w:overflowPunct/>
        <w:topLinePunct w:val="0"/>
        <w:bidi w:val="0"/>
        <w:spacing w:line="360" w:lineRule="auto"/>
        <w:jc w:val="left"/>
        <w:outlineLvl w:val="9"/>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52006E1">
      <w:pPr>
        <w:tabs>
          <w:tab w:val="left" w:pos="6510"/>
        </w:tabs>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39BB21A">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0CF1233">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66F1FE5">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487A86F">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0520284">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6B20AA4">
      <w:pPr>
        <w:kinsoku/>
        <w:wordWrap/>
        <w:overflowPunct/>
        <w:topLinePunct w:val="0"/>
        <w:bidi w:val="0"/>
        <w:spacing w:line="360" w:lineRule="auto"/>
        <w:outlineLvl w:val="9"/>
        <w:rPr>
          <w:rFonts w:ascii="宋体" w:hAnsi="宋体" w:cs="宋体"/>
          <w:sz w:val="24"/>
        </w:rPr>
      </w:pPr>
      <w:r>
        <w:rPr>
          <w:rFonts w:hint="eastAsia" w:ascii="宋体" w:hAnsi="宋体" w:cs="宋体"/>
          <w:sz w:val="24"/>
        </w:rPr>
        <w:t>被投诉人2</w:t>
      </w:r>
    </w:p>
    <w:p w14:paraId="123A0FA4">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w:t>
      </w:r>
    </w:p>
    <w:p w14:paraId="6BE25DA3">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54C182">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0868381">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CD62AC2">
      <w:pPr>
        <w:kinsoku/>
        <w:wordWrap/>
        <w:overflowPunct/>
        <w:topLinePunct w:val="0"/>
        <w:bidi w:val="0"/>
        <w:spacing w:line="360" w:lineRule="auto"/>
        <w:outlineLvl w:val="9"/>
        <w:rPr>
          <w:rFonts w:ascii="宋体" w:hAnsi="宋体" w:cs="宋体"/>
          <w:sz w:val="24"/>
        </w:rPr>
      </w:pPr>
      <w:r>
        <w:rPr>
          <w:rFonts w:hint="eastAsia" w:ascii="宋体" w:hAnsi="宋体" w:cs="宋体"/>
          <w:sz w:val="24"/>
        </w:rPr>
        <w:t>二、投诉项目基本情况</w:t>
      </w:r>
    </w:p>
    <w:p w14:paraId="307DCCF6">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BD5B98E">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27E589F">
      <w:pPr>
        <w:kinsoku/>
        <w:wordWrap/>
        <w:overflowPunct/>
        <w:topLinePunct w:val="0"/>
        <w:bidi w:val="0"/>
        <w:spacing w:line="360" w:lineRule="auto"/>
        <w:outlineLvl w:val="9"/>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B8EDB4D">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8F45865">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CF5ECAF">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69B002">
      <w:pPr>
        <w:kinsoku/>
        <w:wordWrap/>
        <w:overflowPunct/>
        <w:topLinePunct w:val="0"/>
        <w:bidi w:val="0"/>
        <w:spacing w:line="360" w:lineRule="auto"/>
        <w:outlineLvl w:val="9"/>
        <w:rPr>
          <w:rFonts w:ascii="宋体" w:hAnsi="宋体" w:cs="宋体"/>
          <w:sz w:val="24"/>
        </w:rPr>
      </w:pPr>
      <w:r>
        <w:rPr>
          <w:rFonts w:hint="eastAsia" w:ascii="宋体" w:hAnsi="宋体" w:cs="宋体"/>
          <w:sz w:val="24"/>
        </w:rPr>
        <w:t>三、质疑基本情况</w:t>
      </w:r>
    </w:p>
    <w:p w14:paraId="2527D2A5">
      <w:pPr>
        <w:kinsoku/>
        <w:wordWrap/>
        <w:overflowPunct/>
        <w:topLinePunct w:val="0"/>
        <w:bidi w:val="0"/>
        <w:spacing w:line="360" w:lineRule="auto"/>
        <w:ind w:firstLine="480" w:firstLineChars="200"/>
        <w:outlineLvl w:val="9"/>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450FA7D">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02B9B9D">
      <w:pPr>
        <w:kinsoku/>
        <w:wordWrap/>
        <w:overflowPunct/>
        <w:topLinePunct w:val="0"/>
        <w:bidi w:val="0"/>
        <w:spacing w:line="360" w:lineRule="auto"/>
        <w:ind w:firstLine="360" w:firstLineChars="150"/>
        <w:outlineLvl w:val="9"/>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7EF7240">
      <w:pPr>
        <w:kinsoku/>
        <w:wordWrap/>
        <w:overflowPunct/>
        <w:topLinePunct w:val="0"/>
        <w:bidi w:val="0"/>
        <w:spacing w:line="360" w:lineRule="auto"/>
        <w:outlineLvl w:val="9"/>
        <w:rPr>
          <w:rFonts w:ascii="宋体" w:hAnsi="宋体" w:cs="宋体"/>
          <w:sz w:val="24"/>
        </w:rPr>
      </w:pPr>
      <w:r>
        <w:rPr>
          <w:rFonts w:hint="eastAsia" w:ascii="宋体" w:hAnsi="宋体" w:cs="宋体"/>
          <w:sz w:val="24"/>
        </w:rPr>
        <w:t>四、投诉事项具体内容</w:t>
      </w:r>
    </w:p>
    <w:p w14:paraId="33D875D3">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AFC534A">
      <w:pPr>
        <w:kinsoku/>
        <w:wordWrap/>
        <w:overflowPunct/>
        <w:topLinePunct w:val="0"/>
        <w:bidi w:val="0"/>
        <w:spacing w:line="360" w:lineRule="auto"/>
        <w:outlineLvl w:val="9"/>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4AFD46C">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p>
    <w:p w14:paraId="2B6D2D47">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AB2C347">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p>
    <w:p w14:paraId="40547395">
      <w:pPr>
        <w:kinsoku/>
        <w:wordWrap/>
        <w:overflowPunct/>
        <w:topLinePunct w:val="0"/>
        <w:bidi w:val="0"/>
        <w:spacing w:line="360" w:lineRule="auto"/>
        <w:outlineLvl w:val="9"/>
        <w:rPr>
          <w:rFonts w:ascii="宋体" w:hAnsi="宋体" w:cs="宋体"/>
          <w:sz w:val="24"/>
        </w:rPr>
      </w:pPr>
      <w:r>
        <w:rPr>
          <w:rFonts w:hint="eastAsia" w:ascii="宋体" w:hAnsi="宋体" w:cs="宋体"/>
          <w:sz w:val="24"/>
        </w:rPr>
        <w:t>投诉事项2</w:t>
      </w:r>
    </w:p>
    <w:p w14:paraId="3D122762">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w:t>
      </w:r>
    </w:p>
    <w:p w14:paraId="4462E018">
      <w:pPr>
        <w:kinsoku/>
        <w:wordWrap/>
        <w:overflowPunct/>
        <w:topLinePunct w:val="0"/>
        <w:bidi w:val="0"/>
        <w:spacing w:line="360" w:lineRule="auto"/>
        <w:outlineLvl w:val="9"/>
        <w:rPr>
          <w:rFonts w:ascii="宋体" w:hAnsi="宋体" w:cs="宋体"/>
          <w:sz w:val="24"/>
        </w:rPr>
      </w:pPr>
      <w:r>
        <w:rPr>
          <w:rFonts w:hint="eastAsia" w:ascii="宋体" w:hAnsi="宋体" w:cs="宋体"/>
          <w:sz w:val="24"/>
        </w:rPr>
        <w:t>五、与投诉事项相关的投诉请求</w:t>
      </w:r>
    </w:p>
    <w:p w14:paraId="6DDB61EE">
      <w:pPr>
        <w:kinsoku/>
        <w:wordWrap/>
        <w:overflowPunct/>
        <w:topLinePunct w:val="0"/>
        <w:bidi w:val="0"/>
        <w:spacing w:line="360" w:lineRule="auto"/>
        <w:outlineLvl w:val="9"/>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6B87A8C9">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 xml:space="preserve">                                                                                                    </w:t>
      </w:r>
    </w:p>
    <w:p w14:paraId="6A09E8F3">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签字(签章)：                   公章：                      </w:t>
      </w:r>
    </w:p>
    <w:p w14:paraId="0B10B7B2">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日期：    </w:t>
      </w:r>
    </w:p>
    <w:p w14:paraId="29F5E49D">
      <w:pPr>
        <w:kinsoku/>
        <w:wordWrap/>
        <w:overflowPunct/>
        <w:topLinePunct w:val="0"/>
        <w:bidi w:val="0"/>
        <w:spacing w:line="360" w:lineRule="auto"/>
        <w:outlineLvl w:val="9"/>
        <w:rPr>
          <w:rFonts w:ascii="宋体" w:hAnsi="宋体" w:cs="宋体"/>
          <w:b/>
          <w:sz w:val="24"/>
        </w:rPr>
      </w:pPr>
    </w:p>
    <w:p w14:paraId="6D317DE7">
      <w:pPr>
        <w:kinsoku/>
        <w:wordWrap/>
        <w:overflowPunct/>
        <w:topLinePunct w:val="0"/>
        <w:bidi w:val="0"/>
        <w:spacing w:line="360" w:lineRule="auto"/>
        <w:outlineLvl w:val="9"/>
        <w:rPr>
          <w:rFonts w:ascii="宋体" w:hAnsi="宋体" w:cs="宋体"/>
          <w:b/>
          <w:sz w:val="24"/>
        </w:rPr>
      </w:pPr>
    </w:p>
    <w:p w14:paraId="410B39B3">
      <w:pPr>
        <w:kinsoku/>
        <w:wordWrap/>
        <w:overflowPunct/>
        <w:topLinePunct w:val="0"/>
        <w:bidi w:val="0"/>
        <w:spacing w:line="360" w:lineRule="auto"/>
        <w:outlineLvl w:val="9"/>
        <w:rPr>
          <w:rFonts w:ascii="宋体" w:hAnsi="宋体" w:cs="宋体"/>
          <w:b/>
          <w:sz w:val="24"/>
        </w:rPr>
      </w:pPr>
      <w:r>
        <w:rPr>
          <w:rFonts w:hint="eastAsia" w:ascii="宋体" w:hAnsi="宋体" w:cs="宋体"/>
          <w:b/>
          <w:sz w:val="24"/>
        </w:rPr>
        <w:t>投诉书制作说明：</w:t>
      </w:r>
    </w:p>
    <w:p w14:paraId="227C22BF">
      <w:pPr>
        <w:widowControl/>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458B64A">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81B516A">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3.投诉人若对项目的某一分包进行投诉，投诉书应列明具体分包号。</w:t>
      </w:r>
    </w:p>
    <w:p w14:paraId="47D6E54B">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4.投诉书应简要列明质疑事项，质疑函、质疑答复等作为附件材料提供。</w:t>
      </w:r>
    </w:p>
    <w:p w14:paraId="0143D11F">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5.投诉书的投诉事项应具体、明确，并有必要的事实依据和法律依据。</w:t>
      </w:r>
    </w:p>
    <w:p w14:paraId="7E5EB52D">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6.投诉书的投诉请求应与投诉事项相关。</w:t>
      </w:r>
    </w:p>
    <w:p w14:paraId="58621707">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9CE2B68">
      <w:pPr>
        <w:kinsoku/>
        <w:wordWrap/>
        <w:overflowPunct/>
        <w:topLinePunct w:val="0"/>
        <w:bidi w:val="0"/>
        <w:spacing w:line="360" w:lineRule="auto"/>
        <w:outlineLvl w:val="9"/>
        <w:rPr>
          <w:rFonts w:ascii="宋体" w:hAnsi="宋体" w:cs="宋体"/>
          <w:b/>
          <w:sz w:val="24"/>
        </w:rPr>
      </w:pPr>
    </w:p>
    <w:p w14:paraId="77D1F691">
      <w:pPr>
        <w:kinsoku/>
        <w:wordWrap/>
        <w:overflowPunct/>
        <w:topLinePunct w:val="0"/>
        <w:autoSpaceDE w:val="0"/>
        <w:autoSpaceDN w:val="0"/>
        <w:bidi w:val="0"/>
        <w:jc w:val="center"/>
        <w:outlineLvl w:val="9"/>
        <w:rPr>
          <w:rFonts w:ascii="宋体" w:hAnsi="宋体" w:cs="宋体"/>
          <w:b/>
          <w:spacing w:val="6"/>
          <w:sz w:val="32"/>
          <w:szCs w:val="32"/>
        </w:rPr>
      </w:pPr>
    </w:p>
    <w:p w14:paraId="05DF0C01">
      <w:pPr>
        <w:kinsoku/>
        <w:wordWrap/>
        <w:overflowPunct/>
        <w:topLinePunct w:val="0"/>
        <w:bidi w:val="0"/>
        <w:outlineLvl w:val="9"/>
        <w:rPr>
          <w:rFonts w:ascii="宋体" w:hAnsi="宋体" w:cs="宋体"/>
          <w:b/>
          <w:spacing w:val="6"/>
          <w:sz w:val="32"/>
          <w:szCs w:val="32"/>
        </w:rPr>
      </w:pPr>
      <w:r>
        <w:rPr>
          <w:rFonts w:hint="eastAsia" w:ascii="宋体" w:hAnsi="宋体" w:cs="宋体"/>
          <w:b/>
          <w:spacing w:val="6"/>
          <w:sz w:val="32"/>
          <w:szCs w:val="32"/>
        </w:rPr>
        <w:br w:type="page"/>
      </w:r>
    </w:p>
    <w:p w14:paraId="7D682257">
      <w:pPr>
        <w:kinsoku/>
        <w:wordWrap/>
        <w:overflowPunct/>
        <w:topLinePunct w:val="0"/>
        <w:autoSpaceDE w:val="0"/>
        <w:autoSpaceDN w:val="0"/>
        <w:bidi w:val="0"/>
        <w:jc w:val="left"/>
        <w:outlineLvl w:val="9"/>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0FFEBD7">
      <w:pPr>
        <w:kinsoku/>
        <w:wordWrap/>
        <w:overflowPunct/>
        <w:topLinePunct w:val="0"/>
        <w:bidi w:val="0"/>
        <w:spacing w:line="360" w:lineRule="auto"/>
        <w:outlineLvl w:val="9"/>
        <w:rPr>
          <w:rFonts w:ascii="宋体" w:hAnsi="宋体" w:cs="宋体"/>
          <w:sz w:val="24"/>
          <w:u w:val="single"/>
        </w:rPr>
      </w:pPr>
    </w:p>
    <w:p w14:paraId="4A04C72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p>
    <w:p w14:paraId="52CB4BE9">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(供应商全称)是中华人民共和国依法登记注册的合法企业，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3305F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2FFB5218">
      <w:pPr>
        <w:kinsoku/>
        <w:wordWrap/>
        <w:overflowPunct/>
        <w:topLinePunct w:val="0"/>
        <w:bidi w:val="0"/>
        <w:spacing w:line="360" w:lineRule="auto"/>
        <w:ind w:firstLine="494"/>
        <w:outlineLvl w:val="9"/>
        <w:rPr>
          <w:rFonts w:ascii="宋体" w:hAnsi="宋体" w:cs="宋体"/>
          <w:sz w:val="24"/>
        </w:rPr>
      </w:pPr>
    </w:p>
    <w:p w14:paraId="11986EA0">
      <w:pPr>
        <w:kinsoku/>
        <w:wordWrap/>
        <w:overflowPunct/>
        <w:topLinePunct w:val="0"/>
        <w:bidi w:val="0"/>
        <w:spacing w:line="360" w:lineRule="auto"/>
        <w:ind w:firstLine="494"/>
        <w:outlineLvl w:val="9"/>
        <w:rPr>
          <w:rFonts w:ascii="宋体" w:hAnsi="宋体" w:cs="宋体"/>
          <w:sz w:val="24"/>
        </w:rPr>
      </w:pPr>
    </w:p>
    <w:p w14:paraId="60709C83">
      <w:pPr>
        <w:kinsoku/>
        <w:wordWrap/>
        <w:overflowPunct/>
        <w:topLinePunct w:val="0"/>
        <w:bidi w:val="0"/>
        <w:spacing w:line="360" w:lineRule="auto"/>
        <w:ind w:firstLine="494"/>
        <w:outlineLvl w:val="9"/>
        <w:rPr>
          <w:rFonts w:ascii="宋体" w:hAnsi="宋体" w:cs="宋体"/>
          <w:sz w:val="24"/>
        </w:rPr>
      </w:pPr>
    </w:p>
    <w:p w14:paraId="76E0A5B2">
      <w:pPr>
        <w:kinsoku/>
        <w:wordWrap/>
        <w:overflowPunct/>
        <w:topLinePunct w:val="0"/>
        <w:bidi w:val="0"/>
        <w:spacing w:line="360" w:lineRule="auto"/>
        <w:ind w:firstLine="494"/>
        <w:outlineLvl w:val="9"/>
        <w:rPr>
          <w:rFonts w:ascii="宋体" w:hAnsi="宋体" w:cs="宋体"/>
          <w:sz w:val="24"/>
        </w:rPr>
      </w:pPr>
    </w:p>
    <w:p w14:paraId="7D58E46E">
      <w:pPr>
        <w:kinsoku/>
        <w:wordWrap/>
        <w:overflowPunct/>
        <w:topLinePunct w:val="0"/>
        <w:bidi w:val="0"/>
        <w:spacing w:line="360" w:lineRule="auto"/>
        <w:ind w:right="480" w:firstLine="4080" w:firstLineChars="1700"/>
        <w:outlineLvl w:val="9"/>
        <w:rPr>
          <w:rFonts w:ascii="宋体" w:hAnsi="宋体" w:cs="宋体"/>
          <w:sz w:val="24"/>
        </w:rPr>
      </w:pPr>
      <w:r>
        <w:rPr>
          <w:rFonts w:hint="eastAsia" w:ascii="宋体" w:hAnsi="宋体" w:cs="宋体"/>
          <w:sz w:val="24"/>
        </w:rPr>
        <w:t>供应商（法定名称章）：</w:t>
      </w:r>
    </w:p>
    <w:p w14:paraId="672E9985">
      <w:pPr>
        <w:kinsoku/>
        <w:wordWrap/>
        <w:overflowPunct/>
        <w:topLinePunct w:val="0"/>
        <w:bidi w:val="0"/>
        <w:ind w:right="1440" w:firstLine="494"/>
        <w:jc w:val="center"/>
        <w:outlineLvl w:val="9"/>
        <w:rPr>
          <w:rFonts w:ascii="宋体" w:hAnsi="宋体" w:cs="宋体"/>
          <w:sz w:val="24"/>
        </w:rPr>
      </w:pPr>
      <w:r>
        <w:rPr>
          <w:rFonts w:hint="eastAsia" w:ascii="宋体" w:hAnsi="宋体" w:cs="宋体"/>
          <w:sz w:val="24"/>
        </w:rPr>
        <w:t xml:space="preserve">                              日期：       年     月     日</w:t>
      </w:r>
    </w:p>
    <w:p w14:paraId="7A458265">
      <w:pPr>
        <w:kinsoku/>
        <w:wordWrap/>
        <w:overflowPunct/>
        <w:topLinePunct w:val="0"/>
        <w:bidi w:val="0"/>
        <w:outlineLvl w:val="9"/>
        <w:rPr>
          <w:rFonts w:ascii="宋体" w:hAnsi="宋体" w:cs="宋体"/>
          <w:sz w:val="24"/>
        </w:rPr>
      </w:pPr>
      <w:r>
        <w:rPr>
          <w:rFonts w:hint="eastAsia" w:ascii="宋体" w:hAnsi="宋体" w:cs="宋体"/>
          <w:b/>
          <w:bCs/>
          <w:sz w:val="24"/>
        </w:rPr>
        <w:t>附：</w:t>
      </w:r>
    </w:p>
    <w:p w14:paraId="483DFA23">
      <w:pPr>
        <w:kinsoku/>
        <w:wordWrap/>
        <w:overflowPunct/>
        <w:topLinePunct w:val="0"/>
        <w:bidi w:val="0"/>
        <w:spacing w:line="360" w:lineRule="auto"/>
        <w:outlineLvl w:val="9"/>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99C1D21">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99C1D21">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7F34FBC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GRji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A38ZGOLwIAAH8EAAAOAAAAAAAAAAEAIAAAACcBAABkcnMvZTJvRG9jLnht&#10;bFBLBQYAAAAABgAGAFkBAADIBQAAAAA=&#10;">
                <v:fill on="t" focussize="0,0"/>
                <v:stroke color="#000000" miterlimit="2" joinstyle="miter"/>
                <v:imagedata o:title=""/>
                <o:lock v:ext="edit" aspectratio="f"/>
                <v:textbox>
                  <w:txbxContent>
                    <w:p w14:paraId="7F34FBC9">
                      <w:pPr>
                        <w:jc w:val="center"/>
                      </w:pPr>
                    </w:p>
                  </w:txbxContent>
                </v:textbox>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4352D381">
      <w:pPr>
        <w:kinsoku/>
        <w:wordWrap/>
        <w:overflowPunct/>
        <w:topLinePunct w:val="0"/>
        <w:autoSpaceDE w:val="0"/>
        <w:autoSpaceDN w:val="0"/>
        <w:bidi w:val="0"/>
        <w:jc w:val="center"/>
        <w:outlineLvl w:val="9"/>
        <w:rPr>
          <w:rFonts w:ascii="宋体" w:hAnsi="宋体" w:cs="宋体"/>
          <w:b/>
          <w:spacing w:val="6"/>
          <w:sz w:val="32"/>
          <w:szCs w:val="32"/>
        </w:rPr>
      </w:pPr>
    </w:p>
    <w:p w14:paraId="4EE7CF1D">
      <w:pPr>
        <w:kinsoku/>
        <w:wordWrap/>
        <w:overflowPunct/>
        <w:topLinePunct w:val="0"/>
        <w:autoSpaceDE w:val="0"/>
        <w:autoSpaceDN w:val="0"/>
        <w:bidi w:val="0"/>
        <w:jc w:val="center"/>
        <w:outlineLvl w:val="9"/>
        <w:rPr>
          <w:rFonts w:ascii="宋体" w:hAnsi="宋体" w:cs="宋体"/>
          <w:b/>
          <w:spacing w:val="6"/>
          <w:sz w:val="32"/>
          <w:szCs w:val="32"/>
        </w:rPr>
      </w:pPr>
    </w:p>
    <w:p w14:paraId="304185C4">
      <w:pPr>
        <w:kinsoku/>
        <w:wordWrap/>
        <w:overflowPunct/>
        <w:topLinePunct w:val="0"/>
        <w:autoSpaceDE w:val="0"/>
        <w:autoSpaceDN w:val="0"/>
        <w:bidi w:val="0"/>
        <w:jc w:val="center"/>
        <w:outlineLvl w:val="9"/>
        <w:rPr>
          <w:rFonts w:ascii="宋体" w:hAnsi="宋体" w:cs="宋体"/>
          <w:b/>
          <w:spacing w:val="6"/>
          <w:sz w:val="32"/>
          <w:szCs w:val="32"/>
        </w:rPr>
      </w:pPr>
    </w:p>
    <w:p w14:paraId="01516409">
      <w:pPr>
        <w:kinsoku/>
        <w:wordWrap/>
        <w:overflowPunct/>
        <w:topLinePunct w:val="0"/>
        <w:autoSpaceDE w:val="0"/>
        <w:autoSpaceDN w:val="0"/>
        <w:bidi w:val="0"/>
        <w:jc w:val="center"/>
        <w:outlineLvl w:val="9"/>
        <w:rPr>
          <w:rFonts w:ascii="宋体" w:hAnsi="宋体" w:cs="宋体"/>
          <w:b/>
          <w:spacing w:val="6"/>
          <w:sz w:val="32"/>
          <w:szCs w:val="32"/>
        </w:rPr>
      </w:pPr>
    </w:p>
    <w:p w14:paraId="32137FED">
      <w:pPr>
        <w:kinsoku/>
        <w:wordWrap/>
        <w:overflowPunct/>
        <w:topLinePunct w:val="0"/>
        <w:autoSpaceDE w:val="0"/>
        <w:autoSpaceDN w:val="0"/>
        <w:bidi w:val="0"/>
        <w:jc w:val="center"/>
        <w:outlineLvl w:val="9"/>
        <w:rPr>
          <w:rFonts w:ascii="宋体" w:hAnsi="宋体" w:cs="宋体"/>
          <w:b/>
          <w:spacing w:val="6"/>
          <w:sz w:val="32"/>
          <w:szCs w:val="32"/>
        </w:rPr>
      </w:pPr>
    </w:p>
    <w:p w14:paraId="700F23A1">
      <w:pPr>
        <w:kinsoku/>
        <w:wordWrap/>
        <w:overflowPunct/>
        <w:topLinePunct w:val="0"/>
        <w:autoSpaceDE w:val="0"/>
        <w:autoSpaceDN w:val="0"/>
        <w:bidi w:val="0"/>
        <w:jc w:val="center"/>
        <w:outlineLvl w:val="9"/>
        <w:rPr>
          <w:rFonts w:ascii="宋体" w:hAnsi="宋体" w:cs="宋体"/>
          <w:b/>
          <w:spacing w:val="6"/>
          <w:sz w:val="32"/>
          <w:szCs w:val="32"/>
        </w:rPr>
      </w:pPr>
    </w:p>
    <w:p w14:paraId="5BDE75E3">
      <w:pPr>
        <w:kinsoku/>
        <w:wordWrap/>
        <w:overflowPunct/>
        <w:topLinePunct w:val="0"/>
        <w:autoSpaceDE w:val="0"/>
        <w:autoSpaceDN w:val="0"/>
        <w:bidi w:val="0"/>
        <w:jc w:val="center"/>
        <w:outlineLvl w:val="9"/>
        <w:rPr>
          <w:rFonts w:ascii="宋体" w:hAnsi="宋体" w:cs="宋体"/>
          <w:b/>
          <w:spacing w:val="6"/>
          <w:sz w:val="32"/>
          <w:szCs w:val="32"/>
        </w:rPr>
      </w:pPr>
    </w:p>
    <w:p w14:paraId="5AA65F26">
      <w:pPr>
        <w:kinsoku/>
        <w:wordWrap/>
        <w:overflowPunct/>
        <w:topLinePunct w:val="0"/>
        <w:autoSpaceDE w:val="0"/>
        <w:autoSpaceDN w:val="0"/>
        <w:bidi w:val="0"/>
        <w:jc w:val="center"/>
        <w:outlineLvl w:val="9"/>
        <w:rPr>
          <w:rFonts w:ascii="宋体" w:hAnsi="宋体" w:cs="宋体"/>
          <w:b/>
          <w:spacing w:val="6"/>
          <w:sz w:val="32"/>
          <w:szCs w:val="32"/>
        </w:rPr>
      </w:pPr>
    </w:p>
    <w:p w14:paraId="3B9623B0">
      <w:pPr>
        <w:kinsoku/>
        <w:wordWrap/>
        <w:overflowPunct/>
        <w:topLinePunct w:val="0"/>
        <w:autoSpaceDE w:val="0"/>
        <w:autoSpaceDN w:val="0"/>
        <w:bidi w:val="0"/>
        <w:jc w:val="center"/>
        <w:outlineLvl w:val="9"/>
        <w:rPr>
          <w:rFonts w:ascii="宋体" w:hAnsi="宋体" w:cs="宋体"/>
          <w:b/>
          <w:spacing w:val="6"/>
          <w:sz w:val="32"/>
          <w:szCs w:val="32"/>
        </w:rPr>
      </w:pPr>
    </w:p>
    <w:p w14:paraId="5C13F3B3">
      <w:pPr>
        <w:kinsoku/>
        <w:wordWrap/>
        <w:overflowPunct/>
        <w:topLinePunct w:val="0"/>
        <w:autoSpaceDE w:val="0"/>
        <w:autoSpaceDN w:val="0"/>
        <w:bidi w:val="0"/>
        <w:jc w:val="center"/>
        <w:outlineLvl w:val="9"/>
        <w:rPr>
          <w:rFonts w:ascii="宋体" w:hAnsi="宋体" w:cs="宋体"/>
          <w:b/>
          <w:spacing w:val="6"/>
          <w:sz w:val="32"/>
          <w:szCs w:val="32"/>
        </w:rPr>
      </w:pPr>
    </w:p>
    <w:p w14:paraId="61BF58BD">
      <w:pPr>
        <w:kinsoku/>
        <w:wordWrap/>
        <w:overflowPunct/>
        <w:topLinePunct w:val="0"/>
        <w:autoSpaceDE w:val="0"/>
        <w:autoSpaceDN w:val="0"/>
        <w:bidi w:val="0"/>
        <w:jc w:val="center"/>
        <w:outlineLvl w:val="9"/>
        <w:rPr>
          <w:rFonts w:ascii="宋体" w:hAnsi="宋体" w:cs="宋体"/>
          <w:b/>
          <w:spacing w:val="6"/>
          <w:sz w:val="32"/>
          <w:szCs w:val="32"/>
        </w:rPr>
      </w:pPr>
    </w:p>
    <w:p w14:paraId="5D3CB979">
      <w:pPr>
        <w:kinsoku/>
        <w:wordWrap/>
        <w:overflowPunct/>
        <w:topLinePunct w:val="0"/>
        <w:autoSpaceDE w:val="0"/>
        <w:autoSpaceDN w:val="0"/>
        <w:bidi w:val="0"/>
        <w:jc w:val="center"/>
        <w:outlineLvl w:val="9"/>
        <w:rPr>
          <w:rFonts w:ascii="宋体" w:hAnsi="宋体" w:cs="宋体"/>
          <w:b/>
          <w:spacing w:val="6"/>
          <w:sz w:val="32"/>
          <w:szCs w:val="32"/>
        </w:rPr>
      </w:pPr>
    </w:p>
    <w:p w14:paraId="553C5B1F">
      <w:pPr>
        <w:kinsoku/>
        <w:wordWrap/>
        <w:overflowPunct/>
        <w:topLinePunct w:val="0"/>
        <w:autoSpaceDE w:val="0"/>
        <w:autoSpaceDN w:val="0"/>
        <w:bidi w:val="0"/>
        <w:jc w:val="center"/>
        <w:outlineLvl w:val="9"/>
        <w:rPr>
          <w:rFonts w:ascii="宋体" w:hAnsi="宋体" w:cs="宋体"/>
          <w:b/>
          <w:spacing w:val="6"/>
          <w:sz w:val="32"/>
          <w:szCs w:val="32"/>
        </w:rPr>
      </w:pPr>
    </w:p>
    <w:p w14:paraId="04A83803">
      <w:pPr>
        <w:kinsoku/>
        <w:wordWrap/>
        <w:overflowPunct/>
        <w:topLinePunct w:val="0"/>
        <w:autoSpaceDE w:val="0"/>
        <w:autoSpaceDN w:val="0"/>
        <w:bidi w:val="0"/>
        <w:jc w:val="center"/>
        <w:outlineLvl w:val="9"/>
        <w:rPr>
          <w:rFonts w:ascii="宋体" w:hAnsi="宋体" w:cs="宋体"/>
          <w:b/>
          <w:spacing w:val="6"/>
          <w:sz w:val="32"/>
          <w:szCs w:val="32"/>
        </w:rPr>
      </w:pPr>
    </w:p>
    <w:p w14:paraId="65ABCC64">
      <w:pPr>
        <w:kinsoku/>
        <w:wordWrap/>
        <w:overflowPunct/>
        <w:topLinePunct w:val="0"/>
        <w:autoSpaceDE w:val="0"/>
        <w:autoSpaceDN w:val="0"/>
        <w:bidi w:val="0"/>
        <w:jc w:val="center"/>
        <w:outlineLvl w:val="9"/>
        <w:rPr>
          <w:rFonts w:ascii="宋体" w:hAnsi="宋体" w:cs="宋体"/>
          <w:b/>
          <w:spacing w:val="6"/>
          <w:sz w:val="32"/>
          <w:szCs w:val="32"/>
        </w:rPr>
      </w:pPr>
    </w:p>
    <w:p w14:paraId="5684BC7F">
      <w:pPr>
        <w:pStyle w:val="39"/>
      </w:pPr>
    </w:p>
    <w:p w14:paraId="697A1ECE">
      <w:pPr>
        <w:kinsoku/>
        <w:wordWrap/>
        <w:overflowPunct/>
        <w:topLinePunct w:val="0"/>
        <w:autoSpaceDE w:val="0"/>
        <w:autoSpaceDN w:val="0"/>
        <w:bidi w:val="0"/>
        <w:jc w:val="center"/>
        <w:outlineLvl w:val="9"/>
        <w:rPr>
          <w:rFonts w:ascii="宋体" w:hAnsi="宋体" w:cs="宋体"/>
          <w:b/>
          <w:spacing w:val="6"/>
          <w:sz w:val="32"/>
          <w:szCs w:val="32"/>
        </w:rPr>
      </w:pPr>
    </w:p>
    <w:p w14:paraId="34C5EF77">
      <w:pPr>
        <w:kinsoku/>
        <w:wordWrap/>
        <w:overflowPunct/>
        <w:topLinePunct w:val="0"/>
        <w:autoSpaceDE w:val="0"/>
        <w:autoSpaceDN w:val="0"/>
        <w:bidi w:val="0"/>
        <w:spacing w:line="312" w:lineRule="auto"/>
        <w:jc w:val="left"/>
        <w:outlineLvl w:val="9"/>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0F227B0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（以联合体形式参与的，提供联合协议；本项目不接受联合体或者供应商不以联合体形式参与的，则不需要提供）</w:t>
      </w:r>
    </w:p>
    <w:p w14:paraId="4B0BC9A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 xml:space="preserve">。 </w:t>
      </w:r>
    </w:p>
    <w:p w14:paraId="7498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397491D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授权代表根据采购文件规定及</w:t>
      </w:r>
      <w:r>
        <w:rPr>
          <w:rFonts w:hint="eastAsia" w:ascii="宋体" w:hAnsi="宋体" w:cs="宋体"/>
          <w:color w:val="auto"/>
          <w:kern w:val="0"/>
          <w:sz w:val="21"/>
          <w:szCs w:val="21"/>
          <w:highlight w:val="none"/>
        </w:rPr>
        <w:t>响应内容</w:t>
      </w:r>
      <w:r>
        <w:rPr>
          <w:rFonts w:hint="eastAsia" w:ascii="宋体" w:hAnsi="宋体" w:cs="宋体"/>
          <w:color w:val="auto"/>
          <w:kern w:val="0"/>
          <w:sz w:val="21"/>
          <w:szCs w:val="21"/>
          <w:highlight w:val="none"/>
          <w:lang w:val="zh-CN"/>
        </w:rPr>
        <w:t>而对采购人、采购代理机构所作的任何合法承诺，包括书面澄清及相应等均对联合投标各方产生约束力。</w:t>
      </w:r>
    </w:p>
    <w:p w14:paraId="195F46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中，分工如下：</w:t>
      </w:r>
    </w:p>
    <w:p w14:paraId="4A9DFC3A">
      <w:pPr>
        <w:snapToGrid w:val="0"/>
        <w:spacing w:line="360" w:lineRule="auto"/>
        <w:ind w:firstLine="576"/>
        <w:rPr>
          <w:rFonts w:ascii="宋体" w:hAnsi="宋体" w:cs="宋体"/>
          <w:color w:val="auto"/>
          <w:kern w:val="0"/>
          <w:sz w:val="21"/>
          <w:szCs w:val="21"/>
          <w:highlight w:val="none"/>
          <w:lang w:val="zh-CN"/>
        </w:rPr>
      </w:pPr>
      <w:bookmarkStart w:id="566"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2BAB5AA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6B325A0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566"/>
    <w:p w14:paraId="2DBC89D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6609A4DF">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提供的全部工程由小微企业承建，其合同份额占到合同总金额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w:t>
      </w:r>
      <w:r>
        <w:rPr>
          <w:rFonts w:hint="eastAsia" w:ascii="宋体" w:hAnsi="宋体" w:cs="宋体"/>
          <w:b/>
          <w:color w:val="auto"/>
          <w:kern w:val="0"/>
          <w:sz w:val="21"/>
          <w:szCs w:val="21"/>
          <w:highlight w:val="none"/>
        </w:rPr>
        <w:t>磋商</w:t>
      </w:r>
      <w:r>
        <w:rPr>
          <w:rFonts w:hint="eastAsia" w:ascii="宋体" w:hAnsi="宋体" w:cs="宋体"/>
          <w:b/>
          <w:color w:val="auto"/>
          <w:kern w:val="0"/>
          <w:sz w:val="21"/>
          <w:szCs w:val="21"/>
          <w:highlight w:val="none"/>
          <w:lang w:val="zh-CN"/>
        </w:rPr>
        <w:t>的，联合协议约定小微企业的合同份额占到合同总金额30%以上的，对联合体报价给予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F591CF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6DB96CD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五、如果成交，</w:t>
      </w:r>
      <w:r>
        <w:rPr>
          <w:rFonts w:hint="eastAsia" w:ascii="宋体" w:hAnsi="宋体" w:cs="宋体"/>
          <w:color w:val="auto"/>
          <w:sz w:val="21"/>
          <w:szCs w:val="21"/>
          <w:highlight w:val="none"/>
        </w:rPr>
        <w:t>联合体各成员方共同与采购人签订合同，并就采购合同约定的事项对采购人承担连带责任。</w:t>
      </w:r>
    </w:p>
    <w:p w14:paraId="2D60C55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的其他事宜：</w:t>
      </w:r>
    </w:p>
    <w:p w14:paraId="6937F0C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61B93B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DF2FA7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7323392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008532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07980E2">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5845F20">
      <w:pPr>
        <w:autoSpaceDE w:val="0"/>
        <w:autoSpaceDN w:val="0"/>
        <w:jc w:val="center"/>
        <w:rPr>
          <w:rFonts w:ascii="宋体" w:hAnsi="宋体" w:cs="宋体"/>
          <w:b/>
          <w:color w:val="auto"/>
          <w:spacing w:val="6"/>
          <w:sz w:val="21"/>
          <w:szCs w:val="21"/>
          <w:highlight w:val="none"/>
        </w:rPr>
        <w:sectPr>
          <w:footerReference r:id="rId19" w:type="first"/>
          <w:headerReference r:id="rId17" w:type="default"/>
          <w:footerReference r:id="rId18" w:type="default"/>
          <w:pgSz w:w="11906" w:h="16838"/>
          <w:pgMar w:top="1440" w:right="1080" w:bottom="1440" w:left="1080" w:header="851" w:footer="992" w:gutter="0"/>
          <w:pgNumType w:fmt="decimal"/>
          <w:cols w:space="720" w:num="1"/>
          <w:titlePg/>
          <w:docGrid w:linePitch="312" w:charSpace="0"/>
        </w:sectPr>
      </w:pPr>
    </w:p>
    <w:p w14:paraId="7F121548">
      <w:pPr>
        <w:kinsoku/>
        <w:wordWrap/>
        <w:overflowPunct/>
        <w:topLinePunct w:val="0"/>
        <w:bidi w:val="0"/>
        <w:snapToGrid w:val="0"/>
        <w:spacing w:line="360" w:lineRule="auto"/>
        <w:jc w:val="left"/>
        <w:outlineLvl w:val="9"/>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5B56865A">
      <w:pPr>
        <w:widowControl/>
        <w:spacing w:line="360" w:lineRule="auto"/>
        <w:ind w:firstLine="105" w:firstLineChars="50"/>
        <w:jc w:val="left"/>
        <w:rPr>
          <w:rFonts w:ascii="宋体" w:hAnsi="宋体" w:cs="宋体"/>
          <w:color w:val="auto"/>
          <w:sz w:val="21"/>
          <w:szCs w:val="21"/>
          <w:highlight w:val="none"/>
        </w:rPr>
      </w:pPr>
      <w:bookmarkStart w:id="567" w:name="_Toc30258"/>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1"/>
          <w:szCs w:val="21"/>
          <w:highlight w:val="none"/>
        </w:rPr>
        <w:t>）</w:t>
      </w:r>
    </w:p>
    <w:p w14:paraId="7043C4B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0229262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2F2F0A0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4C3C475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704FBC88">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……）提供的工程全部由小微企业承建，</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DA94D03">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568"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bookmarkEnd w:id="568"/>
    </w:p>
    <w:p w14:paraId="5443BEB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14D25E39">
      <w:pPr>
        <w:snapToGrid w:val="0"/>
        <w:spacing w:line="360" w:lineRule="auto"/>
        <w:ind w:firstLine="57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2990821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65106F0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52FFC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27A02BAE">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4852A47B">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00B6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DBFFA0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A047D7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77805567">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供应商名称(电子签名)：</w:t>
      </w:r>
    </w:p>
    <w:p w14:paraId="6E823EA0">
      <w:pPr>
        <w:snapToGrid w:val="0"/>
        <w:spacing w:line="360" w:lineRule="auto"/>
        <w:ind w:firstLine="4620" w:firstLineChars="2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w:t>
      </w:r>
    </w:p>
    <w:p w14:paraId="7CD8456B">
      <w:pPr>
        <w:kinsoku/>
        <w:wordWrap/>
        <w:overflowPunct/>
        <w:topLinePunct w:val="0"/>
        <w:autoSpaceDE w:val="0"/>
        <w:autoSpaceDN w:val="0"/>
        <w:bidi w:val="0"/>
        <w:jc w:val="center"/>
        <w:outlineLvl w:val="0"/>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zh-CN"/>
        </w:rPr>
        <w:t>日期：  年  月   日</w:t>
      </w:r>
    </w:p>
    <w:p w14:paraId="2D30BAE1">
      <w:pPr>
        <w:kinsoku/>
        <w:wordWrap/>
        <w:overflowPunct/>
        <w:topLinePunct w:val="0"/>
        <w:autoSpaceDE w:val="0"/>
        <w:autoSpaceDN w:val="0"/>
        <w:bidi w:val="0"/>
        <w:jc w:val="left"/>
        <w:outlineLvl w:val="0"/>
        <w:rPr>
          <w:rFonts w:hint="eastAsia" w:ascii="宋体" w:hAnsi="宋体" w:cs="宋体"/>
          <w:color w:val="auto"/>
          <w:kern w:val="0"/>
          <w:sz w:val="21"/>
          <w:szCs w:val="21"/>
          <w:highlight w:val="none"/>
          <w:lang w:val="zh-CN"/>
        </w:rPr>
      </w:pPr>
    </w:p>
    <w:p w14:paraId="721ED16A">
      <w:pPr>
        <w:kinsoku/>
        <w:wordWrap/>
        <w:overflowPunct/>
        <w:topLinePunct w:val="0"/>
        <w:autoSpaceDE w:val="0"/>
        <w:autoSpaceDN w:val="0"/>
        <w:bidi w:val="0"/>
        <w:jc w:val="left"/>
        <w:outlineLvl w:val="0"/>
        <w:rPr>
          <w:rFonts w:hint="eastAsia" w:ascii="宋体" w:hAnsi="宋体" w:cs="宋体"/>
          <w:color w:val="auto"/>
          <w:kern w:val="0"/>
          <w:sz w:val="21"/>
          <w:szCs w:val="21"/>
          <w:highlight w:val="none"/>
          <w:lang w:val="zh-CN"/>
        </w:rPr>
      </w:pPr>
    </w:p>
    <w:p w14:paraId="3606F186">
      <w:pPr>
        <w:kinsoku/>
        <w:wordWrap/>
        <w:overflowPunct/>
        <w:topLinePunct w:val="0"/>
        <w:autoSpaceDE w:val="0"/>
        <w:autoSpaceDN w:val="0"/>
        <w:bidi w:val="0"/>
        <w:jc w:val="left"/>
        <w:outlineLvl w:val="0"/>
        <w:rPr>
          <w:rFonts w:hint="eastAsia" w:ascii="宋体" w:hAnsi="宋体" w:cs="宋体"/>
          <w:color w:val="auto"/>
          <w:kern w:val="0"/>
          <w:sz w:val="21"/>
          <w:szCs w:val="21"/>
          <w:highlight w:val="none"/>
          <w:lang w:val="zh-CN"/>
        </w:rPr>
      </w:pPr>
    </w:p>
    <w:p w14:paraId="6E9AD62D">
      <w:pPr>
        <w:kinsoku/>
        <w:wordWrap/>
        <w:overflowPunct/>
        <w:topLinePunct w:val="0"/>
        <w:autoSpaceDE w:val="0"/>
        <w:autoSpaceDN w:val="0"/>
        <w:bidi w:val="0"/>
        <w:jc w:val="left"/>
        <w:outlineLvl w:val="0"/>
        <w:rPr>
          <w:rFonts w:hint="eastAsia" w:ascii="宋体" w:hAnsi="宋体" w:cs="宋体"/>
          <w:color w:val="auto"/>
          <w:kern w:val="0"/>
          <w:sz w:val="21"/>
          <w:szCs w:val="21"/>
          <w:highlight w:val="none"/>
          <w:lang w:val="zh-CN"/>
        </w:rPr>
      </w:pPr>
    </w:p>
    <w:p w14:paraId="5D2AE0D7">
      <w:pPr>
        <w:kinsoku/>
        <w:wordWrap/>
        <w:overflowPunct/>
        <w:topLinePunct w:val="0"/>
        <w:autoSpaceDE w:val="0"/>
        <w:autoSpaceDN w:val="0"/>
        <w:bidi w:val="0"/>
        <w:jc w:val="left"/>
        <w:outlineLvl w:val="0"/>
        <w:rPr>
          <w:rFonts w:hint="eastAsia" w:ascii="宋体" w:hAnsi="宋体" w:cs="宋体"/>
          <w:color w:val="auto"/>
          <w:kern w:val="0"/>
          <w:sz w:val="21"/>
          <w:szCs w:val="21"/>
          <w:highlight w:val="none"/>
          <w:lang w:val="zh-CN"/>
        </w:rPr>
      </w:pPr>
    </w:p>
    <w:p w14:paraId="48BC8DE6">
      <w:pPr>
        <w:kinsoku/>
        <w:wordWrap/>
        <w:overflowPunct/>
        <w:topLinePunct w:val="0"/>
        <w:autoSpaceDE w:val="0"/>
        <w:autoSpaceDN w:val="0"/>
        <w:bidi w:val="0"/>
        <w:jc w:val="left"/>
        <w:outlineLvl w:val="0"/>
        <w:rPr>
          <w:rFonts w:hint="eastAsia" w:ascii="宋体" w:hAnsi="宋体" w:cs="宋体"/>
          <w:color w:val="auto"/>
          <w:kern w:val="0"/>
          <w:sz w:val="21"/>
          <w:szCs w:val="21"/>
          <w:highlight w:val="none"/>
          <w:lang w:val="zh-CN"/>
        </w:rPr>
      </w:pPr>
    </w:p>
    <w:p w14:paraId="13F6937B">
      <w:pPr>
        <w:kinsoku/>
        <w:wordWrap/>
        <w:overflowPunct/>
        <w:topLinePunct w:val="0"/>
        <w:autoSpaceDE w:val="0"/>
        <w:autoSpaceDN w:val="0"/>
        <w:bidi w:val="0"/>
        <w:jc w:val="left"/>
        <w:outlineLvl w:val="0"/>
        <w:rPr>
          <w:rFonts w:hint="eastAsia" w:ascii="宋体" w:hAnsi="宋体" w:cs="宋体"/>
          <w:b/>
          <w:sz w:val="32"/>
          <w:szCs w:val="32"/>
        </w:rPr>
      </w:pPr>
      <w:r>
        <w:rPr>
          <w:rFonts w:hint="eastAsia" w:ascii="宋体" w:hAnsi="宋体" w:cs="宋体"/>
          <w:b/>
          <w:spacing w:val="6"/>
          <w:sz w:val="32"/>
          <w:szCs w:val="32"/>
        </w:rPr>
        <w:t>附件7：</w:t>
      </w:r>
      <w:r>
        <w:rPr>
          <w:rFonts w:hint="eastAsia" w:ascii="宋体" w:hAnsi="宋体" w:cs="宋体"/>
          <w:b/>
          <w:sz w:val="32"/>
          <w:szCs w:val="32"/>
        </w:rPr>
        <w:t>中小企业声明函</w:t>
      </w:r>
      <w:bookmarkEnd w:id="567"/>
    </w:p>
    <w:p w14:paraId="0324C95C">
      <w:pPr>
        <w:kinsoku/>
        <w:wordWrap/>
        <w:overflowPunct/>
        <w:topLinePunct w:val="0"/>
        <w:autoSpaceDE w:val="0"/>
        <w:autoSpaceDN w:val="0"/>
        <w:bidi w:val="0"/>
        <w:jc w:val="left"/>
        <w:outlineLvl w:val="0"/>
        <w:rPr>
          <w:rFonts w:hint="eastAsia" w:ascii="宋体" w:hAnsi="宋体" w:cs="宋体"/>
          <w:b/>
          <w:sz w:val="32"/>
          <w:szCs w:val="32"/>
        </w:rPr>
      </w:pPr>
    </w:p>
    <w:p w14:paraId="0BE1DAA4">
      <w:pPr>
        <w:kinsoku/>
        <w:wordWrap/>
        <w:overflowPunct/>
        <w:topLinePunct w:val="0"/>
        <w:bidi w:val="0"/>
        <w:spacing w:line="360" w:lineRule="auto"/>
        <w:jc w:val="center"/>
        <w:outlineLvl w:val="0"/>
        <w:rPr>
          <w:rFonts w:ascii="宋体" w:hAnsi="宋体" w:cs="宋体"/>
          <w:sz w:val="24"/>
          <w:u w:val="single"/>
        </w:rPr>
      </w:pPr>
      <w:bookmarkStart w:id="569" w:name="_Toc25136"/>
      <w:r>
        <w:rPr>
          <w:rFonts w:hint="eastAsia" w:ascii="宋体" w:hAnsi="宋体" w:cs="宋体"/>
          <w:b/>
          <w:sz w:val="32"/>
          <w:szCs w:val="32"/>
        </w:rPr>
        <w:t>中小企业声明函（工程）</w:t>
      </w:r>
      <w:bookmarkEnd w:id="569"/>
    </w:p>
    <w:p w14:paraId="0CFC9617">
      <w:pPr>
        <w:kinsoku/>
        <w:wordWrap/>
        <w:overflowPunct/>
        <w:topLinePunct w:val="0"/>
        <w:bidi w:val="0"/>
        <w:spacing w:line="360" w:lineRule="auto"/>
        <w:ind w:firstLine="360" w:firstLineChars="150"/>
        <w:jc w:val="left"/>
        <w:outlineLvl w:val="9"/>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F57F496">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u w:val="single"/>
          <w:lang w:eastAsia="zh-CN"/>
        </w:rPr>
        <w:t>宁海县殡仪馆礼厅装修改造项目</w:t>
      </w:r>
      <w:r>
        <w:rPr>
          <w:rFonts w:hint="eastAsia" w:ascii="宋体" w:hAnsi="宋体" w:cs="宋体"/>
          <w:sz w:val="24"/>
          <w:u w:val="single"/>
        </w:rPr>
        <w:t>）</w:t>
      </w:r>
      <w:r>
        <w:rPr>
          <w:rFonts w:hint="eastAsia" w:ascii="宋体" w:hAnsi="宋体" w:cs="宋体"/>
          <w:sz w:val="24"/>
        </w:rPr>
        <w:t xml:space="preserve">，属于 </w:t>
      </w:r>
      <w:r>
        <w:rPr>
          <w:rFonts w:hint="eastAsia" w:ascii="宋体" w:hAnsi="宋体" w:cs="宋体"/>
          <w:sz w:val="24"/>
          <w:u w:val="single"/>
        </w:rPr>
        <w:t>（采购文件中明确的所属行业：建筑业）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448A883">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27CB6A">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w:t>
      </w:r>
    </w:p>
    <w:p w14:paraId="2F60AA69">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ACB9FE1">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本企业对上述声明内容的真实性负责。如有虚假，将依法承担相应责任。</w:t>
      </w:r>
    </w:p>
    <w:p w14:paraId="1A6592CC">
      <w:pPr>
        <w:kinsoku/>
        <w:wordWrap/>
        <w:overflowPunct/>
        <w:topLinePunct w:val="0"/>
        <w:bidi w:val="0"/>
        <w:spacing w:line="360" w:lineRule="auto"/>
        <w:ind w:firstLine="480" w:firstLineChars="200"/>
        <w:outlineLvl w:val="9"/>
        <w:rPr>
          <w:rFonts w:ascii="宋体" w:hAnsi="宋体" w:cs="宋体"/>
          <w:sz w:val="24"/>
        </w:rPr>
      </w:pPr>
    </w:p>
    <w:p w14:paraId="6BA04CF8">
      <w:pPr>
        <w:kinsoku/>
        <w:wordWrap/>
        <w:overflowPunct/>
        <w:topLinePunct w:val="0"/>
        <w:bidi w:val="0"/>
        <w:snapToGrid w:val="0"/>
        <w:spacing w:line="360" w:lineRule="auto"/>
        <w:ind w:firstLine="5160" w:firstLineChars="2150"/>
        <w:outlineLvl w:val="9"/>
        <w:rPr>
          <w:rFonts w:ascii="宋体" w:hAnsi="宋体" w:cs="宋体"/>
          <w:kern w:val="0"/>
          <w:sz w:val="24"/>
        </w:rPr>
      </w:pPr>
      <w:r>
        <w:rPr>
          <w:rFonts w:hint="eastAsia" w:ascii="宋体" w:hAnsi="宋体" w:cs="宋体"/>
          <w:kern w:val="0"/>
          <w:sz w:val="24"/>
          <w:lang w:val="zh-CN"/>
        </w:rPr>
        <w:t>供应商名称(电子签名)：</w:t>
      </w:r>
    </w:p>
    <w:p w14:paraId="0CA52820">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33F6D28">
      <w:pPr>
        <w:kinsoku/>
        <w:wordWrap/>
        <w:overflowPunct/>
        <w:topLinePunct w:val="0"/>
        <w:bidi w:val="0"/>
        <w:spacing w:line="360" w:lineRule="auto"/>
        <w:jc w:val="left"/>
        <w:outlineLvl w:val="9"/>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0EC1AAC3">
      <w:pPr>
        <w:kinsoku/>
        <w:wordWrap/>
        <w:overflowPunct/>
        <w:topLinePunct w:val="0"/>
        <w:bidi w:val="0"/>
        <w:spacing w:line="360" w:lineRule="auto"/>
        <w:ind w:right="420" w:firstLine="480" w:firstLineChars="200"/>
        <w:outlineLvl w:val="9"/>
        <w:rPr>
          <w:rFonts w:ascii="宋体" w:hAnsi="宋体" w:cs="宋体"/>
          <w:sz w:val="24"/>
        </w:rPr>
      </w:pPr>
      <w:r>
        <w:rPr>
          <w:rFonts w:hint="eastAsia" w:ascii="宋体" w:hAnsi="宋体" w:cs="宋体"/>
          <w:sz w:val="24"/>
        </w:rPr>
        <w:t>注：</w:t>
      </w:r>
    </w:p>
    <w:p w14:paraId="14D1303C">
      <w:pPr>
        <w:kinsoku/>
        <w:wordWrap/>
        <w:overflowPunct/>
        <w:topLinePunct w:val="0"/>
        <w:bidi w:val="0"/>
        <w:spacing w:line="360" w:lineRule="auto"/>
        <w:ind w:right="420" w:firstLine="480" w:firstLineChars="200"/>
        <w:outlineLvl w:val="9"/>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0A2A8E9A">
      <w:pPr>
        <w:kinsoku/>
        <w:wordWrap/>
        <w:overflowPunct/>
        <w:topLinePunct w:val="0"/>
        <w:bidi w:val="0"/>
        <w:spacing w:line="360" w:lineRule="auto"/>
        <w:ind w:right="420" w:firstLine="480" w:firstLineChars="200"/>
        <w:outlineLvl w:val="9"/>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8080525">
      <w:pPr>
        <w:kinsoku/>
        <w:wordWrap/>
        <w:overflowPunct/>
        <w:topLinePunct w:val="0"/>
        <w:bidi w:val="0"/>
        <w:spacing w:line="360" w:lineRule="auto"/>
        <w:ind w:right="420" w:firstLine="480" w:firstLineChars="200"/>
        <w:outlineLvl w:val="9"/>
        <w:rPr>
          <w:rFonts w:ascii="宋体" w:hAnsi="宋体" w:cs="宋体"/>
          <w:b/>
          <w:sz w:val="32"/>
          <w:szCs w:val="32"/>
        </w:rPr>
      </w:pPr>
      <w:r>
        <w:rPr>
          <w:rFonts w:hint="eastAsia" w:ascii="宋体" w:hAnsi="宋体" w:cs="宋体"/>
          <w:sz w:val="24"/>
        </w:rPr>
        <w:t>3、</w:t>
      </w:r>
      <w:r>
        <w:rPr>
          <w:rFonts w:hint="eastAsia" w:ascii="宋体" w:hAnsi="宋体" w:cs="宋体"/>
          <w:sz w:val="24"/>
          <w:lang w:bidi="ar"/>
        </w:rPr>
        <w:t>本项目对应的中小企业划分标准所属行业：</w:t>
      </w:r>
      <w:r>
        <w:rPr>
          <w:rFonts w:hint="eastAsia" w:ascii="宋体" w:hAnsi="宋体" w:cs="宋体"/>
          <w:b/>
          <w:bCs/>
          <w:sz w:val="24"/>
          <w:u w:val="single"/>
          <w:lang w:bidi="ar"/>
        </w:rPr>
        <w:t>建筑业</w:t>
      </w:r>
      <w:r>
        <w:rPr>
          <w:rFonts w:hint="eastAsia" w:ascii="宋体" w:hAnsi="宋体" w:cs="宋体"/>
          <w:sz w:val="24"/>
          <w:lang w:bidi="ar"/>
        </w:rPr>
        <w:t>。 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8843F4">
      <w:pPr>
        <w:spacing w:line="360" w:lineRule="auto"/>
        <w:jc w:val="center"/>
        <w:rPr>
          <w:rFonts w:ascii="宋体" w:hAnsi="宋体" w:cs="宋体"/>
          <w:b/>
          <w:color w:val="auto"/>
          <w:sz w:val="32"/>
          <w:szCs w:val="32"/>
          <w:highlight w:val="none"/>
        </w:rPr>
      </w:pPr>
    </w:p>
    <w:p w14:paraId="1FC84177">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tbl>
      <w:tblPr>
        <w:tblStyle w:val="29"/>
        <w:tblpPr w:leftFromText="180" w:rightFromText="180" w:vertAnchor="page" w:horzAnchor="margin" w:tblpY="1291"/>
        <w:tblW w:w="0" w:type="auto"/>
        <w:tblInd w:w="0" w:type="dxa"/>
        <w:tblLayout w:type="fixed"/>
        <w:tblCellMar>
          <w:top w:w="0" w:type="dxa"/>
          <w:left w:w="108" w:type="dxa"/>
          <w:bottom w:w="0" w:type="dxa"/>
          <w:right w:w="108" w:type="dxa"/>
        </w:tblCellMar>
      </w:tblPr>
      <w:tblGrid>
        <w:gridCol w:w="2179"/>
        <w:gridCol w:w="1430"/>
        <w:gridCol w:w="1681"/>
        <w:gridCol w:w="1586"/>
        <w:gridCol w:w="1183"/>
        <w:gridCol w:w="1412"/>
        <w:gridCol w:w="1452"/>
        <w:gridCol w:w="1226"/>
        <w:gridCol w:w="1216"/>
        <w:gridCol w:w="1170"/>
      </w:tblGrid>
      <w:tr w14:paraId="5BCE9866">
        <w:tblPrEx>
          <w:tblCellMar>
            <w:top w:w="0" w:type="dxa"/>
            <w:left w:w="108" w:type="dxa"/>
            <w:bottom w:w="0" w:type="dxa"/>
            <w:right w:w="108" w:type="dxa"/>
          </w:tblCellMar>
        </w:tblPrEx>
        <w:trPr>
          <w:trHeight w:val="190" w:hRule="atLeast"/>
        </w:trPr>
        <w:tc>
          <w:tcPr>
            <w:tcW w:w="14535" w:type="dxa"/>
            <w:gridSpan w:val="10"/>
            <w:tcBorders>
              <w:top w:val="nil"/>
              <w:left w:val="nil"/>
              <w:bottom w:val="nil"/>
              <w:right w:val="nil"/>
            </w:tcBorders>
            <w:noWrap w:val="0"/>
            <w:vAlign w:val="bottom"/>
          </w:tcPr>
          <w:p w14:paraId="4B779FC3">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24"/>
                <w:szCs w:val="24"/>
              </w:rPr>
            </w:pPr>
            <w:r>
              <w:rPr>
                <w:rFonts w:hint="eastAsia" w:ascii="Times New Roman" w:hAnsi="Times New Roman" w:cs="宋体"/>
                <w:b/>
                <w:bCs/>
                <w:kern w:val="0"/>
                <w:sz w:val="24"/>
                <w:szCs w:val="24"/>
              </w:rPr>
              <w:t>中小微行业划型标准规定（根据工信部联企业〔2011〕300号制定）</w:t>
            </w:r>
          </w:p>
        </w:tc>
      </w:tr>
      <w:tr w14:paraId="3BAFA98C">
        <w:tblPrEx>
          <w:tblCellMar>
            <w:top w:w="0" w:type="dxa"/>
            <w:left w:w="108" w:type="dxa"/>
            <w:bottom w:w="0" w:type="dxa"/>
            <w:right w:w="108" w:type="dxa"/>
          </w:tblCellMar>
        </w:tblPrEx>
        <w:trPr>
          <w:trHeight w:val="326" w:hRule="atLeast"/>
        </w:trPr>
        <w:tc>
          <w:tcPr>
            <w:tcW w:w="2179" w:type="dxa"/>
            <w:vMerge w:val="restart"/>
            <w:tcBorders>
              <w:top w:val="single" w:color="auto" w:sz="8" w:space="0"/>
              <w:left w:val="single" w:color="auto" w:sz="8" w:space="0"/>
              <w:bottom w:val="single" w:color="000000" w:sz="4" w:space="0"/>
              <w:right w:val="single" w:color="auto" w:sz="8" w:space="0"/>
            </w:tcBorders>
            <w:noWrap w:val="0"/>
            <w:vAlign w:val="center"/>
          </w:tcPr>
          <w:p w14:paraId="4920AB1E">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行业</w:t>
            </w:r>
          </w:p>
        </w:tc>
        <w:tc>
          <w:tcPr>
            <w:tcW w:w="4697" w:type="dxa"/>
            <w:gridSpan w:val="3"/>
            <w:tcBorders>
              <w:top w:val="single" w:color="auto" w:sz="8" w:space="0"/>
              <w:left w:val="nil"/>
              <w:bottom w:val="single" w:color="auto" w:sz="4" w:space="0"/>
              <w:right w:val="single" w:color="000000" w:sz="8" w:space="0"/>
            </w:tcBorders>
            <w:noWrap w:val="0"/>
            <w:vAlign w:val="bottom"/>
          </w:tcPr>
          <w:p w14:paraId="6BC94466">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中型企业</w:t>
            </w:r>
          </w:p>
        </w:tc>
        <w:tc>
          <w:tcPr>
            <w:tcW w:w="4047" w:type="dxa"/>
            <w:gridSpan w:val="3"/>
            <w:tcBorders>
              <w:top w:val="single" w:color="auto" w:sz="8" w:space="0"/>
              <w:left w:val="nil"/>
              <w:bottom w:val="single" w:color="auto" w:sz="4" w:space="0"/>
              <w:right w:val="single" w:color="000000" w:sz="8" w:space="0"/>
            </w:tcBorders>
            <w:noWrap w:val="0"/>
            <w:vAlign w:val="bottom"/>
          </w:tcPr>
          <w:p w14:paraId="1799D900">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小型企业</w:t>
            </w:r>
          </w:p>
        </w:tc>
        <w:tc>
          <w:tcPr>
            <w:tcW w:w="3612" w:type="dxa"/>
            <w:gridSpan w:val="3"/>
            <w:tcBorders>
              <w:top w:val="single" w:color="auto" w:sz="8" w:space="0"/>
              <w:left w:val="nil"/>
              <w:bottom w:val="single" w:color="auto" w:sz="4" w:space="0"/>
              <w:right w:val="single" w:color="000000" w:sz="8" w:space="0"/>
            </w:tcBorders>
            <w:noWrap w:val="0"/>
            <w:vAlign w:val="bottom"/>
          </w:tcPr>
          <w:p w14:paraId="4165D29F">
            <w:pPr>
              <w:keepNext w:val="0"/>
              <w:keepLines w:val="0"/>
              <w:widowControl/>
              <w:suppressLineNumbers w:val="0"/>
              <w:spacing w:before="0" w:beforeAutospacing="0" w:after="0" w:afterAutospacing="0"/>
              <w:ind w:left="0" w:right="0"/>
              <w:jc w:val="center"/>
              <w:rPr>
                <w:rFonts w:hint="default" w:ascii="Times New Roman" w:hAnsi="Times New Roman" w:cs="宋体"/>
                <w:b/>
                <w:bCs/>
                <w:kern w:val="0"/>
                <w:sz w:val="18"/>
                <w:szCs w:val="18"/>
              </w:rPr>
            </w:pPr>
            <w:r>
              <w:rPr>
                <w:rFonts w:hint="eastAsia" w:ascii="Times New Roman" w:hAnsi="Times New Roman" w:cs="宋体"/>
                <w:b/>
                <w:bCs/>
                <w:kern w:val="0"/>
                <w:sz w:val="18"/>
                <w:szCs w:val="18"/>
              </w:rPr>
              <w:t>微型企业</w:t>
            </w:r>
          </w:p>
        </w:tc>
      </w:tr>
      <w:tr w14:paraId="3DD05369">
        <w:tblPrEx>
          <w:tblCellMar>
            <w:top w:w="0" w:type="dxa"/>
            <w:left w:w="108" w:type="dxa"/>
            <w:bottom w:w="0" w:type="dxa"/>
            <w:right w:w="108" w:type="dxa"/>
          </w:tblCellMar>
        </w:tblPrEx>
        <w:trPr>
          <w:trHeight w:val="370" w:hRule="atLeast"/>
        </w:trPr>
        <w:tc>
          <w:tcPr>
            <w:tcW w:w="2179" w:type="dxa"/>
            <w:vMerge w:val="continue"/>
            <w:tcBorders>
              <w:top w:val="single" w:color="auto" w:sz="8" w:space="0"/>
              <w:left w:val="single" w:color="auto" w:sz="8" w:space="0"/>
              <w:bottom w:val="single" w:color="000000" w:sz="4" w:space="0"/>
              <w:right w:val="single" w:color="auto" w:sz="8" w:space="0"/>
            </w:tcBorders>
            <w:noWrap w:val="0"/>
            <w:vAlign w:val="center"/>
          </w:tcPr>
          <w:p w14:paraId="28790569">
            <w:pPr>
              <w:keepNext w:val="0"/>
              <w:keepLines w:val="0"/>
              <w:widowControl/>
              <w:suppressLineNumbers w:val="0"/>
              <w:spacing w:before="0" w:beforeAutospacing="0" w:after="0" w:afterAutospacing="0"/>
              <w:ind w:left="0" w:right="0"/>
              <w:jc w:val="left"/>
              <w:rPr>
                <w:rFonts w:hint="default" w:ascii="Times New Roman" w:hAnsi="Times New Roman" w:cs="宋体"/>
                <w:b/>
                <w:bCs/>
                <w:kern w:val="0"/>
                <w:sz w:val="18"/>
                <w:szCs w:val="18"/>
              </w:rPr>
            </w:pPr>
          </w:p>
        </w:tc>
        <w:tc>
          <w:tcPr>
            <w:tcW w:w="1430" w:type="dxa"/>
            <w:tcBorders>
              <w:top w:val="nil"/>
              <w:left w:val="nil"/>
              <w:bottom w:val="single" w:color="auto" w:sz="4" w:space="0"/>
              <w:right w:val="single" w:color="auto" w:sz="4" w:space="0"/>
            </w:tcBorders>
            <w:noWrap w:val="0"/>
            <w:vAlign w:val="bottom"/>
          </w:tcPr>
          <w:p w14:paraId="6A1FF2CE">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从业人员X（人）</w:t>
            </w:r>
          </w:p>
        </w:tc>
        <w:tc>
          <w:tcPr>
            <w:tcW w:w="1681" w:type="dxa"/>
            <w:tcBorders>
              <w:top w:val="nil"/>
              <w:left w:val="nil"/>
              <w:bottom w:val="single" w:color="auto" w:sz="4" w:space="0"/>
              <w:right w:val="single" w:color="auto" w:sz="4" w:space="0"/>
            </w:tcBorders>
            <w:noWrap w:val="0"/>
            <w:vAlign w:val="bottom"/>
          </w:tcPr>
          <w:p w14:paraId="7BD7B8A4">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营业收入Y</w:t>
            </w:r>
          </w:p>
          <w:p w14:paraId="42B9EB1D">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586" w:type="dxa"/>
            <w:tcBorders>
              <w:top w:val="nil"/>
              <w:left w:val="nil"/>
              <w:bottom w:val="single" w:color="auto" w:sz="4" w:space="0"/>
              <w:right w:val="single" w:color="auto" w:sz="8" w:space="0"/>
            </w:tcBorders>
            <w:noWrap w:val="0"/>
            <w:vAlign w:val="bottom"/>
          </w:tcPr>
          <w:p w14:paraId="4D7EC3BF">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资产总额Z</w:t>
            </w:r>
          </w:p>
          <w:p w14:paraId="0FF319E8">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183" w:type="dxa"/>
            <w:tcBorders>
              <w:top w:val="nil"/>
              <w:left w:val="nil"/>
              <w:bottom w:val="single" w:color="auto" w:sz="4" w:space="0"/>
              <w:right w:val="single" w:color="auto" w:sz="4" w:space="0"/>
            </w:tcBorders>
            <w:noWrap w:val="0"/>
            <w:vAlign w:val="bottom"/>
          </w:tcPr>
          <w:p w14:paraId="4919BAE2">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从业人员X（人）</w:t>
            </w:r>
          </w:p>
        </w:tc>
        <w:tc>
          <w:tcPr>
            <w:tcW w:w="1412" w:type="dxa"/>
            <w:tcBorders>
              <w:top w:val="nil"/>
              <w:left w:val="nil"/>
              <w:bottom w:val="single" w:color="auto" w:sz="4" w:space="0"/>
              <w:right w:val="single" w:color="auto" w:sz="4" w:space="0"/>
            </w:tcBorders>
            <w:noWrap w:val="0"/>
            <w:vAlign w:val="bottom"/>
          </w:tcPr>
          <w:p w14:paraId="12891ACF">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营业收入Y</w:t>
            </w:r>
          </w:p>
          <w:p w14:paraId="289A1135">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452" w:type="dxa"/>
            <w:tcBorders>
              <w:top w:val="nil"/>
              <w:left w:val="nil"/>
              <w:bottom w:val="single" w:color="auto" w:sz="4" w:space="0"/>
              <w:right w:val="single" w:color="auto" w:sz="8" w:space="0"/>
            </w:tcBorders>
            <w:noWrap w:val="0"/>
            <w:vAlign w:val="bottom"/>
          </w:tcPr>
          <w:p w14:paraId="5CA5999A">
            <w:pPr>
              <w:keepNext w:val="0"/>
              <w:keepLines w:val="0"/>
              <w:widowControl/>
              <w:suppressLineNumbers w:val="0"/>
              <w:spacing w:before="0" w:beforeAutospacing="0" w:after="0" w:afterAutospacing="0"/>
              <w:ind w:left="0" w:right="0"/>
              <w:jc w:val="center"/>
              <w:rPr>
                <w:rFonts w:hint="eastAsia" w:ascii="Times New Roman" w:hAnsi="Times New Roman" w:cs="宋体"/>
                <w:kern w:val="0"/>
                <w:sz w:val="18"/>
                <w:szCs w:val="18"/>
              </w:rPr>
            </w:pPr>
            <w:r>
              <w:rPr>
                <w:rFonts w:hint="eastAsia" w:ascii="Times New Roman" w:hAnsi="Times New Roman" w:cs="宋体"/>
                <w:kern w:val="0"/>
                <w:sz w:val="18"/>
                <w:szCs w:val="18"/>
              </w:rPr>
              <w:t>资产总额Z</w:t>
            </w:r>
          </w:p>
          <w:p w14:paraId="6764072F">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（万元）</w:t>
            </w:r>
          </w:p>
        </w:tc>
        <w:tc>
          <w:tcPr>
            <w:tcW w:w="1226" w:type="dxa"/>
            <w:tcBorders>
              <w:top w:val="nil"/>
              <w:left w:val="nil"/>
              <w:bottom w:val="single" w:color="auto" w:sz="4" w:space="0"/>
              <w:right w:val="single" w:color="auto" w:sz="4" w:space="0"/>
            </w:tcBorders>
            <w:noWrap w:val="0"/>
            <w:vAlign w:val="bottom"/>
          </w:tcPr>
          <w:p w14:paraId="760273CF">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从业人员X（人）</w:t>
            </w:r>
          </w:p>
        </w:tc>
        <w:tc>
          <w:tcPr>
            <w:tcW w:w="1216" w:type="dxa"/>
            <w:tcBorders>
              <w:top w:val="nil"/>
              <w:left w:val="nil"/>
              <w:bottom w:val="single" w:color="auto" w:sz="4" w:space="0"/>
              <w:right w:val="single" w:color="auto" w:sz="4" w:space="0"/>
            </w:tcBorders>
            <w:noWrap w:val="0"/>
            <w:vAlign w:val="bottom"/>
          </w:tcPr>
          <w:p w14:paraId="2FCC8026">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营业收入Y（万元）</w:t>
            </w:r>
          </w:p>
        </w:tc>
        <w:tc>
          <w:tcPr>
            <w:tcW w:w="1170" w:type="dxa"/>
            <w:tcBorders>
              <w:top w:val="nil"/>
              <w:left w:val="nil"/>
              <w:bottom w:val="single" w:color="auto" w:sz="4" w:space="0"/>
              <w:right w:val="single" w:color="auto" w:sz="8" w:space="0"/>
            </w:tcBorders>
            <w:noWrap w:val="0"/>
            <w:vAlign w:val="bottom"/>
          </w:tcPr>
          <w:p w14:paraId="6676315B">
            <w:pPr>
              <w:keepNext w:val="0"/>
              <w:keepLines w:val="0"/>
              <w:widowControl/>
              <w:suppressLineNumbers w:val="0"/>
              <w:spacing w:before="0" w:beforeAutospacing="0" w:after="0" w:afterAutospacing="0"/>
              <w:ind w:left="0" w:right="0"/>
              <w:jc w:val="center"/>
              <w:rPr>
                <w:rFonts w:hint="default" w:ascii="Times New Roman" w:hAnsi="Times New Roman" w:cs="宋体"/>
                <w:kern w:val="0"/>
                <w:sz w:val="18"/>
                <w:szCs w:val="18"/>
              </w:rPr>
            </w:pPr>
            <w:r>
              <w:rPr>
                <w:rFonts w:hint="eastAsia" w:ascii="Times New Roman" w:hAnsi="Times New Roman" w:cs="宋体"/>
                <w:kern w:val="0"/>
                <w:sz w:val="18"/>
                <w:szCs w:val="18"/>
              </w:rPr>
              <w:t>资产总额Z（万元）</w:t>
            </w:r>
          </w:p>
        </w:tc>
      </w:tr>
      <w:tr w14:paraId="50EBB2BA">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7069191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1、农林牧渔业</w:t>
            </w:r>
          </w:p>
        </w:tc>
        <w:tc>
          <w:tcPr>
            <w:tcW w:w="1430" w:type="dxa"/>
            <w:tcBorders>
              <w:top w:val="nil"/>
              <w:left w:val="nil"/>
              <w:bottom w:val="single" w:color="auto" w:sz="4" w:space="0"/>
              <w:right w:val="single" w:color="auto" w:sz="4" w:space="0"/>
            </w:tcBorders>
            <w:noWrap w:val="0"/>
            <w:vAlign w:val="bottom"/>
          </w:tcPr>
          <w:p w14:paraId="58E1ED0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681" w:type="dxa"/>
            <w:tcBorders>
              <w:top w:val="nil"/>
              <w:left w:val="nil"/>
              <w:bottom w:val="single" w:color="auto" w:sz="4" w:space="0"/>
              <w:right w:val="single" w:color="auto" w:sz="4" w:space="0"/>
            </w:tcBorders>
            <w:noWrap w:val="0"/>
            <w:vAlign w:val="bottom"/>
          </w:tcPr>
          <w:p w14:paraId="2E0B8F9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500≤Y＜20000</w:t>
            </w:r>
          </w:p>
        </w:tc>
        <w:tc>
          <w:tcPr>
            <w:tcW w:w="1586" w:type="dxa"/>
            <w:tcBorders>
              <w:top w:val="nil"/>
              <w:left w:val="nil"/>
              <w:bottom w:val="single" w:color="auto" w:sz="4" w:space="0"/>
              <w:right w:val="single" w:color="auto" w:sz="8" w:space="0"/>
            </w:tcBorders>
            <w:noWrap w:val="0"/>
            <w:vAlign w:val="bottom"/>
          </w:tcPr>
          <w:p w14:paraId="1CE40A4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44F9DE2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12" w:type="dxa"/>
            <w:tcBorders>
              <w:top w:val="nil"/>
              <w:left w:val="nil"/>
              <w:bottom w:val="single" w:color="auto" w:sz="4" w:space="0"/>
              <w:right w:val="single" w:color="auto" w:sz="4" w:space="0"/>
            </w:tcBorders>
            <w:noWrap w:val="0"/>
            <w:vAlign w:val="bottom"/>
          </w:tcPr>
          <w:p w14:paraId="5F588C7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50≤Y＜500</w:t>
            </w:r>
          </w:p>
        </w:tc>
        <w:tc>
          <w:tcPr>
            <w:tcW w:w="1452" w:type="dxa"/>
            <w:tcBorders>
              <w:top w:val="nil"/>
              <w:left w:val="nil"/>
              <w:bottom w:val="single" w:color="auto" w:sz="4" w:space="0"/>
              <w:right w:val="single" w:color="auto" w:sz="8" w:space="0"/>
            </w:tcBorders>
            <w:noWrap w:val="0"/>
            <w:vAlign w:val="bottom"/>
          </w:tcPr>
          <w:p w14:paraId="0A155B1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6099282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16" w:type="dxa"/>
            <w:tcBorders>
              <w:top w:val="nil"/>
              <w:left w:val="nil"/>
              <w:bottom w:val="single" w:color="auto" w:sz="4" w:space="0"/>
              <w:right w:val="single" w:color="auto" w:sz="4" w:space="0"/>
            </w:tcBorders>
            <w:noWrap w:val="0"/>
            <w:vAlign w:val="bottom"/>
          </w:tcPr>
          <w:p w14:paraId="3B66AEE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Y＜50</w:t>
            </w:r>
          </w:p>
        </w:tc>
        <w:tc>
          <w:tcPr>
            <w:tcW w:w="1170" w:type="dxa"/>
            <w:tcBorders>
              <w:top w:val="nil"/>
              <w:left w:val="nil"/>
              <w:bottom w:val="single" w:color="auto" w:sz="4" w:space="0"/>
              <w:right w:val="single" w:color="auto" w:sz="8" w:space="0"/>
            </w:tcBorders>
            <w:noWrap w:val="0"/>
            <w:vAlign w:val="bottom"/>
          </w:tcPr>
          <w:p w14:paraId="5870E2E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7EC4EAE9">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55E45C7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2、工业</w:t>
            </w:r>
          </w:p>
        </w:tc>
        <w:tc>
          <w:tcPr>
            <w:tcW w:w="1430" w:type="dxa"/>
            <w:tcBorders>
              <w:top w:val="nil"/>
              <w:left w:val="nil"/>
              <w:bottom w:val="single" w:color="auto" w:sz="4" w:space="0"/>
              <w:right w:val="single" w:color="auto" w:sz="4" w:space="0"/>
            </w:tcBorders>
            <w:noWrap w:val="0"/>
            <w:vAlign w:val="bottom"/>
          </w:tcPr>
          <w:p w14:paraId="6AFC31D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5955C93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2000≤Y＜40000</w:t>
            </w:r>
          </w:p>
        </w:tc>
        <w:tc>
          <w:tcPr>
            <w:tcW w:w="1586" w:type="dxa"/>
            <w:tcBorders>
              <w:top w:val="nil"/>
              <w:left w:val="nil"/>
              <w:bottom w:val="single" w:color="auto" w:sz="4" w:space="0"/>
              <w:right w:val="single" w:color="auto" w:sz="8" w:space="0"/>
            </w:tcBorders>
            <w:noWrap w:val="0"/>
            <w:vAlign w:val="bottom"/>
          </w:tcPr>
          <w:p w14:paraId="1D49B08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3A0B2DA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20≤X＜300</w:t>
            </w:r>
          </w:p>
        </w:tc>
        <w:tc>
          <w:tcPr>
            <w:tcW w:w="1412" w:type="dxa"/>
            <w:tcBorders>
              <w:top w:val="nil"/>
              <w:left w:val="nil"/>
              <w:bottom w:val="single" w:color="auto" w:sz="4" w:space="0"/>
              <w:right w:val="single" w:color="auto" w:sz="4" w:space="0"/>
            </w:tcBorders>
            <w:noWrap w:val="0"/>
            <w:vAlign w:val="bottom"/>
          </w:tcPr>
          <w:p w14:paraId="5E25884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300≤Y＜2000</w:t>
            </w:r>
          </w:p>
        </w:tc>
        <w:tc>
          <w:tcPr>
            <w:tcW w:w="1452" w:type="dxa"/>
            <w:tcBorders>
              <w:top w:val="nil"/>
              <w:left w:val="nil"/>
              <w:bottom w:val="single" w:color="auto" w:sz="4" w:space="0"/>
              <w:right w:val="single" w:color="auto" w:sz="8" w:space="0"/>
            </w:tcBorders>
            <w:noWrap w:val="0"/>
            <w:vAlign w:val="bottom"/>
          </w:tcPr>
          <w:p w14:paraId="68B50B7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5CAE8E8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059F24F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Y＜300</w:t>
            </w:r>
          </w:p>
        </w:tc>
        <w:tc>
          <w:tcPr>
            <w:tcW w:w="1170" w:type="dxa"/>
            <w:tcBorders>
              <w:top w:val="nil"/>
              <w:left w:val="nil"/>
              <w:bottom w:val="single" w:color="auto" w:sz="4" w:space="0"/>
              <w:right w:val="single" w:color="auto" w:sz="8" w:space="0"/>
            </w:tcBorders>
            <w:noWrap w:val="0"/>
            <w:vAlign w:val="bottom"/>
          </w:tcPr>
          <w:p w14:paraId="69F68DB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2F267B35">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F5DFE0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3、建筑业</w:t>
            </w:r>
          </w:p>
        </w:tc>
        <w:tc>
          <w:tcPr>
            <w:tcW w:w="1430" w:type="dxa"/>
            <w:tcBorders>
              <w:top w:val="nil"/>
              <w:left w:val="nil"/>
              <w:bottom w:val="single" w:color="auto" w:sz="4" w:space="0"/>
              <w:right w:val="single" w:color="auto" w:sz="4" w:space="0"/>
            </w:tcBorders>
            <w:noWrap w:val="0"/>
            <w:vAlign w:val="bottom"/>
          </w:tcPr>
          <w:p w14:paraId="38B64B6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681" w:type="dxa"/>
            <w:tcBorders>
              <w:top w:val="nil"/>
              <w:left w:val="nil"/>
              <w:bottom w:val="single" w:color="auto" w:sz="4" w:space="0"/>
              <w:right w:val="single" w:color="auto" w:sz="4" w:space="0"/>
            </w:tcBorders>
            <w:noWrap w:val="0"/>
            <w:vAlign w:val="bottom"/>
          </w:tcPr>
          <w:p w14:paraId="3337C06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6000≤Y＜80000</w:t>
            </w:r>
          </w:p>
        </w:tc>
        <w:tc>
          <w:tcPr>
            <w:tcW w:w="1586" w:type="dxa"/>
            <w:tcBorders>
              <w:top w:val="nil"/>
              <w:left w:val="nil"/>
              <w:bottom w:val="single" w:color="auto" w:sz="4" w:space="0"/>
              <w:right w:val="single" w:color="auto" w:sz="8" w:space="0"/>
            </w:tcBorders>
            <w:noWrap w:val="0"/>
            <w:vAlign w:val="bottom"/>
          </w:tcPr>
          <w:p w14:paraId="1F8A965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5000≤Z＜80000</w:t>
            </w:r>
          </w:p>
        </w:tc>
        <w:tc>
          <w:tcPr>
            <w:tcW w:w="1183" w:type="dxa"/>
            <w:tcBorders>
              <w:top w:val="nil"/>
              <w:left w:val="nil"/>
              <w:bottom w:val="single" w:color="auto" w:sz="4" w:space="0"/>
              <w:right w:val="single" w:color="auto" w:sz="4" w:space="0"/>
            </w:tcBorders>
            <w:noWrap w:val="0"/>
            <w:vAlign w:val="bottom"/>
          </w:tcPr>
          <w:p w14:paraId="486EA2B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12" w:type="dxa"/>
            <w:tcBorders>
              <w:top w:val="nil"/>
              <w:left w:val="nil"/>
              <w:bottom w:val="single" w:color="auto" w:sz="4" w:space="0"/>
              <w:right w:val="single" w:color="auto" w:sz="4" w:space="0"/>
            </w:tcBorders>
            <w:noWrap w:val="0"/>
            <w:vAlign w:val="bottom"/>
          </w:tcPr>
          <w:p w14:paraId="7B45B32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300≤Y＜6000</w:t>
            </w:r>
          </w:p>
        </w:tc>
        <w:tc>
          <w:tcPr>
            <w:tcW w:w="1452" w:type="dxa"/>
            <w:tcBorders>
              <w:top w:val="nil"/>
              <w:left w:val="nil"/>
              <w:bottom w:val="single" w:color="auto" w:sz="4" w:space="0"/>
              <w:right w:val="single" w:color="auto" w:sz="8" w:space="0"/>
            </w:tcBorders>
            <w:noWrap w:val="0"/>
            <w:vAlign w:val="bottom"/>
          </w:tcPr>
          <w:p w14:paraId="18EDB42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300≤Z＜5000</w:t>
            </w:r>
          </w:p>
        </w:tc>
        <w:tc>
          <w:tcPr>
            <w:tcW w:w="1226" w:type="dxa"/>
            <w:tcBorders>
              <w:top w:val="nil"/>
              <w:left w:val="nil"/>
              <w:bottom w:val="single" w:color="auto" w:sz="4" w:space="0"/>
              <w:right w:val="single" w:color="auto" w:sz="4" w:space="0"/>
            </w:tcBorders>
            <w:noWrap w:val="0"/>
            <w:vAlign w:val="bottom"/>
          </w:tcPr>
          <w:p w14:paraId="2C9BA77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16" w:type="dxa"/>
            <w:tcBorders>
              <w:top w:val="nil"/>
              <w:left w:val="nil"/>
              <w:bottom w:val="single" w:color="auto" w:sz="4" w:space="0"/>
              <w:right w:val="single" w:color="auto" w:sz="4" w:space="0"/>
            </w:tcBorders>
            <w:noWrap w:val="0"/>
            <w:vAlign w:val="bottom"/>
          </w:tcPr>
          <w:p w14:paraId="65011DB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Y＜300</w:t>
            </w:r>
          </w:p>
        </w:tc>
        <w:tc>
          <w:tcPr>
            <w:tcW w:w="1170" w:type="dxa"/>
            <w:tcBorders>
              <w:top w:val="nil"/>
              <w:left w:val="nil"/>
              <w:bottom w:val="single" w:color="auto" w:sz="4" w:space="0"/>
              <w:right w:val="single" w:color="auto" w:sz="8" w:space="0"/>
            </w:tcBorders>
            <w:noWrap w:val="0"/>
            <w:vAlign w:val="bottom"/>
          </w:tcPr>
          <w:p w14:paraId="5C2B3E7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Z＜300</w:t>
            </w:r>
          </w:p>
        </w:tc>
      </w:tr>
      <w:tr w14:paraId="02C1EE91">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4982B1B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4、批发业</w:t>
            </w:r>
          </w:p>
        </w:tc>
        <w:tc>
          <w:tcPr>
            <w:tcW w:w="1430" w:type="dxa"/>
            <w:tcBorders>
              <w:top w:val="nil"/>
              <w:left w:val="nil"/>
              <w:bottom w:val="single" w:color="auto" w:sz="4" w:space="0"/>
              <w:right w:val="single" w:color="auto" w:sz="4" w:space="0"/>
            </w:tcBorders>
            <w:noWrap w:val="0"/>
            <w:vAlign w:val="bottom"/>
          </w:tcPr>
          <w:p w14:paraId="228D7F8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20≤X＜200</w:t>
            </w:r>
          </w:p>
        </w:tc>
        <w:tc>
          <w:tcPr>
            <w:tcW w:w="1681" w:type="dxa"/>
            <w:tcBorders>
              <w:top w:val="nil"/>
              <w:left w:val="nil"/>
              <w:bottom w:val="single" w:color="auto" w:sz="4" w:space="0"/>
              <w:right w:val="single" w:color="auto" w:sz="4" w:space="0"/>
            </w:tcBorders>
            <w:noWrap w:val="0"/>
            <w:vAlign w:val="bottom"/>
          </w:tcPr>
          <w:p w14:paraId="1C1E498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5000≤Y＜40000</w:t>
            </w:r>
          </w:p>
        </w:tc>
        <w:tc>
          <w:tcPr>
            <w:tcW w:w="1586" w:type="dxa"/>
            <w:tcBorders>
              <w:top w:val="nil"/>
              <w:left w:val="nil"/>
              <w:bottom w:val="single" w:color="auto" w:sz="4" w:space="0"/>
              <w:right w:val="single" w:color="auto" w:sz="8" w:space="0"/>
            </w:tcBorders>
            <w:noWrap w:val="0"/>
            <w:vAlign w:val="bottom"/>
          </w:tcPr>
          <w:p w14:paraId="72A1FB2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5514AD0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5≤X＜20</w:t>
            </w:r>
          </w:p>
        </w:tc>
        <w:tc>
          <w:tcPr>
            <w:tcW w:w="1412" w:type="dxa"/>
            <w:tcBorders>
              <w:top w:val="nil"/>
              <w:left w:val="nil"/>
              <w:bottom w:val="single" w:color="auto" w:sz="4" w:space="0"/>
              <w:right w:val="single" w:color="auto" w:sz="4" w:space="0"/>
            </w:tcBorders>
            <w:noWrap w:val="0"/>
            <w:vAlign w:val="bottom"/>
          </w:tcPr>
          <w:p w14:paraId="7B0F292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1000≤Y＜5000</w:t>
            </w:r>
          </w:p>
        </w:tc>
        <w:tc>
          <w:tcPr>
            <w:tcW w:w="1452" w:type="dxa"/>
            <w:tcBorders>
              <w:top w:val="nil"/>
              <w:left w:val="nil"/>
              <w:bottom w:val="single" w:color="auto" w:sz="4" w:space="0"/>
              <w:right w:val="single" w:color="auto" w:sz="8" w:space="0"/>
            </w:tcBorders>
            <w:noWrap w:val="0"/>
            <w:vAlign w:val="bottom"/>
          </w:tcPr>
          <w:p w14:paraId="3C35C29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4008CDA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X＜5</w:t>
            </w:r>
          </w:p>
        </w:tc>
        <w:tc>
          <w:tcPr>
            <w:tcW w:w="1216" w:type="dxa"/>
            <w:tcBorders>
              <w:top w:val="nil"/>
              <w:left w:val="nil"/>
              <w:bottom w:val="single" w:color="auto" w:sz="4" w:space="0"/>
              <w:right w:val="single" w:color="auto" w:sz="4" w:space="0"/>
            </w:tcBorders>
            <w:noWrap w:val="0"/>
            <w:vAlign w:val="bottom"/>
          </w:tcPr>
          <w:p w14:paraId="5368CDF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Y＜1000</w:t>
            </w:r>
          </w:p>
        </w:tc>
        <w:tc>
          <w:tcPr>
            <w:tcW w:w="1170" w:type="dxa"/>
            <w:tcBorders>
              <w:top w:val="nil"/>
              <w:left w:val="nil"/>
              <w:bottom w:val="single" w:color="auto" w:sz="4" w:space="0"/>
              <w:right w:val="single" w:color="auto" w:sz="8" w:space="0"/>
            </w:tcBorders>
            <w:noWrap w:val="0"/>
            <w:vAlign w:val="bottom"/>
          </w:tcPr>
          <w:p w14:paraId="33A111A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4EE1C6B2">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1128652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5、零售业</w:t>
            </w:r>
          </w:p>
        </w:tc>
        <w:tc>
          <w:tcPr>
            <w:tcW w:w="1430" w:type="dxa"/>
            <w:tcBorders>
              <w:top w:val="nil"/>
              <w:left w:val="nil"/>
              <w:bottom w:val="single" w:color="auto" w:sz="4" w:space="0"/>
              <w:right w:val="single" w:color="auto" w:sz="4" w:space="0"/>
            </w:tcBorders>
            <w:noWrap w:val="0"/>
            <w:vAlign w:val="bottom"/>
          </w:tcPr>
          <w:p w14:paraId="660B37C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50≤X＜300</w:t>
            </w:r>
          </w:p>
        </w:tc>
        <w:tc>
          <w:tcPr>
            <w:tcW w:w="1681" w:type="dxa"/>
            <w:tcBorders>
              <w:top w:val="nil"/>
              <w:left w:val="nil"/>
              <w:bottom w:val="single" w:color="auto" w:sz="4" w:space="0"/>
              <w:right w:val="single" w:color="auto" w:sz="4" w:space="0"/>
            </w:tcBorders>
            <w:noWrap w:val="0"/>
            <w:vAlign w:val="bottom"/>
          </w:tcPr>
          <w:p w14:paraId="092BB77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500≤Y＜20000</w:t>
            </w:r>
          </w:p>
        </w:tc>
        <w:tc>
          <w:tcPr>
            <w:tcW w:w="1586" w:type="dxa"/>
            <w:tcBorders>
              <w:top w:val="nil"/>
              <w:left w:val="nil"/>
              <w:bottom w:val="single" w:color="auto" w:sz="4" w:space="0"/>
              <w:right w:val="single" w:color="auto" w:sz="8" w:space="0"/>
            </w:tcBorders>
            <w:noWrap w:val="0"/>
            <w:vAlign w:val="bottom"/>
          </w:tcPr>
          <w:p w14:paraId="350D46E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7CFB717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10≤X＜50</w:t>
            </w:r>
          </w:p>
        </w:tc>
        <w:tc>
          <w:tcPr>
            <w:tcW w:w="1412" w:type="dxa"/>
            <w:tcBorders>
              <w:top w:val="nil"/>
              <w:left w:val="nil"/>
              <w:bottom w:val="single" w:color="auto" w:sz="4" w:space="0"/>
              <w:right w:val="single" w:color="auto" w:sz="4" w:space="0"/>
            </w:tcBorders>
            <w:noWrap w:val="0"/>
            <w:vAlign w:val="bottom"/>
          </w:tcPr>
          <w:p w14:paraId="1D2D07D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100≤Y＜500</w:t>
            </w:r>
          </w:p>
        </w:tc>
        <w:tc>
          <w:tcPr>
            <w:tcW w:w="1452" w:type="dxa"/>
            <w:tcBorders>
              <w:top w:val="nil"/>
              <w:left w:val="nil"/>
              <w:bottom w:val="single" w:color="auto" w:sz="4" w:space="0"/>
              <w:right w:val="single" w:color="auto" w:sz="8" w:space="0"/>
            </w:tcBorders>
            <w:noWrap w:val="0"/>
            <w:vAlign w:val="bottom"/>
          </w:tcPr>
          <w:p w14:paraId="6E2F355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143F923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2A65ED8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6569762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5EF2480B">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0CAA2F6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6、交通运输业</w:t>
            </w:r>
          </w:p>
        </w:tc>
        <w:tc>
          <w:tcPr>
            <w:tcW w:w="1430" w:type="dxa"/>
            <w:tcBorders>
              <w:top w:val="nil"/>
              <w:left w:val="nil"/>
              <w:bottom w:val="single" w:color="auto" w:sz="4" w:space="0"/>
              <w:right w:val="single" w:color="auto" w:sz="4" w:space="0"/>
            </w:tcBorders>
            <w:noWrap w:val="0"/>
            <w:vAlign w:val="bottom"/>
          </w:tcPr>
          <w:p w14:paraId="3F6146A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6ADA1F3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3000≤Y＜30000</w:t>
            </w:r>
          </w:p>
        </w:tc>
        <w:tc>
          <w:tcPr>
            <w:tcW w:w="1586" w:type="dxa"/>
            <w:tcBorders>
              <w:top w:val="nil"/>
              <w:left w:val="nil"/>
              <w:bottom w:val="single" w:color="auto" w:sz="4" w:space="0"/>
              <w:right w:val="single" w:color="auto" w:sz="8" w:space="0"/>
            </w:tcBorders>
            <w:noWrap w:val="0"/>
            <w:vAlign w:val="bottom"/>
          </w:tcPr>
          <w:p w14:paraId="22DEA40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10334A0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20≤X＜300</w:t>
            </w:r>
          </w:p>
        </w:tc>
        <w:tc>
          <w:tcPr>
            <w:tcW w:w="1412" w:type="dxa"/>
            <w:tcBorders>
              <w:top w:val="nil"/>
              <w:left w:val="nil"/>
              <w:bottom w:val="single" w:color="auto" w:sz="4" w:space="0"/>
              <w:right w:val="single" w:color="auto" w:sz="4" w:space="0"/>
            </w:tcBorders>
            <w:noWrap w:val="0"/>
            <w:vAlign w:val="bottom"/>
          </w:tcPr>
          <w:p w14:paraId="6381721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200≤Y＜3000</w:t>
            </w:r>
          </w:p>
        </w:tc>
        <w:tc>
          <w:tcPr>
            <w:tcW w:w="1452" w:type="dxa"/>
            <w:tcBorders>
              <w:top w:val="nil"/>
              <w:left w:val="nil"/>
              <w:bottom w:val="single" w:color="auto" w:sz="4" w:space="0"/>
              <w:right w:val="single" w:color="auto" w:sz="8" w:space="0"/>
            </w:tcBorders>
            <w:noWrap w:val="0"/>
            <w:vAlign w:val="bottom"/>
          </w:tcPr>
          <w:p w14:paraId="25F2217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5A4134F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359C27A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V＜200</w:t>
            </w:r>
          </w:p>
        </w:tc>
        <w:tc>
          <w:tcPr>
            <w:tcW w:w="1170" w:type="dxa"/>
            <w:tcBorders>
              <w:top w:val="nil"/>
              <w:left w:val="nil"/>
              <w:bottom w:val="single" w:color="auto" w:sz="4" w:space="0"/>
              <w:right w:val="single" w:color="auto" w:sz="8" w:space="0"/>
            </w:tcBorders>
            <w:noWrap w:val="0"/>
            <w:vAlign w:val="bottom"/>
          </w:tcPr>
          <w:p w14:paraId="5D23AAF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2BDC9AFE">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70ABE53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7、仓储业</w:t>
            </w:r>
          </w:p>
        </w:tc>
        <w:tc>
          <w:tcPr>
            <w:tcW w:w="1430" w:type="dxa"/>
            <w:tcBorders>
              <w:top w:val="nil"/>
              <w:left w:val="nil"/>
              <w:bottom w:val="single" w:color="auto" w:sz="4" w:space="0"/>
              <w:right w:val="single" w:color="auto" w:sz="4" w:space="0"/>
            </w:tcBorders>
            <w:noWrap w:val="0"/>
            <w:vAlign w:val="bottom"/>
          </w:tcPr>
          <w:p w14:paraId="468A8A6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100≤X＜200</w:t>
            </w:r>
          </w:p>
        </w:tc>
        <w:tc>
          <w:tcPr>
            <w:tcW w:w="1681" w:type="dxa"/>
            <w:tcBorders>
              <w:top w:val="nil"/>
              <w:left w:val="nil"/>
              <w:bottom w:val="single" w:color="auto" w:sz="4" w:space="0"/>
              <w:right w:val="single" w:color="auto" w:sz="4" w:space="0"/>
            </w:tcBorders>
            <w:noWrap w:val="0"/>
            <w:vAlign w:val="bottom"/>
          </w:tcPr>
          <w:p w14:paraId="2C59A99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1000≤Y＜30000</w:t>
            </w:r>
          </w:p>
        </w:tc>
        <w:tc>
          <w:tcPr>
            <w:tcW w:w="1586" w:type="dxa"/>
            <w:tcBorders>
              <w:top w:val="nil"/>
              <w:left w:val="nil"/>
              <w:bottom w:val="single" w:color="auto" w:sz="4" w:space="0"/>
              <w:right w:val="single" w:color="auto" w:sz="8" w:space="0"/>
            </w:tcBorders>
            <w:noWrap w:val="0"/>
            <w:vAlign w:val="bottom"/>
          </w:tcPr>
          <w:p w14:paraId="191BE30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4199C21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20≤X＜100</w:t>
            </w:r>
          </w:p>
        </w:tc>
        <w:tc>
          <w:tcPr>
            <w:tcW w:w="1412" w:type="dxa"/>
            <w:tcBorders>
              <w:top w:val="nil"/>
              <w:left w:val="nil"/>
              <w:bottom w:val="single" w:color="auto" w:sz="4" w:space="0"/>
              <w:right w:val="single" w:color="auto" w:sz="4" w:space="0"/>
            </w:tcBorders>
            <w:noWrap w:val="0"/>
            <w:vAlign w:val="bottom"/>
          </w:tcPr>
          <w:p w14:paraId="08D9F5C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100≤Y＜1000</w:t>
            </w:r>
          </w:p>
        </w:tc>
        <w:tc>
          <w:tcPr>
            <w:tcW w:w="1452" w:type="dxa"/>
            <w:tcBorders>
              <w:top w:val="nil"/>
              <w:left w:val="nil"/>
              <w:bottom w:val="single" w:color="auto" w:sz="4" w:space="0"/>
              <w:right w:val="single" w:color="auto" w:sz="8" w:space="0"/>
            </w:tcBorders>
            <w:noWrap w:val="0"/>
            <w:vAlign w:val="bottom"/>
          </w:tcPr>
          <w:p w14:paraId="6A695C5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5F797FC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722E0E1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0FBD9C0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5A7A0D9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284151E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8、邮政业</w:t>
            </w:r>
          </w:p>
        </w:tc>
        <w:tc>
          <w:tcPr>
            <w:tcW w:w="1430" w:type="dxa"/>
            <w:tcBorders>
              <w:top w:val="nil"/>
              <w:left w:val="nil"/>
              <w:bottom w:val="single" w:color="auto" w:sz="4" w:space="0"/>
              <w:right w:val="single" w:color="auto" w:sz="4" w:space="0"/>
            </w:tcBorders>
            <w:noWrap w:val="0"/>
            <w:vAlign w:val="bottom"/>
          </w:tcPr>
          <w:p w14:paraId="5E16C32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77DDA5F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2000≤Y＜30000</w:t>
            </w:r>
          </w:p>
        </w:tc>
        <w:tc>
          <w:tcPr>
            <w:tcW w:w="1586" w:type="dxa"/>
            <w:tcBorders>
              <w:top w:val="nil"/>
              <w:left w:val="nil"/>
              <w:bottom w:val="single" w:color="auto" w:sz="4" w:space="0"/>
              <w:right w:val="single" w:color="auto" w:sz="8" w:space="0"/>
            </w:tcBorders>
            <w:noWrap w:val="0"/>
            <w:vAlign w:val="bottom"/>
          </w:tcPr>
          <w:p w14:paraId="11BE29B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7278E72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20≤X＜300</w:t>
            </w:r>
          </w:p>
        </w:tc>
        <w:tc>
          <w:tcPr>
            <w:tcW w:w="1412" w:type="dxa"/>
            <w:tcBorders>
              <w:top w:val="nil"/>
              <w:left w:val="nil"/>
              <w:bottom w:val="single" w:color="auto" w:sz="4" w:space="0"/>
              <w:right w:val="single" w:color="auto" w:sz="4" w:space="0"/>
            </w:tcBorders>
            <w:noWrap w:val="0"/>
            <w:vAlign w:val="bottom"/>
          </w:tcPr>
          <w:p w14:paraId="77D4955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100≤Y＜2000</w:t>
            </w:r>
          </w:p>
        </w:tc>
        <w:tc>
          <w:tcPr>
            <w:tcW w:w="1452" w:type="dxa"/>
            <w:tcBorders>
              <w:top w:val="nil"/>
              <w:left w:val="nil"/>
              <w:bottom w:val="single" w:color="auto" w:sz="4" w:space="0"/>
              <w:right w:val="single" w:color="auto" w:sz="8" w:space="0"/>
            </w:tcBorders>
            <w:noWrap w:val="0"/>
            <w:vAlign w:val="bottom"/>
          </w:tcPr>
          <w:p w14:paraId="2F50EF4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4621CC6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X＜20</w:t>
            </w:r>
          </w:p>
        </w:tc>
        <w:tc>
          <w:tcPr>
            <w:tcW w:w="1216" w:type="dxa"/>
            <w:tcBorders>
              <w:top w:val="nil"/>
              <w:left w:val="nil"/>
              <w:bottom w:val="single" w:color="auto" w:sz="4" w:space="0"/>
              <w:right w:val="single" w:color="auto" w:sz="4" w:space="0"/>
            </w:tcBorders>
            <w:noWrap w:val="0"/>
            <w:vAlign w:val="bottom"/>
          </w:tcPr>
          <w:p w14:paraId="320C99B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16383EF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630D1DE7">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0157D13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9、住宿业</w:t>
            </w:r>
          </w:p>
        </w:tc>
        <w:tc>
          <w:tcPr>
            <w:tcW w:w="1430" w:type="dxa"/>
            <w:tcBorders>
              <w:top w:val="nil"/>
              <w:left w:val="nil"/>
              <w:bottom w:val="single" w:color="auto" w:sz="4" w:space="0"/>
              <w:right w:val="single" w:color="auto" w:sz="4" w:space="0"/>
            </w:tcBorders>
            <w:noWrap w:val="0"/>
            <w:vAlign w:val="bottom"/>
          </w:tcPr>
          <w:p w14:paraId="23ECD05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6725946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2000≤Y＜10000</w:t>
            </w:r>
          </w:p>
        </w:tc>
        <w:tc>
          <w:tcPr>
            <w:tcW w:w="1586" w:type="dxa"/>
            <w:tcBorders>
              <w:top w:val="nil"/>
              <w:left w:val="nil"/>
              <w:bottom w:val="single" w:color="auto" w:sz="4" w:space="0"/>
              <w:right w:val="single" w:color="auto" w:sz="8" w:space="0"/>
            </w:tcBorders>
            <w:noWrap w:val="0"/>
            <w:vAlign w:val="bottom"/>
          </w:tcPr>
          <w:p w14:paraId="787685C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1085B38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7C25B77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100≤Y＜2000</w:t>
            </w:r>
          </w:p>
        </w:tc>
        <w:tc>
          <w:tcPr>
            <w:tcW w:w="1452" w:type="dxa"/>
            <w:tcBorders>
              <w:top w:val="nil"/>
              <w:left w:val="nil"/>
              <w:bottom w:val="single" w:color="auto" w:sz="4" w:space="0"/>
              <w:right w:val="single" w:color="auto" w:sz="8" w:space="0"/>
            </w:tcBorders>
            <w:noWrap w:val="0"/>
            <w:vAlign w:val="bottom"/>
          </w:tcPr>
          <w:p w14:paraId="130F4AA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560C742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71FD392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51756FF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2CBCE390">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16FB89E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10、餐饮业</w:t>
            </w:r>
          </w:p>
        </w:tc>
        <w:tc>
          <w:tcPr>
            <w:tcW w:w="1430" w:type="dxa"/>
            <w:tcBorders>
              <w:top w:val="nil"/>
              <w:left w:val="nil"/>
              <w:bottom w:val="single" w:color="auto" w:sz="4" w:space="0"/>
              <w:right w:val="single" w:color="auto" w:sz="4" w:space="0"/>
            </w:tcBorders>
            <w:noWrap w:val="0"/>
            <w:vAlign w:val="bottom"/>
          </w:tcPr>
          <w:p w14:paraId="02042A7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2124D33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2000≤Y＜10000</w:t>
            </w:r>
          </w:p>
        </w:tc>
        <w:tc>
          <w:tcPr>
            <w:tcW w:w="1586" w:type="dxa"/>
            <w:tcBorders>
              <w:top w:val="nil"/>
              <w:left w:val="nil"/>
              <w:bottom w:val="single" w:color="auto" w:sz="4" w:space="0"/>
              <w:right w:val="single" w:color="auto" w:sz="8" w:space="0"/>
            </w:tcBorders>
            <w:noWrap w:val="0"/>
            <w:vAlign w:val="bottom"/>
          </w:tcPr>
          <w:p w14:paraId="44FE9C3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14FBE05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4C077C3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100≤Y＜2000</w:t>
            </w:r>
          </w:p>
        </w:tc>
        <w:tc>
          <w:tcPr>
            <w:tcW w:w="1452" w:type="dxa"/>
            <w:tcBorders>
              <w:top w:val="nil"/>
              <w:left w:val="nil"/>
              <w:bottom w:val="single" w:color="auto" w:sz="4" w:space="0"/>
              <w:right w:val="single" w:color="auto" w:sz="8" w:space="0"/>
            </w:tcBorders>
            <w:noWrap w:val="0"/>
            <w:vAlign w:val="bottom"/>
          </w:tcPr>
          <w:p w14:paraId="44D04959">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6033606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32AA771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V＜100</w:t>
            </w:r>
          </w:p>
        </w:tc>
        <w:tc>
          <w:tcPr>
            <w:tcW w:w="1170" w:type="dxa"/>
            <w:tcBorders>
              <w:top w:val="nil"/>
              <w:left w:val="nil"/>
              <w:bottom w:val="single" w:color="auto" w:sz="4" w:space="0"/>
              <w:right w:val="single" w:color="auto" w:sz="8" w:space="0"/>
            </w:tcBorders>
            <w:noWrap w:val="0"/>
            <w:vAlign w:val="bottom"/>
          </w:tcPr>
          <w:p w14:paraId="68BF069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5FE37232">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6ACF2BA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11、信息传输业</w:t>
            </w:r>
          </w:p>
        </w:tc>
        <w:tc>
          <w:tcPr>
            <w:tcW w:w="1430" w:type="dxa"/>
            <w:tcBorders>
              <w:top w:val="nil"/>
              <w:left w:val="nil"/>
              <w:bottom w:val="single" w:color="auto" w:sz="4" w:space="0"/>
              <w:right w:val="single" w:color="auto" w:sz="4" w:space="0"/>
            </w:tcBorders>
            <w:noWrap w:val="0"/>
            <w:vAlign w:val="bottom"/>
          </w:tcPr>
          <w:p w14:paraId="46A7015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100≤X＜2000</w:t>
            </w:r>
          </w:p>
        </w:tc>
        <w:tc>
          <w:tcPr>
            <w:tcW w:w="1681" w:type="dxa"/>
            <w:tcBorders>
              <w:top w:val="nil"/>
              <w:left w:val="nil"/>
              <w:bottom w:val="single" w:color="auto" w:sz="4" w:space="0"/>
              <w:right w:val="single" w:color="auto" w:sz="4" w:space="0"/>
            </w:tcBorders>
            <w:noWrap w:val="0"/>
            <w:vAlign w:val="bottom"/>
          </w:tcPr>
          <w:p w14:paraId="03D8E9E2">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1000≤Y＜100000</w:t>
            </w:r>
          </w:p>
        </w:tc>
        <w:tc>
          <w:tcPr>
            <w:tcW w:w="1586" w:type="dxa"/>
            <w:tcBorders>
              <w:top w:val="nil"/>
              <w:left w:val="nil"/>
              <w:bottom w:val="single" w:color="auto" w:sz="4" w:space="0"/>
              <w:right w:val="single" w:color="auto" w:sz="8" w:space="0"/>
            </w:tcBorders>
            <w:noWrap w:val="0"/>
            <w:vAlign w:val="bottom"/>
          </w:tcPr>
          <w:p w14:paraId="3C34AF1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11C2D31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26F472C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100≤Y＜1000</w:t>
            </w:r>
          </w:p>
        </w:tc>
        <w:tc>
          <w:tcPr>
            <w:tcW w:w="1452" w:type="dxa"/>
            <w:tcBorders>
              <w:top w:val="nil"/>
              <w:left w:val="nil"/>
              <w:bottom w:val="single" w:color="auto" w:sz="4" w:space="0"/>
              <w:right w:val="single" w:color="auto" w:sz="8" w:space="0"/>
            </w:tcBorders>
            <w:noWrap w:val="0"/>
            <w:vAlign w:val="bottom"/>
          </w:tcPr>
          <w:p w14:paraId="7E0FF45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567A875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1F53F70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1609D8D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245DD551">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371AD486">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12、软件和信息技术服务业</w:t>
            </w:r>
          </w:p>
        </w:tc>
        <w:tc>
          <w:tcPr>
            <w:tcW w:w="1430" w:type="dxa"/>
            <w:tcBorders>
              <w:top w:val="nil"/>
              <w:left w:val="nil"/>
              <w:bottom w:val="single" w:color="auto" w:sz="4" w:space="0"/>
              <w:right w:val="single" w:color="auto" w:sz="4" w:space="0"/>
            </w:tcBorders>
            <w:noWrap w:val="0"/>
            <w:vAlign w:val="bottom"/>
          </w:tcPr>
          <w:p w14:paraId="07C98513">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19E8CC02">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1000≤Y＜10000</w:t>
            </w:r>
          </w:p>
        </w:tc>
        <w:tc>
          <w:tcPr>
            <w:tcW w:w="1586" w:type="dxa"/>
            <w:tcBorders>
              <w:top w:val="nil"/>
              <w:left w:val="nil"/>
              <w:bottom w:val="single" w:color="auto" w:sz="4" w:space="0"/>
              <w:right w:val="single" w:color="auto" w:sz="8" w:space="0"/>
            </w:tcBorders>
            <w:noWrap w:val="0"/>
            <w:vAlign w:val="bottom"/>
          </w:tcPr>
          <w:p w14:paraId="386F1EBB">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c>
          <w:tcPr>
            <w:tcW w:w="1183" w:type="dxa"/>
            <w:tcBorders>
              <w:top w:val="nil"/>
              <w:left w:val="nil"/>
              <w:bottom w:val="single" w:color="auto" w:sz="4" w:space="0"/>
              <w:right w:val="single" w:color="auto" w:sz="4" w:space="0"/>
            </w:tcBorders>
            <w:noWrap w:val="0"/>
            <w:vAlign w:val="bottom"/>
          </w:tcPr>
          <w:p w14:paraId="048FC7BE">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10≤X＜100</w:t>
            </w:r>
          </w:p>
        </w:tc>
        <w:tc>
          <w:tcPr>
            <w:tcW w:w="1412" w:type="dxa"/>
            <w:tcBorders>
              <w:top w:val="nil"/>
              <w:left w:val="nil"/>
              <w:bottom w:val="single" w:color="auto" w:sz="4" w:space="0"/>
              <w:right w:val="single" w:color="auto" w:sz="4" w:space="0"/>
            </w:tcBorders>
            <w:noWrap w:val="0"/>
            <w:vAlign w:val="bottom"/>
          </w:tcPr>
          <w:p w14:paraId="3BCE1110">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xml:space="preserve"> 50≤Y＜1000</w:t>
            </w:r>
          </w:p>
        </w:tc>
        <w:tc>
          <w:tcPr>
            <w:tcW w:w="1452" w:type="dxa"/>
            <w:tcBorders>
              <w:top w:val="nil"/>
              <w:left w:val="nil"/>
              <w:bottom w:val="single" w:color="auto" w:sz="4" w:space="0"/>
              <w:right w:val="single" w:color="auto" w:sz="8" w:space="0"/>
            </w:tcBorders>
            <w:noWrap w:val="0"/>
            <w:vAlign w:val="bottom"/>
          </w:tcPr>
          <w:p w14:paraId="7B0920AA">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c>
          <w:tcPr>
            <w:tcW w:w="1226" w:type="dxa"/>
            <w:tcBorders>
              <w:top w:val="nil"/>
              <w:left w:val="nil"/>
              <w:bottom w:val="single" w:color="auto" w:sz="4" w:space="0"/>
              <w:right w:val="single" w:color="auto" w:sz="4" w:space="0"/>
            </w:tcBorders>
            <w:noWrap w:val="0"/>
            <w:vAlign w:val="bottom"/>
          </w:tcPr>
          <w:p w14:paraId="317F04AD">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X＜10</w:t>
            </w:r>
          </w:p>
        </w:tc>
        <w:tc>
          <w:tcPr>
            <w:tcW w:w="1216" w:type="dxa"/>
            <w:tcBorders>
              <w:top w:val="nil"/>
              <w:left w:val="nil"/>
              <w:bottom w:val="single" w:color="auto" w:sz="4" w:space="0"/>
              <w:right w:val="single" w:color="auto" w:sz="4" w:space="0"/>
            </w:tcBorders>
            <w:noWrap w:val="0"/>
            <w:vAlign w:val="bottom"/>
          </w:tcPr>
          <w:p w14:paraId="3F35715E">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Y＜50</w:t>
            </w:r>
          </w:p>
        </w:tc>
        <w:tc>
          <w:tcPr>
            <w:tcW w:w="1170" w:type="dxa"/>
            <w:tcBorders>
              <w:top w:val="nil"/>
              <w:left w:val="nil"/>
              <w:bottom w:val="single" w:color="auto" w:sz="4" w:space="0"/>
              <w:right w:val="single" w:color="auto" w:sz="8" w:space="0"/>
            </w:tcBorders>
            <w:noWrap w:val="0"/>
            <w:vAlign w:val="bottom"/>
          </w:tcPr>
          <w:p w14:paraId="5B81BC0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742915BC">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439533D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13、房地产开发经营</w:t>
            </w:r>
          </w:p>
        </w:tc>
        <w:tc>
          <w:tcPr>
            <w:tcW w:w="1430" w:type="dxa"/>
            <w:tcBorders>
              <w:top w:val="nil"/>
              <w:left w:val="nil"/>
              <w:bottom w:val="single" w:color="auto" w:sz="4" w:space="0"/>
              <w:right w:val="single" w:color="auto" w:sz="4" w:space="0"/>
            </w:tcBorders>
            <w:noWrap w:val="0"/>
            <w:vAlign w:val="bottom"/>
          </w:tcPr>
          <w:p w14:paraId="61AB24B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681" w:type="dxa"/>
            <w:tcBorders>
              <w:top w:val="nil"/>
              <w:left w:val="nil"/>
              <w:bottom w:val="single" w:color="auto" w:sz="4" w:space="0"/>
              <w:right w:val="single" w:color="auto" w:sz="4" w:space="0"/>
            </w:tcBorders>
            <w:noWrap w:val="0"/>
            <w:vAlign w:val="bottom"/>
          </w:tcPr>
          <w:p w14:paraId="33C2791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1000≤Y＜200000</w:t>
            </w:r>
          </w:p>
        </w:tc>
        <w:tc>
          <w:tcPr>
            <w:tcW w:w="1586" w:type="dxa"/>
            <w:tcBorders>
              <w:top w:val="nil"/>
              <w:left w:val="nil"/>
              <w:bottom w:val="single" w:color="auto" w:sz="4" w:space="0"/>
              <w:right w:val="single" w:color="auto" w:sz="8" w:space="0"/>
            </w:tcBorders>
            <w:noWrap w:val="0"/>
            <w:vAlign w:val="bottom"/>
          </w:tcPr>
          <w:p w14:paraId="74292CA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5000≤Z＜10000</w:t>
            </w:r>
          </w:p>
        </w:tc>
        <w:tc>
          <w:tcPr>
            <w:tcW w:w="1183" w:type="dxa"/>
            <w:tcBorders>
              <w:top w:val="nil"/>
              <w:left w:val="nil"/>
              <w:bottom w:val="single" w:color="auto" w:sz="4" w:space="0"/>
              <w:right w:val="single" w:color="auto" w:sz="4" w:space="0"/>
            </w:tcBorders>
            <w:noWrap w:val="0"/>
            <w:vAlign w:val="bottom"/>
          </w:tcPr>
          <w:p w14:paraId="6B18B35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12" w:type="dxa"/>
            <w:tcBorders>
              <w:top w:val="nil"/>
              <w:left w:val="nil"/>
              <w:bottom w:val="single" w:color="auto" w:sz="4" w:space="0"/>
              <w:right w:val="single" w:color="auto" w:sz="4" w:space="0"/>
            </w:tcBorders>
            <w:noWrap w:val="0"/>
            <w:vAlign w:val="bottom"/>
          </w:tcPr>
          <w:p w14:paraId="42A5D7F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100≤Y＜1000</w:t>
            </w:r>
          </w:p>
        </w:tc>
        <w:tc>
          <w:tcPr>
            <w:tcW w:w="1452" w:type="dxa"/>
            <w:tcBorders>
              <w:top w:val="nil"/>
              <w:left w:val="nil"/>
              <w:bottom w:val="single" w:color="auto" w:sz="4" w:space="0"/>
              <w:right w:val="single" w:color="auto" w:sz="8" w:space="0"/>
            </w:tcBorders>
            <w:noWrap w:val="0"/>
            <w:vAlign w:val="bottom"/>
          </w:tcPr>
          <w:p w14:paraId="1A6A3A1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2000≤Z＜5000</w:t>
            </w:r>
          </w:p>
        </w:tc>
        <w:tc>
          <w:tcPr>
            <w:tcW w:w="1226" w:type="dxa"/>
            <w:tcBorders>
              <w:top w:val="nil"/>
              <w:left w:val="nil"/>
              <w:bottom w:val="single" w:color="auto" w:sz="4" w:space="0"/>
              <w:right w:val="single" w:color="auto" w:sz="4" w:space="0"/>
            </w:tcBorders>
            <w:noWrap w:val="0"/>
            <w:vAlign w:val="bottom"/>
          </w:tcPr>
          <w:p w14:paraId="3045A32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16" w:type="dxa"/>
            <w:tcBorders>
              <w:top w:val="nil"/>
              <w:left w:val="nil"/>
              <w:bottom w:val="single" w:color="auto" w:sz="4" w:space="0"/>
              <w:right w:val="single" w:color="auto" w:sz="4" w:space="0"/>
            </w:tcBorders>
            <w:noWrap w:val="0"/>
            <w:vAlign w:val="bottom"/>
          </w:tcPr>
          <w:p w14:paraId="676C70E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Y＜100</w:t>
            </w:r>
          </w:p>
        </w:tc>
        <w:tc>
          <w:tcPr>
            <w:tcW w:w="1170" w:type="dxa"/>
            <w:tcBorders>
              <w:top w:val="nil"/>
              <w:left w:val="nil"/>
              <w:bottom w:val="single" w:color="auto" w:sz="4" w:space="0"/>
              <w:right w:val="single" w:color="auto" w:sz="8" w:space="0"/>
            </w:tcBorders>
            <w:noWrap w:val="0"/>
            <w:vAlign w:val="bottom"/>
          </w:tcPr>
          <w:p w14:paraId="2B71E23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Z＜2000</w:t>
            </w:r>
          </w:p>
        </w:tc>
      </w:tr>
      <w:tr w14:paraId="0306BEE1">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73C1E52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14、物业管理</w:t>
            </w:r>
          </w:p>
        </w:tc>
        <w:tc>
          <w:tcPr>
            <w:tcW w:w="1430" w:type="dxa"/>
            <w:tcBorders>
              <w:top w:val="nil"/>
              <w:left w:val="nil"/>
              <w:bottom w:val="single" w:color="auto" w:sz="4" w:space="0"/>
              <w:right w:val="single" w:color="auto" w:sz="4" w:space="0"/>
            </w:tcBorders>
            <w:noWrap w:val="0"/>
            <w:vAlign w:val="bottom"/>
          </w:tcPr>
          <w:p w14:paraId="0F04F4B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300≤X＜1000</w:t>
            </w:r>
          </w:p>
        </w:tc>
        <w:tc>
          <w:tcPr>
            <w:tcW w:w="1681" w:type="dxa"/>
            <w:tcBorders>
              <w:top w:val="nil"/>
              <w:left w:val="nil"/>
              <w:bottom w:val="single" w:color="auto" w:sz="4" w:space="0"/>
              <w:right w:val="single" w:color="auto" w:sz="4" w:space="0"/>
            </w:tcBorders>
            <w:noWrap w:val="0"/>
            <w:vAlign w:val="bottom"/>
          </w:tcPr>
          <w:p w14:paraId="7742362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1000≤Y＜5000</w:t>
            </w:r>
          </w:p>
        </w:tc>
        <w:tc>
          <w:tcPr>
            <w:tcW w:w="1586" w:type="dxa"/>
            <w:tcBorders>
              <w:top w:val="nil"/>
              <w:left w:val="nil"/>
              <w:bottom w:val="single" w:color="auto" w:sz="4" w:space="0"/>
              <w:right w:val="single" w:color="auto" w:sz="8" w:space="0"/>
            </w:tcBorders>
            <w:noWrap w:val="0"/>
            <w:vAlign w:val="bottom"/>
          </w:tcPr>
          <w:p w14:paraId="12E120B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4" w:space="0"/>
              <w:right w:val="single" w:color="auto" w:sz="4" w:space="0"/>
            </w:tcBorders>
            <w:noWrap w:val="0"/>
            <w:vAlign w:val="bottom"/>
          </w:tcPr>
          <w:p w14:paraId="220E0488">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412" w:type="dxa"/>
            <w:tcBorders>
              <w:top w:val="nil"/>
              <w:left w:val="nil"/>
              <w:bottom w:val="single" w:color="auto" w:sz="4" w:space="0"/>
              <w:right w:val="single" w:color="auto" w:sz="4" w:space="0"/>
            </w:tcBorders>
            <w:noWrap w:val="0"/>
            <w:vAlign w:val="bottom"/>
          </w:tcPr>
          <w:p w14:paraId="25ECB8DF">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500≤Y＜1000</w:t>
            </w:r>
          </w:p>
        </w:tc>
        <w:tc>
          <w:tcPr>
            <w:tcW w:w="1452" w:type="dxa"/>
            <w:tcBorders>
              <w:top w:val="nil"/>
              <w:left w:val="nil"/>
              <w:bottom w:val="single" w:color="auto" w:sz="4" w:space="0"/>
              <w:right w:val="single" w:color="auto" w:sz="8" w:space="0"/>
            </w:tcBorders>
            <w:noWrap w:val="0"/>
            <w:vAlign w:val="bottom"/>
          </w:tcPr>
          <w:p w14:paraId="50B28C5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4" w:space="0"/>
              <w:right w:val="single" w:color="auto" w:sz="4" w:space="0"/>
            </w:tcBorders>
            <w:noWrap w:val="0"/>
            <w:vAlign w:val="bottom"/>
          </w:tcPr>
          <w:p w14:paraId="3CA125C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X＜100</w:t>
            </w:r>
          </w:p>
        </w:tc>
        <w:tc>
          <w:tcPr>
            <w:tcW w:w="1216" w:type="dxa"/>
            <w:tcBorders>
              <w:top w:val="nil"/>
              <w:left w:val="nil"/>
              <w:bottom w:val="single" w:color="auto" w:sz="4" w:space="0"/>
              <w:right w:val="single" w:color="auto" w:sz="4" w:space="0"/>
            </w:tcBorders>
            <w:noWrap w:val="0"/>
            <w:vAlign w:val="bottom"/>
          </w:tcPr>
          <w:p w14:paraId="3E7DFD96">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Y＜500</w:t>
            </w:r>
          </w:p>
        </w:tc>
        <w:tc>
          <w:tcPr>
            <w:tcW w:w="1170" w:type="dxa"/>
            <w:tcBorders>
              <w:top w:val="nil"/>
              <w:left w:val="nil"/>
              <w:bottom w:val="single" w:color="auto" w:sz="4" w:space="0"/>
              <w:right w:val="single" w:color="auto" w:sz="8" w:space="0"/>
            </w:tcBorders>
            <w:noWrap w:val="0"/>
            <w:vAlign w:val="bottom"/>
          </w:tcPr>
          <w:p w14:paraId="47F062D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r>
      <w:tr w14:paraId="0A63BF6D">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4" w:space="0"/>
              <w:right w:val="single" w:color="auto" w:sz="8" w:space="0"/>
            </w:tcBorders>
            <w:noWrap w:val="0"/>
            <w:vAlign w:val="bottom"/>
          </w:tcPr>
          <w:p w14:paraId="7F76953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15、租赁和商务服务业</w:t>
            </w:r>
          </w:p>
        </w:tc>
        <w:tc>
          <w:tcPr>
            <w:tcW w:w="1430" w:type="dxa"/>
            <w:tcBorders>
              <w:top w:val="nil"/>
              <w:left w:val="nil"/>
              <w:bottom w:val="single" w:color="auto" w:sz="4" w:space="0"/>
              <w:right w:val="single" w:color="auto" w:sz="4" w:space="0"/>
            </w:tcBorders>
            <w:noWrap w:val="0"/>
            <w:vAlign w:val="bottom"/>
          </w:tcPr>
          <w:p w14:paraId="1851263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4" w:space="0"/>
              <w:right w:val="single" w:color="auto" w:sz="4" w:space="0"/>
            </w:tcBorders>
            <w:noWrap w:val="0"/>
            <w:vAlign w:val="bottom"/>
          </w:tcPr>
          <w:p w14:paraId="1636071D">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586" w:type="dxa"/>
            <w:tcBorders>
              <w:top w:val="nil"/>
              <w:left w:val="nil"/>
              <w:bottom w:val="single" w:color="auto" w:sz="4" w:space="0"/>
              <w:right w:val="single" w:color="auto" w:sz="8" w:space="0"/>
            </w:tcBorders>
            <w:noWrap w:val="0"/>
            <w:vAlign w:val="bottom"/>
          </w:tcPr>
          <w:p w14:paraId="71357CE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8000≤Z＜120000</w:t>
            </w:r>
          </w:p>
        </w:tc>
        <w:tc>
          <w:tcPr>
            <w:tcW w:w="1183" w:type="dxa"/>
            <w:tcBorders>
              <w:top w:val="nil"/>
              <w:left w:val="nil"/>
              <w:bottom w:val="single" w:color="auto" w:sz="4" w:space="0"/>
              <w:right w:val="single" w:color="auto" w:sz="4" w:space="0"/>
            </w:tcBorders>
            <w:noWrap w:val="0"/>
            <w:vAlign w:val="bottom"/>
          </w:tcPr>
          <w:p w14:paraId="26EA6DB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4" w:space="0"/>
              <w:right w:val="single" w:color="auto" w:sz="4" w:space="0"/>
            </w:tcBorders>
            <w:noWrap w:val="0"/>
            <w:vAlign w:val="bottom"/>
          </w:tcPr>
          <w:p w14:paraId="18316551">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52" w:type="dxa"/>
            <w:tcBorders>
              <w:top w:val="nil"/>
              <w:left w:val="nil"/>
              <w:bottom w:val="single" w:color="auto" w:sz="4" w:space="0"/>
              <w:right w:val="single" w:color="auto" w:sz="8" w:space="0"/>
            </w:tcBorders>
            <w:noWrap w:val="0"/>
            <w:vAlign w:val="bottom"/>
          </w:tcPr>
          <w:p w14:paraId="60A80BA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xml:space="preserve"> 100≤Z＜8000</w:t>
            </w:r>
          </w:p>
        </w:tc>
        <w:tc>
          <w:tcPr>
            <w:tcW w:w="1226" w:type="dxa"/>
            <w:tcBorders>
              <w:top w:val="nil"/>
              <w:left w:val="nil"/>
              <w:bottom w:val="single" w:color="auto" w:sz="4" w:space="0"/>
              <w:right w:val="single" w:color="auto" w:sz="4" w:space="0"/>
            </w:tcBorders>
            <w:noWrap w:val="0"/>
            <w:vAlign w:val="bottom"/>
          </w:tcPr>
          <w:p w14:paraId="31037AA0">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4" w:space="0"/>
              <w:right w:val="single" w:color="auto" w:sz="4" w:space="0"/>
            </w:tcBorders>
            <w:noWrap w:val="0"/>
            <w:vAlign w:val="bottom"/>
          </w:tcPr>
          <w:p w14:paraId="0665AB0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70" w:type="dxa"/>
            <w:tcBorders>
              <w:top w:val="nil"/>
              <w:left w:val="nil"/>
              <w:bottom w:val="single" w:color="auto" w:sz="4" w:space="0"/>
              <w:right w:val="single" w:color="auto" w:sz="8" w:space="0"/>
            </w:tcBorders>
            <w:noWrap w:val="0"/>
            <w:vAlign w:val="bottom"/>
          </w:tcPr>
          <w:p w14:paraId="44A7A4BA">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Z＜100</w:t>
            </w:r>
          </w:p>
        </w:tc>
      </w:tr>
      <w:tr w14:paraId="6D02FA6F">
        <w:tblPrEx>
          <w:tblCellMar>
            <w:top w:w="0" w:type="dxa"/>
            <w:left w:w="108" w:type="dxa"/>
            <w:bottom w:w="0" w:type="dxa"/>
            <w:right w:w="108" w:type="dxa"/>
          </w:tblCellMar>
        </w:tblPrEx>
        <w:trPr>
          <w:trHeight w:val="252" w:hRule="atLeast"/>
        </w:trPr>
        <w:tc>
          <w:tcPr>
            <w:tcW w:w="2179" w:type="dxa"/>
            <w:tcBorders>
              <w:top w:val="nil"/>
              <w:left w:val="single" w:color="auto" w:sz="8" w:space="0"/>
              <w:bottom w:val="single" w:color="auto" w:sz="8" w:space="0"/>
              <w:right w:val="single" w:color="auto" w:sz="8" w:space="0"/>
            </w:tcBorders>
            <w:noWrap w:val="0"/>
            <w:vAlign w:val="bottom"/>
          </w:tcPr>
          <w:p w14:paraId="23E356FC">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16、其他未列明行业</w:t>
            </w:r>
          </w:p>
        </w:tc>
        <w:tc>
          <w:tcPr>
            <w:tcW w:w="1430" w:type="dxa"/>
            <w:tcBorders>
              <w:top w:val="nil"/>
              <w:left w:val="nil"/>
              <w:bottom w:val="single" w:color="auto" w:sz="8" w:space="0"/>
              <w:right w:val="single" w:color="auto" w:sz="4" w:space="0"/>
            </w:tcBorders>
            <w:noWrap w:val="0"/>
            <w:vAlign w:val="bottom"/>
          </w:tcPr>
          <w:p w14:paraId="535B9F0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100≤X＜300</w:t>
            </w:r>
          </w:p>
        </w:tc>
        <w:tc>
          <w:tcPr>
            <w:tcW w:w="1681" w:type="dxa"/>
            <w:tcBorders>
              <w:top w:val="nil"/>
              <w:left w:val="nil"/>
              <w:bottom w:val="single" w:color="auto" w:sz="8" w:space="0"/>
              <w:right w:val="single" w:color="auto" w:sz="4" w:space="0"/>
            </w:tcBorders>
            <w:noWrap w:val="0"/>
            <w:vAlign w:val="bottom"/>
          </w:tcPr>
          <w:p w14:paraId="7630C964">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586" w:type="dxa"/>
            <w:tcBorders>
              <w:top w:val="nil"/>
              <w:left w:val="nil"/>
              <w:bottom w:val="single" w:color="auto" w:sz="8" w:space="0"/>
              <w:right w:val="single" w:color="auto" w:sz="8" w:space="0"/>
            </w:tcBorders>
            <w:noWrap w:val="0"/>
            <w:vAlign w:val="bottom"/>
          </w:tcPr>
          <w:p w14:paraId="2D1286FB">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183" w:type="dxa"/>
            <w:tcBorders>
              <w:top w:val="nil"/>
              <w:left w:val="nil"/>
              <w:bottom w:val="single" w:color="auto" w:sz="8" w:space="0"/>
              <w:right w:val="single" w:color="auto" w:sz="4" w:space="0"/>
            </w:tcBorders>
            <w:noWrap w:val="0"/>
            <w:vAlign w:val="bottom"/>
          </w:tcPr>
          <w:p w14:paraId="492DABC7">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10≤X＜100</w:t>
            </w:r>
          </w:p>
        </w:tc>
        <w:tc>
          <w:tcPr>
            <w:tcW w:w="1412" w:type="dxa"/>
            <w:tcBorders>
              <w:top w:val="nil"/>
              <w:left w:val="nil"/>
              <w:bottom w:val="single" w:color="auto" w:sz="8" w:space="0"/>
              <w:right w:val="single" w:color="auto" w:sz="4" w:space="0"/>
            </w:tcBorders>
            <w:noWrap w:val="0"/>
            <w:vAlign w:val="bottom"/>
          </w:tcPr>
          <w:p w14:paraId="3566E605">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452" w:type="dxa"/>
            <w:tcBorders>
              <w:top w:val="nil"/>
              <w:left w:val="nil"/>
              <w:bottom w:val="single" w:color="auto" w:sz="8" w:space="0"/>
              <w:right w:val="single" w:color="auto" w:sz="8" w:space="0"/>
            </w:tcBorders>
            <w:noWrap w:val="0"/>
            <w:vAlign w:val="bottom"/>
          </w:tcPr>
          <w:p w14:paraId="4257267E">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　</w:t>
            </w:r>
          </w:p>
        </w:tc>
        <w:tc>
          <w:tcPr>
            <w:tcW w:w="1226" w:type="dxa"/>
            <w:tcBorders>
              <w:top w:val="nil"/>
              <w:left w:val="nil"/>
              <w:bottom w:val="single" w:color="auto" w:sz="8" w:space="0"/>
              <w:right w:val="single" w:color="auto" w:sz="4" w:space="0"/>
            </w:tcBorders>
            <w:noWrap w:val="0"/>
            <w:vAlign w:val="bottom"/>
          </w:tcPr>
          <w:p w14:paraId="1C4F4013">
            <w:pPr>
              <w:keepNext w:val="0"/>
              <w:keepLines w:val="0"/>
              <w:widowControl/>
              <w:suppressLineNumbers w:val="0"/>
              <w:spacing w:before="0" w:beforeAutospacing="0" w:after="0" w:afterAutospacing="0"/>
              <w:ind w:left="0" w:right="0"/>
              <w:jc w:val="left"/>
              <w:rPr>
                <w:rFonts w:hint="default" w:ascii="Times New Roman" w:hAnsi="Times New Roman" w:cs="宋体"/>
                <w:kern w:val="0"/>
                <w:sz w:val="18"/>
                <w:szCs w:val="18"/>
              </w:rPr>
            </w:pPr>
            <w:r>
              <w:rPr>
                <w:rFonts w:hint="eastAsia" w:ascii="Times New Roman" w:hAnsi="Times New Roman" w:cs="宋体"/>
                <w:kern w:val="0"/>
                <w:sz w:val="18"/>
                <w:szCs w:val="18"/>
              </w:rPr>
              <w:t>X＜10</w:t>
            </w:r>
          </w:p>
        </w:tc>
        <w:tc>
          <w:tcPr>
            <w:tcW w:w="1216" w:type="dxa"/>
            <w:tcBorders>
              <w:top w:val="nil"/>
              <w:left w:val="nil"/>
              <w:bottom w:val="single" w:color="auto" w:sz="8" w:space="0"/>
              <w:right w:val="single" w:color="auto" w:sz="4" w:space="0"/>
            </w:tcBorders>
            <w:noWrap w:val="0"/>
            <w:vAlign w:val="bottom"/>
          </w:tcPr>
          <w:p w14:paraId="36C68E01">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c>
          <w:tcPr>
            <w:tcW w:w="1170" w:type="dxa"/>
            <w:tcBorders>
              <w:top w:val="nil"/>
              <w:left w:val="nil"/>
              <w:bottom w:val="single" w:color="auto" w:sz="8" w:space="0"/>
              <w:right w:val="single" w:color="auto" w:sz="8" w:space="0"/>
            </w:tcBorders>
            <w:noWrap w:val="0"/>
            <w:vAlign w:val="bottom"/>
          </w:tcPr>
          <w:p w14:paraId="66E66684">
            <w:pPr>
              <w:keepNext w:val="0"/>
              <w:keepLines w:val="0"/>
              <w:widowControl/>
              <w:suppressLineNumbers w:val="0"/>
              <w:spacing w:before="0" w:beforeAutospacing="0" w:after="0" w:afterAutospacing="0"/>
              <w:ind w:left="0" w:right="0"/>
              <w:jc w:val="left"/>
              <w:rPr>
                <w:rFonts w:hint="default" w:ascii="Times New Roman" w:hAnsi="Times New Roman" w:cs="宋体"/>
                <w:b/>
                <w:kern w:val="0"/>
                <w:sz w:val="18"/>
                <w:szCs w:val="18"/>
              </w:rPr>
            </w:pPr>
            <w:r>
              <w:rPr>
                <w:rFonts w:hint="eastAsia" w:ascii="Times New Roman" w:hAnsi="Times New Roman" w:cs="宋体"/>
                <w:b/>
                <w:kern w:val="0"/>
                <w:sz w:val="18"/>
                <w:szCs w:val="18"/>
              </w:rPr>
              <w:t>　</w:t>
            </w:r>
          </w:p>
        </w:tc>
      </w:tr>
      <w:tr w14:paraId="1A8BCC2C">
        <w:tblPrEx>
          <w:tblCellMar>
            <w:top w:w="0" w:type="dxa"/>
            <w:left w:w="108" w:type="dxa"/>
            <w:bottom w:w="0" w:type="dxa"/>
            <w:right w:w="108" w:type="dxa"/>
          </w:tblCellMar>
        </w:tblPrEx>
        <w:trPr>
          <w:trHeight w:val="199" w:hRule="atLeast"/>
        </w:trPr>
        <w:tc>
          <w:tcPr>
            <w:tcW w:w="14535" w:type="dxa"/>
            <w:gridSpan w:val="10"/>
            <w:tcBorders>
              <w:top w:val="nil"/>
              <w:left w:val="nil"/>
              <w:bottom w:val="nil"/>
              <w:right w:val="nil"/>
            </w:tcBorders>
            <w:noWrap w:val="0"/>
            <w:vAlign w:val="bottom"/>
          </w:tcPr>
          <w:p w14:paraId="5961E812">
            <w:pPr>
              <w:keepNext w:val="0"/>
              <w:keepLines w:val="0"/>
              <w:widowControl/>
              <w:suppressLineNumbers w:val="0"/>
              <w:spacing w:before="0" w:beforeAutospacing="0" w:after="0" w:afterAutospacing="0"/>
              <w:ind w:left="0" w:right="0"/>
              <w:jc w:val="left"/>
              <w:rPr>
                <w:rFonts w:hint="eastAsia" w:ascii="Times New Roman" w:hAnsi="Times New Roman" w:cs="宋体"/>
                <w:kern w:val="0"/>
                <w:sz w:val="18"/>
                <w:szCs w:val="18"/>
              </w:rPr>
            </w:pPr>
            <w:r>
              <w:rPr>
                <w:rFonts w:hint="eastAsia" w:ascii="Times New Roman" w:hAnsi="Times New Roman" w:cs="宋体"/>
                <w:kern w:val="0"/>
                <w:sz w:val="18"/>
                <w:szCs w:val="18"/>
              </w:rPr>
              <w:t>说明　1、企业类型的划分以统计部门的统计数据为依据。</w:t>
            </w:r>
          </w:p>
          <w:p w14:paraId="09FD4C9F">
            <w:pPr>
              <w:keepNext w:val="0"/>
              <w:keepLines w:val="0"/>
              <w:widowControl/>
              <w:suppressLineNumbers w:val="0"/>
              <w:spacing w:before="0" w:beforeAutospacing="0" w:after="0" w:afterAutospacing="0"/>
              <w:ind w:left="0" w:right="0" w:firstLine="540" w:firstLineChars="300"/>
              <w:jc w:val="left"/>
              <w:rPr>
                <w:rFonts w:hint="eastAsia" w:ascii="Times New Roman" w:hAnsi="Times New Roman" w:cs="宋体"/>
                <w:kern w:val="0"/>
                <w:sz w:val="18"/>
                <w:szCs w:val="18"/>
              </w:rPr>
            </w:pPr>
            <w:r>
              <w:rPr>
                <w:rFonts w:hint="eastAsia" w:ascii="Times New Roman" w:hAnsi="Times New Roman" w:cs="宋体"/>
                <w:kern w:val="0"/>
                <w:sz w:val="18"/>
                <w:szCs w:val="18"/>
              </w:rPr>
              <w:t>2、个体工商户和本规定以外的行业，参照本规定进行划型。</w:t>
            </w:r>
          </w:p>
          <w:p w14:paraId="648D86E1">
            <w:pPr>
              <w:keepNext w:val="0"/>
              <w:keepLines w:val="0"/>
              <w:widowControl/>
              <w:suppressLineNumbers w:val="0"/>
              <w:spacing w:before="0" w:beforeAutospacing="0" w:after="0" w:afterAutospacing="0"/>
              <w:ind w:left="0" w:right="0" w:firstLine="540" w:firstLineChars="300"/>
              <w:jc w:val="left"/>
              <w:rPr>
                <w:rFonts w:hint="default" w:ascii="Times New Roman" w:hAnsi="Times New Roman" w:cs="宋体"/>
                <w:kern w:val="0"/>
                <w:sz w:val="18"/>
                <w:szCs w:val="18"/>
              </w:rPr>
            </w:pPr>
            <w:r>
              <w:rPr>
                <w:rFonts w:hint="eastAsia" w:ascii="Times New Roman" w:hAnsi="Times New Roman" w:cs="宋体"/>
                <w:kern w:val="0"/>
                <w:sz w:val="18"/>
                <w:szCs w:val="18"/>
              </w:rPr>
              <w:t>3、本规定的中型企业标准上限即为大型企业标准的下限。</w:t>
            </w:r>
          </w:p>
        </w:tc>
      </w:tr>
    </w:tbl>
    <w:p w14:paraId="74DC4CDA">
      <w:pPr>
        <w:pStyle w:val="39"/>
        <w:rPr>
          <w:rFonts w:hint="eastAsia" w:ascii="宋体" w:hAnsi="宋体" w:cs="宋体"/>
          <w:b/>
          <w:color w:val="auto"/>
          <w:spacing w:val="6"/>
          <w:sz w:val="32"/>
          <w:szCs w:val="32"/>
          <w:highlight w:val="none"/>
        </w:rPr>
      </w:pPr>
    </w:p>
    <w:p w14:paraId="67A29D57">
      <w:pPr>
        <w:pStyle w:val="39"/>
        <w:rPr>
          <w:rFonts w:hint="eastAsia" w:ascii="宋体" w:hAnsi="宋体" w:cs="宋体"/>
          <w:b/>
          <w:color w:val="auto"/>
          <w:spacing w:val="6"/>
          <w:sz w:val="32"/>
          <w:szCs w:val="32"/>
          <w:highlight w:val="none"/>
        </w:rPr>
      </w:pPr>
    </w:p>
    <w:p w14:paraId="7C6D0D73">
      <w:pPr>
        <w:pStyle w:val="39"/>
        <w:ind w:left="0" w:leftChars="0" w:firstLine="0" w:firstLineChars="0"/>
        <w:rPr>
          <w:rFonts w:hint="eastAsia" w:ascii="宋体" w:hAnsi="宋体" w:cs="宋体"/>
          <w:b/>
          <w:color w:val="auto"/>
          <w:spacing w:val="6"/>
          <w:sz w:val="32"/>
          <w:szCs w:val="32"/>
          <w:highlight w:val="none"/>
        </w:rPr>
      </w:pPr>
    </w:p>
    <w:p w14:paraId="2AA1045F">
      <w:pPr>
        <w:pStyle w:val="39"/>
        <w:rPr>
          <w:rFonts w:hint="eastAsia" w:ascii="宋体" w:hAnsi="宋体" w:cs="宋体"/>
          <w:b/>
          <w:color w:val="auto"/>
          <w:spacing w:val="6"/>
          <w:sz w:val="32"/>
          <w:szCs w:val="32"/>
          <w:highlight w:val="none"/>
        </w:rPr>
      </w:pPr>
    </w:p>
    <w:p w14:paraId="35984537">
      <w:pPr>
        <w:pStyle w:val="39"/>
        <w:rPr>
          <w:rFonts w:hint="eastAsia" w:ascii="宋体" w:hAnsi="宋体" w:cs="宋体"/>
          <w:b/>
          <w:color w:val="auto"/>
          <w:spacing w:val="6"/>
          <w:sz w:val="32"/>
          <w:szCs w:val="32"/>
          <w:highlight w:val="none"/>
        </w:rPr>
      </w:pPr>
    </w:p>
    <w:p w14:paraId="427A0DF3">
      <w:pPr>
        <w:pStyle w:val="39"/>
        <w:rPr>
          <w:rFonts w:hint="eastAsia" w:ascii="宋体" w:hAnsi="宋体" w:cs="宋体"/>
          <w:b/>
          <w:color w:val="auto"/>
          <w:spacing w:val="6"/>
          <w:sz w:val="32"/>
          <w:szCs w:val="32"/>
          <w:highlight w:val="none"/>
        </w:rPr>
      </w:pPr>
    </w:p>
    <w:p w14:paraId="693AC364">
      <w:pPr>
        <w:pStyle w:val="39"/>
        <w:rPr>
          <w:rFonts w:hint="eastAsia" w:ascii="宋体" w:hAnsi="宋体" w:cs="宋体"/>
          <w:b/>
          <w:color w:val="auto"/>
          <w:spacing w:val="6"/>
          <w:sz w:val="32"/>
          <w:szCs w:val="32"/>
          <w:highlight w:val="none"/>
        </w:rPr>
      </w:pPr>
    </w:p>
    <w:p w14:paraId="3D2EA1B9">
      <w:pPr>
        <w:pStyle w:val="39"/>
        <w:rPr>
          <w:rFonts w:hint="eastAsia" w:ascii="宋体" w:hAnsi="宋体" w:cs="宋体"/>
          <w:b/>
          <w:color w:val="auto"/>
          <w:spacing w:val="6"/>
          <w:sz w:val="32"/>
          <w:szCs w:val="32"/>
          <w:highlight w:val="none"/>
        </w:rPr>
      </w:pPr>
    </w:p>
    <w:p w14:paraId="2DDE2FE7">
      <w:pPr>
        <w:widowControl/>
        <w:adjustRightInd/>
        <w:jc w:val="left"/>
        <w:rPr>
          <w:rFonts w:cs="仿宋_GB2312" w:asciiTheme="minorEastAsia" w:hAnsiTheme="minorEastAsia" w:eastAsiaTheme="minorEastAsia"/>
          <w:b/>
          <w:color w:val="auto"/>
          <w:sz w:val="24"/>
        </w:rPr>
      </w:pPr>
    </w:p>
    <w:p w14:paraId="4240DDF9">
      <w:pPr>
        <w:rPr>
          <w:color w:val="auto"/>
        </w:rPr>
      </w:pPr>
      <w:r>
        <w:rPr>
          <w:color w:val="auto"/>
        </w:rPr>
        <w:br w:type="page"/>
      </w:r>
    </w:p>
    <w:p w14:paraId="0B9D3D35">
      <w:pPr>
        <w:pStyle w:val="39"/>
      </w:pPr>
    </w:p>
    <w:sectPr>
      <w:headerReference r:id="rId20" w:type="default"/>
      <w:footerReference r:id="rId21" w:type="default"/>
      <w:pgSz w:w="16840" w:h="11907" w:orient="landscape"/>
      <w:pgMar w:top="1774" w:right="1021" w:bottom="1513" w:left="851" w:header="1134" w:footer="1134" w:gutter="0"/>
      <w:pgNumType w:fmt="decimal"/>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FangSong_GB2312">
    <w:altName w:val="仿宋"/>
    <w:panose1 w:val="00000000000000000000"/>
    <w:charset w:val="86"/>
    <w:family w:val="modern"/>
    <w:pitch w:val="default"/>
    <w:sig w:usb0="00000000" w:usb1="00000000"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A232A">
    <w:pPr>
      <w:pStyle w:val="15"/>
      <w:framePr w:wrap="around" w:vAnchor="text" w:hAnchor="margin" w:xAlign="center" w:y="1"/>
      <w:rPr>
        <w:rStyle w:val="33"/>
      </w:rPr>
    </w:pPr>
    <w:r>
      <w:fldChar w:fldCharType="begin"/>
    </w:r>
    <w:r>
      <w:rPr>
        <w:rStyle w:val="33"/>
      </w:rPr>
      <w:instrText xml:space="preserve">PAGE  </w:instrText>
    </w:r>
    <w:r>
      <w:fldChar w:fldCharType="end"/>
    </w:r>
  </w:p>
  <w:p w14:paraId="7FD38CF6">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F1911">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BB6DA6">
                          <w:pPr>
                            <w:pStyle w:val="15"/>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1ABB6DA6">
                    <w:pPr>
                      <w:pStyle w:val="15"/>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D53E">
    <w:pPr>
      <w:pStyle w:val="15"/>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CBBD96">
                          <w:pPr>
                            <w:pStyle w:val="15"/>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53CBBD96">
                    <w:pPr>
                      <w:pStyle w:val="15"/>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9E328">
    <w:pPr>
      <w:pStyle w:val="15"/>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CE2365">
                          <w:pPr>
                            <w:pStyle w:val="15"/>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14:paraId="3ECE2365">
                    <w:pPr>
                      <w:pStyle w:val="15"/>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F6AF">
    <w:pPr>
      <w:pStyle w:val="15"/>
      <w:rPr>
        <w:rFonts w:hint="eastAsia"/>
        <w:szCs w:val="21"/>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7D170A">
                          <w:pPr>
                            <w:pStyle w:val="15"/>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14:paraId="7F7D170A">
                    <w:pPr>
                      <w:pStyle w:val="15"/>
                    </w:pPr>
                    <w:r>
                      <w:fldChar w:fldCharType="begin"/>
                    </w:r>
                    <w:r>
                      <w:instrText xml:space="preserve"> PAGE  \* MERGEFORMAT </w:instrText>
                    </w:r>
                    <w:r>
                      <w:fldChar w:fldCharType="separate"/>
                    </w:r>
                    <w:r>
                      <w:t>99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3859E">
                          <w:pPr>
                            <w:pStyle w:val="15"/>
                          </w:pPr>
                        </w:p>
                        <w:p w14:paraId="026EE9E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603859E">
                    <w:pPr>
                      <w:pStyle w:val="15"/>
                    </w:pPr>
                  </w:p>
                  <w:p w14:paraId="026EE9E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748A6">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F5EF">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F6888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5F6888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09697">
    <w:pPr>
      <w:pStyle w:val="15"/>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37441F">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1037441F">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05A6">
    <w:pPr>
      <w:pStyle w:val="15"/>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C026B9">
                          <w:pPr>
                            <w:pStyle w:val="1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2C026B9">
                    <w:pPr>
                      <w:pStyle w:val="1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928DF">
    <w:pPr>
      <w:pStyle w:val="15"/>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1BF59F">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14:paraId="6C1BF59F">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EBFD">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924778">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0B924778">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6790A">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F09335">
                          <w:pPr>
                            <w:pStyle w:val="1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40F09335">
                    <w:pPr>
                      <w:pStyle w:val="1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BC14">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61D43D">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6361D43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1094">
    <w:pPr>
      <w:pStyle w:val="17"/>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87155">
    <w:pPr>
      <w:pStyle w:val="1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3EDD">
    <w:pPr>
      <w:pStyle w:val="17"/>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088F8">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27BFC">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08671">
    <w:pPr>
      <w:pStyle w:val="17"/>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9ADF3"/>
    <w:multiLevelType w:val="singleLevel"/>
    <w:tmpl w:val="8D99ADF3"/>
    <w:lvl w:ilvl="0" w:tentative="0">
      <w:start w:val="1"/>
      <w:numFmt w:val="decimal"/>
      <w:suff w:val="nothing"/>
      <w:lvlText w:val="（%1）"/>
      <w:lvlJc w:val="left"/>
    </w:lvl>
  </w:abstractNum>
  <w:abstractNum w:abstractNumId="1">
    <w:nsid w:val="BCA30B15"/>
    <w:multiLevelType w:val="singleLevel"/>
    <w:tmpl w:val="BCA30B15"/>
    <w:lvl w:ilvl="0" w:tentative="0">
      <w:start w:val="6"/>
      <w:numFmt w:val="decimal"/>
      <w:lvlText w:val="%1."/>
      <w:lvlJc w:val="left"/>
      <w:pPr>
        <w:tabs>
          <w:tab w:val="left" w:pos="312"/>
        </w:tabs>
      </w:pPr>
    </w:lvl>
  </w:abstractNum>
  <w:abstractNum w:abstractNumId="2">
    <w:nsid w:val="D23CD513"/>
    <w:multiLevelType w:val="singleLevel"/>
    <w:tmpl w:val="D23CD513"/>
    <w:lvl w:ilvl="0" w:tentative="0">
      <w:start w:val="3"/>
      <w:numFmt w:val="decimal"/>
      <w:suff w:val="nothing"/>
      <w:lvlText w:val="%1、"/>
      <w:lvlJc w:val="left"/>
    </w:lvl>
  </w:abstractNum>
  <w:abstractNum w:abstractNumId="3">
    <w:nsid w:val="0000000A"/>
    <w:multiLevelType w:val="multilevel"/>
    <w:tmpl w:val="0000000A"/>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A332C1C"/>
    <w:multiLevelType w:val="singleLevel"/>
    <w:tmpl w:val="0A332C1C"/>
    <w:lvl w:ilvl="0" w:tentative="0">
      <w:start w:val="10"/>
      <w:numFmt w:val="decimal"/>
      <w:suff w:val="nothing"/>
      <w:lvlText w:val="%1、"/>
      <w:lvlJc w:val="left"/>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835844C"/>
    <w:multiLevelType w:val="singleLevel"/>
    <w:tmpl w:val="4835844C"/>
    <w:lvl w:ilvl="0" w:tentative="0">
      <w:start w:val="2"/>
      <w:numFmt w:val="decimal"/>
      <w:suff w:val="nothing"/>
      <w:lvlText w:val="（%1）"/>
      <w:lvlJc w:val="left"/>
    </w:lvl>
  </w:abstractNum>
  <w:num w:numId="1">
    <w:abstractNumId w:val="5"/>
  </w:num>
  <w:num w:numId="2">
    <w:abstractNumId w:val="0"/>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YWM4MzZmNDAxOWEwZWQ5ZjhlZWViZWE2YThlYTYifQ=="/>
  </w:docVars>
  <w:rsids>
    <w:rsidRoot w:val="00837400"/>
    <w:rsid w:val="000000A7"/>
    <w:rsid w:val="00000152"/>
    <w:rsid w:val="00001366"/>
    <w:rsid w:val="00001C04"/>
    <w:rsid w:val="00001C2A"/>
    <w:rsid w:val="00001DB3"/>
    <w:rsid w:val="00002657"/>
    <w:rsid w:val="00002A2F"/>
    <w:rsid w:val="00003838"/>
    <w:rsid w:val="0000398A"/>
    <w:rsid w:val="00003B28"/>
    <w:rsid w:val="00006450"/>
    <w:rsid w:val="0001047B"/>
    <w:rsid w:val="00010CB6"/>
    <w:rsid w:val="0001101E"/>
    <w:rsid w:val="0001144C"/>
    <w:rsid w:val="000119D1"/>
    <w:rsid w:val="000119E3"/>
    <w:rsid w:val="000133E4"/>
    <w:rsid w:val="00014A9B"/>
    <w:rsid w:val="00014B5B"/>
    <w:rsid w:val="0001559B"/>
    <w:rsid w:val="000166E8"/>
    <w:rsid w:val="00017016"/>
    <w:rsid w:val="000200C4"/>
    <w:rsid w:val="00020624"/>
    <w:rsid w:val="0002179A"/>
    <w:rsid w:val="000218C6"/>
    <w:rsid w:val="00022D75"/>
    <w:rsid w:val="00022F2D"/>
    <w:rsid w:val="00022FDE"/>
    <w:rsid w:val="000237E5"/>
    <w:rsid w:val="00024DC3"/>
    <w:rsid w:val="0002561C"/>
    <w:rsid w:val="00027684"/>
    <w:rsid w:val="000278EA"/>
    <w:rsid w:val="00030DF7"/>
    <w:rsid w:val="00031F92"/>
    <w:rsid w:val="00032241"/>
    <w:rsid w:val="0003253A"/>
    <w:rsid w:val="00032ADA"/>
    <w:rsid w:val="00034C76"/>
    <w:rsid w:val="00035152"/>
    <w:rsid w:val="00035A36"/>
    <w:rsid w:val="00036478"/>
    <w:rsid w:val="000368A0"/>
    <w:rsid w:val="00037477"/>
    <w:rsid w:val="0003756F"/>
    <w:rsid w:val="000377A1"/>
    <w:rsid w:val="00040BB5"/>
    <w:rsid w:val="00041A72"/>
    <w:rsid w:val="0004279B"/>
    <w:rsid w:val="00042F2C"/>
    <w:rsid w:val="00043C72"/>
    <w:rsid w:val="000441C7"/>
    <w:rsid w:val="0004426D"/>
    <w:rsid w:val="00044834"/>
    <w:rsid w:val="000453FA"/>
    <w:rsid w:val="000456B8"/>
    <w:rsid w:val="00045D05"/>
    <w:rsid w:val="00045E16"/>
    <w:rsid w:val="00047DA3"/>
    <w:rsid w:val="00047DBA"/>
    <w:rsid w:val="00047EFE"/>
    <w:rsid w:val="000503FA"/>
    <w:rsid w:val="00050773"/>
    <w:rsid w:val="00050C9C"/>
    <w:rsid w:val="00051C4D"/>
    <w:rsid w:val="00053873"/>
    <w:rsid w:val="00054028"/>
    <w:rsid w:val="0005471B"/>
    <w:rsid w:val="000559AC"/>
    <w:rsid w:val="00055C6A"/>
    <w:rsid w:val="00056753"/>
    <w:rsid w:val="000567DB"/>
    <w:rsid w:val="00057C89"/>
    <w:rsid w:val="00060572"/>
    <w:rsid w:val="00060A0B"/>
    <w:rsid w:val="00060E3D"/>
    <w:rsid w:val="00061C86"/>
    <w:rsid w:val="00061E7B"/>
    <w:rsid w:val="0006205E"/>
    <w:rsid w:val="000622ED"/>
    <w:rsid w:val="000628A1"/>
    <w:rsid w:val="00062AF4"/>
    <w:rsid w:val="00062F9E"/>
    <w:rsid w:val="00063A92"/>
    <w:rsid w:val="0006428E"/>
    <w:rsid w:val="00065357"/>
    <w:rsid w:val="00066D8B"/>
    <w:rsid w:val="0006735E"/>
    <w:rsid w:val="00067C08"/>
    <w:rsid w:val="00072148"/>
    <w:rsid w:val="00072320"/>
    <w:rsid w:val="00072EAD"/>
    <w:rsid w:val="000730A2"/>
    <w:rsid w:val="0007400A"/>
    <w:rsid w:val="00074DFF"/>
    <w:rsid w:val="000757ED"/>
    <w:rsid w:val="000760F2"/>
    <w:rsid w:val="00076583"/>
    <w:rsid w:val="000778C3"/>
    <w:rsid w:val="00077C1D"/>
    <w:rsid w:val="00080295"/>
    <w:rsid w:val="00081E97"/>
    <w:rsid w:val="0008275D"/>
    <w:rsid w:val="00083874"/>
    <w:rsid w:val="000843CF"/>
    <w:rsid w:val="000903FF"/>
    <w:rsid w:val="00091170"/>
    <w:rsid w:val="00091831"/>
    <w:rsid w:val="00091DB4"/>
    <w:rsid w:val="00091F44"/>
    <w:rsid w:val="00092217"/>
    <w:rsid w:val="00092572"/>
    <w:rsid w:val="00093D22"/>
    <w:rsid w:val="00095B1D"/>
    <w:rsid w:val="0009610B"/>
    <w:rsid w:val="000974C8"/>
    <w:rsid w:val="00097993"/>
    <w:rsid w:val="00097CF3"/>
    <w:rsid w:val="000A070D"/>
    <w:rsid w:val="000A0871"/>
    <w:rsid w:val="000A0910"/>
    <w:rsid w:val="000A09E4"/>
    <w:rsid w:val="000A0B95"/>
    <w:rsid w:val="000A12E4"/>
    <w:rsid w:val="000A1D88"/>
    <w:rsid w:val="000A2ED6"/>
    <w:rsid w:val="000A4972"/>
    <w:rsid w:val="000A56D6"/>
    <w:rsid w:val="000A5E44"/>
    <w:rsid w:val="000A63D5"/>
    <w:rsid w:val="000A67DC"/>
    <w:rsid w:val="000A700B"/>
    <w:rsid w:val="000A728F"/>
    <w:rsid w:val="000A7A5B"/>
    <w:rsid w:val="000A7A8B"/>
    <w:rsid w:val="000B0E3E"/>
    <w:rsid w:val="000B0E4C"/>
    <w:rsid w:val="000B0EC9"/>
    <w:rsid w:val="000B1CF3"/>
    <w:rsid w:val="000B1E0C"/>
    <w:rsid w:val="000B1E9F"/>
    <w:rsid w:val="000B24EB"/>
    <w:rsid w:val="000B2C2E"/>
    <w:rsid w:val="000B3A54"/>
    <w:rsid w:val="000B40EB"/>
    <w:rsid w:val="000B4D27"/>
    <w:rsid w:val="000B50C3"/>
    <w:rsid w:val="000B5E9E"/>
    <w:rsid w:val="000B77E0"/>
    <w:rsid w:val="000B7A71"/>
    <w:rsid w:val="000B7BBB"/>
    <w:rsid w:val="000C03CC"/>
    <w:rsid w:val="000C0C32"/>
    <w:rsid w:val="000C1DB8"/>
    <w:rsid w:val="000C23C8"/>
    <w:rsid w:val="000C2820"/>
    <w:rsid w:val="000C342F"/>
    <w:rsid w:val="000C39E5"/>
    <w:rsid w:val="000C4173"/>
    <w:rsid w:val="000C503F"/>
    <w:rsid w:val="000D0988"/>
    <w:rsid w:val="000D1086"/>
    <w:rsid w:val="000D15D5"/>
    <w:rsid w:val="000D200F"/>
    <w:rsid w:val="000D2174"/>
    <w:rsid w:val="000D2EE0"/>
    <w:rsid w:val="000D3B3A"/>
    <w:rsid w:val="000D401B"/>
    <w:rsid w:val="000D4223"/>
    <w:rsid w:val="000D46B9"/>
    <w:rsid w:val="000D4A5F"/>
    <w:rsid w:val="000D4DC9"/>
    <w:rsid w:val="000D5566"/>
    <w:rsid w:val="000D575E"/>
    <w:rsid w:val="000D6F60"/>
    <w:rsid w:val="000D730F"/>
    <w:rsid w:val="000E0004"/>
    <w:rsid w:val="000E2A39"/>
    <w:rsid w:val="000E35FC"/>
    <w:rsid w:val="000E382C"/>
    <w:rsid w:val="000E3A77"/>
    <w:rsid w:val="000E4479"/>
    <w:rsid w:val="000E4746"/>
    <w:rsid w:val="000E497A"/>
    <w:rsid w:val="000E5BCA"/>
    <w:rsid w:val="000E6141"/>
    <w:rsid w:val="000E688A"/>
    <w:rsid w:val="000E68EC"/>
    <w:rsid w:val="000E6BC5"/>
    <w:rsid w:val="000E7818"/>
    <w:rsid w:val="000E782C"/>
    <w:rsid w:val="000E7D1D"/>
    <w:rsid w:val="000F0E49"/>
    <w:rsid w:val="000F0FBD"/>
    <w:rsid w:val="000F2580"/>
    <w:rsid w:val="000F2B2A"/>
    <w:rsid w:val="000F32F8"/>
    <w:rsid w:val="000F3FEB"/>
    <w:rsid w:val="000F4135"/>
    <w:rsid w:val="000F453C"/>
    <w:rsid w:val="000F4ED5"/>
    <w:rsid w:val="000F5446"/>
    <w:rsid w:val="000F59D7"/>
    <w:rsid w:val="000F6779"/>
    <w:rsid w:val="000F6877"/>
    <w:rsid w:val="000F6A81"/>
    <w:rsid w:val="000F6CA8"/>
    <w:rsid w:val="000F7C2C"/>
    <w:rsid w:val="00100EA9"/>
    <w:rsid w:val="00100EE6"/>
    <w:rsid w:val="00101DD7"/>
    <w:rsid w:val="00102F15"/>
    <w:rsid w:val="00103D95"/>
    <w:rsid w:val="00104AD3"/>
    <w:rsid w:val="00105A26"/>
    <w:rsid w:val="00107C47"/>
    <w:rsid w:val="00107CC7"/>
    <w:rsid w:val="0011081F"/>
    <w:rsid w:val="00110BE4"/>
    <w:rsid w:val="00111185"/>
    <w:rsid w:val="00111D83"/>
    <w:rsid w:val="001126F1"/>
    <w:rsid w:val="0011316E"/>
    <w:rsid w:val="001141FA"/>
    <w:rsid w:val="00114AA3"/>
    <w:rsid w:val="0011579C"/>
    <w:rsid w:val="00115C72"/>
    <w:rsid w:val="001164D7"/>
    <w:rsid w:val="0011700B"/>
    <w:rsid w:val="0011771F"/>
    <w:rsid w:val="00117F29"/>
    <w:rsid w:val="001200C2"/>
    <w:rsid w:val="00120974"/>
    <w:rsid w:val="00120AB7"/>
    <w:rsid w:val="001225F2"/>
    <w:rsid w:val="00124DD3"/>
    <w:rsid w:val="001252B5"/>
    <w:rsid w:val="00125305"/>
    <w:rsid w:val="00125EB7"/>
    <w:rsid w:val="00126E04"/>
    <w:rsid w:val="001277BC"/>
    <w:rsid w:val="00130343"/>
    <w:rsid w:val="00130BE6"/>
    <w:rsid w:val="00130D43"/>
    <w:rsid w:val="001320AF"/>
    <w:rsid w:val="001323AA"/>
    <w:rsid w:val="00132533"/>
    <w:rsid w:val="00134CC1"/>
    <w:rsid w:val="00134D95"/>
    <w:rsid w:val="00137142"/>
    <w:rsid w:val="00137762"/>
    <w:rsid w:val="001377F3"/>
    <w:rsid w:val="00140F1C"/>
    <w:rsid w:val="00141678"/>
    <w:rsid w:val="001418F9"/>
    <w:rsid w:val="00142B06"/>
    <w:rsid w:val="00143483"/>
    <w:rsid w:val="00143805"/>
    <w:rsid w:val="0014400F"/>
    <w:rsid w:val="00144B2C"/>
    <w:rsid w:val="00144F77"/>
    <w:rsid w:val="00146B2A"/>
    <w:rsid w:val="00146BC1"/>
    <w:rsid w:val="00150326"/>
    <w:rsid w:val="00153C28"/>
    <w:rsid w:val="001546DD"/>
    <w:rsid w:val="00154F91"/>
    <w:rsid w:val="001556B0"/>
    <w:rsid w:val="00155A0D"/>
    <w:rsid w:val="00157E76"/>
    <w:rsid w:val="00160968"/>
    <w:rsid w:val="00160A28"/>
    <w:rsid w:val="00160D32"/>
    <w:rsid w:val="00161642"/>
    <w:rsid w:val="00161820"/>
    <w:rsid w:val="001623D6"/>
    <w:rsid w:val="001623D7"/>
    <w:rsid w:val="00162F20"/>
    <w:rsid w:val="00163832"/>
    <w:rsid w:val="001638DF"/>
    <w:rsid w:val="00163A5D"/>
    <w:rsid w:val="00163D10"/>
    <w:rsid w:val="0016425D"/>
    <w:rsid w:val="0016429F"/>
    <w:rsid w:val="0016663E"/>
    <w:rsid w:val="00167252"/>
    <w:rsid w:val="00170466"/>
    <w:rsid w:val="00170E1E"/>
    <w:rsid w:val="00171446"/>
    <w:rsid w:val="0017183E"/>
    <w:rsid w:val="00172BBD"/>
    <w:rsid w:val="001731EC"/>
    <w:rsid w:val="001733BC"/>
    <w:rsid w:val="00173526"/>
    <w:rsid w:val="00174CB8"/>
    <w:rsid w:val="001754F0"/>
    <w:rsid w:val="00175BF6"/>
    <w:rsid w:val="001760F6"/>
    <w:rsid w:val="00176C1A"/>
    <w:rsid w:val="00177268"/>
    <w:rsid w:val="00180C25"/>
    <w:rsid w:val="00180D96"/>
    <w:rsid w:val="00181A54"/>
    <w:rsid w:val="00181D5D"/>
    <w:rsid w:val="001820CF"/>
    <w:rsid w:val="00182105"/>
    <w:rsid w:val="0018262F"/>
    <w:rsid w:val="0018282A"/>
    <w:rsid w:val="0018357E"/>
    <w:rsid w:val="0018382A"/>
    <w:rsid w:val="00184D9C"/>
    <w:rsid w:val="00184DF2"/>
    <w:rsid w:val="001863D1"/>
    <w:rsid w:val="001868C8"/>
    <w:rsid w:val="00186916"/>
    <w:rsid w:val="00186A86"/>
    <w:rsid w:val="00186C36"/>
    <w:rsid w:val="001871E3"/>
    <w:rsid w:val="0018794D"/>
    <w:rsid w:val="00190513"/>
    <w:rsid w:val="00190F89"/>
    <w:rsid w:val="0019139C"/>
    <w:rsid w:val="00191782"/>
    <w:rsid w:val="00191977"/>
    <w:rsid w:val="001927B7"/>
    <w:rsid w:val="00193586"/>
    <w:rsid w:val="001936D1"/>
    <w:rsid w:val="00194531"/>
    <w:rsid w:val="0019477B"/>
    <w:rsid w:val="00194A42"/>
    <w:rsid w:val="001953C1"/>
    <w:rsid w:val="00195D2B"/>
    <w:rsid w:val="00196044"/>
    <w:rsid w:val="00196ACC"/>
    <w:rsid w:val="00197838"/>
    <w:rsid w:val="00197C28"/>
    <w:rsid w:val="001A038A"/>
    <w:rsid w:val="001A047E"/>
    <w:rsid w:val="001A0505"/>
    <w:rsid w:val="001A0857"/>
    <w:rsid w:val="001A1CC4"/>
    <w:rsid w:val="001A28F4"/>
    <w:rsid w:val="001A2F05"/>
    <w:rsid w:val="001A36BA"/>
    <w:rsid w:val="001A3AA2"/>
    <w:rsid w:val="001A3B49"/>
    <w:rsid w:val="001A4EAC"/>
    <w:rsid w:val="001A4EF2"/>
    <w:rsid w:val="001A546C"/>
    <w:rsid w:val="001A559C"/>
    <w:rsid w:val="001A6495"/>
    <w:rsid w:val="001A7470"/>
    <w:rsid w:val="001A791C"/>
    <w:rsid w:val="001A7F18"/>
    <w:rsid w:val="001B0BC9"/>
    <w:rsid w:val="001B1393"/>
    <w:rsid w:val="001B210B"/>
    <w:rsid w:val="001B2409"/>
    <w:rsid w:val="001B29DE"/>
    <w:rsid w:val="001B2C66"/>
    <w:rsid w:val="001B2F67"/>
    <w:rsid w:val="001B44D3"/>
    <w:rsid w:val="001B4B3D"/>
    <w:rsid w:val="001B4C08"/>
    <w:rsid w:val="001B5290"/>
    <w:rsid w:val="001B5919"/>
    <w:rsid w:val="001B7101"/>
    <w:rsid w:val="001B7EE8"/>
    <w:rsid w:val="001C003A"/>
    <w:rsid w:val="001C01ED"/>
    <w:rsid w:val="001C1169"/>
    <w:rsid w:val="001C177E"/>
    <w:rsid w:val="001C1E02"/>
    <w:rsid w:val="001C24B8"/>
    <w:rsid w:val="001C2B50"/>
    <w:rsid w:val="001C2F02"/>
    <w:rsid w:val="001C3E6A"/>
    <w:rsid w:val="001C48AA"/>
    <w:rsid w:val="001C5C7D"/>
    <w:rsid w:val="001C6A02"/>
    <w:rsid w:val="001C7AAB"/>
    <w:rsid w:val="001C7FC3"/>
    <w:rsid w:val="001D0956"/>
    <w:rsid w:val="001D0C08"/>
    <w:rsid w:val="001D2561"/>
    <w:rsid w:val="001D2DD8"/>
    <w:rsid w:val="001D4065"/>
    <w:rsid w:val="001D519D"/>
    <w:rsid w:val="001D54BB"/>
    <w:rsid w:val="001D59ED"/>
    <w:rsid w:val="001D650E"/>
    <w:rsid w:val="001D7C5B"/>
    <w:rsid w:val="001E0583"/>
    <w:rsid w:val="001E1ABF"/>
    <w:rsid w:val="001E27CF"/>
    <w:rsid w:val="001E32D6"/>
    <w:rsid w:val="001E3814"/>
    <w:rsid w:val="001E3C0B"/>
    <w:rsid w:val="001E4149"/>
    <w:rsid w:val="001E6B58"/>
    <w:rsid w:val="001E7514"/>
    <w:rsid w:val="001E77E9"/>
    <w:rsid w:val="001E7E4E"/>
    <w:rsid w:val="001F04A4"/>
    <w:rsid w:val="001F04C9"/>
    <w:rsid w:val="001F0FEF"/>
    <w:rsid w:val="001F11E2"/>
    <w:rsid w:val="001F18E0"/>
    <w:rsid w:val="001F1FF9"/>
    <w:rsid w:val="001F236D"/>
    <w:rsid w:val="001F3CDF"/>
    <w:rsid w:val="001F4159"/>
    <w:rsid w:val="001F44BB"/>
    <w:rsid w:val="001F45A6"/>
    <w:rsid w:val="001F4CC4"/>
    <w:rsid w:val="001F5918"/>
    <w:rsid w:val="001F672F"/>
    <w:rsid w:val="001F77FC"/>
    <w:rsid w:val="002000C7"/>
    <w:rsid w:val="002000CC"/>
    <w:rsid w:val="002004E3"/>
    <w:rsid w:val="0020120E"/>
    <w:rsid w:val="00201D60"/>
    <w:rsid w:val="00201F5D"/>
    <w:rsid w:val="00203638"/>
    <w:rsid w:val="002038E5"/>
    <w:rsid w:val="00203CB7"/>
    <w:rsid w:val="002044A1"/>
    <w:rsid w:val="00204715"/>
    <w:rsid w:val="002060E1"/>
    <w:rsid w:val="00207A3F"/>
    <w:rsid w:val="00207C25"/>
    <w:rsid w:val="00207C26"/>
    <w:rsid w:val="0021058D"/>
    <w:rsid w:val="00210F5A"/>
    <w:rsid w:val="0021245B"/>
    <w:rsid w:val="00212D74"/>
    <w:rsid w:val="00213A4C"/>
    <w:rsid w:val="00214283"/>
    <w:rsid w:val="00214878"/>
    <w:rsid w:val="00216EEB"/>
    <w:rsid w:val="00217900"/>
    <w:rsid w:val="00217E64"/>
    <w:rsid w:val="00217E94"/>
    <w:rsid w:val="002209AB"/>
    <w:rsid w:val="002216FF"/>
    <w:rsid w:val="00221985"/>
    <w:rsid w:val="00221B46"/>
    <w:rsid w:val="00222138"/>
    <w:rsid w:val="002226C1"/>
    <w:rsid w:val="002245CF"/>
    <w:rsid w:val="00224FFE"/>
    <w:rsid w:val="00225850"/>
    <w:rsid w:val="002270EA"/>
    <w:rsid w:val="00227178"/>
    <w:rsid w:val="00227607"/>
    <w:rsid w:val="00227A00"/>
    <w:rsid w:val="00227C68"/>
    <w:rsid w:val="002305DB"/>
    <w:rsid w:val="00230BE2"/>
    <w:rsid w:val="00231880"/>
    <w:rsid w:val="00231C3D"/>
    <w:rsid w:val="002320EB"/>
    <w:rsid w:val="0023216B"/>
    <w:rsid w:val="0023261A"/>
    <w:rsid w:val="0023285E"/>
    <w:rsid w:val="0023297A"/>
    <w:rsid w:val="00233CB9"/>
    <w:rsid w:val="00233D2A"/>
    <w:rsid w:val="00234840"/>
    <w:rsid w:val="00234EC9"/>
    <w:rsid w:val="00235C0C"/>
    <w:rsid w:val="002371E3"/>
    <w:rsid w:val="00237AAC"/>
    <w:rsid w:val="0024061A"/>
    <w:rsid w:val="0024099A"/>
    <w:rsid w:val="00240CBA"/>
    <w:rsid w:val="002428A7"/>
    <w:rsid w:val="00243629"/>
    <w:rsid w:val="002436DC"/>
    <w:rsid w:val="002445C7"/>
    <w:rsid w:val="002458EB"/>
    <w:rsid w:val="00245913"/>
    <w:rsid w:val="002467B6"/>
    <w:rsid w:val="00246C9A"/>
    <w:rsid w:val="00246F2C"/>
    <w:rsid w:val="00247030"/>
    <w:rsid w:val="00247035"/>
    <w:rsid w:val="002473E8"/>
    <w:rsid w:val="002477FC"/>
    <w:rsid w:val="00247C8D"/>
    <w:rsid w:val="00250A6A"/>
    <w:rsid w:val="00250B9E"/>
    <w:rsid w:val="00250D37"/>
    <w:rsid w:val="00250E5E"/>
    <w:rsid w:val="002519A8"/>
    <w:rsid w:val="00251D5D"/>
    <w:rsid w:val="00252568"/>
    <w:rsid w:val="00254096"/>
    <w:rsid w:val="0025425D"/>
    <w:rsid w:val="00254D41"/>
    <w:rsid w:val="00255F49"/>
    <w:rsid w:val="00256F69"/>
    <w:rsid w:val="00257546"/>
    <w:rsid w:val="00257C69"/>
    <w:rsid w:val="00257D06"/>
    <w:rsid w:val="002600FA"/>
    <w:rsid w:val="00260335"/>
    <w:rsid w:val="00261A4E"/>
    <w:rsid w:val="00265F1C"/>
    <w:rsid w:val="0026602B"/>
    <w:rsid w:val="0026729B"/>
    <w:rsid w:val="00267C3C"/>
    <w:rsid w:val="00267D75"/>
    <w:rsid w:val="00267F78"/>
    <w:rsid w:val="00271256"/>
    <w:rsid w:val="00272133"/>
    <w:rsid w:val="002724B6"/>
    <w:rsid w:val="00273827"/>
    <w:rsid w:val="00273D78"/>
    <w:rsid w:val="002750EB"/>
    <w:rsid w:val="00276119"/>
    <w:rsid w:val="0027642C"/>
    <w:rsid w:val="002775F0"/>
    <w:rsid w:val="00280D47"/>
    <w:rsid w:val="0028125A"/>
    <w:rsid w:val="002820FF"/>
    <w:rsid w:val="002824DC"/>
    <w:rsid w:val="002825DD"/>
    <w:rsid w:val="00282BD9"/>
    <w:rsid w:val="00282D2C"/>
    <w:rsid w:val="0028389A"/>
    <w:rsid w:val="00283D62"/>
    <w:rsid w:val="00283EC4"/>
    <w:rsid w:val="00286C5A"/>
    <w:rsid w:val="00286E0D"/>
    <w:rsid w:val="00287542"/>
    <w:rsid w:val="00287DF3"/>
    <w:rsid w:val="0029034D"/>
    <w:rsid w:val="00290C5F"/>
    <w:rsid w:val="002913D3"/>
    <w:rsid w:val="0029143C"/>
    <w:rsid w:val="00291562"/>
    <w:rsid w:val="00291865"/>
    <w:rsid w:val="00291C80"/>
    <w:rsid w:val="00291DEF"/>
    <w:rsid w:val="00292904"/>
    <w:rsid w:val="002930F7"/>
    <w:rsid w:val="0029409C"/>
    <w:rsid w:val="002945E1"/>
    <w:rsid w:val="002950C6"/>
    <w:rsid w:val="0029591E"/>
    <w:rsid w:val="00295C04"/>
    <w:rsid w:val="0029785E"/>
    <w:rsid w:val="002A0BCA"/>
    <w:rsid w:val="002A1784"/>
    <w:rsid w:val="002A1EB7"/>
    <w:rsid w:val="002A2617"/>
    <w:rsid w:val="002A2A2C"/>
    <w:rsid w:val="002A42DA"/>
    <w:rsid w:val="002A5950"/>
    <w:rsid w:val="002A5C06"/>
    <w:rsid w:val="002A67A0"/>
    <w:rsid w:val="002A6CB2"/>
    <w:rsid w:val="002A7DA7"/>
    <w:rsid w:val="002B02BD"/>
    <w:rsid w:val="002B04F3"/>
    <w:rsid w:val="002B0C34"/>
    <w:rsid w:val="002B0E8B"/>
    <w:rsid w:val="002B11F9"/>
    <w:rsid w:val="002B1BB8"/>
    <w:rsid w:val="002B2DA2"/>
    <w:rsid w:val="002B3611"/>
    <w:rsid w:val="002B504E"/>
    <w:rsid w:val="002B52DC"/>
    <w:rsid w:val="002B572B"/>
    <w:rsid w:val="002B5AF7"/>
    <w:rsid w:val="002B5BD9"/>
    <w:rsid w:val="002B6623"/>
    <w:rsid w:val="002B6862"/>
    <w:rsid w:val="002B6AC1"/>
    <w:rsid w:val="002B71EE"/>
    <w:rsid w:val="002B72CF"/>
    <w:rsid w:val="002B76C2"/>
    <w:rsid w:val="002B7DEF"/>
    <w:rsid w:val="002C007D"/>
    <w:rsid w:val="002C0976"/>
    <w:rsid w:val="002C1312"/>
    <w:rsid w:val="002C1862"/>
    <w:rsid w:val="002C1C63"/>
    <w:rsid w:val="002C1F65"/>
    <w:rsid w:val="002C33A0"/>
    <w:rsid w:val="002C3D24"/>
    <w:rsid w:val="002C4E6C"/>
    <w:rsid w:val="002C5647"/>
    <w:rsid w:val="002C607C"/>
    <w:rsid w:val="002C6523"/>
    <w:rsid w:val="002C6F74"/>
    <w:rsid w:val="002C7094"/>
    <w:rsid w:val="002C77C0"/>
    <w:rsid w:val="002D2058"/>
    <w:rsid w:val="002D2953"/>
    <w:rsid w:val="002D4509"/>
    <w:rsid w:val="002D5D84"/>
    <w:rsid w:val="002D67F1"/>
    <w:rsid w:val="002D6FA9"/>
    <w:rsid w:val="002D7EB2"/>
    <w:rsid w:val="002D7F1A"/>
    <w:rsid w:val="002E308D"/>
    <w:rsid w:val="002E3A66"/>
    <w:rsid w:val="002E5064"/>
    <w:rsid w:val="002E5121"/>
    <w:rsid w:val="002E646A"/>
    <w:rsid w:val="002E64E1"/>
    <w:rsid w:val="002E6BAD"/>
    <w:rsid w:val="002E771D"/>
    <w:rsid w:val="002E7A15"/>
    <w:rsid w:val="002E7D32"/>
    <w:rsid w:val="002F06EA"/>
    <w:rsid w:val="002F206F"/>
    <w:rsid w:val="002F269E"/>
    <w:rsid w:val="002F2C08"/>
    <w:rsid w:val="002F2C7B"/>
    <w:rsid w:val="002F2FB2"/>
    <w:rsid w:val="002F313A"/>
    <w:rsid w:val="002F31FB"/>
    <w:rsid w:val="002F365B"/>
    <w:rsid w:val="002F3DFC"/>
    <w:rsid w:val="002F3F15"/>
    <w:rsid w:val="002F3F28"/>
    <w:rsid w:val="002F4C16"/>
    <w:rsid w:val="002F550B"/>
    <w:rsid w:val="002F5C17"/>
    <w:rsid w:val="002F5D45"/>
    <w:rsid w:val="002F5F2D"/>
    <w:rsid w:val="002F6F13"/>
    <w:rsid w:val="002F7010"/>
    <w:rsid w:val="003012C6"/>
    <w:rsid w:val="003013C9"/>
    <w:rsid w:val="0030280F"/>
    <w:rsid w:val="003029C9"/>
    <w:rsid w:val="00302FBB"/>
    <w:rsid w:val="00302FE5"/>
    <w:rsid w:val="00303441"/>
    <w:rsid w:val="003036E9"/>
    <w:rsid w:val="00304616"/>
    <w:rsid w:val="00304E70"/>
    <w:rsid w:val="0030502C"/>
    <w:rsid w:val="003056B1"/>
    <w:rsid w:val="00306047"/>
    <w:rsid w:val="00307765"/>
    <w:rsid w:val="003079F9"/>
    <w:rsid w:val="0031004D"/>
    <w:rsid w:val="003101DB"/>
    <w:rsid w:val="00310384"/>
    <w:rsid w:val="00310490"/>
    <w:rsid w:val="00311B84"/>
    <w:rsid w:val="003124FD"/>
    <w:rsid w:val="00312595"/>
    <w:rsid w:val="00312647"/>
    <w:rsid w:val="0031376E"/>
    <w:rsid w:val="00313CA3"/>
    <w:rsid w:val="00314EAB"/>
    <w:rsid w:val="00315112"/>
    <w:rsid w:val="0031519A"/>
    <w:rsid w:val="00315243"/>
    <w:rsid w:val="0031669B"/>
    <w:rsid w:val="003171A1"/>
    <w:rsid w:val="00317731"/>
    <w:rsid w:val="00320106"/>
    <w:rsid w:val="003201D5"/>
    <w:rsid w:val="00320CA0"/>
    <w:rsid w:val="00320FED"/>
    <w:rsid w:val="00321388"/>
    <w:rsid w:val="00321898"/>
    <w:rsid w:val="00321B8C"/>
    <w:rsid w:val="00321D01"/>
    <w:rsid w:val="00322E4F"/>
    <w:rsid w:val="003231A7"/>
    <w:rsid w:val="00323E77"/>
    <w:rsid w:val="003249B8"/>
    <w:rsid w:val="00325D20"/>
    <w:rsid w:val="0032623B"/>
    <w:rsid w:val="003267F5"/>
    <w:rsid w:val="00326DD8"/>
    <w:rsid w:val="00327ADE"/>
    <w:rsid w:val="00327BA9"/>
    <w:rsid w:val="0033064C"/>
    <w:rsid w:val="00331557"/>
    <w:rsid w:val="003315AB"/>
    <w:rsid w:val="003316C6"/>
    <w:rsid w:val="00331E66"/>
    <w:rsid w:val="00332075"/>
    <w:rsid w:val="0033290A"/>
    <w:rsid w:val="00332F5F"/>
    <w:rsid w:val="0033373D"/>
    <w:rsid w:val="003337FF"/>
    <w:rsid w:val="00333FE7"/>
    <w:rsid w:val="00334302"/>
    <w:rsid w:val="00334850"/>
    <w:rsid w:val="003348F7"/>
    <w:rsid w:val="00334D36"/>
    <w:rsid w:val="003371B0"/>
    <w:rsid w:val="003412D0"/>
    <w:rsid w:val="00342162"/>
    <w:rsid w:val="00342BB4"/>
    <w:rsid w:val="00342EE8"/>
    <w:rsid w:val="00343D5B"/>
    <w:rsid w:val="00344587"/>
    <w:rsid w:val="00344EE6"/>
    <w:rsid w:val="0034520E"/>
    <w:rsid w:val="00345217"/>
    <w:rsid w:val="003461C5"/>
    <w:rsid w:val="0034676E"/>
    <w:rsid w:val="003469AA"/>
    <w:rsid w:val="00346CE8"/>
    <w:rsid w:val="00347C21"/>
    <w:rsid w:val="003504E4"/>
    <w:rsid w:val="00350B63"/>
    <w:rsid w:val="0035107A"/>
    <w:rsid w:val="003522B1"/>
    <w:rsid w:val="00352AD6"/>
    <w:rsid w:val="003543E4"/>
    <w:rsid w:val="00354A86"/>
    <w:rsid w:val="003556A8"/>
    <w:rsid w:val="0035575E"/>
    <w:rsid w:val="0035582A"/>
    <w:rsid w:val="00355D57"/>
    <w:rsid w:val="0035676D"/>
    <w:rsid w:val="003567BF"/>
    <w:rsid w:val="00356ACA"/>
    <w:rsid w:val="0035718F"/>
    <w:rsid w:val="00357F00"/>
    <w:rsid w:val="0036327F"/>
    <w:rsid w:val="003638FF"/>
    <w:rsid w:val="00364808"/>
    <w:rsid w:val="00364F2C"/>
    <w:rsid w:val="003652F5"/>
    <w:rsid w:val="00365F03"/>
    <w:rsid w:val="00366120"/>
    <w:rsid w:val="00366277"/>
    <w:rsid w:val="003664C4"/>
    <w:rsid w:val="00366DA8"/>
    <w:rsid w:val="00370B85"/>
    <w:rsid w:val="00371A53"/>
    <w:rsid w:val="0037249F"/>
    <w:rsid w:val="00373107"/>
    <w:rsid w:val="00373360"/>
    <w:rsid w:val="003738A4"/>
    <w:rsid w:val="00374493"/>
    <w:rsid w:val="003751CA"/>
    <w:rsid w:val="00375792"/>
    <w:rsid w:val="00376357"/>
    <w:rsid w:val="0037735E"/>
    <w:rsid w:val="00380092"/>
    <w:rsid w:val="003803B7"/>
    <w:rsid w:val="00380A40"/>
    <w:rsid w:val="00380B6B"/>
    <w:rsid w:val="00381D06"/>
    <w:rsid w:val="00383474"/>
    <w:rsid w:val="00383B4E"/>
    <w:rsid w:val="00384108"/>
    <w:rsid w:val="00384DA4"/>
    <w:rsid w:val="0038589B"/>
    <w:rsid w:val="0038651B"/>
    <w:rsid w:val="00386555"/>
    <w:rsid w:val="0038790B"/>
    <w:rsid w:val="00387922"/>
    <w:rsid w:val="00390453"/>
    <w:rsid w:val="003917FD"/>
    <w:rsid w:val="003919D9"/>
    <w:rsid w:val="00391E08"/>
    <w:rsid w:val="00393014"/>
    <w:rsid w:val="00393771"/>
    <w:rsid w:val="00393C7F"/>
    <w:rsid w:val="00395DCF"/>
    <w:rsid w:val="003968E3"/>
    <w:rsid w:val="003972F9"/>
    <w:rsid w:val="00397555"/>
    <w:rsid w:val="00397D37"/>
    <w:rsid w:val="00397F47"/>
    <w:rsid w:val="003A168C"/>
    <w:rsid w:val="003A1A5F"/>
    <w:rsid w:val="003A1C44"/>
    <w:rsid w:val="003A1E53"/>
    <w:rsid w:val="003A1EA4"/>
    <w:rsid w:val="003A2BC0"/>
    <w:rsid w:val="003A30B2"/>
    <w:rsid w:val="003A4908"/>
    <w:rsid w:val="003A50F4"/>
    <w:rsid w:val="003A59A1"/>
    <w:rsid w:val="003A5F8D"/>
    <w:rsid w:val="003A7330"/>
    <w:rsid w:val="003B116E"/>
    <w:rsid w:val="003B17AC"/>
    <w:rsid w:val="003B304D"/>
    <w:rsid w:val="003B31B1"/>
    <w:rsid w:val="003B3427"/>
    <w:rsid w:val="003B3523"/>
    <w:rsid w:val="003B575B"/>
    <w:rsid w:val="003B77E2"/>
    <w:rsid w:val="003C00CA"/>
    <w:rsid w:val="003C0845"/>
    <w:rsid w:val="003C0A2C"/>
    <w:rsid w:val="003C135E"/>
    <w:rsid w:val="003C2396"/>
    <w:rsid w:val="003C23F1"/>
    <w:rsid w:val="003C28E4"/>
    <w:rsid w:val="003C2C21"/>
    <w:rsid w:val="003C3201"/>
    <w:rsid w:val="003C3AAD"/>
    <w:rsid w:val="003C4D42"/>
    <w:rsid w:val="003C59F7"/>
    <w:rsid w:val="003C6F68"/>
    <w:rsid w:val="003C704C"/>
    <w:rsid w:val="003C725D"/>
    <w:rsid w:val="003C7BD7"/>
    <w:rsid w:val="003C7C34"/>
    <w:rsid w:val="003D0622"/>
    <w:rsid w:val="003D089D"/>
    <w:rsid w:val="003D099A"/>
    <w:rsid w:val="003D111C"/>
    <w:rsid w:val="003D1604"/>
    <w:rsid w:val="003D1862"/>
    <w:rsid w:val="003D2205"/>
    <w:rsid w:val="003D286A"/>
    <w:rsid w:val="003D2FEA"/>
    <w:rsid w:val="003D35CF"/>
    <w:rsid w:val="003D4EE6"/>
    <w:rsid w:val="003D5049"/>
    <w:rsid w:val="003D56A6"/>
    <w:rsid w:val="003D76F7"/>
    <w:rsid w:val="003D780E"/>
    <w:rsid w:val="003D7D82"/>
    <w:rsid w:val="003E01B7"/>
    <w:rsid w:val="003E0A0A"/>
    <w:rsid w:val="003E0A93"/>
    <w:rsid w:val="003E14BA"/>
    <w:rsid w:val="003E1F3D"/>
    <w:rsid w:val="003E1FD4"/>
    <w:rsid w:val="003E237F"/>
    <w:rsid w:val="003E3383"/>
    <w:rsid w:val="003E3EA5"/>
    <w:rsid w:val="003E4A73"/>
    <w:rsid w:val="003E5147"/>
    <w:rsid w:val="003E5373"/>
    <w:rsid w:val="003E546F"/>
    <w:rsid w:val="003E5920"/>
    <w:rsid w:val="003E6121"/>
    <w:rsid w:val="003E6691"/>
    <w:rsid w:val="003E6A4B"/>
    <w:rsid w:val="003E7993"/>
    <w:rsid w:val="003E7C21"/>
    <w:rsid w:val="003F02B9"/>
    <w:rsid w:val="003F0341"/>
    <w:rsid w:val="003F0A14"/>
    <w:rsid w:val="003F2E73"/>
    <w:rsid w:val="003F2F9D"/>
    <w:rsid w:val="003F549E"/>
    <w:rsid w:val="003F5A17"/>
    <w:rsid w:val="003F65EC"/>
    <w:rsid w:val="003F6C87"/>
    <w:rsid w:val="0040063C"/>
    <w:rsid w:val="00400A13"/>
    <w:rsid w:val="00400C01"/>
    <w:rsid w:val="0040243D"/>
    <w:rsid w:val="004032CF"/>
    <w:rsid w:val="00403396"/>
    <w:rsid w:val="00403910"/>
    <w:rsid w:val="00404056"/>
    <w:rsid w:val="00404085"/>
    <w:rsid w:val="00404604"/>
    <w:rsid w:val="00405446"/>
    <w:rsid w:val="0040668E"/>
    <w:rsid w:val="004078CC"/>
    <w:rsid w:val="00411986"/>
    <w:rsid w:val="00411B4E"/>
    <w:rsid w:val="00411BAB"/>
    <w:rsid w:val="00412A5D"/>
    <w:rsid w:val="0041311E"/>
    <w:rsid w:val="004133F2"/>
    <w:rsid w:val="004134C4"/>
    <w:rsid w:val="00416D1D"/>
    <w:rsid w:val="00416FCF"/>
    <w:rsid w:val="004179CD"/>
    <w:rsid w:val="00420E3A"/>
    <w:rsid w:val="004212DD"/>
    <w:rsid w:val="00421E95"/>
    <w:rsid w:val="00421F24"/>
    <w:rsid w:val="00422224"/>
    <w:rsid w:val="00426A41"/>
    <w:rsid w:val="004276B8"/>
    <w:rsid w:val="00427A0F"/>
    <w:rsid w:val="0043052C"/>
    <w:rsid w:val="004309DC"/>
    <w:rsid w:val="004317B5"/>
    <w:rsid w:val="00432D9E"/>
    <w:rsid w:val="0043322C"/>
    <w:rsid w:val="004353CA"/>
    <w:rsid w:val="0043604B"/>
    <w:rsid w:val="0043672C"/>
    <w:rsid w:val="004374C1"/>
    <w:rsid w:val="004375B7"/>
    <w:rsid w:val="00437892"/>
    <w:rsid w:val="004409EB"/>
    <w:rsid w:val="00442891"/>
    <w:rsid w:val="0044338C"/>
    <w:rsid w:val="00445185"/>
    <w:rsid w:val="00445763"/>
    <w:rsid w:val="004467C1"/>
    <w:rsid w:val="00446FC8"/>
    <w:rsid w:val="00447DC8"/>
    <w:rsid w:val="00450D1A"/>
    <w:rsid w:val="00450FD5"/>
    <w:rsid w:val="00451293"/>
    <w:rsid w:val="00451A69"/>
    <w:rsid w:val="00451ED9"/>
    <w:rsid w:val="0045228F"/>
    <w:rsid w:val="004523D3"/>
    <w:rsid w:val="0045269E"/>
    <w:rsid w:val="00452DA2"/>
    <w:rsid w:val="00454F0D"/>
    <w:rsid w:val="00455B78"/>
    <w:rsid w:val="00455D6A"/>
    <w:rsid w:val="00455FE0"/>
    <w:rsid w:val="00456878"/>
    <w:rsid w:val="0045706E"/>
    <w:rsid w:val="004573EA"/>
    <w:rsid w:val="00457432"/>
    <w:rsid w:val="004611A2"/>
    <w:rsid w:val="00461D5F"/>
    <w:rsid w:val="004634DB"/>
    <w:rsid w:val="0046361A"/>
    <w:rsid w:val="004639E4"/>
    <w:rsid w:val="00463A97"/>
    <w:rsid w:val="00465B69"/>
    <w:rsid w:val="00465EC8"/>
    <w:rsid w:val="00467B7B"/>
    <w:rsid w:val="004723CF"/>
    <w:rsid w:val="00472910"/>
    <w:rsid w:val="00472C7C"/>
    <w:rsid w:val="00472EFB"/>
    <w:rsid w:val="004741F5"/>
    <w:rsid w:val="004744DE"/>
    <w:rsid w:val="0047588F"/>
    <w:rsid w:val="00475CD9"/>
    <w:rsid w:val="00476025"/>
    <w:rsid w:val="00476C05"/>
    <w:rsid w:val="00476C3C"/>
    <w:rsid w:val="00477A3E"/>
    <w:rsid w:val="00481594"/>
    <w:rsid w:val="0048178F"/>
    <w:rsid w:val="00481B17"/>
    <w:rsid w:val="00481D7F"/>
    <w:rsid w:val="00481F87"/>
    <w:rsid w:val="00482C91"/>
    <w:rsid w:val="004843ED"/>
    <w:rsid w:val="00484BBF"/>
    <w:rsid w:val="0048586C"/>
    <w:rsid w:val="00485BE1"/>
    <w:rsid w:val="00485BF4"/>
    <w:rsid w:val="00486D06"/>
    <w:rsid w:val="00487A8A"/>
    <w:rsid w:val="00487F58"/>
    <w:rsid w:val="004903BE"/>
    <w:rsid w:val="00490C29"/>
    <w:rsid w:val="0049205F"/>
    <w:rsid w:val="00492D0B"/>
    <w:rsid w:val="00493059"/>
    <w:rsid w:val="0049333A"/>
    <w:rsid w:val="00493960"/>
    <w:rsid w:val="00493A8B"/>
    <w:rsid w:val="00493BA8"/>
    <w:rsid w:val="00494460"/>
    <w:rsid w:val="004952B1"/>
    <w:rsid w:val="0049768C"/>
    <w:rsid w:val="00497CB7"/>
    <w:rsid w:val="00497E89"/>
    <w:rsid w:val="004A1ED1"/>
    <w:rsid w:val="004A2A4B"/>
    <w:rsid w:val="004A2EBA"/>
    <w:rsid w:val="004A320B"/>
    <w:rsid w:val="004A377E"/>
    <w:rsid w:val="004A37D6"/>
    <w:rsid w:val="004A4329"/>
    <w:rsid w:val="004A48B5"/>
    <w:rsid w:val="004A4AE5"/>
    <w:rsid w:val="004A60EC"/>
    <w:rsid w:val="004A6E22"/>
    <w:rsid w:val="004B0405"/>
    <w:rsid w:val="004B0A41"/>
    <w:rsid w:val="004B1353"/>
    <w:rsid w:val="004B162F"/>
    <w:rsid w:val="004B1878"/>
    <w:rsid w:val="004B2058"/>
    <w:rsid w:val="004B22CA"/>
    <w:rsid w:val="004B28D4"/>
    <w:rsid w:val="004B2B2E"/>
    <w:rsid w:val="004B2BFE"/>
    <w:rsid w:val="004B31BC"/>
    <w:rsid w:val="004B36E2"/>
    <w:rsid w:val="004B4843"/>
    <w:rsid w:val="004B4940"/>
    <w:rsid w:val="004B4BFA"/>
    <w:rsid w:val="004B59AC"/>
    <w:rsid w:val="004B635E"/>
    <w:rsid w:val="004B6C36"/>
    <w:rsid w:val="004B771C"/>
    <w:rsid w:val="004B7772"/>
    <w:rsid w:val="004B7C18"/>
    <w:rsid w:val="004C07C8"/>
    <w:rsid w:val="004C0CCD"/>
    <w:rsid w:val="004C0D40"/>
    <w:rsid w:val="004C1108"/>
    <w:rsid w:val="004C41F5"/>
    <w:rsid w:val="004C5002"/>
    <w:rsid w:val="004C517A"/>
    <w:rsid w:val="004C5434"/>
    <w:rsid w:val="004C68D3"/>
    <w:rsid w:val="004C6FF2"/>
    <w:rsid w:val="004C72A3"/>
    <w:rsid w:val="004C7B8E"/>
    <w:rsid w:val="004C7E9E"/>
    <w:rsid w:val="004C7FD0"/>
    <w:rsid w:val="004D077E"/>
    <w:rsid w:val="004D138F"/>
    <w:rsid w:val="004D18AC"/>
    <w:rsid w:val="004D2535"/>
    <w:rsid w:val="004D30F1"/>
    <w:rsid w:val="004D3B06"/>
    <w:rsid w:val="004D3C56"/>
    <w:rsid w:val="004D42F1"/>
    <w:rsid w:val="004D4A60"/>
    <w:rsid w:val="004D5F1A"/>
    <w:rsid w:val="004D621D"/>
    <w:rsid w:val="004D689A"/>
    <w:rsid w:val="004D6C00"/>
    <w:rsid w:val="004D6E0D"/>
    <w:rsid w:val="004D7685"/>
    <w:rsid w:val="004E135A"/>
    <w:rsid w:val="004E139F"/>
    <w:rsid w:val="004E1558"/>
    <w:rsid w:val="004E18A6"/>
    <w:rsid w:val="004E2CB1"/>
    <w:rsid w:val="004E3817"/>
    <w:rsid w:val="004E4487"/>
    <w:rsid w:val="004E45A7"/>
    <w:rsid w:val="004E48E8"/>
    <w:rsid w:val="004E69AF"/>
    <w:rsid w:val="004E710A"/>
    <w:rsid w:val="004E76B9"/>
    <w:rsid w:val="004E77A2"/>
    <w:rsid w:val="004E7AFA"/>
    <w:rsid w:val="004F046C"/>
    <w:rsid w:val="004F0602"/>
    <w:rsid w:val="004F06BE"/>
    <w:rsid w:val="004F0735"/>
    <w:rsid w:val="004F1245"/>
    <w:rsid w:val="004F2037"/>
    <w:rsid w:val="004F23A7"/>
    <w:rsid w:val="004F4067"/>
    <w:rsid w:val="004F4AE2"/>
    <w:rsid w:val="004F5786"/>
    <w:rsid w:val="004F57AD"/>
    <w:rsid w:val="004F5B6B"/>
    <w:rsid w:val="004F6E9F"/>
    <w:rsid w:val="004F73DA"/>
    <w:rsid w:val="004F76B1"/>
    <w:rsid w:val="00500D92"/>
    <w:rsid w:val="00501482"/>
    <w:rsid w:val="00501AFE"/>
    <w:rsid w:val="00501B29"/>
    <w:rsid w:val="0050265B"/>
    <w:rsid w:val="00503265"/>
    <w:rsid w:val="00504278"/>
    <w:rsid w:val="00504967"/>
    <w:rsid w:val="00504BB2"/>
    <w:rsid w:val="00504D8D"/>
    <w:rsid w:val="005054DA"/>
    <w:rsid w:val="00505A3D"/>
    <w:rsid w:val="00506B64"/>
    <w:rsid w:val="0050783D"/>
    <w:rsid w:val="005109F1"/>
    <w:rsid w:val="005114C3"/>
    <w:rsid w:val="00511E02"/>
    <w:rsid w:val="00512C19"/>
    <w:rsid w:val="00513369"/>
    <w:rsid w:val="00513863"/>
    <w:rsid w:val="005166BA"/>
    <w:rsid w:val="00516EC8"/>
    <w:rsid w:val="0051707C"/>
    <w:rsid w:val="00517217"/>
    <w:rsid w:val="00517924"/>
    <w:rsid w:val="00517ABF"/>
    <w:rsid w:val="00517BA5"/>
    <w:rsid w:val="0052005B"/>
    <w:rsid w:val="0052052A"/>
    <w:rsid w:val="00520A28"/>
    <w:rsid w:val="00521739"/>
    <w:rsid w:val="00521EF2"/>
    <w:rsid w:val="00522040"/>
    <w:rsid w:val="005236AA"/>
    <w:rsid w:val="00523EB0"/>
    <w:rsid w:val="005270C2"/>
    <w:rsid w:val="0052757B"/>
    <w:rsid w:val="00527916"/>
    <w:rsid w:val="00530634"/>
    <w:rsid w:val="005318F4"/>
    <w:rsid w:val="00531CEA"/>
    <w:rsid w:val="0053228A"/>
    <w:rsid w:val="005341FC"/>
    <w:rsid w:val="00535398"/>
    <w:rsid w:val="005354A7"/>
    <w:rsid w:val="00536227"/>
    <w:rsid w:val="005378C5"/>
    <w:rsid w:val="0054213E"/>
    <w:rsid w:val="005427E0"/>
    <w:rsid w:val="0054437D"/>
    <w:rsid w:val="00545268"/>
    <w:rsid w:val="0054558E"/>
    <w:rsid w:val="00546A1B"/>
    <w:rsid w:val="00546E14"/>
    <w:rsid w:val="00546FCB"/>
    <w:rsid w:val="0054702B"/>
    <w:rsid w:val="0055021F"/>
    <w:rsid w:val="00551095"/>
    <w:rsid w:val="005510B4"/>
    <w:rsid w:val="00552957"/>
    <w:rsid w:val="00552ECE"/>
    <w:rsid w:val="00553652"/>
    <w:rsid w:val="00554BB7"/>
    <w:rsid w:val="005551BE"/>
    <w:rsid w:val="0055586A"/>
    <w:rsid w:val="005571EB"/>
    <w:rsid w:val="005571F2"/>
    <w:rsid w:val="005573DC"/>
    <w:rsid w:val="00557BEF"/>
    <w:rsid w:val="005601EC"/>
    <w:rsid w:val="005619FE"/>
    <w:rsid w:val="00561F19"/>
    <w:rsid w:val="00562551"/>
    <w:rsid w:val="00562E35"/>
    <w:rsid w:val="005631DA"/>
    <w:rsid w:val="005633ED"/>
    <w:rsid w:val="005634D5"/>
    <w:rsid w:val="0056395C"/>
    <w:rsid w:val="00566A5B"/>
    <w:rsid w:val="00566C16"/>
    <w:rsid w:val="00566EBB"/>
    <w:rsid w:val="005679B7"/>
    <w:rsid w:val="00567E2D"/>
    <w:rsid w:val="005708F1"/>
    <w:rsid w:val="0057181D"/>
    <w:rsid w:val="00571A77"/>
    <w:rsid w:val="0057237D"/>
    <w:rsid w:val="005723BA"/>
    <w:rsid w:val="0057269F"/>
    <w:rsid w:val="0057282C"/>
    <w:rsid w:val="00572CCF"/>
    <w:rsid w:val="00573998"/>
    <w:rsid w:val="005739B1"/>
    <w:rsid w:val="005744D8"/>
    <w:rsid w:val="00574753"/>
    <w:rsid w:val="00574AE8"/>
    <w:rsid w:val="00574F10"/>
    <w:rsid w:val="00575267"/>
    <w:rsid w:val="00575B73"/>
    <w:rsid w:val="00576886"/>
    <w:rsid w:val="005768C6"/>
    <w:rsid w:val="00576F29"/>
    <w:rsid w:val="0057754F"/>
    <w:rsid w:val="00581410"/>
    <w:rsid w:val="00581709"/>
    <w:rsid w:val="00582BB4"/>
    <w:rsid w:val="00583A49"/>
    <w:rsid w:val="0058404B"/>
    <w:rsid w:val="00585DB5"/>
    <w:rsid w:val="00585F79"/>
    <w:rsid w:val="00586001"/>
    <w:rsid w:val="00586F4F"/>
    <w:rsid w:val="00587853"/>
    <w:rsid w:val="00587B4C"/>
    <w:rsid w:val="00587BFD"/>
    <w:rsid w:val="0059040B"/>
    <w:rsid w:val="00590E99"/>
    <w:rsid w:val="00591801"/>
    <w:rsid w:val="00591981"/>
    <w:rsid w:val="005919A5"/>
    <w:rsid w:val="0059276C"/>
    <w:rsid w:val="0059277C"/>
    <w:rsid w:val="00593B5A"/>
    <w:rsid w:val="005945F1"/>
    <w:rsid w:val="00594AF6"/>
    <w:rsid w:val="00595B3A"/>
    <w:rsid w:val="005A1FC8"/>
    <w:rsid w:val="005A2098"/>
    <w:rsid w:val="005A35A6"/>
    <w:rsid w:val="005A42EB"/>
    <w:rsid w:val="005A4F03"/>
    <w:rsid w:val="005A52B7"/>
    <w:rsid w:val="005A5D7A"/>
    <w:rsid w:val="005A6459"/>
    <w:rsid w:val="005A7265"/>
    <w:rsid w:val="005A748E"/>
    <w:rsid w:val="005A7885"/>
    <w:rsid w:val="005A7A59"/>
    <w:rsid w:val="005A7F4B"/>
    <w:rsid w:val="005B0776"/>
    <w:rsid w:val="005B155A"/>
    <w:rsid w:val="005B1FD7"/>
    <w:rsid w:val="005B3D1C"/>
    <w:rsid w:val="005B4920"/>
    <w:rsid w:val="005B5587"/>
    <w:rsid w:val="005B5733"/>
    <w:rsid w:val="005B6523"/>
    <w:rsid w:val="005B76F1"/>
    <w:rsid w:val="005C0C40"/>
    <w:rsid w:val="005C0D37"/>
    <w:rsid w:val="005C12B9"/>
    <w:rsid w:val="005C151B"/>
    <w:rsid w:val="005C21FD"/>
    <w:rsid w:val="005C2CC4"/>
    <w:rsid w:val="005C43B7"/>
    <w:rsid w:val="005C4684"/>
    <w:rsid w:val="005C486C"/>
    <w:rsid w:val="005C4879"/>
    <w:rsid w:val="005C4A77"/>
    <w:rsid w:val="005C4BEB"/>
    <w:rsid w:val="005C5F86"/>
    <w:rsid w:val="005C6006"/>
    <w:rsid w:val="005C699C"/>
    <w:rsid w:val="005C700C"/>
    <w:rsid w:val="005C7989"/>
    <w:rsid w:val="005D02E1"/>
    <w:rsid w:val="005D03F5"/>
    <w:rsid w:val="005D0AA0"/>
    <w:rsid w:val="005D1621"/>
    <w:rsid w:val="005D1D03"/>
    <w:rsid w:val="005D4F7D"/>
    <w:rsid w:val="005D55AA"/>
    <w:rsid w:val="005D59A0"/>
    <w:rsid w:val="005D6594"/>
    <w:rsid w:val="005D6A92"/>
    <w:rsid w:val="005D6C01"/>
    <w:rsid w:val="005D6DEE"/>
    <w:rsid w:val="005D7182"/>
    <w:rsid w:val="005D76CD"/>
    <w:rsid w:val="005D7748"/>
    <w:rsid w:val="005E1389"/>
    <w:rsid w:val="005E1438"/>
    <w:rsid w:val="005E159C"/>
    <w:rsid w:val="005E2A39"/>
    <w:rsid w:val="005E34AF"/>
    <w:rsid w:val="005E36A1"/>
    <w:rsid w:val="005E3F05"/>
    <w:rsid w:val="005E7766"/>
    <w:rsid w:val="005E7828"/>
    <w:rsid w:val="005E7B1C"/>
    <w:rsid w:val="005F00AF"/>
    <w:rsid w:val="005F0B8C"/>
    <w:rsid w:val="005F1349"/>
    <w:rsid w:val="005F27A0"/>
    <w:rsid w:val="005F4B4D"/>
    <w:rsid w:val="005F4F75"/>
    <w:rsid w:val="005F6563"/>
    <w:rsid w:val="005F7617"/>
    <w:rsid w:val="005F7C3D"/>
    <w:rsid w:val="005F7CAF"/>
    <w:rsid w:val="0060026B"/>
    <w:rsid w:val="006010EC"/>
    <w:rsid w:val="006020AA"/>
    <w:rsid w:val="00602836"/>
    <w:rsid w:val="00604691"/>
    <w:rsid w:val="006046CF"/>
    <w:rsid w:val="00605914"/>
    <w:rsid w:val="00605CB1"/>
    <w:rsid w:val="006068E6"/>
    <w:rsid w:val="00607040"/>
    <w:rsid w:val="006074E9"/>
    <w:rsid w:val="00607749"/>
    <w:rsid w:val="00607EE7"/>
    <w:rsid w:val="00607FA5"/>
    <w:rsid w:val="00607FED"/>
    <w:rsid w:val="006108E4"/>
    <w:rsid w:val="00610C91"/>
    <w:rsid w:val="00610FB5"/>
    <w:rsid w:val="00611111"/>
    <w:rsid w:val="0061226F"/>
    <w:rsid w:val="0061261A"/>
    <w:rsid w:val="00614B19"/>
    <w:rsid w:val="00614F7C"/>
    <w:rsid w:val="00615381"/>
    <w:rsid w:val="00615A47"/>
    <w:rsid w:val="00617740"/>
    <w:rsid w:val="00617B2B"/>
    <w:rsid w:val="00617EE0"/>
    <w:rsid w:val="006201E8"/>
    <w:rsid w:val="0062032B"/>
    <w:rsid w:val="00621088"/>
    <w:rsid w:val="00622CE3"/>
    <w:rsid w:val="00623B3E"/>
    <w:rsid w:val="00623D15"/>
    <w:rsid w:val="00623D27"/>
    <w:rsid w:val="00623D32"/>
    <w:rsid w:val="00624035"/>
    <w:rsid w:val="006243E3"/>
    <w:rsid w:val="00624A76"/>
    <w:rsid w:val="00625401"/>
    <w:rsid w:val="006263D8"/>
    <w:rsid w:val="00626C1B"/>
    <w:rsid w:val="00627313"/>
    <w:rsid w:val="00627577"/>
    <w:rsid w:val="0063130D"/>
    <w:rsid w:val="00631E35"/>
    <w:rsid w:val="006323C0"/>
    <w:rsid w:val="00633978"/>
    <w:rsid w:val="00633A59"/>
    <w:rsid w:val="00633F40"/>
    <w:rsid w:val="00634686"/>
    <w:rsid w:val="006349B2"/>
    <w:rsid w:val="006352B2"/>
    <w:rsid w:val="00635342"/>
    <w:rsid w:val="00636299"/>
    <w:rsid w:val="00636750"/>
    <w:rsid w:val="00636986"/>
    <w:rsid w:val="00637BAE"/>
    <w:rsid w:val="0064014D"/>
    <w:rsid w:val="00641174"/>
    <w:rsid w:val="00641205"/>
    <w:rsid w:val="00641625"/>
    <w:rsid w:val="0064169A"/>
    <w:rsid w:val="00641EB8"/>
    <w:rsid w:val="00641ED3"/>
    <w:rsid w:val="00642F67"/>
    <w:rsid w:val="0064376E"/>
    <w:rsid w:val="00645B0F"/>
    <w:rsid w:val="00646952"/>
    <w:rsid w:val="00646A2E"/>
    <w:rsid w:val="00646DEA"/>
    <w:rsid w:val="0064705F"/>
    <w:rsid w:val="00647C39"/>
    <w:rsid w:val="00647D8D"/>
    <w:rsid w:val="00650278"/>
    <w:rsid w:val="00650C7E"/>
    <w:rsid w:val="00652789"/>
    <w:rsid w:val="00653D63"/>
    <w:rsid w:val="0065467B"/>
    <w:rsid w:val="00654817"/>
    <w:rsid w:val="00654D48"/>
    <w:rsid w:val="00655A77"/>
    <w:rsid w:val="0065623E"/>
    <w:rsid w:val="0065660B"/>
    <w:rsid w:val="00656907"/>
    <w:rsid w:val="00656B13"/>
    <w:rsid w:val="00660C99"/>
    <w:rsid w:val="00661EA1"/>
    <w:rsid w:val="00662AF4"/>
    <w:rsid w:val="00663186"/>
    <w:rsid w:val="006635EF"/>
    <w:rsid w:val="00663E5F"/>
    <w:rsid w:val="00664132"/>
    <w:rsid w:val="00664135"/>
    <w:rsid w:val="006646E3"/>
    <w:rsid w:val="0066479F"/>
    <w:rsid w:val="00664C03"/>
    <w:rsid w:val="00664C14"/>
    <w:rsid w:val="006658E1"/>
    <w:rsid w:val="00665DBD"/>
    <w:rsid w:val="00666D16"/>
    <w:rsid w:val="00667C9B"/>
    <w:rsid w:val="0067034B"/>
    <w:rsid w:val="00670AC8"/>
    <w:rsid w:val="00671D0C"/>
    <w:rsid w:val="00671ECC"/>
    <w:rsid w:val="00672230"/>
    <w:rsid w:val="00673169"/>
    <w:rsid w:val="00674502"/>
    <w:rsid w:val="006746BB"/>
    <w:rsid w:val="00674F31"/>
    <w:rsid w:val="006769E3"/>
    <w:rsid w:val="00676C40"/>
    <w:rsid w:val="00676E9D"/>
    <w:rsid w:val="006770C5"/>
    <w:rsid w:val="00677169"/>
    <w:rsid w:val="00677AB4"/>
    <w:rsid w:val="00677D9A"/>
    <w:rsid w:val="00677EBE"/>
    <w:rsid w:val="00680377"/>
    <w:rsid w:val="006814ED"/>
    <w:rsid w:val="00681615"/>
    <w:rsid w:val="00681DFB"/>
    <w:rsid w:val="00682B07"/>
    <w:rsid w:val="00683684"/>
    <w:rsid w:val="0068427F"/>
    <w:rsid w:val="006849A2"/>
    <w:rsid w:val="006850EF"/>
    <w:rsid w:val="00685ECD"/>
    <w:rsid w:val="0068609A"/>
    <w:rsid w:val="0068735B"/>
    <w:rsid w:val="00690032"/>
    <w:rsid w:val="006903C6"/>
    <w:rsid w:val="006905D1"/>
    <w:rsid w:val="006908DD"/>
    <w:rsid w:val="006910F4"/>
    <w:rsid w:val="00691331"/>
    <w:rsid w:val="00691B5C"/>
    <w:rsid w:val="0069219B"/>
    <w:rsid w:val="006927A9"/>
    <w:rsid w:val="00692A4D"/>
    <w:rsid w:val="00693798"/>
    <w:rsid w:val="00694683"/>
    <w:rsid w:val="006946C8"/>
    <w:rsid w:val="00696FB7"/>
    <w:rsid w:val="006A0C0D"/>
    <w:rsid w:val="006A0D10"/>
    <w:rsid w:val="006A1229"/>
    <w:rsid w:val="006A1412"/>
    <w:rsid w:val="006A190A"/>
    <w:rsid w:val="006A2E7A"/>
    <w:rsid w:val="006A4ECA"/>
    <w:rsid w:val="006A5733"/>
    <w:rsid w:val="006A594E"/>
    <w:rsid w:val="006A5AB8"/>
    <w:rsid w:val="006A68D0"/>
    <w:rsid w:val="006A6A7C"/>
    <w:rsid w:val="006A6E0F"/>
    <w:rsid w:val="006A6E44"/>
    <w:rsid w:val="006A7287"/>
    <w:rsid w:val="006B1B75"/>
    <w:rsid w:val="006B1C6A"/>
    <w:rsid w:val="006B2DD0"/>
    <w:rsid w:val="006B3DCD"/>
    <w:rsid w:val="006B7840"/>
    <w:rsid w:val="006B7EBA"/>
    <w:rsid w:val="006C034B"/>
    <w:rsid w:val="006C0F5F"/>
    <w:rsid w:val="006C1D34"/>
    <w:rsid w:val="006C2049"/>
    <w:rsid w:val="006C2827"/>
    <w:rsid w:val="006C3364"/>
    <w:rsid w:val="006C3A6E"/>
    <w:rsid w:val="006C3BF4"/>
    <w:rsid w:val="006C4667"/>
    <w:rsid w:val="006C49D0"/>
    <w:rsid w:val="006C51F2"/>
    <w:rsid w:val="006C5C62"/>
    <w:rsid w:val="006C6EAF"/>
    <w:rsid w:val="006C6ED7"/>
    <w:rsid w:val="006C74AF"/>
    <w:rsid w:val="006C7794"/>
    <w:rsid w:val="006C7F6F"/>
    <w:rsid w:val="006D0393"/>
    <w:rsid w:val="006D0FBC"/>
    <w:rsid w:val="006D23D0"/>
    <w:rsid w:val="006D2A24"/>
    <w:rsid w:val="006D33C9"/>
    <w:rsid w:val="006D33D4"/>
    <w:rsid w:val="006D415A"/>
    <w:rsid w:val="006D43AE"/>
    <w:rsid w:val="006D4518"/>
    <w:rsid w:val="006D4566"/>
    <w:rsid w:val="006D4C0E"/>
    <w:rsid w:val="006D57C5"/>
    <w:rsid w:val="006D5E70"/>
    <w:rsid w:val="006D601E"/>
    <w:rsid w:val="006D6DBC"/>
    <w:rsid w:val="006D73B0"/>
    <w:rsid w:val="006E0569"/>
    <w:rsid w:val="006E2BA5"/>
    <w:rsid w:val="006E475F"/>
    <w:rsid w:val="006E5724"/>
    <w:rsid w:val="006E6078"/>
    <w:rsid w:val="006E68E4"/>
    <w:rsid w:val="006E6C7E"/>
    <w:rsid w:val="006E7DCA"/>
    <w:rsid w:val="006E7F72"/>
    <w:rsid w:val="006F0A74"/>
    <w:rsid w:val="006F1BBA"/>
    <w:rsid w:val="006F34A8"/>
    <w:rsid w:val="006F4BE9"/>
    <w:rsid w:val="006F539A"/>
    <w:rsid w:val="006F560D"/>
    <w:rsid w:val="006F5857"/>
    <w:rsid w:val="006F5A6D"/>
    <w:rsid w:val="006F6A7F"/>
    <w:rsid w:val="006F749A"/>
    <w:rsid w:val="00701266"/>
    <w:rsid w:val="00703A77"/>
    <w:rsid w:val="00705F6A"/>
    <w:rsid w:val="007064F0"/>
    <w:rsid w:val="00706B97"/>
    <w:rsid w:val="00707123"/>
    <w:rsid w:val="007071B5"/>
    <w:rsid w:val="007071B7"/>
    <w:rsid w:val="007076C4"/>
    <w:rsid w:val="00710AE0"/>
    <w:rsid w:val="0071196E"/>
    <w:rsid w:val="00711BA2"/>
    <w:rsid w:val="00711BAF"/>
    <w:rsid w:val="007120FE"/>
    <w:rsid w:val="00712900"/>
    <w:rsid w:val="00712D52"/>
    <w:rsid w:val="00713161"/>
    <w:rsid w:val="007137B0"/>
    <w:rsid w:val="00713F28"/>
    <w:rsid w:val="00714021"/>
    <w:rsid w:val="00715235"/>
    <w:rsid w:val="007152FB"/>
    <w:rsid w:val="007159F2"/>
    <w:rsid w:val="00715BFC"/>
    <w:rsid w:val="00716EB3"/>
    <w:rsid w:val="00717B55"/>
    <w:rsid w:val="007205F6"/>
    <w:rsid w:val="0072103F"/>
    <w:rsid w:val="00721490"/>
    <w:rsid w:val="007223C9"/>
    <w:rsid w:val="00723029"/>
    <w:rsid w:val="00726510"/>
    <w:rsid w:val="007309A1"/>
    <w:rsid w:val="00731938"/>
    <w:rsid w:val="00731A2C"/>
    <w:rsid w:val="00733E91"/>
    <w:rsid w:val="00734837"/>
    <w:rsid w:val="00734945"/>
    <w:rsid w:val="00734AA3"/>
    <w:rsid w:val="007355B0"/>
    <w:rsid w:val="00737335"/>
    <w:rsid w:val="007375A7"/>
    <w:rsid w:val="0074029E"/>
    <w:rsid w:val="007402E1"/>
    <w:rsid w:val="00741506"/>
    <w:rsid w:val="007427FB"/>
    <w:rsid w:val="0074281D"/>
    <w:rsid w:val="00742859"/>
    <w:rsid w:val="00742AD3"/>
    <w:rsid w:val="00742B72"/>
    <w:rsid w:val="00743DC0"/>
    <w:rsid w:val="0074541B"/>
    <w:rsid w:val="00750371"/>
    <w:rsid w:val="00751074"/>
    <w:rsid w:val="007514A4"/>
    <w:rsid w:val="00751CB3"/>
    <w:rsid w:val="00752310"/>
    <w:rsid w:val="00752A32"/>
    <w:rsid w:val="00752EDC"/>
    <w:rsid w:val="00753934"/>
    <w:rsid w:val="007544D2"/>
    <w:rsid w:val="00754A21"/>
    <w:rsid w:val="00755F12"/>
    <w:rsid w:val="00756470"/>
    <w:rsid w:val="007567EE"/>
    <w:rsid w:val="00756C85"/>
    <w:rsid w:val="00756EC6"/>
    <w:rsid w:val="00757280"/>
    <w:rsid w:val="0075796F"/>
    <w:rsid w:val="0076011C"/>
    <w:rsid w:val="00760594"/>
    <w:rsid w:val="00760F3C"/>
    <w:rsid w:val="00763368"/>
    <w:rsid w:val="007637A2"/>
    <w:rsid w:val="0076439F"/>
    <w:rsid w:val="007652D4"/>
    <w:rsid w:val="007657FE"/>
    <w:rsid w:val="00766061"/>
    <w:rsid w:val="0076665B"/>
    <w:rsid w:val="00766C81"/>
    <w:rsid w:val="0076700A"/>
    <w:rsid w:val="007671FE"/>
    <w:rsid w:val="00767A54"/>
    <w:rsid w:val="00767D79"/>
    <w:rsid w:val="00770AF3"/>
    <w:rsid w:val="0077151C"/>
    <w:rsid w:val="00771900"/>
    <w:rsid w:val="00771C8D"/>
    <w:rsid w:val="00771E39"/>
    <w:rsid w:val="00772545"/>
    <w:rsid w:val="00772AF8"/>
    <w:rsid w:val="007736FA"/>
    <w:rsid w:val="007747DF"/>
    <w:rsid w:val="007752F1"/>
    <w:rsid w:val="00776714"/>
    <w:rsid w:val="00776B0A"/>
    <w:rsid w:val="007771BD"/>
    <w:rsid w:val="00777C74"/>
    <w:rsid w:val="0078071C"/>
    <w:rsid w:val="0078086F"/>
    <w:rsid w:val="00780C5C"/>
    <w:rsid w:val="00780FC9"/>
    <w:rsid w:val="007817AF"/>
    <w:rsid w:val="007828B3"/>
    <w:rsid w:val="00782C1B"/>
    <w:rsid w:val="007830A5"/>
    <w:rsid w:val="00783ACF"/>
    <w:rsid w:val="00784798"/>
    <w:rsid w:val="007850F5"/>
    <w:rsid w:val="00785D0D"/>
    <w:rsid w:val="00786186"/>
    <w:rsid w:val="00787E79"/>
    <w:rsid w:val="00790F44"/>
    <w:rsid w:val="00791681"/>
    <w:rsid w:val="0079184B"/>
    <w:rsid w:val="00791AB0"/>
    <w:rsid w:val="00791B75"/>
    <w:rsid w:val="00792544"/>
    <w:rsid w:val="00792D9E"/>
    <w:rsid w:val="007935E4"/>
    <w:rsid w:val="00793D92"/>
    <w:rsid w:val="0079525C"/>
    <w:rsid w:val="00796872"/>
    <w:rsid w:val="007979AF"/>
    <w:rsid w:val="00797C8D"/>
    <w:rsid w:val="007A1A03"/>
    <w:rsid w:val="007A2105"/>
    <w:rsid w:val="007A28F7"/>
    <w:rsid w:val="007A3501"/>
    <w:rsid w:val="007A3D95"/>
    <w:rsid w:val="007A4456"/>
    <w:rsid w:val="007A4BC2"/>
    <w:rsid w:val="007A5375"/>
    <w:rsid w:val="007A576D"/>
    <w:rsid w:val="007A75EA"/>
    <w:rsid w:val="007A7F0E"/>
    <w:rsid w:val="007B0AF6"/>
    <w:rsid w:val="007B1894"/>
    <w:rsid w:val="007B19DE"/>
    <w:rsid w:val="007B27B4"/>
    <w:rsid w:val="007B2C9D"/>
    <w:rsid w:val="007B5221"/>
    <w:rsid w:val="007B59F3"/>
    <w:rsid w:val="007B5A03"/>
    <w:rsid w:val="007B66D2"/>
    <w:rsid w:val="007B678E"/>
    <w:rsid w:val="007B6A4C"/>
    <w:rsid w:val="007B6DDC"/>
    <w:rsid w:val="007B7513"/>
    <w:rsid w:val="007C08AD"/>
    <w:rsid w:val="007C0B0C"/>
    <w:rsid w:val="007C0B2D"/>
    <w:rsid w:val="007C1027"/>
    <w:rsid w:val="007C17E4"/>
    <w:rsid w:val="007C4306"/>
    <w:rsid w:val="007C4CFE"/>
    <w:rsid w:val="007C4E8E"/>
    <w:rsid w:val="007C5367"/>
    <w:rsid w:val="007C5696"/>
    <w:rsid w:val="007C58D9"/>
    <w:rsid w:val="007D04AB"/>
    <w:rsid w:val="007D20E7"/>
    <w:rsid w:val="007D2366"/>
    <w:rsid w:val="007D2568"/>
    <w:rsid w:val="007D2CF0"/>
    <w:rsid w:val="007D31E3"/>
    <w:rsid w:val="007D3473"/>
    <w:rsid w:val="007D3945"/>
    <w:rsid w:val="007D3D68"/>
    <w:rsid w:val="007D3DA2"/>
    <w:rsid w:val="007D42A4"/>
    <w:rsid w:val="007D567A"/>
    <w:rsid w:val="007D6260"/>
    <w:rsid w:val="007D7690"/>
    <w:rsid w:val="007D7AF9"/>
    <w:rsid w:val="007E03F7"/>
    <w:rsid w:val="007E14B2"/>
    <w:rsid w:val="007E1B07"/>
    <w:rsid w:val="007E1DEF"/>
    <w:rsid w:val="007E2365"/>
    <w:rsid w:val="007E3162"/>
    <w:rsid w:val="007E4FEA"/>
    <w:rsid w:val="007E61E2"/>
    <w:rsid w:val="007E6EAA"/>
    <w:rsid w:val="007F0AAA"/>
    <w:rsid w:val="007F1C94"/>
    <w:rsid w:val="007F368C"/>
    <w:rsid w:val="007F39C0"/>
    <w:rsid w:val="007F3B6D"/>
    <w:rsid w:val="007F3D6A"/>
    <w:rsid w:val="007F444A"/>
    <w:rsid w:val="007F4F00"/>
    <w:rsid w:val="007F6C63"/>
    <w:rsid w:val="00800E5B"/>
    <w:rsid w:val="00801A58"/>
    <w:rsid w:val="008024DC"/>
    <w:rsid w:val="00802892"/>
    <w:rsid w:val="0080319F"/>
    <w:rsid w:val="008033D8"/>
    <w:rsid w:val="00804C48"/>
    <w:rsid w:val="008060E1"/>
    <w:rsid w:val="00806185"/>
    <w:rsid w:val="00807658"/>
    <w:rsid w:val="0080783E"/>
    <w:rsid w:val="00807A04"/>
    <w:rsid w:val="00810314"/>
    <w:rsid w:val="00810433"/>
    <w:rsid w:val="008117C1"/>
    <w:rsid w:val="0081256A"/>
    <w:rsid w:val="00814CF5"/>
    <w:rsid w:val="00816BF2"/>
    <w:rsid w:val="00816C9C"/>
    <w:rsid w:val="0081717A"/>
    <w:rsid w:val="00820ADB"/>
    <w:rsid w:val="008227C2"/>
    <w:rsid w:val="00822B93"/>
    <w:rsid w:val="00822D83"/>
    <w:rsid w:val="00823508"/>
    <w:rsid w:val="00823737"/>
    <w:rsid w:val="008243B1"/>
    <w:rsid w:val="008263AE"/>
    <w:rsid w:val="00826638"/>
    <w:rsid w:val="00827DB8"/>
    <w:rsid w:val="00827DFD"/>
    <w:rsid w:val="008305A2"/>
    <w:rsid w:val="00830814"/>
    <w:rsid w:val="00830A81"/>
    <w:rsid w:val="008317E0"/>
    <w:rsid w:val="00832289"/>
    <w:rsid w:val="00832AD6"/>
    <w:rsid w:val="00832DA9"/>
    <w:rsid w:val="00832EA7"/>
    <w:rsid w:val="00833DF8"/>
    <w:rsid w:val="00833E56"/>
    <w:rsid w:val="008344CC"/>
    <w:rsid w:val="008349ED"/>
    <w:rsid w:val="00834E0D"/>
    <w:rsid w:val="00834EE8"/>
    <w:rsid w:val="00835F56"/>
    <w:rsid w:val="0083610E"/>
    <w:rsid w:val="00836808"/>
    <w:rsid w:val="00837400"/>
    <w:rsid w:val="00837FB7"/>
    <w:rsid w:val="0084083B"/>
    <w:rsid w:val="008417B1"/>
    <w:rsid w:val="008427BE"/>
    <w:rsid w:val="00845585"/>
    <w:rsid w:val="008455BF"/>
    <w:rsid w:val="00845D31"/>
    <w:rsid w:val="008468B4"/>
    <w:rsid w:val="00846934"/>
    <w:rsid w:val="00846CBE"/>
    <w:rsid w:val="00847166"/>
    <w:rsid w:val="00847AE4"/>
    <w:rsid w:val="00847D50"/>
    <w:rsid w:val="00847E32"/>
    <w:rsid w:val="00850008"/>
    <w:rsid w:val="008503CF"/>
    <w:rsid w:val="0085108B"/>
    <w:rsid w:val="00851B39"/>
    <w:rsid w:val="00852D13"/>
    <w:rsid w:val="008536EC"/>
    <w:rsid w:val="00853B78"/>
    <w:rsid w:val="00854E84"/>
    <w:rsid w:val="008557E8"/>
    <w:rsid w:val="00855FD1"/>
    <w:rsid w:val="00856176"/>
    <w:rsid w:val="008564A2"/>
    <w:rsid w:val="00856F87"/>
    <w:rsid w:val="008571ED"/>
    <w:rsid w:val="0085735A"/>
    <w:rsid w:val="00860489"/>
    <w:rsid w:val="00861765"/>
    <w:rsid w:val="00861F5C"/>
    <w:rsid w:val="0086285A"/>
    <w:rsid w:val="0086302C"/>
    <w:rsid w:val="008633B2"/>
    <w:rsid w:val="0086431A"/>
    <w:rsid w:val="00864532"/>
    <w:rsid w:val="00864ADF"/>
    <w:rsid w:val="00865886"/>
    <w:rsid w:val="00866761"/>
    <w:rsid w:val="0086746D"/>
    <w:rsid w:val="0087040C"/>
    <w:rsid w:val="00870D71"/>
    <w:rsid w:val="00871D84"/>
    <w:rsid w:val="008720B6"/>
    <w:rsid w:val="00872519"/>
    <w:rsid w:val="0087393B"/>
    <w:rsid w:val="0087420B"/>
    <w:rsid w:val="008742D2"/>
    <w:rsid w:val="00874EBD"/>
    <w:rsid w:val="008757D8"/>
    <w:rsid w:val="008758A4"/>
    <w:rsid w:val="00875B49"/>
    <w:rsid w:val="00876392"/>
    <w:rsid w:val="00876444"/>
    <w:rsid w:val="00876543"/>
    <w:rsid w:val="00877742"/>
    <w:rsid w:val="00877959"/>
    <w:rsid w:val="00877F94"/>
    <w:rsid w:val="008804CD"/>
    <w:rsid w:val="008808D8"/>
    <w:rsid w:val="00881974"/>
    <w:rsid w:val="00881ED1"/>
    <w:rsid w:val="0088241F"/>
    <w:rsid w:val="008837D5"/>
    <w:rsid w:val="00883D91"/>
    <w:rsid w:val="00884386"/>
    <w:rsid w:val="0088472B"/>
    <w:rsid w:val="00884867"/>
    <w:rsid w:val="00885827"/>
    <w:rsid w:val="008877E6"/>
    <w:rsid w:val="00887FEF"/>
    <w:rsid w:val="00890E8C"/>
    <w:rsid w:val="00891AA9"/>
    <w:rsid w:val="0089318F"/>
    <w:rsid w:val="00893355"/>
    <w:rsid w:val="008935D9"/>
    <w:rsid w:val="00893AE3"/>
    <w:rsid w:val="00893CF0"/>
    <w:rsid w:val="0089406C"/>
    <w:rsid w:val="008953E4"/>
    <w:rsid w:val="00895597"/>
    <w:rsid w:val="0089582B"/>
    <w:rsid w:val="00897532"/>
    <w:rsid w:val="008A02A9"/>
    <w:rsid w:val="008A0B89"/>
    <w:rsid w:val="008A1741"/>
    <w:rsid w:val="008A19A4"/>
    <w:rsid w:val="008A282D"/>
    <w:rsid w:val="008A4779"/>
    <w:rsid w:val="008A4D52"/>
    <w:rsid w:val="008A5276"/>
    <w:rsid w:val="008A53A8"/>
    <w:rsid w:val="008A6355"/>
    <w:rsid w:val="008A67E4"/>
    <w:rsid w:val="008A68D2"/>
    <w:rsid w:val="008A6BFC"/>
    <w:rsid w:val="008A6F9C"/>
    <w:rsid w:val="008A77D2"/>
    <w:rsid w:val="008A7F8D"/>
    <w:rsid w:val="008B0449"/>
    <w:rsid w:val="008B0DA5"/>
    <w:rsid w:val="008B13C8"/>
    <w:rsid w:val="008B154F"/>
    <w:rsid w:val="008B1B4F"/>
    <w:rsid w:val="008B1B9F"/>
    <w:rsid w:val="008B217F"/>
    <w:rsid w:val="008B2DEE"/>
    <w:rsid w:val="008B36A6"/>
    <w:rsid w:val="008B4735"/>
    <w:rsid w:val="008B59C6"/>
    <w:rsid w:val="008B5A06"/>
    <w:rsid w:val="008B5C36"/>
    <w:rsid w:val="008B5D97"/>
    <w:rsid w:val="008B6A20"/>
    <w:rsid w:val="008B7002"/>
    <w:rsid w:val="008B7837"/>
    <w:rsid w:val="008C1B9A"/>
    <w:rsid w:val="008C1E13"/>
    <w:rsid w:val="008C2FA7"/>
    <w:rsid w:val="008C4112"/>
    <w:rsid w:val="008C496D"/>
    <w:rsid w:val="008C5CED"/>
    <w:rsid w:val="008C61BD"/>
    <w:rsid w:val="008C61F8"/>
    <w:rsid w:val="008C63B9"/>
    <w:rsid w:val="008C6499"/>
    <w:rsid w:val="008C799F"/>
    <w:rsid w:val="008D10AE"/>
    <w:rsid w:val="008D135D"/>
    <w:rsid w:val="008D1C4D"/>
    <w:rsid w:val="008D1D29"/>
    <w:rsid w:val="008D218D"/>
    <w:rsid w:val="008D3895"/>
    <w:rsid w:val="008D3C0A"/>
    <w:rsid w:val="008D4350"/>
    <w:rsid w:val="008D57F5"/>
    <w:rsid w:val="008D60B9"/>
    <w:rsid w:val="008D65D5"/>
    <w:rsid w:val="008D754F"/>
    <w:rsid w:val="008D7885"/>
    <w:rsid w:val="008D79EA"/>
    <w:rsid w:val="008E01CD"/>
    <w:rsid w:val="008E30E8"/>
    <w:rsid w:val="008E47A3"/>
    <w:rsid w:val="008E4FB2"/>
    <w:rsid w:val="008E52E8"/>
    <w:rsid w:val="008E534E"/>
    <w:rsid w:val="008E636F"/>
    <w:rsid w:val="008E65CD"/>
    <w:rsid w:val="008E671C"/>
    <w:rsid w:val="008E7B70"/>
    <w:rsid w:val="008F0876"/>
    <w:rsid w:val="008F0F1E"/>
    <w:rsid w:val="008F138F"/>
    <w:rsid w:val="008F1B0E"/>
    <w:rsid w:val="008F2CC4"/>
    <w:rsid w:val="008F31B2"/>
    <w:rsid w:val="008F33F4"/>
    <w:rsid w:val="008F3BA0"/>
    <w:rsid w:val="008F592D"/>
    <w:rsid w:val="008F597E"/>
    <w:rsid w:val="008F678E"/>
    <w:rsid w:val="008F77C0"/>
    <w:rsid w:val="009022E8"/>
    <w:rsid w:val="00902923"/>
    <w:rsid w:val="00903595"/>
    <w:rsid w:val="00903E41"/>
    <w:rsid w:val="00904077"/>
    <w:rsid w:val="009042B1"/>
    <w:rsid w:val="009045BE"/>
    <w:rsid w:val="00904A1A"/>
    <w:rsid w:val="00905B68"/>
    <w:rsid w:val="00907DA1"/>
    <w:rsid w:val="00910CA6"/>
    <w:rsid w:val="00910CBF"/>
    <w:rsid w:val="0091202E"/>
    <w:rsid w:val="00912A54"/>
    <w:rsid w:val="00912D96"/>
    <w:rsid w:val="00913AEA"/>
    <w:rsid w:val="00914B11"/>
    <w:rsid w:val="00915572"/>
    <w:rsid w:val="00915B6D"/>
    <w:rsid w:val="00916033"/>
    <w:rsid w:val="0091617D"/>
    <w:rsid w:val="0091669E"/>
    <w:rsid w:val="009166A4"/>
    <w:rsid w:val="0091696C"/>
    <w:rsid w:val="00920E25"/>
    <w:rsid w:val="009210D6"/>
    <w:rsid w:val="00924492"/>
    <w:rsid w:val="00925193"/>
    <w:rsid w:val="00925B2C"/>
    <w:rsid w:val="0092616E"/>
    <w:rsid w:val="00927719"/>
    <w:rsid w:val="00930607"/>
    <w:rsid w:val="00930E3D"/>
    <w:rsid w:val="00931626"/>
    <w:rsid w:val="009328DD"/>
    <w:rsid w:val="00932B7B"/>
    <w:rsid w:val="00932CC9"/>
    <w:rsid w:val="0093327A"/>
    <w:rsid w:val="009334D8"/>
    <w:rsid w:val="00935D34"/>
    <w:rsid w:val="00935FF1"/>
    <w:rsid w:val="009360BF"/>
    <w:rsid w:val="00936CB9"/>
    <w:rsid w:val="0093713F"/>
    <w:rsid w:val="009401AC"/>
    <w:rsid w:val="00940D36"/>
    <w:rsid w:val="00942817"/>
    <w:rsid w:val="00943B40"/>
    <w:rsid w:val="00944C17"/>
    <w:rsid w:val="0094527D"/>
    <w:rsid w:val="009461F4"/>
    <w:rsid w:val="00946565"/>
    <w:rsid w:val="009469BF"/>
    <w:rsid w:val="0095009D"/>
    <w:rsid w:val="009502A0"/>
    <w:rsid w:val="0095052E"/>
    <w:rsid w:val="00952BB1"/>
    <w:rsid w:val="009531C4"/>
    <w:rsid w:val="00953516"/>
    <w:rsid w:val="00954450"/>
    <w:rsid w:val="0095466F"/>
    <w:rsid w:val="00957EBF"/>
    <w:rsid w:val="00957F2A"/>
    <w:rsid w:val="0096074C"/>
    <w:rsid w:val="00960CD5"/>
    <w:rsid w:val="00961240"/>
    <w:rsid w:val="00961351"/>
    <w:rsid w:val="00961F62"/>
    <w:rsid w:val="00962683"/>
    <w:rsid w:val="00962C36"/>
    <w:rsid w:val="0096305F"/>
    <w:rsid w:val="00964C32"/>
    <w:rsid w:val="00965499"/>
    <w:rsid w:val="009658E3"/>
    <w:rsid w:val="009671A6"/>
    <w:rsid w:val="00967982"/>
    <w:rsid w:val="009679B9"/>
    <w:rsid w:val="009702C8"/>
    <w:rsid w:val="0097082B"/>
    <w:rsid w:val="00970915"/>
    <w:rsid w:val="00970D80"/>
    <w:rsid w:val="0097114A"/>
    <w:rsid w:val="0097388E"/>
    <w:rsid w:val="00974371"/>
    <w:rsid w:val="009743B2"/>
    <w:rsid w:val="0097472D"/>
    <w:rsid w:val="0097473D"/>
    <w:rsid w:val="0097535F"/>
    <w:rsid w:val="0097632F"/>
    <w:rsid w:val="0097656A"/>
    <w:rsid w:val="00976AF3"/>
    <w:rsid w:val="009770EE"/>
    <w:rsid w:val="0097731A"/>
    <w:rsid w:val="009775B7"/>
    <w:rsid w:val="009807EE"/>
    <w:rsid w:val="00980BB3"/>
    <w:rsid w:val="00980E2D"/>
    <w:rsid w:val="00981049"/>
    <w:rsid w:val="0098118B"/>
    <w:rsid w:val="00981782"/>
    <w:rsid w:val="00981A26"/>
    <w:rsid w:val="00981BE5"/>
    <w:rsid w:val="00981C2B"/>
    <w:rsid w:val="0098341F"/>
    <w:rsid w:val="00983856"/>
    <w:rsid w:val="00983BDD"/>
    <w:rsid w:val="009845A2"/>
    <w:rsid w:val="009845A6"/>
    <w:rsid w:val="009846B5"/>
    <w:rsid w:val="00984EB9"/>
    <w:rsid w:val="0098569E"/>
    <w:rsid w:val="00985DE4"/>
    <w:rsid w:val="00986A38"/>
    <w:rsid w:val="009875CA"/>
    <w:rsid w:val="00987763"/>
    <w:rsid w:val="009878A8"/>
    <w:rsid w:val="00987DA9"/>
    <w:rsid w:val="00990918"/>
    <w:rsid w:val="00990A2A"/>
    <w:rsid w:val="00990A4E"/>
    <w:rsid w:val="00991074"/>
    <w:rsid w:val="009917CE"/>
    <w:rsid w:val="0099216F"/>
    <w:rsid w:val="0099229B"/>
    <w:rsid w:val="009931AE"/>
    <w:rsid w:val="00993E91"/>
    <w:rsid w:val="00993EB4"/>
    <w:rsid w:val="00994BA0"/>
    <w:rsid w:val="00994E67"/>
    <w:rsid w:val="00995EB5"/>
    <w:rsid w:val="00997F26"/>
    <w:rsid w:val="009A0531"/>
    <w:rsid w:val="009A0723"/>
    <w:rsid w:val="009A2312"/>
    <w:rsid w:val="009A2443"/>
    <w:rsid w:val="009A24AC"/>
    <w:rsid w:val="009A269C"/>
    <w:rsid w:val="009A2873"/>
    <w:rsid w:val="009A49DC"/>
    <w:rsid w:val="009A4F93"/>
    <w:rsid w:val="009A554E"/>
    <w:rsid w:val="009A6475"/>
    <w:rsid w:val="009A6D8A"/>
    <w:rsid w:val="009A77BB"/>
    <w:rsid w:val="009A7981"/>
    <w:rsid w:val="009A79EB"/>
    <w:rsid w:val="009B0FC3"/>
    <w:rsid w:val="009B17AB"/>
    <w:rsid w:val="009B1AD4"/>
    <w:rsid w:val="009B37BC"/>
    <w:rsid w:val="009B415F"/>
    <w:rsid w:val="009B47C5"/>
    <w:rsid w:val="009B5D4E"/>
    <w:rsid w:val="009B6391"/>
    <w:rsid w:val="009B6FBE"/>
    <w:rsid w:val="009B7B98"/>
    <w:rsid w:val="009C02D4"/>
    <w:rsid w:val="009C067F"/>
    <w:rsid w:val="009C303D"/>
    <w:rsid w:val="009C334E"/>
    <w:rsid w:val="009C4E6E"/>
    <w:rsid w:val="009C5C84"/>
    <w:rsid w:val="009C608F"/>
    <w:rsid w:val="009C6B49"/>
    <w:rsid w:val="009C6F4B"/>
    <w:rsid w:val="009D0221"/>
    <w:rsid w:val="009D026F"/>
    <w:rsid w:val="009D07A7"/>
    <w:rsid w:val="009D0990"/>
    <w:rsid w:val="009D0D31"/>
    <w:rsid w:val="009D149D"/>
    <w:rsid w:val="009D22D3"/>
    <w:rsid w:val="009D25A8"/>
    <w:rsid w:val="009D3558"/>
    <w:rsid w:val="009D5B00"/>
    <w:rsid w:val="009D67E3"/>
    <w:rsid w:val="009D68A3"/>
    <w:rsid w:val="009D6C05"/>
    <w:rsid w:val="009D7ECC"/>
    <w:rsid w:val="009E0BC6"/>
    <w:rsid w:val="009E180B"/>
    <w:rsid w:val="009E1A30"/>
    <w:rsid w:val="009E2127"/>
    <w:rsid w:val="009E2D3D"/>
    <w:rsid w:val="009E2D8E"/>
    <w:rsid w:val="009E2ECE"/>
    <w:rsid w:val="009E2FE3"/>
    <w:rsid w:val="009E34EC"/>
    <w:rsid w:val="009E3780"/>
    <w:rsid w:val="009E4613"/>
    <w:rsid w:val="009E482D"/>
    <w:rsid w:val="009E4899"/>
    <w:rsid w:val="009E5ACA"/>
    <w:rsid w:val="009E611E"/>
    <w:rsid w:val="009E6834"/>
    <w:rsid w:val="009F27A9"/>
    <w:rsid w:val="009F3064"/>
    <w:rsid w:val="009F3E3A"/>
    <w:rsid w:val="009F4C29"/>
    <w:rsid w:val="009F4E83"/>
    <w:rsid w:val="009F4F5C"/>
    <w:rsid w:val="009F4F85"/>
    <w:rsid w:val="009F50D6"/>
    <w:rsid w:val="009F5BFA"/>
    <w:rsid w:val="009F757F"/>
    <w:rsid w:val="009F791F"/>
    <w:rsid w:val="00A00D3A"/>
    <w:rsid w:val="00A01C96"/>
    <w:rsid w:val="00A024CA"/>
    <w:rsid w:val="00A025AC"/>
    <w:rsid w:val="00A02995"/>
    <w:rsid w:val="00A03664"/>
    <w:rsid w:val="00A044DE"/>
    <w:rsid w:val="00A048E1"/>
    <w:rsid w:val="00A04F4B"/>
    <w:rsid w:val="00A05BA9"/>
    <w:rsid w:val="00A05D49"/>
    <w:rsid w:val="00A0607A"/>
    <w:rsid w:val="00A067F6"/>
    <w:rsid w:val="00A069AE"/>
    <w:rsid w:val="00A06ABC"/>
    <w:rsid w:val="00A06D1C"/>
    <w:rsid w:val="00A06DF6"/>
    <w:rsid w:val="00A10071"/>
    <w:rsid w:val="00A1035F"/>
    <w:rsid w:val="00A10AA1"/>
    <w:rsid w:val="00A10DA1"/>
    <w:rsid w:val="00A10DC4"/>
    <w:rsid w:val="00A11871"/>
    <w:rsid w:val="00A11CC8"/>
    <w:rsid w:val="00A122C8"/>
    <w:rsid w:val="00A1241B"/>
    <w:rsid w:val="00A1304D"/>
    <w:rsid w:val="00A133BF"/>
    <w:rsid w:val="00A14786"/>
    <w:rsid w:val="00A148B7"/>
    <w:rsid w:val="00A15608"/>
    <w:rsid w:val="00A156AF"/>
    <w:rsid w:val="00A16035"/>
    <w:rsid w:val="00A1756C"/>
    <w:rsid w:val="00A20688"/>
    <w:rsid w:val="00A20A79"/>
    <w:rsid w:val="00A213BF"/>
    <w:rsid w:val="00A230AB"/>
    <w:rsid w:val="00A23510"/>
    <w:rsid w:val="00A239F1"/>
    <w:rsid w:val="00A24732"/>
    <w:rsid w:val="00A261CF"/>
    <w:rsid w:val="00A26269"/>
    <w:rsid w:val="00A27896"/>
    <w:rsid w:val="00A315C8"/>
    <w:rsid w:val="00A31EE1"/>
    <w:rsid w:val="00A31F11"/>
    <w:rsid w:val="00A32509"/>
    <w:rsid w:val="00A33E6E"/>
    <w:rsid w:val="00A3454F"/>
    <w:rsid w:val="00A3508A"/>
    <w:rsid w:val="00A40EEF"/>
    <w:rsid w:val="00A40FD8"/>
    <w:rsid w:val="00A41805"/>
    <w:rsid w:val="00A422C7"/>
    <w:rsid w:val="00A4254F"/>
    <w:rsid w:val="00A42D80"/>
    <w:rsid w:val="00A43950"/>
    <w:rsid w:val="00A43E38"/>
    <w:rsid w:val="00A43FBA"/>
    <w:rsid w:val="00A44618"/>
    <w:rsid w:val="00A44768"/>
    <w:rsid w:val="00A4478E"/>
    <w:rsid w:val="00A44C2B"/>
    <w:rsid w:val="00A44E7C"/>
    <w:rsid w:val="00A4528D"/>
    <w:rsid w:val="00A45675"/>
    <w:rsid w:val="00A459E1"/>
    <w:rsid w:val="00A46E4C"/>
    <w:rsid w:val="00A47383"/>
    <w:rsid w:val="00A4785F"/>
    <w:rsid w:val="00A47953"/>
    <w:rsid w:val="00A51092"/>
    <w:rsid w:val="00A528FE"/>
    <w:rsid w:val="00A5332E"/>
    <w:rsid w:val="00A53F2A"/>
    <w:rsid w:val="00A53FE5"/>
    <w:rsid w:val="00A540D3"/>
    <w:rsid w:val="00A554D9"/>
    <w:rsid w:val="00A55F15"/>
    <w:rsid w:val="00A561E4"/>
    <w:rsid w:val="00A5646A"/>
    <w:rsid w:val="00A5683E"/>
    <w:rsid w:val="00A56AAA"/>
    <w:rsid w:val="00A57F62"/>
    <w:rsid w:val="00A6071B"/>
    <w:rsid w:val="00A62A76"/>
    <w:rsid w:val="00A62D97"/>
    <w:rsid w:val="00A63DC4"/>
    <w:rsid w:val="00A6490A"/>
    <w:rsid w:val="00A6512A"/>
    <w:rsid w:val="00A65321"/>
    <w:rsid w:val="00A656D2"/>
    <w:rsid w:val="00A659A3"/>
    <w:rsid w:val="00A66063"/>
    <w:rsid w:val="00A66303"/>
    <w:rsid w:val="00A672DD"/>
    <w:rsid w:val="00A673A0"/>
    <w:rsid w:val="00A67E99"/>
    <w:rsid w:val="00A70F9E"/>
    <w:rsid w:val="00A70FE3"/>
    <w:rsid w:val="00A716C9"/>
    <w:rsid w:val="00A71B02"/>
    <w:rsid w:val="00A72003"/>
    <w:rsid w:val="00A7202C"/>
    <w:rsid w:val="00A7271F"/>
    <w:rsid w:val="00A72D5B"/>
    <w:rsid w:val="00A7322A"/>
    <w:rsid w:val="00A74630"/>
    <w:rsid w:val="00A750EF"/>
    <w:rsid w:val="00A755EB"/>
    <w:rsid w:val="00A76BF9"/>
    <w:rsid w:val="00A76DE6"/>
    <w:rsid w:val="00A77197"/>
    <w:rsid w:val="00A77938"/>
    <w:rsid w:val="00A77D43"/>
    <w:rsid w:val="00A77E0A"/>
    <w:rsid w:val="00A802A8"/>
    <w:rsid w:val="00A802AA"/>
    <w:rsid w:val="00A80787"/>
    <w:rsid w:val="00A80CB6"/>
    <w:rsid w:val="00A80F03"/>
    <w:rsid w:val="00A814C2"/>
    <w:rsid w:val="00A81D76"/>
    <w:rsid w:val="00A81F5F"/>
    <w:rsid w:val="00A82112"/>
    <w:rsid w:val="00A829FF"/>
    <w:rsid w:val="00A8315C"/>
    <w:rsid w:val="00A835BB"/>
    <w:rsid w:val="00A83994"/>
    <w:rsid w:val="00A86430"/>
    <w:rsid w:val="00A86B51"/>
    <w:rsid w:val="00A86BDB"/>
    <w:rsid w:val="00A870B1"/>
    <w:rsid w:val="00A87990"/>
    <w:rsid w:val="00A903B4"/>
    <w:rsid w:val="00A9114A"/>
    <w:rsid w:val="00A911F7"/>
    <w:rsid w:val="00A92250"/>
    <w:rsid w:val="00A92BA9"/>
    <w:rsid w:val="00A939AA"/>
    <w:rsid w:val="00A94BE0"/>
    <w:rsid w:val="00A94DEF"/>
    <w:rsid w:val="00A95664"/>
    <w:rsid w:val="00A95C4F"/>
    <w:rsid w:val="00A96034"/>
    <w:rsid w:val="00A97439"/>
    <w:rsid w:val="00A9776A"/>
    <w:rsid w:val="00AA0487"/>
    <w:rsid w:val="00AA0D83"/>
    <w:rsid w:val="00AA18A3"/>
    <w:rsid w:val="00AA4B4D"/>
    <w:rsid w:val="00AA4FA6"/>
    <w:rsid w:val="00AA5157"/>
    <w:rsid w:val="00AA5297"/>
    <w:rsid w:val="00AA5955"/>
    <w:rsid w:val="00AA74CC"/>
    <w:rsid w:val="00AB00CC"/>
    <w:rsid w:val="00AB0615"/>
    <w:rsid w:val="00AB064A"/>
    <w:rsid w:val="00AB0BA1"/>
    <w:rsid w:val="00AB1C3B"/>
    <w:rsid w:val="00AB2184"/>
    <w:rsid w:val="00AB6225"/>
    <w:rsid w:val="00AB678A"/>
    <w:rsid w:val="00AB7315"/>
    <w:rsid w:val="00AB7B24"/>
    <w:rsid w:val="00AB7E2C"/>
    <w:rsid w:val="00AC0F18"/>
    <w:rsid w:val="00AC13B0"/>
    <w:rsid w:val="00AC2A48"/>
    <w:rsid w:val="00AC2BB9"/>
    <w:rsid w:val="00AC3396"/>
    <w:rsid w:val="00AC3510"/>
    <w:rsid w:val="00AC35F2"/>
    <w:rsid w:val="00AC3B27"/>
    <w:rsid w:val="00AC3C28"/>
    <w:rsid w:val="00AC41D1"/>
    <w:rsid w:val="00AC4D4D"/>
    <w:rsid w:val="00AC5940"/>
    <w:rsid w:val="00AC5E27"/>
    <w:rsid w:val="00AC66FF"/>
    <w:rsid w:val="00AC6E89"/>
    <w:rsid w:val="00AC6FA4"/>
    <w:rsid w:val="00AC7AA0"/>
    <w:rsid w:val="00AD109D"/>
    <w:rsid w:val="00AD2065"/>
    <w:rsid w:val="00AD2125"/>
    <w:rsid w:val="00AD23EC"/>
    <w:rsid w:val="00AD2F45"/>
    <w:rsid w:val="00AD3989"/>
    <w:rsid w:val="00AD4A17"/>
    <w:rsid w:val="00AD73EF"/>
    <w:rsid w:val="00AE0592"/>
    <w:rsid w:val="00AE13F3"/>
    <w:rsid w:val="00AE1411"/>
    <w:rsid w:val="00AE210C"/>
    <w:rsid w:val="00AE2345"/>
    <w:rsid w:val="00AE2584"/>
    <w:rsid w:val="00AE44AF"/>
    <w:rsid w:val="00AE4572"/>
    <w:rsid w:val="00AE5485"/>
    <w:rsid w:val="00AE597E"/>
    <w:rsid w:val="00AE7DB8"/>
    <w:rsid w:val="00AF0AF3"/>
    <w:rsid w:val="00AF0F4D"/>
    <w:rsid w:val="00AF1D63"/>
    <w:rsid w:val="00AF1FF3"/>
    <w:rsid w:val="00AF2354"/>
    <w:rsid w:val="00AF266C"/>
    <w:rsid w:val="00AF363B"/>
    <w:rsid w:val="00AF5123"/>
    <w:rsid w:val="00AF6613"/>
    <w:rsid w:val="00AF664A"/>
    <w:rsid w:val="00AF6F4F"/>
    <w:rsid w:val="00AF7445"/>
    <w:rsid w:val="00AF7A1F"/>
    <w:rsid w:val="00AF7AEC"/>
    <w:rsid w:val="00B0096E"/>
    <w:rsid w:val="00B01DA1"/>
    <w:rsid w:val="00B0374E"/>
    <w:rsid w:val="00B038BA"/>
    <w:rsid w:val="00B03BCD"/>
    <w:rsid w:val="00B04015"/>
    <w:rsid w:val="00B056BE"/>
    <w:rsid w:val="00B05F0F"/>
    <w:rsid w:val="00B07D83"/>
    <w:rsid w:val="00B10565"/>
    <w:rsid w:val="00B1132C"/>
    <w:rsid w:val="00B12C7E"/>
    <w:rsid w:val="00B13388"/>
    <w:rsid w:val="00B13DC8"/>
    <w:rsid w:val="00B15442"/>
    <w:rsid w:val="00B16AEC"/>
    <w:rsid w:val="00B17078"/>
    <w:rsid w:val="00B17166"/>
    <w:rsid w:val="00B1724A"/>
    <w:rsid w:val="00B17A9F"/>
    <w:rsid w:val="00B17B3F"/>
    <w:rsid w:val="00B23784"/>
    <w:rsid w:val="00B23F77"/>
    <w:rsid w:val="00B24A1C"/>
    <w:rsid w:val="00B24E75"/>
    <w:rsid w:val="00B254F3"/>
    <w:rsid w:val="00B258A3"/>
    <w:rsid w:val="00B269B3"/>
    <w:rsid w:val="00B2717B"/>
    <w:rsid w:val="00B27DD9"/>
    <w:rsid w:val="00B3048F"/>
    <w:rsid w:val="00B310C3"/>
    <w:rsid w:val="00B31DA0"/>
    <w:rsid w:val="00B354A9"/>
    <w:rsid w:val="00B35C8A"/>
    <w:rsid w:val="00B3650C"/>
    <w:rsid w:val="00B3785D"/>
    <w:rsid w:val="00B406B7"/>
    <w:rsid w:val="00B40FC1"/>
    <w:rsid w:val="00B41821"/>
    <w:rsid w:val="00B41850"/>
    <w:rsid w:val="00B41CD1"/>
    <w:rsid w:val="00B42036"/>
    <w:rsid w:val="00B429A6"/>
    <w:rsid w:val="00B42DEC"/>
    <w:rsid w:val="00B42E62"/>
    <w:rsid w:val="00B432BE"/>
    <w:rsid w:val="00B43B79"/>
    <w:rsid w:val="00B45673"/>
    <w:rsid w:val="00B46956"/>
    <w:rsid w:val="00B4697F"/>
    <w:rsid w:val="00B5005B"/>
    <w:rsid w:val="00B5008D"/>
    <w:rsid w:val="00B505DD"/>
    <w:rsid w:val="00B514A6"/>
    <w:rsid w:val="00B514FC"/>
    <w:rsid w:val="00B516C8"/>
    <w:rsid w:val="00B51AEF"/>
    <w:rsid w:val="00B526C3"/>
    <w:rsid w:val="00B531FA"/>
    <w:rsid w:val="00B534EE"/>
    <w:rsid w:val="00B54CF5"/>
    <w:rsid w:val="00B54F3C"/>
    <w:rsid w:val="00B55980"/>
    <w:rsid w:val="00B55A68"/>
    <w:rsid w:val="00B55B92"/>
    <w:rsid w:val="00B57241"/>
    <w:rsid w:val="00B57805"/>
    <w:rsid w:val="00B57A21"/>
    <w:rsid w:val="00B57C55"/>
    <w:rsid w:val="00B60545"/>
    <w:rsid w:val="00B60A21"/>
    <w:rsid w:val="00B60D00"/>
    <w:rsid w:val="00B60E88"/>
    <w:rsid w:val="00B618AB"/>
    <w:rsid w:val="00B61E53"/>
    <w:rsid w:val="00B61EB4"/>
    <w:rsid w:val="00B6215A"/>
    <w:rsid w:val="00B63107"/>
    <w:rsid w:val="00B657C3"/>
    <w:rsid w:val="00B661FB"/>
    <w:rsid w:val="00B72030"/>
    <w:rsid w:val="00B72DE3"/>
    <w:rsid w:val="00B72FE2"/>
    <w:rsid w:val="00B73541"/>
    <w:rsid w:val="00B73758"/>
    <w:rsid w:val="00B73802"/>
    <w:rsid w:val="00B73E01"/>
    <w:rsid w:val="00B74789"/>
    <w:rsid w:val="00B749B9"/>
    <w:rsid w:val="00B74FE9"/>
    <w:rsid w:val="00B750DB"/>
    <w:rsid w:val="00B75708"/>
    <w:rsid w:val="00B7603B"/>
    <w:rsid w:val="00B763B5"/>
    <w:rsid w:val="00B76A3E"/>
    <w:rsid w:val="00B76C8B"/>
    <w:rsid w:val="00B76D3A"/>
    <w:rsid w:val="00B779D6"/>
    <w:rsid w:val="00B80D36"/>
    <w:rsid w:val="00B81880"/>
    <w:rsid w:val="00B823FF"/>
    <w:rsid w:val="00B8271B"/>
    <w:rsid w:val="00B82E1F"/>
    <w:rsid w:val="00B83B7A"/>
    <w:rsid w:val="00B83F70"/>
    <w:rsid w:val="00B8455C"/>
    <w:rsid w:val="00B84F59"/>
    <w:rsid w:val="00B84F83"/>
    <w:rsid w:val="00B860F1"/>
    <w:rsid w:val="00B865B1"/>
    <w:rsid w:val="00B90C3B"/>
    <w:rsid w:val="00B90C81"/>
    <w:rsid w:val="00B91176"/>
    <w:rsid w:val="00B916C5"/>
    <w:rsid w:val="00B92647"/>
    <w:rsid w:val="00B930D2"/>
    <w:rsid w:val="00B94C4A"/>
    <w:rsid w:val="00B966EB"/>
    <w:rsid w:val="00B96B51"/>
    <w:rsid w:val="00B974F4"/>
    <w:rsid w:val="00B97755"/>
    <w:rsid w:val="00B97843"/>
    <w:rsid w:val="00BA1558"/>
    <w:rsid w:val="00BA2F00"/>
    <w:rsid w:val="00BA42A0"/>
    <w:rsid w:val="00BA47C3"/>
    <w:rsid w:val="00BA557E"/>
    <w:rsid w:val="00BA5608"/>
    <w:rsid w:val="00BA595E"/>
    <w:rsid w:val="00BA6F39"/>
    <w:rsid w:val="00BA6FB9"/>
    <w:rsid w:val="00BA70BF"/>
    <w:rsid w:val="00BA7439"/>
    <w:rsid w:val="00BA7C5E"/>
    <w:rsid w:val="00BB077A"/>
    <w:rsid w:val="00BB20B8"/>
    <w:rsid w:val="00BB3374"/>
    <w:rsid w:val="00BB4B30"/>
    <w:rsid w:val="00BB500F"/>
    <w:rsid w:val="00BB5931"/>
    <w:rsid w:val="00BB6810"/>
    <w:rsid w:val="00BB6AB1"/>
    <w:rsid w:val="00BB7AA7"/>
    <w:rsid w:val="00BC0BA1"/>
    <w:rsid w:val="00BC4306"/>
    <w:rsid w:val="00BC44CC"/>
    <w:rsid w:val="00BC4E36"/>
    <w:rsid w:val="00BC5916"/>
    <w:rsid w:val="00BC5E5B"/>
    <w:rsid w:val="00BC7878"/>
    <w:rsid w:val="00BD04F8"/>
    <w:rsid w:val="00BD0EA3"/>
    <w:rsid w:val="00BD2520"/>
    <w:rsid w:val="00BD338B"/>
    <w:rsid w:val="00BD4354"/>
    <w:rsid w:val="00BD5FB2"/>
    <w:rsid w:val="00BD6A90"/>
    <w:rsid w:val="00BD7021"/>
    <w:rsid w:val="00BD736A"/>
    <w:rsid w:val="00BD7400"/>
    <w:rsid w:val="00BE06C3"/>
    <w:rsid w:val="00BE1332"/>
    <w:rsid w:val="00BE1D19"/>
    <w:rsid w:val="00BE2882"/>
    <w:rsid w:val="00BE3214"/>
    <w:rsid w:val="00BE3615"/>
    <w:rsid w:val="00BE3709"/>
    <w:rsid w:val="00BE4091"/>
    <w:rsid w:val="00BE4415"/>
    <w:rsid w:val="00BE567C"/>
    <w:rsid w:val="00BE7097"/>
    <w:rsid w:val="00BE7F4A"/>
    <w:rsid w:val="00BF08B4"/>
    <w:rsid w:val="00BF0A8C"/>
    <w:rsid w:val="00BF0CFD"/>
    <w:rsid w:val="00BF1007"/>
    <w:rsid w:val="00BF13B8"/>
    <w:rsid w:val="00BF152D"/>
    <w:rsid w:val="00BF1BC4"/>
    <w:rsid w:val="00BF31A0"/>
    <w:rsid w:val="00BF34C5"/>
    <w:rsid w:val="00BF3A73"/>
    <w:rsid w:val="00BF5400"/>
    <w:rsid w:val="00BF555A"/>
    <w:rsid w:val="00BF608B"/>
    <w:rsid w:val="00BF63A6"/>
    <w:rsid w:val="00BF65FE"/>
    <w:rsid w:val="00BF74A2"/>
    <w:rsid w:val="00BF7B88"/>
    <w:rsid w:val="00C00F53"/>
    <w:rsid w:val="00C01EB5"/>
    <w:rsid w:val="00C0317D"/>
    <w:rsid w:val="00C03374"/>
    <w:rsid w:val="00C035AF"/>
    <w:rsid w:val="00C041E1"/>
    <w:rsid w:val="00C057EF"/>
    <w:rsid w:val="00C05955"/>
    <w:rsid w:val="00C062D4"/>
    <w:rsid w:val="00C0652F"/>
    <w:rsid w:val="00C06979"/>
    <w:rsid w:val="00C073D6"/>
    <w:rsid w:val="00C076F9"/>
    <w:rsid w:val="00C07828"/>
    <w:rsid w:val="00C07A2C"/>
    <w:rsid w:val="00C11066"/>
    <w:rsid w:val="00C110E5"/>
    <w:rsid w:val="00C124D6"/>
    <w:rsid w:val="00C12651"/>
    <w:rsid w:val="00C12D62"/>
    <w:rsid w:val="00C12F3E"/>
    <w:rsid w:val="00C1469F"/>
    <w:rsid w:val="00C14B5B"/>
    <w:rsid w:val="00C15268"/>
    <w:rsid w:val="00C153CB"/>
    <w:rsid w:val="00C154B6"/>
    <w:rsid w:val="00C15CD3"/>
    <w:rsid w:val="00C163E1"/>
    <w:rsid w:val="00C16962"/>
    <w:rsid w:val="00C17E25"/>
    <w:rsid w:val="00C20AA7"/>
    <w:rsid w:val="00C210BC"/>
    <w:rsid w:val="00C22046"/>
    <w:rsid w:val="00C22FF6"/>
    <w:rsid w:val="00C23675"/>
    <w:rsid w:val="00C25FFB"/>
    <w:rsid w:val="00C26056"/>
    <w:rsid w:val="00C261C7"/>
    <w:rsid w:val="00C30C5D"/>
    <w:rsid w:val="00C310DF"/>
    <w:rsid w:val="00C315FB"/>
    <w:rsid w:val="00C31969"/>
    <w:rsid w:val="00C32D8C"/>
    <w:rsid w:val="00C343C8"/>
    <w:rsid w:val="00C347C2"/>
    <w:rsid w:val="00C34D3B"/>
    <w:rsid w:val="00C34E5B"/>
    <w:rsid w:val="00C35ADD"/>
    <w:rsid w:val="00C35ADF"/>
    <w:rsid w:val="00C35E7D"/>
    <w:rsid w:val="00C36371"/>
    <w:rsid w:val="00C365DD"/>
    <w:rsid w:val="00C369A4"/>
    <w:rsid w:val="00C36CC2"/>
    <w:rsid w:val="00C37531"/>
    <w:rsid w:val="00C4044D"/>
    <w:rsid w:val="00C40754"/>
    <w:rsid w:val="00C40DC3"/>
    <w:rsid w:val="00C40DDF"/>
    <w:rsid w:val="00C41145"/>
    <w:rsid w:val="00C41E73"/>
    <w:rsid w:val="00C43435"/>
    <w:rsid w:val="00C43882"/>
    <w:rsid w:val="00C43EAF"/>
    <w:rsid w:val="00C458F6"/>
    <w:rsid w:val="00C45DB5"/>
    <w:rsid w:val="00C46936"/>
    <w:rsid w:val="00C46E85"/>
    <w:rsid w:val="00C5028B"/>
    <w:rsid w:val="00C519A8"/>
    <w:rsid w:val="00C51FD4"/>
    <w:rsid w:val="00C529FB"/>
    <w:rsid w:val="00C52CDA"/>
    <w:rsid w:val="00C52DE0"/>
    <w:rsid w:val="00C530E3"/>
    <w:rsid w:val="00C54791"/>
    <w:rsid w:val="00C5530F"/>
    <w:rsid w:val="00C558ED"/>
    <w:rsid w:val="00C55C7F"/>
    <w:rsid w:val="00C569CB"/>
    <w:rsid w:val="00C56DFC"/>
    <w:rsid w:val="00C56E7E"/>
    <w:rsid w:val="00C56EE7"/>
    <w:rsid w:val="00C56F8B"/>
    <w:rsid w:val="00C571E5"/>
    <w:rsid w:val="00C579A6"/>
    <w:rsid w:val="00C60A64"/>
    <w:rsid w:val="00C60AD2"/>
    <w:rsid w:val="00C61F14"/>
    <w:rsid w:val="00C627B3"/>
    <w:rsid w:val="00C6311E"/>
    <w:rsid w:val="00C631B7"/>
    <w:rsid w:val="00C641E6"/>
    <w:rsid w:val="00C647F4"/>
    <w:rsid w:val="00C6561A"/>
    <w:rsid w:val="00C65840"/>
    <w:rsid w:val="00C6709A"/>
    <w:rsid w:val="00C6739D"/>
    <w:rsid w:val="00C677C4"/>
    <w:rsid w:val="00C67E2B"/>
    <w:rsid w:val="00C7019D"/>
    <w:rsid w:val="00C7065C"/>
    <w:rsid w:val="00C706D4"/>
    <w:rsid w:val="00C71624"/>
    <w:rsid w:val="00C726B9"/>
    <w:rsid w:val="00C73BEA"/>
    <w:rsid w:val="00C748DC"/>
    <w:rsid w:val="00C75BE7"/>
    <w:rsid w:val="00C7640B"/>
    <w:rsid w:val="00C765F7"/>
    <w:rsid w:val="00C77C32"/>
    <w:rsid w:val="00C8016C"/>
    <w:rsid w:val="00C8035C"/>
    <w:rsid w:val="00C815A7"/>
    <w:rsid w:val="00C81AA3"/>
    <w:rsid w:val="00C81CA9"/>
    <w:rsid w:val="00C825F4"/>
    <w:rsid w:val="00C82F02"/>
    <w:rsid w:val="00C83104"/>
    <w:rsid w:val="00C839DE"/>
    <w:rsid w:val="00C83C48"/>
    <w:rsid w:val="00C8481F"/>
    <w:rsid w:val="00C850E9"/>
    <w:rsid w:val="00C87E38"/>
    <w:rsid w:val="00C90AEB"/>
    <w:rsid w:val="00C91AC1"/>
    <w:rsid w:val="00C92701"/>
    <w:rsid w:val="00C927E1"/>
    <w:rsid w:val="00C92A77"/>
    <w:rsid w:val="00C92F28"/>
    <w:rsid w:val="00C944D8"/>
    <w:rsid w:val="00C95DEA"/>
    <w:rsid w:val="00C965A2"/>
    <w:rsid w:val="00C96717"/>
    <w:rsid w:val="00C97A02"/>
    <w:rsid w:val="00CA014A"/>
    <w:rsid w:val="00CA098F"/>
    <w:rsid w:val="00CA1EC8"/>
    <w:rsid w:val="00CA2A61"/>
    <w:rsid w:val="00CA3018"/>
    <w:rsid w:val="00CA378C"/>
    <w:rsid w:val="00CA42DF"/>
    <w:rsid w:val="00CA46B0"/>
    <w:rsid w:val="00CA5448"/>
    <w:rsid w:val="00CA5F46"/>
    <w:rsid w:val="00CA6AA1"/>
    <w:rsid w:val="00CA7452"/>
    <w:rsid w:val="00CA747B"/>
    <w:rsid w:val="00CA74ED"/>
    <w:rsid w:val="00CA7EC1"/>
    <w:rsid w:val="00CB0378"/>
    <w:rsid w:val="00CB0B4C"/>
    <w:rsid w:val="00CB1399"/>
    <w:rsid w:val="00CB1A06"/>
    <w:rsid w:val="00CB3E4F"/>
    <w:rsid w:val="00CB47F6"/>
    <w:rsid w:val="00CB4BF7"/>
    <w:rsid w:val="00CB54FA"/>
    <w:rsid w:val="00CB6F93"/>
    <w:rsid w:val="00CB775B"/>
    <w:rsid w:val="00CC0179"/>
    <w:rsid w:val="00CC0AF5"/>
    <w:rsid w:val="00CC18CD"/>
    <w:rsid w:val="00CC1F15"/>
    <w:rsid w:val="00CC37BC"/>
    <w:rsid w:val="00CC4938"/>
    <w:rsid w:val="00CC4BB9"/>
    <w:rsid w:val="00CC5B99"/>
    <w:rsid w:val="00CC5E55"/>
    <w:rsid w:val="00CC79CB"/>
    <w:rsid w:val="00CC7BE3"/>
    <w:rsid w:val="00CC7F41"/>
    <w:rsid w:val="00CD05A5"/>
    <w:rsid w:val="00CD073A"/>
    <w:rsid w:val="00CD0897"/>
    <w:rsid w:val="00CD0F15"/>
    <w:rsid w:val="00CD1447"/>
    <w:rsid w:val="00CD16FB"/>
    <w:rsid w:val="00CD19DD"/>
    <w:rsid w:val="00CD278C"/>
    <w:rsid w:val="00CD2AA5"/>
    <w:rsid w:val="00CD433A"/>
    <w:rsid w:val="00CD4EA3"/>
    <w:rsid w:val="00CD5CF2"/>
    <w:rsid w:val="00CD62D3"/>
    <w:rsid w:val="00CD77C4"/>
    <w:rsid w:val="00CE0C8D"/>
    <w:rsid w:val="00CE1442"/>
    <w:rsid w:val="00CE1447"/>
    <w:rsid w:val="00CE374F"/>
    <w:rsid w:val="00CE539F"/>
    <w:rsid w:val="00CE5601"/>
    <w:rsid w:val="00CE5CB8"/>
    <w:rsid w:val="00CE65EA"/>
    <w:rsid w:val="00CF01CF"/>
    <w:rsid w:val="00CF230E"/>
    <w:rsid w:val="00CF32D4"/>
    <w:rsid w:val="00CF368A"/>
    <w:rsid w:val="00CF36AD"/>
    <w:rsid w:val="00CF4EC6"/>
    <w:rsid w:val="00CF4FA9"/>
    <w:rsid w:val="00CF51A8"/>
    <w:rsid w:val="00CF5A89"/>
    <w:rsid w:val="00CF6D5E"/>
    <w:rsid w:val="00CF6F46"/>
    <w:rsid w:val="00CF7506"/>
    <w:rsid w:val="00D01692"/>
    <w:rsid w:val="00D02759"/>
    <w:rsid w:val="00D038DF"/>
    <w:rsid w:val="00D040FD"/>
    <w:rsid w:val="00D04B5B"/>
    <w:rsid w:val="00D05732"/>
    <w:rsid w:val="00D05988"/>
    <w:rsid w:val="00D060A8"/>
    <w:rsid w:val="00D06D50"/>
    <w:rsid w:val="00D07126"/>
    <w:rsid w:val="00D0764D"/>
    <w:rsid w:val="00D07D54"/>
    <w:rsid w:val="00D10D3E"/>
    <w:rsid w:val="00D1131C"/>
    <w:rsid w:val="00D120EC"/>
    <w:rsid w:val="00D12815"/>
    <w:rsid w:val="00D12EEB"/>
    <w:rsid w:val="00D13453"/>
    <w:rsid w:val="00D14B6E"/>
    <w:rsid w:val="00D1576B"/>
    <w:rsid w:val="00D15852"/>
    <w:rsid w:val="00D166EB"/>
    <w:rsid w:val="00D16C44"/>
    <w:rsid w:val="00D17806"/>
    <w:rsid w:val="00D20101"/>
    <w:rsid w:val="00D2083E"/>
    <w:rsid w:val="00D21068"/>
    <w:rsid w:val="00D21F77"/>
    <w:rsid w:val="00D23C21"/>
    <w:rsid w:val="00D23C83"/>
    <w:rsid w:val="00D23EC0"/>
    <w:rsid w:val="00D248FC"/>
    <w:rsid w:val="00D24C22"/>
    <w:rsid w:val="00D26A6B"/>
    <w:rsid w:val="00D300D0"/>
    <w:rsid w:val="00D318DB"/>
    <w:rsid w:val="00D31CD7"/>
    <w:rsid w:val="00D32291"/>
    <w:rsid w:val="00D3321B"/>
    <w:rsid w:val="00D3346D"/>
    <w:rsid w:val="00D33628"/>
    <w:rsid w:val="00D34582"/>
    <w:rsid w:val="00D3585D"/>
    <w:rsid w:val="00D35C4C"/>
    <w:rsid w:val="00D35CFD"/>
    <w:rsid w:val="00D36BB8"/>
    <w:rsid w:val="00D3770E"/>
    <w:rsid w:val="00D37894"/>
    <w:rsid w:val="00D409B6"/>
    <w:rsid w:val="00D42D67"/>
    <w:rsid w:val="00D4302E"/>
    <w:rsid w:val="00D43332"/>
    <w:rsid w:val="00D435A7"/>
    <w:rsid w:val="00D441F7"/>
    <w:rsid w:val="00D455CE"/>
    <w:rsid w:val="00D46C38"/>
    <w:rsid w:val="00D47287"/>
    <w:rsid w:val="00D47429"/>
    <w:rsid w:val="00D50F43"/>
    <w:rsid w:val="00D5192D"/>
    <w:rsid w:val="00D519B4"/>
    <w:rsid w:val="00D51D1B"/>
    <w:rsid w:val="00D5374A"/>
    <w:rsid w:val="00D55234"/>
    <w:rsid w:val="00D55320"/>
    <w:rsid w:val="00D5750B"/>
    <w:rsid w:val="00D575CC"/>
    <w:rsid w:val="00D577A3"/>
    <w:rsid w:val="00D57DE2"/>
    <w:rsid w:val="00D57F3F"/>
    <w:rsid w:val="00D608F6"/>
    <w:rsid w:val="00D63008"/>
    <w:rsid w:val="00D632CA"/>
    <w:rsid w:val="00D63DE2"/>
    <w:rsid w:val="00D640C8"/>
    <w:rsid w:val="00D65753"/>
    <w:rsid w:val="00D658A8"/>
    <w:rsid w:val="00D65ED7"/>
    <w:rsid w:val="00D6662B"/>
    <w:rsid w:val="00D66BC6"/>
    <w:rsid w:val="00D67A7E"/>
    <w:rsid w:val="00D712B0"/>
    <w:rsid w:val="00D71719"/>
    <w:rsid w:val="00D71768"/>
    <w:rsid w:val="00D72E7B"/>
    <w:rsid w:val="00D731E2"/>
    <w:rsid w:val="00D734FB"/>
    <w:rsid w:val="00D73DEA"/>
    <w:rsid w:val="00D74418"/>
    <w:rsid w:val="00D75462"/>
    <w:rsid w:val="00D761B1"/>
    <w:rsid w:val="00D76E41"/>
    <w:rsid w:val="00D812DB"/>
    <w:rsid w:val="00D8155B"/>
    <w:rsid w:val="00D82F1F"/>
    <w:rsid w:val="00D84CC7"/>
    <w:rsid w:val="00D84ED1"/>
    <w:rsid w:val="00D854B8"/>
    <w:rsid w:val="00D86E93"/>
    <w:rsid w:val="00D871A4"/>
    <w:rsid w:val="00D872E3"/>
    <w:rsid w:val="00D87F6C"/>
    <w:rsid w:val="00D9033D"/>
    <w:rsid w:val="00D90F85"/>
    <w:rsid w:val="00D91641"/>
    <w:rsid w:val="00D91F2F"/>
    <w:rsid w:val="00D927E4"/>
    <w:rsid w:val="00D92813"/>
    <w:rsid w:val="00D9296C"/>
    <w:rsid w:val="00D92E4A"/>
    <w:rsid w:val="00D93B47"/>
    <w:rsid w:val="00D95EC9"/>
    <w:rsid w:val="00D963CE"/>
    <w:rsid w:val="00D96893"/>
    <w:rsid w:val="00D96B43"/>
    <w:rsid w:val="00D97783"/>
    <w:rsid w:val="00D97ED2"/>
    <w:rsid w:val="00DA07AE"/>
    <w:rsid w:val="00DA286D"/>
    <w:rsid w:val="00DA2A21"/>
    <w:rsid w:val="00DA314B"/>
    <w:rsid w:val="00DA353D"/>
    <w:rsid w:val="00DA3AF0"/>
    <w:rsid w:val="00DA50C1"/>
    <w:rsid w:val="00DA61FD"/>
    <w:rsid w:val="00DA64D4"/>
    <w:rsid w:val="00DA7017"/>
    <w:rsid w:val="00DA75E5"/>
    <w:rsid w:val="00DB09D0"/>
    <w:rsid w:val="00DB1420"/>
    <w:rsid w:val="00DB1839"/>
    <w:rsid w:val="00DB1EBD"/>
    <w:rsid w:val="00DB2600"/>
    <w:rsid w:val="00DB2D92"/>
    <w:rsid w:val="00DB2FFC"/>
    <w:rsid w:val="00DB3C77"/>
    <w:rsid w:val="00DB577E"/>
    <w:rsid w:val="00DB5871"/>
    <w:rsid w:val="00DB5D5E"/>
    <w:rsid w:val="00DB734F"/>
    <w:rsid w:val="00DB7C06"/>
    <w:rsid w:val="00DC081B"/>
    <w:rsid w:val="00DC0B29"/>
    <w:rsid w:val="00DC2E7D"/>
    <w:rsid w:val="00DC3713"/>
    <w:rsid w:val="00DC4D92"/>
    <w:rsid w:val="00DC4E43"/>
    <w:rsid w:val="00DC5698"/>
    <w:rsid w:val="00DC65EA"/>
    <w:rsid w:val="00DD01CF"/>
    <w:rsid w:val="00DD1640"/>
    <w:rsid w:val="00DD33D8"/>
    <w:rsid w:val="00DD34D9"/>
    <w:rsid w:val="00DD3BA3"/>
    <w:rsid w:val="00DD50BE"/>
    <w:rsid w:val="00DD58D5"/>
    <w:rsid w:val="00DD6081"/>
    <w:rsid w:val="00DD64CF"/>
    <w:rsid w:val="00DD720B"/>
    <w:rsid w:val="00DD78E4"/>
    <w:rsid w:val="00DD7BB8"/>
    <w:rsid w:val="00DE070C"/>
    <w:rsid w:val="00DE18AD"/>
    <w:rsid w:val="00DE207F"/>
    <w:rsid w:val="00DE238F"/>
    <w:rsid w:val="00DE341B"/>
    <w:rsid w:val="00DE3A74"/>
    <w:rsid w:val="00DE3D4D"/>
    <w:rsid w:val="00DE6119"/>
    <w:rsid w:val="00DE6472"/>
    <w:rsid w:val="00DE655F"/>
    <w:rsid w:val="00DE6A6D"/>
    <w:rsid w:val="00DE7A8B"/>
    <w:rsid w:val="00DE7F16"/>
    <w:rsid w:val="00DF1A3A"/>
    <w:rsid w:val="00DF234C"/>
    <w:rsid w:val="00DF313B"/>
    <w:rsid w:val="00DF36AB"/>
    <w:rsid w:val="00DF45D1"/>
    <w:rsid w:val="00DF4771"/>
    <w:rsid w:val="00DF4D05"/>
    <w:rsid w:val="00DF4E9F"/>
    <w:rsid w:val="00DF53D3"/>
    <w:rsid w:val="00DF5B9F"/>
    <w:rsid w:val="00DF651D"/>
    <w:rsid w:val="00DF65B2"/>
    <w:rsid w:val="00DF6CA0"/>
    <w:rsid w:val="00DF74A1"/>
    <w:rsid w:val="00DF7E43"/>
    <w:rsid w:val="00E000A5"/>
    <w:rsid w:val="00E00F81"/>
    <w:rsid w:val="00E00F99"/>
    <w:rsid w:val="00E013E1"/>
    <w:rsid w:val="00E02D6E"/>
    <w:rsid w:val="00E0324E"/>
    <w:rsid w:val="00E03E07"/>
    <w:rsid w:val="00E057A8"/>
    <w:rsid w:val="00E05D00"/>
    <w:rsid w:val="00E060BA"/>
    <w:rsid w:val="00E07155"/>
    <w:rsid w:val="00E07CB5"/>
    <w:rsid w:val="00E1095B"/>
    <w:rsid w:val="00E10C72"/>
    <w:rsid w:val="00E11176"/>
    <w:rsid w:val="00E11925"/>
    <w:rsid w:val="00E11CE8"/>
    <w:rsid w:val="00E12894"/>
    <w:rsid w:val="00E1308F"/>
    <w:rsid w:val="00E1331C"/>
    <w:rsid w:val="00E14754"/>
    <w:rsid w:val="00E14E26"/>
    <w:rsid w:val="00E158B8"/>
    <w:rsid w:val="00E15E0E"/>
    <w:rsid w:val="00E17DA6"/>
    <w:rsid w:val="00E20D19"/>
    <w:rsid w:val="00E212A8"/>
    <w:rsid w:val="00E21831"/>
    <w:rsid w:val="00E21B54"/>
    <w:rsid w:val="00E21F15"/>
    <w:rsid w:val="00E22777"/>
    <w:rsid w:val="00E22F3A"/>
    <w:rsid w:val="00E23B81"/>
    <w:rsid w:val="00E2406E"/>
    <w:rsid w:val="00E24D28"/>
    <w:rsid w:val="00E25834"/>
    <w:rsid w:val="00E2651A"/>
    <w:rsid w:val="00E278A1"/>
    <w:rsid w:val="00E303B3"/>
    <w:rsid w:val="00E3110A"/>
    <w:rsid w:val="00E3140C"/>
    <w:rsid w:val="00E315D4"/>
    <w:rsid w:val="00E3189A"/>
    <w:rsid w:val="00E31C89"/>
    <w:rsid w:val="00E32E88"/>
    <w:rsid w:val="00E33032"/>
    <w:rsid w:val="00E359C3"/>
    <w:rsid w:val="00E3623E"/>
    <w:rsid w:val="00E3677D"/>
    <w:rsid w:val="00E36E74"/>
    <w:rsid w:val="00E36ECA"/>
    <w:rsid w:val="00E37036"/>
    <w:rsid w:val="00E40141"/>
    <w:rsid w:val="00E4159E"/>
    <w:rsid w:val="00E41865"/>
    <w:rsid w:val="00E42DB3"/>
    <w:rsid w:val="00E4363E"/>
    <w:rsid w:val="00E4397B"/>
    <w:rsid w:val="00E43F0C"/>
    <w:rsid w:val="00E44017"/>
    <w:rsid w:val="00E45743"/>
    <w:rsid w:val="00E46126"/>
    <w:rsid w:val="00E466C1"/>
    <w:rsid w:val="00E4684C"/>
    <w:rsid w:val="00E470B0"/>
    <w:rsid w:val="00E5029D"/>
    <w:rsid w:val="00E51AB7"/>
    <w:rsid w:val="00E52787"/>
    <w:rsid w:val="00E53F22"/>
    <w:rsid w:val="00E546FE"/>
    <w:rsid w:val="00E55D46"/>
    <w:rsid w:val="00E566FC"/>
    <w:rsid w:val="00E56F00"/>
    <w:rsid w:val="00E56FA4"/>
    <w:rsid w:val="00E5706A"/>
    <w:rsid w:val="00E61585"/>
    <w:rsid w:val="00E6202B"/>
    <w:rsid w:val="00E63172"/>
    <w:rsid w:val="00E631C9"/>
    <w:rsid w:val="00E63F17"/>
    <w:rsid w:val="00E64345"/>
    <w:rsid w:val="00E64E45"/>
    <w:rsid w:val="00E653A2"/>
    <w:rsid w:val="00E6555A"/>
    <w:rsid w:val="00E66C06"/>
    <w:rsid w:val="00E66F4E"/>
    <w:rsid w:val="00E6732A"/>
    <w:rsid w:val="00E67455"/>
    <w:rsid w:val="00E67ECB"/>
    <w:rsid w:val="00E70B39"/>
    <w:rsid w:val="00E70E5B"/>
    <w:rsid w:val="00E710AB"/>
    <w:rsid w:val="00E714C5"/>
    <w:rsid w:val="00E716F3"/>
    <w:rsid w:val="00E71B07"/>
    <w:rsid w:val="00E72B21"/>
    <w:rsid w:val="00E74B51"/>
    <w:rsid w:val="00E755B5"/>
    <w:rsid w:val="00E75F54"/>
    <w:rsid w:val="00E762C4"/>
    <w:rsid w:val="00E779FC"/>
    <w:rsid w:val="00E809D9"/>
    <w:rsid w:val="00E80C6F"/>
    <w:rsid w:val="00E81223"/>
    <w:rsid w:val="00E81F73"/>
    <w:rsid w:val="00E822E6"/>
    <w:rsid w:val="00E8277C"/>
    <w:rsid w:val="00E82AB7"/>
    <w:rsid w:val="00E842BF"/>
    <w:rsid w:val="00E844B0"/>
    <w:rsid w:val="00E8469C"/>
    <w:rsid w:val="00E849E2"/>
    <w:rsid w:val="00E84EE9"/>
    <w:rsid w:val="00E8543D"/>
    <w:rsid w:val="00E85C50"/>
    <w:rsid w:val="00E86745"/>
    <w:rsid w:val="00E877EA"/>
    <w:rsid w:val="00E90758"/>
    <w:rsid w:val="00E92595"/>
    <w:rsid w:val="00E93B63"/>
    <w:rsid w:val="00E94522"/>
    <w:rsid w:val="00E9476D"/>
    <w:rsid w:val="00E94A72"/>
    <w:rsid w:val="00E95191"/>
    <w:rsid w:val="00E9565E"/>
    <w:rsid w:val="00E95CEF"/>
    <w:rsid w:val="00E961F7"/>
    <w:rsid w:val="00E968C5"/>
    <w:rsid w:val="00E969BD"/>
    <w:rsid w:val="00E96A43"/>
    <w:rsid w:val="00E96D9A"/>
    <w:rsid w:val="00E979D7"/>
    <w:rsid w:val="00E97DDE"/>
    <w:rsid w:val="00E97EDC"/>
    <w:rsid w:val="00EA03FD"/>
    <w:rsid w:val="00EA0F09"/>
    <w:rsid w:val="00EA1F3A"/>
    <w:rsid w:val="00EA37FF"/>
    <w:rsid w:val="00EA3877"/>
    <w:rsid w:val="00EA3B00"/>
    <w:rsid w:val="00EA3DD0"/>
    <w:rsid w:val="00EA4AB7"/>
    <w:rsid w:val="00EA50A2"/>
    <w:rsid w:val="00EA521A"/>
    <w:rsid w:val="00EA58B2"/>
    <w:rsid w:val="00EA5CCD"/>
    <w:rsid w:val="00EA68DA"/>
    <w:rsid w:val="00EA690B"/>
    <w:rsid w:val="00EA6B40"/>
    <w:rsid w:val="00EA7A19"/>
    <w:rsid w:val="00EB1202"/>
    <w:rsid w:val="00EB1995"/>
    <w:rsid w:val="00EB1A0E"/>
    <w:rsid w:val="00EB2E7E"/>
    <w:rsid w:val="00EB3840"/>
    <w:rsid w:val="00EB4555"/>
    <w:rsid w:val="00EB58A9"/>
    <w:rsid w:val="00EB705A"/>
    <w:rsid w:val="00EB7EA9"/>
    <w:rsid w:val="00EC13F3"/>
    <w:rsid w:val="00EC1E77"/>
    <w:rsid w:val="00EC2868"/>
    <w:rsid w:val="00EC442D"/>
    <w:rsid w:val="00EC4B3B"/>
    <w:rsid w:val="00EC63D1"/>
    <w:rsid w:val="00EC6675"/>
    <w:rsid w:val="00EC689E"/>
    <w:rsid w:val="00EC6C6A"/>
    <w:rsid w:val="00EC6FEB"/>
    <w:rsid w:val="00EC733D"/>
    <w:rsid w:val="00ED0BBD"/>
    <w:rsid w:val="00ED19C9"/>
    <w:rsid w:val="00ED242E"/>
    <w:rsid w:val="00ED282C"/>
    <w:rsid w:val="00ED2E82"/>
    <w:rsid w:val="00ED38C8"/>
    <w:rsid w:val="00ED4171"/>
    <w:rsid w:val="00ED4475"/>
    <w:rsid w:val="00ED53A4"/>
    <w:rsid w:val="00ED5D07"/>
    <w:rsid w:val="00ED6197"/>
    <w:rsid w:val="00ED6716"/>
    <w:rsid w:val="00ED6C8B"/>
    <w:rsid w:val="00ED6E99"/>
    <w:rsid w:val="00ED7922"/>
    <w:rsid w:val="00ED7B3B"/>
    <w:rsid w:val="00EE0D20"/>
    <w:rsid w:val="00EE104B"/>
    <w:rsid w:val="00EE1837"/>
    <w:rsid w:val="00EE1A7B"/>
    <w:rsid w:val="00EE1FCB"/>
    <w:rsid w:val="00EE1FDA"/>
    <w:rsid w:val="00EE27BA"/>
    <w:rsid w:val="00EE32DE"/>
    <w:rsid w:val="00EE4B3F"/>
    <w:rsid w:val="00EE681E"/>
    <w:rsid w:val="00EF084E"/>
    <w:rsid w:val="00EF0979"/>
    <w:rsid w:val="00EF11E9"/>
    <w:rsid w:val="00EF2295"/>
    <w:rsid w:val="00EF2AF1"/>
    <w:rsid w:val="00EF2F2E"/>
    <w:rsid w:val="00EF3814"/>
    <w:rsid w:val="00EF39E0"/>
    <w:rsid w:val="00EF3A0D"/>
    <w:rsid w:val="00EF3F60"/>
    <w:rsid w:val="00EF48BD"/>
    <w:rsid w:val="00EF5FBF"/>
    <w:rsid w:val="00EF6100"/>
    <w:rsid w:val="00EF6981"/>
    <w:rsid w:val="00F02018"/>
    <w:rsid w:val="00F02A71"/>
    <w:rsid w:val="00F02C3F"/>
    <w:rsid w:val="00F02CAA"/>
    <w:rsid w:val="00F04F95"/>
    <w:rsid w:val="00F05BF4"/>
    <w:rsid w:val="00F06536"/>
    <w:rsid w:val="00F07760"/>
    <w:rsid w:val="00F102D4"/>
    <w:rsid w:val="00F10457"/>
    <w:rsid w:val="00F10999"/>
    <w:rsid w:val="00F10F47"/>
    <w:rsid w:val="00F11188"/>
    <w:rsid w:val="00F1138F"/>
    <w:rsid w:val="00F121CD"/>
    <w:rsid w:val="00F12B9E"/>
    <w:rsid w:val="00F12D4D"/>
    <w:rsid w:val="00F1420C"/>
    <w:rsid w:val="00F16DBE"/>
    <w:rsid w:val="00F1709F"/>
    <w:rsid w:val="00F1753B"/>
    <w:rsid w:val="00F17935"/>
    <w:rsid w:val="00F2036E"/>
    <w:rsid w:val="00F20541"/>
    <w:rsid w:val="00F21C19"/>
    <w:rsid w:val="00F22DC8"/>
    <w:rsid w:val="00F22F43"/>
    <w:rsid w:val="00F2353B"/>
    <w:rsid w:val="00F23AB8"/>
    <w:rsid w:val="00F24452"/>
    <w:rsid w:val="00F25167"/>
    <w:rsid w:val="00F25491"/>
    <w:rsid w:val="00F2736D"/>
    <w:rsid w:val="00F27673"/>
    <w:rsid w:val="00F30258"/>
    <w:rsid w:val="00F30C48"/>
    <w:rsid w:val="00F31B7B"/>
    <w:rsid w:val="00F323E1"/>
    <w:rsid w:val="00F32CC7"/>
    <w:rsid w:val="00F32FA6"/>
    <w:rsid w:val="00F330B0"/>
    <w:rsid w:val="00F33434"/>
    <w:rsid w:val="00F334A3"/>
    <w:rsid w:val="00F3445A"/>
    <w:rsid w:val="00F35CD6"/>
    <w:rsid w:val="00F3638D"/>
    <w:rsid w:val="00F36407"/>
    <w:rsid w:val="00F36A46"/>
    <w:rsid w:val="00F37ABE"/>
    <w:rsid w:val="00F40967"/>
    <w:rsid w:val="00F4166C"/>
    <w:rsid w:val="00F41C0B"/>
    <w:rsid w:val="00F42271"/>
    <w:rsid w:val="00F429AC"/>
    <w:rsid w:val="00F43F7D"/>
    <w:rsid w:val="00F440BE"/>
    <w:rsid w:val="00F44930"/>
    <w:rsid w:val="00F44FE5"/>
    <w:rsid w:val="00F4572C"/>
    <w:rsid w:val="00F45C1D"/>
    <w:rsid w:val="00F470D1"/>
    <w:rsid w:val="00F476B4"/>
    <w:rsid w:val="00F5027F"/>
    <w:rsid w:val="00F50895"/>
    <w:rsid w:val="00F5186C"/>
    <w:rsid w:val="00F53659"/>
    <w:rsid w:val="00F542EC"/>
    <w:rsid w:val="00F55129"/>
    <w:rsid w:val="00F566D3"/>
    <w:rsid w:val="00F5675E"/>
    <w:rsid w:val="00F5753C"/>
    <w:rsid w:val="00F57AE2"/>
    <w:rsid w:val="00F60093"/>
    <w:rsid w:val="00F603B8"/>
    <w:rsid w:val="00F60CEE"/>
    <w:rsid w:val="00F6121A"/>
    <w:rsid w:val="00F61A9D"/>
    <w:rsid w:val="00F61B96"/>
    <w:rsid w:val="00F6264E"/>
    <w:rsid w:val="00F62BFE"/>
    <w:rsid w:val="00F6532E"/>
    <w:rsid w:val="00F6544E"/>
    <w:rsid w:val="00F67877"/>
    <w:rsid w:val="00F71696"/>
    <w:rsid w:val="00F729E4"/>
    <w:rsid w:val="00F72AA6"/>
    <w:rsid w:val="00F73F3E"/>
    <w:rsid w:val="00F742E8"/>
    <w:rsid w:val="00F743C6"/>
    <w:rsid w:val="00F7465D"/>
    <w:rsid w:val="00F7669A"/>
    <w:rsid w:val="00F76D86"/>
    <w:rsid w:val="00F76F46"/>
    <w:rsid w:val="00F77728"/>
    <w:rsid w:val="00F80290"/>
    <w:rsid w:val="00F81CB6"/>
    <w:rsid w:val="00F8288A"/>
    <w:rsid w:val="00F832B6"/>
    <w:rsid w:val="00F842AE"/>
    <w:rsid w:val="00F84C4C"/>
    <w:rsid w:val="00F850E7"/>
    <w:rsid w:val="00F85B7C"/>
    <w:rsid w:val="00F8647A"/>
    <w:rsid w:val="00F86B99"/>
    <w:rsid w:val="00F872F8"/>
    <w:rsid w:val="00F87F4D"/>
    <w:rsid w:val="00F90524"/>
    <w:rsid w:val="00F907CA"/>
    <w:rsid w:val="00F90D1A"/>
    <w:rsid w:val="00F92ADE"/>
    <w:rsid w:val="00F92CB8"/>
    <w:rsid w:val="00F92D84"/>
    <w:rsid w:val="00F9367C"/>
    <w:rsid w:val="00F93F8E"/>
    <w:rsid w:val="00F94856"/>
    <w:rsid w:val="00F94B98"/>
    <w:rsid w:val="00F95086"/>
    <w:rsid w:val="00F95341"/>
    <w:rsid w:val="00F956A9"/>
    <w:rsid w:val="00F9601E"/>
    <w:rsid w:val="00F96115"/>
    <w:rsid w:val="00FA05D0"/>
    <w:rsid w:val="00FA249B"/>
    <w:rsid w:val="00FA28A0"/>
    <w:rsid w:val="00FA4F63"/>
    <w:rsid w:val="00FA640C"/>
    <w:rsid w:val="00FA75E4"/>
    <w:rsid w:val="00FB13CE"/>
    <w:rsid w:val="00FB3013"/>
    <w:rsid w:val="00FB3253"/>
    <w:rsid w:val="00FB3303"/>
    <w:rsid w:val="00FB3621"/>
    <w:rsid w:val="00FB38C7"/>
    <w:rsid w:val="00FB38FD"/>
    <w:rsid w:val="00FB3A03"/>
    <w:rsid w:val="00FB43B5"/>
    <w:rsid w:val="00FB4570"/>
    <w:rsid w:val="00FB5250"/>
    <w:rsid w:val="00FB5440"/>
    <w:rsid w:val="00FB5809"/>
    <w:rsid w:val="00FB63D6"/>
    <w:rsid w:val="00FB6795"/>
    <w:rsid w:val="00FB69FC"/>
    <w:rsid w:val="00FB7274"/>
    <w:rsid w:val="00FB77A2"/>
    <w:rsid w:val="00FB7E68"/>
    <w:rsid w:val="00FC034D"/>
    <w:rsid w:val="00FC1ECA"/>
    <w:rsid w:val="00FC211F"/>
    <w:rsid w:val="00FC318B"/>
    <w:rsid w:val="00FC34E3"/>
    <w:rsid w:val="00FC3C35"/>
    <w:rsid w:val="00FC4C1A"/>
    <w:rsid w:val="00FC4DC4"/>
    <w:rsid w:val="00FC509D"/>
    <w:rsid w:val="00FC5632"/>
    <w:rsid w:val="00FC6282"/>
    <w:rsid w:val="00FC6A5B"/>
    <w:rsid w:val="00FD07F0"/>
    <w:rsid w:val="00FD101A"/>
    <w:rsid w:val="00FD12F4"/>
    <w:rsid w:val="00FD2281"/>
    <w:rsid w:val="00FD299B"/>
    <w:rsid w:val="00FD33C6"/>
    <w:rsid w:val="00FD3C5C"/>
    <w:rsid w:val="00FD4093"/>
    <w:rsid w:val="00FD44B9"/>
    <w:rsid w:val="00FD4AFB"/>
    <w:rsid w:val="00FD5B6E"/>
    <w:rsid w:val="00FD6CE0"/>
    <w:rsid w:val="00FD7236"/>
    <w:rsid w:val="00FD7C86"/>
    <w:rsid w:val="00FE087E"/>
    <w:rsid w:val="00FE0BF0"/>
    <w:rsid w:val="00FE0D5E"/>
    <w:rsid w:val="00FE1183"/>
    <w:rsid w:val="00FE136F"/>
    <w:rsid w:val="00FE16FF"/>
    <w:rsid w:val="00FE2B37"/>
    <w:rsid w:val="00FE2C99"/>
    <w:rsid w:val="00FE33F4"/>
    <w:rsid w:val="00FE3549"/>
    <w:rsid w:val="00FE64B2"/>
    <w:rsid w:val="00FE764D"/>
    <w:rsid w:val="00FE7806"/>
    <w:rsid w:val="00FF076E"/>
    <w:rsid w:val="00FF093C"/>
    <w:rsid w:val="00FF0D6A"/>
    <w:rsid w:val="00FF0DD6"/>
    <w:rsid w:val="00FF20C7"/>
    <w:rsid w:val="00FF26AB"/>
    <w:rsid w:val="00FF2891"/>
    <w:rsid w:val="00FF2A8D"/>
    <w:rsid w:val="00FF35C8"/>
    <w:rsid w:val="00FF3891"/>
    <w:rsid w:val="00FF3A52"/>
    <w:rsid w:val="00FF5448"/>
    <w:rsid w:val="00FF606C"/>
    <w:rsid w:val="00FF64FF"/>
    <w:rsid w:val="00FF6737"/>
    <w:rsid w:val="00FF6E70"/>
    <w:rsid w:val="00FF78AB"/>
    <w:rsid w:val="01141165"/>
    <w:rsid w:val="0132165E"/>
    <w:rsid w:val="015C41C0"/>
    <w:rsid w:val="017504EF"/>
    <w:rsid w:val="01773850"/>
    <w:rsid w:val="01A36007"/>
    <w:rsid w:val="01AA6B91"/>
    <w:rsid w:val="01B446F6"/>
    <w:rsid w:val="01CA78BF"/>
    <w:rsid w:val="01D04FB0"/>
    <w:rsid w:val="01D67895"/>
    <w:rsid w:val="01EC24F0"/>
    <w:rsid w:val="01F03070"/>
    <w:rsid w:val="01F36FCC"/>
    <w:rsid w:val="020B15E2"/>
    <w:rsid w:val="02255EEF"/>
    <w:rsid w:val="02304B14"/>
    <w:rsid w:val="027B3E8B"/>
    <w:rsid w:val="027E6390"/>
    <w:rsid w:val="02805D9F"/>
    <w:rsid w:val="0282550E"/>
    <w:rsid w:val="029A1300"/>
    <w:rsid w:val="029A58F6"/>
    <w:rsid w:val="02A93205"/>
    <w:rsid w:val="02BE192E"/>
    <w:rsid w:val="02C9429A"/>
    <w:rsid w:val="02D05D23"/>
    <w:rsid w:val="02E33824"/>
    <w:rsid w:val="02E41D10"/>
    <w:rsid w:val="02E74900"/>
    <w:rsid w:val="02F53218"/>
    <w:rsid w:val="02F71735"/>
    <w:rsid w:val="02FF6A15"/>
    <w:rsid w:val="030328F7"/>
    <w:rsid w:val="030F7B68"/>
    <w:rsid w:val="03196435"/>
    <w:rsid w:val="032F1CDA"/>
    <w:rsid w:val="032F2336"/>
    <w:rsid w:val="03460B08"/>
    <w:rsid w:val="039E6044"/>
    <w:rsid w:val="03A54A96"/>
    <w:rsid w:val="03A7287E"/>
    <w:rsid w:val="03AC1AC9"/>
    <w:rsid w:val="03DD441F"/>
    <w:rsid w:val="03E47307"/>
    <w:rsid w:val="03FF3147"/>
    <w:rsid w:val="04084C1E"/>
    <w:rsid w:val="04105CA1"/>
    <w:rsid w:val="04274F6C"/>
    <w:rsid w:val="0432215C"/>
    <w:rsid w:val="04561CA4"/>
    <w:rsid w:val="045F1621"/>
    <w:rsid w:val="046057CC"/>
    <w:rsid w:val="04663419"/>
    <w:rsid w:val="047A32A7"/>
    <w:rsid w:val="0480065E"/>
    <w:rsid w:val="0482726E"/>
    <w:rsid w:val="048E7A52"/>
    <w:rsid w:val="049C572C"/>
    <w:rsid w:val="04A21DD8"/>
    <w:rsid w:val="04AB0032"/>
    <w:rsid w:val="04C36310"/>
    <w:rsid w:val="04C42EA2"/>
    <w:rsid w:val="05085D8E"/>
    <w:rsid w:val="050B309E"/>
    <w:rsid w:val="050D4048"/>
    <w:rsid w:val="05120BFA"/>
    <w:rsid w:val="051A0D14"/>
    <w:rsid w:val="05344298"/>
    <w:rsid w:val="053C7445"/>
    <w:rsid w:val="054A1402"/>
    <w:rsid w:val="055118A4"/>
    <w:rsid w:val="055C62DC"/>
    <w:rsid w:val="055D039B"/>
    <w:rsid w:val="05703739"/>
    <w:rsid w:val="05736E9F"/>
    <w:rsid w:val="05795874"/>
    <w:rsid w:val="057B1E71"/>
    <w:rsid w:val="057C5689"/>
    <w:rsid w:val="05895BD8"/>
    <w:rsid w:val="058A40EC"/>
    <w:rsid w:val="05C5154F"/>
    <w:rsid w:val="05CC0260"/>
    <w:rsid w:val="062E122E"/>
    <w:rsid w:val="063311C0"/>
    <w:rsid w:val="06363842"/>
    <w:rsid w:val="063A0531"/>
    <w:rsid w:val="065C502A"/>
    <w:rsid w:val="06604958"/>
    <w:rsid w:val="06614229"/>
    <w:rsid w:val="06755D79"/>
    <w:rsid w:val="06760C81"/>
    <w:rsid w:val="067C0AF3"/>
    <w:rsid w:val="0691746B"/>
    <w:rsid w:val="06A0349B"/>
    <w:rsid w:val="06A13F31"/>
    <w:rsid w:val="06A978C4"/>
    <w:rsid w:val="06AC6774"/>
    <w:rsid w:val="06B1480E"/>
    <w:rsid w:val="06C842A1"/>
    <w:rsid w:val="06DA5CE2"/>
    <w:rsid w:val="07004177"/>
    <w:rsid w:val="07064D0C"/>
    <w:rsid w:val="070D42AC"/>
    <w:rsid w:val="07445515"/>
    <w:rsid w:val="07463BA1"/>
    <w:rsid w:val="074B0422"/>
    <w:rsid w:val="075E2602"/>
    <w:rsid w:val="07764EF8"/>
    <w:rsid w:val="077D644C"/>
    <w:rsid w:val="077F3561"/>
    <w:rsid w:val="078768CA"/>
    <w:rsid w:val="07AF7E3A"/>
    <w:rsid w:val="07B36330"/>
    <w:rsid w:val="07B90609"/>
    <w:rsid w:val="07BB62EA"/>
    <w:rsid w:val="07C05FBE"/>
    <w:rsid w:val="07C84092"/>
    <w:rsid w:val="07D02386"/>
    <w:rsid w:val="07D13B6D"/>
    <w:rsid w:val="07D607B4"/>
    <w:rsid w:val="07DC60FC"/>
    <w:rsid w:val="07FB7C6F"/>
    <w:rsid w:val="08113CC6"/>
    <w:rsid w:val="08227A65"/>
    <w:rsid w:val="08337E2C"/>
    <w:rsid w:val="08475346"/>
    <w:rsid w:val="08512554"/>
    <w:rsid w:val="08517051"/>
    <w:rsid w:val="08696902"/>
    <w:rsid w:val="08716E9D"/>
    <w:rsid w:val="08756C95"/>
    <w:rsid w:val="087A28BD"/>
    <w:rsid w:val="08825E7E"/>
    <w:rsid w:val="08836E5A"/>
    <w:rsid w:val="08A1068D"/>
    <w:rsid w:val="08AF1E02"/>
    <w:rsid w:val="08B36D85"/>
    <w:rsid w:val="08BD03D6"/>
    <w:rsid w:val="08C03E35"/>
    <w:rsid w:val="08C03EB4"/>
    <w:rsid w:val="08C90727"/>
    <w:rsid w:val="08D862EE"/>
    <w:rsid w:val="08D91DF4"/>
    <w:rsid w:val="08DA56C7"/>
    <w:rsid w:val="08F60FE0"/>
    <w:rsid w:val="08F76479"/>
    <w:rsid w:val="091D6A85"/>
    <w:rsid w:val="091E3C7B"/>
    <w:rsid w:val="09492EB1"/>
    <w:rsid w:val="096C34A6"/>
    <w:rsid w:val="09811EE5"/>
    <w:rsid w:val="09843FB8"/>
    <w:rsid w:val="099214A8"/>
    <w:rsid w:val="0992721C"/>
    <w:rsid w:val="0995305F"/>
    <w:rsid w:val="09AC25DA"/>
    <w:rsid w:val="09E50AC0"/>
    <w:rsid w:val="09E80071"/>
    <w:rsid w:val="09F514E6"/>
    <w:rsid w:val="09F76A1E"/>
    <w:rsid w:val="09FF59FD"/>
    <w:rsid w:val="0A420D98"/>
    <w:rsid w:val="0A4A0517"/>
    <w:rsid w:val="0A5B7E05"/>
    <w:rsid w:val="0A5F5778"/>
    <w:rsid w:val="0A6D18E6"/>
    <w:rsid w:val="0A817597"/>
    <w:rsid w:val="0A862400"/>
    <w:rsid w:val="0A8F7AAE"/>
    <w:rsid w:val="0A99205D"/>
    <w:rsid w:val="0AA45992"/>
    <w:rsid w:val="0AA870FF"/>
    <w:rsid w:val="0AAA4ABF"/>
    <w:rsid w:val="0AB24B17"/>
    <w:rsid w:val="0AB47E6B"/>
    <w:rsid w:val="0AB86ABD"/>
    <w:rsid w:val="0ABC15C4"/>
    <w:rsid w:val="0ABD47AF"/>
    <w:rsid w:val="0ABF2822"/>
    <w:rsid w:val="0AC65CFA"/>
    <w:rsid w:val="0ACB13AF"/>
    <w:rsid w:val="0AD05250"/>
    <w:rsid w:val="0ADC5EF2"/>
    <w:rsid w:val="0AE151C3"/>
    <w:rsid w:val="0AF1174B"/>
    <w:rsid w:val="0AF21656"/>
    <w:rsid w:val="0B170464"/>
    <w:rsid w:val="0B210661"/>
    <w:rsid w:val="0B3279FA"/>
    <w:rsid w:val="0B3C0BDE"/>
    <w:rsid w:val="0B46776D"/>
    <w:rsid w:val="0B536D2E"/>
    <w:rsid w:val="0B5A21E3"/>
    <w:rsid w:val="0B786278"/>
    <w:rsid w:val="0B7A6BEF"/>
    <w:rsid w:val="0B931C03"/>
    <w:rsid w:val="0B952492"/>
    <w:rsid w:val="0BAD17A5"/>
    <w:rsid w:val="0BB23769"/>
    <w:rsid w:val="0BB368F1"/>
    <w:rsid w:val="0BD350EC"/>
    <w:rsid w:val="0BD44010"/>
    <w:rsid w:val="0BE51527"/>
    <w:rsid w:val="0BEF6A3B"/>
    <w:rsid w:val="0BFC1847"/>
    <w:rsid w:val="0C000C51"/>
    <w:rsid w:val="0C047BFC"/>
    <w:rsid w:val="0C0A4F23"/>
    <w:rsid w:val="0C0B1A52"/>
    <w:rsid w:val="0C130483"/>
    <w:rsid w:val="0C2511C7"/>
    <w:rsid w:val="0C3F1504"/>
    <w:rsid w:val="0C440FC8"/>
    <w:rsid w:val="0C47757A"/>
    <w:rsid w:val="0C550ADC"/>
    <w:rsid w:val="0C690FD1"/>
    <w:rsid w:val="0C6953E6"/>
    <w:rsid w:val="0C786BAB"/>
    <w:rsid w:val="0C7B2A81"/>
    <w:rsid w:val="0C847036"/>
    <w:rsid w:val="0CA7759A"/>
    <w:rsid w:val="0CC75566"/>
    <w:rsid w:val="0CD26D54"/>
    <w:rsid w:val="0CF23BD7"/>
    <w:rsid w:val="0CFD78F0"/>
    <w:rsid w:val="0D0523BC"/>
    <w:rsid w:val="0D16364C"/>
    <w:rsid w:val="0D2B2717"/>
    <w:rsid w:val="0D4A0E38"/>
    <w:rsid w:val="0D533015"/>
    <w:rsid w:val="0D642A0D"/>
    <w:rsid w:val="0D652CF1"/>
    <w:rsid w:val="0D670D2D"/>
    <w:rsid w:val="0D6B3B96"/>
    <w:rsid w:val="0D6F4892"/>
    <w:rsid w:val="0D797E02"/>
    <w:rsid w:val="0DB0642F"/>
    <w:rsid w:val="0DB11628"/>
    <w:rsid w:val="0DBD4B03"/>
    <w:rsid w:val="0DD8176C"/>
    <w:rsid w:val="0DE469DA"/>
    <w:rsid w:val="0DE95727"/>
    <w:rsid w:val="0DEF1A08"/>
    <w:rsid w:val="0DF27B59"/>
    <w:rsid w:val="0E232687"/>
    <w:rsid w:val="0E2B4287"/>
    <w:rsid w:val="0E381887"/>
    <w:rsid w:val="0E497EAD"/>
    <w:rsid w:val="0E576326"/>
    <w:rsid w:val="0E5914C3"/>
    <w:rsid w:val="0E5D666D"/>
    <w:rsid w:val="0E6F7D32"/>
    <w:rsid w:val="0E8A7452"/>
    <w:rsid w:val="0E9334A4"/>
    <w:rsid w:val="0E944F35"/>
    <w:rsid w:val="0E9A72AC"/>
    <w:rsid w:val="0E9A7C47"/>
    <w:rsid w:val="0E9B2EC6"/>
    <w:rsid w:val="0E9E2C54"/>
    <w:rsid w:val="0EA14E06"/>
    <w:rsid w:val="0EA8581B"/>
    <w:rsid w:val="0EAB551A"/>
    <w:rsid w:val="0ECA2AB9"/>
    <w:rsid w:val="0EE924E5"/>
    <w:rsid w:val="0EF23211"/>
    <w:rsid w:val="0EF6630C"/>
    <w:rsid w:val="0EF97BEC"/>
    <w:rsid w:val="0EFB26A4"/>
    <w:rsid w:val="0F192B9A"/>
    <w:rsid w:val="0F2850C3"/>
    <w:rsid w:val="0F2F1860"/>
    <w:rsid w:val="0F39240B"/>
    <w:rsid w:val="0F3A19A5"/>
    <w:rsid w:val="0F6901C8"/>
    <w:rsid w:val="0F841BAC"/>
    <w:rsid w:val="0F845128"/>
    <w:rsid w:val="0F8A32C0"/>
    <w:rsid w:val="0F99444A"/>
    <w:rsid w:val="0F9B0ACB"/>
    <w:rsid w:val="0F9E002A"/>
    <w:rsid w:val="0FCD7BCA"/>
    <w:rsid w:val="0FD00E15"/>
    <w:rsid w:val="0FE228AC"/>
    <w:rsid w:val="0FE85C8F"/>
    <w:rsid w:val="0FEB7532"/>
    <w:rsid w:val="0FEF451E"/>
    <w:rsid w:val="10196590"/>
    <w:rsid w:val="10295F53"/>
    <w:rsid w:val="102A14B0"/>
    <w:rsid w:val="102F5C71"/>
    <w:rsid w:val="103304DE"/>
    <w:rsid w:val="10361CF1"/>
    <w:rsid w:val="10493DD6"/>
    <w:rsid w:val="104E5D16"/>
    <w:rsid w:val="105E4478"/>
    <w:rsid w:val="10847F78"/>
    <w:rsid w:val="10913255"/>
    <w:rsid w:val="10924645"/>
    <w:rsid w:val="10CB410E"/>
    <w:rsid w:val="10D27B7E"/>
    <w:rsid w:val="10E367E0"/>
    <w:rsid w:val="10E44422"/>
    <w:rsid w:val="10E50428"/>
    <w:rsid w:val="10E625BB"/>
    <w:rsid w:val="10E76AC2"/>
    <w:rsid w:val="10E80D08"/>
    <w:rsid w:val="10EA428D"/>
    <w:rsid w:val="11052C91"/>
    <w:rsid w:val="11090305"/>
    <w:rsid w:val="112A1A53"/>
    <w:rsid w:val="112A6783"/>
    <w:rsid w:val="112D55A1"/>
    <w:rsid w:val="11423101"/>
    <w:rsid w:val="115B24FE"/>
    <w:rsid w:val="116D4217"/>
    <w:rsid w:val="11897CE1"/>
    <w:rsid w:val="118F398A"/>
    <w:rsid w:val="11A110D7"/>
    <w:rsid w:val="11B36379"/>
    <w:rsid w:val="11D5049D"/>
    <w:rsid w:val="11E41B99"/>
    <w:rsid w:val="11EE32A3"/>
    <w:rsid w:val="11FD33F0"/>
    <w:rsid w:val="1205605D"/>
    <w:rsid w:val="121027EE"/>
    <w:rsid w:val="12140309"/>
    <w:rsid w:val="12185E9D"/>
    <w:rsid w:val="12244F80"/>
    <w:rsid w:val="12426AFC"/>
    <w:rsid w:val="12476978"/>
    <w:rsid w:val="125216AD"/>
    <w:rsid w:val="125D7C0A"/>
    <w:rsid w:val="12654B59"/>
    <w:rsid w:val="12684033"/>
    <w:rsid w:val="127A2DC6"/>
    <w:rsid w:val="12881353"/>
    <w:rsid w:val="128D755F"/>
    <w:rsid w:val="12946C0A"/>
    <w:rsid w:val="12990B7B"/>
    <w:rsid w:val="12A05D07"/>
    <w:rsid w:val="12A077D2"/>
    <w:rsid w:val="12A4622F"/>
    <w:rsid w:val="12A92B49"/>
    <w:rsid w:val="12B51523"/>
    <w:rsid w:val="12BE53D5"/>
    <w:rsid w:val="12DA78E0"/>
    <w:rsid w:val="12DD7B10"/>
    <w:rsid w:val="12EA3553"/>
    <w:rsid w:val="12F04D8C"/>
    <w:rsid w:val="1307555D"/>
    <w:rsid w:val="130B7E0F"/>
    <w:rsid w:val="1318763B"/>
    <w:rsid w:val="131C31E9"/>
    <w:rsid w:val="131D7147"/>
    <w:rsid w:val="13284826"/>
    <w:rsid w:val="13392A06"/>
    <w:rsid w:val="133A011B"/>
    <w:rsid w:val="134274F4"/>
    <w:rsid w:val="136A71C5"/>
    <w:rsid w:val="13827575"/>
    <w:rsid w:val="138B126A"/>
    <w:rsid w:val="139D6BB0"/>
    <w:rsid w:val="13AF5923"/>
    <w:rsid w:val="13BF34FC"/>
    <w:rsid w:val="13C57D6A"/>
    <w:rsid w:val="13D51A24"/>
    <w:rsid w:val="13E913E3"/>
    <w:rsid w:val="13FA243C"/>
    <w:rsid w:val="140B612B"/>
    <w:rsid w:val="14133828"/>
    <w:rsid w:val="1424570B"/>
    <w:rsid w:val="142A3645"/>
    <w:rsid w:val="14373691"/>
    <w:rsid w:val="14384D10"/>
    <w:rsid w:val="1441750B"/>
    <w:rsid w:val="1442504C"/>
    <w:rsid w:val="146F38E4"/>
    <w:rsid w:val="147A02F4"/>
    <w:rsid w:val="14914214"/>
    <w:rsid w:val="14957BF7"/>
    <w:rsid w:val="14994C1B"/>
    <w:rsid w:val="14B32574"/>
    <w:rsid w:val="14B36266"/>
    <w:rsid w:val="14B60057"/>
    <w:rsid w:val="14D40AA8"/>
    <w:rsid w:val="14E40FB7"/>
    <w:rsid w:val="14ED62BE"/>
    <w:rsid w:val="14EF6A94"/>
    <w:rsid w:val="15105291"/>
    <w:rsid w:val="151852AB"/>
    <w:rsid w:val="151C48B2"/>
    <w:rsid w:val="15241104"/>
    <w:rsid w:val="153B0F5F"/>
    <w:rsid w:val="15481273"/>
    <w:rsid w:val="154B0E8D"/>
    <w:rsid w:val="155E1D58"/>
    <w:rsid w:val="15616707"/>
    <w:rsid w:val="15747FCD"/>
    <w:rsid w:val="158C18A8"/>
    <w:rsid w:val="158D36E7"/>
    <w:rsid w:val="1595527A"/>
    <w:rsid w:val="15AA1230"/>
    <w:rsid w:val="15AC6A42"/>
    <w:rsid w:val="15AE429A"/>
    <w:rsid w:val="15BC413A"/>
    <w:rsid w:val="15D11483"/>
    <w:rsid w:val="15D66ED9"/>
    <w:rsid w:val="16134CC5"/>
    <w:rsid w:val="1623311F"/>
    <w:rsid w:val="1628269D"/>
    <w:rsid w:val="162C3E58"/>
    <w:rsid w:val="16526805"/>
    <w:rsid w:val="165A5B56"/>
    <w:rsid w:val="16771303"/>
    <w:rsid w:val="16795A0D"/>
    <w:rsid w:val="16846935"/>
    <w:rsid w:val="168567F5"/>
    <w:rsid w:val="16884314"/>
    <w:rsid w:val="168971D4"/>
    <w:rsid w:val="16900E36"/>
    <w:rsid w:val="16926810"/>
    <w:rsid w:val="16975775"/>
    <w:rsid w:val="16AD41F8"/>
    <w:rsid w:val="16B404C3"/>
    <w:rsid w:val="16B70E8C"/>
    <w:rsid w:val="16BA3457"/>
    <w:rsid w:val="16C64BF3"/>
    <w:rsid w:val="16C915F6"/>
    <w:rsid w:val="16D76B7A"/>
    <w:rsid w:val="16E01361"/>
    <w:rsid w:val="16E258F3"/>
    <w:rsid w:val="16E62640"/>
    <w:rsid w:val="16F16206"/>
    <w:rsid w:val="16F82485"/>
    <w:rsid w:val="172F1F8E"/>
    <w:rsid w:val="17300044"/>
    <w:rsid w:val="17396257"/>
    <w:rsid w:val="17493966"/>
    <w:rsid w:val="176045C1"/>
    <w:rsid w:val="17654F16"/>
    <w:rsid w:val="176D1F09"/>
    <w:rsid w:val="177D0FEE"/>
    <w:rsid w:val="17823E8A"/>
    <w:rsid w:val="17833DC4"/>
    <w:rsid w:val="1790046F"/>
    <w:rsid w:val="17A222A5"/>
    <w:rsid w:val="17B2094A"/>
    <w:rsid w:val="17B31D27"/>
    <w:rsid w:val="17D406B9"/>
    <w:rsid w:val="17D62AD3"/>
    <w:rsid w:val="17DD7B85"/>
    <w:rsid w:val="17E74681"/>
    <w:rsid w:val="17F17407"/>
    <w:rsid w:val="17F708F5"/>
    <w:rsid w:val="18015DE9"/>
    <w:rsid w:val="18024067"/>
    <w:rsid w:val="180C394D"/>
    <w:rsid w:val="1814408A"/>
    <w:rsid w:val="181A30AD"/>
    <w:rsid w:val="184B2284"/>
    <w:rsid w:val="1858550D"/>
    <w:rsid w:val="185939FD"/>
    <w:rsid w:val="1860730F"/>
    <w:rsid w:val="186407CC"/>
    <w:rsid w:val="18681E23"/>
    <w:rsid w:val="187859D3"/>
    <w:rsid w:val="187A7FF0"/>
    <w:rsid w:val="188528A7"/>
    <w:rsid w:val="18BC23BE"/>
    <w:rsid w:val="18CE324A"/>
    <w:rsid w:val="18D52A34"/>
    <w:rsid w:val="18D66CD3"/>
    <w:rsid w:val="18DE4693"/>
    <w:rsid w:val="190118A5"/>
    <w:rsid w:val="191D1FA9"/>
    <w:rsid w:val="192261B3"/>
    <w:rsid w:val="1927493B"/>
    <w:rsid w:val="192D3EC3"/>
    <w:rsid w:val="192F712A"/>
    <w:rsid w:val="194726F7"/>
    <w:rsid w:val="19512C96"/>
    <w:rsid w:val="19566367"/>
    <w:rsid w:val="195B1221"/>
    <w:rsid w:val="1960135E"/>
    <w:rsid w:val="19974604"/>
    <w:rsid w:val="199A4660"/>
    <w:rsid w:val="19B56A9C"/>
    <w:rsid w:val="19C71013"/>
    <w:rsid w:val="19CF44D4"/>
    <w:rsid w:val="19D40A83"/>
    <w:rsid w:val="19E27F17"/>
    <w:rsid w:val="19EB5B52"/>
    <w:rsid w:val="19FC5AB7"/>
    <w:rsid w:val="1A04793F"/>
    <w:rsid w:val="1A163FC0"/>
    <w:rsid w:val="1A185C46"/>
    <w:rsid w:val="1A1A08AD"/>
    <w:rsid w:val="1A33008A"/>
    <w:rsid w:val="1A351634"/>
    <w:rsid w:val="1A3626C5"/>
    <w:rsid w:val="1A3D0216"/>
    <w:rsid w:val="1A67220E"/>
    <w:rsid w:val="1A6B489B"/>
    <w:rsid w:val="1A836DBF"/>
    <w:rsid w:val="1A8547FC"/>
    <w:rsid w:val="1A8D63C4"/>
    <w:rsid w:val="1A902CCA"/>
    <w:rsid w:val="1A9D59B4"/>
    <w:rsid w:val="1A9F25CF"/>
    <w:rsid w:val="1AA24822"/>
    <w:rsid w:val="1AA3181B"/>
    <w:rsid w:val="1AAB3D8C"/>
    <w:rsid w:val="1AC81F25"/>
    <w:rsid w:val="1AC90DBB"/>
    <w:rsid w:val="1AD36DFF"/>
    <w:rsid w:val="1AEF5BBB"/>
    <w:rsid w:val="1AF60B98"/>
    <w:rsid w:val="1AFC5536"/>
    <w:rsid w:val="1B0255D2"/>
    <w:rsid w:val="1B057E43"/>
    <w:rsid w:val="1B0911B7"/>
    <w:rsid w:val="1B1800F6"/>
    <w:rsid w:val="1B3B1FFC"/>
    <w:rsid w:val="1B441237"/>
    <w:rsid w:val="1B4C6447"/>
    <w:rsid w:val="1B5B266C"/>
    <w:rsid w:val="1B655C83"/>
    <w:rsid w:val="1B82640E"/>
    <w:rsid w:val="1B990044"/>
    <w:rsid w:val="1B9A62B3"/>
    <w:rsid w:val="1BA97461"/>
    <w:rsid w:val="1BB76E65"/>
    <w:rsid w:val="1BC9447B"/>
    <w:rsid w:val="1BF25722"/>
    <w:rsid w:val="1C1C0E7B"/>
    <w:rsid w:val="1C235A5F"/>
    <w:rsid w:val="1C286A0A"/>
    <w:rsid w:val="1C2F2D2B"/>
    <w:rsid w:val="1C497C80"/>
    <w:rsid w:val="1C4C2226"/>
    <w:rsid w:val="1C547FEB"/>
    <w:rsid w:val="1C7279BE"/>
    <w:rsid w:val="1C7A1C51"/>
    <w:rsid w:val="1C895F8A"/>
    <w:rsid w:val="1C95128E"/>
    <w:rsid w:val="1C984EE8"/>
    <w:rsid w:val="1CAF3DCC"/>
    <w:rsid w:val="1CBB2038"/>
    <w:rsid w:val="1CC7048D"/>
    <w:rsid w:val="1CDA72AF"/>
    <w:rsid w:val="1CDB0603"/>
    <w:rsid w:val="1CF1513B"/>
    <w:rsid w:val="1CFF1A5B"/>
    <w:rsid w:val="1D047E88"/>
    <w:rsid w:val="1D1A2146"/>
    <w:rsid w:val="1D1E6D7A"/>
    <w:rsid w:val="1D1F1931"/>
    <w:rsid w:val="1D206653"/>
    <w:rsid w:val="1D2B52E4"/>
    <w:rsid w:val="1D4420A8"/>
    <w:rsid w:val="1D4E7563"/>
    <w:rsid w:val="1D567ECB"/>
    <w:rsid w:val="1D64189E"/>
    <w:rsid w:val="1D84584D"/>
    <w:rsid w:val="1DAE3790"/>
    <w:rsid w:val="1DC7081E"/>
    <w:rsid w:val="1DCE0485"/>
    <w:rsid w:val="1DEA3EB6"/>
    <w:rsid w:val="1DF11E8D"/>
    <w:rsid w:val="1DFB4A73"/>
    <w:rsid w:val="1DFD6138"/>
    <w:rsid w:val="1E145418"/>
    <w:rsid w:val="1E1870E7"/>
    <w:rsid w:val="1E302F1B"/>
    <w:rsid w:val="1E326461"/>
    <w:rsid w:val="1E381088"/>
    <w:rsid w:val="1E4D585F"/>
    <w:rsid w:val="1E551899"/>
    <w:rsid w:val="1E5F669F"/>
    <w:rsid w:val="1E604AFF"/>
    <w:rsid w:val="1E740732"/>
    <w:rsid w:val="1E8426B3"/>
    <w:rsid w:val="1E8445D4"/>
    <w:rsid w:val="1E9E1084"/>
    <w:rsid w:val="1EA2645E"/>
    <w:rsid w:val="1EB277E1"/>
    <w:rsid w:val="1EC55F69"/>
    <w:rsid w:val="1EC67904"/>
    <w:rsid w:val="1ECE7D36"/>
    <w:rsid w:val="1EFD360F"/>
    <w:rsid w:val="1F10520A"/>
    <w:rsid w:val="1F1563AA"/>
    <w:rsid w:val="1F200C4D"/>
    <w:rsid w:val="1F213589"/>
    <w:rsid w:val="1F24491E"/>
    <w:rsid w:val="1F2D7B6A"/>
    <w:rsid w:val="1F404ABB"/>
    <w:rsid w:val="1F491252"/>
    <w:rsid w:val="1F675F90"/>
    <w:rsid w:val="1F88533B"/>
    <w:rsid w:val="1FA07967"/>
    <w:rsid w:val="1FA61B90"/>
    <w:rsid w:val="1FA63478"/>
    <w:rsid w:val="1FC9095E"/>
    <w:rsid w:val="1FCA6413"/>
    <w:rsid w:val="1FDA1374"/>
    <w:rsid w:val="1FE47C93"/>
    <w:rsid w:val="20074387"/>
    <w:rsid w:val="200D3B32"/>
    <w:rsid w:val="2028552E"/>
    <w:rsid w:val="20460195"/>
    <w:rsid w:val="205179EF"/>
    <w:rsid w:val="20520011"/>
    <w:rsid w:val="207E1810"/>
    <w:rsid w:val="207F3A7C"/>
    <w:rsid w:val="208307CA"/>
    <w:rsid w:val="20847C5E"/>
    <w:rsid w:val="20895274"/>
    <w:rsid w:val="20950A96"/>
    <w:rsid w:val="20AB3B83"/>
    <w:rsid w:val="20B2515E"/>
    <w:rsid w:val="20B551ED"/>
    <w:rsid w:val="20BE691B"/>
    <w:rsid w:val="20C50286"/>
    <w:rsid w:val="20C77B4A"/>
    <w:rsid w:val="20CB3E3B"/>
    <w:rsid w:val="20D63E8C"/>
    <w:rsid w:val="20DD55C0"/>
    <w:rsid w:val="20E37861"/>
    <w:rsid w:val="20E66D98"/>
    <w:rsid w:val="20F33712"/>
    <w:rsid w:val="20FB70E6"/>
    <w:rsid w:val="20FE55DA"/>
    <w:rsid w:val="21064065"/>
    <w:rsid w:val="2106452A"/>
    <w:rsid w:val="210F1A50"/>
    <w:rsid w:val="213561BF"/>
    <w:rsid w:val="21361FD5"/>
    <w:rsid w:val="2145616D"/>
    <w:rsid w:val="21603152"/>
    <w:rsid w:val="216F3605"/>
    <w:rsid w:val="217224B8"/>
    <w:rsid w:val="21732605"/>
    <w:rsid w:val="217544B0"/>
    <w:rsid w:val="217648BA"/>
    <w:rsid w:val="217F6677"/>
    <w:rsid w:val="219957D0"/>
    <w:rsid w:val="21B970A6"/>
    <w:rsid w:val="21C01144"/>
    <w:rsid w:val="21C27FEA"/>
    <w:rsid w:val="21D04B49"/>
    <w:rsid w:val="21DB22AA"/>
    <w:rsid w:val="21DC0DFF"/>
    <w:rsid w:val="21EE34E9"/>
    <w:rsid w:val="21F668EA"/>
    <w:rsid w:val="22031056"/>
    <w:rsid w:val="2210086E"/>
    <w:rsid w:val="22186DB9"/>
    <w:rsid w:val="221A7307"/>
    <w:rsid w:val="22253E41"/>
    <w:rsid w:val="22456F78"/>
    <w:rsid w:val="224B5D23"/>
    <w:rsid w:val="2251327B"/>
    <w:rsid w:val="22660947"/>
    <w:rsid w:val="228F5848"/>
    <w:rsid w:val="228F6A75"/>
    <w:rsid w:val="229639F8"/>
    <w:rsid w:val="22A34CA6"/>
    <w:rsid w:val="22B20F66"/>
    <w:rsid w:val="22D60E4A"/>
    <w:rsid w:val="22E954CD"/>
    <w:rsid w:val="22EC4BEB"/>
    <w:rsid w:val="22F559D9"/>
    <w:rsid w:val="2319187C"/>
    <w:rsid w:val="23241284"/>
    <w:rsid w:val="232F7105"/>
    <w:rsid w:val="233214E1"/>
    <w:rsid w:val="233415CD"/>
    <w:rsid w:val="234B1DD0"/>
    <w:rsid w:val="23513F1E"/>
    <w:rsid w:val="2360017B"/>
    <w:rsid w:val="236B3433"/>
    <w:rsid w:val="237672F4"/>
    <w:rsid w:val="2387384E"/>
    <w:rsid w:val="23897791"/>
    <w:rsid w:val="238E494F"/>
    <w:rsid w:val="238F1EB9"/>
    <w:rsid w:val="2392161B"/>
    <w:rsid w:val="23C0210B"/>
    <w:rsid w:val="23C03BCC"/>
    <w:rsid w:val="23D44E97"/>
    <w:rsid w:val="23D61660"/>
    <w:rsid w:val="23D74ADF"/>
    <w:rsid w:val="23DA3288"/>
    <w:rsid w:val="23E7405F"/>
    <w:rsid w:val="23F50BC0"/>
    <w:rsid w:val="23F52C20"/>
    <w:rsid w:val="23F72030"/>
    <w:rsid w:val="240D7934"/>
    <w:rsid w:val="24194D6D"/>
    <w:rsid w:val="24215E70"/>
    <w:rsid w:val="242811EE"/>
    <w:rsid w:val="2437298B"/>
    <w:rsid w:val="243D31F7"/>
    <w:rsid w:val="24402E38"/>
    <w:rsid w:val="24456A12"/>
    <w:rsid w:val="24473BB8"/>
    <w:rsid w:val="247C2342"/>
    <w:rsid w:val="249035C1"/>
    <w:rsid w:val="24A37A0E"/>
    <w:rsid w:val="24A563F4"/>
    <w:rsid w:val="24B421C4"/>
    <w:rsid w:val="24CE7D39"/>
    <w:rsid w:val="24E272C3"/>
    <w:rsid w:val="25026BBA"/>
    <w:rsid w:val="25137802"/>
    <w:rsid w:val="25175EB4"/>
    <w:rsid w:val="251D6AD9"/>
    <w:rsid w:val="2520168C"/>
    <w:rsid w:val="25213516"/>
    <w:rsid w:val="25330C93"/>
    <w:rsid w:val="25360F6B"/>
    <w:rsid w:val="253B0941"/>
    <w:rsid w:val="254A009B"/>
    <w:rsid w:val="254E5DFD"/>
    <w:rsid w:val="25593A78"/>
    <w:rsid w:val="257A353E"/>
    <w:rsid w:val="25A81D9E"/>
    <w:rsid w:val="25E13648"/>
    <w:rsid w:val="25F25E97"/>
    <w:rsid w:val="25FC7D18"/>
    <w:rsid w:val="262524D2"/>
    <w:rsid w:val="262757D9"/>
    <w:rsid w:val="262D5A69"/>
    <w:rsid w:val="263C3F8D"/>
    <w:rsid w:val="263D6DD0"/>
    <w:rsid w:val="26481F6B"/>
    <w:rsid w:val="264B4E7D"/>
    <w:rsid w:val="26787456"/>
    <w:rsid w:val="26852526"/>
    <w:rsid w:val="26942044"/>
    <w:rsid w:val="26BB5300"/>
    <w:rsid w:val="26C6201E"/>
    <w:rsid w:val="26EF6525"/>
    <w:rsid w:val="26F61CFE"/>
    <w:rsid w:val="270206D7"/>
    <w:rsid w:val="270A0721"/>
    <w:rsid w:val="27151C98"/>
    <w:rsid w:val="272A50B1"/>
    <w:rsid w:val="272E1A98"/>
    <w:rsid w:val="274C5E2C"/>
    <w:rsid w:val="274D27C9"/>
    <w:rsid w:val="2763320B"/>
    <w:rsid w:val="27674186"/>
    <w:rsid w:val="27A70FDD"/>
    <w:rsid w:val="27B33695"/>
    <w:rsid w:val="27BD3A55"/>
    <w:rsid w:val="27C43A09"/>
    <w:rsid w:val="27D25752"/>
    <w:rsid w:val="27DE4CB1"/>
    <w:rsid w:val="27F11415"/>
    <w:rsid w:val="280625CC"/>
    <w:rsid w:val="28090E04"/>
    <w:rsid w:val="281331E6"/>
    <w:rsid w:val="281573ED"/>
    <w:rsid w:val="2826293B"/>
    <w:rsid w:val="28334878"/>
    <w:rsid w:val="283916EB"/>
    <w:rsid w:val="283B45EC"/>
    <w:rsid w:val="28590C83"/>
    <w:rsid w:val="28757E8C"/>
    <w:rsid w:val="28802B0F"/>
    <w:rsid w:val="28946C52"/>
    <w:rsid w:val="289947AE"/>
    <w:rsid w:val="289D1897"/>
    <w:rsid w:val="289F0AC1"/>
    <w:rsid w:val="28A67C55"/>
    <w:rsid w:val="28F2520B"/>
    <w:rsid w:val="28FA281A"/>
    <w:rsid w:val="28FE2577"/>
    <w:rsid w:val="290A2D80"/>
    <w:rsid w:val="290A4924"/>
    <w:rsid w:val="290B259E"/>
    <w:rsid w:val="290D7FCC"/>
    <w:rsid w:val="291071F0"/>
    <w:rsid w:val="29123519"/>
    <w:rsid w:val="29183639"/>
    <w:rsid w:val="291A0ACF"/>
    <w:rsid w:val="29235B3A"/>
    <w:rsid w:val="292A6EC8"/>
    <w:rsid w:val="29374893"/>
    <w:rsid w:val="29451F54"/>
    <w:rsid w:val="294A4E4E"/>
    <w:rsid w:val="29684A53"/>
    <w:rsid w:val="296D61BD"/>
    <w:rsid w:val="296F161B"/>
    <w:rsid w:val="29735887"/>
    <w:rsid w:val="298A4C3B"/>
    <w:rsid w:val="29A97314"/>
    <w:rsid w:val="29AB4B5E"/>
    <w:rsid w:val="29BE40F1"/>
    <w:rsid w:val="29D7066B"/>
    <w:rsid w:val="29E16B87"/>
    <w:rsid w:val="29F22A14"/>
    <w:rsid w:val="29F80D74"/>
    <w:rsid w:val="2A027A0A"/>
    <w:rsid w:val="2A196AE1"/>
    <w:rsid w:val="2A1A1161"/>
    <w:rsid w:val="2A241B69"/>
    <w:rsid w:val="2A25455E"/>
    <w:rsid w:val="2A3E789F"/>
    <w:rsid w:val="2A4325F9"/>
    <w:rsid w:val="2A50742E"/>
    <w:rsid w:val="2A513C45"/>
    <w:rsid w:val="2A5A456A"/>
    <w:rsid w:val="2A5C2727"/>
    <w:rsid w:val="2A61691A"/>
    <w:rsid w:val="2A7F4196"/>
    <w:rsid w:val="2A8A4408"/>
    <w:rsid w:val="2A9A71B4"/>
    <w:rsid w:val="2AA12885"/>
    <w:rsid w:val="2AB0505E"/>
    <w:rsid w:val="2AC5334C"/>
    <w:rsid w:val="2ACA7D26"/>
    <w:rsid w:val="2AD74E2E"/>
    <w:rsid w:val="2ADB4FDA"/>
    <w:rsid w:val="2B08595A"/>
    <w:rsid w:val="2B4E031E"/>
    <w:rsid w:val="2B5916DB"/>
    <w:rsid w:val="2B602DF6"/>
    <w:rsid w:val="2B765F40"/>
    <w:rsid w:val="2B792B9F"/>
    <w:rsid w:val="2B845C34"/>
    <w:rsid w:val="2B9B0142"/>
    <w:rsid w:val="2BA206A0"/>
    <w:rsid w:val="2BC62DFC"/>
    <w:rsid w:val="2BCA4777"/>
    <w:rsid w:val="2BCD6ACC"/>
    <w:rsid w:val="2BE054B3"/>
    <w:rsid w:val="2BED736A"/>
    <w:rsid w:val="2BFA59A6"/>
    <w:rsid w:val="2C006469"/>
    <w:rsid w:val="2C050744"/>
    <w:rsid w:val="2C0802AB"/>
    <w:rsid w:val="2C215C01"/>
    <w:rsid w:val="2C2B7971"/>
    <w:rsid w:val="2C2C0CD7"/>
    <w:rsid w:val="2C455F58"/>
    <w:rsid w:val="2C4A1FDE"/>
    <w:rsid w:val="2C8C6900"/>
    <w:rsid w:val="2C8E4FB6"/>
    <w:rsid w:val="2C9016BA"/>
    <w:rsid w:val="2C9A4C22"/>
    <w:rsid w:val="2CBD7073"/>
    <w:rsid w:val="2CC37FFA"/>
    <w:rsid w:val="2CC63F66"/>
    <w:rsid w:val="2CD35E0A"/>
    <w:rsid w:val="2CE2637E"/>
    <w:rsid w:val="2CF47CA6"/>
    <w:rsid w:val="2D0D2D89"/>
    <w:rsid w:val="2D1905E1"/>
    <w:rsid w:val="2D1E56E4"/>
    <w:rsid w:val="2D2A517C"/>
    <w:rsid w:val="2D5B4419"/>
    <w:rsid w:val="2D5E6230"/>
    <w:rsid w:val="2D756578"/>
    <w:rsid w:val="2D811FCB"/>
    <w:rsid w:val="2D9D0D3E"/>
    <w:rsid w:val="2DAF33BA"/>
    <w:rsid w:val="2DB016B8"/>
    <w:rsid w:val="2DB26071"/>
    <w:rsid w:val="2DB9036C"/>
    <w:rsid w:val="2DD03E91"/>
    <w:rsid w:val="2DD57437"/>
    <w:rsid w:val="2DE408B5"/>
    <w:rsid w:val="2DF80341"/>
    <w:rsid w:val="2E003AC1"/>
    <w:rsid w:val="2E0E304F"/>
    <w:rsid w:val="2E241756"/>
    <w:rsid w:val="2E40099C"/>
    <w:rsid w:val="2E6062D8"/>
    <w:rsid w:val="2E6E4B18"/>
    <w:rsid w:val="2E856CB6"/>
    <w:rsid w:val="2E8B663D"/>
    <w:rsid w:val="2E8C2BC3"/>
    <w:rsid w:val="2E954C85"/>
    <w:rsid w:val="2E9A0077"/>
    <w:rsid w:val="2E9D471E"/>
    <w:rsid w:val="2EA9489B"/>
    <w:rsid w:val="2EBD4D55"/>
    <w:rsid w:val="2EC35D62"/>
    <w:rsid w:val="2EC76AED"/>
    <w:rsid w:val="2EFB1DC7"/>
    <w:rsid w:val="2EFD30CE"/>
    <w:rsid w:val="2F055D32"/>
    <w:rsid w:val="2F0F5DF9"/>
    <w:rsid w:val="2F291427"/>
    <w:rsid w:val="2F2F3708"/>
    <w:rsid w:val="2F425D7A"/>
    <w:rsid w:val="2F4A3458"/>
    <w:rsid w:val="2F54773F"/>
    <w:rsid w:val="2F642A08"/>
    <w:rsid w:val="2F7432E9"/>
    <w:rsid w:val="2F810777"/>
    <w:rsid w:val="2F921E8D"/>
    <w:rsid w:val="2F9766D5"/>
    <w:rsid w:val="2F9A0E4A"/>
    <w:rsid w:val="2FA74A2A"/>
    <w:rsid w:val="2FB14944"/>
    <w:rsid w:val="2FC07D0D"/>
    <w:rsid w:val="2FD36F28"/>
    <w:rsid w:val="2FD42CBD"/>
    <w:rsid w:val="2FE020B5"/>
    <w:rsid w:val="2FEA115F"/>
    <w:rsid w:val="302E351C"/>
    <w:rsid w:val="3034059F"/>
    <w:rsid w:val="304C1E1A"/>
    <w:rsid w:val="30582BFE"/>
    <w:rsid w:val="306215D6"/>
    <w:rsid w:val="30671954"/>
    <w:rsid w:val="306F379F"/>
    <w:rsid w:val="307C79DC"/>
    <w:rsid w:val="30857DAF"/>
    <w:rsid w:val="30BB5FD7"/>
    <w:rsid w:val="30BB7154"/>
    <w:rsid w:val="30BD0D4A"/>
    <w:rsid w:val="30C45F5D"/>
    <w:rsid w:val="30C97EF5"/>
    <w:rsid w:val="30CB1753"/>
    <w:rsid w:val="30D36097"/>
    <w:rsid w:val="30E01EBC"/>
    <w:rsid w:val="30F23545"/>
    <w:rsid w:val="30F246D9"/>
    <w:rsid w:val="30F5423F"/>
    <w:rsid w:val="30F55635"/>
    <w:rsid w:val="30FC49BF"/>
    <w:rsid w:val="30FC7511"/>
    <w:rsid w:val="31163064"/>
    <w:rsid w:val="31187121"/>
    <w:rsid w:val="31191142"/>
    <w:rsid w:val="311C27AC"/>
    <w:rsid w:val="31211650"/>
    <w:rsid w:val="31253AFA"/>
    <w:rsid w:val="312A2AE0"/>
    <w:rsid w:val="3130416C"/>
    <w:rsid w:val="31454EA7"/>
    <w:rsid w:val="3145518C"/>
    <w:rsid w:val="3154295F"/>
    <w:rsid w:val="3180207E"/>
    <w:rsid w:val="318B3F7B"/>
    <w:rsid w:val="318E768B"/>
    <w:rsid w:val="319677F1"/>
    <w:rsid w:val="31975F3C"/>
    <w:rsid w:val="319A65B3"/>
    <w:rsid w:val="319B4E07"/>
    <w:rsid w:val="31B26C72"/>
    <w:rsid w:val="31B93D1F"/>
    <w:rsid w:val="31BE34A5"/>
    <w:rsid w:val="31D61618"/>
    <w:rsid w:val="31D72D86"/>
    <w:rsid w:val="31EF3CA4"/>
    <w:rsid w:val="31FF10B7"/>
    <w:rsid w:val="321876AA"/>
    <w:rsid w:val="32197D64"/>
    <w:rsid w:val="321E048A"/>
    <w:rsid w:val="32221084"/>
    <w:rsid w:val="32232170"/>
    <w:rsid w:val="3223673D"/>
    <w:rsid w:val="32284330"/>
    <w:rsid w:val="322D17D7"/>
    <w:rsid w:val="322D38E1"/>
    <w:rsid w:val="32494AAB"/>
    <w:rsid w:val="325843B3"/>
    <w:rsid w:val="325C72C9"/>
    <w:rsid w:val="326458D1"/>
    <w:rsid w:val="326C551F"/>
    <w:rsid w:val="327B5200"/>
    <w:rsid w:val="32853ACD"/>
    <w:rsid w:val="32863FD5"/>
    <w:rsid w:val="32D524A0"/>
    <w:rsid w:val="32DA66DF"/>
    <w:rsid w:val="32DF4956"/>
    <w:rsid w:val="32F438E9"/>
    <w:rsid w:val="32F67E7D"/>
    <w:rsid w:val="32FA5AE6"/>
    <w:rsid w:val="32FB4497"/>
    <w:rsid w:val="330003C7"/>
    <w:rsid w:val="331500FD"/>
    <w:rsid w:val="331A1AD7"/>
    <w:rsid w:val="331A61FF"/>
    <w:rsid w:val="331B53B1"/>
    <w:rsid w:val="332F1621"/>
    <w:rsid w:val="332F29F5"/>
    <w:rsid w:val="333F3FD1"/>
    <w:rsid w:val="334E314F"/>
    <w:rsid w:val="3353526D"/>
    <w:rsid w:val="33676DA2"/>
    <w:rsid w:val="33BA47C3"/>
    <w:rsid w:val="33C635BA"/>
    <w:rsid w:val="33CE1BE3"/>
    <w:rsid w:val="33D572F9"/>
    <w:rsid w:val="33DC34B5"/>
    <w:rsid w:val="33DE5981"/>
    <w:rsid w:val="33E06423"/>
    <w:rsid w:val="33E20644"/>
    <w:rsid w:val="33F627C9"/>
    <w:rsid w:val="34175170"/>
    <w:rsid w:val="341D6A2C"/>
    <w:rsid w:val="343376A7"/>
    <w:rsid w:val="344737F8"/>
    <w:rsid w:val="34575EE5"/>
    <w:rsid w:val="345D7924"/>
    <w:rsid w:val="345F5268"/>
    <w:rsid w:val="34684C15"/>
    <w:rsid w:val="346C52D3"/>
    <w:rsid w:val="347D5979"/>
    <w:rsid w:val="349645C7"/>
    <w:rsid w:val="34AE6374"/>
    <w:rsid w:val="34B066B0"/>
    <w:rsid w:val="34B72E6D"/>
    <w:rsid w:val="34C32C82"/>
    <w:rsid w:val="34C40E43"/>
    <w:rsid w:val="34CA73A7"/>
    <w:rsid w:val="34D126EC"/>
    <w:rsid w:val="34D41B91"/>
    <w:rsid w:val="34DD65E2"/>
    <w:rsid w:val="34DE7D86"/>
    <w:rsid w:val="34EE4EA5"/>
    <w:rsid w:val="34F52A80"/>
    <w:rsid w:val="34FC49B9"/>
    <w:rsid w:val="35094EA1"/>
    <w:rsid w:val="350D22CE"/>
    <w:rsid w:val="3528302B"/>
    <w:rsid w:val="352E613D"/>
    <w:rsid w:val="353E47B2"/>
    <w:rsid w:val="35405316"/>
    <w:rsid w:val="3546366F"/>
    <w:rsid w:val="35477BE6"/>
    <w:rsid w:val="354A0E6D"/>
    <w:rsid w:val="355411D0"/>
    <w:rsid w:val="3554251B"/>
    <w:rsid w:val="357662C2"/>
    <w:rsid w:val="35785C90"/>
    <w:rsid w:val="35815607"/>
    <w:rsid w:val="35942299"/>
    <w:rsid w:val="35A16E42"/>
    <w:rsid w:val="35A91A8A"/>
    <w:rsid w:val="35CD63B4"/>
    <w:rsid w:val="35E516C5"/>
    <w:rsid w:val="35FC4744"/>
    <w:rsid w:val="35FF4E42"/>
    <w:rsid w:val="361E373C"/>
    <w:rsid w:val="362C11E9"/>
    <w:rsid w:val="362E71C2"/>
    <w:rsid w:val="36407273"/>
    <w:rsid w:val="36431DC9"/>
    <w:rsid w:val="364A612D"/>
    <w:rsid w:val="366C0EB3"/>
    <w:rsid w:val="36A23F8E"/>
    <w:rsid w:val="36A67471"/>
    <w:rsid w:val="36A91D74"/>
    <w:rsid w:val="36A92B00"/>
    <w:rsid w:val="36C905E1"/>
    <w:rsid w:val="36D645C8"/>
    <w:rsid w:val="36DE4A45"/>
    <w:rsid w:val="36F46327"/>
    <w:rsid w:val="36F86345"/>
    <w:rsid w:val="37042131"/>
    <w:rsid w:val="371F7736"/>
    <w:rsid w:val="372506A3"/>
    <w:rsid w:val="373E0F57"/>
    <w:rsid w:val="37451F34"/>
    <w:rsid w:val="375A6BCB"/>
    <w:rsid w:val="375D485E"/>
    <w:rsid w:val="37736527"/>
    <w:rsid w:val="37814F81"/>
    <w:rsid w:val="37920132"/>
    <w:rsid w:val="3792034D"/>
    <w:rsid w:val="37A81CFE"/>
    <w:rsid w:val="37AD04DC"/>
    <w:rsid w:val="37AF7434"/>
    <w:rsid w:val="37CF368D"/>
    <w:rsid w:val="37DA5FF8"/>
    <w:rsid w:val="37F45D14"/>
    <w:rsid w:val="3800389B"/>
    <w:rsid w:val="38123674"/>
    <w:rsid w:val="3812521A"/>
    <w:rsid w:val="3837248E"/>
    <w:rsid w:val="38504EF2"/>
    <w:rsid w:val="38542D1D"/>
    <w:rsid w:val="385A563B"/>
    <w:rsid w:val="385F7F15"/>
    <w:rsid w:val="38637D01"/>
    <w:rsid w:val="3878298B"/>
    <w:rsid w:val="38824206"/>
    <w:rsid w:val="388858AE"/>
    <w:rsid w:val="388E1F59"/>
    <w:rsid w:val="38993FA4"/>
    <w:rsid w:val="389B3E11"/>
    <w:rsid w:val="38A121C0"/>
    <w:rsid w:val="38AF6132"/>
    <w:rsid w:val="38B72026"/>
    <w:rsid w:val="38C72E0E"/>
    <w:rsid w:val="38D57DBA"/>
    <w:rsid w:val="38D71D52"/>
    <w:rsid w:val="38D806FD"/>
    <w:rsid w:val="38DE489E"/>
    <w:rsid w:val="38E946AA"/>
    <w:rsid w:val="38EF3C8A"/>
    <w:rsid w:val="38F22625"/>
    <w:rsid w:val="38FA5479"/>
    <w:rsid w:val="38FD6B65"/>
    <w:rsid w:val="39002922"/>
    <w:rsid w:val="390B51AE"/>
    <w:rsid w:val="390F6429"/>
    <w:rsid w:val="393F3A75"/>
    <w:rsid w:val="39447B32"/>
    <w:rsid w:val="394D4CFB"/>
    <w:rsid w:val="394E275F"/>
    <w:rsid w:val="39525463"/>
    <w:rsid w:val="39575F23"/>
    <w:rsid w:val="395D236C"/>
    <w:rsid w:val="395F2EE6"/>
    <w:rsid w:val="39966589"/>
    <w:rsid w:val="399E127D"/>
    <w:rsid w:val="39A402F7"/>
    <w:rsid w:val="39C46AEF"/>
    <w:rsid w:val="39D37EB8"/>
    <w:rsid w:val="39E443D3"/>
    <w:rsid w:val="39E817C8"/>
    <w:rsid w:val="39EC4908"/>
    <w:rsid w:val="39EE5BB5"/>
    <w:rsid w:val="3A0E1EEE"/>
    <w:rsid w:val="3A110CAB"/>
    <w:rsid w:val="3A280E3F"/>
    <w:rsid w:val="3A2C0337"/>
    <w:rsid w:val="3A4B1176"/>
    <w:rsid w:val="3A5211C9"/>
    <w:rsid w:val="3A732067"/>
    <w:rsid w:val="3A756D9A"/>
    <w:rsid w:val="3A7A7BCD"/>
    <w:rsid w:val="3A875FCD"/>
    <w:rsid w:val="3A893080"/>
    <w:rsid w:val="3A8E74A2"/>
    <w:rsid w:val="3A915914"/>
    <w:rsid w:val="3A922F31"/>
    <w:rsid w:val="3AA80797"/>
    <w:rsid w:val="3AB01F97"/>
    <w:rsid w:val="3AB12FA2"/>
    <w:rsid w:val="3AC81298"/>
    <w:rsid w:val="3AC84E76"/>
    <w:rsid w:val="3B03272D"/>
    <w:rsid w:val="3B0572CE"/>
    <w:rsid w:val="3B1E43B3"/>
    <w:rsid w:val="3B2C3A55"/>
    <w:rsid w:val="3B451940"/>
    <w:rsid w:val="3B482DFF"/>
    <w:rsid w:val="3B5A72F2"/>
    <w:rsid w:val="3B786E6D"/>
    <w:rsid w:val="3B7E1A4B"/>
    <w:rsid w:val="3B9C443B"/>
    <w:rsid w:val="3BA61733"/>
    <w:rsid w:val="3BB965BD"/>
    <w:rsid w:val="3BBC3DDF"/>
    <w:rsid w:val="3BF56244"/>
    <w:rsid w:val="3BF94C3E"/>
    <w:rsid w:val="3C061692"/>
    <w:rsid w:val="3C0B0CFD"/>
    <w:rsid w:val="3C1139A7"/>
    <w:rsid w:val="3C467737"/>
    <w:rsid w:val="3C4C044D"/>
    <w:rsid w:val="3C4F2B3B"/>
    <w:rsid w:val="3C5F072D"/>
    <w:rsid w:val="3C87699A"/>
    <w:rsid w:val="3C8E31F3"/>
    <w:rsid w:val="3CA408E8"/>
    <w:rsid w:val="3CA71EFA"/>
    <w:rsid w:val="3CAE244D"/>
    <w:rsid w:val="3CD114A9"/>
    <w:rsid w:val="3CD603F7"/>
    <w:rsid w:val="3CF50AB6"/>
    <w:rsid w:val="3CFA45B5"/>
    <w:rsid w:val="3D065BC2"/>
    <w:rsid w:val="3D1108F8"/>
    <w:rsid w:val="3D153965"/>
    <w:rsid w:val="3D1C6AF3"/>
    <w:rsid w:val="3D37175C"/>
    <w:rsid w:val="3D433CEC"/>
    <w:rsid w:val="3D4A3E40"/>
    <w:rsid w:val="3D672488"/>
    <w:rsid w:val="3D81202C"/>
    <w:rsid w:val="3D8175A7"/>
    <w:rsid w:val="3D883C43"/>
    <w:rsid w:val="3D910916"/>
    <w:rsid w:val="3DA935CE"/>
    <w:rsid w:val="3DA93CD4"/>
    <w:rsid w:val="3DFC348B"/>
    <w:rsid w:val="3E0859E5"/>
    <w:rsid w:val="3E0A6CDD"/>
    <w:rsid w:val="3E1E0DAE"/>
    <w:rsid w:val="3E3824FA"/>
    <w:rsid w:val="3E3B46D5"/>
    <w:rsid w:val="3E4465C9"/>
    <w:rsid w:val="3E495BEB"/>
    <w:rsid w:val="3E590352"/>
    <w:rsid w:val="3E5D100F"/>
    <w:rsid w:val="3E6B3C59"/>
    <w:rsid w:val="3E704DFA"/>
    <w:rsid w:val="3E727114"/>
    <w:rsid w:val="3E970574"/>
    <w:rsid w:val="3E995370"/>
    <w:rsid w:val="3E9C5D1B"/>
    <w:rsid w:val="3EAF3CAF"/>
    <w:rsid w:val="3EB15AD4"/>
    <w:rsid w:val="3EB25D98"/>
    <w:rsid w:val="3EB401E3"/>
    <w:rsid w:val="3EB64A7B"/>
    <w:rsid w:val="3EC50CB9"/>
    <w:rsid w:val="3ED0722A"/>
    <w:rsid w:val="3EEB02A9"/>
    <w:rsid w:val="3EED5BE4"/>
    <w:rsid w:val="3EF36771"/>
    <w:rsid w:val="3EF53A12"/>
    <w:rsid w:val="3EFB201E"/>
    <w:rsid w:val="3F000B4E"/>
    <w:rsid w:val="3F0F7A46"/>
    <w:rsid w:val="3F1E3403"/>
    <w:rsid w:val="3F276D1A"/>
    <w:rsid w:val="3F3126F8"/>
    <w:rsid w:val="3F324988"/>
    <w:rsid w:val="3F36380B"/>
    <w:rsid w:val="3F3C0303"/>
    <w:rsid w:val="3F495857"/>
    <w:rsid w:val="3F5B2EB6"/>
    <w:rsid w:val="3F602C9C"/>
    <w:rsid w:val="3F670C4C"/>
    <w:rsid w:val="3F696545"/>
    <w:rsid w:val="3F731171"/>
    <w:rsid w:val="3F7329C3"/>
    <w:rsid w:val="3F762A0F"/>
    <w:rsid w:val="3F872CF7"/>
    <w:rsid w:val="3F8922D7"/>
    <w:rsid w:val="3F8F7699"/>
    <w:rsid w:val="3F982986"/>
    <w:rsid w:val="3FA6040C"/>
    <w:rsid w:val="3FB73EBA"/>
    <w:rsid w:val="3FB81695"/>
    <w:rsid w:val="3FBA69A7"/>
    <w:rsid w:val="3FC509F3"/>
    <w:rsid w:val="3FC76C3F"/>
    <w:rsid w:val="3FCD1563"/>
    <w:rsid w:val="3FCF2445"/>
    <w:rsid w:val="3FE33BD8"/>
    <w:rsid w:val="3FE91E36"/>
    <w:rsid w:val="3FEE5CB8"/>
    <w:rsid w:val="3FF91CED"/>
    <w:rsid w:val="3FFE256D"/>
    <w:rsid w:val="400021DE"/>
    <w:rsid w:val="40015B0D"/>
    <w:rsid w:val="40041583"/>
    <w:rsid w:val="40050544"/>
    <w:rsid w:val="40210382"/>
    <w:rsid w:val="402B1285"/>
    <w:rsid w:val="40322452"/>
    <w:rsid w:val="403A2C90"/>
    <w:rsid w:val="404008AE"/>
    <w:rsid w:val="40735129"/>
    <w:rsid w:val="40754CAD"/>
    <w:rsid w:val="407A007C"/>
    <w:rsid w:val="40822AAA"/>
    <w:rsid w:val="40A70A74"/>
    <w:rsid w:val="40AC6240"/>
    <w:rsid w:val="40B90E06"/>
    <w:rsid w:val="40BD2915"/>
    <w:rsid w:val="40E46280"/>
    <w:rsid w:val="40E57B98"/>
    <w:rsid w:val="40ED2C1B"/>
    <w:rsid w:val="40F32A61"/>
    <w:rsid w:val="41054130"/>
    <w:rsid w:val="41100787"/>
    <w:rsid w:val="41261A63"/>
    <w:rsid w:val="412E5822"/>
    <w:rsid w:val="41463E75"/>
    <w:rsid w:val="41643D9D"/>
    <w:rsid w:val="41765AEA"/>
    <w:rsid w:val="418C77AE"/>
    <w:rsid w:val="41990BB5"/>
    <w:rsid w:val="41A36941"/>
    <w:rsid w:val="41A561A7"/>
    <w:rsid w:val="41AC0C10"/>
    <w:rsid w:val="41AE4407"/>
    <w:rsid w:val="41B33AA7"/>
    <w:rsid w:val="41B84C5E"/>
    <w:rsid w:val="41B91EFD"/>
    <w:rsid w:val="41C96428"/>
    <w:rsid w:val="41CE4DB7"/>
    <w:rsid w:val="41D764F4"/>
    <w:rsid w:val="41E053D5"/>
    <w:rsid w:val="420E67F7"/>
    <w:rsid w:val="42145A7D"/>
    <w:rsid w:val="42176B77"/>
    <w:rsid w:val="422C2F84"/>
    <w:rsid w:val="422E1E08"/>
    <w:rsid w:val="42456135"/>
    <w:rsid w:val="42460042"/>
    <w:rsid w:val="42470737"/>
    <w:rsid w:val="4251506E"/>
    <w:rsid w:val="425D7EB7"/>
    <w:rsid w:val="42642FF3"/>
    <w:rsid w:val="4272671B"/>
    <w:rsid w:val="4287113F"/>
    <w:rsid w:val="42903DE8"/>
    <w:rsid w:val="4294460D"/>
    <w:rsid w:val="4298134A"/>
    <w:rsid w:val="42A15365"/>
    <w:rsid w:val="42A1745C"/>
    <w:rsid w:val="42B91403"/>
    <w:rsid w:val="42C241EC"/>
    <w:rsid w:val="42E128AC"/>
    <w:rsid w:val="42FA5676"/>
    <w:rsid w:val="43014CE6"/>
    <w:rsid w:val="432053AE"/>
    <w:rsid w:val="433C3743"/>
    <w:rsid w:val="433C4EBD"/>
    <w:rsid w:val="4345369B"/>
    <w:rsid w:val="434D0BB8"/>
    <w:rsid w:val="43566DE0"/>
    <w:rsid w:val="435C5346"/>
    <w:rsid w:val="43792AD9"/>
    <w:rsid w:val="437956CB"/>
    <w:rsid w:val="438E5A20"/>
    <w:rsid w:val="439B758E"/>
    <w:rsid w:val="439F4331"/>
    <w:rsid w:val="43A12C88"/>
    <w:rsid w:val="43B1563C"/>
    <w:rsid w:val="43B458B4"/>
    <w:rsid w:val="43C167ED"/>
    <w:rsid w:val="43D25295"/>
    <w:rsid w:val="43DB3837"/>
    <w:rsid w:val="43F65CFB"/>
    <w:rsid w:val="43F72D0A"/>
    <w:rsid w:val="43FD7AF7"/>
    <w:rsid w:val="44050273"/>
    <w:rsid w:val="441325E0"/>
    <w:rsid w:val="4425431B"/>
    <w:rsid w:val="442A2BE0"/>
    <w:rsid w:val="44304486"/>
    <w:rsid w:val="443C1F90"/>
    <w:rsid w:val="445D65BE"/>
    <w:rsid w:val="446A06FA"/>
    <w:rsid w:val="44736B05"/>
    <w:rsid w:val="4475687F"/>
    <w:rsid w:val="447622E8"/>
    <w:rsid w:val="44813C4F"/>
    <w:rsid w:val="449716BC"/>
    <w:rsid w:val="449A71A0"/>
    <w:rsid w:val="44A87BE1"/>
    <w:rsid w:val="44CC089C"/>
    <w:rsid w:val="44D47BEE"/>
    <w:rsid w:val="44D542A9"/>
    <w:rsid w:val="44E3318C"/>
    <w:rsid w:val="44E37273"/>
    <w:rsid w:val="44EE4791"/>
    <w:rsid w:val="44F82E2C"/>
    <w:rsid w:val="45006BFA"/>
    <w:rsid w:val="450459DF"/>
    <w:rsid w:val="450813B7"/>
    <w:rsid w:val="451B7775"/>
    <w:rsid w:val="45232FDE"/>
    <w:rsid w:val="4529095A"/>
    <w:rsid w:val="452A40E7"/>
    <w:rsid w:val="45300AF6"/>
    <w:rsid w:val="45346CDF"/>
    <w:rsid w:val="453865FC"/>
    <w:rsid w:val="454D7651"/>
    <w:rsid w:val="45501143"/>
    <w:rsid w:val="45537588"/>
    <w:rsid w:val="4558013A"/>
    <w:rsid w:val="4566143D"/>
    <w:rsid w:val="45686137"/>
    <w:rsid w:val="457572C5"/>
    <w:rsid w:val="458425FE"/>
    <w:rsid w:val="458D2861"/>
    <w:rsid w:val="45950056"/>
    <w:rsid w:val="45A12EB2"/>
    <w:rsid w:val="45AA67ED"/>
    <w:rsid w:val="45AC3C29"/>
    <w:rsid w:val="45AD2240"/>
    <w:rsid w:val="45B1654F"/>
    <w:rsid w:val="45C2075D"/>
    <w:rsid w:val="45C4793E"/>
    <w:rsid w:val="45CA2B4C"/>
    <w:rsid w:val="45CB16F1"/>
    <w:rsid w:val="45CB40BA"/>
    <w:rsid w:val="45CF3F87"/>
    <w:rsid w:val="45E16ACE"/>
    <w:rsid w:val="45FB4860"/>
    <w:rsid w:val="460D5302"/>
    <w:rsid w:val="461916EF"/>
    <w:rsid w:val="461C014F"/>
    <w:rsid w:val="462036A4"/>
    <w:rsid w:val="46293AA2"/>
    <w:rsid w:val="463D7DBF"/>
    <w:rsid w:val="4641481F"/>
    <w:rsid w:val="4646138E"/>
    <w:rsid w:val="46527462"/>
    <w:rsid w:val="46573D2A"/>
    <w:rsid w:val="465C0D99"/>
    <w:rsid w:val="46637524"/>
    <w:rsid w:val="466C7132"/>
    <w:rsid w:val="46745A11"/>
    <w:rsid w:val="467947F4"/>
    <w:rsid w:val="46911AEA"/>
    <w:rsid w:val="469C19B3"/>
    <w:rsid w:val="46B104A2"/>
    <w:rsid w:val="46B47755"/>
    <w:rsid w:val="46B67632"/>
    <w:rsid w:val="46BB1B05"/>
    <w:rsid w:val="46CC3460"/>
    <w:rsid w:val="46E01A8A"/>
    <w:rsid w:val="46E4064F"/>
    <w:rsid w:val="46EA0152"/>
    <w:rsid w:val="46EB0DF2"/>
    <w:rsid w:val="46FA4751"/>
    <w:rsid w:val="470D2069"/>
    <w:rsid w:val="47102E6B"/>
    <w:rsid w:val="471259E9"/>
    <w:rsid w:val="471550EC"/>
    <w:rsid w:val="47227322"/>
    <w:rsid w:val="47300D2A"/>
    <w:rsid w:val="47423560"/>
    <w:rsid w:val="47470FC5"/>
    <w:rsid w:val="474A267D"/>
    <w:rsid w:val="4754500A"/>
    <w:rsid w:val="476043CB"/>
    <w:rsid w:val="476946C9"/>
    <w:rsid w:val="4779656C"/>
    <w:rsid w:val="47BC7603"/>
    <w:rsid w:val="47BE7A5B"/>
    <w:rsid w:val="47C75CAE"/>
    <w:rsid w:val="47CB31E5"/>
    <w:rsid w:val="47CC58C3"/>
    <w:rsid w:val="48042299"/>
    <w:rsid w:val="48072F63"/>
    <w:rsid w:val="4812077E"/>
    <w:rsid w:val="482A3FE1"/>
    <w:rsid w:val="48327EBB"/>
    <w:rsid w:val="48335AC8"/>
    <w:rsid w:val="48445774"/>
    <w:rsid w:val="48480A48"/>
    <w:rsid w:val="486954B8"/>
    <w:rsid w:val="487478EF"/>
    <w:rsid w:val="487822A5"/>
    <w:rsid w:val="488A10F7"/>
    <w:rsid w:val="489F1C03"/>
    <w:rsid w:val="48CE11C6"/>
    <w:rsid w:val="48D57DD9"/>
    <w:rsid w:val="48D679AF"/>
    <w:rsid w:val="48E05885"/>
    <w:rsid w:val="48E76DFC"/>
    <w:rsid w:val="48E96EEF"/>
    <w:rsid w:val="48FE4F86"/>
    <w:rsid w:val="49006273"/>
    <w:rsid w:val="49026614"/>
    <w:rsid w:val="4904364B"/>
    <w:rsid w:val="490B5297"/>
    <w:rsid w:val="493018B0"/>
    <w:rsid w:val="4957273D"/>
    <w:rsid w:val="495C3F30"/>
    <w:rsid w:val="495F5F18"/>
    <w:rsid w:val="4985775C"/>
    <w:rsid w:val="49902D9B"/>
    <w:rsid w:val="49903545"/>
    <w:rsid w:val="49977CF0"/>
    <w:rsid w:val="499C66C1"/>
    <w:rsid w:val="49A20C90"/>
    <w:rsid w:val="49A34D3A"/>
    <w:rsid w:val="49AC203D"/>
    <w:rsid w:val="49B03288"/>
    <w:rsid w:val="49B243FC"/>
    <w:rsid w:val="49DA45A4"/>
    <w:rsid w:val="49E6328C"/>
    <w:rsid w:val="4A0D78C4"/>
    <w:rsid w:val="4A1150A2"/>
    <w:rsid w:val="4A1672C9"/>
    <w:rsid w:val="4A234CCF"/>
    <w:rsid w:val="4A2452A1"/>
    <w:rsid w:val="4A41501F"/>
    <w:rsid w:val="4A491638"/>
    <w:rsid w:val="4A5A301A"/>
    <w:rsid w:val="4A5D3C96"/>
    <w:rsid w:val="4A631014"/>
    <w:rsid w:val="4A70426A"/>
    <w:rsid w:val="4A871361"/>
    <w:rsid w:val="4A8C1339"/>
    <w:rsid w:val="4A904E20"/>
    <w:rsid w:val="4A952E37"/>
    <w:rsid w:val="4A9B332A"/>
    <w:rsid w:val="4A9D7D25"/>
    <w:rsid w:val="4AAD45B2"/>
    <w:rsid w:val="4AB50542"/>
    <w:rsid w:val="4AE81E2E"/>
    <w:rsid w:val="4AF05F73"/>
    <w:rsid w:val="4AF57CAF"/>
    <w:rsid w:val="4AFD3FE5"/>
    <w:rsid w:val="4B0206C0"/>
    <w:rsid w:val="4B112FC3"/>
    <w:rsid w:val="4B12495E"/>
    <w:rsid w:val="4B2A3575"/>
    <w:rsid w:val="4B3A6FE7"/>
    <w:rsid w:val="4B3B35A6"/>
    <w:rsid w:val="4B516DB4"/>
    <w:rsid w:val="4B54763E"/>
    <w:rsid w:val="4B6A636D"/>
    <w:rsid w:val="4B71072A"/>
    <w:rsid w:val="4B773C45"/>
    <w:rsid w:val="4B7F0BCA"/>
    <w:rsid w:val="4B815674"/>
    <w:rsid w:val="4B834B5D"/>
    <w:rsid w:val="4B9C0419"/>
    <w:rsid w:val="4B9D0146"/>
    <w:rsid w:val="4BA02E79"/>
    <w:rsid w:val="4BAD2157"/>
    <w:rsid w:val="4BBA3844"/>
    <w:rsid w:val="4BC56A86"/>
    <w:rsid w:val="4BE37447"/>
    <w:rsid w:val="4BE7609F"/>
    <w:rsid w:val="4BEF095E"/>
    <w:rsid w:val="4BF4285A"/>
    <w:rsid w:val="4BFB5877"/>
    <w:rsid w:val="4C051716"/>
    <w:rsid w:val="4C0B5EF2"/>
    <w:rsid w:val="4C1A0204"/>
    <w:rsid w:val="4C203C37"/>
    <w:rsid w:val="4C29386B"/>
    <w:rsid w:val="4C3A71EF"/>
    <w:rsid w:val="4C3E2241"/>
    <w:rsid w:val="4C4402AF"/>
    <w:rsid w:val="4C524697"/>
    <w:rsid w:val="4C653401"/>
    <w:rsid w:val="4C7C718B"/>
    <w:rsid w:val="4C8A09F8"/>
    <w:rsid w:val="4C9F6F17"/>
    <w:rsid w:val="4CA332B5"/>
    <w:rsid w:val="4CAE4258"/>
    <w:rsid w:val="4CB51029"/>
    <w:rsid w:val="4CD80601"/>
    <w:rsid w:val="4CDE64DD"/>
    <w:rsid w:val="4D0329D7"/>
    <w:rsid w:val="4D077F29"/>
    <w:rsid w:val="4D0B299B"/>
    <w:rsid w:val="4D160949"/>
    <w:rsid w:val="4D235C4E"/>
    <w:rsid w:val="4D2375BF"/>
    <w:rsid w:val="4D3637DE"/>
    <w:rsid w:val="4D36474B"/>
    <w:rsid w:val="4D5554A5"/>
    <w:rsid w:val="4D604438"/>
    <w:rsid w:val="4D777873"/>
    <w:rsid w:val="4D7C423A"/>
    <w:rsid w:val="4D825271"/>
    <w:rsid w:val="4D90429C"/>
    <w:rsid w:val="4D975A90"/>
    <w:rsid w:val="4DB2380D"/>
    <w:rsid w:val="4DB743CC"/>
    <w:rsid w:val="4DBF2BD5"/>
    <w:rsid w:val="4DBF5582"/>
    <w:rsid w:val="4DE96683"/>
    <w:rsid w:val="4DF55447"/>
    <w:rsid w:val="4DF6781D"/>
    <w:rsid w:val="4DFE0F8B"/>
    <w:rsid w:val="4E082152"/>
    <w:rsid w:val="4E127480"/>
    <w:rsid w:val="4E32129C"/>
    <w:rsid w:val="4E6023B2"/>
    <w:rsid w:val="4E6525CD"/>
    <w:rsid w:val="4E683C50"/>
    <w:rsid w:val="4E7B5A2E"/>
    <w:rsid w:val="4E8A58D4"/>
    <w:rsid w:val="4E9A79BD"/>
    <w:rsid w:val="4EB512D1"/>
    <w:rsid w:val="4EBA687B"/>
    <w:rsid w:val="4ECF7B24"/>
    <w:rsid w:val="4ED14718"/>
    <w:rsid w:val="4EEE0138"/>
    <w:rsid w:val="4F0B3585"/>
    <w:rsid w:val="4F141375"/>
    <w:rsid w:val="4F1612C3"/>
    <w:rsid w:val="4F165947"/>
    <w:rsid w:val="4F283FD2"/>
    <w:rsid w:val="4F31680B"/>
    <w:rsid w:val="4F372745"/>
    <w:rsid w:val="4F4B6071"/>
    <w:rsid w:val="4F5601E4"/>
    <w:rsid w:val="4F6603AB"/>
    <w:rsid w:val="4F8C64C1"/>
    <w:rsid w:val="4F99287A"/>
    <w:rsid w:val="4FAC597D"/>
    <w:rsid w:val="4FBB59C7"/>
    <w:rsid w:val="4FC155E1"/>
    <w:rsid w:val="4FC45A45"/>
    <w:rsid w:val="4FDD2612"/>
    <w:rsid w:val="4FDE2637"/>
    <w:rsid w:val="4FE22DDB"/>
    <w:rsid w:val="4FFF3F5F"/>
    <w:rsid w:val="50060280"/>
    <w:rsid w:val="5012690B"/>
    <w:rsid w:val="50224090"/>
    <w:rsid w:val="502A0F5B"/>
    <w:rsid w:val="50324627"/>
    <w:rsid w:val="503A1A92"/>
    <w:rsid w:val="503D47BC"/>
    <w:rsid w:val="503E1D00"/>
    <w:rsid w:val="50527186"/>
    <w:rsid w:val="50635DAA"/>
    <w:rsid w:val="50796E7A"/>
    <w:rsid w:val="507B60D8"/>
    <w:rsid w:val="5087673B"/>
    <w:rsid w:val="509E1C70"/>
    <w:rsid w:val="50A01F45"/>
    <w:rsid w:val="50A76E0E"/>
    <w:rsid w:val="50B129E9"/>
    <w:rsid w:val="50B81D9C"/>
    <w:rsid w:val="50CC6933"/>
    <w:rsid w:val="50D6159A"/>
    <w:rsid w:val="50D87C17"/>
    <w:rsid w:val="50E43918"/>
    <w:rsid w:val="50E85D28"/>
    <w:rsid w:val="50F54F91"/>
    <w:rsid w:val="510A74EF"/>
    <w:rsid w:val="510F6296"/>
    <w:rsid w:val="5121091F"/>
    <w:rsid w:val="51340234"/>
    <w:rsid w:val="513724DE"/>
    <w:rsid w:val="515E1726"/>
    <w:rsid w:val="516E0590"/>
    <w:rsid w:val="516E0E25"/>
    <w:rsid w:val="51745D93"/>
    <w:rsid w:val="517B2107"/>
    <w:rsid w:val="51810DEC"/>
    <w:rsid w:val="51A008CD"/>
    <w:rsid w:val="51B929CF"/>
    <w:rsid w:val="51D268EF"/>
    <w:rsid w:val="51DA090B"/>
    <w:rsid w:val="51EF47E5"/>
    <w:rsid w:val="51FD0E1F"/>
    <w:rsid w:val="5226168C"/>
    <w:rsid w:val="52423F74"/>
    <w:rsid w:val="52454049"/>
    <w:rsid w:val="52466271"/>
    <w:rsid w:val="525371D8"/>
    <w:rsid w:val="525A09AD"/>
    <w:rsid w:val="525A7CC8"/>
    <w:rsid w:val="5260547E"/>
    <w:rsid w:val="52644F0E"/>
    <w:rsid w:val="526B217C"/>
    <w:rsid w:val="52896D30"/>
    <w:rsid w:val="52970D70"/>
    <w:rsid w:val="52A551C8"/>
    <w:rsid w:val="52A92A0F"/>
    <w:rsid w:val="52B551A5"/>
    <w:rsid w:val="52BA371D"/>
    <w:rsid w:val="52C84ED8"/>
    <w:rsid w:val="52D67FA6"/>
    <w:rsid w:val="52FC73E2"/>
    <w:rsid w:val="53000B16"/>
    <w:rsid w:val="530D53EC"/>
    <w:rsid w:val="531732F1"/>
    <w:rsid w:val="53285977"/>
    <w:rsid w:val="53303D09"/>
    <w:rsid w:val="53304D1D"/>
    <w:rsid w:val="53425818"/>
    <w:rsid w:val="53425EE0"/>
    <w:rsid w:val="53425EF6"/>
    <w:rsid w:val="535D1AC5"/>
    <w:rsid w:val="5387768D"/>
    <w:rsid w:val="53B2142D"/>
    <w:rsid w:val="53B85D8D"/>
    <w:rsid w:val="53BD5A79"/>
    <w:rsid w:val="53C7318C"/>
    <w:rsid w:val="53C84DB6"/>
    <w:rsid w:val="53D361F2"/>
    <w:rsid w:val="53EB247E"/>
    <w:rsid w:val="54341878"/>
    <w:rsid w:val="54461456"/>
    <w:rsid w:val="54500E1F"/>
    <w:rsid w:val="54584183"/>
    <w:rsid w:val="54A6188D"/>
    <w:rsid w:val="54C61997"/>
    <w:rsid w:val="54D30A5D"/>
    <w:rsid w:val="54EB2652"/>
    <w:rsid w:val="54F344B3"/>
    <w:rsid w:val="55140BC0"/>
    <w:rsid w:val="55147866"/>
    <w:rsid w:val="551F42DB"/>
    <w:rsid w:val="552261BB"/>
    <w:rsid w:val="5547413E"/>
    <w:rsid w:val="554C7B9C"/>
    <w:rsid w:val="554C7F8C"/>
    <w:rsid w:val="555420A3"/>
    <w:rsid w:val="55562C6F"/>
    <w:rsid w:val="55842345"/>
    <w:rsid w:val="55912DB4"/>
    <w:rsid w:val="55963E95"/>
    <w:rsid w:val="55AB6FEA"/>
    <w:rsid w:val="55BE190C"/>
    <w:rsid w:val="55C5709B"/>
    <w:rsid w:val="55C81CC7"/>
    <w:rsid w:val="55CB3EF0"/>
    <w:rsid w:val="55E70297"/>
    <w:rsid w:val="55EF70D7"/>
    <w:rsid w:val="55FD0F4D"/>
    <w:rsid w:val="55FD3145"/>
    <w:rsid w:val="560E1B5A"/>
    <w:rsid w:val="56340A6E"/>
    <w:rsid w:val="56386B0F"/>
    <w:rsid w:val="563B476F"/>
    <w:rsid w:val="56445D03"/>
    <w:rsid w:val="5646301D"/>
    <w:rsid w:val="564B654C"/>
    <w:rsid w:val="565E2060"/>
    <w:rsid w:val="566341DE"/>
    <w:rsid w:val="566B212B"/>
    <w:rsid w:val="566D2743"/>
    <w:rsid w:val="566F208B"/>
    <w:rsid w:val="56793474"/>
    <w:rsid w:val="568124EC"/>
    <w:rsid w:val="569C7B41"/>
    <w:rsid w:val="56B66E2C"/>
    <w:rsid w:val="56BA0FDC"/>
    <w:rsid w:val="56BC2FA6"/>
    <w:rsid w:val="56BC3A3D"/>
    <w:rsid w:val="56C26549"/>
    <w:rsid w:val="56C71EC1"/>
    <w:rsid w:val="56C83DE8"/>
    <w:rsid w:val="56E2522C"/>
    <w:rsid w:val="56FB267B"/>
    <w:rsid w:val="57011175"/>
    <w:rsid w:val="57050C5A"/>
    <w:rsid w:val="57164654"/>
    <w:rsid w:val="571D46A9"/>
    <w:rsid w:val="572B4D0F"/>
    <w:rsid w:val="572B5BD8"/>
    <w:rsid w:val="572F2765"/>
    <w:rsid w:val="5748240F"/>
    <w:rsid w:val="574C2352"/>
    <w:rsid w:val="57551C24"/>
    <w:rsid w:val="576C2E6F"/>
    <w:rsid w:val="57711FE2"/>
    <w:rsid w:val="57766E4E"/>
    <w:rsid w:val="57925AB5"/>
    <w:rsid w:val="579B7288"/>
    <w:rsid w:val="579D57BA"/>
    <w:rsid w:val="57A64DE8"/>
    <w:rsid w:val="57A73558"/>
    <w:rsid w:val="57AF2C05"/>
    <w:rsid w:val="57BE5766"/>
    <w:rsid w:val="57C341C1"/>
    <w:rsid w:val="57F32F26"/>
    <w:rsid w:val="58040EFC"/>
    <w:rsid w:val="580A02B5"/>
    <w:rsid w:val="584521FF"/>
    <w:rsid w:val="584E1228"/>
    <w:rsid w:val="5857608A"/>
    <w:rsid w:val="5857796C"/>
    <w:rsid w:val="5858255C"/>
    <w:rsid w:val="58583422"/>
    <w:rsid w:val="58692990"/>
    <w:rsid w:val="586B70B2"/>
    <w:rsid w:val="586B764B"/>
    <w:rsid w:val="586F3C15"/>
    <w:rsid w:val="58775B41"/>
    <w:rsid w:val="589F0D32"/>
    <w:rsid w:val="58A823F3"/>
    <w:rsid w:val="58B27CCE"/>
    <w:rsid w:val="58DF62A6"/>
    <w:rsid w:val="58E159EE"/>
    <w:rsid w:val="58E176DC"/>
    <w:rsid w:val="58EE63CC"/>
    <w:rsid w:val="58F44C79"/>
    <w:rsid w:val="58F503EE"/>
    <w:rsid w:val="590B7D0D"/>
    <w:rsid w:val="590E517E"/>
    <w:rsid w:val="591344A4"/>
    <w:rsid w:val="59241B41"/>
    <w:rsid w:val="59342F0B"/>
    <w:rsid w:val="593B432B"/>
    <w:rsid w:val="59537972"/>
    <w:rsid w:val="595D3FB0"/>
    <w:rsid w:val="5970160E"/>
    <w:rsid w:val="59773BB5"/>
    <w:rsid w:val="59835140"/>
    <w:rsid w:val="598B6C60"/>
    <w:rsid w:val="59B62052"/>
    <w:rsid w:val="59B91A1F"/>
    <w:rsid w:val="59C97F58"/>
    <w:rsid w:val="59D40607"/>
    <w:rsid w:val="59E473FC"/>
    <w:rsid w:val="59EB5122"/>
    <w:rsid w:val="59EE7260"/>
    <w:rsid w:val="59F5387E"/>
    <w:rsid w:val="59F74035"/>
    <w:rsid w:val="5A067638"/>
    <w:rsid w:val="5A1B29C5"/>
    <w:rsid w:val="5A44549F"/>
    <w:rsid w:val="5A4D42EC"/>
    <w:rsid w:val="5A5749FD"/>
    <w:rsid w:val="5A631B11"/>
    <w:rsid w:val="5A6951F3"/>
    <w:rsid w:val="5A843837"/>
    <w:rsid w:val="5A8564FF"/>
    <w:rsid w:val="5A875D6B"/>
    <w:rsid w:val="5AA52527"/>
    <w:rsid w:val="5AA62413"/>
    <w:rsid w:val="5AB76329"/>
    <w:rsid w:val="5ACC5811"/>
    <w:rsid w:val="5AF91B74"/>
    <w:rsid w:val="5B04637C"/>
    <w:rsid w:val="5B0964C0"/>
    <w:rsid w:val="5B0D6B78"/>
    <w:rsid w:val="5B2749EB"/>
    <w:rsid w:val="5B2E5C08"/>
    <w:rsid w:val="5B307F08"/>
    <w:rsid w:val="5B336BC2"/>
    <w:rsid w:val="5B3E284D"/>
    <w:rsid w:val="5B433C96"/>
    <w:rsid w:val="5B440AF6"/>
    <w:rsid w:val="5B623F84"/>
    <w:rsid w:val="5B6750EB"/>
    <w:rsid w:val="5B6A3E52"/>
    <w:rsid w:val="5B8A73CA"/>
    <w:rsid w:val="5BB522F0"/>
    <w:rsid w:val="5BBC1352"/>
    <w:rsid w:val="5BBE7F06"/>
    <w:rsid w:val="5BC1604D"/>
    <w:rsid w:val="5BC91B0B"/>
    <w:rsid w:val="5BD7618C"/>
    <w:rsid w:val="5BE90E9B"/>
    <w:rsid w:val="5BF913EB"/>
    <w:rsid w:val="5BFA549A"/>
    <w:rsid w:val="5C05719D"/>
    <w:rsid w:val="5C0A3343"/>
    <w:rsid w:val="5C0B2919"/>
    <w:rsid w:val="5C3570FC"/>
    <w:rsid w:val="5C38168E"/>
    <w:rsid w:val="5C3A3A3E"/>
    <w:rsid w:val="5C4A3EF0"/>
    <w:rsid w:val="5C5A68D2"/>
    <w:rsid w:val="5C5B512A"/>
    <w:rsid w:val="5C5E1C69"/>
    <w:rsid w:val="5C6931CF"/>
    <w:rsid w:val="5C6C2D78"/>
    <w:rsid w:val="5C70026C"/>
    <w:rsid w:val="5C763E35"/>
    <w:rsid w:val="5C920778"/>
    <w:rsid w:val="5CA17C3E"/>
    <w:rsid w:val="5CA22FBB"/>
    <w:rsid w:val="5CDD1888"/>
    <w:rsid w:val="5CF93658"/>
    <w:rsid w:val="5D113688"/>
    <w:rsid w:val="5D1340DC"/>
    <w:rsid w:val="5D235B2D"/>
    <w:rsid w:val="5D276A91"/>
    <w:rsid w:val="5D3325A1"/>
    <w:rsid w:val="5D3B09DE"/>
    <w:rsid w:val="5D5C692C"/>
    <w:rsid w:val="5D6938D6"/>
    <w:rsid w:val="5D7966FD"/>
    <w:rsid w:val="5D8A2ECE"/>
    <w:rsid w:val="5D990980"/>
    <w:rsid w:val="5D9E4ABD"/>
    <w:rsid w:val="5DB948AE"/>
    <w:rsid w:val="5DBF4D0C"/>
    <w:rsid w:val="5DC74791"/>
    <w:rsid w:val="5DCA6629"/>
    <w:rsid w:val="5DD21301"/>
    <w:rsid w:val="5DE4349C"/>
    <w:rsid w:val="5DE87BA3"/>
    <w:rsid w:val="5DEB7846"/>
    <w:rsid w:val="5DFC4070"/>
    <w:rsid w:val="5DFD1E5E"/>
    <w:rsid w:val="5E0A2849"/>
    <w:rsid w:val="5E187A9F"/>
    <w:rsid w:val="5E1E5346"/>
    <w:rsid w:val="5E29353C"/>
    <w:rsid w:val="5E2E2231"/>
    <w:rsid w:val="5E302FA8"/>
    <w:rsid w:val="5E324C33"/>
    <w:rsid w:val="5E3340B5"/>
    <w:rsid w:val="5E493E31"/>
    <w:rsid w:val="5E8071A4"/>
    <w:rsid w:val="5E851D6D"/>
    <w:rsid w:val="5E8A5C42"/>
    <w:rsid w:val="5E9678DF"/>
    <w:rsid w:val="5EB04FC2"/>
    <w:rsid w:val="5EC1718C"/>
    <w:rsid w:val="5ED25F53"/>
    <w:rsid w:val="5EE74938"/>
    <w:rsid w:val="5EF30D5D"/>
    <w:rsid w:val="5F021215"/>
    <w:rsid w:val="5F1902B6"/>
    <w:rsid w:val="5F25441A"/>
    <w:rsid w:val="5F2A0ECD"/>
    <w:rsid w:val="5F2D0A09"/>
    <w:rsid w:val="5F2F4B27"/>
    <w:rsid w:val="5F313E05"/>
    <w:rsid w:val="5F4965EA"/>
    <w:rsid w:val="5F4F746D"/>
    <w:rsid w:val="5F566E9F"/>
    <w:rsid w:val="5F622211"/>
    <w:rsid w:val="5F66559C"/>
    <w:rsid w:val="5F6B6B32"/>
    <w:rsid w:val="5F7E65F0"/>
    <w:rsid w:val="5F8637DF"/>
    <w:rsid w:val="5F8F66B4"/>
    <w:rsid w:val="5F9A5E4E"/>
    <w:rsid w:val="5FAF4662"/>
    <w:rsid w:val="5FB8037A"/>
    <w:rsid w:val="5FC85DB1"/>
    <w:rsid w:val="5FD44E33"/>
    <w:rsid w:val="5FD67E2E"/>
    <w:rsid w:val="5FDF07F4"/>
    <w:rsid w:val="5FE716F5"/>
    <w:rsid w:val="5FEF6FA9"/>
    <w:rsid w:val="5FF03FE0"/>
    <w:rsid w:val="600F0A86"/>
    <w:rsid w:val="601F7A80"/>
    <w:rsid w:val="6030212B"/>
    <w:rsid w:val="6038266D"/>
    <w:rsid w:val="60394762"/>
    <w:rsid w:val="603A3079"/>
    <w:rsid w:val="60457191"/>
    <w:rsid w:val="60613802"/>
    <w:rsid w:val="60632F44"/>
    <w:rsid w:val="606926CB"/>
    <w:rsid w:val="606B6EC9"/>
    <w:rsid w:val="606F6D93"/>
    <w:rsid w:val="607E64FD"/>
    <w:rsid w:val="60882E00"/>
    <w:rsid w:val="60A212BD"/>
    <w:rsid w:val="60A31489"/>
    <w:rsid w:val="60A43D36"/>
    <w:rsid w:val="60A5557F"/>
    <w:rsid w:val="60A70643"/>
    <w:rsid w:val="60C018E5"/>
    <w:rsid w:val="60C14B34"/>
    <w:rsid w:val="60C925D1"/>
    <w:rsid w:val="60CC7C8B"/>
    <w:rsid w:val="60D13672"/>
    <w:rsid w:val="60DB3725"/>
    <w:rsid w:val="60E25EE0"/>
    <w:rsid w:val="60F73E62"/>
    <w:rsid w:val="61066529"/>
    <w:rsid w:val="61072F9D"/>
    <w:rsid w:val="612729BB"/>
    <w:rsid w:val="613B1D3F"/>
    <w:rsid w:val="613D1187"/>
    <w:rsid w:val="613F3A8B"/>
    <w:rsid w:val="614E7A59"/>
    <w:rsid w:val="61500EBB"/>
    <w:rsid w:val="617107B6"/>
    <w:rsid w:val="61771CFE"/>
    <w:rsid w:val="617E2E52"/>
    <w:rsid w:val="61861C82"/>
    <w:rsid w:val="61983B9F"/>
    <w:rsid w:val="61A4454B"/>
    <w:rsid w:val="61A96EB2"/>
    <w:rsid w:val="61B94F7B"/>
    <w:rsid w:val="61C70761"/>
    <w:rsid w:val="61C86D9F"/>
    <w:rsid w:val="61D90EB0"/>
    <w:rsid w:val="61EE4AE2"/>
    <w:rsid w:val="6208200F"/>
    <w:rsid w:val="62183CFB"/>
    <w:rsid w:val="62192ECD"/>
    <w:rsid w:val="62330EBD"/>
    <w:rsid w:val="623424DA"/>
    <w:rsid w:val="62477C05"/>
    <w:rsid w:val="62522A10"/>
    <w:rsid w:val="626D113F"/>
    <w:rsid w:val="627666FF"/>
    <w:rsid w:val="62781D33"/>
    <w:rsid w:val="627F73F5"/>
    <w:rsid w:val="62817D88"/>
    <w:rsid w:val="62826A26"/>
    <w:rsid w:val="628F132D"/>
    <w:rsid w:val="62931E48"/>
    <w:rsid w:val="629E3A3C"/>
    <w:rsid w:val="629E5E52"/>
    <w:rsid w:val="62A0218F"/>
    <w:rsid w:val="62A04B77"/>
    <w:rsid w:val="62A274F4"/>
    <w:rsid w:val="62A75FD0"/>
    <w:rsid w:val="62C42574"/>
    <w:rsid w:val="62D05216"/>
    <w:rsid w:val="62E23DB4"/>
    <w:rsid w:val="62F356CA"/>
    <w:rsid w:val="631513AF"/>
    <w:rsid w:val="63155DAC"/>
    <w:rsid w:val="63243F99"/>
    <w:rsid w:val="634D002B"/>
    <w:rsid w:val="635B1BAF"/>
    <w:rsid w:val="635C7B9B"/>
    <w:rsid w:val="6387630D"/>
    <w:rsid w:val="638F2E18"/>
    <w:rsid w:val="63906AE8"/>
    <w:rsid w:val="63920503"/>
    <w:rsid w:val="63A11875"/>
    <w:rsid w:val="63C57D37"/>
    <w:rsid w:val="63C86252"/>
    <w:rsid w:val="63CB2F01"/>
    <w:rsid w:val="63DD6731"/>
    <w:rsid w:val="63E26AC5"/>
    <w:rsid w:val="63EA5BED"/>
    <w:rsid w:val="64012DA8"/>
    <w:rsid w:val="64144A10"/>
    <w:rsid w:val="641726EB"/>
    <w:rsid w:val="6419746C"/>
    <w:rsid w:val="64207416"/>
    <w:rsid w:val="64322AF9"/>
    <w:rsid w:val="644001BE"/>
    <w:rsid w:val="647432AC"/>
    <w:rsid w:val="64752307"/>
    <w:rsid w:val="648412C2"/>
    <w:rsid w:val="64AE1DAE"/>
    <w:rsid w:val="64B01553"/>
    <w:rsid w:val="64B1509A"/>
    <w:rsid w:val="64B96DBC"/>
    <w:rsid w:val="64C24F61"/>
    <w:rsid w:val="64CB6AD3"/>
    <w:rsid w:val="64D92070"/>
    <w:rsid w:val="64DB597A"/>
    <w:rsid w:val="64DC1F75"/>
    <w:rsid w:val="64E77440"/>
    <w:rsid w:val="64EE49CF"/>
    <w:rsid w:val="64F93105"/>
    <w:rsid w:val="64FC24D0"/>
    <w:rsid w:val="64FC710C"/>
    <w:rsid w:val="651B533C"/>
    <w:rsid w:val="65217CA4"/>
    <w:rsid w:val="652A1A23"/>
    <w:rsid w:val="652C5905"/>
    <w:rsid w:val="652E32C1"/>
    <w:rsid w:val="65387C9C"/>
    <w:rsid w:val="65424FBE"/>
    <w:rsid w:val="65525C0E"/>
    <w:rsid w:val="657036A4"/>
    <w:rsid w:val="657F7977"/>
    <w:rsid w:val="658D7C4D"/>
    <w:rsid w:val="65B25CA0"/>
    <w:rsid w:val="65B57B97"/>
    <w:rsid w:val="65B86A3A"/>
    <w:rsid w:val="65C30C48"/>
    <w:rsid w:val="65D435EF"/>
    <w:rsid w:val="65DD5A59"/>
    <w:rsid w:val="65E16585"/>
    <w:rsid w:val="65FE24AC"/>
    <w:rsid w:val="66045839"/>
    <w:rsid w:val="661E3980"/>
    <w:rsid w:val="661E7DB9"/>
    <w:rsid w:val="661F2D78"/>
    <w:rsid w:val="662E7E11"/>
    <w:rsid w:val="66314933"/>
    <w:rsid w:val="663823C1"/>
    <w:rsid w:val="66415276"/>
    <w:rsid w:val="6641727F"/>
    <w:rsid w:val="665915A1"/>
    <w:rsid w:val="665959CE"/>
    <w:rsid w:val="665F2328"/>
    <w:rsid w:val="665F26F5"/>
    <w:rsid w:val="666822A9"/>
    <w:rsid w:val="667569ED"/>
    <w:rsid w:val="66807B4C"/>
    <w:rsid w:val="66BE1535"/>
    <w:rsid w:val="66BF628A"/>
    <w:rsid w:val="66CA2D2F"/>
    <w:rsid w:val="66E56ACE"/>
    <w:rsid w:val="66FF6B80"/>
    <w:rsid w:val="6700230E"/>
    <w:rsid w:val="671029A4"/>
    <w:rsid w:val="672C10D5"/>
    <w:rsid w:val="672F1A96"/>
    <w:rsid w:val="673062E9"/>
    <w:rsid w:val="67387799"/>
    <w:rsid w:val="67496A8C"/>
    <w:rsid w:val="67695297"/>
    <w:rsid w:val="677454A1"/>
    <w:rsid w:val="679922EE"/>
    <w:rsid w:val="679946EA"/>
    <w:rsid w:val="67A244A8"/>
    <w:rsid w:val="67AE550F"/>
    <w:rsid w:val="67C463D6"/>
    <w:rsid w:val="67E1033D"/>
    <w:rsid w:val="67E52145"/>
    <w:rsid w:val="67F94888"/>
    <w:rsid w:val="67FB55AA"/>
    <w:rsid w:val="68261318"/>
    <w:rsid w:val="684B23DC"/>
    <w:rsid w:val="684C105F"/>
    <w:rsid w:val="684D0AE9"/>
    <w:rsid w:val="685858C7"/>
    <w:rsid w:val="68633281"/>
    <w:rsid w:val="68720801"/>
    <w:rsid w:val="687C2750"/>
    <w:rsid w:val="688E48DE"/>
    <w:rsid w:val="68981A28"/>
    <w:rsid w:val="689F3679"/>
    <w:rsid w:val="68AE3637"/>
    <w:rsid w:val="68B24832"/>
    <w:rsid w:val="68B43ADD"/>
    <w:rsid w:val="68B47583"/>
    <w:rsid w:val="68BE64F1"/>
    <w:rsid w:val="68D647F8"/>
    <w:rsid w:val="68DD6B4B"/>
    <w:rsid w:val="68EC1146"/>
    <w:rsid w:val="68ED5241"/>
    <w:rsid w:val="68F132CB"/>
    <w:rsid w:val="68FE3C6D"/>
    <w:rsid w:val="69011E64"/>
    <w:rsid w:val="69032977"/>
    <w:rsid w:val="690B3A29"/>
    <w:rsid w:val="691141F0"/>
    <w:rsid w:val="691D47AD"/>
    <w:rsid w:val="69215F81"/>
    <w:rsid w:val="69236EB5"/>
    <w:rsid w:val="692C43C4"/>
    <w:rsid w:val="6940119C"/>
    <w:rsid w:val="69502F26"/>
    <w:rsid w:val="695854D4"/>
    <w:rsid w:val="69594684"/>
    <w:rsid w:val="695A4786"/>
    <w:rsid w:val="695B7356"/>
    <w:rsid w:val="69747710"/>
    <w:rsid w:val="699121C5"/>
    <w:rsid w:val="6998628B"/>
    <w:rsid w:val="699D27C3"/>
    <w:rsid w:val="69DE752E"/>
    <w:rsid w:val="69E200FA"/>
    <w:rsid w:val="69F12DBB"/>
    <w:rsid w:val="69FA6DDB"/>
    <w:rsid w:val="6A060843"/>
    <w:rsid w:val="6A0E2D25"/>
    <w:rsid w:val="6A144B8E"/>
    <w:rsid w:val="6A15556F"/>
    <w:rsid w:val="6A1F066F"/>
    <w:rsid w:val="6A561C1C"/>
    <w:rsid w:val="6A5E33D3"/>
    <w:rsid w:val="6A7C4C84"/>
    <w:rsid w:val="6A8546E5"/>
    <w:rsid w:val="6A886993"/>
    <w:rsid w:val="6A920C0D"/>
    <w:rsid w:val="6A94038D"/>
    <w:rsid w:val="6A997B28"/>
    <w:rsid w:val="6AAF4DB7"/>
    <w:rsid w:val="6AB05167"/>
    <w:rsid w:val="6AC9569E"/>
    <w:rsid w:val="6ACA0919"/>
    <w:rsid w:val="6AD466B8"/>
    <w:rsid w:val="6AD71161"/>
    <w:rsid w:val="6AD759BE"/>
    <w:rsid w:val="6AE24489"/>
    <w:rsid w:val="6AE854DD"/>
    <w:rsid w:val="6AF127C3"/>
    <w:rsid w:val="6AF8223A"/>
    <w:rsid w:val="6B111CA2"/>
    <w:rsid w:val="6B1A35BB"/>
    <w:rsid w:val="6B273CB9"/>
    <w:rsid w:val="6B43505A"/>
    <w:rsid w:val="6B697E1E"/>
    <w:rsid w:val="6B80355B"/>
    <w:rsid w:val="6B820E86"/>
    <w:rsid w:val="6B8A60C2"/>
    <w:rsid w:val="6BA765AE"/>
    <w:rsid w:val="6BA93A06"/>
    <w:rsid w:val="6BB34431"/>
    <w:rsid w:val="6BB50670"/>
    <w:rsid w:val="6BB90F43"/>
    <w:rsid w:val="6BBB5DF6"/>
    <w:rsid w:val="6BEF600D"/>
    <w:rsid w:val="6BF84629"/>
    <w:rsid w:val="6C060F44"/>
    <w:rsid w:val="6C0716CC"/>
    <w:rsid w:val="6C0D5278"/>
    <w:rsid w:val="6C1843AA"/>
    <w:rsid w:val="6C1B589F"/>
    <w:rsid w:val="6C4A6FC2"/>
    <w:rsid w:val="6C581335"/>
    <w:rsid w:val="6C5932F4"/>
    <w:rsid w:val="6C5A2BED"/>
    <w:rsid w:val="6C7F3A02"/>
    <w:rsid w:val="6C8A263D"/>
    <w:rsid w:val="6C8C5CB6"/>
    <w:rsid w:val="6CA6644A"/>
    <w:rsid w:val="6CA71B0C"/>
    <w:rsid w:val="6CB00A5F"/>
    <w:rsid w:val="6CD04367"/>
    <w:rsid w:val="6CD93936"/>
    <w:rsid w:val="6CF25921"/>
    <w:rsid w:val="6CF50B68"/>
    <w:rsid w:val="6CFA0E56"/>
    <w:rsid w:val="6D006FAF"/>
    <w:rsid w:val="6D213428"/>
    <w:rsid w:val="6D217EFB"/>
    <w:rsid w:val="6D263194"/>
    <w:rsid w:val="6D2A73F0"/>
    <w:rsid w:val="6D5B5FD4"/>
    <w:rsid w:val="6D662156"/>
    <w:rsid w:val="6D6D6269"/>
    <w:rsid w:val="6D8B3860"/>
    <w:rsid w:val="6D8D0DA1"/>
    <w:rsid w:val="6D9D5488"/>
    <w:rsid w:val="6D9F797A"/>
    <w:rsid w:val="6DB83787"/>
    <w:rsid w:val="6DD91258"/>
    <w:rsid w:val="6DF15781"/>
    <w:rsid w:val="6DFD4E6D"/>
    <w:rsid w:val="6E00215E"/>
    <w:rsid w:val="6E0936B0"/>
    <w:rsid w:val="6E0F5DC5"/>
    <w:rsid w:val="6E250FD9"/>
    <w:rsid w:val="6E2602F1"/>
    <w:rsid w:val="6E2710E9"/>
    <w:rsid w:val="6E66444E"/>
    <w:rsid w:val="6E6672A3"/>
    <w:rsid w:val="6E6C02BD"/>
    <w:rsid w:val="6E7451A0"/>
    <w:rsid w:val="6E7C400D"/>
    <w:rsid w:val="6ECB4016"/>
    <w:rsid w:val="6EF25FD1"/>
    <w:rsid w:val="6EF3682A"/>
    <w:rsid w:val="6EF435A6"/>
    <w:rsid w:val="6EF70B60"/>
    <w:rsid w:val="6EFE381F"/>
    <w:rsid w:val="6F0B4673"/>
    <w:rsid w:val="6F152ED7"/>
    <w:rsid w:val="6F2374C9"/>
    <w:rsid w:val="6F375468"/>
    <w:rsid w:val="6F3911E0"/>
    <w:rsid w:val="6F40118D"/>
    <w:rsid w:val="6F4631FA"/>
    <w:rsid w:val="6F4D19EC"/>
    <w:rsid w:val="6F5B7A35"/>
    <w:rsid w:val="6F622652"/>
    <w:rsid w:val="6F6A7677"/>
    <w:rsid w:val="6F700B93"/>
    <w:rsid w:val="6F7430DC"/>
    <w:rsid w:val="6F871F4B"/>
    <w:rsid w:val="6F8C58A2"/>
    <w:rsid w:val="6F933866"/>
    <w:rsid w:val="6F964D12"/>
    <w:rsid w:val="6F9B4DFF"/>
    <w:rsid w:val="6F9C39F7"/>
    <w:rsid w:val="6FB43209"/>
    <w:rsid w:val="6FC031E3"/>
    <w:rsid w:val="6FC3463C"/>
    <w:rsid w:val="6FCA561F"/>
    <w:rsid w:val="6FE33096"/>
    <w:rsid w:val="700211C0"/>
    <w:rsid w:val="70027824"/>
    <w:rsid w:val="70077AC4"/>
    <w:rsid w:val="700A1532"/>
    <w:rsid w:val="700E61C9"/>
    <w:rsid w:val="702155B9"/>
    <w:rsid w:val="70254A3C"/>
    <w:rsid w:val="70272F09"/>
    <w:rsid w:val="702D73DB"/>
    <w:rsid w:val="70326C70"/>
    <w:rsid w:val="704031C9"/>
    <w:rsid w:val="704839E5"/>
    <w:rsid w:val="704F55CA"/>
    <w:rsid w:val="70530D49"/>
    <w:rsid w:val="70824F69"/>
    <w:rsid w:val="70841726"/>
    <w:rsid w:val="709B2E8B"/>
    <w:rsid w:val="70A75985"/>
    <w:rsid w:val="70DF7D86"/>
    <w:rsid w:val="70ED53C9"/>
    <w:rsid w:val="70F82261"/>
    <w:rsid w:val="70FF0CCE"/>
    <w:rsid w:val="71040DF7"/>
    <w:rsid w:val="71105D26"/>
    <w:rsid w:val="71162922"/>
    <w:rsid w:val="71266B0C"/>
    <w:rsid w:val="7171432D"/>
    <w:rsid w:val="7188452D"/>
    <w:rsid w:val="71A861A9"/>
    <w:rsid w:val="71CB1520"/>
    <w:rsid w:val="71D43953"/>
    <w:rsid w:val="71D94899"/>
    <w:rsid w:val="71E638BD"/>
    <w:rsid w:val="72051C2F"/>
    <w:rsid w:val="720C498A"/>
    <w:rsid w:val="7216177E"/>
    <w:rsid w:val="721B3292"/>
    <w:rsid w:val="721E4B72"/>
    <w:rsid w:val="7234158C"/>
    <w:rsid w:val="7235282A"/>
    <w:rsid w:val="72435ED2"/>
    <w:rsid w:val="725105EF"/>
    <w:rsid w:val="725325B9"/>
    <w:rsid w:val="727C2941"/>
    <w:rsid w:val="727F5B25"/>
    <w:rsid w:val="728A39CC"/>
    <w:rsid w:val="729107D9"/>
    <w:rsid w:val="729E6836"/>
    <w:rsid w:val="72A1211D"/>
    <w:rsid w:val="72B45077"/>
    <w:rsid w:val="72D16A45"/>
    <w:rsid w:val="72D35FB0"/>
    <w:rsid w:val="72DE627B"/>
    <w:rsid w:val="72E465D9"/>
    <w:rsid w:val="72F75B68"/>
    <w:rsid w:val="72FD004B"/>
    <w:rsid w:val="72FD06DA"/>
    <w:rsid w:val="73131D48"/>
    <w:rsid w:val="73134CBF"/>
    <w:rsid w:val="73154AB6"/>
    <w:rsid w:val="731568AD"/>
    <w:rsid w:val="733A035B"/>
    <w:rsid w:val="73426190"/>
    <w:rsid w:val="735111D5"/>
    <w:rsid w:val="735920C0"/>
    <w:rsid w:val="735C1A29"/>
    <w:rsid w:val="73693075"/>
    <w:rsid w:val="737A22F2"/>
    <w:rsid w:val="737C5A8A"/>
    <w:rsid w:val="73A56ADC"/>
    <w:rsid w:val="73A737E9"/>
    <w:rsid w:val="73B41B63"/>
    <w:rsid w:val="73B50B37"/>
    <w:rsid w:val="73BA63D0"/>
    <w:rsid w:val="73BD1FC1"/>
    <w:rsid w:val="73CE0E97"/>
    <w:rsid w:val="73CE2B29"/>
    <w:rsid w:val="73E66746"/>
    <w:rsid w:val="73EF1B22"/>
    <w:rsid w:val="74062D3C"/>
    <w:rsid w:val="741217C7"/>
    <w:rsid w:val="742532CC"/>
    <w:rsid w:val="74276308"/>
    <w:rsid w:val="744C72C0"/>
    <w:rsid w:val="744E1E45"/>
    <w:rsid w:val="74633DFD"/>
    <w:rsid w:val="746740F9"/>
    <w:rsid w:val="747B3B55"/>
    <w:rsid w:val="74853014"/>
    <w:rsid w:val="74856CFF"/>
    <w:rsid w:val="7490465C"/>
    <w:rsid w:val="7494486A"/>
    <w:rsid w:val="74945FCE"/>
    <w:rsid w:val="749F0C80"/>
    <w:rsid w:val="74AD4C04"/>
    <w:rsid w:val="74BF6645"/>
    <w:rsid w:val="74C7562E"/>
    <w:rsid w:val="74E67D0E"/>
    <w:rsid w:val="74FC352B"/>
    <w:rsid w:val="75093C07"/>
    <w:rsid w:val="751A6FC3"/>
    <w:rsid w:val="751B451E"/>
    <w:rsid w:val="751D2A0A"/>
    <w:rsid w:val="751D4CBF"/>
    <w:rsid w:val="75310E97"/>
    <w:rsid w:val="75337F05"/>
    <w:rsid w:val="753736BE"/>
    <w:rsid w:val="753B595A"/>
    <w:rsid w:val="75562658"/>
    <w:rsid w:val="755F57D5"/>
    <w:rsid w:val="756401CB"/>
    <w:rsid w:val="758B206A"/>
    <w:rsid w:val="759B2957"/>
    <w:rsid w:val="75A44DD7"/>
    <w:rsid w:val="75AC0453"/>
    <w:rsid w:val="75B151D1"/>
    <w:rsid w:val="75B75662"/>
    <w:rsid w:val="75D46A61"/>
    <w:rsid w:val="75DB30A3"/>
    <w:rsid w:val="75DC71F7"/>
    <w:rsid w:val="76080521"/>
    <w:rsid w:val="760867F2"/>
    <w:rsid w:val="760F284C"/>
    <w:rsid w:val="76244D6A"/>
    <w:rsid w:val="76431371"/>
    <w:rsid w:val="76485526"/>
    <w:rsid w:val="764B5178"/>
    <w:rsid w:val="764C42F5"/>
    <w:rsid w:val="765A45FF"/>
    <w:rsid w:val="765E69E8"/>
    <w:rsid w:val="7662726E"/>
    <w:rsid w:val="76660A8A"/>
    <w:rsid w:val="766A574B"/>
    <w:rsid w:val="766C6881"/>
    <w:rsid w:val="76856AB9"/>
    <w:rsid w:val="76857A4A"/>
    <w:rsid w:val="76870334"/>
    <w:rsid w:val="768D7C24"/>
    <w:rsid w:val="76967168"/>
    <w:rsid w:val="76996E92"/>
    <w:rsid w:val="76CC7DF7"/>
    <w:rsid w:val="76D857C2"/>
    <w:rsid w:val="76DC4199"/>
    <w:rsid w:val="76E00193"/>
    <w:rsid w:val="76F034D0"/>
    <w:rsid w:val="770D066D"/>
    <w:rsid w:val="772F5D25"/>
    <w:rsid w:val="773F3AED"/>
    <w:rsid w:val="7745460B"/>
    <w:rsid w:val="774775B4"/>
    <w:rsid w:val="774871B0"/>
    <w:rsid w:val="774C4FD4"/>
    <w:rsid w:val="778B455F"/>
    <w:rsid w:val="77A35F71"/>
    <w:rsid w:val="77A80CB1"/>
    <w:rsid w:val="77AE32D7"/>
    <w:rsid w:val="77B2220C"/>
    <w:rsid w:val="77BA3547"/>
    <w:rsid w:val="77C07585"/>
    <w:rsid w:val="77C240EC"/>
    <w:rsid w:val="77C3319D"/>
    <w:rsid w:val="77D05342"/>
    <w:rsid w:val="77D11FA1"/>
    <w:rsid w:val="77D2235B"/>
    <w:rsid w:val="77DD5972"/>
    <w:rsid w:val="77E5705D"/>
    <w:rsid w:val="77FF40F9"/>
    <w:rsid w:val="78050460"/>
    <w:rsid w:val="78101C9B"/>
    <w:rsid w:val="78171B40"/>
    <w:rsid w:val="782749B2"/>
    <w:rsid w:val="782775E3"/>
    <w:rsid w:val="782D4652"/>
    <w:rsid w:val="782E55B0"/>
    <w:rsid w:val="784548F4"/>
    <w:rsid w:val="784B788E"/>
    <w:rsid w:val="784B7C4E"/>
    <w:rsid w:val="78590CA3"/>
    <w:rsid w:val="78724754"/>
    <w:rsid w:val="787933AD"/>
    <w:rsid w:val="7895527E"/>
    <w:rsid w:val="78AE2C7E"/>
    <w:rsid w:val="78B05D2A"/>
    <w:rsid w:val="78B56A45"/>
    <w:rsid w:val="78C5146E"/>
    <w:rsid w:val="78F408A7"/>
    <w:rsid w:val="78FB08FF"/>
    <w:rsid w:val="79004106"/>
    <w:rsid w:val="79022643"/>
    <w:rsid w:val="79147D24"/>
    <w:rsid w:val="79154586"/>
    <w:rsid w:val="79215F20"/>
    <w:rsid w:val="793C4434"/>
    <w:rsid w:val="795A7432"/>
    <w:rsid w:val="796379D2"/>
    <w:rsid w:val="796A3A6D"/>
    <w:rsid w:val="79753737"/>
    <w:rsid w:val="79772954"/>
    <w:rsid w:val="797B37F8"/>
    <w:rsid w:val="797C487F"/>
    <w:rsid w:val="79803803"/>
    <w:rsid w:val="7984316E"/>
    <w:rsid w:val="79845F26"/>
    <w:rsid w:val="798F1DF0"/>
    <w:rsid w:val="79970CD9"/>
    <w:rsid w:val="79A63B1D"/>
    <w:rsid w:val="79AE3379"/>
    <w:rsid w:val="79BF47A0"/>
    <w:rsid w:val="79C46401"/>
    <w:rsid w:val="79CC6DFE"/>
    <w:rsid w:val="79E517E6"/>
    <w:rsid w:val="79EC47A5"/>
    <w:rsid w:val="79F062B4"/>
    <w:rsid w:val="79F95E28"/>
    <w:rsid w:val="79FB092F"/>
    <w:rsid w:val="7A1370BC"/>
    <w:rsid w:val="7A180AF6"/>
    <w:rsid w:val="7A386D71"/>
    <w:rsid w:val="7A4016E7"/>
    <w:rsid w:val="7A421963"/>
    <w:rsid w:val="7A440A39"/>
    <w:rsid w:val="7A764CD8"/>
    <w:rsid w:val="7A8437C4"/>
    <w:rsid w:val="7AA226C2"/>
    <w:rsid w:val="7AA5035E"/>
    <w:rsid w:val="7AB659A5"/>
    <w:rsid w:val="7AC04C22"/>
    <w:rsid w:val="7AD11BBA"/>
    <w:rsid w:val="7AD30260"/>
    <w:rsid w:val="7AEA26CA"/>
    <w:rsid w:val="7B005D4D"/>
    <w:rsid w:val="7B1578BF"/>
    <w:rsid w:val="7B18282D"/>
    <w:rsid w:val="7B1D66AD"/>
    <w:rsid w:val="7B3D7962"/>
    <w:rsid w:val="7B5B212B"/>
    <w:rsid w:val="7B7D4DC6"/>
    <w:rsid w:val="7B825551"/>
    <w:rsid w:val="7BA52332"/>
    <w:rsid w:val="7BAC2CF9"/>
    <w:rsid w:val="7BB06210"/>
    <w:rsid w:val="7BD5248C"/>
    <w:rsid w:val="7BE06744"/>
    <w:rsid w:val="7BF72F3E"/>
    <w:rsid w:val="7C1F46EF"/>
    <w:rsid w:val="7C2060E4"/>
    <w:rsid w:val="7C2240BD"/>
    <w:rsid w:val="7C266BF3"/>
    <w:rsid w:val="7C320298"/>
    <w:rsid w:val="7C3B014D"/>
    <w:rsid w:val="7C3C4FA4"/>
    <w:rsid w:val="7C445D32"/>
    <w:rsid w:val="7C471B8D"/>
    <w:rsid w:val="7C575E67"/>
    <w:rsid w:val="7C617741"/>
    <w:rsid w:val="7C7213EC"/>
    <w:rsid w:val="7C7F3AF3"/>
    <w:rsid w:val="7C850E9D"/>
    <w:rsid w:val="7C9670D8"/>
    <w:rsid w:val="7CAA3E59"/>
    <w:rsid w:val="7CAF7D44"/>
    <w:rsid w:val="7CB400A6"/>
    <w:rsid w:val="7CB755A0"/>
    <w:rsid w:val="7CBC5077"/>
    <w:rsid w:val="7CBE4AD3"/>
    <w:rsid w:val="7CC1085B"/>
    <w:rsid w:val="7CD32D23"/>
    <w:rsid w:val="7CD7215E"/>
    <w:rsid w:val="7CDE204D"/>
    <w:rsid w:val="7CE566CC"/>
    <w:rsid w:val="7D0A452B"/>
    <w:rsid w:val="7D0E2625"/>
    <w:rsid w:val="7D284642"/>
    <w:rsid w:val="7D42716F"/>
    <w:rsid w:val="7D4B1C08"/>
    <w:rsid w:val="7D4C5B80"/>
    <w:rsid w:val="7D56029A"/>
    <w:rsid w:val="7D573284"/>
    <w:rsid w:val="7D632608"/>
    <w:rsid w:val="7D6A4DA3"/>
    <w:rsid w:val="7D6C6E48"/>
    <w:rsid w:val="7D6F01CA"/>
    <w:rsid w:val="7D875F3A"/>
    <w:rsid w:val="7DC2721D"/>
    <w:rsid w:val="7DC34F90"/>
    <w:rsid w:val="7DD44E09"/>
    <w:rsid w:val="7DD73413"/>
    <w:rsid w:val="7DDD4E36"/>
    <w:rsid w:val="7DDE45B9"/>
    <w:rsid w:val="7DDE6383"/>
    <w:rsid w:val="7DE43946"/>
    <w:rsid w:val="7DEC3195"/>
    <w:rsid w:val="7DF801CE"/>
    <w:rsid w:val="7E1418FB"/>
    <w:rsid w:val="7E1B2822"/>
    <w:rsid w:val="7E2719D7"/>
    <w:rsid w:val="7E3B0D40"/>
    <w:rsid w:val="7E3B42C6"/>
    <w:rsid w:val="7E4B6C1E"/>
    <w:rsid w:val="7E4D7A75"/>
    <w:rsid w:val="7E4F5A11"/>
    <w:rsid w:val="7E631CFE"/>
    <w:rsid w:val="7E806427"/>
    <w:rsid w:val="7E832FC3"/>
    <w:rsid w:val="7E8F2BCB"/>
    <w:rsid w:val="7E9E2518"/>
    <w:rsid w:val="7EB44FA3"/>
    <w:rsid w:val="7EB50275"/>
    <w:rsid w:val="7EB919F5"/>
    <w:rsid w:val="7EBD559A"/>
    <w:rsid w:val="7EC50A66"/>
    <w:rsid w:val="7ECA5BB7"/>
    <w:rsid w:val="7ECF3701"/>
    <w:rsid w:val="7ED536FE"/>
    <w:rsid w:val="7EE777EE"/>
    <w:rsid w:val="7EF9298A"/>
    <w:rsid w:val="7F2004EF"/>
    <w:rsid w:val="7F267390"/>
    <w:rsid w:val="7F390D88"/>
    <w:rsid w:val="7F441776"/>
    <w:rsid w:val="7F491CAD"/>
    <w:rsid w:val="7F535C8B"/>
    <w:rsid w:val="7F606229"/>
    <w:rsid w:val="7F626B34"/>
    <w:rsid w:val="7F6E3262"/>
    <w:rsid w:val="7F753305"/>
    <w:rsid w:val="7F762528"/>
    <w:rsid w:val="7F7717B8"/>
    <w:rsid w:val="7F7E0423"/>
    <w:rsid w:val="7F9603BB"/>
    <w:rsid w:val="7FA366C3"/>
    <w:rsid w:val="7FAA5BFD"/>
    <w:rsid w:val="7FC2698E"/>
    <w:rsid w:val="7FD27E27"/>
    <w:rsid w:val="7FE23C74"/>
    <w:rsid w:val="7FE47761"/>
    <w:rsid w:val="7FE66697"/>
    <w:rsid w:val="7FF07C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99" w:semiHidden="0" w:name="toc 2"/>
    <w:lsdException w:unhideWhenUsed="0" w:uiPriority="0"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spacing w:line="380" w:lineRule="exact"/>
      <w:jc w:val="center"/>
      <w:outlineLvl w:val="0"/>
    </w:pPr>
    <w:rPr>
      <w:rFonts w:ascii="宋体"/>
      <w:b/>
      <w:bCs/>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1">
    <w:name w:val="Default Paragraph Font"/>
    <w:autoRedefine/>
    <w:semiHidden/>
    <w:qFormat/>
    <w:uiPriority w:val="0"/>
  </w:style>
  <w:style w:type="table" w:default="1" w:styleId="2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68"/>
    <w:autoRedefine/>
    <w:qFormat/>
    <w:uiPriority w:val="0"/>
    <w:pPr>
      <w:ind w:firstLine="420" w:firstLineChars="200"/>
    </w:pPr>
    <w:rPr>
      <w:szCs w:val="24"/>
    </w:rPr>
  </w:style>
  <w:style w:type="paragraph" w:styleId="7">
    <w:name w:val="Document Map"/>
    <w:basedOn w:val="1"/>
    <w:autoRedefine/>
    <w:semiHidden/>
    <w:qFormat/>
    <w:uiPriority w:val="0"/>
    <w:pPr>
      <w:shd w:val="clear" w:color="auto" w:fill="000080"/>
    </w:pPr>
  </w:style>
  <w:style w:type="paragraph" w:styleId="8">
    <w:name w:val="annotation text"/>
    <w:basedOn w:val="1"/>
    <w:link w:val="47"/>
    <w:autoRedefine/>
    <w:semiHidden/>
    <w:qFormat/>
    <w:uiPriority w:val="0"/>
    <w:pPr>
      <w:jc w:val="left"/>
    </w:pPr>
  </w:style>
  <w:style w:type="paragraph" w:styleId="9">
    <w:name w:val="Body Text"/>
    <w:basedOn w:val="1"/>
    <w:next w:val="1"/>
    <w:link w:val="48"/>
    <w:autoRedefine/>
    <w:qFormat/>
    <w:uiPriority w:val="0"/>
    <w:pPr>
      <w:spacing w:after="120"/>
    </w:pPr>
  </w:style>
  <w:style w:type="paragraph" w:styleId="10">
    <w:name w:val="Body Text Indent"/>
    <w:basedOn w:val="1"/>
    <w:next w:val="1"/>
    <w:link w:val="49"/>
    <w:autoRedefine/>
    <w:qFormat/>
    <w:uiPriority w:val="0"/>
    <w:pPr>
      <w:spacing w:line="380" w:lineRule="exact"/>
      <w:ind w:firstLine="480"/>
    </w:pPr>
    <w:rPr>
      <w:rFonts w:eastAsia="方正书宋简体"/>
      <w:sz w:val="24"/>
    </w:rPr>
  </w:style>
  <w:style w:type="paragraph" w:styleId="11">
    <w:name w:val="Plain Text"/>
    <w:basedOn w:val="1"/>
    <w:link w:val="7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2">
    <w:name w:val="Date"/>
    <w:basedOn w:val="1"/>
    <w:next w:val="1"/>
    <w:link w:val="51"/>
    <w:autoRedefine/>
    <w:qFormat/>
    <w:uiPriority w:val="0"/>
    <w:pPr>
      <w:adjustRightInd w:val="0"/>
      <w:spacing w:line="312" w:lineRule="atLeast"/>
      <w:jc w:val="right"/>
      <w:textAlignment w:val="baseline"/>
    </w:pPr>
    <w:rPr>
      <w:rFonts w:ascii="宋体"/>
      <w:kern w:val="0"/>
      <w:sz w:val="24"/>
    </w:rPr>
  </w:style>
  <w:style w:type="paragraph" w:styleId="13">
    <w:name w:val="Body Text Indent 2"/>
    <w:basedOn w:val="1"/>
    <w:autoRedefine/>
    <w:qFormat/>
    <w:uiPriority w:val="0"/>
    <w:pPr>
      <w:spacing w:line="380" w:lineRule="exact"/>
      <w:ind w:left="840" w:hanging="45"/>
    </w:pPr>
    <w:rPr>
      <w:rFonts w:ascii="宋体"/>
      <w:sz w:val="24"/>
    </w:rPr>
  </w:style>
  <w:style w:type="paragraph" w:styleId="14">
    <w:name w:val="Balloon Text"/>
    <w:basedOn w:val="1"/>
    <w:autoRedefine/>
    <w:semiHidden/>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snapToGrid w:val="0"/>
    </w:pPr>
    <w:rPr>
      <w:rFonts w:ascii="Arial" w:hAnsi="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semiHidden/>
    <w:qFormat/>
    <w:uiPriority w:val="0"/>
  </w:style>
  <w:style w:type="paragraph" w:styleId="19">
    <w:name w:val="toc 4"/>
    <w:basedOn w:val="1"/>
    <w:next w:val="1"/>
    <w:unhideWhenUsed/>
    <w:qFormat/>
    <w:uiPriority w:val="39"/>
    <w:pPr>
      <w:spacing w:line="240" w:lineRule="auto"/>
      <w:ind w:left="1260" w:leftChars="600"/>
    </w:pPr>
    <w:rPr>
      <w:rFonts w:ascii="等线" w:hAnsi="等线" w:eastAsia="等线" w:cs="Times New Roman"/>
      <w:szCs w:val="22"/>
    </w:rPr>
  </w:style>
  <w:style w:type="paragraph" w:styleId="20">
    <w:name w:val="toc 6"/>
    <w:basedOn w:val="1"/>
    <w:next w:val="1"/>
    <w:autoRedefine/>
    <w:qFormat/>
    <w:uiPriority w:val="0"/>
    <w:pPr>
      <w:ind w:left="2100" w:leftChars="1000"/>
    </w:pPr>
    <w:rPr>
      <w:szCs w:val="24"/>
    </w:rPr>
  </w:style>
  <w:style w:type="paragraph" w:styleId="21">
    <w:name w:val="Body Text Indent 3"/>
    <w:basedOn w:val="1"/>
    <w:autoRedefine/>
    <w:qFormat/>
    <w:uiPriority w:val="0"/>
    <w:pPr>
      <w:spacing w:line="380" w:lineRule="exact"/>
      <w:ind w:left="525"/>
    </w:pPr>
    <w:rPr>
      <w:rFonts w:ascii="宋体"/>
      <w:sz w:val="24"/>
    </w:rPr>
  </w:style>
  <w:style w:type="paragraph" w:styleId="22">
    <w:name w:val="toc 2"/>
    <w:basedOn w:val="1"/>
    <w:next w:val="1"/>
    <w:autoRedefine/>
    <w:qFormat/>
    <w:uiPriority w:val="99"/>
    <w:pPr>
      <w:tabs>
        <w:tab w:val="right" w:leader="dot" w:pos="9180"/>
      </w:tabs>
      <w:jc w:val="left"/>
    </w:pPr>
    <w:rPr>
      <w:smallCaps/>
    </w:rPr>
  </w:style>
  <w:style w:type="paragraph" w:styleId="23">
    <w:name w:val="HTML Preformatted"/>
    <w:basedOn w:val="1"/>
    <w:autoRedefine/>
    <w:qFormat/>
    <w:uiPriority w:val="0"/>
    <w:rPr>
      <w:rFonts w:ascii="Courier New" w:hAnsi="Courier New" w:eastAsia="仿宋_GB2312"/>
      <w:b/>
      <w:sz w:val="32"/>
      <w:szCs w:val="32"/>
      <w:lang w:val="en-GB"/>
    </w:rPr>
  </w:style>
  <w:style w:type="paragraph" w:styleId="24">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paragraph" w:styleId="25">
    <w:name w:val="Title"/>
    <w:basedOn w:val="1"/>
    <w:next w:val="1"/>
    <w:link w:val="69"/>
    <w:autoRedefine/>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宋体" w:cs="Times New Roman"/>
      <w:b/>
      <w:bCs/>
      <w:kern w:val="2"/>
      <w:sz w:val="32"/>
      <w:szCs w:val="32"/>
      <w:lang w:val="en-US" w:eastAsia="zh-CN" w:bidi="ar"/>
    </w:rPr>
  </w:style>
  <w:style w:type="paragraph" w:styleId="26">
    <w:name w:val="annotation subject"/>
    <w:basedOn w:val="8"/>
    <w:next w:val="8"/>
    <w:autoRedefine/>
    <w:semiHidden/>
    <w:qFormat/>
    <w:uiPriority w:val="0"/>
    <w:rPr>
      <w:b/>
      <w:bCs/>
    </w:rPr>
  </w:style>
  <w:style w:type="paragraph" w:styleId="27">
    <w:name w:val="Body Text First Indent"/>
    <w:basedOn w:val="9"/>
    <w:next w:val="20"/>
    <w:autoRedefine/>
    <w:qFormat/>
    <w:uiPriority w:val="0"/>
    <w:pPr>
      <w:ind w:firstLine="420" w:firstLineChars="100"/>
    </w:pPr>
    <w:rPr>
      <w:rFonts w:ascii="Times New Roman" w:hAnsi="Times New Roman"/>
    </w:rPr>
  </w:style>
  <w:style w:type="paragraph" w:styleId="28">
    <w:name w:val="Body Text First Indent 2"/>
    <w:basedOn w:val="10"/>
    <w:next w:val="1"/>
    <w:autoRedefine/>
    <w:unhideWhenUsed/>
    <w:qFormat/>
    <w:uiPriority w:val="99"/>
    <w:pPr>
      <w:ind w:firstLine="420" w:firstLineChars="20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page number"/>
    <w:basedOn w:val="31"/>
    <w:autoRedefine/>
    <w:qFormat/>
    <w:uiPriority w:val="0"/>
  </w:style>
  <w:style w:type="character" w:styleId="34">
    <w:name w:val="FollowedHyperlink"/>
    <w:autoRedefine/>
    <w:qFormat/>
    <w:uiPriority w:val="0"/>
    <w:rPr>
      <w:color w:val="333333"/>
      <w:u w:val="none"/>
    </w:rPr>
  </w:style>
  <w:style w:type="character" w:styleId="35">
    <w:name w:val="Hyperlink"/>
    <w:basedOn w:val="31"/>
    <w:autoRedefine/>
    <w:qFormat/>
    <w:uiPriority w:val="0"/>
    <w:rPr>
      <w:color w:val="333333"/>
      <w:u w:val="none"/>
    </w:rPr>
  </w:style>
  <w:style w:type="character" w:styleId="36">
    <w:name w:val="annotation reference"/>
    <w:autoRedefine/>
    <w:semiHidden/>
    <w:qFormat/>
    <w:uiPriority w:val="0"/>
    <w:rPr>
      <w:sz w:val="21"/>
      <w:szCs w:val="21"/>
    </w:rPr>
  </w:style>
  <w:style w:type="character" w:styleId="37">
    <w:name w:val="HTML Cite"/>
    <w:autoRedefine/>
    <w:qFormat/>
    <w:uiPriority w:val="0"/>
  </w:style>
  <w:style w:type="character" w:styleId="38">
    <w:name w:val="HTML Sample"/>
    <w:basedOn w:val="31"/>
    <w:autoRedefine/>
    <w:qFormat/>
    <w:uiPriority w:val="0"/>
    <w:rPr>
      <w:rFonts w:ascii="Courier New" w:hAnsi="Courier New"/>
    </w:rPr>
  </w:style>
  <w:style w:type="paragraph" w:customStyle="1" w:styleId="39">
    <w:name w:val="Body Text First Indent 21"/>
    <w:basedOn w:val="40"/>
    <w:autoRedefine/>
    <w:qFormat/>
    <w:uiPriority w:val="0"/>
    <w:pPr>
      <w:spacing w:line="360" w:lineRule="auto"/>
      <w:ind w:left="0" w:leftChars="0" w:firstLine="420" w:firstLineChars="200"/>
    </w:pPr>
    <w:rPr>
      <w:rFonts w:cs="宋体"/>
    </w:rPr>
  </w:style>
  <w:style w:type="paragraph" w:customStyle="1" w:styleId="40">
    <w:name w:val="Body Text Indent1"/>
    <w:basedOn w:val="1"/>
    <w:next w:val="1"/>
    <w:autoRedefine/>
    <w:qFormat/>
    <w:uiPriority w:val="0"/>
    <w:pPr>
      <w:spacing w:after="120"/>
      <w:ind w:left="420" w:leftChars="200"/>
    </w:pPr>
    <w:rPr>
      <w:color w:val="000000"/>
      <w:szCs w:val="21"/>
    </w:rPr>
  </w:style>
  <w:style w:type="paragraph" w:customStyle="1" w:styleId="41">
    <w:name w:val="样式3"/>
    <w:basedOn w:val="11"/>
    <w:next w:val="1"/>
    <w:autoRedefine/>
    <w:qFormat/>
    <w:uiPriority w:val="0"/>
    <w:pPr>
      <w:keepNext w:val="0"/>
      <w:keepLines w:val="0"/>
      <w:widowControl w:val="0"/>
      <w:suppressLineNumbers w:val="0"/>
      <w:spacing w:before="0" w:beforeLines="50" w:beforeAutospacing="0" w:after="0" w:afterAutospacing="0" w:line="0" w:lineRule="atLeast"/>
      <w:ind w:left="0" w:right="0"/>
      <w:jc w:val="both"/>
      <w:outlineLvl w:val="0"/>
    </w:pPr>
    <w:rPr>
      <w:rFonts w:hint="eastAsia" w:ascii="宋体" w:hAnsi="Courier New" w:eastAsia="宋体" w:cs="Times New Roman"/>
      <w:kern w:val="2"/>
      <w:sz w:val="28"/>
      <w:szCs w:val="24"/>
      <w:lang w:val="en-US" w:eastAsia="zh-CN" w:bidi="ar"/>
    </w:rPr>
  </w:style>
  <w:style w:type="paragraph" w:customStyle="1" w:styleId="42">
    <w:name w:val="正文1"/>
    <w:basedOn w:val="1"/>
    <w:autoRedefine/>
    <w:qFormat/>
    <w:uiPriority w:val="0"/>
    <w:pPr>
      <w:adjustRightInd w:val="0"/>
      <w:spacing w:line="318" w:lineRule="atLeast"/>
      <w:ind w:left="369" w:firstLine="369"/>
      <w:textAlignment w:val="baseline"/>
    </w:pPr>
    <w:rPr>
      <w:rFonts w:ascii="宋体"/>
    </w:rPr>
  </w:style>
  <w:style w:type="paragraph" w:customStyle="1" w:styleId="43">
    <w:name w:val="正文首行缩进1"/>
    <w:basedOn w:val="9"/>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4">
    <w:name w:val="首行缩进"/>
    <w:basedOn w:val="1"/>
    <w:autoRedefine/>
    <w:qFormat/>
    <w:uiPriority w:val="0"/>
    <w:pPr>
      <w:spacing w:line="360" w:lineRule="auto"/>
      <w:ind w:firstLine="480" w:firstLineChars="200"/>
    </w:pPr>
    <w:rPr>
      <w:rFonts w:ascii="宋体"/>
      <w:sz w:val="24"/>
      <w:szCs w:val="20"/>
    </w:rPr>
  </w:style>
  <w:style w:type="paragraph" w:customStyle="1" w:styleId="4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47">
    <w:name w:val="批注文字 字符"/>
    <w:link w:val="8"/>
    <w:autoRedefine/>
    <w:semiHidden/>
    <w:qFormat/>
    <w:uiPriority w:val="0"/>
    <w:rPr>
      <w:kern w:val="2"/>
      <w:sz w:val="21"/>
    </w:rPr>
  </w:style>
  <w:style w:type="character" w:customStyle="1" w:styleId="48">
    <w:name w:val="正文文本 字符"/>
    <w:link w:val="9"/>
    <w:autoRedefine/>
    <w:qFormat/>
    <w:uiPriority w:val="0"/>
    <w:rPr>
      <w:kern w:val="2"/>
      <w:sz w:val="21"/>
    </w:rPr>
  </w:style>
  <w:style w:type="character" w:customStyle="1" w:styleId="49">
    <w:name w:val="正文文本缩进 字符1"/>
    <w:link w:val="10"/>
    <w:autoRedefine/>
    <w:qFormat/>
    <w:uiPriority w:val="0"/>
    <w:rPr>
      <w:rFonts w:eastAsia="方正书宋简体"/>
      <w:kern w:val="2"/>
      <w:sz w:val="24"/>
    </w:rPr>
  </w:style>
  <w:style w:type="character" w:customStyle="1" w:styleId="50">
    <w:name w:val="纯文本 字符"/>
    <w:link w:val="11"/>
    <w:autoRedefine/>
    <w:qFormat/>
    <w:uiPriority w:val="0"/>
    <w:rPr>
      <w:rFonts w:ascii="宋体" w:hAnsi="宋体" w:eastAsia="宋体" w:cs="宋体"/>
      <w:color w:val="000000"/>
      <w:sz w:val="24"/>
      <w:szCs w:val="24"/>
      <w:lang w:val="en-US" w:eastAsia="zh-CN" w:bidi="ar-SA"/>
    </w:rPr>
  </w:style>
  <w:style w:type="character" w:customStyle="1" w:styleId="51">
    <w:name w:val="日期 字符"/>
    <w:link w:val="12"/>
    <w:autoRedefine/>
    <w:qFormat/>
    <w:uiPriority w:val="0"/>
    <w:rPr>
      <w:rFonts w:ascii="宋体"/>
      <w:sz w:val="24"/>
    </w:rPr>
  </w:style>
  <w:style w:type="character" w:customStyle="1" w:styleId="52">
    <w:name w:val=" Char Char9"/>
    <w:autoRedefine/>
    <w:qFormat/>
    <w:uiPriority w:val="0"/>
    <w:rPr>
      <w:rFonts w:eastAsia="方正书宋简体"/>
      <w:kern w:val="2"/>
      <w:sz w:val="24"/>
      <w:lang w:val="en-US" w:eastAsia="zh-CN" w:bidi="ar-SA"/>
    </w:rPr>
  </w:style>
  <w:style w:type="character" w:customStyle="1" w:styleId="53">
    <w:name w:val=" Char Char4"/>
    <w:autoRedefine/>
    <w:qFormat/>
    <w:uiPriority w:val="0"/>
    <w:rPr>
      <w:rFonts w:eastAsia="方正书宋简体"/>
      <w:kern w:val="2"/>
      <w:sz w:val="24"/>
      <w:lang w:val="en-US" w:eastAsia="zh-CN" w:bidi="ar-SA"/>
    </w:rPr>
  </w:style>
  <w:style w:type="character" w:customStyle="1" w:styleId="54">
    <w:name w:val="Plain Text Char1"/>
    <w:autoRedefine/>
    <w:qFormat/>
    <w:locked/>
    <w:uiPriority w:val="0"/>
    <w:rPr>
      <w:rFonts w:ascii="宋体" w:hAnsi="Courier New" w:eastAsia="宋体" w:cs="Times New Roman"/>
      <w:kern w:val="2"/>
      <w:sz w:val="21"/>
      <w:lang w:val="en-US" w:eastAsia="zh-CN" w:bidi="ar-SA"/>
    </w:rPr>
  </w:style>
  <w:style w:type="character" w:customStyle="1" w:styleId="55">
    <w:name w:val="bsharetext"/>
    <w:autoRedefine/>
    <w:qFormat/>
    <w:uiPriority w:val="0"/>
  </w:style>
  <w:style w:type="character" w:customStyle="1" w:styleId="56">
    <w:name w:val="正文文字缩进 Char2"/>
    <w:autoRedefine/>
    <w:qFormat/>
    <w:locked/>
    <w:uiPriority w:val="0"/>
    <w:rPr>
      <w:rFonts w:eastAsia="方正书宋简体"/>
      <w:kern w:val="2"/>
      <w:sz w:val="24"/>
      <w:lang w:val="en-US" w:eastAsia="zh-CN" w:bidi="ar-SA"/>
    </w:rPr>
  </w:style>
  <w:style w:type="character" w:customStyle="1" w:styleId="57">
    <w:name w:val="正文文本缩进 字符"/>
    <w:autoRedefine/>
    <w:qFormat/>
    <w:uiPriority w:val="0"/>
    <w:rPr>
      <w:rFonts w:eastAsia="方正书宋简体"/>
      <w:kern w:val="2"/>
      <w:sz w:val="24"/>
      <w:lang w:val="en-US" w:eastAsia="zh-CN" w:bidi="ar-SA"/>
    </w:rPr>
  </w:style>
  <w:style w:type="character" w:customStyle="1" w:styleId="58">
    <w:name w:val="标题 1 Char Char"/>
    <w:autoRedefine/>
    <w:qFormat/>
    <w:uiPriority w:val="0"/>
    <w:rPr>
      <w:rFonts w:eastAsia="宋体"/>
      <w:b/>
      <w:spacing w:val="-2"/>
      <w:sz w:val="24"/>
      <w:lang w:val="en-US" w:eastAsia="zh-CN" w:bidi="ar-SA"/>
    </w:rPr>
  </w:style>
  <w:style w:type="paragraph" w:customStyle="1" w:styleId="59">
    <w:name w:val="List Paragraph"/>
    <w:basedOn w:val="1"/>
    <w:next w:val="1"/>
    <w:autoRedefine/>
    <w:qFormat/>
    <w:uiPriority w:val="0"/>
    <w:pPr>
      <w:ind w:firstLine="420" w:firstLineChars="200"/>
    </w:pPr>
    <w:rPr>
      <w:rFonts w:ascii="Calibri" w:hAnsi="Calibri"/>
      <w:szCs w:val="22"/>
    </w:rPr>
  </w:style>
  <w:style w:type="paragraph" w:customStyle="1" w:styleId="60">
    <w:name w:val="默认段落字体 Para Char Char Char Char Char Char Char"/>
    <w:basedOn w:val="7"/>
    <w:autoRedefine/>
    <w:qFormat/>
    <w:uiPriority w:val="0"/>
    <w:pPr>
      <w:adjustRightInd w:val="0"/>
      <w:spacing w:line="436" w:lineRule="exact"/>
      <w:ind w:left="357"/>
      <w:jc w:val="left"/>
      <w:outlineLvl w:val="3"/>
    </w:pPr>
    <w:rPr>
      <w:rFonts w:ascii="Tahoma" w:hAnsi="Tahoma"/>
      <w:b/>
      <w:sz w:val="24"/>
      <w:szCs w:val="24"/>
    </w:rPr>
  </w:style>
  <w:style w:type="paragraph" w:customStyle="1" w:styleId="61">
    <w:name w:val="主体"/>
    <w:basedOn w:val="1"/>
    <w:autoRedefine/>
    <w:qFormat/>
    <w:uiPriority w:val="0"/>
    <w:pPr>
      <w:spacing w:line="360" w:lineRule="auto"/>
      <w:ind w:firstLine="480" w:firstLineChars="200"/>
    </w:pPr>
    <w:rPr>
      <w:rFonts w:ascii="宋体" w:hAnsi="宋体"/>
      <w:kern w:val="58"/>
      <w:sz w:val="24"/>
      <w:szCs w:val="24"/>
    </w:rPr>
  </w:style>
  <w:style w:type="paragraph" w:customStyle="1" w:styleId="62">
    <w:name w:val=" Char"/>
    <w:basedOn w:val="7"/>
    <w:autoRedefine/>
    <w:qFormat/>
    <w:uiPriority w:val="0"/>
    <w:pPr>
      <w:adjustRightInd w:val="0"/>
      <w:spacing w:line="436" w:lineRule="exact"/>
      <w:ind w:left="357"/>
      <w:jc w:val="left"/>
      <w:outlineLvl w:val="3"/>
    </w:pPr>
    <w:rPr>
      <w:rFonts w:ascii="Tahoma" w:hAnsi="Tahoma"/>
      <w:b/>
      <w:sz w:val="24"/>
      <w:szCs w:val="24"/>
    </w:rPr>
  </w:style>
  <w:style w:type="paragraph" w:customStyle="1" w:styleId="63">
    <w:name w:val="样式6"/>
    <w:basedOn w:val="1"/>
    <w:autoRedefine/>
    <w:qFormat/>
    <w:uiPriority w:val="0"/>
    <w:pPr>
      <w:spacing w:line="360" w:lineRule="auto"/>
      <w:ind w:firstLine="200" w:firstLineChars="200"/>
      <w:jc w:val="left"/>
    </w:pPr>
    <w:rPr>
      <w:rFonts w:eastAsia="仿宋_GB2312"/>
      <w:sz w:val="24"/>
      <w:szCs w:val="24"/>
    </w:rPr>
  </w:style>
  <w:style w:type="paragraph" w:customStyle="1" w:styleId="64">
    <w:name w:val="列出段落"/>
    <w:basedOn w:val="1"/>
    <w:autoRedefine/>
    <w:qFormat/>
    <w:uiPriority w:val="34"/>
    <w:pPr>
      <w:ind w:firstLine="420" w:firstLineChars="200"/>
    </w:pPr>
    <w:rPr>
      <w:rFonts w:ascii="等线" w:hAnsi="等线" w:eastAsia="等线"/>
      <w:szCs w:val="22"/>
    </w:rPr>
  </w:style>
  <w:style w:type="paragraph" w:customStyle="1" w:styleId="65">
    <w:name w:val="正文段"/>
    <w:basedOn w:val="1"/>
    <w:autoRedefine/>
    <w:qFormat/>
    <w:uiPriority w:val="0"/>
    <w:pPr>
      <w:widowControl/>
      <w:adjustRightInd/>
      <w:snapToGrid w:val="0"/>
      <w:spacing w:after="156" w:afterLines="50" w:line="240" w:lineRule="auto"/>
      <w:ind w:firstLine="200" w:firstLineChars="200"/>
      <w:textAlignment w:val="auto"/>
    </w:pPr>
    <w:rPr>
      <w:rFonts w:ascii="Times New Roman" w:hAnsi="Times New Roman" w:eastAsia="宋体" w:cs="Times New Roman"/>
      <w:sz w:val="24"/>
      <w:szCs w:val="20"/>
    </w:rPr>
  </w:style>
  <w:style w:type="paragraph" w:customStyle="1" w:styleId="66">
    <w:name w:val="正文首行缩进 21"/>
    <w:basedOn w:val="10"/>
    <w:autoRedefine/>
    <w:qFormat/>
    <w:uiPriority w:val="99"/>
    <w:pPr>
      <w:spacing w:line="200" w:lineRule="atLeast"/>
      <w:ind w:firstLine="420"/>
    </w:pPr>
    <w:rPr>
      <w:rFonts w:ascii="宋体" w:hAnsi="Courier New"/>
      <w:spacing w:val="-4"/>
      <w:sz w:val="18"/>
    </w:rPr>
  </w:style>
  <w:style w:type="paragraph" w:customStyle="1" w:styleId="67">
    <w:name w:val="WPS Plain"/>
    <w:autoRedefine/>
    <w:qFormat/>
    <w:uiPriority w:val="0"/>
    <w:rPr>
      <w:rFonts w:ascii="Times New Roman" w:hAnsi="Times New Roman" w:eastAsia="宋体" w:cs="Times New Roman"/>
      <w:lang w:val="en-US" w:eastAsia="zh-CN" w:bidi="ar-SA"/>
    </w:rPr>
  </w:style>
  <w:style w:type="character" w:customStyle="1" w:styleId="68">
    <w:name w:val="正文缩进 字符"/>
    <w:basedOn w:val="31"/>
    <w:link w:val="5"/>
    <w:autoRedefine/>
    <w:qFormat/>
    <w:uiPriority w:val="0"/>
    <w:rPr>
      <w:kern w:val="2"/>
      <w:sz w:val="21"/>
    </w:rPr>
  </w:style>
  <w:style w:type="character" w:customStyle="1" w:styleId="69">
    <w:name w:val="标题 字符1"/>
    <w:basedOn w:val="31"/>
    <w:link w:val="25"/>
    <w:autoRedefine/>
    <w:qFormat/>
    <w:uiPriority w:val="0"/>
    <w:rPr>
      <w:rFonts w:hint="default" w:ascii="Cambria" w:hAnsi="Cambria" w:eastAsia="Cambria" w:cs="Cambria"/>
      <w:b/>
      <w:bCs/>
      <w:kern w:val="2"/>
      <w:sz w:val="32"/>
      <w:szCs w:val="32"/>
    </w:rPr>
  </w:style>
  <w:style w:type="character" w:customStyle="1" w:styleId="70">
    <w:name w:val="标题 字符"/>
    <w:basedOn w:val="31"/>
    <w:autoRedefine/>
    <w:qFormat/>
    <w:uiPriority w:val="0"/>
    <w:rPr>
      <w:rFonts w:ascii="等线 Light" w:hAnsi="等线 Light" w:eastAsia="等线 Light" w:cs="Times New Roman"/>
      <w:b/>
      <w:bCs/>
      <w:kern w:val="2"/>
      <w:sz w:val="32"/>
      <w:szCs w:val="32"/>
    </w:rPr>
  </w:style>
  <w:style w:type="character" w:customStyle="1" w:styleId="71">
    <w:name w:val="纯文本 字符1"/>
    <w:basedOn w:val="31"/>
    <w:link w:val="11"/>
    <w:autoRedefine/>
    <w:qFormat/>
    <w:uiPriority w:val="0"/>
    <w:rPr>
      <w:rFonts w:hint="eastAsia" w:ascii="宋体" w:hAnsi="Courier New" w:eastAsia="宋体" w:cs="宋体"/>
      <w:kern w:val="2"/>
      <w:sz w:val="24"/>
      <w:szCs w:val="24"/>
    </w:rPr>
  </w:style>
  <w:style w:type="paragraph" w:customStyle="1" w:styleId="72">
    <w:name w:val="样式1-正文描述"/>
    <w:basedOn w:val="1"/>
    <w:autoRedefine/>
    <w:qFormat/>
    <w:uiPriority w:val="0"/>
    <w:pPr>
      <w:spacing w:line="240" w:lineRule="auto"/>
      <w:ind w:firstLine="0" w:firstLineChars="0"/>
    </w:pPr>
    <w:rPr>
      <w:rFonts w:hint="eastAsia" w:ascii="楷体" w:hAnsi="楷体" w:eastAsia="楷体" w:cs="楷体"/>
    </w:rPr>
  </w:style>
  <w:style w:type="character" w:customStyle="1" w:styleId="73">
    <w:name w:val="font21"/>
    <w:basedOn w:val="31"/>
    <w:autoRedefine/>
    <w:qFormat/>
    <w:uiPriority w:val="0"/>
    <w:rPr>
      <w:rFonts w:hint="eastAsia" w:ascii="宋体" w:hAnsi="宋体" w:eastAsia="宋体" w:cs="宋体"/>
      <w:color w:val="000000"/>
      <w:sz w:val="28"/>
      <w:szCs w:val="28"/>
      <w:u w:val="none"/>
    </w:rPr>
  </w:style>
  <w:style w:type="character" w:customStyle="1" w:styleId="74">
    <w:name w:val="font11"/>
    <w:basedOn w:val="31"/>
    <w:autoRedefine/>
    <w:qFormat/>
    <w:uiPriority w:val="0"/>
    <w:rPr>
      <w:rFonts w:ascii="宋体" w:hAnsi="宋体" w:eastAsia="宋体" w:cs="宋体"/>
      <w:color w:val="000000"/>
      <w:sz w:val="28"/>
      <w:szCs w:val="28"/>
      <w:u w:val="none"/>
    </w:rPr>
  </w:style>
  <w:style w:type="table" w:customStyle="1" w:styleId="75">
    <w:name w:val="Table Normal"/>
    <w:autoRedefine/>
    <w:unhideWhenUsed/>
    <w:qFormat/>
    <w:uiPriority w:val="0"/>
    <w:tblPr>
      <w:tblCellMar>
        <w:top w:w="0" w:type="dxa"/>
        <w:left w:w="0" w:type="dxa"/>
        <w:bottom w:w="0" w:type="dxa"/>
        <w:right w:w="0" w:type="dxa"/>
      </w:tblCellMar>
    </w:tblPr>
  </w:style>
  <w:style w:type="character" w:customStyle="1" w:styleId="76">
    <w:name w:val="font51"/>
    <w:basedOn w:val="31"/>
    <w:autoRedefine/>
    <w:qFormat/>
    <w:uiPriority w:val="0"/>
    <w:rPr>
      <w:rFonts w:ascii="宋体" w:hAnsi="宋体" w:eastAsia="宋体" w:cs="宋体"/>
      <w:color w:val="000000"/>
      <w:sz w:val="22"/>
      <w:szCs w:val="22"/>
      <w:u w:val="none"/>
    </w:rPr>
  </w:style>
  <w:style w:type="character" w:customStyle="1" w:styleId="77">
    <w:name w:val="font81"/>
    <w:basedOn w:val="31"/>
    <w:autoRedefine/>
    <w:qFormat/>
    <w:uiPriority w:val="0"/>
    <w:rPr>
      <w:rFonts w:ascii="宋体" w:hAnsi="宋体" w:eastAsia="宋体" w:cs="宋体"/>
      <w:color w:val="000000"/>
      <w:sz w:val="22"/>
      <w:szCs w:val="22"/>
      <w:u w:val="none"/>
    </w:rPr>
  </w:style>
  <w:style w:type="character" w:customStyle="1" w:styleId="78">
    <w:name w:val="font61"/>
    <w:basedOn w:val="31"/>
    <w:autoRedefine/>
    <w:qFormat/>
    <w:uiPriority w:val="0"/>
    <w:rPr>
      <w:rFonts w:hint="eastAsia" w:ascii="宋体" w:hAnsi="宋体" w:eastAsia="宋体" w:cs="宋体"/>
      <w:color w:val="000000"/>
      <w:sz w:val="20"/>
      <w:szCs w:val="20"/>
      <w:u w:val="none"/>
    </w:rPr>
  </w:style>
  <w:style w:type="paragraph" w:customStyle="1" w:styleId="79">
    <w:name w:val="正文2"/>
    <w:basedOn w:val="1"/>
    <w:autoRedefine/>
    <w:qFormat/>
    <w:uiPriority w:val="0"/>
    <w:pPr>
      <w:spacing w:before="156" w:line="360" w:lineRule="auto"/>
      <w:ind w:firstLine="510" w:firstLineChars="200"/>
    </w:pPr>
    <w:rPr>
      <w:sz w:val="24"/>
      <w:szCs w:val="20"/>
    </w:rPr>
  </w:style>
  <w:style w:type="paragraph" w:customStyle="1" w:styleId="80">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81">
    <w:name w:val="纯文本_0_0"/>
    <w:basedOn w:val="82"/>
    <w:autoRedefine/>
    <w:qFormat/>
    <w:uiPriority w:val="0"/>
    <w:pPr>
      <w:adjustRightInd/>
    </w:pPr>
    <w:rPr>
      <w:rFonts w:ascii="宋体" w:hAnsi="Courier New"/>
      <w:szCs w:val="21"/>
    </w:rPr>
  </w:style>
  <w:style w:type="paragraph" w:customStyle="1" w:styleId="8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
    <w:name w:val="列出段落1"/>
    <w:basedOn w:val="1"/>
    <w:autoRedefine/>
    <w:qFormat/>
    <w:uiPriority w:val="34"/>
    <w:pPr>
      <w:ind w:firstLine="420" w:firstLineChars="200"/>
    </w:pPr>
    <w:rPr>
      <w:rFonts w:ascii="Calibri" w:hAnsi="Calibri" w:cs="黑体"/>
    </w:rPr>
  </w:style>
  <w:style w:type="paragraph" w:customStyle="1" w:styleId="85">
    <w:name w:val="正文空2格  1."/>
    <w:basedOn w:val="1"/>
    <w:autoRedefine/>
    <w:qFormat/>
    <w:uiPriority w:val="0"/>
    <w:pPr>
      <w:ind w:firstLine="480" w:firstLineChars="200"/>
    </w:pPr>
    <w:rPr>
      <w:rFonts w:cs="宋体"/>
      <w:sz w:val="28"/>
      <w:szCs w:val="20"/>
    </w:rPr>
  </w:style>
  <w:style w:type="character" w:customStyle="1" w:styleId="86">
    <w:name w:val="font31"/>
    <w:basedOn w:val="31"/>
    <w:autoRedefine/>
    <w:qFormat/>
    <w:uiPriority w:val="0"/>
    <w:rPr>
      <w:rFonts w:hint="eastAsia" w:ascii="宋体" w:hAnsi="宋体" w:eastAsia="宋体" w:cs="宋体"/>
      <w:color w:val="3C3C3C"/>
      <w:sz w:val="12"/>
      <w:szCs w:val="12"/>
      <w:u w:val="none"/>
    </w:rPr>
  </w:style>
  <w:style w:type="character" w:customStyle="1" w:styleId="87">
    <w:name w:val="font41"/>
    <w:basedOn w:val="31"/>
    <w:autoRedefine/>
    <w:qFormat/>
    <w:uiPriority w:val="0"/>
    <w:rPr>
      <w:rFonts w:ascii="Tahoma" w:hAnsi="Tahoma" w:eastAsia="Tahoma" w:cs="Tahoma"/>
      <w:color w:val="3C3C3C"/>
      <w:sz w:val="12"/>
      <w:szCs w:val="12"/>
      <w:u w:val="none"/>
    </w:rPr>
  </w:style>
  <w:style w:type="character" w:customStyle="1" w:styleId="88">
    <w:name w:val="NormalCharacter"/>
    <w:link w:val="1"/>
    <w:autoRedefine/>
    <w:semiHidden/>
    <w:qFormat/>
    <w:uiPriority w:val="0"/>
    <w:rPr>
      <w:rFonts w:ascii="Times New Roman" w:hAnsi="Times New Roman" w:eastAsia="宋体" w:cs="Times New Roman"/>
      <w:kern w:val="2"/>
      <w:sz w:val="21"/>
      <w:lang w:val="en-US" w:eastAsia="zh-CN" w:bidi="ar-SA"/>
    </w:rPr>
  </w:style>
  <w:style w:type="paragraph" w:customStyle="1" w:styleId="89">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Normal_2"/>
    <w:qFormat/>
    <w:uiPriority w:val="0"/>
    <w:rPr>
      <w:rFonts w:ascii="Times New Roman" w:hAnsi="Times New Roman" w:eastAsia="Times New Roman" w:cs="Times New Roman"/>
      <w:sz w:val="24"/>
      <w:szCs w:val="24"/>
      <w:lang w:val="en-US" w:eastAsia="zh-CN" w:bidi="ar-SA"/>
    </w:rPr>
  </w:style>
  <w:style w:type="paragraph" w:customStyle="1" w:styleId="9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93">
    <w:name w:val="_Style 7"/>
    <w:basedOn w:val="1"/>
    <w:qFormat/>
    <w:uiPriority w:val="0"/>
    <w:pPr>
      <w:ind w:firstLine="420" w:firstLineChars="200"/>
    </w:pPr>
  </w:style>
  <w:style w:type="paragraph" w:customStyle="1" w:styleId="94">
    <w:name w:val="须知二级小标题"/>
    <w:basedOn w:val="1"/>
    <w:qFormat/>
    <w:uiPriority w:val="0"/>
    <w:pPr>
      <w:spacing w:line="500" w:lineRule="exact"/>
    </w:pPr>
    <w:rPr>
      <w:rFonts w:ascii="宋体"/>
      <w:b/>
      <w:sz w:val="24"/>
      <w:szCs w:val="20"/>
    </w:rPr>
  </w:style>
  <w:style w:type="paragraph" w:customStyle="1" w:styleId="9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
    <w:name w:val=" Char Char1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104</Pages>
  <Words>16444</Words>
  <Characters>17492</Characters>
  <Lines>235</Lines>
  <Paragraphs>66</Paragraphs>
  <TotalTime>2</TotalTime>
  <ScaleCrop>false</ScaleCrop>
  <LinksUpToDate>false</LinksUpToDate>
  <CharactersWithSpaces>17865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2021-03-22T04:18:00Z</dcterms:created>
  <dc:creator>yujun.fan</dc:creator>
  <cp:lastModifiedBy>angie</cp:lastModifiedBy>
  <cp:lastPrinted>2025-03-17T06:02:33Z</cp:lastPrinted>
  <dcterms:modified xsi:type="dcterms:W3CDTF">2025-03-17T06:55:43Z</dcterms:modified>
  <dc:title>关于政府采购中代理竞争性谈判方式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F3D3E03CB1FB43E5BED9C7BCFDE7D52F_13</vt:lpwstr>
  </property>
  <property fmtid="{D5CDD505-2E9C-101B-9397-08002B2CF9AE}" pid="4" name="KSOTemplateDocerSaveRecord">
    <vt:lpwstr>eyJoZGlkIjoiMTA0ZTczMDBkYTU0MmVmM2I3NDlhOTJhMjkyOTY3ZmEiLCJ1c2VySWQiOiIzMjE3OTkyNTkifQ==</vt:lpwstr>
  </property>
</Properties>
</file>