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6B1BF" w14:textId="0526FC19" w:rsidR="00DE6402" w:rsidRDefault="00DE6402" w:rsidP="00DE6402">
      <w:pPr>
        <w:spacing w:line="360" w:lineRule="auto"/>
        <w:ind w:firstLineChars="200" w:firstLine="643"/>
        <w:jc w:val="center"/>
        <w:rPr>
          <w:rFonts w:ascii="宋体" w:hAnsi="宋体" w:cs="宋体"/>
          <w:b/>
          <w:sz w:val="32"/>
          <w:szCs w:val="21"/>
        </w:rPr>
      </w:pPr>
      <w:r w:rsidRPr="00F52112">
        <w:rPr>
          <w:rFonts w:ascii="宋体" w:hAnsi="宋体" w:cs="宋体" w:hint="eastAsia"/>
          <w:b/>
          <w:sz w:val="32"/>
          <w:szCs w:val="21"/>
        </w:rPr>
        <w:t>采购需求</w:t>
      </w:r>
    </w:p>
    <w:p w14:paraId="4175502E" w14:textId="77777777" w:rsidR="003F2D83" w:rsidRDefault="003F2D83" w:rsidP="003F2D83">
      <w:pPr>
        <w:widowControl/>
        <w:spacing w:beforeLines="50" w:before="156" w:afterLines="50" w:after="156" w:line="440" w:lineRule="exact"/>
        <w:rPr>
          <w:rFonts w:ascii="仿宋" w:eastAsia="仿宋" w:hAnsi="仿宋" w:hint="eastAsia"/>
          <w:kern w:val="0"/>
          <w:sz w:val="28"/>
          <w:szCs w:val="28"/>
        </w:rPr>
      </w:pPr>
      <w:r>
        <w:rPr>
          <w:rFonts w:ascii="仿宋" w:eastAsia="仿宋" w:hAnsi="仿宋" w:hint="eastAsia"/>
          <w:kern w:val="0"/>
          <w:sz w:val="28"/>
          <w:szCs w:val="28"/>
        </w:rPr>
        <w:t>一、项目简况</w:t>
      </w:r>
    </w:p>
    <w:p w14:paraId="4C91D957" w14:textId="77777777" w:rsidR="003F2D83" w:rsidRDefault="003F2D83" w:rsidP="003F2D83">
      <w:pPr>
        <w:widowControl/>
        <w:spacing w:line="440" w:lineRule="exact"/>
        <w:ind w:firstLineChars="200" w:firstLine="560"/>
        <w:rPr>
          <w:rFonts w:ascii="仿宋" w:eastAsia="仿宋" w:hAnsi="仿宋" w:hint="eastAsia"/>
          <w:sz w:val="28"/>
          <w:szCs w:val="28"/>
        </w:rPr>
      </w:pPr>
      <w:r>
        <w:rPr>
          <w:rFonts w:ascii="仿宋" w:eastAsia="仿宋" w:hAnsi="仿宋" w:hint="eastAsia"/>
          <w:sz w:val="28"/>
          <w:szCs w:val="28"/>
        </w:rPr>
        <w:t>根据《国家矿山安全监察局关于印发“学铁规、明责任、硬落实、保安全”专项活动方案的通知》（</w:t>
      </w:r>
      <w:proofErr w:type="gramStart"/>
      <w:r>
        <w:rPr>
          <w:rFonts w:ascii="仿宋" w:eastAsia="仿宋" w:hAnsi="仿宋" w:hint="eastAsia"/>
          <w:sz w:val="28"/>
          <w:szCs w:val="28"/>
        </w:rPr>
        <w:t>矿安〔2022〕</w:t>
      </w:r>
      <w:proofErr w:type="gramEnd"/>
      <w:r>
        <w:rPr>
          <w:rFonts w:ascii="仿宋" w:eastAsia="仿宋" w:hAnsi="仿宋" w:hint="eastAsia"/>
          <w:sz w:val="28"/>
          <w:szCs w:val="28"/>
        </w:rPr>
        <w:t>72号）、浙江省应急管理厅《关于加强露天矿山边坡安全风险管控严防坍塌事故的指导意见》（浙应急基础〔2022〕24号）、《宁波市矿山安全生产治本攻坚三年行动方案（2024-2026年）》、《宁波市应急管理局关于开展2025年工矿企业重大事故隐患动态清零集中攻坚行动的通知》(甬应急〔2025〕30号)的要求和结合2025年矿山安全监管重点工作任务安排，为进一步防范化解重大风险，提升重大事故隐患动态清零行动工作质效，以高水平安全服务保障高质量发展，拟委托第三方机构开展2025年矿山企业综合性安全巡查指导服务。</w:t>
      </w:r>
    </w:p>
    <w:p w14:paraId="124BB646" w14:textId="77777777" w:rsidR="003F2D83" w:rsidRDefault="003F2D83" w:rsidP="003F2D83">
      <w:pPr>
        <w:widowControl/>
        <w:spacing w:beforeLines="50" w:before="156" w:afterLines="50" w:after="156" w:line="440" w:lineRule="exact"/>
        <w:rPr>
          <w:rFonts w:ascii="仿宋" w:eastAsia="仿宋" w:hAnsi="仿宋" w:hint="eastAsia"/>
          <w:kern w:val="0"/>
          <w:sz w:val="28"/>
          <w:szCs w:val="28"/>
        </w:rPr>
      </w:pPr>
      <w:r>
        <w:rPr>
          <w:rFonts w:ascii="仿宋" w:eastAsia="仿宋" w:hAnsi="仿宋" w:hint="eastAsia"/>
          <w:kern w:val="0"/>
          <w:sz w:val="28"/>
          <w:szCs w:val="28"/>
        </w:rPr>
        <w:t>二、采购需求</w:t>
      </w:r>
    </w:p>
    <w:p w14:paraId="7D9C62D5" w14:textId="77777777" w:rsidR="003F2D83" w:rsidRDefault="003F2D83" w:rsidP="003F2D83">
      <w:pPr>
        <w:widowControl/>
        <w:spacing w:line="440" w:lineRule="exact"/>
        <w:ind w:firstLineChars="200" w:firstLine="560"/>
        <w:rPr>
          <w:rFonts w:ascii="仿宋" w:eastAsia="仿宋" w:hAnsi="仿宋" w:hint="eastAsia"/>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工作目标：通过第三</w:t>
      </w:r>
      <w:proofErr w:type="gramStart"/>
      <w:r>
        <w:rPr>
          <w:rFonts w:ascii="仿宋" w:eastAsia="仿宋" w:hAnsi="仿宋" w:hint="eastAsia"/>
          <w:sz w:val="28"/>
          <w:szCs w:val="28"/>
        </w:rPr>
        <w:t>方专业</w:t>
      </w:r>
      <w:proofErr w:type="gramEnd"/>
      <w:r>
        <w:rPr>
          <w:rFonts w:ascii="仿宋" w:eastAsia="仿宋" w:hAnsi="仿宋" w:hint="eastAsia"/>
          <w:sz w:val="28"/>
          <w:szCs w:val="28"/>
        </w:rPr>
        <w:t>机构对全市矿山企业开展综合性安全巡查指导服务（具体根据实际开展），通过对</w:t>
      </w:r>
      <w:proofErr w:type="gramStart"/>
      <w:r>
        <w:rPr>
          <w:rFonts w:ascii="仿宋" w:eastAsia="仿宋" w:hAnsi="仿宋" w:hint="eastAsia"/>
          <w:sz w:val="28"/>
          <w:szCs w:val="28"/>
        </w:rPr>
        <w:t>基础台</w:t>
      </w:r>
      <w:proofErr w:type="gramEnd"/>
      <w:r>
        <w:rPr>
          <w:rFonts w:ascii="仿宋" w:eastAsia="仿宋" w:hAnsi="仿宋" w:hint="eastAsia"/>
          <w:sz w:val="28"/>
          <w:szCs w:val="28"/>
        </w:rPr>
        <w:t>帐资料、矿山现场及边坡安全稳定等安全条件符合情况进行指导，并对发现的问题指导企业分析和整改；指导服务完成后，对服务过程材料进行整理汇编、对工作进行总结，并集体反馈。通过指导服务，宣传相关政策、帮助企业提升自主管理能力，切实提升企业本质安全水平和属地监管能力，保持矿山企业安全生产形势平稳。</w:t>
      </w:r>
    </w:p>
    <w:p w14:paraId="7388898D" w14:textId="77777777" w:rsidR="003F2D83" w:rsidRDefault="003F2D83" w:rsidP="003F2D83">
      <w:pPr>
        <w:widowControl/>
        <w:spacing w:line="440" w:lineRule="exact"/>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主要工作内容：</w:t>
      </w:r>
    </w:p>
    <w:p w14:paraId="5811CFF2" w14:textId="77777777" w:rsidR="003F2D83" w:rsidRDefault="003F2D83" w:rsidP="003F2D83">
      <w:pPr>
        <w:widowControl/>
        <w:spacing w:line="440" w:lineRule="exact"/>
        <w:ind w:firstLineChars="200" w:firstLine="562"/>
        <w:rPr>
          <w:rFonts w:ascii="仿宋" w:eastAsia="仿宋" w:hAnsi="仿宋" w:hint="eastAsia"/>
          <w:sz w:val="28"/>
          <w:szCs w:val="28"/>
        </w:rPr>
      </w:pPr>
      <w:r>
        <w:rPr>
          <w:rFonts w:ascii="仿宋" w:eastAsia="仿宋" w:hAnsi="仿宋" w:hint="eastAsia"/>
          <w:b/>
          <w:bCs/>
          <w:sz w:val="28"/>
          <w:szCs w:val="28"/>
        </w:rPr>
        <w:t>一是现场指导（5月底-7月底）</w:t>
      </w:r>
      <w:r>
        <w:rPr>
          <w:rFonts w:ascii="仿宋" w:eastAsia="仿宋" w:hAnsi="仿宋" w:hint="eastAsia"/>
          <w:sz w:val="28"/>
          <w:szCs w:val="28"/>
        </w:rPr>
        <w:t>。巡查指导按照上级文件通知要求和《金属非金属矿山安全规程》《非煤露天矿边坡工程技术规范》《金属非金属露天矿山高陡边坡监测技术规范》等法律法规标准规范，确立指导内容，实施现场巡查，对在巡查指导中发现的问题隐患由属地监管部门督促整改。</w:t>
      </w:r>
    </w:p>
    <w:p w14:paraId="3E635C25" w14:textId="77777777" w:rsidR="003F2D83" w:rsidRDefault="003F2D83" w:rsidP="003F2D83">
      <w:pPr>
        <w:widowControl/>
        <w:spacing w:line="440" w:lineRule="exact"/>
        <w:ind w:firstLineChars="200" w:firstLine="562"/>
        <w:rPr>
          <w:rFonts w:ascii="仿宋" w:eastAsia="仿宋" w:hAnsi="仿宋" w:hint="eastAsia"/>
          <w:sz w:val="28"/>
          <w:szCs w:val="28"/>
        </w:rPr>
      </w:pPr>
      <w:r>
        <w:rPr>
          <w:rFonts w:ascii="仿宋" w:eastAsia="仿宋" w:hAnsi="仿宋" w:hint="eastAsia"/>
          <w:b/>
          <w:bCs/>
          <w:sz w:val="28"/>
          <w:szCs w:val="28"/>
        </w:rPr>
        <w:t>二是整改确认（7月底-9月初）</w:t>
      </w:r>
      <w:r>
        <w:rPr>
          <w:rFonts w:ascii="仿宋" w:eastAsia="仿宋" w:hAnsi="仿宋" w:hint="eastAsia"/>
          <w:sz w:val="28"/>
          <w:szCs w:val="28"/>
        </w:rPr>
        <w:t>。各地督促企业，按期整改问题隐患，整改好后报市局核实。</w:t>
      </w:r>
    </w:p>
    <w:p w14:paraId="04D2BA22" w14:textId="77777777" w:rsidR="003F2D83" w:rsidRDefault="003F2D83" w:rsidP="003F2D83">
      <w:pPr>
        <w:widowControl/>
        <w:spacing w:line="440" w:lineRule="exact"/>
        <w:ind w:firstLineChars="200" w:firstLine="562"/>
        <w:rPr>
          <w:rFonts w:ascii="仿宋" w:eastAsia="仿宋" w:hAnsi="仿宋"/>
          <w:sz w:val="28"/>
          <w:szCs w:val="28"/>
        </w:rPr>
      </w:pPr>
      <w:r>
        <w:rPr>
          <w:rFonts w:ascii="仿宋" w:eastAsia="仿宋" w:hAnsi="仿宋" w:hint="eastAsia"/>
          <w:b/>
          <w:bCs/>
          <w:sz w:val="28"/>
          <w:szCs w:val="28"/>
        </w:rPr>
        <w:lastRenderedPageBreak/>
        <w:t>三是总结（9月底前）</w:t>
      </w:r>
      <w:r>
        <w:rPr>
          <w:rFonts w:ascii="仿宋" w:eastAsia="仿宋" w:hAnsi="仿宋" w:hint="eastAsia"/>
          <w:sz w:val="28"/>
          <w:szCs w:val="28"/>
        </w:rPr>
        <w:t>。对本次指导服务项目进行全面总结，整理汇编，形成一矿</w:t>
      </w:r>
      <w:proofErr w:type="gramStart"/>
      <w:r>
        <w:rPr>
          <w:rFonts w:ascii="仿宋" w:eastAsia="仿宋" w:hAnsi="仿宋" w:hint="eastAsia"/>
          <w:sz w:val="28"/>
          <w:szCs w:val="28"/>
        </w:rPr>
        <w:t>一</w:t>
      </w:r>
      <w:proofErr w:type="gramEnd"/>
      <w:r>
        <w:rPr>
          <w:rFonts w:ascii="仿宋" w:eastAsia="仿宋" w:hAnsi="仿宋" w:hint="eastAsia"/>
          <w:sz w:val="28"/>
          <w:szCs w:val="28"/>
        </w:rPr>
        <w:t>策的指导报告，开展一次全市矿山企业指导问题情况反馈会。</w:t>
      </w:r>
    </w:p>
    <w:p w14:paraId="233B50CB" w14:textId="77777777" w:rsidR="003F2D83" w:rsidRDefault="003F2D83" w:rsidP="003F2D83">
      <w:pPr>
        <w:widowControl/>
        <w:spacing w:line="440" w:lineRule="exact"/>
        <w:ind w:firstLineChars="200" w:firstLine="560"/>
        <w:rPr>
          <w:rFonts w:ascii="仿宋" w:eastAsia="仿宋" w:hAnsi="仿宋" w:hint="eastAsia"/>
          <w:sz w:val="28"/>
          <w:szCs w:val="28"/>
        </w:rPr>
      </w:pPr>
      <w:r>
        <w:rPr>
          <w:rFonts w:ascii="仿宋" w:eastAsia="仿宋" w:hAnsi="仿宋"/>
          <w:sz w:val="28"/>
          <w:szCs w:val="28"/>
        </w:rPr>
        <w:t>5</w:t>
      </w:r>
      <w:r>
        <w:rPr>
          <w:rFonts w:ascii="仿宋" w:eastAsia="仿宋" w:hAnsi="仿宋" w:hint="eastAsia"/>
          <w:sz w:val="28"/>
          <w:szCs w:val="28"/>
        </w:rPr>
        <w:t>.其它约定</w:t>
      </w:r>
    </w:p>
    <w:p w14:paraId="35973631" w14:textId="77777777" w:rsidR="003F2D83" w:rsidRDefault="003F2D83" w:rsidP="003F2D83">
      <w:pPr>
        <w:widowControl/>
        <w:spacing w:line="440" w:lineRule="exact"/>
        <w:ind w:firstLineChars="200" w:firstLine="560"/>
        <w:rPr>
          <w:rFonts w:ascii="仿宋" w:eastAsia="仿宋" w:hAnsi="仿宋" w:hint="eastAsia"/>
          <w:sz w:val="28"/>
          <w:szCs w:val="28"/>
        </w:rPr>
      </w:pPr>
      <w:r>
        <w:rPr>
          <w:rFonts w:ascii="仿宋" w:eastAsia="仿宋" w:hAnsi="仿宋" w:hint="eastAsia"/>
          <w:sz w:val="28"/>
          <w:szCs w:val="28"/>
        </w:rPr>
        <w:t>（1）中标单位要给从事本项目的工作人员提供必要的安全防护装备，确保工作期间安全；要组织本项目工作人员进行一次全员安全培训教育，工作过程中交通、住宿、餐饮及检查时的人身财产安全由中标单位负责。涉及企业商业等方面内容需做好保密工作。无故不得影响企业正常生产。</w:t>
      </w:r>
    </w:p>
    <w:p w14:paraId="0506C35B" w14:textId="77777777" w:rsidR="003F2D83" w:rsidRDefault="003F2D83" w:rsidP="003F2D83">
      <w:pPr>
        <w:widowControl/>
        <w:spacing w:line="440" w:lineRule="exact"/>
        <w:ind w:firstLineChars="200" w:firstLine="560"/>
        <w:rPr>
          <w:rFonts w:ascii="仿宋" w:eastAsia="仿宋" w:hAnsi="仿宋" w:hint="eastAsia"/>
          <w:sz w:val="28"/>
          <w:szCs w:val="28"/>
        </w:rPr>
      </w:pPr>
      <w:r>
        <w:rPr>
          <w:rFonts w:ascii="仿宋" w:eastAsia="仿宋" w:hAnsi="仿宋" w:hint="eastAsia"/>
          <w:sz w:val="28"/>
          <w:szCs w:val="28"/>
        </w:rPr>
        <w:t>（2）奖励办法：市应急管理局将结合检查指导服务完成情况、企业反馈、事故发生情况等进行综合考评后实施奖励，（合同价的</w:t>
      </w:r>
      <w:r>
        <w:rPr>
          <w:rFonts w:ascii="仿宋" w:eastAsia="仿宋" w:hAnsi="仿宋"/>
          <w:sz w:val="28"/>
          <w:szCs w:val="28"/>
        </w:rPr>
        <w:t>20%</w:t>
      </w:r>
      <w:r>
        <w:rPr>
          <w:rFonts w:ascii="仿宋" w:eastAsia="仿宋" w:hAnsi="仿宋" w:hint="eastAsia"/>
          <w:sz w:val="28"/>
          <w:szCs w:val="28"/>
        </w:rPr>
        <w:t>为</w:t>
      </w:r>
      <w:proofErr w:type="gramStart"/>
      <w:r>
        <w:rPr>
          <w:rFonts w:ascii="仿宋" w:eastAsia="仿宋" w:hAnsi="仿宋" w:hint="eastAsia"/>
          <w:sz w:val="28"/>
          <w:szCs w:val="28"/>
        </w:rPr>
        <w:t>奖励总</w:t>
      </w:r>
      <w:proofErr w:type="gramEnd"/>
      <w:r>
        <w:rPr>
          <w:rFonts w:ascii="仿宋" w:eastAsia="仿宋" w:hAnsi="仿宋" w:hint="eastAsia"/>
          <w:sz w:val="28"/>
          <w:szCs w:val="28"/>
        </w:rPr>
        <w:t>金额），乙方奖励金额未达到</w:t>
      </w:r>
      <w:r>
        <w:rPr>
          <w:rFonts w:ascii="仿宋" w:eastAsia="仿宋" w:hAnsi="仿宋"/>
          <w:sz w:val="28"/>
          <w:szCs w:val="28"/>
        </w:rPr>
        <w:t>20%</w:t>
      </w:r>
      <w:r>
        <w:rPr>
          <w:rFonts w:ascii="仿宋" w:eastAsia="仿宋" w:hAnsi="仿宋" w:hint="eastAsia"/>
          <w:sz w:val="28"/>
          <w:szCs w:val="28"/>
        </w:rPr>
        <w:t>的按照实际核算，超过</w:t>
      </w:r>
      <w:r>
        <w:rPr>
          <w:rFonts w:ascii="仿宋" w:eastAsia="仿宋" w:hAnsi="仿宋"/>
          <w:sz w:val="28"/>
          <w:szCs w:val="28"/>
        </w:rPr>
        <w:t>20%</w:t>
      </w:r>
      <w:r>
        <w:rPr>
          <w:rFonts w:ascii="仿宋" w:eastAsia="仿宋" w:hAnsi="仿宋" w:hint="eastAsia"/>
          <w:sz w:val="28"/>
          <w:szCs w:val="28"/>
        </w:rPr>
        <w:t>的按照</w:t>
      </w:r>
      <w:r>
        <w:rPr>
          <w:rFonts w:ascii="仿宋" w:eastAsia="仿宋" w:hAnsi="仿宋"/>
          <w:sz w:val="28"/>
          <w:szCs w:val="28"/>
        </w:rPr>
        <w:t>20%</w:t>
      </w:r>
      <w:r>
        <w:rPr>
          <w:rFonts w:ascii="仿宋" w:eastAsia="仿宋" w:hAnsi="仿宋" w:hint="eastAsia"/>
          <w:sz w:val="28"/>
          <w:szCs w:val="28"/>
        </w:rPr>
        <w:t>结算。乙方在检查指导服务过程中发现企业存在以下情形并及时固定有效证据的每次奖励5000元；</w:t>
      </w:r>
    </w:p>
    <w:p w14:paraId="6F812D75" w14:textId="77777777" w:rsidR="003F2D83" w:rsidRDefault="003F2D83" w:rsidP="003F2D83">
      <w:pPr>
        <w:widowControl/>
        <w:spacing w:line="440" w:lineRule="exact"/>
        <w:ind w:firstLineChars="200" w:firstLine="560"/>
        <w:rPr>
          <w:rFonts w:ascii="仿宋" w:eastAsia="仿宋" w:hAnsi="仿宋" w:hint="eastAsia"/>
          <w:sz w:val="28"/>
          <w:szCs w:val="28"/>
          <w:lang w:val="en"/>
        </w:rPr>
      </w:pPr>
      <w:bookmarkStart w:id="0" w:name="_Hlk140077931"/>
      <w:r>
        <w:rPr>
          <w:rFonts w:ascii="仿宋" w:eastAsia="仿宋" w:hAnsi="仿宋" w:hint="eastAsia"/>
          <w:sz w:val="28"/>
          <w:szCs w:val="28"/>
          <w:lang w:val="en"/>
        </w:rPr>
        <w:t>a、特种作业人员未持证上岗；</w:t>
      </w:r>
    </w:p>
    <w:p w14:paraId="49B9D292" w14:textId="77777777" w:rsidR="003F2D83" w:rsidRDefault="003F2D83" w:rsidP="003F2D83">
      <w:pPr>
        <w:widowControl/>
        <w:spacing w:line="440" w:lineRule="exact"/>
        <w:ind w:firstLineChars="200" w:firstLine="560"/>
        <w:rPr>
          <w:rFonts w:ascii="仿宋" w:eastAsia="仿宋" w:hAnsi="仿宋" w:hint="eastAsia"/>
          <w:sz w:val="28"/>
          <w:szCs w:val="28"/>
          <w:lang w:val="en"/>
        </w:rPr>
      </w:pPr>
      <w:r>
        <w:rPr>
          <w:rFonts w:ascii="仿宋" w:eastAsia="仿宋" w:hAnsi="仿宋" w:hint="eastAsia"/>
          <w:sz w:val="28"/>
          <w:szCs w:val="28"/>
          <w:lang w:val="en"/>
        </w:rPr>
        <w:t>b、使用淘汰落后安全技术工艺、设备目录列出的工艺、设备；</w:t>
      </w:r>
    </w:p>
    <w:p w14:paraId="78D0089F" w14:textId="77777777" w:rsidR="003F2D83" w:rsidRDefault="003F2D83" w:rsidP="003F2D83">
      <w:pPr>
        <w:widowControl/>
        <w:spacing w:line="440" w:lineRule="exact"/>
        <w:ind w:firstLineChars="200" w:firstLine="560"/>
        <w:rPr>
          <w:rFonts w:ascii="仿宋" w:eastAsia="仿宋" w:hAnsi="仿宋" w:hint="eastAsia"/>
          <w:sz w:val="28"/>
          <w:szCs w:val="28"/>
          <w:lang w:val="en"/>
        </w:rPr>
      </w:pPr>
      <w:r>
        <w:rPr>
          <w:rFonts w:ascii="仿宋" w:eastAsia="仿宋" w:hAnsi="仿宋" w:hint="eastAsia"/>
          <w:sz w:val="28"/>
          <w:szCs w:val="28"/>
          <w:lang w:val="en"/>
        </w:rPr>
        <w:t>c、安全评价报告、边坡稳定性分析报告存在重大漏</w:t>
      </w:r>
      <w:proofErr w:type="gramStart"/>
      <w:r>
        <w:rPr>
          <w:rFonts w:ascii="仿宋" w:eastAsia="仿宋" w:hAnsi="仿宋" w:hint="eastAsia"/>
          <w:sz w:val="28"/>
          <w:szCs w:val="28"/>
          <w:lang w:val="en"/>
        </w:rPr>
        <w:t>项导致</w:t>
      </w:r>
      <w:proofErr w:type="gramEnd"/>
      <w:r>
        <w:rPr>
          <w:rFonts w:ascii="仿宋" w:eastAsia="仿宋" w:hAnsi="仿宋" w:hint="eastAsia"/>
          <w:sz w:val="28"/>
          <w:szCs w:val="28"/>
          <w:lang w:val="en"/>
        </w:rPr>
        <w:t>结论错误的问题；</w:t>
      </w:r>
    </w:p>
    <w:p w14:paraId="5FE7B6F1" w14:textId="77777777" w:rsidR="003F2D83" w:rsidRDefault="003F2D83" w:rsidP="003F2D83">
      <w:pPr>
        <w:widowControl/>
        <w:spacing w:line="440" w:lineRule="exact"/>
        <w:ind w:firstLineChars="200" w:firstLine="560"/>
        <w:rPr>
          <w:rFonts w:ascii="仿宋" w:eastAsia="仿宋" w:hAnsi="仿宋" w:hint="eastAsia"/>
          <w:sz w:val="28"/>
          <w:szCs w:val="28"/>
          <w:lang w:val="en"/>
        </w:rPr>
      </w:pPr>
      <w:r>
        <w:rPr>
          <w:rFonts w:ascii="仿宋" w:eastAsia="仿宋" w:hAnsi="仿宋" w:hint="eastAsia"/>
          <w:sz w:val="28"/>
          <w:szCs w:val="28"/>
          <w:lang w:val="en"/>
        </w:rPr>
        <w:t>d、未按照《安全设施设计》进行施工；</w:t>
      </w:r>
    </w:p>
    <w:p w14:paraId="57622D11" w14:textId="77777777" w:rsidR="003F2D83" w:rsidRDefault="003F2D83" w:rsidP="003F2D83">
      <w:pPr>
        <w:widowControl/>
        <w:spacing w:line="440" w:lineRule="exact"/>
        <w:ind w:firstLineChars="200" w:firstLine="560"/>
        <w:rPr>
          <w:rFonts w:ascii="仿宋" w:eastAsia="仿宋" w:hAnsi="仿宋"/>
          <w:sz w:val="28"/>
          <w:szCs w:val="28"/>
        </w:rPr>
      </w:pPr>
      <w:r>
        <w:rPr>
          <w:rFonts w:ascii="仿宋" w:eastAsia="仿宋" w:hAnsi="仿宋" w:hint="eastAsia"/>
          <w:sz w:val="28"/>
          <w:szCs w:val="28"/>
          <w:lang w:val="en"/>
        </w:rPr>
        <w:t>e、发现企业存在其他问题隐患符合重大隐患判断标准的。</w:t>
      </w:r>
    </w:p>
    <w:bookmarkEnd w:id="0"/>
    <w:p w14:paraId="6C67C621" w14:textId="77777777" w:rsidR="003F2D83" w:rsidRDefault="003F2D83" w:rsidP="003F2D83">
      <w:pPr>
        <w:widowControl/>
        <w:spacing w:line="440" w:lineRule="exact"/>
        <w:ind w:firstLineChars="200" w:firstLine="560"/>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lang w:val="en"/>
        </w:rPr>
        <w:t>3</w:t>
      </w:r>
      <w:r>
        <w:rPr>
          <w:rFonts w:ascii="仿宋" w:eastAsia="仿宋" w:hAnsi="仿宋" w:hint="eastAsia"/>
          <w:sz w:val="28"/>
          <w:szCs w:val="28"/>
        </w:rPr>
        <w:t>）惩罚条款：乙方因检查指导服务团队在指导服务过程中出现以下情形的，按照累计次数倒扣合同金额，最高扣款额度不超过本项目合同总金额的</w:t>
      </w:r>
      <w:r>
        <w:rPr>
          <w:rFonts w:ascii="仿宋" w:eastAsia="仿宋" w:hAnsi="仿宋"/>
          <w:sz w:val="28"/>
          <w:szCs w:val="28"/>
        </w:rPr>
        <w:t>20%</w:t>
      </w:r>
      <w:r>
        <w:rPr>
          <w:rFonts w:ascii="仿宋" w:eastAsia="仿宋" w:hAnsi="仿宋" w:hint="eastAsia"/>
          <w:sz w:val="28"/>
          <w:szCs w:val="28"/>
        </w:rPr>
        <w:t>。</w:t>
      </w:r>
    </w:p>
    <w:p w14:paraId="6428E1D6" w14:textId="77777777" w:rsidR="003F2D83" w:rsidRDefault="003F2D83" w:rsidP="003F2D83">
      <w:pPr>
        <w:widowControl/>
        <w:spacing w:line="440" w:lineRule="exact"/>
        <w:ind w:firstLineChars="200" w:firstLine="560"/>
        <w:rPr>
          <w:rFonts w:ascii="仿宋" w:eastAsia="仿宋" w:hAnsi="仿宋" w:hint="eastAsia"/>
          <w:sz w:val="28"/>
          <w:szCs w:val="28"/>
          <w:lang w:val="en"/>
        </w:rPr>
      </w:pPr>
      <w:r>
        <w:rPr>
          <w:rFonts w:ascii="仿宋" w:eastAsia="仿宋" w:hAnsi="仿宋" w:hint="eastAsia"/>
          <w:sz w:val="28"/>
          <w:szCs w:val="28"/>
          <w:lang w:val="en"/>
        </w:rPr>
        <w:t>a、因乙方现场核查未发现的问题隐患直接导致企业发生事故的，每发生一起扣50000元；</w:t>
      </w:r>
    </w:p>
    <w:p w14:paraId="0F6CC6B5" w14:textId="77777777" w:rsidR="003F2D83" w:rsidRDefault="003F2D83" w:rsidP="003F2D83">
      <w:pPr>
        <w:widowControl/>
        <w:spacing w:line="440" w:lineRule="exact"/>
        <w:ind w:firstLineChars="200" w:firstLine="560"/>
        <w:rPr>
          <w:rFonts w:ascii="仿宋" w:eastAsia="仿宋" w:hAnsi="仿宋" w:hint="eastAsia"/>
          <w:sz w:val="28"/>
          <w:szCs w:val="28"/>
          <w:lang w:val="en"/>
        </w:rPr>
      </w:pPr>
      <w:bookmarkStart w:id="1" w:name="_Hlk140679240"/>
      <w:r>
        <w:rPr>
          <w:rFonts w:ascii="仿宋" w:eastAsia="仿宋" w:hAnsi="仿宋" w:hint="eastAsia"/>
          <w:sz w:val="28"/>
          <w:szCs w:val="28"/>
          <w:lang w:val="en"/>
        </w:rPr>
        <w:t>b、乙方现场核查未发现指出相关重大隐患，被各级检查发现指出的（乙方检查后新增部分除外），每个重大隐患扣发10000元;</w:t>
      </w:r>
    </w:p>
    <w:p w14:paraId="5B0FB9CF" w14:textId="77777777" w:rsidR="003F2D83" w:rsidRDefault="003F2D83" w:rsidP="003F2D83">
      <w:pPr>
        <w:widowControl/>
        <w:spacing w:line="440" w:lineRule="exact"/>
        <w:ind w:firstLineChars="200" w:firstLine="560"/>
        <w:rPr>
          <w:rFonts w:ascii="仿宋" w:eastAsia="仿宋" w:hAnsi="仿宋" w:hint="eastAsia"/>
          <w:sz w:val="28"/>
          <w:szCs w:val="28"/>
          <w:lang w:val="en"/>
        </w:rPr>
      </w:pPr>
      <w:r>
        <w:rPr>
          <w:rFonts w:ascii="仿宋" w:eastAsia="仿宋" w:hAnsi="仿宋" w:hint="eastAsia"/>
          <w:sz w:val="28"/>
          <w:szCs w:val="28"/>
          <w:lang w:val="en"/>
        </w:rPr>
        <w:t>c、乙方现场核查提交的一般隐患清单与各级检查发现隐患清单重合率低于70%的（乙方检查后新增部分除外），每家扣发</w:t>
      </w:r>
      <w:r>
        <w:rPr>
          <w:rFonts w:ascii="仿宋" w:eastAsia="仿宋" w:hAnsi="仿宋"/>
          <w:sz w:val="28"/>
          <w:szCs w:val="28"/>
          <w:lang w:val="en"/>
        </w:rPr>
        <w:t>10</w:t>
      </w:r>
      <w:r>
        <w:rPr>
          <w:rFonts w:ascii="仿宋" w:eastAsia="仿宋" w:hAnsi="仿宋" w:hint="eastAsia"/>
          <w:sz w:val="28"/>
          <w:szCs w:val="28"/>
          <w:lang w:val="en"/>
        </w:rPr>
        <w:t>000元;</w:t>
      </w:r>
    </w:p>
    <w:bookmarkEnd w:id="1"/>
    <w:p w14:paraId="055832EA" w14:textId="77777777" w:rsidR="003F2D83" w:rsidRDefault="003F2D83" w:rsidP="003F2D83">
      <w:pPr>
        <w:widowControl/>
        <w:spacing w:line="440" w:lineRule="exact"/>
        <w:ind w:firstLineChars="200" w:firstLine="560"/>
        <w:rPr>
          <w:rFonts w:ascii="仿宋" w:eastAsia="仿宋" w:hAnsi="仿宋" w:hint="eastAsia"/>
          <w:sz w:val="28"/>
          <w:szCs w:val="28"/>
          <w:lang w:val="en"/>
        </w:rPr>
      </w:pPr>
      <w:r>
        <w:rPr>
          <w:rFonts w:ascii="仿宋" w:eastAsia="仿宋" w:hAnsi="仿宋" w:hint="eastAsia"/>
          <w:sz w:val="28"/>
          <w:szCs w:val="28"/>
          <w:lang w:val="en"/>
        </w:rPr>
        <w:t>d、乙方未对企业各类问题隐患整改闭环实际确认的，每发现一起，扣发</w:t>
      </w:r>
      <w:r>
        <w:rPr>
          <w:rFonts w:ascii="仿宋" w:eastAsia="仿宋" w:hAnsi="仿宋"/>
          <w:sz w:val="28"/>
          <w:szCs w:val="28"/>
          <w:lang w:val="en"/>
        </w:rPr>
        <w:t>5</w:t>
      </w:r>
      <w:r>
        <w:rPr>
          <w:rFonts w:ascii="仿宋" w:eastAsia="仿宋" w:hAnsi="仿宋" w:hint="eastAsia"/>
          <w:sz w:val="28"/>
          <w:szCs w:val="28"/>
          <w:lang w:val="en"/>
        </w:rPr>
        <w:t>000元；</w:t>
      </w:r>
    </w:p>
    <w:p w14:paraId="23A5E006" w14:textId="77777777" w:rsidR="003F2D83" w:rsidRDefault="003F2D83" w:rsidP="003F2D83">
      <w:pPr>
        <w:widowControl/>
        <w:spacing w:line="440" w:lineRule="exact"/>
        <w:ind w:firstLineChars="200" w:firstLine="560"/>
        <w:rPr>
          <w:rFonts w:ascii="仿宋" w:eastAsia="仿宋" w:hAnsi="仿宋" w:hint="eastAsia"/>
          <w:sz w:val="28"/>
          <w:szCs w:val="28"/>
          <w:lang w:val="en"/>
        </w:rPr>
      </w:pPr>
      <w:r>
        <w:rPr>
          <w:rFonts w:ascii="仿宋" w:eastAsia="仿宋" w:hAnsi="仿宋" w:hint="eastAsia"/>
          <w:sz w:val="28"/>
          <w:szCs w:val="28"/>
          <w:lang w:val="en"/>
        </w:rPr>
        <w:lastRenderedPageBreak/>
        <w:t>e、</w:t>
      </w:r>
      <w:r w:rsidRPr="009B717B">
        <w:rPr>
          <w:rFonts w:ascii="仿宋" w:eastAsia="仿宋" w:hAnsi="仿宋" w:hint="eastAsia"/>
          <w:sz w:val="28"/>
          <w:szCs w:val="28"/>
          <w:lang w:val="en"/>
        </w:rPr>
        <w:t>乙方未按照甲方要求开展服务活动，相关检查人员资质不符合招标要求的，或者未按照投标承诺配备相关资质人员，每发现一次扣发5000元。</w:t>
      </w:r>
    </w:p>
    <w:p w14:paraId="2D9015AE" w14:textId="77777777" w:rsidR="003F2D83" w:rsidRDefault="003F2D83" w:rsidP="003F2D83">
      <w:pPr>
        <w:widowControl/>
        <w:spacing w:line="440" w:lineRule="exact"/>
        <w:ind w:firstLineChars="200" w:firstLine="560"/>
        <w:rPr>
          <w:rFonts w:ascii="宋体" w:hAnsi="宋体" w:hint="eastAsia"/>
          <w:szCs w:val="28"/>
        </w:rPr>
      </w:pPr>
      <w:r>
        <w:rPr>
          <w:rFonts w:ascii="仿宋" w:eastAsia="仿宋" w:hAnsi="仿宋" w:hint="eastAsia"/>
          <w:sz w:val="28"/>
          <w:szCs w:val="28"/>
          <w:lang w:val="en"/>
        </w:rPr>
        <w:t>对于供应商违反国家咨询服务相关规定，特别是弄虚作假，出具虚假检查报告、证明和服务人员不到现场等行为，一经查实，将严肃处理，并报有关部门按相关法律法规进行处理。</w:t>
      </w:r>
    </w:p>
    <w:p w14:paraId="0B9C8357" w14:textId="77777777" w:rsidR="003F2D83" w:rsidRDefault="003F2D83" w:rsidP="003F2D83">
      <w:pPr>
        <w:widowControl/>
        <w:spacing w:line="440" w:lineRule="exact"/>
        <w:ind w:firstLine="640"/>
        <w:jc w:val="left"/>
        <w:rPr>
          <w:rFonts w:ascii="仿宋" w:eastAsia="仿宋" w:hAnsi="仿宋" w:hint="eastAsia"/>
          <w:b/>
          <w:bCs/>
          <w:kern w:val="0"/>
          <w:sz w:val="28"/>
          <w:szCs w:val="32"/>
        </w:rPr>
      </w:pPr>
      <w:r>
        <w:rPr>
          <w:rFonts w:ascii="仿宋" w:eastAsia="仿宋" w:hAnsi="仿宋" w:hint="eastAsia"/>
          <w:b/>
          <w:bCs/>
          <w:kern w:val="0"/>
          <w:sz w:val="28"/>
          <w:szCs w:val="32"/>
        </w:rPr>
        <w:t>三、商务条款</w:t>
      </w:r>
    </w:p>
    <w:tbl>
      <w:tblPr>
        <w:tblW w:w="0" w:type="auto"/>
        <w:tblInd w:w="108" w:type="dxa"/>
        <w:tblLayout w:type="fixed"/>
        <w:tblLook w:val="0000" w:firstRow="0" w:lastRow="0" w:firstColumn="0" w:lastColumn="0" w:noHBand="0" w:noVBand="0"/>
      </w:tblPr>
      <w:tblGrid>
        <w:gridCol w:w="851"/>
        <w:gridCol w:w="8221"/>
      </w:tblGrid>
      <w:tr w:rsidR="003F2D83" w14:paraId="384C5CDC" w14:textId="77777777" w:rsidTr="001646F9">
        <w:trPr>
          <w:trHeight w:val="454"/>
        </w:trPr>
        <w:tc>
          <w:tcPr>
            <w:tcW w:w="851" w:type="dxa"/>
            <w:tcBorders>
              <w:top w:val="single" w:sz="4" w:space="0" w:color="auto"/>
              <w:left w:val="single" w:sz="4" w:space="0" w:color="auto"/>
              <w:bottom w:val="single" w:sz="6" w:space="0" w:color="000000"/>
              <w:right w:val="single" w:sz="6" w:space="0" w:color="000000"/>
            </w:tcBorders>
            <w:vAlign w:val="center"/>
          </w:tcPr>
          <w:p w14:paraId="0E674CE4" w14:textId="77777777" w:rsidR="003F2D83" w:rsidRDefault="003F2D83" w:rsidP="001646F9">
            <w:pPr>
              <w:autoSpaceDE w:val="0"/>
              <w:autoSpaceDN w:val="0"/>
              <w:adjustRightInd w:val="0"/>
              <w:spacing w:line="440" w:lineRule="exact"/>
              <w:jc w:val="center"/>
              <w:rPr>
                <w:rFonts w:ascii="仿宋" w:eastAsia="仿宋" w:hAnsi="仿宋"/>
                <w:b/>
                <w:bCs/>
                <w:sz w:val="28"/>
                <w:szCs w:val="28"/>
              </w:rPr>
            </w:pPr>
            <w:r>
              <w:rPr>
                <w:rFonts w:ascii="仿宋" w:eastAsia="仿宋" w:hAnsi="仿宋" w:hint="eastAsia"/>
                <w:b/>
                <w:bCs/>
                <w:sz w:val="28"/>
                <w:szCs w:val="28"/>
              </w:rPr>
              <w:t>序号</w:t>
            </w:r>
          </w:p>
        </w:tc>
        <w:tc>
          <w:tcPr>
            <w:tcW w:w="8221" w:type="dxa"/>
            <w:tcBorders>
              <w:top w:val="single" w:sz="4" w:space="0" w:color="auto"/>
              <w:left w:val="nil"/>
              <w:bottom w:val="single" w:sz="6" w:space="0" w:color="000000"/>
              <w:right w:val="single" w:sz="4" w:space="0" w:color="auto"/>
            </w:tcBorders>
            <w:vAlign w:val="center"/>
          </w:tcPr>
          <w:p w14:paraId="2BFD87B8" w14:textId="77777777" w:rsidR="003F2D83" w:rsidRDefault="003F2D83" w:rsidP="001646F9">
            <w:pPr>
              <w:autoSpaceDE w:val="0"/>
              <w:autoSpaceDN w:val="0"/>
              <w:adjustRightInd w:val="0"/>
              <w:spacing w:line="440" w:lineRule="exact"/>
              <w:jc w:val="center"/>
              <w:rPr>
                <w:rFonts w:ascii="仿宋" w:eastAsia="仿宋" w:hAnsi="仿宋"/>
                <w:b/>
                <w:bCs/>
                <w:sz w:val="28"/>
                <w:szCs w:val="28"/>
              </w:rPr>
            </w:pPr>
            <w:r>
              <w:rPr>
                <w:rFonts w:ascii="仿宋" w:eastAsia="仿宋" w:hAnsi="仿宋" w:hint="eastAsia"/>
                <w:b/>
                <w:bCs/>
                <w:sz w:val="28"/>
                <w:szCs w:val="28"/>
              </w:rPr>
              <w:t>内      容</w:t>
            </w:r>
          </w:p>
        </w:tc>
      </w:tr>
      <w:tr w:rsidR="003F2D83" w14:paraId="69B1216D" w14:textId="77777777" w:rsidTr="001646F9">
        <w:trPr>
          <w:trHeight w:val="20"/>
        </w:trPr>
        <w:tc>
          <w:tcPr>
            <w:tcW w:w="851" w:type="dxa"/>
            <w:tcBorders>
              <w:top w:val="single" w:sz="6" w:space="0" w:color="000000"/>
              <w:left w:val="single" w:sz="4" w:space="0" w:color="auto"/>
              <w:bottom w:val="single" w:sz="6" w:space="0" w:color="000000"/>
              <w:right w:val="single" w:sz="6" w:space="0" w:color="000000"/>
            </w:tcBorders>
            <w:vAlign w:val="center"/>
          </w:tcPr>
          <w:p w14:paraId="6493348B" w14:textId="77777777" w:rsidR="003F2D83" w:rsidRDefault="003F2D83" w:rsidP="001646F9">
            <w:pPr>
              <w:autoSpaceDE w:val="0"/>
              <w:autoSpaceDN w:val="0"/>
              <w:adjustRightInd w:val="0"/>
              <w:spacing w:line="440" w:lineRule="exact"/>
              <w:jc w:val="center"/>
              <w:rPr>
                <w:rFonts w:ascii="仿宋" w:eastAsia="仿宋" w:hAnsi="仿宋"/>
                <w:sz w:val="28"/>
                <w:szCs w:val="28"/>
              </w:rPr>
            </w:pPr>
            <w:bookmarkStart w:id="2" w:name="_Hlk58866826"/>
            <w:r>
              <w:rPr>
                <w:rFonts w:ascii="仿宋" w:eastAsia="仿宋" w:hAnsi="仿宋" w:hint="eastAsia"/>
                <w:sz w:val="28"/>
                <w:szCs w:val="28"/>
              </w:rPr>
              <w:t>1</w:t>
            </w:r>
          </w:p>
        </w:tc>
        <w:tc>
          <w:tcPr>
            <w:tcW w:w="8221" w:type="dxa"/>
            <w:tcBorders>
              <w:top w:val="single" w:sz="6" w:space="0" w:color="000000"/>
              <w:left w:val="nil"/>
              <w:bottom w:val="single" w:sz="6" w:space="0" w:color="000000"/>
              <w:right w:val="single" w:sz="4" w:space="0" w:color="auto"/>
            </w:tcBorders>
            <w:vAlign w:val="center"/>
          </w:tcPr>
          <w:p w14:paraId="7E53A36A" w14:textId="77777777" w:rsidR="003F2D83" w:rsidRDefault="003F2D83" w:rsidP="001646F9">
            <w:pPr>
              <w:spacing w:line="440" w:lineRule="exact"/>
              <w:rPr>
                <w:rFonts w:ascii="仿宋" w:eastAsia="仿宋" w:hAnsi="仿宋" w:hint="eastAsia"/>
                <w:sz w:val="28"/>
                <w:szCs w:val="28"/>
              </w:rPr>
            </w:pPr>
            <w:r>
              <w:rPr>
                <w:rFonts w:ascii="仿宋" w:eastAsia="仿宋" w:hAnsi="仿宋" w:cs="宋体" w:hint="eastAsia"/>
                <w:sz w:val="28"/>
                <w:szCs w:val="28"/>
              </w:rPr>
              <w:t>服务期限：202</w:t>
            </w:r>
            <w:r>
              <w:rPr>
                <w:rFonts w:ascii="仿宋" w:eastAsia="仿宋" w:hAnsi="仿宋" w:cs="宋体"/>
                <w:sz w:val="28"/>
                <w:szCs w:val="28"/>
              </w:rPr>
              <w:t>5</w:t>
            </w:r>
            <w:r>
              <w:rPr>
                <w:rFonts w:ascii="仿宋" w:eastAsia="仿宋" w:hAnsi="仿宋" w:cs="宋体" w:hint="eastAsia"/>
                <w:sz w:val="28"/>
                <w:szCs w:val="28"/>
              </w:rPr>
              <w:t>年</w:t>
            </w:r>
            <w:r>
              <w:rPr>
                <w:rFonts w:ascii="仿宋" w:eastAsia="仿宋" w:hAnsi="仿宋" w:cs="宋体"/>
                <w:sz w:val="28"/>
                <w:szCs w:val="28"/>
              </w:rPr>
              <w:t>5</w:t>
            </w:r>
            <w:r>
              <w:rPr>
                <w:rFonts w:ascii="仿宋" w:eastAsia="仿宋" w:hAnsi="仿宋" w:cs="宋体" w:hint="eastAsia"/>
                <w:sz w:val="28"/>
                <w:szCs w:val="28"/>
              </w:rPr>
              <w:t>月至202</w:t>
            </w:r>
            <w:r>
              <w:rPr>
                <w:rFonts w:ascii="仿宋" w:eastAsia="仿宋" w:hAnsi="仿宋" w:cs="宋体"/>
                <w:sz w:val="28"/>
                <w:szCs w:val="28"/>
              </w:rPr>
              <w:t>5</w:t>
            </w:r>
            <w:r>
              <w:rPr>
                <w:rFonts w:ascii="仿宋" w:eastAsia="仿宋" w:hAnsi="仿宋" w:cs="宋体" w:hint="eastAsia"/>
                <w:sz w:val="28"/>
                <w:szCs w:val="28"/>
              </w:rPr>
              <w:t>年</w:t>
            </w:r>
            <w:r>
              <w:rPr>
                <w:rFonts w:ascii="仿宋" w:eastAsia="仿宋" w:hAnsi="仿宋" w:cs="宋体"/>
                <w:sz w:val="28"/>
                <w:szCs w:val="28"/>
              </w:rPr>
              <w:t>9</w:t>
            </w:r>
            <w:r>
              <w:rPr>
                <w:rFonts w:ascii="仿宋" w:eastAsia="仿宋" w:hAnsi="仿宋" w:cs="宋体" w:hint="eastAsia"/>
                <w:sz w:val="28"/>
                <w:szCs w:val="28"/>
              </w:rPr>
              <w:t>月，具体时间以合同签订时间为准。</w:t>
            </w:r>
          </w:p>
        </w:tc>
      </w:tr>
      <w:bookmarkEnd w:id="2"/>
      <w:tr w:rsidR="003F2D83" w14:paraId="5CB640D1" w14:textId="77777777" w:rsidTr="001646F9">
        <w:trPr>
          <w:trHeight w:val="20"/>
        </w:trPr>
        <w:tc>
          <w:tcPr>
            <w:tcW w:w="851" w:type="dxa"/>
            <w:tcBorders>
              <w:top w:val="single" w:sz="6" w:space="0" w:color="000000"/>
              <w:left w:val="single" w:sz="4" w:space="0" w:color="auto"/>
              <w:bottom w:val="single" w:sz="6" w:space="0" w:color="000000"/>
              <w:right w:val="single" w:sz="6" w:space="0" w:color="000000"/>
            </w:tcBorders>
            <w:vAlign w:val="center"/>
          </w:tcPr>
          <w:p w14:paraId="4B5C3F9E" w14:textId="77777777" w:rsidR="003F2D83" w:rsidRDefault="003F2D83" w:rsidP="001646F9">
            <w:pPr>
              <w:autoSpaceDE w:val="0"/>
              <w:autoSpaceDN w:val="0"/>
              <w:adjustRightInd w:val="0"/>
              <w:spacing w:line="440" w:lineRule="exact"/>
              <w:jc w:val="center"/>
              <w:rPr>
                <w:rFonts w:ascii="仿宋" w:eastAsia="仿宋" w:hAnsi="仿宋" w:hint="eastAsia"/>
                <w:sz w:val="28"/>
                <w:szCs w:val="28"/>
              </w:rPr>
            </w:pPr>
            <w:r>
              <w:rPr>
                <w:rFonts w:ascii="仿宋" w:eastAsia="仿宋" w:hAnsi="仿宋"/>
                <w:sz w:val="28"/>
                <w:szCs w:val="28"/>
              </w:rPr>
              <w:t>2</w:t>
            </w:r>
          </w:p>
        </w:tc>
        <w:tc>
          <w:tcPr>
            <w:tcW w:w="8221" w:type="dxa"/>
            <w:tcBorders>
              <w:top w:val="single" w:sz="6" w:space="0" w:color="000000"/>
              <w:left w:val="nil"/>
              <w:bottom w:val="single" w:sz="6" w:space="0" w:color="000000"/>
              <w:right w:val="single" w:sz="4" w:space="0" w:color="auto"/>
            </w:tcBorders>
            <w:vAlign w:val="center"/>
          </w:tcPr>
          <w:p w14:paraId="2D017541" w14:textId="77777777" w:rsidR="003F2D83" w:rsidRDefault="003F2D83" w:rsidP="001646F9">
            <w:pPr>
              <w:tabs>
                <w:tab w:val="left" w:pos="7740"/>
              </w:tabs>
              <w:autoSpaceDE w:val="0"/>
              <w:autoSpaceDN w:val="0"/>
              <w:spacing w:line="440" w:lineRule="exact"/>
              <w:rPr>
                <w:rFonts w:ascii="仿宋" w:eastAsia="仿宋" w:hAnsi="仿宋"/>
                <w:sz w:val="28"/>
                <w:szCs w:val="28"/>
                <w:lang w:val="zh-CN"/>
              </w:rPr>
            </w:pPr>
            <w:r>
              <w:rPr>
                <w:rFonts w:ascii="仿宋" w:eastAsia="仿宋" w:hAnsi="仿宋" w:hint="eastAsia"/>
                <w:sz w:val="28"/>
                <w:szCs w:val="28"/>
                <w:lang w:val="zh-CN"/>
              </w:rPr>
              <w:t>付款方法和条件：</w:t>
            </w:r>
          </w:p>
          <w:p w14:paraId="2BFC04D3" w14:textId="77777777" w:rsidR="003F2D83" w:rsidRDefault="003F2D83" w:rsidP="001646F9">
            <w:pPr>
              <w:tabs>
                <w:tab w:val="left" w:pos="7740"/>
              </w:tabs>
              <w:autoSpaceDE w:val="0"/>
              <w:autoSpaceDN w:val="0"/>
              <w:spacing w:line="440" w:lineRule="exact"/>
              <w:rPr>
                <w:rFonts w:ascii="仿宋" w:eastAsia="仿宋" w:hAnsi="仿宋" w:cs="宋体" w:hint="eastAsia"/>
                <w:sz w:val="28"/>
                <w:szCs w:val="28"/>
              </w:rPr>
            </w:pPr>
            <w:r>
              <w:rPr>
                <w:rFonts w:ascii="仿宋" w:eastAsia="仿宋" w:hAnsi="仿宋" w:cs="宋体" w:hint="eastAsia"/>
                <w:sz w:val="28"/>
                <w:szCs w:val="28"/>
              </w:rPr>
              <w:t>1、合同</w:t>
            </w:r>
            <w:proofErr w:type="gramStart"/>
            <w:r>
              <w:rPr>
                <w:rFonts w:ascii="仿宋" w:eastAsia="仿宋" w:hAnsi="仿宋" w:cs="宋体" w:hint="eastAsia"/>
                <w:sz w:val="28"/>
                <w:szCs w:val="28"/>
              </w:rPr>
              <w:t>签定</w:t>
            </w:r>
            <w:proofErr w:type="gramEnd"/>
            <w:r>
              <w:rPr>
                <w:rFonts w:ascii="仿宋" w:eastAsia="仿宋" w:hAnsi="仿宋" w:cs="宋体" w:hint="eastAsia"/>
                <w:sz w:val="28"/>
                <w:szCs w:val="28"/>
              </w:rPr>
              <w:t>后七个工作日内，甲方向乙方支付项目签约合同价的</w:t>
            </w:r>
            <w:r>
              <w:rPr>
                <w:rFonts w:ascii="仿宋" w:eastAsia="仿宋" w:hAnsi="仿宋" w:cs="宋体"/>
                <w:sz w:val="28"/>
                <w:szCs w:val="28"/>
              </w:rPr>
              <w:t>7</w:t>
            </w:r>
            <w:r>
              <w:rPr>
                <w:rFonts w:ascii="仿宋" w:eastAsia="仿宋" w:hAnsi="仿宋" w:cs="宋体" w:hint="eastAsia"/>
                <w:sz w:val="28"/>
                <w:szCs w:val="28"/>
              </w:rPr>
              <w:t>0%；</w:t>
            </w:r>
          </w:p>
          <w:p w14:paraId="7E51CDB1" w14:textId="77777777" w:rsidR="003F2D83" w:rsidRDefault="003F2D83" w:rsidP="001646F9">
            <w:pPr>
              <w:tabs>
                <w:tab w:val="left" w:pos="7740"/>
              </w:tabs>
              <w:autoSpaceDE w:val="0"/>
              <w:autoSpaceDN w:val="0"/>
              <w:spacing w:line="440" w:lineRule="exact"/>
              <w:rPr>
                <w:rFonts w:ascii="仿宋" w:eastAsia="仿宋" w:hAnsi="仿宋" w:cs="宋体" w:hint="eastAsia"/>
                <w:sz w:val="28"/>
                <w:szCs w:val="28"/>
              </w:rPr>
            </w:pPr>
            <w:r>
              <w:rPr>
                <w:rFonts w:ascii="仿宋" w:eastAsia="仿宋" w:hAnsi="仿宋" w:cs="宋体" w:hint="eastAsia"/>
                <w:sz w:val="28"/>
                <w:szCs w:val="28"/>
              </w:rPr>
              <w:t>2、中标人完成所有工作内容，按要求提交项目成果，并经采购人确定后支付余款，余款由甲方根据奖励办法支付乙方，奖励办法</w:t>
            </w:r>
            <w:proofErr w:type="gramStart"/>
            <w:r>
              <w:rPr>
                <w:rFonts w:ascii="仿宋" w:eastAsia="仿宋" w:hAnsi="仿宋" w:cs="宋体" w:hint="eastAsia"/>
                <w:sz w:val="28"/>
                <w:szCs w:val="28"/>
              </w:rPr>
              <w:t>见考核</w:t>
            </w:r>
            <w:proofErr w:type="gramEnd"/>
            <w:r>
              <w:rPr>
                <w:rFonts w:ascii="仿宋" w:eastAsia="仿宋" w:hAnsi="仿宋" w:cs="宋体" w:hint="eastAsia"/>
                <w:sz w:val="28"/>
                <w:szCs w:val="28"/>
              </w:rPr>
              <w:t>表，未达到奖励要求的扣除相关金额。</w:t>
            </w:r>
          </w:p>
          <w:p w14:paraId="234D049A" w14:textId="77777777" w:rsidR="003F2D83" w:rsidRDefault="003F2D83" w:rsidP="001646F9">
            <w:pPr>
              <w:spacing w:line="440" w:lineRule="exact"/>
              <w:rPr>
                <w:rFonts w:ascii="仿宋" w:eastAsia="仿宋" w:hAnsi="仿宋" w:cs="宋体" w:hint="eastAsia"/>
                <w:sz w:val="28"/>
                <w:szCs w:val="28"/>
              </w:rPr>
            </w:pPr>
            <w:r>
              <w:rPr>
                <w:rFonts w:ascii="仿宋" w:eastAsia="仿宋" w:hAnsi="仿宋" w:cs="宋体" w:hint="eastAsia"/>
                <w:sz w:val="28"/>
                <w:szCs w:val="28"/>
              </w:rPr>
              <w:t>3、符合上述各个阶段支付条件，乙方提供应付金额全额的正规发票后15个日历日内支付。</w:t>
            </w:r>
          </w:p>
        </w:tc>
      </w:tr>
      <w:tr w:rsidR="003F2D83" w14:paraId="7BA3534E" w14:textId="77777777" w:rsidTr="001646F9">
        <w:trPr>
          <w:trHeight w:val="20"/>
        </w:trPr>
        <w:tc>
          <w:tcPr>
            <w:tcW w:w="851" w:type="dxa"/>
            <w:tcBorders>
              <w:top w:val="single" w:sz="6" w:space="0" w:color="000000"/>
              <w:left w:val="single" w:sz="4" w:space="0" w:color="auto"/>
              <w:bottom w:val="single" w:sz="6" w:space="0" w:color="000000"/>
              <w:right w:val="single" w:sz="6" w:space="0" w:color="000000"/>
            </w:tcBorders>
            <w:vAlign w:val="center"/>
          </w:tcPr>
          <w:p w14:paraId="56E16698" w14:textId="77777777" w:rsidR="003F2D83" w:rsidRDefault="003F2D83" w:rsidP="001646F9">
            <w:pPr>
              <w:autoSpaceDE w:val="0"/>
              <w:autoSpaceDN w:val="0"/>
              <w:adjustRightInd w:val="0"/>
              <w:spacing w:line="440" w:lineRule="exact"/>
              <w:jc w:val="center"/>
              <w:rPr>
                <w:rFonts w:ascii="仿宋" w:eastAsia="仿宋" w:hAnsi="仿宋"/>
                <w:sz w:val="28"/>
                <w:szCs w:val="28"/>
              </w:rPr>
            </w:pPr>
            <w:r>
              <w:rPr>
                <w:rFonts w:ascii="仿宋" w:eastAsia="仿宋" w:hAnsi="仿宋"/>
                <w:sz w:val="28"/>
                <w:szCs w:val="28"/>
              </w:rPr>
              <w:t>3</w:t>
            </w:r>
          </w:p>
        </w:tc>
        <w:tc>
          <w:tcPr>
            <w:tcW w:w="8221" w:type="dxa"/>
            <w:tcBorders>
              <w:top w:val="single" w:sz="6" w:space="0" w:color="000000"/>
              <w:left w:val="nil"/>
              <w:bottom w:val="single" w:sz="6" w:space="0" w:color="000000"/>
              <w:right w:val="single" w:sz="4" w:space="0" w:color="auto"/>
            </w:tcBorders>
            <w:vAlign w:val="center"/>
          </w:tcPr>
          <w:p w14:paraId="2029B8CD" w14:textId="77777777" w:rsidR="003F2D83" w:rsidRDefault="003F2D83" w:rsidP="001646F9">
            <w:pPr>
              <w:spacing w:line="440" w:lineRule="exact"/>
              <w:rPr>
                <w:rFonts w:ascii="仿宋" w:eastAsia="仿宋" w:hAnsi="仿宋" w:cs="宋体"/>
                <w:sz w:val="28"/>
                <w:szCs w:val="28"/>
              </w:rPr>
            </w:pPr>
            <w:r>
              <w:rPr>
                <w:rFonts w:ascii="仿宋" w:eastAsia="仿宋" w:hAnsi="仿宋" w:hint="eastAsia"/>
                <w:sz w:val="28"/>
                <w:szCs w:val="28"/>
                <w:lang w:val="zh-CN"/>
              </w:rPr>
              <w:t>履约保证金金额：</w:t>
            </w:r>
            <w:r>
              <w:rPr>
                <w:rFonts w:ascii="仿宋" w:eastAsia="仿宋" w:hAnsi="仿宋" w:hint="eastAsia"/>
                <w:sz w:val="28"/>
                <w:szCs w:val="28"/>
              </w:rPr>
              <w:t>/</w:t>
            </w:r>
          </w:p>
        </w:tc>
      </w:tr>
      <w:tr w:rsidR="003F2D83" w14:paraId="56DB80C8" w14:textId="77777777" w:rsidTr="001646F9">
        <w:trPr>
          <w:trHeight w:val="20"/>
        </w:trPr>
        <w:tc>
          <w:tcPr>
            <w:tcW w:w="851" w:type="dxa"/>
            <w:tcBorders>
              <w:top w:val="single" w:sz="6" w:space="0" w:color="000000"/>
              <w:left w:val="single" w:sz="4" w:space="0" w:color="auto"/>
              <w:bottom w:val="single" w:sz="6" w:space="0" w:color="000000"/>
              <w:right w:val="single" w:sz="6" w:space="0" w:color="000000"/>
            </w:tcBorders>
            <w:vAlign w:val="center"/>
          </w:tcPr>
          <w:p w14:paraId="43BFD870" w14:textId="77777777" w:rsidR="003F2D83" w:rsidRDefault="003F2D83" w:rsidP="001646F9">
            <w:pPr>
              <w:autoSpaceDE w:val="0"/>
              <w:autoSpaceDN w:val="0"/>
              <w:adjustRightInd w:val="0"/>
              <w:spacing w:line="440" w:lineRule="exact"/>
              <w:jc w:val="center"/>
              <w:rPr>
                <w:rFonts w:ascii="仿宋" w:eastAsia="仿宋" w:hAnsi="仿宋" w:hint="eastAsia"/>
                <w:sz w:val="28"/>
                <w:szCs w:val="28"/>
              </w:rPr>
            </w:pPr>
            <w:r>
              <w:rPr>
                <w:rFonts w:ascii="仿宋" w:eastAsia="仿宋" w:hAnsi="仿宋"/>
                <w:sz w:val="28"/>
                <w:szCs w:val="28"/>
              </w:rPr>
              <w:t>4</w:t>
            </w:r>
          </w:p>
        </w:tc>
        <w:tc>
          <w:tcPr>
            <w:tcW w:w="8221" w:type="dxa"/>
            <w:tcBorders>
              <w:top w:val="single" w:sz="6" w:space="0" w:color="000000"/>
              <w:left w:val="nil"/>
              <w:bottom w:val="single" w:sz="6" w:space="0" w:color="000000"/>
              <w:right w:val="single" w:sz="4" w:space="0" w:color="auto"/>
            </w:tcBorders>
            <w:vAlign w:val="center"/>
          </w:tcPr>
          <w:p w14:paraId="31DF1954" w14:textId="77777777" w:rsidR="003F2D83" w:rsidRDefault="003F2D83" w:rsidP="001646F9">
            <w:pPr>
              <w:autoSpaceDE w:val="0"/>
              <w:autoSpaceDN w:val="0"/>
              <w:adjustRightInd w:val="0"/>
              <w:spacing w:line="440" w:lineRule="exact"/>
              <w:rPr>
                <w:rFonts w:ascii="仿宋" w:eastAsia="仿宋" w:hAnsi="仿宋" w:hint="eastAsia"/>
                <w:sz w:val="28"/>
                <w:szCs w:val="28"/>
                <w:lang w:val="zh-CN"/>
              </w:rPr>
            </w:pPr>
            <w:r>
              <w:rPr>
                <w:rFonts w:ascii="仿宋" w:eastAsia="仿宋" w:hAnsi="仿宋" w:hint="eastAsia"/>
                <w:sz w:val="28"/>
                <w:szCs w:val="28"/>
                <w:lang w:val="zh-CN"/>
              </w:rPr>
              <w:t>履约保证金形式：</w:t>
            </w:r>
            <w:r>
              <w:rPr>
                <w:rFonts w:ascii="仿宋" w:eastAsia="仿宋" w:hAnsi="仿宋" w:hint="eastAsia"/>
                <w:sz w:val="28"/>
                <w:szCs w:val="28"/>
              </w:rPr>
              <w:t>/</w:t>
            </w:r>
          </w:p>
        </w:tc>
      </w:tr>
      <w:tr w:rsidR="003F2D83" w14:paraId="7BF7F473" w14:textId="77777777" w:rsidTr="001646F9">
        <w:trPr>
          <w:trHeight w:val="20"/>
        </w:trPr>
        <w:tc>
          <w:tcPr>
            <w:tcW w:w="851" w:type="dxa"/>
            <w:tcBorders>
              <w:top w:val="single" w:sz="6" w:space="0" w:color="000000"/>
              <w:left w:val="single" w:sz="4" w:space="0" w:color="auto"/>
              <w:bottom w:val="single" w:sz="6" w:space="0" w:color="000000"/>
              <w:right w:val="single" w:sz="6" w:space="0" w:color="000000"/>
            </w:tcBorders>
            <w:vAlign w:val="center"/>
          </w:tcPr>
          <w:p w14:paraId="3DE86D9F" w14:textId="77777777" w:rsidR="003F2D83" w:rsidRDefault="003F2D83" w:rsidP="001646F9">
            <w:pPr>
              <w:autoSpaceDE w:val="0"/>
              <w:autoSpaceDN w:val="0"/>
              <w:adjustRightInd w:val="0"/>
              <w:spacing w:line="440" w:lineRule="exact"/>
              <w:jc w:val="center"/>
              <w:rPr>
                <w:rFonts w:ascii="仿宋" w:eastAsia="仿宋" w:hAnsi="仿宋" w:hint="eastAsia"/>
                <w:sz w:val="28"/>
                <w:szCs w:val="28"/>
              </w:rPr>
            </w:pPr>
            <w:r>
              <w:rPr>
                <w:rFonts w:ascii="仿宋" w:eastAsia="仿宋" w:hAnsi="仿宋"/>
                <w:sz w:val="28"/>
                <w:szCs w:val="28"/>
              </w:rPr>
              <w:t>5</w:t>
            </w:r>
          </w:p>
        </w:tc>
        <w:tc>
          <w:tcPr>
            <w:tcW w:w="8221" w:type="dxa"/>
            <w:tcBorders>
              <w:top w:val="single" w:sz="6" w:space="0" w:color="000000"/>
              <w:left w:val="nil"/>
              <w:bottom w:val="single" w:sz="6" w:space="0" w:color="000000"/>
              <w:right w:val="single" w:sz="4" w:space="0" w:color="auto"/>
            </w:tcBorders>
            <w:vAlign w:val="center"/>
          </w:tcPr>
          <w:p w14:paraId="18C234FF" w14:textId="77777777" w:rsidR="003F2D83" w:rsidRDefault="003F2D83" w:rsidP="001646F9">
            <w:pPr>
              <w:autoSpaceDE w:val="0"/>
              <w:autoSpaceDN w:val="0"/>
              <w:adjustRightInd w:val="0"/>
              <w:spacing w:line="440" w:lineRule="exact"/>
              <w:rPr>
                <w:rFonts w:ascii="仿宋" w:eastAsia="仿宋" w:hAnsi="仿宋"/>
                <w:sz w:val="28"/>
                <w:szCs w:val="28"/>
                <w:lang w:val="zh-CN"/>
              </w:rPr>
            </w:pPr>
            <w:r>
              <w:rPr>
                <w:rFonts w:ascii="仿宋" w:eastAsia="仿宋" w:hAnsi="仿宋" w:hint="eastAsia"/>
                <w:sz w:val="28"/>
                <w:szCs w:val="28"/>
                <w:lang w:val="zh-CN"/>
              </w:rPr>
              <w:t>授予合同：</w:t>
            </w:r>
          </w:p>
          <w:p w14:paraId="6D77D202" w14:textId="77777777" w:rsidR="003F2D83" w:rsidRDefault="003F2D83" w:rsidP="001646F9">
            <w:pPr>
              <w:autoSpaceDE w:val="0"/>
              <w:autoSpaceDN w:val="0"/>
              <w:adjustRightInd w:val="0"/>
              <w:spacing w:line="440" w:lineRule="exact"/>
              <w:rPr>
                <w:rFonts w:ascii="仿宋" w:eastAsia="仿宋" w:hAnsi="仿宋"/>
                <w:sz w:val="28"/>
                <w:szCs w:val="28"/>
                <w:lang w:val="zh-CN"/>
              </w:rPr>
            </w:pPr>
            <w:r>
              <w:rPr>
                <w:rFonts w:ascii="仿宋" w:eastAsia="仿宋" w:hAnsi="仿宋" w:hint="eastAsia"/>
                <w:sz w:val="28"/>
                <w:szCs w:val="28"/>
                <w:lang w:val="zh-CN"/>
              </w:rPr>
              <w:t>①中标通知书发出之日起30天内，中标供应商应按照采购文件的规定、中标供应商的投标响应及中标通知书确定的金额签订合同。</w:t>
            </w:r>
          </w:p>
          <w:p w14:paraId="28C0797C" w14:textId="77777777" w:rsidR="003F2D83" w:rsidRDefault="003F2D83" w:rsidP="001646F9">
            <w:pPr>
              <w:autoSpaceDE w:val="0"/>
              <w:autoSpaceDN w:val="0"/>
              <w:adjustRightInd w:val="0"/>
              <w:spacing w:line="440" w:lineRule="exact"/>
              <w:rPr>
                <w:rFonts w:ascii="仿宋" w:eastAsia="仿宋" w:hAnsi="仿宋"/>
                <w:sz w:val="28"/>
                <w:szCs w:val="28"/>
                <w:lang w:val="zh-CN"/>
              </w:rPr>
            </w:pPr>
            <w:r>
              <w:rPr>
                <w:rFonts w:ascii="仿宋" w:eastAsia="仿宋" w:hAnsi="仿宋" w:hint="eastAsia"/>
                <w:sz w:val="28"/>
                <w:szCs w:val="28"/>
                <w:lang w:val="zh-CN"/>
              </w:rPr>
              <w:t>②中标供应商需将合同至招标代理机构上报行政主管部门备案。</w:t>
            </w:r>
          </w:p>
          <w:p w14:paraId="7B014D1B" w14:textId="77777777" w:rsidR="003F2D83" w:rsidRDefault="003F2D83" w:rsidP="001646F9">
            <w:pPr>
              <w:autoSpaceDE w:val="0"/>
              <w:autoSpaceDN w:val="0"/>
              <w:adjustRightInd w:val="0"/>
              <w:spacing w:line="440" w:lineRule="exact"/>
              <w:rPr>
                <w:rFonts w:ascii="仿宋" w:eastAsia="仿宋" w:hAnsi="仿宋"/>
                <w:sz w:val="28"/>
                <w:szCs w:val="28"/>
                <w:lang w:val="zh-CN"/>
              </w:rPr>
            </w:pPr>
            <w:r>
              <w:rPr>
                <w:rFonts w:ascii="仿宋" w:eastAsia="仿宋" w:hAnsi="仿宋" w:hint="eastAsia"/>
                <w:sz w:val="28"/>
                <w:szCs w:val="28"/>
                <w:lang w:val="zh-CN"/>
              </w:rPr>
              <w:t>③中标供应商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bl>
    <w:p w14:paraId="2A73E1AB" w14:textId="45BC98C4" w:rsidR="00491941" w:rsidRPr="00491941" w:rsidRDefault="00491941" w:rsidP="003F2D83"/>
    <w:sectPr w:rsidR="00491941" w:rsidRPr="004919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8788" w14:textId="77777777" w:rsidR="00B214B7" w:rsidRDefault="00B214B7" w:rsidP="00877680">
      <w:r>
        <w:separator/>
      </w:r>
    </w:p>
  </w:endnote>
  <w:endnote w:type="continuationSeparator" w:id="0">
    <w:p w14:paraId="70043B7A" w14:textId="77777777" w:rsidR="00B214B7" w:rsidRDefault="00B214B7" w:rsidP="0087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186F4" w14:textId="77777777" w:rsidR="00B214B7" w:rsidRDefault="00B214B7" w:rsidP="00877680">
      <w:r>
        <w:separator/>
      </w:r>
    </w:p>
  </w:footnote>
  <w:footnote w:type="continuationSeparator" w:id="0">
    <w:p w14:paraId="37C61247" w14:textId="77777777" w:rsidR="00B214B7" w:rsidRDefault="00B214B7" w:rsidP="00877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1E"/>
    <w:rsid w:val="0011449A"/>
    <w:rsid w:val="00365A28"/>
    <w:rsid w:val="003C4EA6"/>
    <w:rsid w:val="003D1D41"/>
    <w:rsid w:val="003F2D83"/>
    <w:rsid w:val="00491941"/>
    <w:rsid w:val="0073307E"/>
    <w:rsid w:val="00877680"/>
    <w:rsid w:val="00973FFF"/>
    <w:rsid w:val="00B214B7"/>
    <w:rsid w:val="00C10644"/>
    <w:rsid w:val="00CB0358"/>
    <w:rsid w:val="00DB62FB"/>
    <w:rsid w:val="00DE6402"/>
    <w:rsid w:val="00E361E7"/>
    <w:rsid w:val="00F52112"/>
    <w:rsid w:val="00FC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17891"/>
  <w15:chartTrackingRefBased/>
  <w15:docId w15:val="{1B5048A6-8D24-4AC6-83D8-41218595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365A28"/>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365A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365A28"/>
    <w:rPr>
      <w:color w:val="0000FF"/>
      <w:u w:val="single"/>
    </w:rPr>
  </w:style>
  <w:style w:type="character" w:customStyle="1" w:styleId="10">
    <w:name w:val="标题 1 字符"/>
    <w:basedOn w:val="a0"/>
    <w:link w:val="1"/>
    <w:uiPriority w:val="9"/>
    <w:rsid w:val="00365A28"/>
    <w:rPr>
      <w:rFonts w:ascii="Times New Roman" w:eastAsia="宋体" w:hAnsi="Times New Roman" w:cs="Times New Roman"/>
      <w:b/>
      <w:bCs/>
      <w:kern w:val="44"/>
      <w:sz w:val="44"/>
      <w:szCs w:val="44"/>
    </w:rPr>
  </w:style>
  <w:style w:type="paragraph" w:styleId="a4">
    <w:name w:val="header"/>
    <w:basedOn w:val="a"/>
    <w:link w:val="a5"/>
    <w:uiPriority w:val="99"/>
    <w:unhideWhenUsed/>
    <w:rsid w:val="008776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77680"/>
    <w:rPr>
      <w:rFonts w:ascii="Times New Roman" w:eastAsia="宋体" w:hAnsi="Times New Roman" w:cs="Times New Roman"/>
      <w:sz w:val="18"/>
      <w:szCs w:val="18"/>
    </w:rPr>
  </w:style>
  <w:style w:type="paragraph" w:styleId="a6">
    <w:name w:val="footer"/>
    <w:basedOn w:val="a"/>
    <w:link w:val="a7"/>
    <w:uiPriority w:val="99"/>
    <w:unhideWhenUsed/>
    <w:rsid w:val="00877680"/>
    <w:pPr>
      <w:tabs>
        <w:tab w:val="center" w:pos="4153"/>
        <w:tab w:val="right" w:pos="8306"/>
      </w:tabs>
      <w:snapToGrid w:val="0"/>
      <w:jc w:val="left"/>
    </w:pPr>
    <w:rPr>
      <w:sz w:val="18"/>
      <w:szCs w:val="18"/>
    </w:rPr>
  </w:style>
  <w:style w:type="character" w:customStyle="1" w:styleId="a7">
    <w:name w:val="页脚 字符"/>
    <w:basedOn w:val="a0"/>
    <w:link w:val="a6"/>
    <w:uiPriority w:val="99"/>
    <w:rsid w:val="00877680"/>
    <w:rPr>
      <w:rFonts w:ascii="Times New Roman" w:eastAsia="宋体" w:hAnsi="Times New Roman" w:cs="Times New Roman"/>
      <w:sz w:val="18"/>
      <w:szCs w:val="18"/>
    </w:rPr>
  </w:style>
  <w:style w:type="paragraph" w:styleId="a8">
    <w:name w:val="List Paragraph"/>
    <w:basedOn w:val="a"/>
    <w:uiPriority w:val="1"/>
    <w:qFormat/>
    <w:rsid w:val="00F52112"/>
    <w:pPr>
      <w:ind w:firstLineChars="200" w:firstLine="420"/>
    </w:pPr>
    <w:rPr>
      <w:rFonts w:ascii="Calibri" w:eastAsia="楷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7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匿名-L</cp:lastModifiedBy>
  <cp:revision>10</cp:revision>
  <dcterms:created xsi:type="dcterms:W3CDTF">2023-02-08T03:14:00Z</dcterms:created>
  <dcterms:modified xsi:type="dcterms:W3CDTF">2025-05-06T13:36:00Z</dcterms:modified>
</cp:coreProperties>
</file>