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44C6C">
      <w:pPr>
        <w:spacing w:line="360" w:lineRule="auto"/>
        <w:jc w:val="center"/>
        <w:rPr>
          <w:rFonts w:ascii="宋体" w:hAnsi="宋体" w:cs="宋体"/>
          <w:b/>
          <w:color w:val="auto"/>
          <w:sz w:val="24"/>
          <w:highlight w:val="none"/>
        </w:rPr>
      </w:pPr>
    </w:p>
    <w:p w14:paraId="31AA0397">
      <w:pPr>
        <w:spacing w:line="360" w:lineRule="auto"/>
        <w:jc w:val="center"/>
        <w:rPr>
          <w:rFonts w:ascii="宋体" w:hAnsi="宋体" w:cs="宋体"/>
          <w:b/>
          <w:color w:val="auto"/>
          <w:sz w:val="44"/>
          <w:szCs w:val="44"/>
          <w:highlight w:val="none"/>
        </w:rPr>
      </w:pPr>
    </w:p>
    <w:p w14:paraId="74158762">
      <w:pPr>
        <w:adjustRightInd/>
        <w:spacing w:line="360" w:lineRule="auto"/>
        <w:jc w:val="center"/>
        <w:rPr>
          <w:rFonts w:ascii="宋体" w:hAnsi="宋体" w:cs="宋体"/>
          <w:b/>
          <w:color w:val="auto"/>
          <w:sz w:val="48"/>
          <w:szCs w:val="48"/>
          <w:highlight w:val="none"/>
        </w:rPr>
      </w:pPr>
    </w:p>
    <w:p w14:paraId="19A8C19C">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lang w:eastAsia="zh-CN"/>
        </w:rPr>
        <w:t>宁海县柔石公园、正学公园、眠牛山公园、潘天寿广场水质养护项目</w:t>
      </w:r>
    </w:p>
    <w:p w14:paraId="132B1AF4">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招标文件</w:t>
      </w:r>
    </w:p>
    <w:p w14:paraId="431FD999">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0A2610F7">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：GXZB-NH2025-00</w:t>
      </w:r>
      <w:r>
        <w:rPr>
          <w:rFonts w:hint="eastAsia" w:ascii="宋体" w:hAnsi="宋体" w:cs="宋体"/>
          <w:color w:val="auto"/>
          <w:sz w:val="30"/>
          <w:szCs w:val="30"/>
          <w:highlight w:val="none"/>
          <w:lang w:val="en-US" w:eastAsia="zh-CN"/>
        </w:rPr>
        <w:t>5</w:t>
      </w:r>
    </w:p>
    <w:p w14:paraId="7A9AF64D">
      <w:pPr>
        <w:adjustRightInd/>
        <w:spacing w:line="360" w:lineRule="auto"/>
        <w:rPr>
          <w:rFonts w:ascii="宋体" w:hAnsi="宋体" w:cs="宋体"/>
          <w:color w:val="auto"/>
          <w:sz w:val="28"/>
          <w:szCs w:val="20"/>
          <w:highlight w:val="none"/>
        </w:rPr>
      </w:pPr>
    </w:p>
    <w:p w14:paraId="23EEDAEE">
      <w:pPr>
        <w:spacing w:line="360" w:lineRule="auto"/>
        <w:jc w:val="both"/>
        <w:rPr>
          <w:rFonts w:ascii="宋体" w:hAnsi="宋体" w:cs="宋体"/>
          <w:b/>
          <w:color w:val="auto"/>
          <w:sz w:val="44"/>
          <w:szCs w:val="44"/>
          <w:highlight w:val="none"/>
        </w:rPr>
      </w:pPr>
    </w:p>
    <w:p w14:paraId="0DAB3433">
      <w:pPr>
        <w:spacing w:line="360" w:lineRule="auto"/>
        <w:jc w:val="both"/>
        <w:rPr>
          <w:rFonts w:ascii="宋体" w:hAnsi="宋体" w:cs="宋体"/>
          <w:b/>
          <w:color w:val="auto"/>
          <w:sz w:val="44"/>
          <w:szCs w:val="44"/>
          <w:highlight w:val="none"/>
        </w:rPr>
      </w:pPr>
    </w:p>
    <w:p w14:paraId="65D5D934">
      <w:pPr>
        <w:spacing w:line="360" w:lineRule="auto"/>
        <w:jc w:val="both"/>
        <w:rPr>
          <w:rFonts w:ascii="宋体" w:hAnsi="宋体" w:cs="宋体"/>
          <w:color w:val="auto"/>
          <w:sz w:val="24"/>
          <w:highlight w:val="none"/>
        </w:rPr>
      </w:pPr>
    </w:p>
    <w:p w14:paraId="34DF52D9">
      <w:pPr>
        <w:pStyle w:val="81"/>
        <w:rPr>
          <w:rFonts w:ascii="宋体" w:hAnsi="宋体" w:cs="宋体"/>
          <w:color w:val="auto"/>
          <w:sz w:val="24"/>
          <w:highlight w:val="none"/>
        </w:rPr>
      </w:pPr>
    </w:p>
    <w:p w14:paraId="74E3D552">
      <w:pPr>
        <w:pStyle w:val="81"/>
        <w:rPr>
          <w:rFonts w:ascii="宋体" w:hAnsi="宋体" w:cs="宋体"/>
          <w:color w:val="auto"/>
          <w:sz w:val="24"/>
          <w:highlight w:val="none"/>
        </w:rPr>
      </w:pPr>
    </w:p>
    <w:p w14:paraId="75F1821C">
      <w:pPr>
        <w:spacing w:line="360" w:lineRule="auto"/>
        <w:jc w:val="both"/>
        <w:rPr>
          <w:rFonts w:ascii="宋体" w:hAnsi="宋体" w:cs="宋体"/>
          <w:color w:val="auto"/>
          <w:sz w:val="24"/>
          <w:highlight w:val="none"/>
        </w:rPr>
      </w:pPr>
    </w:p>
    <w:p w14:paraId="1AD3AA72">
      <w:pPr>
        <w:spacing w:line="360" w:lineRule="auto"/>
        <w:rPr>
          <w:rFonts w:ascii="宋体" w:hAnsi="宋体" w:cs="宋体"/>
          <w:color w:val="auto"/>
          <w:sz w:val="32"/>
          <w:szCs w:val="32"/>
          <w:highlight w:val="none"/>
        </w:rPr>
      </w:pPr>
    </w:p>
    <w:p w14:paraId="178189FD">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lang w:val="en-US" w:eastAsia="zh-CN"/>
        </w:rPr>
        <w:t>采购人：</w:t>
      </w:r>
      <w:r>
        <w:rPr>
          <w:rFonts w:hint="eastAsia" w:ascii="宋体" w:hAnsi="宋体" w:cs="宋体"/>
          <w:color w:val="auto"/>
          <w:sz w:val="32"/>
          <w:szCs w:val="32"/>
          <w:highlight w:val="none"/>
          <w:lang w:eastAsia="zh-CN"/>
        </w:rPr>
        <w:t>宁海县住房和城乡建设局</w:t>
      </w:r>
    </w:p>
    <w:p w14:paraId="76B0A3D6">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val="en-US" w:eastAsia="zh-CN"/>
        </w:rPr>
        <w:t>采购代理机构：</w:t>
      </w:r>
      <w:r>
        <w:rPr>
          <w:rFonts w:hint="eastAsia" w:ascii="宋体" w:hAnsi="宋体" w:cs="宋体"/>
          <w:bCs/>
          <w:color w:val="auto"/>
          <w:sz w:val="32"/>
          <w:szCs w:val="32"/>
          <w:highlight w:val="none"/>
          <w:lang w:eastAsia="zh-CN"/>
        </w:rPr>
        <w:t>浙江国信工程管理咨询有限公司</w:t>
      </w:r>
    </w:p>
    <w:p w14:paraId="267B9B06">
      <w:pPr>
        <w:snapToGrid w:val="0"/>
        <w:spacing w:line="360" w:lineRule="auto"/>
        <w:jc w:val="center"/>
        <w:rPr>
          <w:rFonts w:hint="eastAsia" w:ascii="宋体" w:hAnsi="宋体" w:cs="宋体"/>
          <w:bCs/>
          <w:color w:val="auto"/>
          <w:sz w:val="32"/>
          <w:szCs w:val="32"/>
          <w:highlight w:val="none"/>
        </w:rPr>
      </w:pPr>
    </w:p>
    <w:p w14:paraId="581CC257">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月</w:t>
      </w:r>
    </w:p>
    <w:p w14:paraId="2FC7BB85">
      <w:pPr>
        <w:spacing w:line="360" w:lineRule="auto"/>
        <w:jc w:val="both"/>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35713E9">
      <w:pPr>
        <w:spacing w:line="360" w:lineRule="auto"/>
        <w:jc w:val="center"/>
        <w:rPr>
          <w:rFonts w:hint="eastAsia" w:ascii="宋体" w:hAnsi="宋体" w:cs="宋体"/>
          <w:b/>
          <w:color w:val="auto"/>
          <w:sz w:val="48"/>
          <w:szCs w:val="48"/>
          <w:highlight w:val="none"/>
        </w:rPr>
      </w:pPr>
    </w:p>
    <w:p w14:paraId="3315EEB4">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292169D">
      <w:pPr>
        <w:spacing w:line="360" w:lineRule="auto"/>
        <w:rPr>
          <w:rFonts w:ascii="宋体" w:hAnsi="宋体" w:cs="宋体"/>
          <w:color w:val="auto"/>
          <w:sz w:val="32"/>
          <w:szCs w:val="32"/>
          <w:highlight w:val="none"/>
        </w:rPr>
      </w:pPr>
    </w:p>
    <w:p w14:paraId="43219D2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A5E34E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9AEDB8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BD8D92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511998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DC8C15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B405BF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BF72F24">
      <w:pPr>
        <w:spacing w:line="360" w:lineRule="auto"/>
        <w:ind w:firstLine="549" w:firstLineChars="229"/>
        <w:rPr>
          <w:rFonts w:ascii="宋体" w:hAnsi="宋体" w:cs="宋体"/>
          <w:color w:val="auto"/>
          <w:sz w:val="24"/>
          <w:highlight w:val="none"/>
        </w:rPr>
      </w:pPr>
    </w:p>
    <w:p w14:paraId="26812658">
      <w:pPr>
        <w:spacing w:line="360" w:lineRule="auto"/>
        <w:ind w:firstLine="549" w:firstLineChars="229"/>
        <w:rPr>
          <w:rFonts w:ascii="宋体" w:hAnsi="宋体" w:cs="宋体"/>
          <w:color w:val="auto"/>
          <w:sz w:val="24"/>
          <w:highlight w:val="none"/>
        </w:rPr>
      </w:pPr>
    </w:p>
    <w:p w14:paraId="1C121EB0">
      <w:pPr>
        <w:spacing w:line="360" w:lineRule="auto"/>
        <w:ind w:firstLine="549" w:firstLineChars="229"/>
        <w:rPr>
          <w:rFonts w:ascii="宋体" w:hAnsi="宋体" w:cs="宋体"/>
          <w:color w:val="auto"/>
          <w:sz w:val="24"/>
          <w:highlight w:val="none"/>
        </w:rPr>
      </w:pPr>
    </w:p>
    <w:p w14:paraId="47C0043A">
      <w:pPr>
        <w:spacing w:line="360" w:lineRule="auto"/>
        <w:ind w:firstLine="549" w:firstLineChars="229"/>
        <w:rPr>
          <w:rFonts w:ascii="宋体" w:hAnsi="宋体" w:cs="宋体"/>
          <w:color w:val="auto"/>
          <w:sz w:val="24"/>
          <w:highlight w:val="none"/>
        </w:rPr>
      </w:pPr>
    </w:p>
    <w:p w14:paraId="3C57D65E">
      <w:pPr>
        <w:spacing w:line="360" w:lineRule="auto"/>
        <w:ind w:firstLine="549" w:firstLineChars="229"/>
        <w:rPr>
          <w:rFonts w:ascii="宋体" w:hAnsi="宋体" w:cs="宋体"/>
          <w:color w:val="auto"/>
          <w:sz w:val="24"/>
          <w:highlight w:val="none"/>
        </w:rPr>
      </w:pPr>
    </w:p>
    <w:p w14:paraId="50F4B80D">
      <w:pPr>
        <w:spacing w:line="360" w:lineRule="auto"/>
        <w:ind w:firstLine="549" w:firstLineChars="229"/>
        <w:rPr>
          <w:rFonts w:ascii="宋体" w:hAnsi="宋体" w:cs="宋体"/>
          <w:color w:val="auto"/>
          <w:sz w:val="24"/>
          <w:highlight w:val="none"/>
        </w:rPr>
      </w:pPr>
    </w:p>
    <w:p w14:paraId="597044CC">
      <w:pPr>
        <w:spacing w:line="360" w:lineRule="auto"/>
        <w:ind w:firstLine="549" w:firstLineChars="229"/>
        <w:rPr>
          <w:rFonts w:ascii="宋体" w:hAnsi="宋体" w:cs="宋体"/>
          <w:color w:val="auto"/>
          <w:sz w:val="24"/>
          <w:highlight w:val="none"/>
        </w:rPr>
      </w:pPr>
    </w:p>
    <w:p w14:paraId="1828EB70">
      <w:pPr>
        <w:spacing w:line="360" w:lineRule="auto"/>
        <w:ind w:firstLine="549" w:firstLineChars="229"/>
        <w:rPr>
          <w:rFonts w:ascii="宋体" w:hAnsi="宋体" w:cs="宋体"/>
          <w:color w:val="auto"/>
          <w:sz w:val="24"/>
          <w:highlight w:val="none"/>
        </w:rPr>
      </w:pPr>
    </w:p>
    <w:p w14:paraId="5E0E8FF7">
      <w:pPr>
        <w:spacing w:line="360" w:lineRule="auto"/>
        <w:ind w:firstLine="549" w:firstLineChars="229"/>
        <w:rPr>
          <w:rFonts w:ascii="宋体" w:hAnsi="宋体" w:cs="宋体"/>
          <w:color w:val="auto"/>
          <w:sz w:val="24"/>
          <w:highlight w:val="none"/>
        </w:rPr>
      </w:pPr>
    </w:p>
    <w:p w14:paraId="6E7FAAAE">
      <w:pPr>
        <w:spacing w:line="360" w:lineRule="auto"/>
        <w:ind w:firstLine="549" w:firstLineChars="229"/>
        <w:rPr>
          <w:rFonts w:ascii="宋体" w:hAnsi="宋体" w:cs="宋体"/>
          <w:color w:val="auto"/>
          <w:sz w:val="24"/>
          <w:highlight w:val="none"/>
        </w:rPr>
      </w:pPr>
    </w:p>
    <w:p w14:paraId="71EDC3A2">
      <w:pPr>
        <w:spacing w:line="360" w:lineRule="auto"/>
        <w:ind w:firstLine="549" w:firstLineChars="229"/>
        <w:rPr>
          <w:rFonts w:ascii="宋体" w:hAnsi="宋体" w:cs="宋体"/>
          <w:color w:val="auto"/>
          <w:sz w:val="24"/>
          <w:highlight w:val="none"/>
        </w:rPr>
      </w:pPr>
    </w:p>
    <w:p w14:paraId="15192DB8">
      <w:pPr>
        <w:spacing w:line="360" w:lineRule="auto"/>
        <w:ind w:firstLine="549" w:firstLineChars="229"/>
        <w:rPr>
          <w:rFonts w:ascii="宋体" w:hAnsi="宋体" w:cs="宋体"/>
          <w:color w:val="auto"/>
          <w:sz w:val="24"/>
          <w:highlight w:val="none"/>
        </w:rPr>
      </w:pPr>
    </w:p>
    <w:p w14:paraId="671C6B4A">
      <w:pPr>
        <w:spacing w:line="360" w:lineRule="auto"/>
        <w:rPr>
          <w:rFonts w:ascii="宋体" w:hAnsi="宋体" w:cs="宋体"/>
          <w:color w:val="auto"/>
          <w:sz w:val="24"/>
          <w:highlight w:val="none"/>
        </w:rPr>
      </w:pPr>
    </w:p>
    <w:bookmarkEnd w:id="2"/>
    <w:p w14:paraId="7D7EABB5">
      <w:pPr>
        <w:adjustRightInd/>
        <w:spacing w:line="360" w:lineRule="auto"/>
        <w:jc w:val="center"/>
        <w:outlineLvl w:val="0"/>
        <w:rPr>
          <w:rFonts w:hint="eastAsia" w:ascii="宋体" w:hAnsi="宋体" w:cs="宋体"/>
          <w:b/>
          <w:color w:val="auto"/>
          <w:sz w:val="36"/>
          <w:szCs w:val="20"/>
          <w:highlight w:val="none"/>
        </w:rPr>
        <w:sectPr>
          <w:footerReference r:id="rId3" w:type="even"/>
          <w:pgSz w:w="11905" w:h="16838"/>
          <w:pgMar w:top="1134" w:right="1304" w:bottom="1134" w:left="1304" w:header="850" w:footer="850" w:gutter="283"/>
          <w:pgBorders>
            <w:top w:val="none" w:sz="0" w:space="0"/>
            <w:left w:val="none" w:sz="0" w:space="0"/>
            <w:bottom w:val="none" w:sz="0" w:space="0"/>
            <w:right w:val="none" w:sz="0" w:space="0"/>
          </w:pgBorders>
          <w:cols w:space="0" w:num="1"/>
          <w:titlePg/>
          <w:rtlGutter w:val="0"/>
          <w:docGrid w:linePitch="312" w:charSpace="0"/>
        </w:sectPr>
      </w:pPr>
      <w:bookmarkStart w:id="3" w:name="_Hlt74649545"/>
      <w:bookmarkEnd w:id="3"/>
      <w:bookmarkStart w:id="4" w:name="_Hlt74707423"/>
      <w:bookmarkEnd w:id="4"/>
      <w:bookmarkStart w:id="5" w:name="_Hlt74728647"/>
      <w:bookmarkEnd w:id="5"/>
      <w:bookmarkStart w:id="6" w:name="_Hlt74729822"/>
      <w:bookmarkEnd w:id="6"/>
      <w:bookmarkStart w:id="7" w:name="第二部分"/>
      <w:bookmarkStart w:id="8" w:name="_Toc91899870"/>
      <w:bookmarkStart w:id="9" w:name="_Toc91899871"/>
    </w:p>
    <w:p w14:paraId="0E654B52">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17398502">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项目概况</w:t>
      </w:r>
      <w:r>
        <w:rPr>
          <w:rFonts w:hint="eastAsia" w:ascii="宋体" w:hAnsi="宋体" w:cs="宋体"/>
          <w:color w:val="auto"/>
          <w:sz w:val="24"/>
          <w:highlight w:val="none"/>
          <w:lang w:eastAsia="zh-CN"/>
        </w:rPr>
        <w:t>：</w:t>
      </w:r>
    </w:p>
    <w:p w14:paraId="5D4526C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宁海县柔石公园、正学公园、眠牛山公园、潘天寿广场水质养护项目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lang w:val="en-US" w:eastAsia="zh-CN"/>
        </w:rPr>
        <w:t>2025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13</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cs="宋体"/>
          <w:bCs/>
          <w:snapToGrid/>
          <w:color w:val="auto"/>
          <w:kern w:val="2"/>
          <w:sz w:val="24"/>
          <w:szCs w:val="24"/>
          <w:highlight w:val="none"/>
          <w:lang w:val="en-US" w:eastAsia="zh-CN"/>
        </w:rPr>
        <w:t>00</w:t>
      </w:r>
      <w:r>
        <w:rPr>
          <w:rStyle w:val="76"/>
          <w:rFonts w:hint="eastAsia" w:ascii="宋体" w:hAnsi="宋体" w:eastAsia="宋体" w:cs="宋体"/>
          <w:bCs/>
          <w:snapToGrid/>
          <w:color w:val="auto"/>
          <w:kern w:val="2"/>
          <w:sz w:val="24"/>
          <w:szCs w:val="24"/>
          <w:highlight w:val="none"/>
        </w:rPr>
        <w:t>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67E80CC">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一、项目基本情况</w:t>
      </w:r>
    </w:p>
    <w:p w14:paraId="43ED02DF">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GXZB-NH2025-005</w:t>
      </w:r>
    </w:p>
    <w:p w14:paraId="32EF7D05">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宁海县柔石公园、正学公园、眠牛山公园、潘天寿广场水质养护项目</w:t>
      </w:r>
    </w:p>
    <w:p w14:paraId="101DB29A">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color w:val="auto"/>
          <w:sz w:val="24"/>
          <w:szCs w:val="24"/>
          <w:lang w:eastAsia="zh-CN"/>
        </w:rPr>
        <w:t>1950000</w:t>
      </w:r>
    </w:p>
    <w:p w14:paraId="103A092C">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szCs w:val="24"/>
          <w:lang w:val="en-US" w:eastAsia="zh-CN"/>
        </w:rPr>
        <w:t>1950000</w:t>
      </w:r>
    </w:p>
    <w:p w14:paraId="1750FBA7">
      <w:pPr>
        <w:pStyle w:val="5"/>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hAnsi="宋体" w:cs="宋体"/>
          <w:b/>
          <w:color w:val="auto"/>
          <w:sz w:val="24"/>
          <w:highlight w:val="none"/>
        </w:rPr>
      </w:pPr>
      <w:r>
        <w:rPr>
          <w:rFonts w:hint="eastAsia" w:hAnsi="宋体" w:cs="宋体"/>
          <w:b/>
          <w:color w:val="auto"/>
          <w:sz w:val="24"/>
          <w:highlight w:val="none"/>
        </w:rPr>
        <w:t>采购需求：</w:t>
      </w:r>
    </w:p>
    <w:p w14:paraId="5692C19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标项名称：</w:t>
      </w:r>
      <w:r>
        <w:rPr>
          <w:rFonts w:hint="eastAsia" w:ascii="宋体" w:hAnsi="宋体" w:cs="宋体"/>
          <w:color w:val="auto"/>
          <w:kern w:val="0"/>
          <w:sz w:val="24"/>
          <w:szCs w:val="24"/>
          <w:lang w:eastAsia="zh-CN"/>
        </w:rPr>
        <w:t>宁海县柔石公园、正学公园、眠牛山公园、潘天寿广场水质养护项目</w:t>
      </w:r>
    </w:p>
    <w:p w14:paraId="19436E4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数量：</w:t>
      </w:r>
      <w:r>
        <w:rPr>
          <w:rFonts w:hint="eastAsia" w:ascii="宋体" w:hAnsi="宋体" w:cs="宋体"/>
          <w:color w:val="auto"/>
          <w:kern w:val="0"/>
          <w:sz w:val="24"/>
          <w:szCs w:val="24"/>
          <w:lang w:val="en-US" w:eastAsia="zh-CN"/>
        </w:rPr>
        <w:t>3</w:t>
      </w:r>
    </w:p>
    <w:p w14:paraId="2BB8645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预算金额（元）：</w:t>
      </w:r>
      <w:r>
        <w:rPr>
          <w:rFonts w:hint="eastAsia" w:ascii="宋体" w:hAnsi="宋体" w:cs="宋体"/>
          <w:color w:val="auto"/>
          <w:kern w:val="0"/>
          <w:sz w:val="24"/>
          <w:szCs w:val="24"/>
          <w:lang w:val="en-US" w:eastAsia="zh-CN"/>
        </w:rPr>
        <w:t>1950000</w:t>
      </w:r>
    </w:p>
    <w:p w14:paraId="447E86C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ascii="宋体" w:hAnsi="宋体" w:eastAsia="宋体" w:cs="宋体"/>
          <w:color w:val="auto"/>
          <w:kern w:val="0"/>
          <w:sz w:val="24"/>
          <w:szCs w:val="24"/>
          <w:lang w:val="en-US" w:eastAsia="zh-CN"/>
        </w:rPr>
        <w:t>单位：年</w:t>
      </w:r>
    </w:p>
    <w:p w14:paraId="1156449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简要规格描述或项目基本概况介绍、用途：宁海县柔石公园、正学公园、眠牛山公园、潘天寿广场的水质养护</w:t>
      </w:r>
      <w:r>
        <w:rPr>
          <w:rFonts w:hint="eastAsia" w:ascii="宋体" w:hAnsi="宋体" w:cs="宋体"/>
          <w:color w:val="auto"/>
          <w:kern w:val="0"/>
          <w:sz w:val="24"/>
          <w:szCs w:val="24"/>
          <w:lang w:val="en-US" w:eastAsia="zh-CN"/>
        </w:rPr>
        <w:t>（具体详见采购需求）。</w:t>
      </w:r>
    </w:p>
    <w:p w14:paraId="3DD0577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备注：</w:t>
      </w:r>
    </w:p>
    <w:p w14:paraId="6BB6E5C8">
      <w:pPr>
        <w:pStyle w:val="132"/>
        <w:keepNext w:val="0"/>
        <w:keepLines w:val="0"/>
        <w:pageBreakBefore w:val="0"/>
        <w:kinsoku/>
        <w:wordWrap/>
        <w:overflowPunct/>
        <w:topLinePunct w:val="0"/>
        <w:autoSpaceDE/>
        <w:autoSpaceDN/>
        <w:bidi w:val="0"/>
        <w:spacing w:before="0" w:line="360" w:lineRule="auto"/>
        <w:ind w:firstLine="482" w:firstLineChars="200"/>
        <w:jc w:val="both"/>
        <w:textAlignment w:val="auto"/>
        <w:outlineLvl w:val="2"/>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b/>
          <w:color w:val="auto"/>
          <w:highlight w:val="none"/>
        </w:rPr>
        <w:t>合同履约期限：</w:t>
      </w:r>
      <w:r>
        <w:rPr>
          <w:rFonts w:hint="eastAsia" w:ascii="宋体" w:hAnsi="宋体" w:eastAsia="宋体" w:cs="宋体"/>
          <w:color w:val="auto"/>
          <w:kern w:val="0"/>
          <w:sz w:val="24"/>
          <w:szCs w:val="24"/>
          <w:lang w:val="en-US" w:eastAsia="zh-CN"/>
        </w:rPr>
        <w:t>本项目一招三年，合同为一年一签。经采购人考核同意后，续订下一年度合同。</w:t>
      </w:r>
    </w:p>
    <w:p w14:paraId="7E158683">
      <w:pPr>
        <w:pStyle w:val="5"/>
        <w:keepNext w:val="0"/>
        <w:keepLines w:val="0"/>
        <w:pageBreakBefore w:val="0"/>
        <w:kinsoku/>
        <w:wordWrap/>
        <w:overflowPunct/>
        <w:topLinePunct w:val="0"/>
        <w:autoSpaceDE/>
        <w:autoSpaceDN/>
        <w:bidi w:val="0"/>
        <w:spacing w:line="360" w:lineRule="auto"/>
        <w:ind w:firstLine="482" w:firstLineChars="200"/>
        <w:jc w:val="both"/>
        <w:textAlignment w:val="auto"/>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1E1B897">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FCBB52C">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cs="宋体"/>
          <w:snapToGrid w:val="0"/>
          <w:color w:val="auto"/>
          <w:kern w:val="28"/>
          <w:sz w:val="24"/>
          <w:szCs w:val="20"/>
          <w:highlight w:val="none"/>
          <w:lang w:eastAsia="zh-CN"/>
        </w:rPr>
        <w:t>。</w:t>
      </w:r>
    </w:p>
    <w:p w14:paraId="47CCF7F7">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.落实政府采购政策需满足的资格要求：</w:t>
      </w:r>
    </w:p>
    <w:p w14:paraId="4F5B944C">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p>
    <w:p w14:paraId="2A7878D1">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9F2FC9C">
      <w:pPr>
        <w:keepNext w:val="0"/>
        <w:keepLines w:val="0"/>
        <w:pageBreakBefore w:val="0"/>
        <w:widowControl w:val="0"/>
        <w:kinsoku/>
        <w:wordWrap/>
        <w:overflowPunct/>
        <w:topLinePunct w:val="0"/>
        <w:autoSpaceDE/>
        <w:autoSpaceDN/>
        <w:bidi w:val="0"/>
        <w:adjustRightInd w:val="0"/>
        <w:snapToGrid/>
        <w:spacing w:line="360" w:lineRule="auto"/>
        <w:ind w:firstLine="960" w:firstLineChars="400"/>
        <w:jc w:val="both"/>
        <w:textAlignment w:val="auto"/>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67021ADF">
      <w:pPr>
        <w:keepNext w:val="0"/>
        <w:keepLines w:val="0"/>
        <w:pageBreakBefore w:val="0"/>
        <w:widowControl w:val="0"/>
        <w:kinsoku/>
        <w:wordWrap/>
        <w:overflowPunct/>
        <w:topLinePunct w:val="0"/>
        <w:autoSpaceDE/>
        <w:autoSpaceDN/>
        <w:bidi w:val="0"/>
        <w:adjustRightInd w:val="0"/>
        <w:snapToGrid/>
        <w:spacing w:line="360" w:lineRule="auto"/>
        <w:ind w:firstLine="960" w:firstLineChars="400"/>
        <w:jc w:val="both"/>
        <w:textAlignment w:val="auto"/>
        <w:rPr>
          <w:rFonts w:hint="eastAsia" w:ascii="宋体" w:hAnsi="宋体" w:cs="宋体"/>
          <w:color w:val="auto"/>
          <w:sz w:val="24"/>
          <w:highlight w:val="none"/>
          <w:lang w:eastAsia="zh-CN"/>
        </w:rPr>
      </w:pPr>
      <w:sdt>
        <w:sdtPr>
          <w:rPr>
            <w:rFonts w:hint="eastAsia" w:ascii="宋体" w:hAnsi="宋体" w:cs="宋体"/>
            <w:color w:val="auto"/>
            <w:kern w:val="0"/>
            <w:sz w:val="24"/>
            <w:highlight w:val="none"/>
          </w:rPr>
          <w:id w:val="-214102535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r>
        <w:rPr>
          <w:rFonts w:hint="eastAsia" w:ascii="宋体" w:hAnsi="宋体" w:cs="宋体"/>
          <w:color w:val="auto"/>
          <w:sz w:val="24"/>
          <w:highlight w:val="none"/>
          <w:lang w:eastAsia="zh-CN"/>
        </w:rPr>
        <w:t>。</w:t>
      </w:r>
    </w:p>
    <w:p w14:paraId="221D20D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pacing w:val="8"/>
          <w:kern w:val="0"/>
          <w:sz w:val="24"/>
          <w:highlight w:val="none"/>
          <w:lang w:eastAsia="zh-CN"/>
        </w:rPr>
        <w:t>。</w:t>
      </w:r>
    </w:p>
    <w:p w14:paraId="5E557EFA">
      <w:pPr>
        <w:pStyle w:val="80"/>
        <w:keepNext w:val="0"/>
        <w:keepLines w:val="0"/>
        <w:pageBreakBefore w:val="0"/>
        <w:widowControl w:val="0"/>
        <w:kinsoku/>
        <w:wordWrap/>
        <w:overflowPunct/>
        <w:topLinePunct w:val="0"/>
        <w:autoSpaceDE/>
        <w:autoSpaceDN/>
        <w:bidi w:val="0"/>
        <w:snapToGrid/>
        <w:ind w:firstLine="480" w:firstLineChars="200"/>
        <w:textAlignment w:val="auto"/>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lang w:eastAsia="zh-CN"/>
        </w:rPr>
        <w:t>。</w:t>
      </w:r>
    </w:p>
    <w:p w14:paraId="7917965B">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color w:val="auto"/>
          <w:kern w:val="0"/>
          <w:sz w:val="24"/>
          <w:szCs w:val="24"/>
          <w:lang w:val="en-US" w:eastAsia="zh-CN"/>
        </w:rPr>
        <w:t>无。</w:t>
      </w:r>
    </w:p>
    <w:p w14:paraId="0CA0F872">
      <w:pPr>
        <w:keepNext w:val="0"/>
        <w:keepLines w:val="0"/>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70B6B60">
      <w:pPr>
        <w:keepNext w:val="0"/>
        <w:keepLines w:val="0"/>
        <w:pageBreakBefore w:val="0"/>
        <w:kinsoku/>
        <w:wordWrap/>
        <w:overflowPunct/>
        <w:topLinePunct w:val="0"/>
        <w:autoSpaceDE/>
        <w:autoSpaceDN/>
        <w:bidi w:val="0"/>
        <w:snapToGrid w:val="0"/>
        <w:spacing w:line="360" w:lineRule="auto"/>
        <w:ind w:firstLine="480" w:firstLineChars="200"/>
        <w:jc w:val="both"/>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4E821D5D">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三、获取招标文件</w:t>
      </w:r>
    </w:p>
    <w:p w14:paraId="5BFB8A53">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b/>
          <w:color w:val="auto"/>
          <w:sz w:val="24"/>
          <w:highlight w:val="none"/>
          <w:lang w:eastAsia="zh-CN"/>
        </w:rPr>
        <w:t>：</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日，每天上午00:00至12:00</w:t>
      </w:r>
      <w:r>
        <w:rPr>
          <w:rFonts w:hint="eastAsia" w:ascii="宋体" w:hAnsi="宋体" w:cs="宋体"/>
          <w:color w:val="auto"/>
          <w:sz w:val="24"/>
          <w:highlight w:val="none"/>
          <w:lang w:eastAsia="zh-CN"/>
        </w:rPr>
        <w:t>，</w:t>
      </w:r>
      <w:r>
        <w:rPr>
          <w:rFonts w:hint="eastAsia" w:ascii="宋体" w:hAnsi="宋体" w:cs="宋体"/>
          <w:color w:val="auto"/>
          <w:sz w:val="24"/>
          <w:highlight w:val="none"/>
        </w:rPr>
        <w:t>下午12:00至23:59（北京时间，线上获取法定节假日均可，线下获取文件法定节假日除外）</w:t>
      </w:r>
    </w:p>
    <w:p w14:paraId="48B894E5">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2F5B2886">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供应商登录政采云平台https://www.zcygov.cn/在线申请获取采购文件（进入“项目采购”应用，在获取采购文件菜单中选择项目，申请获取采购文件）。</w:t>
      </w:r>
    </w:p>
    <w:p w14:paraId="26D9A618">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b w:val="0"/>
          <w:bCs/>
          <w:color w:val="auto"/>
          <w:sz w:val="24"/>
          <w:highlight w:val="none"/>
          <w:lang w:val="en-US" w:eastAsia="zh-CN"/>
        </w:rPr>
      </w:pPr>
      <w:r>
        <w:rPr>
          <w:rFonts w:hint="eastAsia" w:ascii="宋体" w:hAnsi="宋体" w:cs="宋体"/>
          <w:b/>
          <w:color w:val="auto"/>
          <w:sz w:val="24"/>
          <w:highlight w:val="none"/>
        </w:rPr>
        <w:t>售价（元）：</w:t>
      </w:r>
      <w:r>
        <w:rPr>
          <w:rFonts w:hint="eastAsia" w:ascii="宋体" w:hAnsi="宋体" w:cs="宋体"/>
          <w:b w:val="0"/>
          <w:bCs/>
          <w:color w:val="auto"/>
          <w:sz w:val="24"/>
          <w:highlight w:val="none"/>
          <w:lang w:val="en-US" w:eastAsia="zh-CN"/>
        </w:rPr>
        <w:t>0</w:t>
      </w:r>
    </w:p>
    <w:p w14:paraId="6992080F">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531967C">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月  日13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秒</w:t>
      </w:r>
      <w:r>
        <w:rPr>
          <w:rFonts w:hint="eastAsia" w:ascii="宋体" w:hAnsi="宋体" w:cs="宋体"/>
          <w:color w:val="auto"/>
          <w:sz w:val="24"/>
          <w:highlight w:val="none"/>
        </w:rPr>
        <w:t>（北京时间）</w:t>
      </w:r>
    </w:p>
    <w:p w14:paraId="3ED8B56A">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政采云平台（https://www.zcygov.cn/）</w:t>
      </w:r>
    </w:p>
    <w:p w14:paraId="20BC11D8">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月  日13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秒</w:t>
      </w:r>
    </w:p>
    <w:p w14:paraId="441C8609">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9DB1A10">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五、公告期限</w:t>
      </w:r>
    </w:p>
    <w:p w14:paraId="28D088A2">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871DF49">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890DCE0">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C24F99A">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FA597B">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F0B06E">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4.其他事项</w:t>
      </w:r>
      <w:r>
        <w:rPr>
          <w:rFonts w:hint="eastAsia" w:ascii="宋体" w:hAnsi="宋体" w:cs="宋体"/>
          <w:color w:val="auto"/>
          <w:sz w:val="24"/>
          <w:highlight w:val="none"/>
          <w:lang w:eastAsia="zh-CN"/>
        </w:rPr>
        <w:t>：</w:t>
      </w:r>
      <w:r>
        <w:rPr>
          <w:rFonts w:hint="eastAsia" w:ascii="宋体" w:hAnsi="宋体" w:cs="宋体"/>
          <w:color w:val="auto"/>
          <w:sz w:val="24"/>
          <w:highlight w:val="none"/>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w:t>
      </w:r>
      <w:r>
        <w:rPr>
          <w:rFonts w:hint="eastAsia" w:ascii="宋体" w:hAnsi="宋体" w:cs="宋体"/>
          <w:color w:val="auto"/>
          <w:sz w:val="24"/>
          <w:highlight w:val="none"/>
          <w:lang w:eastAsia="zh-CN"/>
        </w:rPr>
        <w:t>；</w:t>
      </w:r>
      <w:r>
        <w:rPr>
          <w:rFonts w:hint="eastAsia" w:ascii="宋体" w:hAnsi="宋体" w:cs="宋体"/>
          <w:color w:val="auto"/>
          <w:sz w:val="24"/>
          <w:highlight w:val="none"/>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本招标公告中二、申请人的资格要求：第一条中的“重大税收违法案件当事人名单”即为“重大税收违法失信主体”。</w:t>
      </w:r>
    </w:p>
    <w:p w14:paraId="47E05038">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8E3E7DF">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1.采购人信息</w:t>
      </w:r>
    </w:p>
    <w:p w14:paraId="745F5744">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宁海县住房和城乡建设局</w:t>
      </w:r>
    </w:p>
    <w:p w14:paraId="279E6E91">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kern w:val="0"/>
          <w:sz w:val="24"/>
          <w:szCs w:val="24"/>
          <w:lang w:eastAsia="zh-CN"/>
        </w:rPr>
        <w:t>宁海县桃源商务楼A幢</w:t>
      </w:r>
      <w:r>
        <w:rPr>
          <w:rFonts w:hint="eastAsia" w:ascii="宋体" w:hAnsi="宋体" w:cs="宋体"/>
          <w:color w:val="auto"/>
          <w:kern w:val="0"/>
          <w:sz w:val="24"/>
          <w:szCs w:val="24"/>
          <w:lang w:val="en-US" w:eastAsia="zh-CN"/>
        </w:rPr>
        <w:t>15</w:t>
      </w:r>
      <w:r>
        <w:rPr>
          <w:rFonts w:hint="eastAsia" w:ascii="宋体" w:hAnsi="宋体" w:cs="宋体"/>
          <w:color w:val="auto"/>
          <w:kern w:val="0"/>
          <w:sz w:val="24"/>
          <w:szCs w:val="24"/>
          <w:lang w:eastAsia="zh-CN"/>
        </w:rPr>
        <w:t>楼</w:t>
      </w:r>
    </w:p>
    <w:p w14:paraId="0050FB41">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0F139477">
      <w:pPr>
        <w:keepNext w:val="0"/>
        <w:keepLines w:val="0"/>
        <w:pageBreakBefore w:val="0"/>
        <w:kinsoku/>
        <w:wordWrap/>
        <w:overflowPunct/>
        <w:topLinePunct w:val="0"/>
        <w:autoSpaceDE/>
        <w:autoSpaceDN/>
        <w:bidi w:val="0"/>
        <w:spacing w:line="360" w:lineRule="auto"/>
        <w:ind w:firstLine="480" w:firstLineChars="200"/>
        <w:jc w:val="both"/>
        <w:textAlignment w:val="auto"/>
        <w:rPr>
          <w:rFonts w:hint="default" w:ascii="宋体" w:hAnsi="宋体" w:cs="宋体"/>
          <w:color w:val="auto"/>
          <w:sz w:val="24"/>
          <w:highlight w:val="none"/>
          <w:lang w:val="en-US"/>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杨</w:t>
      </w:r>
      <w:r>
        <w:rPr>
          <w:rFonts w:hint="eastAsia" w:ascii="宋体" w:hAnsi="宋体" w:cs="宋体"/>
          <w:color w:val="auto"/>
          <w:kern w:val="0"/>
          <w:sz w:val="24"/>
          <w:szCs w:val="24"/>
          <w:lang w:val="en-US" w:eastAsia="zh-CN"/>
        </w:rPr>
        <w:t>老师</w:t>
      </w:r>
    </w:p>
    <w:p w14:paraId="12306194">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项目联系方式（询问）：</w:t>
      </w:r>
      <w:r>
        <w:rPr>
          <w:rFonts w:hint="eastAsia" w:ascii="宋体" w:hAnsi="宋体" w:cs="宋体"/>
          <w:color w:val="auto"/>
          <w:kern w:val="0"/>
          <w:sz w:val="24"/>
          <w:szCs w:val="24"/>
          <w:lang w:eastAsia="zh-CN"/>
        </w:rPr>
        <w:t>0574-65524060</w:t>
      </w:r>
    </w:p>
    <w:p w14:paraId="1208A4B6">
      <w:pPr>
        <w:keepNext w:val="0"/>
        <w:keepLines w:val="0"/>
        <w:pageBreakBefore w:val="0"/>
        <w:kinsoku/>
        <w:wordWrap/>
        <w:overflowPunct/>
        <w:topLinePunct w:val="0"/>
        <w:autoSpaceDE/>
        <w:autoSpaceDN/>
        <w:bidi w:val="0"/>
        <w:spacing w:line="360" w:lineRule="auto"/>
        <w:ind w:firstLine="480" w:firstLineChars="200"/>
        <w:jc w:val="both"/>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rPr>
        <w:t>质疑联系人：</w:t>
      </w:r>
      <w:r>
        <w:rPr>
          <w:rFonts w:hint="eastAsia" w:cs="Times New Roman" w:asciiTheme="minorEastAsia" w:hAnsiTheme="minorEastAsia" w:eastAsiaTheme="minorEastAsia"/>
          <w:color w:val="000000" w:themeColor="text1"/>
          <w:sz w:val="24"/>
          <w:highlight w:val="none"/>
          <w:lang w:eastAsia="zh-CN"/>
          <w14:textFill>
            <w14:solidFill>
              <w14:schemeClr w14:val="tx1"/>
            </w14:solidFill>
          </w14:textFill>
        </w:rPr>
        <w:t>胡老师</w:t>
      </w:r>
    </w:p>
    <w:p w14:paraId="01EF59C0">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kern w:val="0"/>
          <w:sz w:val="24"/>
          <w:szCs w:val="24"/>
          <w:lang w:val="en-US" w:eastAsia="zh-CN"/>
        </w:rPr>
        <w:t>0574-65524060</w:t>
      </w:r>
    </w:p>
    <w:p w14:paraId="4F24C129">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2.采购代理机构信息</w:t>
      </w:r>
    </w:p>
    <w:p w14:paraId="5030CD26">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浙江国信工程管理咨询有限公司</w:t>
      </w:r>
    </w:p>
    <w:p w14:paraId="04B198A1">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宁海县跃龙街道兴海中路99号兴海菜场东门东8</w:t>
      </w:r>
    </w:p>
    <w:p w14:paraId="452E4596">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eastAsia="zh-CN"/>
        </w:rPr>
        <w:t>0574-82538390</w:t>
      </w:r>
    </w:p>
    <w:p w14:paraId="0A2A97F0">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刘家俊</w:t>
      </w:r>
    </w:p>
    <w:p w14:paraId="4D0F0443">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eastAsia="zh-CN"/>
        </w:rPr>
        <w:t>0574-82538390</w:t>
      </w:r>
    </w:p>
    <w:p w14:paraId="7C7CD7C0">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邬永飞</w:t>
      </w:r>
    </w:p>
    <w:p w14:paraId="2A185908">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0574-82538390</w:t>
      </w:r>
    </w:p>
    <w:p w14:paraId="01618A88">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3.同级政府采购监督管理部门</w:t>
      </w:r>
    </w:p>
    <w:p w14:paraId="346B6F4B">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rPr>
        <w:t>名    称：宁海县政府采购管理办公室</w:t>
      </w:r>
    </w:p>
    <w:p w14:paraId="3AE2DFC4">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地    址：宁海县跃龙街道桃源中路218号</w:t>
      </w:r>
    </w:p>
    <w:p w14:paraId="61EDACCC">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传    真：0574-65265612</w:t>
      </w:r>
    </w:p>
    <w:p w14:paraId="11F31987">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w:t>
      </w:r>
      <w:r>
        <w:rPr>
          <w:rFonts w:hint="eastAsia" w:ascii="宋体" w:hAnsi="宋体" w:cs="宋体"/>
          <w:color w:val="auto"/>
          <w:sz w:val="24"/>
          <w:highlight w:val="none"/>
        </w:rPr>
        <w:t>王老师</w:t>
      </w:r>
    </w:p>
    <w:p w14:paraId="2ED2B181">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rPr>
        <w:t>监督投诉电话：0574-65265668</w:t>
      </w:r>
    </w:p>
    <w:p w14:paraId="6CBC73CE">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auto"/>
          <w:sz w:val="24"/>
          <w:highlight w:val="none"/>
        </w:rPr>
      </w:pPr>
    </w:p>
    <w:p w14:paraId="001808AB">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143A97A">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BF3487D">
      <w:pPr>
        <w:keepNext w:val="0"/>
        <w:keepLines w:val="0"/>
        <w:pageBreakBefore w:val="0"/>
        <w:widowControl/>
        <w:kinsoku/>
        <w:wordWrap/>
        <w:overflowPunct/>
        <w:topLinePunct w:val="0"/>
        <w:autoSpaceDE/>
        <w:autoSpaceDN/>
        <w:bidi w:val="0"/>
        <w:adjustRightInd/>
        <w:spacing w:line="360" w:lineRule="auto"/>
        <w:ind w:firstLine="723" w:firstLineChars="200"/>
        <w:jc w:val="both"/>
        <w:textAlignment w:val="auto"/>
        <w:rPr>
          <w:rFonts w:ascii="宋体" w:hAnsi="宋体" w:cs="宋体"/>
          <w:b/>
          <w:color w:val="auto"/>
          <w:sz w:val="36"/>
          <w:szCs w:val="20"/>
          <w:highlight w:val="none"/>
        </w:rPr>
      </w:pPr>
      <w:r>
        <w:rPr>
          <w:rFonts w:ascii="宋体" w:hAnsi="宋体" w:cs="宋体"/>
          <w:b/>
          <w:color w:val="auto"/>
          <w:sz w:val="36"/>
          <w:szCs w:val="20"/>
          <w:highlight w:val="none"/>
        </w:rPr>
        <w:br w:type="page"/>
      </w:r>
    </w:p>
    <w:p w14:paraId="7533CD2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62D0B965">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7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857"/>
        <w:gridCol w:w="1843"/>
        <w:gridCol w:w="6095"/>
      </w:tblGrid>
      <w:tr w14:paraId="5EBA5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0" w:hRule="atLeast"/>
          <w:tblHeader/>
          <w:jc w:val="center"/>
        </w:trPr>
        <w:tc>
          <w:tcPr>
            <w:tcW w:w="857" w:type="dxa"/>
            <w:tcBorders>
              <w:tl2br w:val="nil"/>
              <w:tr2bl w:val="nil"/>
            </w:tcBorders>
            <w:vAlign w:val="center"/>
          </w:tcPr>
          <w:p w14:paraId="184F7AE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1843" w:type="dxa"/>
            <w:tcBorders>
              <w:tl2br w:val="nil"/>
              <w:tr2bl w:val="nil"/>
            </w:tcBorders>
            <w:vAlign w:val="center"/>
          </w:tcPr>
          <w:p w14:paraId="75D48E4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事项</w:t>
            </w:r>
          </w:p>
        </w:tc>
        <w:tc>
          <w:tcPr>
            <w:tcW w:w="6095" w:type="dxa"/>
            <w:tcBorders>
              <w:tl2br w:val="nil"/>
              <w:tr2bl w:val="nil"/>
            </w:tcBorders>
            <w:vAlign w:val="center"/>
          </w:tcPr>
          <w:p w14:paraId="7BD13E8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本项目的特别规定</w:t>
            </w:r>
          </w:p>
        </w:tc>
      </w:tr>
      <w:tr w14:paraId="199BC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43" w:hRule="atLeast"/>
          <w:tblHeader/>
          <w:jc w:val="center"/>
        </w:trPr>
        <w:tc>
          <w:tcPr>
            <w:tcW w:w="857" w:type="dxa"/>
            <w:tcBorders>
              <w:tl2br w:val="nil"/>
              <w:tr2bl w:val="nil"/>
            </w:tcBorders>
            <w:vAlign w:val="center"/>
          </w:tcPr>
          <w:p w14:paraId="48AFEA1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l2br w:val="nil"/>
              <w:tr2bl w:val="nil"/>
            </w:tcBorders>
            <w:vAlign w:val="center"/>
          </w:tcPr>
          <w:p w14:paraId="545D4E3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6095" w:type="dxa"/>
            <w:tcBorders>
              <w:tl2br w:val="nil"/>
              <w:tr2bl w:val="nil"/>
            </w:tcBorders>
            <w:vAlign w:val="center"/>
          </w:tcPr>
          <w:p w14:paraId="24ACF902">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w:t>
            </w:r>
          </w:p>
        </w:tc>
      </w:tr>
      <w:tr w14:paraId="0C3E8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jc w:val="center"/>
        </w:trPr>
        <w:tc>
          <w:tcPr>
            <w:tcW w:w="857" w:type="dxa"/>
            <w:tcBorders>
              <w:tl2br w:val="nil"/>
              <w:tr2bl w:val="nil"/>
            </w:tcBorders>
            <w:vAlign w:val="center"/>
          </w:tcPr>
          <w:p w14:paraId="264B4EC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l2br w:val="nil"/>
              <w:tr2bl w:val="nil"/>
            </w:tcBorders>
            <w:vAlign w:val="center"/>
          </w:tcPr>
          <w:p w14:paraId="3B4A1C3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095" w:type="dxa"/>
            <w:tcBorders>
              <w:tl2br w:val="nil"/>
              <w:tr2bl w:val="nil"/>
            </w:tcBorders>
            <w:vAlign w:val="center"/>
          </w:tcPr>
          <w:p w14:paraId="0A171210">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（1）标的</w:t>
            </w:r>
            <w:r>
              <w:rPr>
                <w:rFonts w:hint="eastAsia" w:ascii="宋体" w:hAnsi="宋体" w:eastAsia="宋体" w:cs="宋体"/>
                <w:color w:val="auto"/>
                <w:kern w:val="0"/>
                <w:sz w:val="24"/>
                <w:szCs w:val="24"/>
                <w:highlight w:val="none"/>
                <w:lang w:eastAsia="zh-CN"/>
              </w:rPr>
              <w:t>：</w:t>
            </w:r>
            <w:r>
              <w:rPr>
                <w:rFonts w:hint="eastAsia" w:ascii="宋体" w:hAnsi="宋体" w:cs="宋体"/>
                <w:sz w:val="24"/>
                <w:szCs w:val="24"/>
                <w:u w:val="single"/>
                <w:lang w:eastAsia="zh-CN"/>
              </w:rPr>
              <w:t>水质养护服务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属于</w:t>
            </w:r>
            <w:r>
              <w:rPr>
                <w:rFonts w:hint="eastAsia" w:ascii="宋体" w:hAnsi="宋体" w:eastAsia="宋体" w:cs="宋体"/>
                <w:sz w:val="24"/>
                <w:szCs w:val="24"/>
                <w:u w:val="single"/>
              </w:rPr>
              <w:t>其他未列明行业</w:t>
            </w:r>
            <w:r>
              <w:rPr>
                <w:rFonts w:hint="eastAsia" w:ascii="宋体" w:hAnsi="宋体" w:eastAsia="宋体" w:cs="宋体"/>
                <w:color w:val="auto"/>
                <w:kern w:val="0"/>
                <w:sz w:val="24"/>
                <w:szCs w:val="24"/>
                <w:highlight w:val="none"/>
                <w:lang w:eastAsia="zh-CN"/>
              </w:rPr>
              <w:t>。</w:t>
            </w:r>
          </w:p>
        </w:tc>
      </w:tr>
      <w:tr w14:paraId="6E9BE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jc w:val="center"/>
        </w:trPr>
        <w:tc>
          <w:tcPr>
            <w:tcW w:w="857" w:type="dxa"/>
            <w:tcBorders>
              <w:tl2br w:val="nil"/>
              <w:tr2bl w:val="nil"/>
            </w:tcBorders>
            <w:vAlign w:val="center"/>
          </w:tcPr>
          <w:p w14:paraId="4BC3C05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l2br w:val="nil"/>
              <w:tr2bl w:val="nil"/>
            </w:tcBorders>
            <w:vAlign w:val="center"/>
          </w:tcPr>
          <w:p w14:paraId="4191AD0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095" w:type="dxa"/>
            <w:tcBorders>
              <w:tl2br w:val="nil"/>
              <w:tr2bl w:val="nil"/>
            </w:tcBorders>
            <w:vAlign w:val="center"/>
          </w:tcPr>
          <w:p w14:paraId="1EF58915">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本项目不允许采购进口产品。</w:t>
            </w:r>
          </w:p>
          <w:p w14:paraId="21825CDF">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6CB9C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jc w:val="center"/>
        </w:trPr>
        <w:tc>
          <w:tcPr>
            <w:tcW w:w="857" w:type="dxa"/>
            <w:tcBorders>
              <w:tl2br w:val="nil"/>
              <w:tr2bl w:val="nil"/>
            </w:tcBorders>
            <w:vAlign w:val="center"/>
          </w:tcPr>
          <w:p w14:paraId="318BF1D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l2br w:val="nil"/>
              <w:tr2bl w:val="nil"/>
            </w:tcBorders>
            <w:vAlign w:val="center"/>
          </w:tcPr>
          <w:p w14:paraId="494F728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095" w:type="dxa"/>
            <w:tcBorders>
              <w:tl2br w:val="nil"/>
              <w:tr2bl w:val="nil"/>
            </w:tcBorders>
            <w:vAlign w:val="center"/>
          </w:tcPr>
          <w:p w14:paraId="2634BEB5">
            <w:pPr>
              <w:keepNext w:val="0"/>
              <w:keepLines w:val="0"/>
              <w:pageBreakBefore w:val="0"/>
              <w:widowControl w:val="0"/>
              <w:kinsoku/>
              <w:wordWrap/>
              <w:overflowPunct/>
              <w:topLinePunct w:val="0"/>
              <w:autoSpaceDE/>
              <w:autoSpaceDN/>
              <w:bidi w:val="0"/>
              <w:adjustRightInd w:val="0"/>
              <w:spacing w:line="360" w:lineRule="exact"/>
              <w:ind w:firstLine="0" w:firstLineChars="0"/>
              <w:jc w:val="lef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工作分包。</w:t>
            </w:r>
            <w:sdt>
              <w:sdtPr>
                <w:rPr>
                  <w:rFonts w:hint="eastAsia" w:ascii="宋体" w:hAnsi="宋体" w:eastAsia="宋体" w:cs="宋体"/>
                  <w:color w:val="auto"/>
                  <w:kern w:val="0"/>
                  <w:sz w:val="24"/>
                  <w:szCs w:val="24"/>
                  <w:highlight w:val="none"/>
                </w:rPr>
                <w:id w:val="147472435"/>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w:t>
            </w:r>
          </w:p>
        </w:tc>
      </w:tr>
      <w:tr w14:paraId="33ADF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jc w:val="center"/>
        </w:trPr>
        <w:tc>
          <w:tcPr>
            <w:tcW w:w="857" w:type="dxa"/>
            <w:tcBorders>
              <w:tl2br w:val="nil"/>
              <w:tr2bl w:val="nil"/>
            </w:tcBorders>
            <w:vAlign w:val="center"/>
          </w:tcPr>
          <w:p w14:paraId="3DD39BA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l2br w:val="nil"/>
              <w:tr2bl w:val="nil"/>
            </w:tcBorders>
            <w:vAlign w:val="center"/>
          </w:tcPr>
          <w:p w14:paraId="13200DE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6095" w:type="dxa"/>
            <w:tcBorders>
              <w:tl2br w:val="nil"/>
              <w:tr2bl w:val="nil"/>
            </w:tcBorders>
            <w:vAlign w:val="center"/>
          </w:tcPr>
          <w:p w14:paraId="5DFF468D">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2156FD99">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7442B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930" w:hRule="atLeast"/>
          <w:tblHeader/>
          <w:jc w:val="center"/>
        </w:trPr>
        <w:tc>
          <w:tcPr>
            <w:tcW w:w="857" w:type="dxa"/>
            <w:tcBorders>
              <w:tl2br w:val="nil"/>
              <w:tr2bl w:val="nil"/>
            </w:tcBorders>
            <w:vAlign w:val="center"/>
          </w:tcPr>
          <w:p w14:paraId="3F6BF74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l2br w:val="nil"/>
              <w:tr2bl w:val="nil"/>
            </w:tcBorders>
            <w:vAlign w:val="center"/>
          </w:tcPr>
          <w:p w14:paraId="38470B8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095" w:type="dxa"/>
            <w:tcBorders>
              <w:tl2br w:val="nil"/>
              <w:tr2bl w:val="nil"/>
            </w:tcBorders>
            <w:vAlign w:val="center"/>
          </w:tcPr>
          <w:p w14:paraId="0E3D77CF">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14:paraId="66FBFFB9">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B要求提供，</w:t>
            </w:r>
          </w:p>
          <w:p w14:paraId="43AAC8B6">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kern w:val="0"/>
                <w:sz w:val="24"/>
                <w:szCs w:val="24"/>
                <w:highlight w:val="none"/>
              </w:rPr>
              <w:t>；</w:t>
            </w:r>
          </w:p>
          <w:p w14:paraId="6B3276BE">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详见</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kern w:val="0"/>
                <w:sz w:val="24"/>
                <w:szCs w:val="24"/>
                <w:highlight w:val="none"/>
              </w:rPr>
              <w:t>；</w:t>
            </w:r>
          </w:p>
          <w:p w14:paraId="394FF344">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kern w:val="0"/>
                <w:sz w:val="24"/>
                <w:szCs w:val="24"/>
                <w:highlight w:val="none"/>
              </w:rPr>
              <w:t>；</w:t>
            </w:r>
          </w:p>
          <w:p w14:paraId="6D85456B">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（4）是否需要随样品提交检测报告：</w:t>
            </w:r>
            <w:sdt>
              <w:sdtPr>
                <w:rPr>
                  <w:rFonts w:hint="eastAsia" w:ascii="宋体" w:hAnsi="宋体" w:eastAsia="宋体" w:cs="宋体"/>
                  <w:color w:val="auto"/>
                  <w:kern w:val="0"/>
                  <w:sz w:val="24"/>
                  <w:szCs w:val="24"/>
                  <w:highlight w:val="none"/>
                </w:rPr>
                <w:id w:val="1303421454"/>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否；</w:t>
            </w:r>
            <w:sdt>
              <w:sdtPr>
                <w:rPr>
                  <w:rFonts w:hint="eastAsia" w:ascii="宋体" w:hAnsi="宋体" w:eastAsia="宋体" w:cs="宋体"/>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26805B8">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（5）提供样品的时间：</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kern w:val="0"/>
                <w:sz w:val="24"/>
                <w:szCs w:val="24"/>
                <w:highlight w:val="none"/>
              </w:rPr>
              <w:t>；地点：</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14:paraId="287E3750">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采购活动结束后，对于未中标人提供的样品，采购人、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将通知未中标人在规定的时间内取回，逾期未取回的，采购人、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不负保管义务；对于中标人提供的样品，采购人将进行保管、封存，并作为履约验收的参考。</w:t>
            </w:r>
          </w:p>
          <w:p w14:paraId="2A2A1219">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（7）制作、运输、安装和保管样品所发生的一切费用由投标人自理。</w:t>
            </w:r>
          </w:p>
        </w:tc>
      </w:tr>
      <w:tr w14:paraId="215F0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930" w:hRule="atLeast"/>
          <w:tblHeader/>
          <w:jc w:val="center"/>
        </w:trPr>
        <w:tc>
          <w:tcPr>
            <w:tcW w:w="857" w:type="dxa"/>
            <w:tcBorders>
              <w:tl2br w:val="nil"/>
              <w:tr2bl w:val="nil"/>
            </w:tcBorders>
            <w:vAlign w:val="center"/>
          </w:tcPr>
          <w:p w14:paraId="7E1CFB4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l2br w:val="nil"/>
              <w:tr2bl w:val="nil"/>
            </w:tcBorders>
            <w:vAlign w:val="center"/>
          </w:tcPr>
          <w:p w14:paraId="4F752B1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095" w:type="dxa"/>
            <w:tcBorders>
              <w:tl2br w:val="nil"/>
              <w:tr2bl w:val="nil"/>
            </w:tcBorders>
            <w:vAlign w:val="center"/>
          </w:tcPr>
          <w:p w14:paraId="72D36828">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3AE644D0">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B组织。</w:t>
            </w:r>
          </w:p>
          <w:p w14:paraId="7C83607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（1）在评标时安排每个投标人进行方案讲解演示。每个投标人时间不超过</w:t>
            </w:r>
            <w:r>
              <w:rPr>
                <w:rFonts w:hint="eastAsia" w:ascii="宋体" w:hAnsi="宋体" w:eastAsia="宋体" w:cs="宋体"/>
                <w:color w:val="auto"/>
                <w:kern w:val="0"/>
                <w:sz w:val="24"/>
                <w:szCs w:val="24"/>
                <w:highlight w:val="none"/>
                <w:u w:val="single"/>
              </w:rPr>
              <w:t>20</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编制时可根据项目情况进行调整</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分钟，讲解次序以投标文件解密时间先后次序为准，讲解演示人员不超过</w:t>
            </w:r>
            <w:r>
              <w:rPr>
                <w:rFonts w:hint="eastAsia" w:ascii="宋体" w:hAnsi="宋体" w:eastAsia="宋体" w:cs="宋体"/>
                <w:color w:val="auto"/>
                <w:kern w:val="0"/>
                <w:sz w:val="24"/>
                <w:szCs w:val="24"/>
                <w:highlight w:val="none"/>
                <w:u w:val="single"/>
              </w:rPr>
              <w:t>3</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编制时可根据项目情况进行调整</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人。讲解演示结束后按要求解答评标委员会提问。</w:t>
            </w:r>
          </w:p>
          <w:p w14:paraId="6823E97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（2）方案讲解演示可选择以下其中一种方式：</w:t>
            </w:r>
          </w:p>
          <w:p w14:paraId="73D989B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方式一：政采云平台在线讲解演示。政采云平台在线讲解需投标人根据政采云平台操作要求做好准备工作，提前完善软硬件配置环境。</w:t>
            </w:r>
          </w:p>
          <w:p w14:paraId="5F47726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方式二：交易中心现场讲解演示。现场讲解地点为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，讲解演示所用电脑等设备由投标人自备。现场讲解演示人员进场时提供讲解人员名单（加盖公章或授权代表签名）及身份证明，否则不得讲解演示。</w:t>
            </w:r>
          </w:p>
          <w:p w14:paraId="4C84395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865B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200" w:hRule="atLeast"/>
          <w:tblHeader/>
          <w:jc w:val="center"/>
        </w:trPr>
        <w:tc>
          <w:tcPr>
            <w:tcW w:w="857" w:type="dxa"/>
            <w:vMerge w:val="restart"/>
            <w:tcBorders>
              <w:tl2br w:val="nil"/>
              <w:tr2bl w:val="nil"/>
            </w:tcBorders>
            <w:vAlign w:val="center"/>
          </w:tcPr>
          <w:p w14:paraId="5F63354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vMerge w:val="restart"/>
            <w:tcBorders>
              <w:tl2br w:val="nil"/>
              <w:tr2bl w:val="nil"/>
            </w:tcBorders>
            <w:vAlign w:val="center"/>
          </w:tcPr>
          <w:p w14:paraId="4B3EA74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6095" w:type="dxa"/>
            <w:tcBorders>
              <w:tl2br w:val="nil"/>
              <w:tr2bl w:val="nil"/>
            </w:tcBorders>
            <w:vAlign w:val="center"/>
          </w:tcPr>
          <w:p w14:paraId="30671F56">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4E79D5BB">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266A1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1" w:hRule="atLeast"/>
          <w:tblHeader/>
          <w:jc w:val="center"/>
        </w:trPr>
        <w:tc>
          <w:tcPr>
            <w:tcW w:w="857" w:type="dxa"/>
            <w:vMerge w:val="continue"/>
            <w:tcBorders>
              <w:tl2br w:val="nil"/>
              <w:tr2bl w:val="nil"/>
            </w:tcBorders>
            <w:vAlign w:val="center"/>
          </w:tcPr>
          <w:p w14:paraId="268F8EE0">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1843" w:type="dxa"/>
            <w:vMerge w:val="continue"/>
            <w:tcBorders>
              <w:tl2br w:val="nil"/>
              <w:tr2bl w:val="nil"/>
            </w:tcBorders>
            <w:vAlign w:val="center"/>
          </w:tcPr>
          <w:p w14:paraId="4F80301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p>
        </w:tc>
        <w:tc>
          <w:tcPr>
            <w:tcW w:w="6095" w:type="dxa"/>
            <w:tcBorders>
              <w:tl2br w:val="nil"/>
              <w:tr2bl w:val="nil"/>
            </w:tcBorders>
            <w:vAlign w:val="center"/>
          </w:tcPr>
          <w:p w14:paraId="4F2A7695">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27844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630" w:hRule="atLeast"/>
          <w:tblHeader/>
          <w:jc w:val="center"/>
        </w:trPr>
        <w:tc>
          <w:tcPr>
            <w:tcW w:w="857" w:type="dxa"/>
            <w:tcBorders>
              <w:tl2br w:val="nil"/>
              <w:tr2bl w:val="nil"/>
            </w:tcBorders>
            <w:vAlign w:val="center"/>
          </w:tcPr>
          <w:p w14:paraId="34ABD44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tcBorders>
              <w:tl2br w:val="nil"/>
              <w:tr2bl w:val="nil"/>
            </w:tcBorders>
            <w:vAlign w:val="center"/>
          </w:tcPr>
          <w:p w14:paraId="57B738F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095" w:type="dxa"/>
            <w:tcBorders>
              <w:tl2br w:val="nil"/>
              <w:tr2bl w:val="nil"/>
            </w:tcBorders>
            <w:vAlign w:val="center"/>
          </w:tcPr>
          <w:p w14:paraId="77D9850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D785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160" w:hRule="atLeast"/>
          <w:tblHeader/>
          <w:jc w:val="center"/>
        </w:trPr>
        <w:tc>
          <w:tcPr>
            <w:tcW w:w="857" w:type="dxa"/>
            <w:tcBorders>
              <w:tl2br w:val="nil"/>
              <w:tr2bl w:val="nil"/>
            </w:tcBorders>
            <w:vAlign w:val="center"/>
          </w:tcPr>
          <w:p w14:paraId="5E1B8F7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l2br w:val="nil"/>
              <w:tr2bl w:val="nil"/>
            </w:tcBorders>
            <w:vAlign w:val="center"/>
          </w:tcPr>
          <w:p w14:paraId="72B8F8D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095" w:type="dxa"/>
            <w:tcBorders>
              <w:tl2br w:val="nil"/>
              <w:tr2bl w:val="nil"/>
            </w:tcBorders>
            <w:vAlign w:val="center"/>
          </w:tcPr>
          <w:p w14:paraId="4C6AC3D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eastAsia="宋体" w:cs="宋体"/>
                <w:b/>
                <w:bCs/>
                <w:color w:val="auto"/>
                <w:kern w:val="0"/>
                <w:sz w:val="24"/>
                <w:szCs w:val="24"/>
                <w:highlight w:val="none"/>
                <w:lang w:val="zh-CN"/>
              </w:rPr>
              <w:t>供应商须报出一年</w:t>
            </w:r>
            <w:r>
              <w:rPr>
                <w:rFonts w:hint="eastAsia" w:ascii="宋体" w:hAnsi="宋体" w:eastAsia="宋体" w:cs="宋体"/>
                <w:b/>
                <w:bCs/>
                <w:color w:val="auto"/>
                <w:kern w:val="0"/>
                <w:sz w:val="24"/>
                <w:szCs w:val="24"/>
                <w:highlight w:val="none"/>
                <w:lang w:val="zh-CN" w:eastAsia="zh-CN"/>
              </w:rPr>
              <w:t>报价</w:t>
            </w:r>
            <w:r>
              <w:rPr>
                <w:rFonts w:hint="eastAsia" w:ascii="宋体" w:hAnsi="宋体" w:eastAsia="宋体" w:cs="宋体"/>
                <w:b/>
                <w:bCs/>
                <w:color w:val="auto"/>
                <w:kern w:val="0"/>
                <w:sz w:val="24"/>
                <w:szCs w:val="24"/>
                <w:highlight w:val="none"/>
                <w:lang w:val="zh-CN"/>
              </w:rPr>
              <w:t>及</w:t>
            </w:r>
            <w:r>
              <w:rPr>
                <w:rFonts w:hint="eastAsia" w:ascii="宋体" w:hAnsi="宋体" w:cs="宋体"/>
                <w:b/>
                <w:bCs/>
                <w:color w:val="auto"/>
                <w:kern w:val="0"/>
                <w:sz w:val="24"/>
                <w:szCs w:val="24"/>
                <w:highlight w:val="none"/>
                <w:lang w:val="en-US" w:eastAsia="zh-CN"/>
              </w:rPr>
              <w:t>三</w:t>
            </w:r>
            <w:r>
              <w:rPr>
                <w:rFonts w:hint="eastAsia" w:ascii="宋体" w:hAnsi="宋体" w:eastAsia="宋体" w:cs="宋体"/>
                <w:b/>
                <w:bCs/>
                <w:color w:val="auto"/>
                <w:kern w:val="0"/>
                <w:sz w:val="24"/>
                <w:szCs w:val="24"/>
                <w:highlight w:val="none"/>
                <w:lang w:val="zh-CN" w:eastAsia="zh-CN"/>
              </w:rPr>
              <w:t>年</w:t>
            </w:r>
            <w:r>
              <w:rPr>
                <w:rFonts w:hint="eastAsia" w:ascii="宋体" w:hAnsi="宋体" w:eastAsia="宋体" w:cs="宋体"/>
                <w:b/>
                <w:bCs/>
                <w:color w:val="auto"/>
                <w:kern w:val="0"/>
                <w:sz w:val="24"/>
                <w:szCs w:val="24"/>
                <w:highlight w:val="none"/>
                <w:lang w:val="zh-CN"/>
              </w:rPr>
              <w:t>的投标总价</w:t>
            </w:r>
            <w:r>
              <w:rPr>
                <w:rFonts w:hint="eastAsia" w:ascii="宋体" w:hAnsi="宋体" w:eastAsia="宋体" w:cs="宋体"/>
                <w:color w:val="auto"/>
                <w:kern w:val="0"/>
                <w:sz w:val="24"/>
                <w:szCs w:val="24"/>
                <w:highlight w:val="none"/>
                <w:lang w:val="zh-CN"/>
              </w:rPr>
              <w:t>，投标</w:t>
            </w:r>
            <w:r>
              <w:rPr>
                <w:rFonts w:hint="eastAsia" w:ascii="宋体" w:hAnsi="宋体" w:eastAsia="宋体" w:cs="宋体"/>
                <w:color w:val="auto"/>
                <w:sz w:val="24"/>
                <w:szCs w:val="24"/>
                <w:lang w:val="zh-CN" w:eastAsia="zh-CN"/>
              </w:rPr>
              <w:t>报价为供应商正确地完全履行采购内容及要求的价格体现，应包含</w:t>
            </w:r>
            <w:r>
              <w:rPr>
                <w:rFonts w:hint="eastAsia" w:ascii="宋体" w:hAnsi="宋体" w:eastAsia="宋体" w:cs="宋体"/>
                <w:color w:val="auto"/>
                <w:sz w:val="24"/>
                <w:szCs w:val="24"/>
                <w:lang w:val="en-US" w:eastAsia="zh-CN"/>
              </w:rPr>
              <w:t>完成对应项目所需的全部费用在内，包括但不限于人员费用[包括人员基本工资、各类福利和补贴（如加班补贴等）、各种保险]，人员工作服、人员所使用作业工具等各类耗材费，苗木成活与补植、设施维护风险费（因管理不力引起苗木损毁、死亡，设施损坏等免费补齐和修复费用），管理费（各类管理费用），垃圾处置费，水质自行检测费，水质应急处置费，防汛防台等环境保障费，养护作业车辆、船只和设备折旧费及运行维护费，安全文明施工费、安全生产费，税金，利润及其他与本次采购相关的一切费用。</w:t>
            </w:r>
          </w:p>
          <w:p w14:paraId="0721054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不论投标结果如何，供应商均应自行承担所有与投标有关的全部费用。</w:t>
            </w:r>
          </w:p>
          <w:p w14:paraId="56BE481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2102D31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14:paraId="31FFD0A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14:paraId="7D1C8DFF">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lang w:eastAsia="zh-CN"/>
              </w:rPr>
              <w:t>；</w:t>
            </w:r>
          </w:p>
          <w:p w14:paraId="3EC2C4F2">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14:paraId="57F1D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988" w:hRule="atLeast"/>
          <w:tblHeader/>
          <w:jc w:val="center"/>
        </w:trPr>
        <w:tc>
          <w:tcPr>
            <w:tcW w:w="857" w:type="dxa"/>
            <w:tcBorders>
              <w:tl2br w:val="nil"/>
              <w:tr2bl w:val="nil"/>
            </w:tcBorders>
            <w:vAlign w:val="center"/>
          </w:tcPr>
          <w:p w14:paraId="5CF73C5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43" w:type="dxa"/>
            <w:tcBorders>
              <w:tl2br w:val="nil"/>
              <w:tr2bl w:val="nil"/>
            </w:tcBorders>
            <w:vAlign w:val="center"/>
          </w:tcPr>
          <w:p w14:paraId="61DCA66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6095" w:type="dxa"/>
            <w:tcBorders>
              <w:tl2br w:val="nil"/>
              <w:tr2bl w:val="nil"/>
            </w:tcBorders>
            <w:vAlign w:val="center"/>
          </w:tcPr>
          <w:p w14:paraId="49075C65">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E752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680" w:hRule="atLeast"/>
          <w:tblHeader/>
          <w:jc w:val="center"/>
        </w:trPr>
        <w:tc>
          <w:tcPr>
            <w:tcW w:w="857" w:type="dxa"/>
            <w:tcBorders>
              <w:tl2br w:val="nil"/>
              <w:tr2bl w:val="nil"/>
            </w:tcBorders>
            <w:vAlign w:val="center"/>
          </w:tcPr>
          <w:p w14:paraId="3CA1F7BE">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843" w:type="dxa"/>
            <w:tcBorders>
              <w:tl2br w:val="nil"/>
              <w:tr2bl w:val="nil"/>
            </w:tcBorders>
            <w:vAlign w:val="center"/>
          </w:tcPr>
          <w:p w14:paraId="679F304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备份投标文件送达</w:t>
            </w:r>
            <w:r>
              <w:rPr>
                <w:rFonts w:hint="eastAsia" w:ascii="宋体" w:hAnsi="宋体" w:eastAsia="宋体" w:cs="宋体"/>
                <w:b/>
                <w:color w:val="auto"/>
                <w:sz w:val="24"/>
                <w:szCs w:val="24"/>
                <w:highlight w:val="none"/>
                <w:lang w:val="en-US" w:eastAsia="zh-CN"/>
              </w:rPr>
              <w:t>时间、</w:t>
            </w:r>
            <w:r>
              <w:rPr>
                <w:rFonts w:hint="eastAsia" w:ascii="宋体" w:hAnsi="宋体" w:eastAsia="宋体" w:cs="宋体"/>
                <w:b/>
                <w:color w:val="auto"/>
                <w:sz w:val="24"/>
                <w:szCs w:val="24"/>
                <w:highlight w:val="none"/>
              </w:rPr>
              <w:t>地点和签收人员</w:t>
            </w:r>
          </w:p>
        </w:tc>
        <w:tc>
          <w:tcPr>
            <w:tcW w:w="6095" w:type="dxa"/>
            <w:tcBorders>
              <w:tl2br w:val="nil"/>
              <w:tr2bl w:val="nil"/>
            </w:tcBorders>
            <w:vAlign w:val="center"/>
          </w:tcPr>
          <w:p w14:paraId="74C4A48D">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（1）直接提交备份投标文件的：</w:t>
            </w:r>
          </w:p>
          <w:p w14:paraId="379ADC0B">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eastAsia="宋体" w:cs="宋体"/>
                <w:snapToGrid w:val="0"/>
                <w:color w:val="auto"/>
                <w:kern w:val="28"/>
                <w:sz w:val="24"/>
                <w:szCs w:val="24"/>
                <w:highlight w:val="none"/>
                <w:u w:val="single"/>
                <w:lang w:val="en-US" w:eastAsia="zh-CN" w:bidi="ar-SA"/>
              </w:rPr>
              <w:t>宁海县公共资源交易中心五楼（具体受理场所详见当日电子指示屏）。</w:t>
            </w:r>
          </w:p>
          <w:p w14:paraId="39791A4B">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（2）</w:t>
            </w:r>
            <w:r>
              <w:rPr>
                <w:rFonts w:hint="eastAsia" w:ascii="宋体" w:hAnsi="宋体" w:eastAsia="宋体" w:cs="宋体"/>
                <w:snapToGrid w:val="0"/>
                <w:color w:val="auto"/>
                <w:kern w:val="2"/>
                <w:sz w:val="24"/>
                <w:szCs w:val="24"/>
                <w:highlight w:val="none"/>
                <w:lang w:val="en-US" w:eastAsia="zh-CN" w:bidi="ar-SA"/>
              </w:rPr>
              <w:t>以邮政快递方式递交备份投标文件的：</w:t>
            </w:r>
          </w:p>
          <w:p w14:paraId="06151015">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备份投标文件送达</w:t>
            </w:r>
            <w:r>
              <w:rPr>
                <w:rFonts w:hint="eastAsia" w:ascii="宋体" w:hAnsi="宋体" w:eastAsia="宋体" w:cs="宋体"/>
                <w:snapToGrid w:val="0"/>
                <w:color w:val="auto"/>
                <w:kern w:val="2"/>
                <w:sz w:val="24"/>
                <w:szCs w:val="24"/>
                <w:highlight w:val="none"/>
                <w:lang w:val="en-US" w:eastAsia="zh-CN" w:bidi="ar-SA"/>
              </w:rPr>
              <w:t>截止时间：</w:t>
            </w:r>
            <w:r>
              <w:rPr>
                <w:rFonts w:hint="eastAsia" w:ascii="宋体" w:hAnsi="宋体" w:eastAsia="宋体" w:cs="宋体"/>
                <w:snapToGrid w:val="0"/>
                <w:color w:val="auto"/>
                <w:kern w:val="2"/>
                <w:sz w:val="24"/>
                <w:szCs w:val="24"/>
                <w:highlight w:val="none"/>
                <w:u w:val="single"/>
                <w:lang w:val="en-US" w:eastAsia="zh-CN" w:bidi="ar-SA"/>
              </w:rPr>
              <w:t>开标时间前一个工作日的16:00时止。</w:t>
            </w:r>
          </w:p>
          <w:p w14:paraId="4CB3A29C">
            <w:pPr>
              <w:pStyle w:val="33"/>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eastAsia="宋体" w:cs="宋体"/>
                <w:snapToGrid w:val="0"/>
                <w:color w:val="auto"/>
                <w:kern w:val="2"/>
                <w:sz w:val="24"/>
                <w:szCs w:val="24"/>
                <w:highlight w:val="none"/>
                <w:u w:val="single"/>
                <w:lang w:val="en-US" w:eastAsia="zh-CN" w:bidi="ar-SA"/>
              </w:rPr>
              <w:t>宁海县跃龙街道兴海中路99号兴海菜场东门东8</w:t>
            </w:r>
            <w:r>
              <w:rPr>
                <w:rFonts w:hint="eastAsia" w:ascii="宋体" w:hAnsi="宋体" w:eastAsia="宋体" w:cs="宋体"/>
                <w:snapToGrid w:val="0"/>
                <w:color w:val="auto"/>
                <w:kern w:val="28"/>
                <w:sz w:val="24"/>
                <w:szCs w:val="24"/>
                <w:highlight w:val="none"/>
                <w:lang w:val="en-US" w:eastAsia="zh-CN" w:bidi="ar-SA"/>
              </w:rPr>
              <w:t>；备份投标文件签收人员</w:t>
            </w:r>
            <w:r>
              <w:rPr>
                <w:rFonts w:hint="eastAsia" w:hAnsi="宋体" w:cs="宋体"/>
                <w:snapToGrid w:val="0"/>
                <w:color w:val="auto"/>
                <w:kern w:val="28"/>
                <w:sz w:val="24"/>
                <w:szCs w:val="24"/>
                <w:highlight w:val="none"/>
                <w:lang w:val="en-US" w:eastAsia="zh-CN" w:bidi="ar-SA"/>
              </w:rPr>
              <w:t>及</w:t>
            </w:r>
            <w:r>
              <w:rPr>
                <w:rFonts w:hint="eastAsia" w:ascii="宋体" w:hAnsi="宋体" w:eastAsia="宋体" w:cs="宋体"/>
                <w:snapToGrid w:val="0"/>
                <w:color w:val="auto"/>
                <w:kern w:val="28"/>
                <w:sz w:val="24"/>
                <w:szCs w:val="24"/>
                <w:highlight w:val="none"/>
                <w:lang w:val="en-US" w:eastAsia="zh-CN" w:bidi="ar-SA"/>
              </w:rPr>
              <w:t>联系电话：</w:t>
            </w:r>
            <w:r>
              <w:rPr>
                <w:rFonts w:hint="eastAsia" w:ascii="宋体" w:hAnsi="宋体" w:eastAsia="宋体" w:cs="宋体"/>
                <w:snapToGrid w:val="0"/>
                <w:color w:val="auto"/>
                <w:kern w:val="2"/>
                <w:sz w:val="24"/>
                <w:szCs w:val="24"/>
                <w:highlight w:val="none"/>
                <w:u w:val="single"/>
                <w:lang w:val="en-US" w:eastAsia="zh-CN" w:bidi="ar-SA"/>
              </w:rPr>
              <w:t>刘家俊、13566391453</w:t>
            </w:r>
            <w:r>
              <w:rPr>
                <w:rFonts w:hint="eastAsia" w:ascii="宋体" w:hAnsi="宋体" w:eastAsia="宋体" w:cs="宋体"/>
                <w:snapToGrid w:val="0"/>
                <w:color w:val="auto"/>
                <w:kern w:val="2"/>
                <w:sz w:val="24"/>
                <w:szCs w:val="24"/>
                <w:highlight w:val="none"/>
                <w:lang w:val="en-US" w:eastAsia="zh-CN" w:bidi="ar-SA"/>
              </w:rPr>
              <w:t>。</w:t>
            </w:r>
            <w:r>
              <w:rPr>
                <w:rFonts w:hint="eastAsia" w:ascii="宋体" w:hAnsi="宋体" w:eastAsia="宋体" w:cs="宋体"/>
                <w:b/>
                <w:snapToGrid w:val="0"/>
                <w:color w:val="auto"/>
                <w:kern w:val="2"/>
                <w:sz w:val="24"/>
                <w:szCs w:val="24"/>
                <w:highlight w:val="none"/>
                <w:lang w:val="en-US" w:eastAsia="zh-CN" w:bidi="ar-SA"/>
              </w:rPr>
              <w:t>采购人、采购代理机构不强制或变相强制投标人提交备份投标文件。</w:t>
            </w:r>
          </w:p>
        </w:tc>
      </w:tr>
      <w:tr w14:paraId="35350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850" w:hRule="atLeast"/>
          <w:tblHeader/>
          <w:jc w:val="center"/>
        </w:trPr>
        <w:tc>
          <w:tcPr>
            <w:tcW w:w="857" w:type="dxa"/>
            <w:tcBorders>
              <w:tl2br w:val="nil"/>
              <w:tr2bl w:val="nil"/>
            </w:tcBorders>
            <w:vAlign w:val="center"/>
          </w:tcPr>
          <w:p w14:paraId="59931EE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843" w:type="dxa"/>
            <w:tcBorders>
              <w:tl2br w:val="nil"/>
              <w:tr2bl w:val="nil"/>
            </w:tcBorders>
            <w:vAlign w:val="center"/>
          </w:tcPr>
          <w:p w14:paraId="16A5C5B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6095" w:type="dxa"/>
            <w:tcBorders>
              <w:tl2br w:val="nil"/>
              <w:tr2bl w:val="nil"/>
            </w:tcBorders>
            <w:vAlign w:val="center"/>
          </w:tcPr>
          <w:p w14:paraId="1087DC90">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无。</w:t>
            </w:r>
          </w:p>
        </w:tc>
      </w:tr>
      <w:tr w14:paraId="4034C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999" w:hRule="atLeast"/>
          <w:tblHeader/>
          <w:jc w:val="center"/>
        </w:trPr>
        <w:tc>
          <w:tcPr>
            <w:tcW w:w="857" w:type="dxa"/>
            <w:tcBorders>
              <w:tl2br w:val="nil"/>
              <w:tr2bl w:val="nil"/>
            </w:tcBorders>
            <w:vAlign w:val="center"/>
          </w:tcPr>
          <w:p w14:paraId="77C008D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843" w:type="dxa"/>
            <w:tcBorders>
              <w:tl2br w:val="nil"/>
              <w:tr2bl w:val="nil"/>
            </w:tcBorders>
            <w:vAlign w:val="center"/>
          </w:tcPr>
          <w:p w14:paraId="000A691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中标服务费</w:t>
            </w:r>
          </w:p>
        </w:tc>
        <w:tc>
          <w:tcPr>
            <w:tcW w:w="6095" w:type="dxa"/>
            <w:tcBorders>
              <w:tl2br w:val="nil"/>
              <w:tr2bl w:val="nil"/>
            </w:tcBorders>
            <w:vAlign w:val="center"/>
          </w:tcPr>
          <w:p w14:paraId="0928B33D">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采购代理单位按下表中服务招标标准（按差额定率累进法计算），根据</w:t>
            </w:r>
            <w:r>
              <w:rPr>
                <w:rFonts w:hint="eastAsia" w:ascii="宋体" w:hAnsi="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金额，向中标人收取</w:t>
            </w:r>
            <w:r>
              <w:rPr>
                <w:rFonts w:hint="eastAsia" w:ascii="宋体" w:hAnsi="宋体" w:cs="宋体"/>
                <w:color w:val="auto"/>
                <w:kern w:val="0"/>
                <w:sz w:val="24"/>
                <w:szCs w:val="24"/>
                <w:highlight w:val="none"/>
                <w:lang w:val="en-US" w:eastAsia="zh-CN"/>
              </w:rPr>
              <w:t>招标代理</w:t>
            </w:r>
            <w:r>
              <w:rPr>
                <w:rFonts w:hint="eastAsia" w:ascii="宋体" w:hAnsi="宋体" w:eastAsia="宋体" w:cs="宋体"/>
                <w:color w:val="auto"/>
                <w:kern w:val="0"/>
                <w:sz w:val="24"/>
                <w:szCs w:val="24"/>
                <w:highlight w:val="none"/>
                <w:lang w:val="en-US" w:eastAsia="zh-CN"/>
              </w:rPr>
              <w:t>服务费。</w:t>
            </w:r>
          </w:p>
          <w:tbl>
            <w:tblPr>
              <w:tblStyle w:val="62"/>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14:paraId="5FA2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14:paraId="3E7C6C5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18"/>
                      <w:szCs w:val="18"/>
                      <w:highlight w:val="none"/>
                    </w:rPr>
                  </w:pPr>
                </w:p>
                <w:p w14:paraId="268AE084">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金额</w:t>
                  </w:r>
                </w:p>
                <w:p w14:paraId="3DB9F67D">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mc:AlternateContent>
                      <mc:Choice Requires="wpsCustomData">
                        <wpsCustomData:diagonalParaType/>
                      </mc:Choice>
                    </mc:AlternateConten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p w14:paraId="7953CBDD">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mc:AlternateContent>
                      <mc:Choice Requires="wpsCustomData">
                        <wpsCustomData:diagonalParaType/>
                      </mc:Choice>
                    </mc:AlternateConten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费率</w:t>
                  </w:r>
                </w:p>
                <w:p w14:paraId="2808416F">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服务</w:t>
                  </w:r>
                  <w:r>
                    <w:rPr>
                      <w:rFonts w:hint="eastAsia" w:ascii="宋体" w:hAnsi="宋体" w:eastAsia="宋体" w:cs="宋体"/>
                      <w:color w:val="auto"/>
                      <w:kern w:val="0"/>
                      <w:sz w:val="18"/>
                      <w:szCs w:val="18"/>
                      <w:highlight w:val="none"/>
                      <w:lang w:val="en-US" w:eastAsia="zh-CN"/>
                    </w:rPr>
                    <w:t>类型</w:t>
                  </w:r>
                </w:p>
              </w:tc>
              <w:tc>
                <w:tcPr>
                  <w:tcW w:w="832" w:type="dxa"/>
                  <w:noWrap w:val="0"/>
                  <w:tcMar>
                    <w:top w:w="30" w:type="dxa"/>
                    <w:left w:w="150" w:type="dxa"/>
                    <w:bottom w:w="30" w:type="dxa"/>
                    <w:right w:w="150" w:type="dxa"/>
                  </w:tcMar>
                  <w:vAlign w:val="center"/>
                </w:tcPr>
                <w:p w14:paraId="5F6FDB2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w:t>
                  </w:r>
                </w:p>
                <w:p w14:paraId="444A9584">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c>
                <w:tcPr>
                  <w:tcW w:w="859" w:type="dxa"/>
                  <w:noWrap w:val="0"/>
                  <w:tcMar>
                    <w:top w:w="30" w:type="dxa"/>
                    <w:left w:w="150" w:type="dxa"/>
                    <w:bottom w:w="30" w:type="dxa"/>
                    <w:right w:w="150" w:type="dxa"/>
                  </w:tcMar>
                  <w:vAlign w:val="center"/>
                </w:tcPr>
                <w:p w14:paraId="3BECF681">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w:t>
                  </w:r>
                </w:p>
                <w:p w14:paraId="62D38778">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c>
                <w:tcPr>
                  <w:tcW w:w="838" w:type="dxa"/>
                  <w:noWrap w:val="0"/>
                  <w:tcMar>
                    <w:top w:w="30" w:type="dxa"/>
                    <w:left w:w="150" w:type="dxa"/>
                    <w:bottom w:w="30" w:type="dxa"/>
                    <w:right w:w="150" w:type="dxa"/>
                  </w:tcMar>
                  <w:vAlign w:val="center"/>
                </w:tcPr>
                <w:p w14:paraId="52FA552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w:t>
                  </w:r>
                </w:p>
                <w:p w14:paraId="05C78C18">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r>
            <w:tr w14:paraId="4E5C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0F6F116D">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100以下</w:t>
                  </w:r>
                </w:p>
              </w:tc>
              <w:tc>
                <w:tcPr>
                  <w:tcW w:w="832" w:type="dxa"/>
                  <w:noWrap w:val="0"/>
                  <w:tcMar>
                    <w:top w:w="30" w:type="dxa"/>
                    <w:left w:w="150" w:type="dxa"/>
                    <w:bottom w:w="30" w:type="dxa"/>
                    <w:right w:w="150" w:type="dxa"/>
                  </w:tcMar>
                  <w:vAlign w:val="center"/>
                </w:tcPr>
                <w:p w14:paraId="64E27516">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859" w:type="dxa"/>
                  <w:noWrap w:val="0"/>
                  <w:tcMar>
                    <w:top w:w="30" w:type="dxa"/>
                    <w:left w:w="150" w:type="dxa"/>
                    <w:bottom w:w="30" w:type="dxa"/>
                    <w:right w:w="150" w:type="dxa"/>
                  </w:tcMar>
                  <w:vAlign w:val="center"/>
                </w:tcPr>
                <w:p w14:paraId="3D0CFA17">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838" w:type="dxa"/>
                  <w:noWrap w:val="0"/>
                  <w:tcMar>
                    <w:top w:w="30" w:type="dxa"/>
                    <w:left w:w="150" w:type="dxa"/>
                    <w:bottom w:w="30" w:type="dxa"/>
                    <w:right w:w="150" w:type="dxa"/>
                  </w:tcMar>
                  <w:vAlign w:val="center"/>
                </w:tcPr>
                <w:p w14:paraId="4A28DFEE">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r>
            <w:tr w14:paraId="7EA6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2802EA4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100-500</w:t>
                  </w:r>
                </w:p>
              </w:tc>
              <w:tc>
                <w:tcPr>
                  <w:tcW w:w="832" w:type="dxa"/>
                  <w:noWrap w:val="0"/>
                  <w:tcMar>
                    <w:top w:w="30" w:type="dxa"/>
                    <w:left w:w="150" w:type="dxa"/>
                    <w:bottom w:w="30" w:type="dxa"/>
                    <w:right w:w="150" w:type="dxa"/>
                  </w:tcMar>
                  <w:vAlign w:val="center"/>
                </w:tcPr>
                <w:p w14:paraId="454DA78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859" w:type="dxa"/>
                  <w:noWrap w:val="0"/>
                  <w:tcMar>
                    <w:top w:w="30" w:type="dxa"/>
                    <w:left w:w="150" w:type="dxa"/>
                    <w:bottom w:w="30" w:type="dxa"/>
                    <w:right w:w="150" w:type="dxa"/>
                  </w:tcMar>
                  <w:vAlign w:val="center"/>
                </w:tcPr>
                <w:p w14:paraId="7EAB1184">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0.8%</w:t>
                  </w:r>
                </w:p>
              </w:tc>
              <w:tc>
                <w:tcPr>
                  <w:tcW w:w="838" w:type="dxa"/>
                  <w:noWrap w:val="0"/>
                  <w:tcMar>
                    <w:top w:w="30" w:type="dxa"/>
                    <w:left w:w="150" w:type="dxa"/>
                    <w:bottom w:w="30" w:type="dxa"/>
                    <w:right w:w="150" w:type="dxa"/>
                  </w:tcMar>
                  <w:vAlign w:val="center"/>
                </w:tcPr>
                <w:p w14:paraId="78CF5CA4">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0.7%</w:t>
                  </w:r>
                </w:p>
              </w:tc>
            </w:tr>
            <w:tr w14:paraId="3FAD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27C0754C">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500-1000</w:t>
                  </w:r>
                </w:p>
              </w:tc>
              <w:tc>
                <w:tcPr>
                  <w:tcW w:w="832" w:type="dxa"/>
                  <w:noWrap w:val="0"/>
                  <w:tcMar>
                    <w:top w:w="30" w:type="dxa"/>
                    <w:left w:w="150" w:type="dxa"/>
                    <w:bottom w:w="30" w:type="dxa"/>
                    <w:right w:w="150" w:type="dxa"/>
                  </w:tcMar>
                  <w:vAlign w:val="center"/>
                </w:tcPr>
                <w:p w14:paraId="5F14F2FB">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0.8%</w:t>
                  </w:r>
                </w:p>
              </w:tc>
              <w:tc>
                <w:tcPr>
                  <w:tcW w:w="859" w:type="dxa"/>
                  <w:noWrap w:val="0"/>
                  <w:tcMar>
                    <w:top w:w="30" w:type="dxa"/>
                    <w:left w:w="150" w:type="dxa"/>
                    <w:bottom w:w="30" w:type="dxa"/>
                    <w:right w:w="150" w:type="dxa"/>
                  </w:tcMar>
                  <w:vAlign w:val="center"/>
                </w:tcPr>
                <w:p w14:paraId="5B167B86">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0.45%</w:t>
                  </w:r>
                </w:p>
              </w:tc>
              <w:tc>
                <w:tcPr>
                  <w:tcW w:w="838" w:type="dxa"/>
                  <w:noWrap w:val="0"/>
                  <w:tcMar>
                    <w:top w:w="30" w:type="dxa"/>
                    <w:left w:w="150" w:type="dxa"/>
                    <w:bottom w:w="30" w:type="dxa"/>
                    <w:right w:w="150" w:type="dxa"/>
                  </w:tcMar>
                  <w:vAlign w:val="center"/>
                </w:tcPr>
                <w:p w14:paraId="2B6B28FD">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0.55%</w:t>
                  </w:r>
                </w:p>
              </w:tc>
            </w:tr>
            <w:tr w14:paraId="695C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5A7D557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1000-5000</w:t>
                  </w:r>
                </w:p>
              </w:tc>
              <w:tc>
                <w:tcPr>
                  <w:tcW w:w="832" w:type="dxa"/>
                  <w:noWrap w:val="0"/>
                  <w:tcMar>
                    <w:top w:w="30" w:type="dxa"/>
                    <w:left w:w="150" w:type="dxa"/>
                    <w:bottom w:w="30" w:type="dxa"/>
                    <w:right w:w="150" w:type="dxa"/>
                  </w:tcMar>
                  <w:vAlign w:val="center"/>
                </w:tcPr>
                <w:p w14:paraId="3F2420D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w:t>
                  </w:r>
                </w:p>
              </w:tc>
              <w:tc>
                <w:tcPr>
                  <w:tcW w:w="859" w:type="dxa"/>
                  <w:noWrap w:val="0"/>
                  <w:tcMar>
                    <w:top w:w="30" w:type="dxa"/>
                    <w:left w:w="150" w:type="dxa"/>
                    <w:bottom w:w="30" w:type="dxa"/>
                    <w:right w:w="150" w:type="dxa"/>
                  </w:tcMar>
                  <w:vAlign w:val="center"/>
                </w:tcPr>
                <w:p w14:paraId="63BFF63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w:t>
                  </w:r>
                </w:p>
              </w:tc>
              <w:tc>
                <w:tcPr>
                  <w:tcW w:w="838" w:type="dxa"/>
                  <w:noWrap w:val="0"/>
                  <w:tcMar>
                    <w:top w:w="30" w:type="dxa"/>
                    <w:left w:w="150" w:type="dxa"/>
                    <w:bottom w:w="30" w:type="dxa"/>
                    <w:right w:w="150" w:type="dxa"/>
                  </w:tcMar>
                  <w:vAlign w:val="center"/>
                </w:tcPr>
                <w:p w14:paraId="5575C50B">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0.35%</w:t>
                  </w:r>
                </w:p>
              </w:tc>
            </w:tr>
            <w:tr w14:paraId="3A5B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52957A13">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5000-10000</w:t>
                  </w:r>
                </w:p>
              </w:tc>
              <w:tc>
                <w:tcPr>
                  <w:tcW w:w="832" w:type="dxa"/>
                  <w:noWrap w:val="0"/>
                  <w:tcMar>
                    <w:top w:w="30" w:type="dxa"/>
                    <w:left w:w="150" w:type="dxa"/>
                    <w:bottom w:w="30" w:type="dxa"/>
                    <w:right w:w="150" w:type="dxa"/>
                  </w:tcMar>
                  <w:vAlign w:val="center"/>
                </w:tcPr>
                <w:p w14:paraId="278E7034">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w:t>
                  </w:r>
                </w:p>
              </w:tc>
              <w:tc>
                <w:tcPr>
                  <w:tcW w:w="859" w:type="dxa"/>
                  <w:noWrap w:val="0"/>
                  <w:tcMar>
                    <w:top w:w="30" w:type="dxa"/>
                    <w:left w:w="150" w:type="dxa"/>
                    <w:bottom w:w="30" w:type="dxa"/>
                    <w:right w:w="150" w:type="dxa"/>
                  </w:tcMar>
                  <w:vAlign w:val="center"/>
                </w:tcPr>
                <w:p w14:paraId="57936D17">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w:t>
                  </w:r>
                </w:p>
              </w:tc>
              <w:tc>
                <w:tcPr>
                  <w:tcW w:w="838" w:type="dxa"/>
                  <w:noWrap w:val="0"/>
                  <w:tcMar>
                    <w:top w:w="30" w:type="dxa"/>
                    <w:left w:w="150" w:type="dxa"/>
                    <w:bottom w:w="30" w:type="dxa"/>
                    <w:right w:w="150" w:type="dxa"/>
                  </w:tcMar>
                  <w:vAlign w:val="center"/>
                </w:tcPr>
                <w:p w14:paraId="289EC7F3">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w:t>
                  </w:r>
                </w:p>
              </w:tc>
            </w:tr>
            <w:tr w14:paraId="15B3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noWrap w:val="0"/>
                  <w:tcMar>
                    <w:top w:w="30" w:type="dxa"/>
                    <w:left w:w="150" w:type="dxa"/>
                    <w:bottom w:w="30" w:type="dxa"/>
                    <w:right w:w="150" w:type="dxa"/>
                  </w:tcMar>
                  <w:vAlign w:val="center"/>
                </w:tcPr>
                <w:p w14:paraId="2E2DB3D8">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1亿～5亿</w:t>
                  </w:r>
                </w:p>
              </w:tc>
              <w:tc>
                <w:tcPr>
                  <w:tcW w:w="832" w:type="dxa"/>
                  <w:noWrap w:val="0"/>
                  <w:tcMar>
                    <w:top w:w="30" w:type="dxa"/>
                    <w:left w:w="150" w:type="dxa"/>
                    <w:bottom w:w="30" w:type="dxa"/>
                    <w:right w:w="150" w:type="dxa"/>
                  </w:tcMar>
                  <w:vAlign w:val="center"/>
                </w:tcPr>
                <w:p w14:paraId="59FFBD2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c>
                <w:tcPr>
                  <w:tcW w:w="859" w:type="dxa"/>
                  <w:noWrap w:val="0"/>
                  <w:tcMar>
                    <w:top w:w="30" w:type="dxa"/>
                    <w:left w:w="150" w:type="dxa"/>
                    <w:bottom w:w="30" w:type="dxa"/>
                    <w:right w:w="150" w:type="dxa"/>
                  </w:tcMar>
                  <w:vAlign w:val="center"/>
                </w:tcPr>
                <w:p w14:paraId="436A9DB7">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c>
                <w:tcPr>
                  <w:tcW w:w="838" w:type="dxa"/>
                  <w:noWrap w:val="0"/>
                  <w:tcMar>
                    <w:top w:w="30" w:type="dxa"/>
                    <w:left w:w="150" w:type="dxa"/>
                    <w:bottom w:w="30" w:type="dxa"/>
                    <w:right w:w="150" w:type="dxa"/>
                  </w:tcMar>
                  <w:vAlign w:val="center"/>
                </w:tcPr>
                <w:p w14:paraId="1EE1BAA7">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r>
          </w:tbl>
          <w:p w14:paraId="36763A77">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8"/>
                <w:sz w:val="24"/>
                <w:szCs w:val="24"/>
                <w:highlight w:val="none"/>
                <w:lang w:val="en-US" w:eastAsia="zh-CN"/>
              </w:rPr>
            </w:pPr>
            <w:r>
              <w:rPr>
                <w:rFonts w:hint="eastAsia" w:ascii="宋体" w:hAnsi="宋体" w:cs="宋体"/>
                <w:color w:val="auto"/>
                <w:kern w:val="0"/>
                <w:sz w:val="24"/>
                <w:szCs w:val="24"/>
                <w:highlight w:val="none"/>
                <w:lang w:val="en-US" w:eastAsia="zh-CN"/>
              </w:rPr>
              <w:t>招标代理</w:t>
            </w:r>
            <w:r>
              <w:rPr>
                <w:rFonts w:hint="eastAsia" w:ascii="宋体" w:hAnsi="宋体" w:eastAsia="宋体" w:cs="宋体"/>
                <w:snapToGrid w:val="0"/>
                <w:color w:val="auto"/>
                <w:kern w:val="28"/>
                <w:sz w:val="24"/>
                <w:szCs w:val="24"/>
                <w:highlight w:val="none"/>
                <w:lang w:val="en-US" w:eastAsia="zh-CN"/>
              </w:rPr>
              <w:t>服务费只收现金、银行票汇款、电汇款。</w:t>
            </w:r>
          </w:p>
        </w:tc>
      </w:tr>
    </w:tbl>
    <w:p w14:paraId="7FD14B79">
      <w:pPr>
        <w:snapToGrid w:val="0"/>
        <w:spacing w:line="360" w:lineRule="auto"/>
        <w:jc w:val="center"/>
        <w:rPr>
          <w:rFonts w:ascii="宋体" w:hAnsi="宋体" w:cs="宋体"/>
          <w:b/>
          <w:color w:val="auto"/>
          <w:sz w:val="32"/>
          <w:szCs w:val="20"/>
          <w:highlight w:val="none"/>
        </w:rPr>
        <w:sectPr>
          <w:footerReference r:id="rId6" w:type="first"/>
          <w:footerReference r:id="rId4" w:type="default"/>
          <w:footerReference r:id="rId5" w:type="even"/>
          <w:pgSz w:w="11905" w:h="16838"/>
          <w:pgMar w:top="1134" w:right="1304" w:bottom="1134" w:left="1304" w:header="850" w:footer="850" w:gutter="283"/>
          <w:pgBorders>
            <w:top w:val="none" w:sz="0" w:space="0"/>
            <w:left w:val="none" w:sz="0" w:space="0"/>
            <w:bottom w:val="none" w:sz="0" w:space="0"/>
            <w:right w:val="none" w:sz="0" w:space="0"/>
          </w:pgBorders>
          <w:pgNumType w:fmt="decimal" w:start="1"/>
          <w:cols w:space="0" w:num="1"/>
          <w:titlePg/>
          <w:rtlGutter w:val="0"/>
          <w:docGrid w:linePitch="312" w:charSpace="0"/>
        </w:sectPr>
      </w:pPr>
    </w:p>
    <w:bookmarkEnd w:id="9"/>
    <w:p w14:paraId="120FF0C0">
      <w:pPr>
        <w:pageBreakBefore w:val="0"/>
        <w:kinsoku/>
        <w:wordWrap/>
        <w:overflowPunct/>
        <w:topLinePunct w:val="0"/>
        <w:bidi w:val="0"/>
        <w:adjustRightInd/>
        <w:spacing w:beforeAutospacing="0" w:line="360" w:lineRule="auto"/>
        <w:jc w:val="center"/>
        <w:textAlignment w:val="auto"/>
        <w:outlineLvl w:val="0"/>
        <w:rPr>
          <w:rFonts w:ascii="宋体" w:hAnsi="宋体" w:cs="宋体"/>
          <w:b/>
          <w:color w:val="auto"/>
          <w:sz w:val="32"/>
          <w:szCs w:val="20"/>
          <w:highlight w:val="none"/>
        </w:rPr>
      </w:pPr>
      <w:bookmarkStart w:id="10" w:name="_Toc164416483"/>
      <w:bookmarkStart w:id="11" w:name="第三部分"/>
      <w:r>
        <w:rPr>
          <w:rFonts w:hint="eastAsia" w:ascii="宋体" w:hAnsi="宋体" w:cs="宋体"/>
          <w:b/>
          <w:color w:val="auto"/>
          <w:sz w:val="32"/>
          <w:szCs w:val="20"/>
          <w:highlight w:val="none"/>
        </w:rPr>
        <w:t>一、总则</w:t>
      </w:r>
    </w:p>
    <w:p w14:paraId="64C3E470">
      <w:pPr>
        <w:pageBreakBefore w:val="0"/>
        <w:kinsoku/>
        <w:wordWrap/>
        <w:overflowPunct/>
        <w:topLinePunct w:val="0"/>
        <w:bidi w:val="0"/>
        <w:snapToGrid w:val="0"/>
        <w:spacing w:beforeAutospacing="0" w:line="360" w:lineRule="auto"/>
        <w:ind w:left="0" w:leftChars="0" w:firstLine="482" w:firstLineChars="200"/>
        <w:jc w:val="both"/>
        <w:textAlignment w:val="auto"/>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286F31D">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0C015D">
      <w:pPr>
        <w:pageBreakBefore w:val="0"/>
        <w:numPr>
          <w:ilvl w:val="0"/>
          <w:numId w:val="2"/>
        </w:numPr>
        <w:kinsoku/>
        <w:wordWrap/>
        <w:overflowPunct/>
        <w:topLinePunct w:val="0"/>
        <w:bidi w:val="0"/>
        <w:adjustRightInd/>
        <w:spacing w:beforeAutospacing="0" w:line="360" w:lineRule="auto"/>
        <w:ind w:left="0" w:leftChars="0" w:firstLine="482" w:firstLineChars="200"/>
        <w:jc w:val="both"/>
        <w:textAlignment w:val="auto"/>
        <w:outlineLvl w:val="0"/>
        <w:rPr>
          <w:rFonts w:ascii="宋体" w:hAnsi="宋体" w:cs="宋体"/>
          <w:b/>
          <w:color w:val="auto"/>
          <w:sz w:val="24"/>
          <w:highlight w:val="none"/>
        </w:rPr>
      </w:pPr>
      <w:r>
        <w:rPr>
          <w:rFonts w:hint="eastAsia" w:ascii="宋体" w:hAnsi="宋体" w:cs="宋体"/>
          <w:b/>
          <w:color w:val="auto"/>
          <w:sz w:val="24"/>
          <w:highlight w:val="none"/>
        </w:rPr>
        <w:t>定义</w:t>
      </w:r>
    </w:p>
    <w:p w14:paraId="29A5DB92">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9E92688">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C43D8EF">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B9411AE">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981B1D4">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p>
    <w:p w14:paraId="4F357DFC">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2.6</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50CC0BF">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8DB3885">
      <w:pPr>
        <w:pageBreakBefore w:val="0"/>
        <w:kinsoku/>
        <w:wordWrap/>
        <w:overflowPunct/>
        <w:topLinePunct w:val="0"/>
        <w:bidi w:val="0"/>
        <w:spacing w:beforeAutospacing="0" w:line="360" w:lineRule="auto"/>
        <w:ind w:left="0" w:leftChars="0"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9DE4F9C">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144F452">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3.2 支持绿色发展</w:t>
      </w:r>
    </w:p>
    <w:p w14:paraId="7E2D9136">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b/>
          <w:color w:val="auto"/>
          <w:sz w:val="24"/>
          <w:highlight w:val="none"/>
        </w:rPr>
      </w:pPr>
      <w:r>
        <w:rPr>
          <w:rFonts w:hint="eastAsia" w:ascii="宋体" w:hAnsi="宋体" w:cs="宋体"/>
          <w:color w:val="auto"/>
          <w:sz w:val="24"/>
          <w:highlight w:val="none"/>
        </w:rPr>
        <w:t>3.2.1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F41F42F">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9545A33">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3.2.3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3AAD0F4">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9C8DCEC">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支持中小企业发展</w:t>
      </w:r>
    </w:p>
    <w:p w14:paraId="37277035">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4CE69BA">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5FE4B16">
      <w:pPr>
        <w:pageBreakBefore w:val="0"/>
        <w:widowControl/>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bCs/>
          <w:color w:val="auto"/>
          <w:sz w:val="24"/>
          <w:highlight w:val="none"/>
          <w:lang w:val="en-US" w:eastAsia="zh-CN"/>
        </w:rPr>
        <w:t xml:space="preserve"> </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A671354">
      <w:pPr>
        <w:pageBreakBefore w:val="0"/>
        <w:widowControl/>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DABAE3C">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B0F73F7">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符合《关于促进残疾人就业政府采购政策的通知》（财库〔2017〕141号）规定的条件并提供《残疾人福利性单位声明函》的残疾人福利性单位视同小型、微型企业；</w:t>
      </w:r>
    </w:p>
    <w:p w14:paraId="482B4B76">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8CE387D">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0B286B7">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3.3.7</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中小企业享受扶持政策获得政府采购合同的，小微企业不得将合同分包给大中型企业，中型企业不得将合同分包给大型企业。</w:t>
      </w:r>
    </w:p>
    <w:p w14:paraId="6C551F1C">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lang w:val="en-US" w:eastAsia="zh-CN"/>
        </w:rPr>
        <w:t xml:space="preserve"> </w:t>
      </w:r>
      <w:r>
        <w:rPr>
          <w:rFonts w:hint="eastAsia" w:ascii="宋体" w:hAnsi="宋体" w:cs="宋体"/>
          <w:bCs/>
          <w:color w:val="auto"/>
          <w:sz w:val="24"/>
          <w:highlight w:val="none"/>
        </w:rPr>
        <w:t>支持创新发展</w:t>
      </w:r>
    </w:p>
    <w:p w14:paraId="653ADBC3">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CD7D35B">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9A11397">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平等对待内外资企业和符合条件的破产重整企业</w:t>
      </w:r>
    </w:p>
    <w:p w14:paraId="198370C4">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27E76035">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30EEA0">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供应商询问</w:t>
      </w:r>
    </w:p>
    <w:p w14:paraId="5C16B2A5">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F43714F">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供应商质疑</w:t>
      </w:r>
    </w:p>
    <w:p w14:paraId="374A34C6">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w:t>
      </w:r>
      <w:r>
        <w:rPr>
          <w:rFonts w:hint="eastAsia" w:hAnsi="宋体" w:cs="宋体"/>
          <w:color w:val="auto"/>
          <w:sz w:val="24"/>
          <w:highlight w:val="none"/>
          <w:lang w:val="en-US" w:eastAsia="zh-CN"/>
        </w:rPr>
        <w:t xml:space="preserve"> </w:t>
      </w:r>
      <w:r>
        <w:rPr>
          <w:rFonts w:hint="eastAsia" w:hAnsi="宋体" w:cs="宋体"/>
          <w:color w:val="auto"/>
          <w:sz w:val="24"/>
          <w:highlight w:val="none"/>
        </w:rPr>
        <w:t>提出质疑的供应商应当是参与所质疑项目采购活动的供应商。潜在供应商已依法获取其可质疑的招标文件的，可以对该文件提出质疑。</w:t>
      </w:r>
    </w:p>
    <w:p w14:paraId="47BB86A3">
      <w:pPr>
        <w:pStyle w:val="33"/>
        <w:pageBreakBefore w:val="0"/>
        <w:kinsoku/>
        <w:wordWrap/>
        <w:overflowPunct/>
        <w:topLinePunct w:val="0"/>
        <w:bidi w:val="0"/>
        <w:spacing w:beforeAutospacing="0" w:line="360" w:lineRule="auto"/>
        <w:ind w:left="0" w:leftChars="0" w:firstLine="480" w:firstLineChars="200"/>
        <w:jc w:val="both"/>
        <w:textAlignment w:val="auto"/>
        <w:rPr>
          <w:rFonts w:hint="eastAsia" w:hAnsi="宋体" w:eastAsia="宋体" w:cs="宋体"/>
          <w:color w:val="auto"/>
          <w:sz w:val="24"/>
          <w:highlight w:val="none"/>
          <w:lang w:eastAsia="zh-CN"/>
        </w:rPr>
      </w:pPr>
      <w:r>
        <w:rPr>
          <w:rFonts w:hint="eastAsia" w:hAnsi="宋体" w:cs="宋体"/>
          <w:color w:val="auto"/>
          <w:kern w:val="0"/>
          <w:sz w:val="24"/>
          <w:highlight w:val="none"/>
          <w:lang w:val="zh-CN"/>
        </w:rPr>
        <w:t>4.3</w:t>
      </w:r>
      <w:r>
        <w:rPr>
          <w:rFonts w:hint="eastAsia" w:hAnsi="宋体" w:cs="宋体"/>
          <w:color w:val="auto"/>
          <w:sz w:val="24"/>
          <w:highlight w:val="none"/>
        </w:rPr>
        <w:t>.2</w:t>
      </w:r>
      <w:r>
        <w:rPr>
          <w:rFonts w:hint="eastAsia" w:hAnsi="宋体" w:cs="宋体"/>
          <w:color w:val="auto"/>
          <w:sz w:val="24"/>
          <w:highlight w:val="none"/>
          <w:lang w:val="en-US" w:eastAsia="zh-CN"/>
        </w:rPr>
        <w:t xml:space="preserve"> </w:t>
      </w:r>
      <w:r>
        <w:rPr>
          <w:rFonts w:hint="eastAsia" w:hAnsi="宋体" w:cs="宋体"/>
          <w:color w:val="auto"/>
          <w:sz w:val="24"/>
          <w:highlight w:val="none"/>
        </w:rPr>
        <w:t>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r>
        <w:rPr>
          <w:rFonts w:hint="eastAsia" w:hAnsi="宋体" w:cs="宋体"/>
          <w:color w:val="auto"/>
          <w:sz w:val="24"/>
          <w:highlight w:val="none"/>
          <w:lang w:eastAsia="zh-CN"/>
        </w:rPr>
        <w:t>。</w:t>
      </w:r>
    </w:p>
    <w:p w14:paraId="7A42BF5C">
      <w:pPr>
        <w:pStyle w:val="5"/>
        <w:pageBreakBefore w:val="0"/>
        <w:kinsoku/>
        <w:wordWrap/>
        <w:overflowPunct/>
        <w:topLinePunct w:val="0"/>
        <w:bidi w:val="0"/>
        <w:spacing w:beforeAutospacing="0" w:line="360" w:lineRule="auto"/>
        <w:ind w:left="0" w:leftChars="0" w:firstLine="480" w:firstLineChars="200"/>
        <w:jc w:val="both"/>
        <w:textAlignment w:val="auto"/>
        <w:rPr>
          <w:rFonts w:hAnsi="宋体" w:cs="宋体"/>
          <w:snapToGrid/>
          <w:color w:val="auto"/>
          <w:kern w:val="2"/>
          <w:sz w:val="24"/>
          <w:highlight w:val="none"/>
        </w:rPr>
      </w:pPr>
      <w:r>
        <w:rPr>
          <w:rFonts w:hint="eastAsia" w:hAnsi="宋体" w:cs="宋体"/>
          <w:snapToGrid/>
          <w:color w:val="auto"/>
          <w:kern w:val="2"/>
          <w:sz w:val="24"/>
          <w:highlight w:val="none"/>
        </w:rPr>
        <w:t>4.3.2.1</w:t>
      </w:r>
      <w:r>
        <w:rPr>
          <w:rFonts w:hint="eastAsia" w:hAnsi="宋体" w:cs="宋体"/>
          <w:snapToGrid/>
          <w:color w:val="auto"/>
          <w:kern w:val="2"/>
          <w:sz w:val="24"/>
          <w:highlight w:val="none"/>
          <w:lang w:val="en-US" w:eastAsia="zh-CN"/>
        </w:rPr>
        <w:t xml:space="preserve"> </w:t>
      </w:r>
      <w:r>
        <w:rPr>
          <w:rFonts w:hint="eastAsia" w:hAnsi="宋体" w:cs="宋体"/>
          <w:snapToGrid/>
          <w:color w:val="auto"/>
          <w:kern w:val="2"/>
          <w:sz w:val="24"/>
          <w:highlight w:val="none"/>
        </w:rPr>
        <w:t>对招标文件提出质疑的，质疑期限为供应商获得招标文件之日或者招标文件公告期限届满之日起计算。</w:t>
      </w:r>
    </w:p>
    <w:p w14:paraId="2895B422">
      <w:pPr>
        <w:pStyle w:val="33"/>
        <w:pageBreakBefore w:val="0"/>
        <w:kinsoku/>
        <w:wordWrap/>
        <w:overflowPunct/>
        <w:topLinePunct w:val="0"/>
        <w:bidi w:val="0"/>
        <w:spacing w:beforeAutospacing="0" w:line="360" w:lineRule="auto"/>
        <w:ind w:left="479" w:leftChars="228" w:firstLine="0" w:firstLineChars="0"/>
        <w:jc w:val="both"/>
        <w:textAlignment w:val="auto"/>
        <w:rPr>
          <w:rFonts w:hAnsi="宋体" w:cs="宋体"/>
          <w:color w:val="auto"/>
          <w:sz w:val="24"/>
          <w:highlight w:val="none"/>
        </w:rPr>
      </w:pPr>
      <w:r>
        <w:rPr>
          <w:rFonts w:hint="eastAsia" w:hAnsi="宋体" w:cs="宋体"/>
          <w:color w:val="auto"/>
          <w:sz w:val="24"/>
          <w:highlight w:val="none"/>
        </w:rPr>
        <w:t>4.3.2.2</w:t>
      </w:r>
      <w:r>
        <w:rPr>
          <w:rFonts w:hint="eastAsia" w:hAnsi="宋体" w:cs="宋体"/>
          <w:color w:val="auto"/>
          <w:sz w:val="24"/>
          <w:highlight w:val="none"/>
          <w:lang w:val="en-US" w:eastAsia="zh-CN"/>
        </w:rPr>
        <w:t xml:space="preserve"> </w:t>
      </w:r>
      <w:r>
        <w:rPr>
          <w:rFonts w:hint="eastAsia" w:hAnsi="宋体" w:cs="宋体"/>
          <w:color w:val="auto"/>
          <w:sz w:val="24"/>
          <w:highlight w:val="none"/>
        </w:rPr>
        <w:t>对采购过程提出质疑的，质疑期限为各采购程序环节结束之日起计算。4.3.2.3</w:t>
      </w:r>
      <w:r>
        <w:rPr>
          <w:rFonts w:hint="eastAsia" w:hAnsi="宋体" w:cs="宋体"/>
          <w:color w:val="auto"/>
          <w:sz w:val="24"/>
          <w:highlight w:val="none"/>
          <w:lang w:val="en-US" w:eastAsia="zh-CN"/>
        </w:rPr>
        <w:t xml:space="preserve"> </w:t>
      </w:r>
      <w:r>
        <w:rPr>
          <w:rFonts w:hint="eastAsia" w:hAnsi="宋体" w:cs="宋体"/>
          <w:color w:val="auto"/>
          <w:sz w:val="24"/>
          <w:highlight w:val="none"/>
        </w:rPr>
        <w:t>对采购结果提出质疑的，质疑期限自采购结果公告期限届满之日起计算。</w:t>
      </w:r>
    </w:p>
    <w:p w14:paraId="784E6AAA">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kern w:val="0"/>
          <w:sz w:val="24"/>
          <w:highlight w:val="none"/>
          <w:lang w:val="en-US" w:eastAsia="zh-CN"/>
        </w:rPr>
        <w:t xml:space="preserve"> </w:t>
      </w:r>
      <w:r>
        <w:rPr>
          <w:rFonts w:hint="eastAsia" w:hAnsi="宋体" w:cs="宋体"/>
          <w:color w:val="auto"/>
          <w:sz w:val="24"/>
          <w:highlight w:val="none"/>
        </w:rPr>
        <w:t>供应商提出质疑应当提交质疑函和必要的证明材料。质疑函应当包括下列内容：</w:t>
      </w:r>
    </w:p>
    <w:p w14:paraId="497DED75">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E80ED7B">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8683DB0">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E59A14">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EF8B6E2">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E192A24">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4.3.3.6</w:t>
      </w:r>
      <w:r>
        <w:rPr>
          <w:rFonts w:hint="eastAsia" w:hAnsi="宋体" w:cs="宋体"/>
          <w:color w:val="auto"/>
          <w:kern w:val="0"/>
          <w:sz w:val="24"/>
          <w:highlight w:val="none"/>
          <w:lang w:val="en-US" w:eastAsia="zh-CN"/>
        </w:rPr>
        <w:t xml:space="preserve"> </w:t>
      </w:r>
      <w:r>
        <w:rPr>
          <w:rFonts w:hint="eastAsia" w:hAnsi="宋体" w:cs="宋体"/>
          <w:color w:val="auto"/>
          <w:kern w:val="0"/>
          <w:sz w:val="24"/>
          <w:highlight w:val="none"/>
          <w:lang w:val="zh-CN"/>
        </w:rPr>
        <w:t>提出质疑的日期。</w:t>
      </w:r>
    </w:p>
    <w:p w14:paraId="6BE77E33">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EFBF726">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质疑函范本及制作说明详见附件</w:t>
      </w:r>
      <w:r>
        <w:rPr>
          <w:rFonts w:hint="eastAsia"/>
          <w:color w:val="auto"/>
          <w:highlight w:val="none"/>
          <w:lang w:val="en-US" w:eastAsia="zh-CN"/>
        </w:rPr>
        <w:t>1</w:t>
      </w:r>
      <w:r>
        <w:rPr>
          <w:rFonts w:hint="eastAsia"/>
          <w:color w:val="auto"/>
          <w:highlight w:val="none"/>
        </w:rPr>
        <w:t>。</w:t>
      </w:r>
    </w:p>
    <w:p w14:paraId="3942FD56">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4.3.4</w:t>
      </w:r>
      <w:r>
        <w:rPr>
          <w:rFonts w:hint="eastAsia"/>
          <w:color w:val="auto"/>
          <w:highlight w:val="none"/>
          <w:lang w:val="en-US" w:eastAsia="zh-CN"/>
        </w:rPr>
        <w:t xml:space="preserve"> </w:t>
      </w:r>
      <w:r>
        <w:rPr>
          <w:rFonts w:hint="eastAsia"/>
          <w:color w:val="auto"/>
          <w:highlight w:val="none"/>
        </w:rPr>
        <w:t>对同一采购程序环节的质疑，供应商须在法定质疑期内一次性提出。</w:t>
      </w:r>
    </w:p>
    <w:p w14:paraId="4C70F05B">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lang w:val="zh-CN"/>
        </w:rPr>
        <w:t>4.3</w:t>
      </w:r>
      <w:r>
        <w:rPr>
          <w:rFonts w:hint="eastAsia"/>
          <w:color w:val="auto"/>
          <w:highlight w:val="none"/>
        </w:rPr>
        <w:t>.5</w:t>
      </w:r>
      <w:r>
        <w:rPr>
          <w:rFonts w:hint="eastAsia"/>
          <w:color w:val="auto"/>
          <w:highlight w:val="none"/>
          <w:lang w:val="en-US" w:eastAsia="zh-CN"/>
        </w:rPr>
        <w:t xml:space="preserve"> </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号）</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0AB72FB8">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lang w:val="zh-CN"/>
        </w:rPr>
        <w:t>4.3</w:t>
      </w:r>
      <w:r>
        <w:rPr>
          <w:rFonts w:hint="eastAsia"/>
          <w:color w:val="auto"/>
          <w:highlight w:val="none"/>
        </w:rPr>
        <w:t>.6</w:t>
      </w:r>
      <w:r>
        <w:rPr>
          <w:rFonts w:hint="eastAsia"/>
          <w:color w:val="auto"/>
          <w:highlight w:val="none"/>
          <w:lang w:val="en-US" w:eastAsia="zh-CN"/>
        </w:rPr>
        <w:t xml:space="preserve"> </w:t>
      </w:r>
      <w:r>
        <w:rPr>
          <w:rFonts w:hint="eastAsia"/>
          <w:color w:val="auto"/>
          <w:highlight w:val="none"/>
        </w:rPr>
        <w:t>询问或者质疑事项可能影响采购结果的，采购人应当暂停签订合同，已经签订合同的，应当中止履行合同。</w:t>
      </w:r>
    </w:p>
    <w:p w14:paraId="166BBB9F">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lang w:val="zh-CN"/>
        </w:rPr>
      </w:pPr>
      <w:r>
        <w:rPr>
          <w:rFonts w:hint="eastAsia"/>
          <w:color w:val="auto"/>
          <w:highlight w:val="none"/>
          <w:lang w:val="zh-CN"/>
        </w:rPr>
        <w:t>4.4</w:t>
      </w:r>
      <w:r>
        <w:rPr>
          <w:rFonts w:hint="eastAsia"/>
          <w:color w:val="auto"/>
          <w:highlight w:val="none"/>
          <w:lang w:val="en-US" w:eastAsia="zh-CN"/>
        </w:rPr>
        <w:t xml:space="preserve"> </w:t>
      </w:r>
      <w:r>
        <w:rPr>
          <w:rFonts w:hint="eastAsia"/>
          <w:color w:val="auto"/>
          <w:highlight w:val="none"/>
          <w:lang w:val="zh-CN"/>
        </w:rPr>
        <w:t>供应商投诉</w:t>
      </w:r>
    </w:p>
    <w:p w14:paraId="263F895F">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4.4.1</w:t>
      </w:r>
      <w:r>
        <w:rPr>
          <w:rFonts w:hint="eastAsia"/>
          <w:color w:val="auto"/>
          <w:highlight w:val="none"/>
          <w:lang w:val="en-US" w:eastAsia="zh-CN"/>
        </w:rPr>
        <w:t xml:space="preserve"> </w:t>
      </w:r>
      <w:r>
        <w:rPr>
          <w:rFonts w:hint="eastAsia"/>
          <w:color w:val="auto"/>
          <w:highlight w:val="none"/>
        </w:rPr>
        <w:t>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995FECA">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lang w:val="en-US" w:eastAsia="zh-CN"/>
        </w:rPr>
        <w:t xml:space="preserve"> </w:t>
      </w:r>
      <w:r>
        <w:rPr>
          <w:rFonts w:hint="eastAsia"/>
          <w:color w:val="auto"/>
          <w:highlight w:val="none"/>
        </w:rPr>
        <w:t>供应商投诉的事项不得超出已质疑事项的范围，基于质疑答复内容提出的投诉事项除外。</w:t>
      </w:r>
    </w:p>
    <w:p w14:paraId="2B69F7DD">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4.4.3</w:t>
      </w:r>
      <w:r>
        <w:rPr>
          <w:rFonts w:hint="eastAsia"/>
          <w:color w:val="auto"/>
          <w:highlight w:val="none"/>
          <w:lang w:val="en-US" w:eastAsia="zh-CN"/>
        </w:rPr>
        <w:t xml:space="preserve"> </w:t>
      </w:r>
      <w:r>
        <w:rPr>
          <w:rFonts w:hint="eastAsia"/>
          <w:color w:val="auto"/>
          <w:highlight w:val="none"/>
        </w:rPr>
        <w:t>供应商投诉应当有明确的请求和必要的证明材料。</w:t>
      </w:r>
    </w:p>
    <w:p w14:paraId="7999F3D6">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4.4.4</w:t>
      </w:r>
      <w:r>
        <w:rPr>
          <w:rFonts w:hint="eastAsia"/>
          <w:color w:val="auto"/>
          <w:highlight w:val="none"/>
          <w:lang w:val="en-US" w:eastAsia="zh-CN"/>
        </w:rPr>
        <w:t xml:space="preserve"> </w:t>
      </w:r>
      <w:r>
        <w:rPr>
          <w:rFonts w:hint="eastAsia"/>
          <w:color w:val="auto"/>
          <w:highlight w:val="none"/>
        </w:rPr>
        <w:t>以联合体形式参加政府采购活动的，其投诉应当由组成联合体的所有供应商共同提出。</w:t>
      </w:r>
    </w:p>
    <w:p w14:paraId="2C27D44A">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4.4.5</w:t>
      </w:r>
      <w:r>
        <w:rPr>
          <w:rFonts w:hint="eastAsia"/>
          <w:color w:val="auto"/>
          <w:highlight w:val="none"/>
          <w:lang w:val="en-US" w:eastAsia="zh-CN"/>
        </w:rPr>
        <w:t xml:space="preserve"> </w:t>
      </w:r>
      <w:r>
        <w:rPr>
          <w:rFonts w:hint="eastAsia"/>
          <w:color w:val="auto"/>
          <w:highlight w:val="none"/>
        </w:rPr>
        <w:t>投诉材料可寄送至</w:t>
      </w:r>
      <w:r>
        <w:rPr>
          <w:rFonts w:hint="eastAsia"/>
          <w:color w:val="auto"/>
          <w:highlight w:val="none"/>
          <w:lang w:eastAsia="zh-CN"/>
        </w:rPr>
        <w:t>：</w:t>
      </w:r>
      <w:r>
        <w:rPr>
          <w:rFonts w:hint="eastAsia" w:ascii="宋体" w:hAnsi="宋体" w:cs="宋体"/>
          <w:color w:val="auto"/>
          <w:sz w:val="24"/>
          <w:highlight w:val="none"/>
        </w:rPr>
        <w:t>宁海县政府采购管理办公室</w:t>
      </w:r>
      <w:r>
        <w:rPr>
          <w:rFonts w:hint="eastAsia"/>
          <w:color w:val="auto"/>
          <w:highlight w:val="none"/>
        </w:rPr>
        <w:t>，地址：</w:t>
      </w:r>
      <w:r>
        <w:rPr>
          <w:rFonts w:hint="eastAsia" w:ascii="宋体" w:hAnsi="宋体" w:cs="宋体"/>
          <w:color w:val="auto"/>
          <w:sz w:val="24"/>
          <w:highlight w:val="none"/>
        </w:rPr>
        <w:t>宁海县跃龙街道桃源中路218号</w:t>
      </w:r>
      <w:r>
        <w:rPr>
          <w:rFonts w:hint="eastAsia"/>
          <w:color w:val="auto"/>
          <w:highlight w:val="none"/>
        </w:rPr>
        <w:t>，收件人：</w:t>
      </w:r>
      <w:r>
        <w:rPr>
          <w:rFonts w:hint="eastAsia" w:ascii="宋体" w:hAnsi="宋体" w:cs="宋体"/>
          <w:color w:val="auto"/>
          <w:sz w:val="24"/>
          <w:highlight w:val="none"/>
        </w:rPr>
        <w:t>王老师</w:t>
      </w:r>
      <w:r>
        <w:rPr>
          <w:rFonts w:hint="eastAsia"/>
          <w:color w:val="auto"/>
          <w:highlight w:val="none"/>
        </w:rPr>
        <w:t>，电话</w:t>
      </w:r>
      <w:r>
        <w:rPr>
          <w:rFonts w:hint="eastAsia"/>
          <w:color w:val="auto"/>
          <w:highlight w:val="none"/>
          <w:lang w:val="en-US" w:eastAsia="zh-CN"/>
        </w:rPr>
        <w:t>：</w:t>
      </w:r>
      <w:r>
        <w:rPr>
          <w:rFonts w:hint="eastAsia" w:ascii="宋体" w:hAnsi="宋体" w:cs="宋体"/>
          <w:color w:val="auto"/>
          <w:sz w:val="24"/>
          <w:highlight w:val="none"/>
        </w:rPr>
        <w:t>0574-65265668</w:t>
      </w:r>
      <w:r>
        <w:rPr>
          <w:rFonts w:hint="eastAsia"/>
          <w:color w:val="auto"/>
          <w:highlight w:val="none"/>
        </w:rPr>
        <w:t>。</w:t>
      </w:r>
    </w:p>
    <w:p w14:paraId="3AAAB992">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rFonts w:hint="eastAsia"/>
          <w:color w:val="auto"/>
          <w:highlight w:val="none"/>
        </w:rPr>
      </w:pPr>
      <w:r>
        <w:rPr>
          <w:rFonts w:hint="eastAsia"/>
          <w:color w:val="auto"/>
          <w:highlight w:val="none"/>
        </w:rPr>
        <w:t>投诉书范本及制作说明详见附件</w:t>
      </w:r>
      <w:r>
        <w:rPr>
          <w:rFonts w:hint="eastAsia"/>
          <w:color w:val="auto"/>
          <w:highlight w:val="none"/>
          <w:lang w:val="en-US" w:eastAsia="zh-CN"/>
        </w:rPr>
        <w:t>2</w:t>
      </w:r>
      <w:r>
        <w:rPr>
          <w:rFonts w:hint="eastAsia"/>
          <w:color w:val="auto"/>
          <w:highlight w:val="none"/>
        </w:rPr>
        <w:t>。</w:t>
      </w:r>
    </w:p>
    <w:p w14:paraId="5E502E26">
      <w:pPr>
        <w:pStyle w:val="132"/>
        <w:pageBreakBefore w:val="0"/>
        <w:kinsoku/>
        <w:wordWrap/>
        <w:overflowPunct/>
        <w:topLinePunct w:val="0"/>
        <w:bidi w:val="0"/>
        <w:snapToGrid w:val="0"/>
        <w:spacing w:before="0" w:beforeAutospacing="0" w:line="360" w:lineRule="auto"/>
        <w:ind w:left="0" w:leftChars="0" w:firstLine="360" w:firstLineChars="200"/>
        <w:jc w:val="both"/>
        <w:textAlignment w:val="auto"/>
        <w:rPr>
          <w:rFonts w:ascii="宋体" w:hAnsi="宋体" w:cs="宋体"/>
          <w:color w:val="auto"/>
          <w:sz w:val="18"/>
          <w:szCs w:val="18"/>
          <w:highlight w:val="none"/>
        </w:rPr>
      </w:pPr>
    </w:p>
    <w:p w14:paraId="7351F45D">
      <w:pPr>
        <w:pageBreakBefore w:val="0"/>
        <w:kinsoku/>
        <w:wordWrap/>
        <w:overflowPunct/>
        <w:topLinePunct w:val="0"/>
        <w:bidi w:val="0"/>
        <w:adjustRightInd/>
        <w:spacing w:beforeAutospacing="0" w:line="360" w:lineRule="auto"/>
        <w:jc w:val="center"/>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3CADE74B">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082E0882">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991EB08">
      <w:pPr>
        <w:pStyle w:val="33"/>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5.1.1招标公告；</w:t>
      </w:r>
    </w:p>
    <w:p w14:paraId="07286915">
      <w:pPr>
        <w:pStyle w:val="33"/>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5.1.2投标人须知；</w:t>
      </w:r>
    </w:p>
    <w:p w14:paraId="0FEDC9CB">
      <w:pPr>
        <w:pStyle w:val="33"/>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5.1.3采购需求；</w:t>
      </w:r>
    </w:p>
    <w:p w14:paraId="082BD83E">
      <w:pPr>
        <w:pStyle w:val="33"/>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5.1.4评标办法；</w:t>
      </w:r>
    </w:p>
    <w:p w14:paraId="309BD848">
      <w:pPr>
        <w:pStyle w:val="33"/>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5.1.5拟签订的合同文本；</w:t>
      </w:r>
    </w:p>
    <w:p w14:paraId="0D2081DF">
      <w:pPr>
        <w:pStyle w:val="33"/>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D44C8C3">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EAE67D2">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AB0DEA2">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B4D9137">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6D6D513">
      <w:pPr>
        <w:pageBreakBefore w:val="0"/>
        <w:kinsoku/>
        <w:wordWrap/>
        <w:overflowPunct/>
        <w:topLinePunct w:val="0"/>
        <w:bidi w:val="0"/>
        <w:adjustRightInd/>
        <w:spacing w:beforeAutospacing="0" w:line="360" w:lineRule="auto"/>
        <w:ind w:left="0" w:leftChars="0" w:firstLine="602" w:firstLineChars="200"/>
        <w:jc w:val="both"/>
        <w:textAlignment w:val="auto"/>
        <w:outlineLvl w:val="0"/>
        <w:rPr>
          <w:rFonts w:hint="eastAsia" w:ascii="宋体" w:hAnsi="宋体" w:cs="宋体"/>
          <w:b/>
          <w:color w:val="auto"/>
          <w:sz w:val="30"/>
          <w:szCs w:val="20"/>
          <w:highlight w:val="none"/>
        </w:rPr>
      </w:pPr>
    </w:p>
    <w:p w14:paraId="0F403787">
      <w:pPr>
        <w:pageBreakBefore w:val="0"/>
        <w:kinsoku/>
        <w:wordWrap/>
        <w:overflowPunct/>
        <w:topLinePunct w:val="0"/>
        <w:bidi w:val="0"/>
        <w:adjustRightInd/>
        <w:spacing w:beforeAutospacing="0" w:line="360" w:lineRule="auto"/>
        <w:jc w:val="center"/>
        <w:textAlignment w:val="auto"/>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B222C66">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A8A72CE">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D4F589F">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162825F">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81E48C6">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Cs w:val="24"/>
          <w:highlight w:val="none"/>
        </w:rPr>
      </w:pPr>
      <w:r>
        <w:rPr>
          <w:rFonts w:hint="eastAsia" w:hAnsi="宋体" w:cs="宋体"/>
          <w:b/>
          <w:color w:val="auto"/>
          <w:kern w:val="28"/>
          <w:sz w:val="24"/>
          <w:szCs w:val="24"/>
          <w:highlight w:val="none"/>
        </w:rPr>
        <w:t>9.投标保证金</w:t>
      </w:r>
    </w:p>
    <w:p w14:paraId="37F1C3C1">
      <w:pPr>
        <w:pStyle w:val="5"/>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sz w:val="24"/>
          <w:highlight w:val="none"/>
        </w:rPr>
      </w:pPr>
      <w:r>
        <w:rPr>
          <w:rFonts w:hint="eastAsia" w:hAnsi="宋体" w:cs="宋体"/>
          <w:color w:val="auto"/>
          <w:sz w:val="24"/>
          <w:highlight w:val="none"/>
        </w:rPr>
        <w:t>本项目不需缴纳投标保证金。</w:t>
      </w:r>
    </w:p>
    <w:p w14:paraId="61F6D06D">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8BF0793">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6D88DD9">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103C486">
      <w:pPr>
        <w:pageBreakBefore w:val="0"/>
        <w:kinsoku/>
        <w:wordWrap/>
        <w:overflowPunct/>
        <w:topLinePunct w:val="0"/>
        <w:bidi w:val="0"/>
        <w:snapToGrid w:val="0"/>
        <w:spacing w:beforeAutospacing="0" w:line="360" w:lineRule="auto"/>
        <w:ind w:left="0" w:leftChars="0" w:firstLine="482" w:firstLineChars="200"/>
        <w:jc w:val="both"/>
        <w:textAlignment w:val="auto"/>
        <w:rPr>
          <w:rFonts w:ascii="宋体" w:hAnsi="宋体" w:cs="宋体"/>
          <w:b/>
          <w:bCs/>
          <w:color w:val="auto"/>
          <w:sz w:val="24"/>
          <w:highlight w:val="none"/>
        </w:rPr>
      </w:pPr>
      <w:r>
        <w:rPr>
          <w:rFonts w:hint="eastAsia" w:ascii="宋体" w:hAnsi="宋体" w:cs="宋体"/>
          <w:b/>
          <w:bCs/>
          <w:color w:val="auto"/>
          <w:sz w:val="24"/>
          <w:highlight w:val="none"/>
        </w:rPr>
        <w:t>11.1资格文件：</w:t>
      </w:r>
    </w:p>
    <w:p w14:paraId="111A565B">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11.1.1符合参加政府采购活动应当具备的一般条件的承诺函；</w:t>
      </w:r>
    </w:p>
    <w:p w14:paraId="57E82EE9">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11.1.2联合协议（如果有）；</w:t>
      </w:r>
    </w:p>
    <w:p w14:paraId="308FA161">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11.1.3落实政府采购政策需满足的资格要求（如果有）；</w:t>
      </w:r>
    </w:p>
    <w:p w14:paraId="456D2FDC">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11.1.4本项目的特定资格要求（如果有）；</w:t>
      </w:r>
    </w:p>
    <w:p w14:paraId="5526DB99">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11.1.5</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p>
    <w:p w14:paraId="08FFA90F">
      <w:pPr>
        <w:pageBreakBefore w:val="0"/>
        <w:kinsoku/>
        <w:wordWrap/>
        <w:overflowPunct/>
        <w:topLinePunct w:val="0"/>
        <w:bidi w:val="0"/>
        <w:snapToGrid w:val="0"/>
        <w:spacing w:beforeAutospacing="0" w:line="360" w:lineRule="auto"/>
        <w:ind w:left="0" w:leftChars="0" w:firstLine="480" w:firstLineChars="200"/>
        <w:jc w:val="both"/>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11.1.6</w:t>
      </w:r>
      <w:r>
        <w:rPr>
          <w:rFonts w:hint="eastAsia" w:ascii="宋体" w:hAnsi="宋体" w:cs="宋体"/>
          <w:color w:val="auto"/>
          <w:sz w:val="24"/>
          <w:highlight w:val="none"/>
        </w:rPr>
        <w:t>残疾人福利性单位声明函（如果有）</w:t>
      </w:r>
      <w:r>
        <w:rPr>
          <w:rFonts w:hint="eastAsia" w:ascii="宋体" w:hAnsi="宋体" w:cs="宋体"/>
          <w:color w:val="auto"/>
          <w:sz w:val="24"/>
          <w:highlight w:val="none"/>
          <w:lang w:eastAsia="zh-CN"/>
        </w:rPr>
        <w:t>。</w:t>
      </w:r>
    </w:p>
    <w:p w14:paraId="4A972AC0">
      <w:pPr>
        <w:pageBreakBefore w:val="0"/>
        <w:kinsoku/>
        <w:wordWrap/>
        <w:overflowPunct/>
        <w:topLinePunct w:val="0"/>
        <w:bidi w:val="0"/>
        <w:snapToGrid w:val="0"/>
        <w:spacing w:beforeAutospacing="0" w:line="360" w:lineRule="auto"/>
        <w:ind w:left="0" w:leftChars="0" w:firstLine="482" w:firstLineChars="200"/>
        <w:jc w:val="both"/>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14:paraId="3E8D18C9">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11.2.1投标函；</w:t>
      </w:r>
    </w:p>
    <w:p w14:paraId="584EB0A3">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65A85CF">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3E6BADBB">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B0463D2">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w:t>
      </w:r>
      <w:r>
        <w:rPr>
          <w:rFonts w:hint="eastAsia" w:ascii="宋体" w:hAnsi="宋体" w:eastAsia="宋体" w:cs="宋体"/>
          <w:color w:val="auto"/>
          <w:sz w:val="24"/>
          <w:highlight w:val="none"/>
        </w:rPr>
        <w:t>准相应的商务技术资料；</w:t>
      </w:r>
    </w:p>
    <w:p w14:paraId="1FEC9A0A">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14:paraId="6A8B20D3">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r>
        <w:rPr>
          <w:rFonts w:hint="eastAsia" w:ascii="宋体" w:hAnsi="宋体" w:cs="宋体"/>
          <w:color w:val="auto"/>
          <w:sz w:val="24"/>
          <w:highlight w:val="none"/>
          <w:lang w:val="zh-CN"/>
        </w:rPr>
        <w:t>。</w:t>
      </w:r>
    </w:p>
    <w:p w14:paraId="4713BE3B">
      <w:pPr>
        <w:pageBreakBefore w:val="0"/>
        <w:kinsoku/>
        <w:wordWrap/>
        <w:overflowPunct/>
        <w:topLinePunct w:val="0"/>
        <w:bidi w:val="0"/>
        <w:snapToGrid w:val="0"/>
        <w:spacing w:beforeAutospacing="0" w:line="360" w:lineRule="auto"/>
        <w:ind w:left="0" w:leftChars="0" w:firstLine="482" w:firstLineChars="200"/>
        <w:jc w:val="both"/>
        <w:textAlignment w:val="auto"/>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601E1063">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11.3.1开标一览表（报价表）</w:t>
      </w:r>
      <w:r>
        <w:rPr>
          <w:rFonts w:hint="eastAsia" w:ascii="宋体" w:hAnsi="宋体" w:cs="宋体"/>
          <w:color w:val="auto"/>
          <w:sz w:val="24"/>
          <w:highlight w:val="none"/>
          <w:lang w:eastAsia="zh-CN"/>
        </w:rPr>
        <w:t>。</w:t>
      </w:r>
    </w:p>
    <w:p w14:paraId="5809E99A">
      <w:pPr>
        <w:pageBreakBefore w:val="0"/>
        <w:kinsoku/>
        <w:wordWrap/>
        <w:overflowPunct/>
        <w:topLinePunct w:val="0"/>
        <w:bidi w:val="0"/>
        <w:spacing w:beforeAutospacing="0" w:line="360" w:lineRule="auto"/>
        <w:ind w:left="0" w:leftChars="0"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D36BF9B">
      <w:pPr>
        <w:pageBreakBefore w:val="0"/>
        <w:kinsoku/>
        <w:wordWrap/>
        <w:overflowPunct/>
        <w:topLinePunct w:val="0"/>
        <w:bidi w:val="0"/>
        <w:spacing w:beforeAutospacing="0" w:line="360" w:lineRule="auto"/>
        <w:ind w:left="0" w:leftChars="0" w:firstLine="482" w:firstLineChars="200"/>
        <w:jc w:val="both"/>
        <w:textAlignment w:val="auto"/>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69C7BC9E">
      <w:pPr>
        <w:pStyle w:val="132"/>
        <w:pageBreakBefore w:val="0"/>
        <w:kinsoku/>
        <w:wordWrap/>
        <w:overflowPunct/>
        <w:topLinePunct w:val="0"/>
        <w:bidi w:val="0"/>
        <w:snapToGrid w:val="0"/>
        <w:spacing w:before="0" w:beforeAutospacing="0" w:line="360" w:lineRule="auto"/>
        <w:ind w:left="0" w:leftChars="0" w:firstLine="482" w:firstLineChars="200"/>
        <w:jc w:val="both"/>
        <w:textAlignment w:val="auto"/>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F88A098">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7F4E46F">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DCEB1D9">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46A61F7">
      <w:pPr>
        <w:pageBreakBefore w:val="0"/>
        <w:kinsoku/>
        <w:wordWrap/>
        <w:overflowPunct/>
        <w:topLinePunct w:val="0"/>
        <w:bidi w:val="0"/>
        <w:snapToGrid w:val="0"/>
        <w:spacing w:beforeAutospacing="0" w:line="360" w:lineRule="auto"/>
        <w:ind w:left="0" w:leftChars="0"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E9A99AE">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C46C63C">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54C54C3">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AF25149">
      <w:pPr>
        <w:pStyle w:val="132"/>
        <w:pageBreakBefore w:val="0"/>
        <w:kinsoku/>
        <w:wordWrap/>
        <w:overflowPunct/>
        <w:topLinePunct w:val="0"/>
        <w:bidi w:val="0"/>
        <w:spacing w:before="0" w:beforeAutospacing="0" w:line="360" w:lineRule="auto"/>
        <w:ind w:left="0" w:leftChars="0" w:firstLine="482" w:firstLineChars="200"/>
        <w:jc w:val="both"/>
        <w:textAlignment w:val="auto"/>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9CFE82B">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F633A21">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885454F">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D8526FA">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15.备份投标文件</w:t>
      </w:r>
      <w:r>
        <w:rPr>
          <w:rFonts w:hint="eastAsia" w:hAnsi="宋体" w:cs="宋体"/>
          <w:b/>
          <w:color w:val="auto"/>
          <w:sz w:val="24"/>
          <w:szCs w:val="24"/>
          <w:highlight w:val="none"/>
          <w:lang w:eastAsia="zh-CN"/>
        </w:rPr>
        <w:t>（文件后缀为：bfbs）</w:t>
      </w:r>
    </w:p>
    <w:p w14:paraId="6587DCAE">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20B1C05">
      <w:pPr>
        <w:pageBreakBefore w:val="0"/>
        <w:widowControl w:val="0"/>
        <w:kinsoku/>
        <w:wordWrap/>
        <w:overflowPunct/>
        <w:topLinePunct w:val="0"/>
        <w:bidi w:val="0"/>
        <w:adjustRightInd w:val="0"/>
        <w:spacing w:beforeAutospacing="0" w:line="360" w:lineRule="auto"/>
        <w:ind w:left="0" w:leftChars="0" w:firstLine="480" w:firstLineChars="200"/>
        <w:jc w:val="both"/>
        <w:textAlignment w:val="auto"/>
        <w:rPr>
          <w:rFonts w:ascii="宋体" w:hAnsi="宋体" w:eastAsia="宋体" w:cs="宋体"/>
          <w:b/>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15.2备份投标文件须在“政采云投标客户端”制作生成，并储存在</w:t>
      </w:r>
      <w:r>
        <w:rPr>
          <w:rFonts w:hint="eastAsia" w:ascii="宋体" w:hAnsi="宋体" w:eastAsia="宋体" w:cs="宋体"/>
          <w:snapToGrid w:val="0"/>
          <w:color w:val="auto"/>
          <w:kern w:val="2"/>
          <w:sz w:val="24"/>
          <w:szCs w:val="21"/>
          <w:highlight w:val="none"/>
          <w:lang w:val="en-US" w:eastAsia="zh-CN" w:bidi="ar-SA"/>
        </w:rPr>
        <w:t>U盘</w:t>
      </w:r>
      <w:r>
        <w:rPr>
          <w:rFonts w:hint="eastAsia" w:ascii="宋体" w:hAnsi="宋体" w:eastAsia="宋体" w:cs="宋体"/>
          <w:snapToGrid w:val="0"/>
          <w:color w:val="auto"/>
          <w:kern w:val="2"/>
          <w:sz w:val="24"/>
          <w:szCs w:val="24"/>
          <w:highlight w:val="none"/>
          <w:lang w:val="en-US" w:eastAsia="zh-CN" w:bidi="ar-SA"/>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napToGrid w:val="0"/>
          <w:color w:val="auto"/>
          <w:kern w:val="2"/>
          <w:sz w:val="24"/>
          <w:szCs w:val="21"/>
          <w:highlight w:val="none"/>
          <w:lang w:val="en-US" w:eastAsia="zh-CN" w:bidi="ar-SA"/>
        </w:rPr>
        <w:t>不符合上述制作、</w:t>
      </w:r>
      <w:r>
        <w:rPr>
          <w:rFonts w:hint="eastAsia" w:ascii="宋体" w:hAnsi="宋体" w:eastAsia="宋体" w:cs="宋体"/>
          <w:b/>
          <w:snapToGrid w:val="0"/>
          <w:color w:val="auto"/>
          <w:kern w:val="2"/>
          <w:sz w:val="24"/>
          <w:szCs w:val="24"/>
          <w:highlight w:val="none"/>
          <w:lang w:val="en-US" w:eastAsia="zh-CN" w:bidi="ar-SA"/>
        </w:rPr>
        <w:t>存储、密封规定的备份投标文件将被视为无效或者被拒绝接收。</w:t>
      </w:r>
    </w:p>
    <w:p w14:paraId="290D917B">
      <w:pPr>
        <w:pageBreakBefore w:val="0"/>
        <w:widowControl w:val="0"/>
        <w:kinsoku/>
        <w:wordWrap/>
        <w:overflowPunct/>
        <w:topLinePunct w:val="0"/>
        <w:bidi w:val="0"/>
        <w:adjustRightInd w:val="0"/>
        <w:spacing w:beforeAutospacing="0" w:line="360" w:lineRule="auto"/>
        <w:ind w:left="0" w:leftChars="0" w:firstLine="480" w:firstLineChars="200"/>
        <w:jc w:val="both"/>
        <w:textAlignment w:val="auto"/>
        <w:rPr>
          <w:rFonts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15.3直接提交备份投标文件的，投标人应于投标截止时间前在</w:t>
      </w:r>
      <w:r>
        <w:rPr>
          <w:rFonts w:hint="eastAsia" w:ascii="宋体" w:hAnsi="宋体" w:eastAsia="宋体" w:cs="宋体"/>
          <w:snapToGrid/>
          <w:color w:val="auto"/>
          <w:kern w:val="2"/>
          <w:sz w:val="24"/>
          <w:szCs w:val="24"/>
          <w:highlight w:val="none"/>
          <w:lang w:val="en-US" w:eastAsia="zh-CN" w:bidi="ar-SA"/>
        </w:rPr>
        <w:t>招标文件第二部分投标人须知前附表规定的备份投标文件送达地点</w:t>
      </w:r>
      <w:r>
        <w:rPr>
          <w:rFonts w:hint="eastAsia" w:ascii="宋体" w:hAnsi="宋体" w:eastAsia="宋体" w:cs="宋体"/>
          <w:snapToGrid w:val="0"/>
          <w:color w:val="auto"/>
          <w:kern w:val="2"/>
          <w:sz w:val="24"/>
          <w:szCs w:val="24"/>
          <w:highlight w:val="none"/>
          <w:lang w:val="en-US" w:eastAsia="zh-CN" w:bidi="ar-SA"/>
        </w:rPr>
        <w:t>将备份投标文件提交给采购代理机构，采购代理机构将拒绝接受逾期送达的备份投标文件。</w:t>
      </w:r>
    </w:p>
    <w:p w14:paraId="093CC93A">
      <w:pPr>
        <w:pageBreakBefore w:val="0"/>
        <w:widowControl w:val="0"/>
        <w:kinsoku/>
        <w:wordWrap/>
        <w:overflowPunct/>
        <w:topLinePunct w:val="0"/>
        <w:bidi w:val="0"/>
        <w:adjustRightInd w:val="0"/>
        <w:spacing w:beforeAutospacing="0" w:line="360" w:lineRule="auto"/>
        <w:ind w:left="0" w:leftChars="0" w:firstLine="480" w:firstLineChars="200"/>
        <w:jc w:val="both"/>
        <w:textAlignment w:val="auto"/>
        <w:rPr>
          <w:rFonts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15.4以邮政快递方式递交备份投标文件的，投标人应先将备份投标文件按要求密封和标记，再进行邮政快递包装后邮寄。备份投标文件须在</w:t>
      </w:r>
      <w:r>
        <w:rPr>
          <w:rFonts w:hint="eastAsia" w:ascii="宋体" w:hAnsi="宋体" w:eastAsia="宋体" w:cs="宋体"/>
          <w:snapToGrid/>
          <w:color w:val="auto"/>
          <w:kern w:val="2"/>
          <w:sz w:val="24"/>
          <w:szCs w:val="24"/>
          <w:highlight w:val="none"/>
          <w:lang w:val="en-US" w:eastAsia="zh-CN" w:bidi="ar-SA"/>
        </w:rPr>
        <w:t>第二部分投标人须知前附表规定的备份投标文件送达</w:t>
      </w:r>
      <w:r>
        <w:rPr>
          <w:rFonts w:hint="eastAsia" w:ascii="宋体" w:hAnsi="宋体" w:eastAsia="宋体" w:cs="宋体"/>
          <w:snapToGrid w:val="0"/>
          <w:color w:val="auto"/>
          <w:kern w:val="2"/>
          <w:sz w:val="24"/>
          <w:szCs w:val="24"/>
          <w:highlight w:val="none"/>
          <w:lang w:val="en-US" w:eastAsia="zh-CN" w:bidi="ar-SA"/>
        </w:rPr>
        <w:t>截止时间之前送达</w:t>
      </w:r>
      <w:r>
        <w:rPr>
          <w:rFonts w:hint="eastAsia" w:ascii="宋体" w:hAnsi="宋体" w:eastAsia="宋体" w:cs="宋体"/>
          <w:snapToGrid/>
          <w:color w:val="auto"/>
          <w:kern w:val="2"/>
          <w:sz w:val="24"/>
          <w:szCs w:val="24"/>
          <w:highlight w:val="none"/>
          <w:lang w:val="en-US" w:eastAsia="zh-CN" w:bidi="ar-SA"/>
        </w:rPr>
        <w:t>招标文件第二部分投标人须知前附表规定的备份投标文件送达地点；</w:t>
      </w:r>
      <w:r>
        <w:rPr>
          <w:rFonts w:hint="eastAsia" w:ascii="宋体" w:hAnsi="宋体" w:eastAsia="宋体" w:cs="宋体"/>
          <w:snapToGrid w:val="0"/>
          <w:color w:val="auto"/>
          <w:kern w:val="2"/>
          <w:sz w:val="24"/>
          <w:szCs w:val="24"/>
          <w:highlight w:val="none"/>
          <w:lang w:val="en-US" w:eastAsia="zh-CN" w:bidi="ar-SA"/>
        </w:rPr>
        <w:t>送达时间以签收人签收时间为准。采购代理机构将拒绝接受逾期送达的备份投标文件。邮寄过程中，电子备份投标文件发生泄露、遗失、损坏或延期送达等情况的，由投标人自行负责。</w:t>
      </w:r>
    </w:p>
    <w:p w14:paraId="3F930F2D">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ascii="宋体" w:hAnsi="宋体" w:eastAsia="宋体" w:cs="宋体"/>
          <w:b/>
          <w:snapToGrid w:val="0"/>
          <w:color w:val="auto"/>
          <w:kern w:val="2"/>
          <w:sz w:val="24"/>
          <w:szCs w:val="24"/>
          <w:highlight w:val="none"/>
          <w:lang w:val="en-US" w:eastAsia="zh-CN" w:bidi="ar-SA"/>
        </w:rPr>
        <w:t>15.5投标人仅提交备份投标文件，未在电子交易平台传输递交投标文件的，投标无效。</w:t>
      </w:r>
    </w:p>
    <w:p w14:paraId="49163680">
      <w:pPr>
        <w:pStyle w:val="132"/>
        <w:pageBreakBefore w:val="0"/>
        <w:kinsoku/>
        <w:wordWrap/>
        <w:overflowPunct/>
        <w:topLinePunct w:val="0"/>
        <w:bidi w:val="0"/>
        <w:spacing w:before="0" w:beforeAutospacing="0" w:line="360" w:lineRule="auto"/>
        <w:ind w:left="0" w:leftChars="0" w:firstLine="482" w:firstLineChars="200"/>
        <w:jc w:val="both"/>
        <w:textAlignment w:val="auto"/>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1AFCDC53">
      <w:pPr>
        <w:pStyle w:val="25"/>
        <w:pageBreakBefore w:val="0"/>
        <w:kinsoku/>
        <w:wordWrap/>
        <w:overflowPunct/>
        <w:topLinePunct w:val="0"/>
        <w:bidi w:val="0"/>
        <w:spacing w:beforeAutospacing="0" w:line="360" w:lineRule="auto"/>
        <w:ind w:left="0" w:leftChars="0" w:firstLine="480" w:firstLineChars="200"/>
        <w:jc w:val="both"/>
        <w:textAlignment w:val="auto"/>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1B5731B0">
      <w:pPr>
        <w:pStyle w:val="132"/>
        <w:pageBreakBefore w:val="0"/>
        <w:kinsoku/>
        <w:wordWrap/>
        <w:overflowPunct/>
        <w:topLinePunct w:val="0"/>
        <w:bidi w:val="0"/>
        <w:spacing w:before="0" w:beforeAutospacing="0" w:line="360" w:lineRule="auto"/>
        <w:ind w:left="0" w:leftChars="0" w:firstLine="482" w:firstLineChars="200"/>
        <w:jc w:val="both"/>
        <w:textAlignment w:val="auto"/>
        <w:rPr>
          <w:rFonts w:ascii="宋体" w:hAnsi="宋体" w:cs="宋体"/>
          <w:b/>
          <w:color w:val="auto"/>
          <w:szCs w:val="24"/>
          <w:highlight w:val="none"/>
        </w:rPr>
      </w:pPr>
      <w:r>
        <w:rPr>
          <w:rFonts w:hint="eastAsia" w:ascii="宋体" w:hAnsi="宋体" w:cs="宋体"/>
          <w:b/>
          <w:color w:val="auto"/>
          <w:szCs w:val="24"/>
          <w:highlight w:val="none"/>
        </w:rPr>
        <w:t>17.投标有效期</w:t>
      </w:r>
    </w:p>
    <w:p w14:paraId="261B91E8">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6B8110D">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D0151A3">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CB8CADB">
      <w:pPr>
        <w:pStyle w:val="132"/>
        <w:pageBreakBefore w:val="0"/>
        <w:kinsoku/>
        <w:wordWrap/>
        <w:overflowPunct/>
        <w:topLinePunct w:val="0"/>
        <w:bidi w:val="0"/>
        <w:spacing w:before="0" w:beforeAutospacing="0" w:line="360" w:lineRule="auto"/>
        <w:ind w:left="0" w:leftChars="0" w:firstLine="643" w:firstLineChars="200"/>
        <w:jc w:val="both"/>
        <w:textAlignment w:val="auto"/>
        <w:rPr>
          <w:rFonts w:ascii="宋体" w:hAnsi="宋体" w:cs="宋体"/>
          <w:b/>
          <w:color w:val="auto"/>
          <w:sz w:val="32"/>
          <w:highlight w:val="none"/>
        </w:rPr>
      </w:pPr>
    </w:p>
    <w:p w14:paraId="77B60954">
      <w:pPr>
        <w:pStyle w:val="132"/>
        <w:pageBreakBefore w:val="0"/>
        <w:kinsoku/>
        <w:wordWrap/>
        <w:overflowPunct/>
        <w:topLinePunct w:val="0"/>
        <w:bidi w:val="0"/>
        <w:spacing w:before="0" w:beforeAutospacing="0" w:line="360" w:lineRule="auto"/>
        <w:ind w:left="0" w:leftChars="0" w:firstLine="0" w:firstLineChars="0"/>
        <w:jc w:val="center"/>
        <w:textAlignment w:val="auto"/>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42934A0">
      <w:pPr>
        <w:pStyle w:val="557"/>
        <w:pageBreakBefore w:val="0"/>
        <w:kinsoku/>
        <w:wordWrap/>
        <w:overflowPunct/>
        <w:topLinePunct w:val="0"/>
        <w:bidi w:val="0"/>
        <w:spacing w:before="0" w:beforeAutospacing="0" w:line="360" w:lineRule="auto"/>
        <w:ind w:left="0" w:leftChars="0" w:firstLine="482" w:firstLineChars="200"/>
        <w:contextualSpacing/>
        <w:jc w:val="both"/>
        <w:textAlignment w:val="auto"/>
        <w:rPr>
          <w:rFonts w:ascii="宋体" w:hAnsi="宋体" w:cs="宋体"/>
          <w:color w:val="auto"/>
          <w:sz w:val="24"/>
          <w:highlight w:val="none"/>
        </w:rPr>
      </w:pPr>
      <w:r>
        <w:rPr>
          <w:rFonts w:hint="eastAsia" w:ascii="宋体" w:hAnsi="宋体" w:cs="宋体"/>
          <w:b/>
          <w:color w:val="auto"/>
          <w:sz w:val="24"/>
          <w:szCs w:val="24"/>
          <w:highlight w:val="none"/>
        </w:rPr>
        <w:t>18.开标</w:t>
      </w:r>
    </w:p>
    <w:p w14:paraId="55E7CC07">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DAD2627">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37EA7008">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18.2.1具体开标程序：</w:t>
      </w:r>
    </w:p>
    <w:p w14:paraId="245FC698">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第一阶段：</w:t>
      </w:r>
    </w:p>
    <w:p w14:paraId="332676BD">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投标截止时间后，供应商登录政府采购云平台，用“项目采购-开标评标”功能对电子投标文件进行在线解密，在线解密电子投标文件时间为开标时间后30分钟内。</w:t>
      </w:r>
    </w:p>
    <w:p w14:paraId="7AE85779">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在政府采购云平台开启已解密供应商的“资格文件、商务技术文件”，并做开标记录；</w:t>
      </w:r>
    </w:p>
    <w:p w14:paraId="319AEB04">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第二阶段：</w:t>
      </w:r>
    </w:p>
    <w:p w14:paraId="52993F41">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（1）在政府采购云平台宣告第一阶段评审无效供应商名单及理由；</w:t>
      </w:r>
    </w:p>
    <w:p w14:paraId="579A8ECE">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（2）公布经第一阶段评审符合招标文件要求的供应商的商务技术得分情况；</w:t>
      </w:r>
    </w:p>
    <w:p w14:paraId="261CA09B">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（3）在政府采购云平台开启除第一阶段无效标外的供应商的“报价文件”，并做开标记录；</w:t>
      </w:r>
    </w:p>
    <w:p w14:paraId="1D9B5E16">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（4）在政府采购云平台公布评审结果。</w:t>
      </w:r>
    </w:p>
    <w:p w14:paraId="7AA94458">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（5）开标会议结束。</w:t>
      </w:r>
    </w:p>
    <w:p w14:paraId="731C4224">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4E6E78C">
      <w:pPr>
        <w:pageBreakBefore w:val="0"/>
        <w:widowControl/>
        <w:kinsoku/>
        <w:wordWrap/>
        <w:overflowPunct/>
        <w:topLinePunct w:val="0"/>
        <w:bidi w:val="0"/>
        <w:spacing w:beforeAutospacing="0" w:line="360" w:lineRule="auto"/>
        <w:ind w:left="0" w:leftChars="0" w:firstLine="482" w:firstLineChars="200"/>
        <w:jc w:val="both"/>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593A9059">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2AC2DA3B">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CD78C15">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12C99686">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17C0030B">
      <w:pPr>
        <w:pStyle w:val="132"/>
        <w:pageBreakBefore w:val="0"/>
        <w:kinsoku/>
        <w:wordWrap/>
        <w:overflowPunct/>
        <w:topLinePunct w:val="0"/>
        <w:bidi w:val="0"/>
        <w:spacing w:before="0" w:beforeAutospacing="0" w:line="360" w:lineRule="auto"/>
        <w:ind w:left="0" w:leftChars="0" w:firstLine="482" w:firstLineChars="200"/>
        <w:jc w:val="both"/>
        <w:textAlignment w:val="auto"/>
        <w:rPr>
          <w:rFonts w:ascii="宋体" w:hAnsi="宋体" w:cs="宋体"/>
          <w:b/>
          <w:color w:val="auto"/>
          <w:szCs w:val="24"/>
          <w:highlight w:val="none"/>
        </w:rPr>
      </w:pPr>
      <w:r>
        <w:rPr>
          <w:rFonts w:hint="eastAsia" w:ascii="宋体" w:hAnsi="宋体" w:cs="宋体"/>
          <w:b/>
          <w:color w:val="auto"/>
          <w:szCs w:val="24"/>
          <w:highlight w:val="none"/>
        </w:rPr>
        <w:t>20、信用信息查询</w:t>
      </w:r>
    </w:p>
    <w:p w14:paraId="176E0CC2">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25FBE1D7">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0D04389">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lang w:val="en-US" w:eastAsia="zh-CN"/>
        </w:rPr>
        <w:t>重大税收违法失信主体</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、政府采购严重违法失信行为记录名单的投标人将被拒绝参与政府采购活动。</w:t>
      </w:r>
    </w:p>
    <w:p w14:paraId="151230E5">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68C082F">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kern w:val="0"/>
          <w:szCs w:val="24"/>
          <w:highlight w:val="none"/>
        </w:rPr>
      </w:pPr>
    </w:p>
    <w:p w14:paraId="0BA96ACC">
      <w:pPr>
        <w:pageBreakBefore w:val="0"/>
        <w:kinsoku/>
        <w:wordWrap/>
        <w:overflowPunct/>
        <w:topLinePunct w:val="0"/>
        <w:bidi w:val="0"/>
        <w:snapToGrid w:val="0"/>
        <w:spacing w:beforeAutospacing="0" w:line="360" w:lineRule="auto"/>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1B8EA73">
      <w:pPr>
        <w:pageBreakBefore w:val="0"/>
        <w:kinsoku/>
        <w:wordWrap/>
        <w:overflowPunct/>
        <w:topLinePunct w:val="0"/>
        <w:bidi w:val="0"/>
        <w:spacing w:beforeAutospacing="0" w:line="360" w:lineRule="auto"/>
        <w:ind w:left="0" w:leftChars="0" w:firstLine="482" w:firstLineChars="200"/>
        <w:jc w:val="both"/>
        <w:textAlignment w:val="auto"/>
        <w:rPr>
          <w:rFonts w:hint="eastAsia" w:ascii="宋体" w:hAnsi="宋体" w:cs="宋体"/>
          <w:b/>
          <w:color w:val="auto"/>
          <w:sz w:val="24"/>
          <w:highlight w:val="none"/>
        </w:rPr>
      </w:pPr>
      <w:bookmarkStart w:id="1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17D4683">
      <w:pPr>
        <w:pageBreakBefore w:val="0"/>
        <w:kinsoku/>
        <w:wordWrap/>
        <w:overflowPunct/>
        <w:topLinePunct w:val="0"/>
        <w:bidi w:val="0"/>
        <w:spacing w:beforeAutospacing="0" w:line="360" w:lineRule="auto"/>
        <w:ind w:left="0" w:leftChars="0" w:firstLine="482" w:firstLineChars="200"/>
        <w:jc w:val="both"/>
        <w:textAlignment w:val="auto"/>
        <w:rPr>
          <w:rFonts w:hint="eastAsia" w:ascii="宋体" w:hAnsi="宋体" w:cs="宋体"/>
          <w:b/>
          <w:color w:val="auto"/>
          <w:sz w:val="24"/>
          <w:highlight w:val="none"/>
        </w:rPr>
      </w:pPr>
    </w:p>
    <w:p w14:paraId="0C5C4C47">
      <w:pPr>
        <w:pageBreakBefore w:val="0"/>
        <w:kinsoku/>
        <w:wordWrap/>
        <w:overflowPunct/>
        <w:topLinePunct w:val="0"/>
        <w:bidi w:val="0"/>
        <w:snapToGrid w:val="0"/>
        <w:spacing w:beforeAutospacing="0" w:line="360" w:lineRule="auto"/>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14:paraId="455B7F79">
      <w:pPr>
        <w:pStyle w:val="25"/>
        <w:pageBreakBefore w:val="0"/>
        <w:kinsoku/>
        <w:wordWrap/>
        <w:overflowPunct/>
        <w:topLinePunct w:val="0"/>
        <w:bidi w:val="0"/>
        <w:spacing w:beforeAutospacing="0" w:line="360" w:lineRule="auto"/>
        <w:ind w:left="0" w:leftChars="0" w:firstLine="482" w:firstLineChars="200"/>
        <w:jc w:val="both"/>
        <w:textAlignment w:val="auto"/>
        <w:rPr>
          <w:rFonts w:hint="eastAsia" w:eastAsia="宋体" w:cs="宋体"/>
          <w:b/>
          <w:color w:val="auto"/>
          <w:highlight w:val="none"/>
          <w:lang w:eastAsia="zh-CN"/>
        </w:rPr>
      </w:pPr>
      <w:r>
        <w:rPr>
          <w:rFonts w:hint="eastAsia" w:cs="宋体"/>
          <w:b/>
          <w:color w:val="auto"/>
          <w:highlight w:val="none"/>
        </w:rPr>
        <w:t>22. 确定</w:t>
      </w:r>
      <w:r>
        <w:rPr>
          <w:rFonts w:hint="eastAsia" w:cs="宋体"/>
          <w:b/>
          <w:color w:val="auto"/>
          <w:highlight w:val="none"/>
          <w:lang w:eastAsia="zh-CN"/>
        </w:rPr>
        <w:t>中标人</w:t>
      </w:r>
    </w:p>
    <w:p w14:paraId="6B02CEC5">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AA455F0">
      <w:pPr>
        <w:pStyle w:val="132"/>
        <w:pageBreakBefore w:val="0"/>
        <w:kinsoku/>
        <w:wordWrap/>
        <w:overflowPunct/>
        <w:topLinePunct w:val="0"/>
        <w:bidi w:val="0"/>
        <w:snapToGrid w:val="0"/>
        <w:spacing w:before="0" w:beforeAutospacing="0" w:line="360" w:lineRule="auto"/>
        <w:ind w:left="0" w:leftChars="0" w:firstLine="482" w:firstLineChars="200"/>
        <w:jc w:val="both"/>
        <w:textAlignment w:val="auto"/>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0EBEE75">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23.1自中标人确定之日起2个工作日内，</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通过电子交易平台向中标人发出中标通知书，同时编制发布采购结果公告。</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也可以以纸质形式进行中标通知。</w:t>
      </w:r>
    </w:p>
    <w:p w14:paraId="72C27864">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23.2中标结果公告内容包括采购人及其委托的</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的名称、地址、联系方式，项目名称和项目编号，中标人名称、地址和中标金额，主要中标标的的名称、服务范围、服务要求、服务时间、服务标准，开标记录、</w:t>
      </w:r>
      <w:bookmarkStart w:id="13" w:name="_Hlk101184471"/>
      <w:r>
        <w:rPr>
          <w:rFonts w:hint="eastAsia" w:ascii="宋体" w:hAnsi="宋体" w:eastAsia="宋体" w:cs="宋体"/>
          <w:color w:val="auto"/>
          <w:szCs w:val="24"/>
          <w:highlight w:val="none"/>
        </w:rPr>
        <w:t>资格审查情况、评审专家抽取规则、符合性审查情况、</w:t>
      </w:r>
      <w:bookmarkEnd w:id="13"/>
      <w:r>
        <w:rPr>
          <w:rFonts w:hint="eastAsia" w:ascii="宋体" w:hAnsi="宋体" w:eastAsia="宋体" w:cs="宋体"/>
          <w:color w:val="auto"/>
          <w:szCs w:val="24"/>
          <w:highlight w:val="none"/>
        </w:rPr>
        <w:t>未中标情况说明、中标公告期限以及评审专家名单、评分汇总及明细。</w:t>
      </w:r>
    </w:p>
    <w:p w14:paraId="5C4A4879">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23.3公告期限为1个工作日。</w:t>
      </w:r>
    </w:p>
    <w:p w14:paraId="2DFE2F03">
      <w:pPr>
        <w:pageBreakBefore w:val="0"/>
        <w:kinsoku/>
        <w:wordWrap/>
        <w:overflowPunct/>
        <w:topLinePunct w:val="0"/>
        <w:bidi w:val="0"/>
        <w:snapToGrid w:val="0"/>
        <w:spacing w:beforeAutospacing="0" w:line="360" w:lineRule="auto"/>
        <w:ind w:left="0" w:leftChars="0" w:firstLine="643" w:firstLineChars="200"/>
        <w:jc w:val="both"/>
        <w:textAlignment w:val="auto"/>
        <w:rPr>
          <w:rFonts w:ascii="宋体" w:hAnsi="宋体" w:cs="宋体"/>
          <w:b/>
          <w:color w:val="auto"/>
          <w:sz w:val="32"/>
          <w:highlight w:val="none"/>
        </w:rPr>
      </w:pPr>
    </w:p>
    <w:p w14:paraId="40A07100">
      <w:pPr>
        <w:pageBreakBefore w:val="0"/>
        <w:kinsoku/>
        <w:wordWrap/>
        <w:overflowPunct/>
        <w:topLinePunct w:val="0"/>
        <w:bidi w:val="0"/>
        <w:snapToGrid w:val="0"/>
        <w:spacing w:beforeAutospacing="0" w:line="360" w:lineRule="auto"/>
        <w:jc w:val="center"/>
        <w:textAlignment w:val="auto"/>
        <w:rPr>
          <w:rFonts w:ascii="宋体" w:hAnsi="宋体" w:cs="宋体"/>
          <w:b/>
          <w:color w:val="auto"/>
          <w:sz w:val="32"/>
          <w:highlight w:val="none"/>
        </w:rPr>
      </w:pPr>
      <w:r>
        <w:rPr>
          <w:rFonts w:hint="eastAsia" w:ascii="宋体" w:hAnsi="宋体" w:cs="宋体"/>
          <w:b/>
          <w:color w:val="auto"/>
          <w:sz w:val="32"/>
          <w:highlight w:val="none"/>
        </w:rPr>
        <w:t>七、合同授予</w:t>
      </w:r>
    </w:p>
    <w:p w14:paraId="5A1DADD8">
      <w:pPr>
        <w:pStyle w:val="25"/>
        <w:pageBreakBefore w:val="0"/>
        <w:kinsoku/>
        <w:wordWrap/>
        <w:overflowPunct/>
        <w:topLinePunct w:val="0"/>
        <w:bidi w:val="0"/>
        <w:spacing w:beforeAutospacing="0" w:line="360" w:lineRule="auto"/>
        <w:ind w:left="0" w:leftChars="0" w:firstLine="482" w:firstLineChars="200"/>
        <w:jc w:val="both"/>
        <w:textAlignment w:val="auto"/>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9D9594A">
      <w:pPr>
        <w:pStyle w:val="25"/>
        <w:pageBreakBefore w:val="0"/>
        <w:kinsoku/>
        <w:wordWrap/>
        <w:overflowPunct/>
        <w:topLinePunct w:val="0"/>
        <w:bidi w:val="0"/>
        <w:spacing w:beforeAutospacing="0" w:line="360" w:lineRule="auto"/>
        <w:ind w:left="0" w:leftChars="0" w:firstLine="482" w:firstLineChars="200"/>
        <w:jc w:val="both"/>
        <w:textAlignment w:val="auto"/>
        <w:rPr>
          <w:rFonts w:cs="宋体"/>
          <w:b/>
          <w:color w:val="auto"/>
          <w:highlight w:val="none"/>
        </w:rPr>
      </w:pPr>
      <w:r>
        <w:rPr>
          <w:rFonts w:hint="eastAsia" w:cs="宋体"/>
          <w:b/>
          <w:color w:val="auto"/>
          <w:highlight w:val="none"/>
        </w:rPr>
        <w:t>25. 合同的签订</w:t>
      </w:r>
    </w:p>
    <w:p w14:paraId="4CC40741">
      <w:pPr>
        <w:pageBreakBefore w:val="0"/>
        <w:widowControl/>
        <w:shd w:val="clear" w:color="auto" w:fill="FFFFFF"/>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30121AB2">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80616A9">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8611620">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25.4</w:t>
      </w:r>
      <w:r>
        <w:rPr>
          <w:rFonts w:hint="eastAsia" w:ascii="宋体" w:hAnsi="宋体" w:cs="宋体"/>
          <w:color w:val="auto"/>
          <w:highlight w:val="none"/>
          <w:lang w:eastAsia="zh-CN"/>
        </w:rPr>
        <w:t>中标人</w:t>
      </w:r>
      <w:r>
        <w:rPr>
          <w:rFonts w:hint="eastAsia" w:ascii="宋体" w:hAnsi="宋体" w:cs="宋体"/>
          <w:color w:val="auto"/>
          <w:highlight w:val="none"/>
        </w:rPr>
        <w:t>拒绝与采购人签订合同的，采购人可以按照评审报告推荐的中标或者成交候选人名单排序，确定下一候选人为</w:t>
      </w:r>
      <w:r>
        <w:rPr>
          <w:rFonts w:hint="eastAsia" w:ascii="宋体" w:hAnsi="宋体" w:cs="宋体"/>
          <w:color w:val="auto"/>
          <w:highlight w:val="none"/>
          <w:lang w:eastAsia="zh-CN"/>
        </w:rPr>
        <w:t>中标人</w:t>
      </w:r>
      <w:r>
        <w:rPr>
          <w:rFonts w:hint="eastAsia" w:ascii="宋体" w:hAnsi="宋体" w:cs="宋体"/>
          <w:color w:val="auto"/>
          <w:highlight w:val="none"/>
        </w:rPr>
        <w:t>，也可以重新开展政府采购活动。</w:t>
      </w:r>
    </w:p>
    <w:p w14:paraId="062171C9">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25.5采购合同由采购人与</w:t>
      </w:r>
      <w:r>
        <w:rPr>
          <w:rFonts w:hint="eastAsia" w:ascii="宋体" w:hAnsi="宋体" w:cs="宋体"/>
          <w:color w:val="auto"/>
          <w:highlight w:val="none"/>
          <w:lang w:eastAsia="zh-CN"/>
        </w:rPr>
        <w:t>中标人</w:t>
      </w:r>
      <w:r>
        <w:rPr>
          <w:rFonts w:hint="eastAsia" w:ascii="宋体" w:hAnsi="宋体" w:cs="宋体"/>
          <w:color w:val="auto"/>
          <w:highlight w:val="none"/>
        </w:rPr>
        <w:t>根据招标文件、投标文件等内容通过政府采购电子交易平台在线签订，自动备案。</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由采购人自行选择线上签订或线下签订</w:t>
      </w:r>
      <w:r>
        <w:rPr>
          <w:rFonts w:hint="eastAsia" w:ascii="宋体" w:hAnsi="宋体" w:cs="宋体"/>
          <w:color w:val="auto"/>
          <w:highlight w:val="none"/>
          <w:lang w:eastAsia="zh-CN"/>
        </w:rPr>
        <w:t>）</w:t>
      </w:r>
    </w:p>
    <w:p w14:paraId="6D8A71F6">
      <w:pPr>
        <w:pStyle w:val="25"/>
        <w:pageBreakBefore w:val="0"/>
        <w:kinsoku/>
        <w:wordWrap/>
        <w:overflowPunct/>
        <w:topLinePunct w:val="0"/>
        <w:bidi w:val="0"/>
        <w:spacing w:beforeAutospacing="0" w:line="360" w:lineRule="auto"/>
        <w:ind w:left="0" w:leftChars="0" w:firstLine="482" w:firstLineChars="200"/>
        <w:jc w:val="both"/>
        <w:textAlignment w:val="auto"/>
        <w:rPr>
          <w:rFonts w:cs="宋体"/>
          <w:b/>
          <w:color w:val="auto"/>
          <w:highlight w:val="none"/>
        </w:rPr>
      </w:pPr>
      <w:r>
        <w:rPr>
          <w:rFonts w:hint="eastAsia" w:cs="宋体"/>
          <w:b/>
          <w:color w:val="auto"/>
          <w:highlight w:val="none"/>
        </w:rPr>
        <w:t>26. 履约保证金</w:t>
      </w:r>
    </w:p>
    <w:p w14:paraId="06AE6739">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kern w:val="0"/>
          <w:sz w:val="24"/>
          <w:highlight w:val="none"/>
        </w:rPr>
        <w:t>拟签订的合同文本要求</w:t>
      </w:r>
      <w:r>
        <w:rPr>
          <w:rFonts w:hint="eastAsia" w:ascii="宋体" w:hAnsi="宋体" w:cs="宋体"/>
          <w:color w:val="auto"/>
          <w:kern w:val="0"/>
          <w:sz w:val="24"/>
          <w:highlight w:val="none"/>
          <w:lang w:eastAsia="zh-CN"/>
        </w:rPr>
        <w:t>中标人</w:t>
      </w:r>
      <w:r>
        <w:rPr>
          <w:rFonts w:hint="eastAsia" w:ascii="宋体" w:hAnsi="宋体" w:cs="宋体"/>
          <w:color w:val="auto"/>
          <w:kern w:val="0"/>
          <w:sz w:val="24"/>
          <w:highlight w:val="none"/>
        </w:rPr>
        <w:t>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73C37DD">
      <w:pPr>
        <w:pStyle w:val="3"/>
        <w:pageBreakBefore w:val="0"/>
        <w:kinsoku/>
        <w:wordWrap/>
        <w:overflowPunct/>
        <w:topLinePunct w:val="0"/>
        <w:bidi w:val="0"/>
        <w:spacing w:beforeAutospacing="0" w:line="360" w:lineRule="auto"/>
        <w:ind w:left="0" w:leftChars="0" w:firstLine="480" w:firstLineChars="200"/>
        <w:jc w:val="both"/>
        <w:textAlignment w:val="auto"/>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9F00C2D">
      <w:pPr>
        <w:pStyle w:val="3"/>
        <w:pageBreakBefore w:val="0"/>
        <w:kinsoku/>
        <w:wordWrap/>
        <w:overflowPunct/>
        <w:topLinePunct w:val="0"/>
        <w:bidi w:val="0"/>
        <w:spacing w:beforeAutospacing="0" w:line="360" w:lineRule="auto"/>
        <w:ind w:left="0" w:leftChars="0" w:firstLine="482" w:firstLineChars="200"/>
        <w:jc w:val="both"/>
        <w:textAlignment w:val="auto"/>
        <w:rPr>
          <w:color w:val="auto"/>
          <w:highlight w:val="none"/>
        </w:rPr>
      </w:pPr>
      <w:r>
        <w:rPr>
          <w:rFonts w:ascii="宋体" w:hAnsi="宋体" w:eastAsia="宋体"/>
          <w:b/>
          <w:bCs/>
          <w:color w:val="auto"/>
          <w:sz w:val="24"/>
          <w:szCs w:val="32"/>
          <w:highlight w:val="none"/>
          <w:lang w:val="en-US"/>
        </w:rPr>
        <w:t>27.预付款</w:t>
      </w:r>
    </w:p>
    <w:p w14:paraId="30F43F09">
      <w:pPr>
        <w:pageBreakBefore w:val="0"/>
        <w:kinsoku/>
        <w:wordWrap/>
        <w:overflowPunct/>
        <w:topLinePunct w:val="0"/>
        <w:bidi w:val="0"/>
        <w:adjustRightInd/>
        <w:spacing w:beforeAutospacing="0" w:line="360" w:lineRule="auto"/>
        <w:ind w:left="0" w:leftChars="0" w:firstLine="480" w:firstLineChars="200"/>
        <w:jc w:val="both"/>
        <w:textAlignment w:val="auto"/>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lang w:val="en-US" w:eastAsia="zh-CN"/>
        </w:rPr>
        <w:t>%</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lang w:val="en-US" w:eastAsia="zh-CN"/>
        </w:rPr>
        <w:t>%</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lang w:eastAsia="zh-CN"/>
        </w:rPr>
        <w:t>7个工作日内</w:t>
      </w:r>
      <w:r>
        <w:rPr>
          <w:rFonts w:ascii="宋体" w:hAnsi="宋体"/>
          <w:color w:val="auto"/>
          <w:sz w:val="24"/>
          <w:highlight w:val="none"/>
        </w:rPr>
        <w:t>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68E02393">
      <w:pPr>
        <w:pageBreakBefore w:val="0"/>
        <w:kinsoku/>
        <w:wordWrap/>
        <w:overflowPunct/>
        <w:topLinePunct w:val="0"/>
        <w:bidi w:val="0"/>
        <w:snapToGrid w:val="0"/>
        <w:spacing w:beforeAutospacing="0" w:line="360" w:lineRule="auto"/>
        <w:ind w:left="0" w:leftChars="0" w:firstLine="643" w:firstLineChars="200"/>
        <w:jc w:val="both"/>
        <w:textAlignment w:val="auto"/>
        <w:rPr>
          <w:rFonts w:hint="eastAsia" w:ascii="宋体" w:hAnsi="宋体" w:cs="宋体"/>
          <w:b/>
          <w:color w:val="auto"/>
          <w:sz w:val="32"/>
          <w:highlight w:val="none"/>
        </w:rPr>
      </w:pPr>
    </w:p>
    <w:p w14:paraId="704CD148">
      <w:pPr>
        <w:pageBreakBefore w:val="0"/>
        <w:kinsoku/>
        <w:wordWrap/>
        <w:overflowPunct/>
        <w:topLinePunct w:val="0"/>
        <w:bidi w:val="0"/>
        <w:snapToGrid w:val="0"/>
        <w:spacing w:beforeAutospacing="0" w:line="360" w:lineRule="auto"/>
        <w:jc w:val="center"/>
        <w:textAlignment w:val="auto"/>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E3D7E33">
      <w:pPr>
        <w:pStyle w:val="132"/>
        <w:pageBreakBefore w:val="0"/>
        <w:kinsoku/>
        <w:wordWrap/>
        <w:overflowPunct/>
        <w:topLinePunct w:val="0"/>
        <w:bidi w:val="0"/>
        <w:snapToGrid w:val="0"/>
        <w:spacing w:before="0" w:beforeAutospacing="0" w:line="360" w:lineRule="auto"/>
        <w:ind w:left="0" w:leftChars="0" w:firstLine="482" w:firstLineChars="200"/>
        <w:jc w:val="both"/>
        <w:textAlignment w:val="auto"/>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5A385E85">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28.1电子交易平台发生故障而无法登录访问的；</w:t>
      </w:r>
    </w:p>
    <w:p w14:paraId="75A04DF5">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5D448DF">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F50C1F1">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28.4病毒发作导致不能进行正常操作的；</w:t>
      </w:r>
    </w:p>
    <w:p w14:paraId="351E3E40">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7E733DB">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34645304">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p>
    <w:p w14:paraId="7A050AD5">
      <w:pPr>
        <w:pageBreakBefore w:val="0"/>
        <w:kinsoku/>
        <w:wordWrap/>
        <w:overflowPunct/>
        <w:topLinePunct w:val="0"/>
        <w:bidi w:val="0"/>
        <w:snapToGrid w:val="0"/>
        <w:spacing w:beforeAutospacing="0" w:line="360" w:lineRule="auto"/>
        <w:jc w:val="center"/>
        <w:textAlignment w:val="auto"/>
        <w:rPr>
          <w:rFonts w:ascii="宋体" w:hAnsi="宋体" w:cs="宋体"/>
          <w:b/>
          <w:color w:val="auto"/>
          <w:sz w:val="32"/>
          <w:highlight w:val="none"/>
        </w:rPr>
      </w:pPr>
      <w:r>
        <w:rPr>
          <w:rFonts w:hint="eastAsia" w:ascii="宋体" w:hAnsi="宋体" w:cs="宋体"/>
          <w:b/>
          <w:color w:val="auto"/>
          <w:sz w:val="32"/>
          <w:highlight w:val="none"/>
        </w:rPr>
        <w:t>九、验收</w:t>
      </w:r>
    </w:p>
    <w:p w14:paraId="16932660">
      <w:pPr>
        <w:pStyle w:val="25"/>
        <w:pageBreakBefore w:val="0"/>
        <w:kinsoku/>
        <w:wordWrap/>
        <w:overflowPunct/>
        <w:topLinePunct w:val="0"/>
        <w:bidi w:val="0"/>
        <w:spacing w:beforeAutospacing="0" w:line="360" w:lineRule="auto"/>
        <w:ind w:left="0" w:leftChars="0" w:firstLine="482" w:firstLineChars="200"/>
        <w:jc w:val="both"/>
        <w:textAlignment w:val="auto"/>
        <w:rPr>
          <w:rFonts w:cs="宋体"/>
          <w:b/>
          <w:color w:val="auto"/>
          <w:highlight w:val="none"/>
        </w:rPr>
      </w:pPr>
      <w:r>
        <w:rPr>
          <w:rFonts w:hint="eastAsia" w:cs="宋体"/>
          <w:b/>
          <w:color w:val="auto"/>
          <w:highlight w:val="none"/>
        </w:rPr>
        <w:t>30.验收</w:t>
      </w:r>
    </w:p>
    <w:p w14:paraId="16AD1CDF">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43A4FA">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4C28EB3">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D7481D">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3E3EBDA5">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14" w:name="_Hlt75236011"/>
      <w:bookmarkEnd w:id="14"/>
      <w:bookmarkStart w:id="15" w:name="_Hlt68072990"/>
      <w:bookmarkEnd w:id="15"/>
      <w:bookmarkStart w:id="16" w:name="_Hlt75236101"/>
      <w:bookmarkEnd w:id="16"/>
      <w:bookmarkStart w:id="17" w:name="_Hlt75236290"/>
      <w:bookmarkEnd w:id="17"/>
      <w:bookmarkStart w:id="18" w:name="_Hlt68403820"/>
      <w:bookmarkEnd w:id="18"/>
      <w:bookmarkStart w:id="19" w:name="_Hlt68057669"/>
      <w:bookmarkEnd w:id="19"/>
      <w:bookmarkStart w:id="20" w:name="_Hlt74730295"/>
      <w:bookmarkEnd w:id="20"/>
      <w:bookmarkStart w:id="21" w:name="_Hlt68073093"/>
      <w:bookmarkEnd w:id="21"/>
      <w:bookmarkStart w:id="22" w:name="_Hlt74729768"/>
      <w:bookmarkEnd w:id="22"/>
      <w:bookmarkStart w:id="23" w:name="_Hlt74707468"/>
      <w:bookmarkEnd w:id="23"/>
      <w:bookmarkStart w:id="24" w:name="_Hlt74714665"/>
      <w:bookmarkEnd w:id="24"/>
      <w:bookmarkStart w:id="25" w:name="_Hlt68072998"/>
      <w:bookmarkEnd w:id="25"/>
    </w:p>
    <w:bookmarkEnd w:id="10"/>
    <w:bookmarkEnd w:id="11"/>
    <w:p w14:paraId="7EC2BD48">
      <w:pPr>
        <w:spacing w:line="360" w:lineRule="auto"/>
        <w:jc w:val="center"/>
        <w:outlineLvl w:val="0"/>
        <w:rPr>
          <w:rFonts w:ascii="宋体" w:hAnsi="宋体" w:cs="宋体"/>
          <w:b/>
          <w:color w:val="auto"/>
          <w:sz w:val="36"/>
          <w:szCs w:val="36"/>
          <w:highlight w:val="none"/>
        </w:rPr>
      </w:pPr>
      <w:bookmarkStart w:id="26" w:name="第四部分"/>
      <w:r>
        <w:rPr>
          <w:rFonts w:hint="eastAsia" w:ascii="宋体" w:hAnsi="宋体" w:cs="宋体"/>
          <w:b/>
          <w:color w:val="auto"/>
          <w:sz w:val="36"/>
          <w:szCs w:val="36"/>
          <w:highlight w:val="none"/>
        </w:rPr>
        <w:t>第三部分   采购需求</w:t>
      </w:r>
    </w:p>
    <w:p w14:paraId="435B74F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kern w:val="0"/>
          <w:sz w:val="24"/>
          <w:szCs w:val="24"/>
          <w:highlight w:val="none"/>
          <w:lang w:val="en-US" w:eastAsia="zh-CN"/>
        </w:rPr>
      </w:pPr>
      <w:bookmarkStart w:id="27" w:name="_Toc24013"/>
      <w:r>
        <w:rPr>
          <w:rFonts w:hint="eastAsia" w:ascii="宋体" w:hAnsi="宋体" w:eastAsia="宋体" w:cs="宋体"/>
          <w:b/>
          <w:bCs/>
          <w:color w:val="auto"/>
          <w:kern w:val="0"/>
          <w:sz w:val="24"/>
          <w:szCs w:val="24"/>
          <w:highlight w:val="none"/>
        </w:rPr>
        <w:t>前附表</w:t>
      </w:r>
      <w:bookmarkEnd w:id="27"/>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206"/>
        <w:gridCol w:w="5191"/>
      </w:tblGrid>
      <w:tr w14:paraId="0911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jc w:val="center"/>
        </w:trPr>
        <w:tc>
          <w:tcPr>
            <w:tcW w:w="897" w:type="dxa"/>
            <w:noWrap w:val="0"/>
            <w:vAlign w:val="center"/>
          </w:tcPr>
          <w:p w14:paraId="281D725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b/>
                <w:sz w:val="24"/>
                <w:szCs w:val="24"/>
              </w:rPr>
            </w:pPr>
            <w:bookmarkStart w:id="28" w:name="_Toc317685548"/>
            <w:bookmarkStart w:id="29" w:name="_Toc329697494"/>
            <w:r>
              <w:rPr>
                <w:rFonts w:hint="eastAsia" w:ascii="宋体" w:hAnsi="宋体" w:eastAsia="宋体" w:cs="宋体"/>
                <w:b/>
                <w:sz w:val="24"/>
                <w:szCs w:val="24"/>
              </w:rPr>
              <w:t>序号</w:t>
            </w:r>
          </w:p>
        </w:tc>
        <w:tc>
          <w:tcPr>
            <w:tcW w:w="2206" w:type="dxa"/>
            <w:noWrap w:val="0"/>
            <w:vAlign w:val="center"/>
          </w:tcPr>
          <w:p w14:paraId="0BF2D5C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5191" w:type="dxa"/>
            <w:noWrap w:val="0"/>
            <w:vAlign w:val="center"/>
          </w:tcPr>
          <w:p w14:paraId="7B8202D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b/>
                <w:sz w:val="24"/>
                <w:szCs w:val="24"/>
              </w:rPr>
            </w:pPr>
            <w:r>
              <w:rPr>
                <w:rFonts w:hint="eastAsia" w:ascii="宋体" w:hAnsi="宋体" w:eastAsia="宋体" w:cs="宋体"/>
                <w:b/>
                <w:sz w:val="24"/>
                <w:szCs w:val="24"/>
              </w:rPr>
              <w:t>采购需求</w:t>
            </w:r>
            <w:r>
              <w:rPr>
                <w:rFonts w:hint="eastAsia" w:ascii="宋体" w:hAnsi="宋体" w:eastAsia="宋体" w:cs="宋体"/>
                <w:b/>
                <w:sz w:val="24"/>
                <w:szCs w:val="24"/>
                <w:lang w:eastAsia="zh-CN"/>
              </w:rPr>
              <w:t>、</w:t>
            </w:r>
            <w:r>
              <w:rPr>
                <w:rFonts w:hint="eastAsia" w:ascii="宋体" w:hAnsi="宋体" w:eastAsia="宋体" w:cs="宋体"/>
                <w:b/>
                <w:sz w:val="24"/>
                <w:szCs w:val="24"/>
              </w:rPr>
              <w:t>内容</w:t>
            </w:r>
          </w:p>
        </w:tc>
      </w:tr>
      <w:tr w14:paraId="4F5E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7" w:type="dxa"/>
            <w:noWrap w:val="0"/>
            <w:vAlign w:val="center"/>
          </w:tcPr>
          <w:p w14:paraId="5F4FC43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2206" w:type="dxa"/>
            <w:noWrap w:val="0"/>
            <w:vAlign w:val="center"/>
          </w:tcPr>
          <w:p w14:paraId="697CDB4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采购内容</w:t>
            </w:r>
          </w:p>
        </w:tc>
        <w:tc>
          <w:tcPr>
            <w:tcW w:w="5191" w:type="dxa"/>
            <w:noWrap w:val="0"/>
            <w:vAlign w:val="center"/>
          </w:tcPr>
          <w:p w14:paraId="5D56448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bCs/>
                <w:sz w:val="24"/>
                <w:szCs w:val="24"/>
              </w:rPr>
              <w:t>详见</w:t>
            </w:r>
            <w:r>
              <w:rPr>
                <w:rFonts w:hint="eastAsia" w:ascii="宋体" w:hAnsi="宋体" w:eastAsia="宋体" w:cs="宋体"/>
                <w:sz w:val="24"/>
                <w:szCs w:val="24"/>
                <w:lang w:eastAsia="zh-CN"/>
              </w:rPr>
              <w:t>本章</w:t>
            </w:r>
            <w:r>
              <w:rPr>
                <w:rFonts w:hint="eastAsia" w:ascii="宋体" w:hAnsi="宋体" w:eastAsia="宋体" w:cs="宋体"/>
                <w:sz w:val="24"/>
                <w:szCs w:val="24"/>
              </w:rPr>
              <w:t>内容</w:t>
            </w:r>
            <w:r>
              <w:rPr>
                <w:rFonts w:hint="eastAsia" w:ascii="宋体" w:hAnsi="宋体" w:eastAsia="宋体" w:cs="宋体"/>
                <w:sz w:val="24"/>
                <w:szCs w:val="24"/>
                <w:lang w:eastAsia="zh-CN"/>
              </w:rPr>
              <w:t>。</w:t>
            </w:r>
          </w:p>
        </w:tc>
      </w:tr>
      <w:tr w14:paraId="4FC7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7" w:type="dxa"/>
            <w:noWrap w:val="0"/>
            <w:vAlign w:val="center"/>
          </w:tcPr>
          <w:p w14:paraId="567CB1B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2206" w:type="dxa"/>
            <w:noWrap w:val="0"/>
            <w:vAlign w:val="center"/>
          </w:tcPr>
          <w:p w14:paraId="3218A91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单位及数量</w:t>
            </w:r>
          </w:p>
        </w:tc>
        <w:tc>
          <w:tcPr>
            <w:tcW w:w="5191" w:type="dxa"/>
            <w:noWrap w:val="0"/>
            <w:vAlign w:val="center"/>
          </w:tcPr>
          <w:p w14:paraId="0BB70B5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3年。</w:t>
            </w:r>
          </w:p>
        </w:tc>
      </w:tr>
      <w:tr w14:paraId="3757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97" w:type="dxa"/>
            <w:noWrap w:val="0"/>
            <w:vAlign w:val="center"/>
          </w:tcPr>
          <w:p w14:paraId="3FD2B5B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2206" w:type="dxa"/>
            <w:noWrap w:val="0"/>
            <w:vAlign w:val="center"/>
          </w:tcPr>
          <w:p w14:paraId="432A0D2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交付或者实施的</w:t>
            </w:r>
          </w:p>
          <w:p w14:paraId="05A63C9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时间和地点</w:t>
            </w:r>
          </w:p>
        </w:tc>
        <w:tc>
          <w:tcPr>
            <w:tcW w:w="5191" w:type="dxa"/>
            <w:noWrap w:val="0"/>
            <w:vAlign w:val="center"/>
          </w:tcPr>
          <w:p w14:paraId="603E4BE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实施</w:t>
            </w:r>
            <w:r>
              <w:rPr>
                <w:rFonts w:hint="eastAsia" w:ascii="宋体" w:hAnsi="宋体" w:eastAsia="宋体" w:cs="宋体"/>
                <w:bCs/>
                <w:sz w:val="24"/>
                <w:szCs w:val="24"/>
                <w:lang w:eastAsia="zh-CN"/>
              </w:rPr>
              <w:t>时间：</w:t>
            </w:r>
            <w:r>
              <w:rPr>
                <w:rFonts w:hint="eastAsia" w:ascii="宋体" w:hAnsi="宋体" w:eastAsia="宋体" w:cs="宋体"/>
                <w:bCs/>
                <w:sz w:val="24"/>
                <w:szCs w:val="24"/>
                <w:lang w:val="en-US" w:eastAsia="zh-CN"/>
              </w:rPr>
              <w:t>本项目一招三年，合同为一年一签。经采购人考核同意后，续订下一年度合同。</w:t>
            </w:r>
          </w:p>
          <w:p w14:paraId="62D39AD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rPr>
                <w:rFonts w:hint="eastAsia" w:ascii="宋体" w:hAnsi="宋体" w:eastAsia="宋体" w:cs="宋体"/>
                <w:sz w:val="24"/>
                <w:szCs w:val="24"/>
                <w:lang w:eastAsia="zh-CN"/>
              </w:rPr>
            </w:pPr>
            <w:r>
              <w:rPr>
                <w:rFonts w:hint="eastAsia" w:ascii="宋体" w:hAnsi="宋体" w:eastAsia="宋体" w:cs="宋体"/>
                <w:bCs/>
                <w:sz w:val="24"/>
                <w:szCs w:val="24"/>
              </w:rPr>
              <w:t>实施地点：详见</w:t>
            </w:r>
            <w:r>
              <w:rPr>
                <w:rFonts w:hint="eastAsia" w:ascii="宋体" w:hAnsi="宋体" w:eastAsia="宋体" w:cs="宋体"/>
                <w:bCs/>
                <w:sz w:val="24"/>
                <w:szCs w:val="24"/>
                <w:lang w:eastAsia="zh-CN"/>
              </w:rPr>
              <w:t>本章</w:t>
            </w:r>
            <w:r>
              <w:rPr>
                <w:rFonts w:hint="eastAsia" w:ascii="宋体" w:hAnsi="宋体" w:eastAsia="宋体" w:cs="宋体"/>
                <w:bCs/>
                <w:sz w:val="24"/>
                <w:szCs w:val="24"/>
              </w:rPr>
              <w:t>内容</w:t>
            </w:r>
            <w:r>
              <w:rPr>
                <w:rFonts w:hint="eastAsia" w:ascii="宋体" w:hAnsi="宋体" w:eastAsia="宋体" w:cs="宋体"/>
                <w:bCs/>
                <w:sz w:val="24"/>
                <w:szCs w:val="24"/>
                <w:lang w:eastAsia="zh-CN"/>
              </w:rPr>
              <w:t>。</w:t>
            </w:r>
          </w:p>
        </w:tc>
      </w:tr>
      <w:tr w14:paraId="5444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97" w:type="dxa"/>
            <w:noWrap w:val="0"/>
            <w:vAlign w:val="center"/>
          </w:tcPr>
          <w:p w14:paraId="36A9EB3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2206" w:type="dxa"/>
            <w:noWrap w:val="0"/>
            <w:vAlign w:val="center"/>
          </w:tcPr>
          <w:p w14:paraId="3957DCF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需实现的功能</w:t>
            </w:r>
          </w:p>
          <w:p w14:paraId="328120C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或者目标</w:t>
            </w:r>
          </w:p>
        </w:tc>
        <w:tc>
          <w:tcPr>
            <w:tcW w:w="5191" w:type="dxa"/>
            <w:noWrap w:val="0"/>
            <w:vAlign w:val="center"/>
          </w:tcPr>
          <w:p w14:paraId="50BC427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bCs/>
                <w:sz w:val="24"/>
                <w:szCs w:val="24"/>
              </w:rPr>
              <w:t>详见</w:t>
            </w:r>
            <w:r>
              <w:rPr>
                <w:rFonts w:hint="eastAsia" w:ascii="宋体" w:hAnsi="宋体" w:eastAsia="宋体" w:cs="宋体"/>
                <w:sz w:val="24"/>
                <w:szCs w:val="24"/>
                <w:lang w:eastAsia="zh-CN"/>
              </w:rPr>
              <w:t>本章</w:t>
            </w:r>
            <w:r>
              <w:rPr>
                <w:rFonts w:hint="eastAsia" w:ascii="宋体" w:hAnsi="宋体" w:eastAsia="宋体" w:cs="宋体"/>
                <w:sz w:val="24"/>
                <w:szCs w:val="24"/>
              </w:rPr>
              <w:t>内容</w:t>
            </w:r>
            <w:r>
              <w:rPr>
                <w:rFonts w:hint="eastAsia" w:ascii="宋体" w:hAnsi="宋体" w:eastAsia="宋体" w:cs="宋体"/>
                <w:sz w:val="24"/>
                <w:szCs w:val="24"/>
                <w:lang w:eastAsia="zh-CN"/>
              </w:rPr>
              <w:t>。</w:t>
            </w:r>
          </w:p>
        </w:tc>
      </w:tr>
      <w:tr w14:paraId="0F7C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97" w:type="dxa"/>
            <w:noWrap w:val="0"/>
            <w:vAlign w:val="center"/>
          </w:tcPr>
          <w:p w14:paraId="46C6EFB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2206" w:type="dxa"/>
            <w:noWrap w:val="0"/>
            <w:vAlign w:val="center"/>
          </w:tcPr>
          <w:p w14:paraId="0F15BB0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执行的标准、规范</w:t>
            </w:r>
          </w:p>
        </w:tc>
        <w:tc>
          <w:tcPr>
            <w:tcW w:w="5191" w:type="dxa"/>
            <w:noWrap w:val="0"/>
            <w:vAlign w:val="center"/>
          </w:tcPr>
          <w:p w14:paraId="1AA75C4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执行</w:t>
            </w:r>
            <w:r>
              <w:rPr>
                <w:rFonts w:hint="eastAsia" w:ascii="宋体" w:hAnsi="宋体" w:eastAsia="宋体" w:cs="宋体"/>
                <w:sz w:val="24"/>
                <w:szCs w:val="24"/>
                <w:lang w:eastAsia="zh-CN"/>
              </w:rPr>
              <w:t>有关</w:t>
            </w:r>
            <w:r>
              <w:rPr>
                <w:rFonts w:hint="eastAsia" w:ascii="宋体" w:hAnsi="宋体" w:eastAsia="宋体" w:cs="宋体"/>
                <w:sz w:val="24"/>
                <w:szCs w:val="24"/>
              </w:rPr>
              <w:t>国家、行业</w:t>
            </w:r>
            <w:r>
              <w:rPr>
                <w:rFonts w:hint="eastAsia" w:ascii="宋体" w:hAnsi="宋体" w:eastAsia="宋体" w:cs="宋体"/>
                <w:sz w:val="24"/>
                <w:szCs w:val="24"/>
                <w:lang w:eastAsia="zh-CN"/>
              </w:rPr>
              <w:t>、</w:t>
            </w:r>
            <w:r>
              <w:rPr>
                <w:rFonts w:hint="eastAsia" w:ascii="宋体" w:hAnsi="宋体" w:eastAsia="宋体" w:cs="宋体"/>
                <w:sz w:val="24"/>
                <w:szCs w:val="24"/>
              </w:rPr>
              <w:t>地方</w:t>
            </w:r>
            <w:r>
              <w:rPr>
                <w:rFonts w:hint="eastAsia" w:ascii="宋体" w:hAnsi="宋体" w:eastAsia="宋体" w:cs="宋体"/>
                <w:sz w:val="24"/>
                <w:szCs w:val="24"/>
                <w:lang w:eastAsia="zh-CN"/>
              </w:rPr>
              <w:t>的标准</w:t>
            </w:r>
            <w:r>
              <w:rPr>
                <w:rFonts w:hint="eastAsia" w:ascii="宋体" w:hAnsi="宋体" w:eastAsia="宋体" w:cs="宋体"/>
                <w:sz w:val="24"/>
                <w:szCs w:val="24"/>
              </w:rPr>
              <w:t>或者</w:t>
            </w:r>
            <w:r>
              <w:rPr>
                <w:rFonts w:hint="eastAsia" w:ascii="宋体" w:hAnsi="宋体" w:eastAsia="宋体" w:cs="宋体"/>
                <w:sz w:val="24"/>
                <w:szCs w:val="24"/>
                <w:lang w:eastAsia="zh-CN"/>
              </w:rPr>
              <w:t>其他</w:t>
            </w:r>
            <w:r>
              <w:rPr>
                <w:rFonts w:hint="eastAsia" w:ascii="宋体" w:hAnsi="宋体" w:eastAsia="宋体" w:cs="宋体"/>
                <w:sz w:val="24"/>
                <w:szCs w:val="24"/>
              </w:rPr>
              <w:t>标准、规范（如有）</w:t>
            </w:r>
            <w:r>
              <w:rPr>
                <w:rFonts w:hint="eastAsia" w:ascii="宋体" w:hAnsi="宋体" w:eastAsia="宋体" w:cs="宋体"/>
                <w:sz w:val="24"/>
                <w:szCs w:val="24"/>
                <w:lang w:eastAsia="zh-CN"/>
              </w:rPr>
              <w:t>。</w:t>
            </w:r>
          </w:p>
        </w:tc>
      </w:tr>
      <w:tr w14:paraId="469C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7" w:type="dxa"/>
            <w:noWrap w:val="0"/>
            <w:vAlign w:val="center"/>
          </w:tcPr>
          <w:p w14:paraId="0F3D42A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2206" w:type="dxa"/>
            <w:noWrap w:val="0"/>
            <w:vAlign w:val="center"/>
          </w:tcPr>
          <w:p w14:paraId="5CCA29C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5191" w:type="dxa"/>
            <w:noWrap w:val="0"/>
            <w:vAlign w:val="center"/>
          </w:tcPr>
          <w:p w14:paraId="56308E4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详见本章内容</w:t>
            </w:r>
            <w:r>
              <w:rPr>
                <w:rFonts w:hint="eastAsia" w:ascii="宋体" w:hAnsi="宋体" w:eastAsia="宋体" w:cs="宋体"/>
                <w:sz w:val="24"/>
                <w:szCs w:val="24"/>
                <w:lang w:eastAsia="zh-CN"/>
              </w:rPr>
              <w:t>。</w:t>
            </w:r>
          </w:p>
        </w:tc>
      </w:tr>
      <w:tr w14:paraId="20B3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7" w:type="dxa"/>
            <w:noWrap w:val="0"/>
            <w:vAlign w:val="center"/>
          </w:tcPr>
          <w:p w14:paraId="7016255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206" w:type="dxa"/>
            <w:noWrap w:val="0"/>
            <w:vAlign w:val="center"/>
          </w:tcPr>
          <w:p w14:paraId="17FBB5D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质量、安全要求</w:t>
            </w:r>
          </w:p>
        </w:tc>
        <w:tc>
          <w:tcPr>
            <w:tcW w:w="5191" w:type="dxa"/>
            <w:noWrap w:val="0"/>
            <w:vAlign w:val="center"/>
          </w:tcPr>
          <w:p w14:paraId="6D47D19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详见本章内容</w:t>
            </w:r>
            <w:r>
              <w:rPr>
                <w:rFonts w:hint="eastAsia" w:ascii="宋体" w:hAnsi="宋体" w:eastAsia="宋体" w:cs="宋体"/>
                <w:sz w:val="24"/>
                <w:szCs w:val="24"/>
                <w:lang w:eastAsia="zh-CN"/>
              </w:rPr>
              <w:t>。</w:t>
            </w:r>
          </w:p>
        </w:tc>
      </w:tr>
      <w:tr w14:paraId="3D33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7" w:type="dxa"/>
            <w:noWrap w:val="0"/>
            <w:vAlign w:val="center"/>
          </w:tcPr>
          <w:p w14:paraId="11CC1D1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206" w:type="dxa"/>
            <w:noWrap w:val="0"/>
            <w:vAlign w:val="center"/>
          </w:tcPr>
          <w:p w14:paraId="7FC7EC5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服务标准、期限、效率</w:t>
            </w:r>
            <w:r>
              <w:rPr>
                <w:rFonts w:hint="eastAsia" w:ascii="宋体" w:hAnsi="宋体" w:eastAsia="宋体" w:cs="宋体"/>
                <w:sz w:val="24"/>
                <w:szCs w:val="24"/>
                <w:lang w:eastAsia="zh-CN"/>
              </w:rPr>
              <w:t>等要求</w:t>
            </w:r>
          </w:p>
        </w:tc>
        <w:tc>
          <w:tcPr>
            <w:tcW w:w="5191" w:type="dxa"/>
            <w:noWrap w:val="0"/>
            <w:vAlign w:val="center"/>
          </w:tcPr>
          <w:p w14:paraId="39078FE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详见本章内容</w:t>
            </w:r>
            <w:r>
              <w:rPr>
                <w:rFonts w:hint="eastAsia" w:ascii="宋体" w:hAnsi="宋体" w:eastAsia="宋体" w:cs="宋体"/>
                <w:sz w:val="24"/>
                <w:szCs w:val="24"/>
                <w:lang w:eastAsia="zh-CN"/>
              </w:rPr>
              <w:t>。</w:t>
            </w:r>
          </w:p>
        </w:tc>
      </w:tr>
      <w:tr w14:paraId="798CB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897" w:type="dxa"/>
            <w:noWrap w:val="0"/>
            <w:vAlign w:val="center"/>
          </w:tcPr>
          <w:p w14:paraId="4E4DE0E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c>
          <w:tcPr>
            <w:tcW w:w="2206" w:type="dxa"/>
            <w:noWrap w:val="0"/>
            <w:vAlign w:val="center"/>
          </w:tcPr>
          <w:p w14:paraId="66C611C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现场踏勘</w:t>
            </w:r>
          </w:p>
        </w:tc>
        <w:tc>
          <w:tcPr>
            <w:tcW w:w="5191" w:type="dxa"/>
            <w:noWrap w:val="0"/>
            <w:vAlign w:val="center"/>
          </w:tcPr>
          <w:p w14:paraId="0306751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lang w:eastAsia="zh-CN"/>
              </w:rPr>
            </w:pPr>
            <w:r>
              <w:rPr>
                <w:rFonts w:hint="eastAsia" w:ascii="宋体" w:hAnsi="宋体" w:eastAsia="宋体" w:cs="宋体"/>
                <w:sz w:val="24"/>
                <w:szCs w:val="24"/>
              </w:rPr>
              <w:t>本项目不组织现场</w:t>
            </w:r>
            <w:r>
              <w:rPr>
                <w:rFonts w:hint="eastAsia" w:ascii="宋体" w:hAnsi="宋体" w:eastAsia="宋体" w:cs="宋体"/>
                <w:sz w:val="24"/>
                <w:szCs w:val="24"/>
                <w:lang w:eastAsia="zh-CN"/>
              </w:rPr>
              <w:t>踏勘</w:t>
            </w:r>
            <w:r>
              <w:rPr>
                <w:rFonts w:hint="eastAsia" w:hAnsi="宋体" w:eastAsia="宋体" w:cs="宋体"/>
                <w:sz w:val="24"/>
                <w:szCs w:val="24"/>
                <w:lang w:eastAsia="zh-CN"/>
              </w:rPr>
              <w:t>；</w:t>
            </w:r>
            <w:r>
              <w:rPr>
                <w:rFonts w:hint="eastAsia" w:ascii="宋体" w:hAnsi="宋体" w:eastAsia="宋体" w:cs="宋体"/>
                <w:sz w:val="24"/>
                <w:szCs w:val="24"/>
                <w:lang w:eastAsia="zh-CN"/>
              </w:rPr>
              <w:t>各</w:t>
            </w:r>
            <w:r>
              <w:rPr>
                <w:rFonts w:hint="eastAsia" w:ascii="宋体" w:hAnsi="宋体" w:eastAsia="宋体" w:cs="宋体"/>
                <w:sz w:val="24"/>
                <w:szCs w:val="24"/>
              </w:rPr>
              <w:t>供应商</w:t>
            </w:r>
            <w:r>
              <w:rPr>
                <w:rFonts w:hint="eastAsia" w:ascii="宋体" w:hAnsi="宋体" w:eastAsia="宋体" w:cs="宋体"/>
                <w:sz w:val="24"/>
                <w:szCs w:val="24"/>
                <w:lang w:eastAsia="zh-CN"/>
              </w:rPr>
              <w:t>可</w:t>
            </w:r>
            <w:r>
              <w:rPr>
                <w:rFonts w:hint="eastAsia" w:ascii="宋体" w:hAnsi="宋体" w:eastAsia="宋体" w:cs="宋体"/>
                <w:sz w:val="24"/>
                <w:szCs w:val="24"/>
              </w:rPr>
              <w:t>自行对本项目现场和</w:t>
            </w:r>
            <w:r>
              <w:rPr>
                <w:rFonts w:hint="eastAsia" w:ascii="宋体" w:hAnsi="宋体" w:eastAsia="宋体" w:cs="宋体"/>
                <w:sz w:val="24"/>
                <w:szCs w:val="24"/>
                <w:lang w:eastAsia="zh-CN"/>
              </w:rPr>
              <w:t>周边</w:t>
            </w:r>
            <w:r>
              <w:rPr>
                <w:rFonts w:hint="eastAsia" w:ascii="宋体" w:hAnsi="宋体" w:eastAsia="宋体" w:cs="宋体"/>
                <w:sz w:val="24"/>
                <w:szCs w:val="24"/>
              </w:rPr>
              <w:t>环境进行</w:t>
            </w:r>
            <w:r>
              <w:rPr>
                <w:rFonts w:hint="eastAsia" w:ascii="宋体" w:hAnsi="宋体" w:eastAsia="宋体" w:cs="宋体"/>
                <w:sz w:val="24"/>
                <w:szCs w:val="24"/>
                <w:lang w:eastAsia="zh-CN"/>
              </w:rPr>
              <w:t>踏勘，</w:t>
            </w:r>
            <w:r>
              <w:rPr>
                <w:rFonts w:hint="eastAsia" w:ascii="宋体" w:hAnsi="宋体" w:eastAsia="宋体" w:cs="宋体"/>
                <w:sz w:val="24"/>
                <w:szCs w:val="24"/>
              </w:rPr>
              <w:t>现场</w:t>
            </w:r>
            <w:r>
              <w:rPr>
                <w:rFonts w:hint="eastAsia" w:ascii="宋体" w:hAnsi="宋体" w:eastAsia="宋体" w:cs="宋体"/>
                <w:sz w:val="24"/>
                <w:szCs w:val="24"/>
                <w:lang w:eastAsia="zh-CN"/>
              </w:rPr>
              <w:t>踏勘</w:t>
            </w:r>
            <w:r>
              <w:rPr>
                <w:rFonts w:hint="eastAsia" w:ascii="宋体" w:hAnsi="宋体" w:eastAsia="宋体" w:cs="宋体"/>
                <w:sz w:val="24"/>
                <w:szCs w:val="24"/>
              </w:rPr>
              <w:t>所发生的费用由供应商</w:t>
            </w:r>
            <w:r>
              <w:rPr>
                <w:rFonts w:hint="eastAsia" w:ascii="宋体" w:hAnsi="宋体" w:eastAsia="宋体" w:cs="宋体"/>
                <w:sz w:val="24"/>
                <w:szCs w:val="24"/>
                <w:lang w:eastAsia="zh-CN"/>
              </w:rPr>
              <w:t>自行</w:t>
            </w:r>
            <w:r>
              <w:rPr>
                <w:rFonts w:hint="eastAsia" w:ascii="宋体" w:hAnsi="宋体" w:eastAsia="宋体" w:cs="宋体"/>
                <w:sz w:val="24"/>
                <w:szCs w:val="24"/>
              </w:rPr>
              <w:t>承担</w:t>
            </w:r>
            <w:r>
              <w:rPr>
                <w:rFonts w:hint="eastAsia" w:ascii="宋体" w:hAnsi="宋体" w:eastAsia="宋体" w:cs="宋体"/>
                <w:sz w:val="24"/>
                <w:szCs w:val="24"/>
                <w:lang w:eastAsia="zh-CN"/>
              </w:rPr>
              <w:t>；</w:t>
            </w:r>
            <w:r>
              <w:rPr>
                <w:rFonts w:hint="eastAsia" w:ascii="宋体" w:hAnsi="宋体" w:eastAsia="宋体" w:cs="宋体"/>
                <w:sz w:val="24"/>
                <w:szCs w:val="24"/>
              </w:rPr>
              <w:t>在</w:t>
            </w:r>
            <w:r>
              <w:rPr>
                <w:rFonts w:hint="eastAsia" w:ascii="宋体" w:hAnsi="宋体" w:eastAsia="宋体" w:cs="宋体"/>
                <w:sz w:val="24"/>
                <w:szCs w:val="24"/>
                <w:lang w:eastAsia="zh-CN"/>
              </w:rPr>
              <w:t>踏勘</w:t>
            </w:r>
            <w:r>
              <w:rPr>
                <w:rFonts w:hint="eastAsia" w:ascii="宋体" w:hAnsi="宋体" w:eastAsia="宋体" w:cs="宋体"/>
                <w:sz w:val="24"/>
                <w:szCs w:val="24"/>
              </w:rPr>
              <w:t>过程中</w:t>
            </w:r>
            <w:r>
              <w:rPr>
                <w:rFonts w:hint="eastAsia" w:ascii="宋体" w:hAnsi="宋体" w:eastAsia="宋体" w:cs="宋体"/>
                <w:sz w:val="24"/>
                <w:szCs w:val="24"/>
                <w:lang w:eastAsia="zh-CN"/>
              </w:rPr>
              <w:t>，供应商</w:t>
            </w:r>
            <w:r>
              <w:rPr>
                <w:rFonts w:hint="eastAsia" w:ascii="宋体" w:hAnsi="宋体" w:eastAsia="宋体" w:cs="宋体"/>
                <w:sz w:val="24"/>
                <w:szCs w:val="24"/>
              </w:rPr>
              <w:t>造成的</w:t>
            </w:r>
            <w:r>
              <w:rPr>
                <w:rFonts w:hint="eastAsia" w:ascii="宋体" w:hAnsi="宋体" w:eastAsia="宋体" w:cs="宋体"/>
                <w:sz w:val="24"/>
                <w:szCs w:val="24"/>
                <w:lang w:eastAsia="zh-CN"/>
              </w:rPr>
              <w:t>安全</w:t>
            </w:r>
            <w:r>
              <w:rPr>
                <w:rFonts w:hint="eastAsia" w:ascii="宋体" w:hAnsi="宋体" w:eastAsia="宋体" w:cs="宋体"/>
                <w:sz w:val="24"/>
                <w:szCs w:val="24"/>
              </w:rPr>
              <w:t>、财产损失</w:t>
            </w:r>
            <w:r>
              <w:rPr>
                <w:rFonts w:hint="eastAsia" w:ascii="宋体" w:hAnsi="宋体" w:eastAsia="宋体" w:cs="宋体"/>
                <w:sz w:val="24"/>
                <w:szCs w:val="24"/>
                <w:lang w:eastAsia="zh-CN"/>
              </w:rPr>
              <w:t>等问题由供应商自行承担。</w:t>
            </w:r>
          </w:p>
        </w:tc>
      </w:tr>
    </w:tbl>
    <w:p w14:paraId="3BE9BA9E">
      <w:pPr>
        <w:spacing w:line="360" w:lineRule="auto"/>
        <w:jc w:val="center"/>
        <w:rPr>
          <w:rFonts w:ascii="宋体" w:eastAsia="宋体" w:cs="宋体"/>
          <w:b/>
          <w:bCs/>
          <w:color w:val="000000"/>
        </w:rPr>
      </w:pPr>
      <w:r>
        <w:rPr>
          <w:rFonts w:hint="eastAsia" w:ascii="宋体" w:hAnsi="宋体" w:eastAsia="宋体" w:cs="宋体"/>
          <w:color w:val="auto"/>
          <w:kern w:val="0"/>
          <w:sz w:val="24"/>
          <w:szCs w:val="24"/>
          <w:highlight w:val="none"/>
        </w:rPr>
        <w:br w:type="page"/>
      </w:r>
      <w:bookmarkStart w:id="30" w:name="_Toc14740"/>
      <w:r>
        <w:rPr>
          <w:rFonts w:hint="eastAsia" w:ascii="宋体" w:hAnsi="宋体" w:eastAsia="宋体" w:cs="宋体"/>
          <w:b/>
          <w:bCs/>
          <w:color w:val="auto"/>
          <w:kern w:val="0"/>
          <w:sz w:val="36"/>
          <w:szCs w:val="36"/>
          <w:highlight w:val="none"/>
          <w:lang w:val="en-US" w:eastAsia="zh-CN" w:bidi="ar-SA"/>
        </w:rPr>
        <w:t>采购需求</w:t>
      </w:r>
      <w:bookmarkEnd w:id="30"/>
    </w:p>
    <w:p w14:paraId="046ED4F6">
      <w:pPr>
        <w:spacing w:line="360" w:lineRule="auto"/>
        <w:rPr>
          <w:rFonts w:hint="default" w:ascii="宋体" w:hAnsi="宋体" w:eastAsia="宋体" w:cs="宋体"/>
          <w:b/>
          <w:bCs/>
          <w:color w:val="000000"/>
          <w:kern w:val="0"/>
          <w:sz w:val="24"/>
          <w:lang w:val="en-US" w:eastAsia="zh-CN"/>
        </w:rPr>
      </w:pPr>
      <w:bookmarkStart w:id="31" w:name="_Toc509244948"/>
      <w:bookmarkStart w:id="32" w:name="_Toc4591"/>
      <w:r>
        <w:rPr>
          <w:rFonts w:hint="eastAsia" w:ascii="宋体" w:hAnsi="宋体" w:eastAsia="宋体" w:cs="宋体"/>
          <w:b/>
          <w:bCs/>
          <w:color w:val="000000"/>
          <w:kern w:val="0"/>
          <w:sz w:val="24"/>
        </w:rPr>
        <w:t>一、</w:t>
      </w:r>
      <w:r>
        <w:rPr>
          <w:rFonts w:hint="eastAsia" w:ascii="宋体" w:hAnsi="宋体" w:eastAsia="宋体" w:cs="宋体"/>
          <w:b/>
          <w:bCs/>
          <w:color w:val="000000"/>
          <w:kern w:val="0"/>
          <w:sz w:val="24"/>
          <w:lang w:val="en-US" w:eastAsia="zh-CN"/>
        </w:rPr>
        <w:t>项目概况</w:t>
      </w:r>
    </w:p>
    <w:p w14:paraId="21886D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宁海县柔石公园、正学公园、眠牛山公园、潘天寿广场内的水域面积约2.30万平方，现展开为期3年的水体水质养护服务，养护对象为柔石公园、正学公园、眠牛山公园、潘天寿广场水域范围内的水体水质、绿化以及部分景观设施等。具体服务时间以合同签订服务期限为准。</w:t>
      </w:r>
    </w:p>
    <w:p w14:paraId="3F280241">
      <w:pPr>
        <w:spacing w:line="360" w:lineRule="auto"/>
        <w:rPr>
          <w:rFonts w:hint="default"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二、项目服务内容及要求</w:t>
      </w:r>
    </w:p>
    <w:p w14:paraId="639E6211">
      <w:pPr>
        <w:spacing w:line="360" w:lineRule="auto"/>
        <w:ind w:firstLine="482" w:firstLineChars="200"/>
        <w:rPr>
          <w:rFonts w:hint="default"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2.1 项目目标</w:t>
      </w:r>
    </w:p>
    <w:p w14:paraId="41E401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水质保持为重点，以“水清、景美”为总体目标，通过对水域范围进行生态的养护，杜绝黑臭和富营养化现象，保持水域内的水质，特殊要求下还须提升相关水质等级。养护期间，柔石公园水质主要指标维持在Ⅱ类水标准，正学公园、眠牛山公园、潘天寿广场水质主要指标维持在Ⅲ类水标准。</w:t>
      </w:r>
    </w:p>
    <w:p w14:paraId="601FF42C">
      <w:pPr>
        <w:spacing w:line="360" w:lineRule="auto"/>
        <w:ind w:firstLine="482" w:firstLineChars="200"/>
        <w:rPr>
          <w:rFonts w:hint="default"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2.2 具体服务内容（包括但不限于）</w:t>
      </w:r>
    </w:p>
    <w:p w14:paraId="1A3AF6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（1）当水位长时间回不到正常水位时，通过就近取水，回水至正常水位；</w:t>
      </w:r>
    </w:p>
    <w:p w14:paraId="575E20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（2）保持适宜水生植物生长的水下地形；</w:t>
      </w:r>
    </w:p>
    <w:p w14:paraId="5BFE7E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（3）保持水体清洁，当有野杂草、垃圾废弃物、建筑石块等需清除时，宜采用人工形式清除打捞外运；</w:t>
      </w:r>
    </w:p>
    <w:p w14:paraId="623751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（4）对有害微生物、植物孢子等及时进行杀灭；</w:t>
      </w:r>
    </w:p>
    <w:p w14:paraId="0FAE22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（5）对管理范围内的警示牌、告示牌等及时进行维修或更换；</w:t>
      </w:r>
    </w:p>
    <w:p w14:paraId="126C0B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（6）对自然坏死、因病虫害、台风暴雨恶劣天气等原因造成水生植物死亡或缺失的，及时进行更换补种；</w:t>
      </w:r>
    </w:p>
    <w:p w14:paraId="437960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（7）对水生植物定期修剪，满足采购人和相关规范要求；</w:t>
      </w:r>
    </w:p>
    <w:p w14:paraId="02A546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（8）对收割的水草、漂浮的垃圾等及时清运并按规定处置，对污染物必须严格按规范进行清理和处置；</w:t>
      </w:r>
    </w:p>
    <w:p w14:paraId="1324EE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（9）水质保持或提升时，优先考虑微生物活化净化技术和水生动物净化技术等无污染或影响较小的技术手段；</w:t>
      </w:r>
    </w:p>
    <w:p w14:paraId="3C3D71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（10）不定期分解水体有机物，降解水体中的有机物及氨氮，抑制藻类、青苔等的生长，保证水体生长环境、保持水体质量和透明度等；</w:t>
      </w:r>
    </w:p>
    <w:p w14:paraId="466A8E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（11）台风、暴雨等强降水情况下，控制水位高度；灾害过境后第一时间保障水体质量稳定；</w:t>
      </w:r>
    </w:p>
    <w:p w14:paraId="02A3CB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（12）针对突发性的水污染，能第一时间作出对应的应急处置手段；突发性水系污染使用的改善制剂、拖网、隔污拦、吸油毡、水泵等工具能及时到位；</w:t>
      </w:r>
    </w:p>
    <w:p w14:paraId="0E12BB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（13）对水域范围进行日常维护、清理及水质监控，做好巡查记录、监测记录、应急记录等相关台账；</w:t>
      </w:r>
    </w:p>
    <w:p w14:paraId="658696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（14）供应商自行负责对水质的检测和监测；检测指标主要为：高锰酸盐指数、氨氮、总磷、透明度；检测频率：每季度分别不少于1次</w:t>
      </w:r>
      <w:r>
        <w:rPr>
          <w:rFonts w:hint="eastAsia" w:ascii="宋体" w:hAnsi="宋体" w:cs="宋体"/>
          <w:color w:val="auto"/>
          <w:sz w:val="24"/>
          <w:szCs w:val="24"/>
          <w:highlight w:val="none"/>
          <w:lang w:val="en-US" w:eastAsia="zh-CN"/>
        </w:rPr>
        <w:t>；</w:t>
      </w:r>
    </w:p>
    <w:p w14:paraId="3BFD8B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（15）采购人要求完成的其他养护和应急内容。</w:t>
      </w:r>
    </w:p>
    <w:p w14:paraId="3CE908B4">
      <w:pPr>
        <w:spacing w:line="360" w:lineRule="auto"/>
        <w:ind w:firstLine="482" w:firstLineChars="200"/>
        <w:rPr>
          <w:rFonts w:hint="default"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2.3 项目要求</w:t>
      </w:r>
    </w:p>
    <w:p w14:paraId="16DEEF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1、根据现行法规和采购人的有关要求，对柔石公园、正学公园、眠牛山公园、潘天寿广场内的水体（水质及水生植物等）进行有效的养护。</w:t>
      </w:r>
    </w:p>
    <w:p w14:paraId="67D96B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2、本项目养护涉及的所有作业方式与技术处理应以生态方式为主，不得对水域范围造成二次污染或生态破坏。</w:t>
      </w:r>
    </w:p>
    <w:p w14:paraId="2C5FAC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3、供应商应根据项目范围内的不同水质状况合理安排作业。如有必要进行水质提升的，应向采购人汇报相关情况。</w:t>
      </w:r>
    </w:p>
    <w:p w14:paraId="31BF28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4、供应商不得设置影响水域正常行洪排涝等功能的设施。</w:t>
      </w:r>
    </w:p>
    <w:p w14:paraId="600965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5、合同履行期间，供应商投入的设备、设施类型与数量除与响应文件中明确的一致外，还应自行配备完成养护所需的其他设备；如有实际需要，须根据水质情况增加相关设备，服务费用不予增补。</w:t>
      </w:r>
      <w:r>
        <w:rPr>
          <w:rFonts w:hint="eastAsia" w:ascii="宋体" w:hAnsi="宋体" w:cs="宋体"/>
          <w:b/>
          <w:bCs/>
          <w:color w:val="auto"/>
          <w:sz w:val="24"/>
          <w:highlight w:val="none"/>
        </w:rPr>
        <w:t>▲</w:t>
      </w:r>
      <w:r>
        <w:rPr>
          <w:rFonts w:hint="eastAsia" w:ascii="宋体" w:hAnsi="宋体" w:cs="宋体"/>
          <w:b/>
          <w:bCs/>
          <w:color w:val="auto"/>
          <w:sz w:val="24"/>
          <w:szCs w:val="24"/>
          <w:highlight w:val="none"/>
          <w:lang w:val="en-US" w:eastAsia="zh-CN"/>
        </w:rPr>
        <w:t>供应商须承诺中标后每个公园水域至少配备1艘作业用船，并在中标结果公告发布之日起30日内全部配备完毕。</w:t>
      </w:r>
    </w:p>
    <w:p w14:paraId="7BE8FC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6、供应商自行配备项目服务人员，合同履行期间，供应商不得随意更换已确定的项目组成员，如确需调整的应报请采购人确认。</w:t>
      </w:r>
      <w:r>
        <w:rPr>
          <w:rFonts w:hint="eastAsia" w:ascii="宋体" w:hAnsi="宋体" w:cs="宋体"/>
          <w:b/>
          <w:bCs/>
          <w:color w:val="auto"/>
          <w:sz w:val="24"/>
          <w:highlight w:val="none"/>
        </w:rPr>
        <w:t>▲</w:t>
      </w:r>
      <w:r>
        <w:rPr>
          <w:rFonts w:hint="eastAsia" w:ascii="宋体" w:hAnsi="宋体" w:cs="宋体"/>
          <w:b/>
          <w:bCs/>
          <w:color w:val="auto"/>
          <w:sz w:val="24"/>
          <w:szCs w:val="24"/>
          <w:highlight w:val="none"/>
          <w:lang w:val="en-US" w:eastAsia="zh-CN"/>
        </w:rPr>
        <w:t>供应商须配备项目负责人1名，每个公园水域至少配备1名养护工作人员。</w:t>
      </w:r>
    </w:p>
    <w:p w14:paraId="55C799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7、供应商必须重视安全生产工作，确保不出安全生产责任事故。如发生安全生产责任事故或交通事故，由供应商承担一切责任及损失。</w:t>
      </w:r>
    </w:p>
    <w:p w14:paraId="23695C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33" w:name="_Toc9121"/>
      <w:r>
        <w:rPr>
          <w:rFonts w:hint="eastAsia" w:ascii="宋体" w:hAnsi="宋体" w:eastAsia="宋体" w:cs="宋体"/>
          <w:color w:val="auto"/>
          <w:sz w:val="24"/>
          <w:szCs w:val="24"/>
          <w:highlight w:val="none"/>
          <w:lang w:val="en-US" w:eastAsia="zh-CN"/>
        </w:rPr>
        <w:t>8、供应商应按规定提供水质养护管理计划及落实有关措施，制定日常的管理制度。</w:t>
      </w:r>
      <w:bookmarkEnd w:id="33"/>
    </w:p>
    <w:p w14:paraId="0C1FFD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34" w:name="_Toc16197"/>
      <w:r>
        <w:rPr>
          <w:rFonts w:hint="eastAsia" w:ascii="宋体" w:hAnsi="宋体" w:eastAsia="宋体" w:cs="宋体"/>
          <w:color w:val="auto"/>
          <w:sz w:val="24"/>
          <w:szCs w:val="24"/>
          <w:highlight w:val="none"/>
          <w:lang w:val="en-US" w:eastAsia="zh-CN"/>
        </w:rPr>
        <w:t>9、供应商应按巡查和水质养护、水质监测内容记录台帐；并按时上报各类报表、台帐，以便采购人进行监督考核。</w:t>
      </w:r>
      <w:bookmarkEnd w:id="34"/>
    </w:p>
    <w:p w14:paraId="3BDD54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35" w:name="_Toc6827"/>
      <w:r>
        <w:rPr>
          <w:rFonts w:hint="eastAsia" w:ascii="宋体" w:hAnsi="宋体" w:eastAsia="宋体" w:cs="宋体"/>
          <w:color w:val="auto"/>
          <w:sz w:val="24"/>
          <w:szCs w:val="24"/>
          <w:highlight w:val="none"/>
          <w:lang w:val="en-US" w:eastAsia="zh-CN"/>
        </w:rPr>
        <w:t>10、供应商在菌种等投放过程中必须提前通知采购人并由采购人签字确认，否则后果自负。</w:t>
      </w:r>
      <w:bookmarkEnd w:id="35"/>
    </w:p>
    <w:p w14:paraId="397097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36" w:name="_Toc4231"/>
      <w:r>
        <w:rPr>
          <w:rFonts w:hint="eastAsia" w:ascii="宋体" w:hAnsi="宋体" w:eastAsia="宋体" w:cs="宋体"/>
          <w:color w:val="auto"/>
          <w:sz w:val="24"/>
          <w:szCs w:val="24"/>
          <w:highlight w:val="none"/>
          <w:lang w:val="en-US" w:eastAsia="zh-CN"/>
        </w:rPr>
        <w:t>11、供应商应制定详细的应急管理制度，做好水质应急管理工作。</w:t>
      </w:r>
      <w:bookmarkEnd w:id="36"/>
    </w:p>
    <w:p w14:paraId="04C3CD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37" w:name="_Toc5436"/>
      <w:r>
        <w:rPr>
          <w:rFonts w:hint="eastAsia" w:ascii="宋体" w:hAnsi="宋体" w:eastAsia="宋体" w:cs="宋体"/>
          <w:color w:val="auto"/>
          <w:sz w:val="24"/>
          <w:szCs w:val="24"/>
          <w:highlight w:val="none"/>
          <w:lang w:val="en-US" w:eastAsia="zh-CN"/>
        </w:rPr>
        <w:t>12、在遇水质突发恶化情况下，供应商需及时响应并到现场进行处理</w:t>
      </w:r>
      <w:bookmarkEnd w:id="37"/>
      <w:r>
        <w:rPr>
          <w:rFonts w:hint="eastAsia" w:ascii="宋体" w:hAnsi="宋体" w:eastAsia="宋体" w:cs="宋体"/>
          <w:color w:val="auto"/>
          <w:sz w:val="24"/>
          <w:szCs w:val="24"/>
          <w:highlight w:val="none"/>
          <w:lang w:val="en-US" w:eastAsia="zh-CN"/>
        </w:rPr>
        <w:t>。</w:t>
      </w:r>
    </w:p>
    <w:p w14:paraId="49A61D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38" w:name="_Toc6386"/>
      <w:r>
        <w:rPr>
          <w:rFonts w:hint="eastAsia" w:ascii="宋体" w:hAnsi="宋体" w:eastAsia="宋体" w:cs="宋体"/>
          <w:color w:val="auto"/>
          <w:sz w:val="24"/>
          <w:szCs w:val="24"/>
          <w:highlight w:val="none"/>
          <w:lang w:val="en-US" w:eastAsia="zh-CN"/>
        </w:rPr>
        <w:t>13、供应商应做好防汛防台应急工作，并服从采购人的统一指挥</w:t>
      </w:r>
      <w:bookmarkEnd w:id="38"/>
      <w:r>
        <w:rPr>
          <w:rFonts w:hint="eastAsia" w:ascii="宋体" w:hAnsi="宋体" w:eastAsia="宋体" w:cs="宋体"/>
          <w:color w:val="auto"/>
          <w:sz w:val="24"/>
          <w:szCs w:val="24"/>
          <w:highlight w:val="none"/>
          <w:lang w:val="en-US" w:eastAsia="zh-CN"/>
        </w:rPr>
        <w:t>。</w:t>
      </w:r>
    </w:p>
    <w:p w14:paraId="5FC987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bookmarkStart w:id="39" w:name="_Toc19012"/>
      <w:r>
        <w:rPr>
          <w:rFonts w:hint="eastAsia" w:ascii="宋体" w:hAnsi="宋体" w:eastAsia="宋体" w:cs="宋体"/>
          <w:color w:val="auto"/>
          <w:sz w:val="24"/>
          <w:szCs w:val="24"/>
          <w:highlight w:val="none"/>
          <w:lang w:val="en-US" w:eastAsia="zh-CN"/>
        </w:rPr>
        <w:t>14、在采购人的重大活动创建和检查期间，供应商应主动做好各类创建活动期间的水质保障</w:t>
      </w:r>
      <w:bookmarkEnd w:id="39"/>
      <w:bookmarkStart w:id="40" w:name="_Toc27422"/>
      <w:r>
        <w:rPr>
          <w:rFonts w:hint="eastAsia" w:ascii="宋体" w:hAnsi="宋体" w:eastAsia="宋体" w:cs="宋体"/>
          <w:color w:val="auto"/>
          <w:sz w:val="24"/>
          <w:szCs w:val="24"/>
          <w:highlight w:val="none"/>
          <w:lang w:val="en-US" w:eastAsia="zh-CN"/>
        </w:rPr>
        <w:t>，并服从采购人的统一指挥，必要时需加派人手。</w:t>
      </w:r>
    </w:p>
    <w:p w14:paraId="2DD1A6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自然灾害等发生前，供应商应提前做好相应的防患措施，若因供应商防患不力而造成的一切损失，由供应商自行承担。因自然灾害等原因造成水质发生变化且造成水质监测不合格的，供应商应在规定时限内改善。</w:t>
      </w:r>
      <w:bookmarkEnd w:id="40"/>
    </w:p>
    <w:p w14:paraId="0D2070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41" w:name="_Toc32004"/>
      <w:r>
        <w:rPr>
          <w:rFonts w:hint="eastAsia" w:ascii="宋体" w:hAnsi="宋体" w:eastAsia="宋体" w:cs="宋体"/>
          <w:color w:val="auto"/>
          <w:sz w:val="24"/>
          <w:szCs w:val="24"/>
          <w:highlight w:val="none"/>
          <w:lang w:val="en-US" w:eastAsia="zh-CN"/>
        </w:rPr>
        <w:t>16、供应商应保证提供服务过程中不会侵犯任何第三方的知识产权。</w:t>
      </w:r>
      <w:bookmarkEnd w:id="41"/>
    </w:p>
    <w:p w14:paraId="599A600C">
      <w:pPr>
        <w:spacing w:line="360" w:lineRule="auto"/>
        <w:ind w:firstLine="482" w:firstLineChars="200"/>
        <w:rPr>
          <w:rFonts w:hint="default"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2.4项目考核</w:t>
      </w:r>
    </w:p>
    <w:p w14:paraId="207E4F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1、采购人将不定期的对供应商养护服务质量进行考核</w:t>
      </w:r>
      <w:r>
        <w:rPr>
          <w:rFonts w:hint="eastAsia" w:ascii="宋体" w:hAnsi="宋体" w:cs="宋体"/>
          <w:color w:val="auto"/>
          <w:sz w:val="24"/>
          <w:szCs w:val="24"/>
          <w:highlight w:val="none"/>
          <w:lang w:val="en-US" w:eastAsia="zh-CN"/>
        </w:rPr>
        <w:t>，供应商应积极配合。</w:t>
      </w:r>
    </w:p>
    <w:p w14:paraId="42BCF9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服务期间，如发现水质标准降低或水质检测不合格的，供应商除被执行正常扣款责任外，还应提交书面整改措施；如供应商未及时提交书面整改措施，甲方有权单方面提前解除合同，合同余款不再支付，履约保证金不予退还。</w:t>
      </w:r>
    </w:p>
    <w:p w14:paraId="08280A6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三、执行标准与法规</w:t>
      </w:r>
    </w:p>
    <w:p w14:paraId="330C6B87">
      <w:pPr>
        <w:pageBreakBefore w:val="0"/>
        <w:tabs>
          <w:tab w:val="left" w:pos="1834"/>
        </w:tabs>
        <w:kinsoku/>
        <w:wordWrap/>
        <w:overflowPunct/>
        <w:topLinePunct w:val="0"/>
        <w:autoSpaceDE/>
        <w:autoSpaceDN/>
        <w:bidi w:val="0"/>
        <w:adjustRightInd/>
        <w:snapToGrid/>
        <w:spacing w:line="360" w:lineRule="auto"/>
        <w:ind w:left="0" w:leftChars="0" w:right="0"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（1）《DB3302/T 1117-2020 浙江省宁波市地方标准城市绿地养护技术规范》；</w:t>
      </w:r>
    </w:p>
    <w:p w14:paraId="577A2B4B">
      <w:pPr>
        <w:pageBreakBefore w:val="0"/>
        <w:tabs>
          <w:tab w:val="left" w:pos="1834"/>
        </w:tabs>
        <w:kinsoku/>
        <w:wordWrap/>
        <w:overflowPunct/>
        <w:topLinePunct w:val="0"/>
        <w:autoSpaceDE/>
        <w:autoSpaceDN/>
        <w:bidi w:val="0"/>
        <w:adjustRightInd/>
        <w:snapToGrid/>
        <w:spacing w:line="360" w:lineRule="auto"/>
        <w:ind w:left="0" w:leftChars="0" w:right="0"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（2）《DB3302/T 1016-2010 宁波市地方标准城市绿地养护质量等级标准》；</w:t>
      </w:r>
    </w:p>
    <w:p w14:paraId="486AC06B">
      <w:pPr>
        <w:pageBreakBefore w:val="0"/>
        <w:tabs>
          <w:tab w:val="left" w:pos="1834"/>
        </w:tabs>
        <w:kinsoku/>
        <w:wordWrap/>
        <w:overflowPunct/>
        <w:topLinePunct w:val="0"/>
        <w:autoSpaceDE/>
        <w:autoSpaceDN/>
        <w:bidi w:val="0"/>
        <w:adjustRightInd/>
        <w:snapToGrid/>
        <w:spacing w:line="360" w:lineRule="auto"/>
        <w:ind w:left="0" w:leftChars="0" w:right="0"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（3）《地表水环境质量标准》（GB 3838-2002）；</w:t>
      </w:r>
    </w:p>
    <w:p w14:paraId="48CD8AA9">
      <w:pPr>
        <w:pageBreakBefore w:val="0"/>
        <w:tabs>
          <w:tab w:val="left" w:pos="1834"/>
        </w:tabs>
        <w:kinsoku/>
        <w:wordWrap/>
        <w:overflowPunct/>
        <w:topLinePunct w:val="0"/>
        <w:autoSpaceDE/>
        <w:autoSpaceDN/>
        <w:bidi w:val="0"/>
        <w:adjustRightInd/>
        <w:snapToGrid/>
        <w:spacing w:line="360" w:lineRule="auto"/>
        <w:ind w:left="0" w:leftChars="0" w:right="0"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（4）其他有关国家、行业、地方的标准或者其他标准、规范。</w:t>
      </w:r>
    </w:p>
    <w:p w14:paraId="148372DA">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eastAsia="zh-CN"/>
        </w:rPr>
      </w:pPr>
    </w:p>
    <w:p w14:paraId="0254C2FE">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eastAsia="zh-CN"/>
        </w:rPr>
      </w:pPr>
    </w:p>
    <w:p w14:paraId="61B04EC6">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eastAsia="zh-CN"/>
        </w:rPr>
      </w:pPr>
    </w:p>
    <w:p w14:paraId="6CD1D4CC">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eastAsia="zh-CN"/>
        </w:rPr>
        <w:sectPr>
          <w:headerReference r:id="rId7" w:type="default"/>
          <w:footerReference r:id="rId8" w:type="default"/>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285" w:charSpace="0"/>
        </w:sectPr>
      </w:pPr>
    </w:p>
    <w:bookmarkEnd w:id="31"/>
    <w:bookmarkEnd w:id="32"/>
    <w:p w14:paraId="55F5AC0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一、重要商务要求一览表</w:t>
      </w:r>
    </w:p>
    <w:bookmarkEnd w:id="28"/>
    <w:bookmarkEnd w:id="29"/>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95"/>
        <w:gridCol w:w="6601"/>
      </w:tblGrid>
      <w:tr w14:paraId="29B07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293E081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b/>
                <w:bCs/>
                <w:sz w:val="24"/>
                <w:szCs w:val="24"/>
              </w:rPr>
            </w:pPr>
            <w:bookmarkStart w:id="42" w:name="_Toc513103337"/>
            <w:r>
              <w:rPr>
                <w:rFonts w:hint="eastAsia" w:ascii="宋体" w:hAnsi="宋体" w:eastAsia="宋体" w:cs="宋体"/>
                <w:b/>
                <w:bCs/>
                <w:sz w:val="24"/>
                <w:szCs w:val="24"/>
              </w:rPr>
              <w:t>项目</w:t>
            </w:r>
          </w:p>
        </w:tc>
        <w:tc>
          <w:tcPr>
            <w:tcW w:w="6601" w:type="dxa"/>
            <w:tcBorders>
              <w:top w:val="single" w:color="auto" w:sz="4" w:space="0"/>
              <w:left w:val="single" w:color="auto" w:sz="4" w:space="0"/>
              <w:bottom w:val="single" w:color="auto" w:sz="4" w:space="0"/>
              <w:right w:val="single" w:color="auto" w:sz="4" w:space="0"/>
            </w:tcBorders>
            <w:noWrap w:val="0"/>
            <w:vAlign w:val="center"/>
          </w:tcPr>
          <w:p w14:paraId="7C2E156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要求</w:t>
            </w:r>
          </w:p>
        </w:tc>
      </w:tr>
      <w:tr w14:paraId="48CAA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39F5CEB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1、服务期限及地点</w:t>
            </w:r>
          </w:p>
        </w:tc>
        <w:tc>
          <w:tcPr>
            <w:tcW w:w="6601" w:type="dxa"/>
            <w:tcBorders>
              <w:top w:val="single" w:color="auto" w:sz="4" w:space="0"/>
              <w:left w:val="single" w:color="auto" w:sz="4" w:space="0"/>
              <w:bottom w:val="single" w:color="auto" w:sz="4" w:space="0"/>
              <w:right w:val="single" w:color="auto" w:sz="4" w:space="0"/>
            </w:tcBorders>
            <w:noWrap w:val="0"/>
            <w:vAlign w:val="center"/>
          </w:tcPr>
          <w:p w14:paraId="47990004">
            <w:pPr>
              <w:spacing w:line="360" w:lineRule="exact"/>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rPr>
              <w:t>（1）时间：</w:t>
            </w:r>
            <w:r>
              <w:rPr>
                <w:rFonts w:hint="eastAsia" w:ascii="宋体" w:hAnsi="宋体" w:eastAsia="宋体" w:cs="宋体"/>
                <w:color w:val="auto"/>
                <w:kern w:val="0"/>
                <w:sz w:val="24"/>
                <w:szCs w:val="24"/>
                <w:lang w:val="en-US" w:eastAsia="zh-CN"/>
              </w:rPr>
              <w:t>本项目一招三年，合同为一年一签。经采购人考核同意后，续订下一年度合同。</w:t>
            </w:r>
          </w:p>
          <w:p w14:paraId="700CF16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Theme="minorEastAsia" w:hAnsiTheme="minorEastAsia" w:eastAsiaTheme="minorEastAsia" w:cstheme="minorEastAsia"/>
                <w:bCs/>
                <w:sz w:val="24"/>
              </w:rPr>
              <w:t>（2）地点：</w:t>
            </w:r>
            <w:r>
              <w:rPr>
                <w:rFonts w:hint="eastAsia" w:ascii="宋体" w:hAnsi="宋体" w:eastAsia="宋体" w:cs="宋体"/>
                <w:sz w:val="24"/>
                <w:szCs w:val="24"/>
                <w:lang w:val="en-US" w:eastAsia="zh-CN"/>
              </w:rPr>
              <w:t>宁海县城区，采购人指定地点</w:t>
            </w:r>
            <w:r>
              <w:rPr>
                <w:rFonts w:hint="eastAsia" w:ascii="宋体" w:hAnsi="宋体" w:eastAsia="宋体" w:cs="宋体"/>
                <w:sz w:val="24"/>
                <w:szCs w:val="24"/>
                <w:lang w:eastAsia="zh-CN"/>
              </w:rPr>
              <w:t>。</w:t>
            </w:r>
          </w:p>
        </w:tc>
      </w:tr>
      <w:tr w14:paraId="59873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2F9AE92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2、付款方式</w:t>
            </w:r>
          </w:p>
        </w:tc>
        <w:tc>
          <w:tcPr>
            <w:tcW w:w="6601" w:type="dxa"/>
            <w:tcBorders>
              <w:top w:val="single" w:color="auto" w:sz="4" w:space="0"/>
              <w:left w:val="single" w:color="auto" w:sz="4" w:space="0"/>
              <w:bottom w:val="single" w:color="auto" w:sz="4" w:space="0"/>
              <w:right w:val="single" w:color="auto" w:sz="4" w:space="0"/>
            </w:tcBorders>
            <w:noWrap w:val="0"/>
            <w:vAlign w:val="center"/>
          </w:tcPr>
          <w:p w14:paraId="31873DB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（1）合同生效以及具备实施条件后，7个工作日内支付单年合同价的20%作为预付款；</w:t>
            </w:r>
          </w:p>
          <w:p w14:paraId="594523F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（2）剩余服务报酬按季度平均支付；</w:t>
            </w:r>
          </w:p>
          <w:p w14:paraId="07683BB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（3）合同服务期限内所有费用为包干价，</w:t>
            </w:r>
            <w:r>
              <w:rPr>
                <w:rFonts w:hint="eastAsia" w:ascii="宋体" w:hAnsi="宋体" w:eastAsia="宋体" w:cs="宋体"/>
                <w:color w:val="auto"/>
                <w:sz w:val="24"/>
                <w:szCs w:val="24"/>
                <w:lang w:val="en-US" w:eastAsia="zh-CN"/>
              </w:rPr>
              <w:t>如水域养护面积发生增加或减少的情况，供应商须积极配合采购人做出的相关调整，服务报酬根据实际水域养护面积结合中标单价计算调整。</w:t>
            </w:r>
          </w:p>
          <w:p w14:paraId="30955B2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color w:val="auto"/>
                <w:lang w:eastAsia="zh-CN"/>
              </w:rPr>
            </w:pPr>
            <w:r>
              <w:rPr>
                <w:rFonts w:hint="eastAsia" w:asciiTheme="minorEastAsia" w:hAnsiTheme="minorEastAsia" w:eastAsiaTheme="minorEastAsia" w:cstheme="minorEastAsia"/>
                <w:bCs/>
                <w:sz w:val="24"/>
                <w:lang w:val="en-US" w:eastAsia="zh-CN"/>
              </w:rPr>
              <w:t>注：如供应商未能按要求完成相关工作或存在弄虚作假的，采购人有权不支付任何费用，并没收其履约保证金。</w:t>
            </w:r>
          </w:p>
        </w:tc>
      </w:tr>
      <w:tr w14:paraId="337E9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64284BAC">
            <w:pPr>
              <w:spacing w:line="360" w:lineRule="exact"/>
              <w:rPr>
                <w:rFonts w:hint="eastAsia" w:ascii="宋体" w:hAnsi="宋体" w:eastAsia="宋体" w:cs="宋体"/>
                <w:sz w:val="24"/>
                <w:szCs w:val="24"/>
              </w:rPr>
            </w:pPr>
            <w:r>
              <w:rPr>
                <w:rFonts w:hint="eastAsia" w:ascii="宋体" w:hAnsi="宋体" w:cs="宋体"/>
                <w:color w:val="auto"/>
                <w:sz w:val="24"/>
                <w:lang w:val="en-US" w:eastAsia="zh-CN"/>
              </w:rPr>
              <w:t>3</w:t>
            </w:r>
            <w:r>
              <w:rPr>
                <w:rFonts w:hint="eastAsia" w:ascii="宋体" w:hAnsi="宋体" w:cs="宋体"/>
                <w:color w:val="auto"/>
                <w:sz w:val="24"/>
              </w:rPr>
              <w:t>、履约保证金</w:t>
            </w:r>
          </w:p>
        </w:tc>
        <w:tc>
          <w:tcPr>
            <w:tcW w:w="6601" w:type="dxa"/>
            <w:tcBorders>
              <w:top w:val="single" w:color="auto" w:sz="4" w:space="0"/>
              <w:left w:val="single" w:color="auto" w:sz="4" w:space="0"/>
              <w:bottom w:val="single" w:color="auto" w:sz="4" w:space="0"/>
              <w:right w:val="single" w:color="auto" w:sz="4" w:space="0"/>
            </w:tcBorders>
            <w:noWrap w:val="0"/>
            <w:vAlign w:val="center"/>
          </w:tcPr>
          <w:p w14:paraId="0B198C0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（1）履约保证金金额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合同价的</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14:paraId="1BBA855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rPr>
              <w:t>（2）履约保证金形式：银行汇票（电汇）、支票（仅限于使用宁波大市区范围内的银行开具的支票）、保险保单和银行保函等形式。</w:t>
            </w:r>
          </w:p>
          <w:p w14:paraId="0F72D51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）履约保证金的</w:t>
            </w:r>
            <w:r>
              <w:rPr>
                <w:rFonts w:hint="eastAsia" w:ascii="宋体" w:hAnsi="宋体" w:eastAsia="宋体" w:cs="宋体"/>
                <w:sz w:val="24"/>
                <w:szCs w:val="24"/>
                <w:lang w:eastAsia="zh-CN"/>
              </w:rPr>
              <w:t>退还：</w:t>
            </w:r>
            <w:r>
              <w:rPr>
                <w:rFonts w:hint="eastAsia" w:ascii="宋体" w:hAnsi="宋体" w:eastAsia="宋体" w:cs="宋体"/>
                <w:sz w:val="24"/>
                <w:szCs w:val="24"/>
              </w:rPr>
              <w:t>履约保证金在</w:t>
            </w:r>
            <w:r>
              <w:rPr>
                <w:rFonts w:hint="eastAsia" w:ascii="宋体" w:hAnsi="宋体" w:eastAsia="宋体" w:cs="宋体"/>
                <w:sz w:val="24"/>
                <w:szCs w:val="24"/>
                <w:lang w:eastAsia="zh-CN"/>
              </w:rPr>
              <w:t>供应商</w:t>
            </w:r>
            <w:r>
              <w:rPr>
                <w:rFonts w:hint="eastAsia" w:ascii="宋体" w:hAnsi="宋体" w:eastAsia="宋体" w:cs="宋体"/>
                <w:sz w:val="24"/>
                <w:szCs w:val="24"/>
              </w:rPr>
              <w:t>完成</w:t>
            </w:r>
            <w:r>
              <w:rPr>
                <w:rFonts w:hint="eastAsia" w:ascii="宋体" w:hAnsi="宋体" w:eastAsia="宋体" w:cs="宋体"/>
                <w:sz w:val="24"/>
                <w:szCs w:val="24"/>
                <w:lang w:eastAsia="zh-CN"/>
              </w:rPr>
              <w:t>全部</w:t>
            </w:r>
            <w:r>
              <w:rPr>
                <w:rFonts w:hint="eastAsia" w:ascii="宋体" w:hAnsi="宋体" w:eastAsia="宋体" w:cs="宋体"/>
                <w:sz w:val="24"/>
                <w:szCs w:val="24"/>
              </w:rPr>
              <w:t>合同履约</w:t>
            </w:r>
            <w:r>
              <w:rPr>
                <w:rFonts w:hint="eastAsia" w:ascii="宋体" w:hAnsi="宋体" w:eastAsia="宋体" w:cs="宋体"/>
                <w:sz w:val="24"/>
                <w:szCs w:val="24"/>
                <w:lang w:eastAsia="zh-CN"/>
              </w:rPr>
              <w:t>内容</w:t>
            </w:r>
            <w:r>
              <w:rPr>
                <w:rFonts w:hint="eastAsia" w:ascii="宋体" w:hAnsi="宋体" w:eastAsia="宋体" w:cs="宋体"/>
                <w:sz w:val="24"/>
                <w:szCs w:val="24"/>
              </w:rPr>
              <w:t>后无息退还。</w:t>
            </w:r>
          </w:p>
          <w:p w14:paraId="26C501B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注：</w:t>
            </w:r>
            <w:r>
              <w:rPr>
                <w:rFonts w:hint="eastAsia" w:ascii="宋体" w:hAnsi="宋体" w:eastAsia="宋体" w:cs="宋体"/>
                <w:sz w:val="24"/>
                <w:szCs w:val="24"/>
              </w:rPr>
              <w:t>如</w:t>
            </w:r>
            <w:r>
              <w:rPr>
                <w:rFonts w:hint="eastAsia" w:ascii="宋体" w:hAnsi="宋体" w:eastAsia="宋体" w:cs="宋体"/>
                <w:sz w:val="24"/>
                <w:szCs w:val="24"/>
                <w:lang w:eastAsia="zh-CN"/>
              </w:rPr>
              <w:t>供应商</w:t>
            </w:r>
            <w:r>
              <w:rPr>
                <w:rFonts w:hint="eastAsia" w:ascii="宋体" w:hAnsi="宋体" w:eastAsia="宋体" w:cs="宋体"/>
                <w:sz w:val="24"/>
                <w:szCs w:val="24"/>
              </w:rPr>
              <w:t>未能履行合同规定的任何义务</w:t>
            </w:r>
            <w:r>
              <w:rPr>
                <w:rFonts w:hint="eastAsia" w:ascii="宋体" w:hAnsi="宋体" w:eastAsia="宋体" w:cs="宋体"/>
                <w:sz w:val="24"/>
                <w:szCs w:val="24"/>
                <w:lang w:eastAsia="zh-CN"/>
              </w:rPr>
              <w:t>，</w:t>
            </w:r>
            <w:r>
              <w:rPr>
                <w:rFonts w:hint="eastAsia" w:ascii="宋体" w:hAnsi="宋体" w:eastAsia="宋体" w:cs="宋体"/>
                <w:sz w:val="24"/>
                <w:szCs w:val="24"/>
              </w:rPr>
              <w:t>采购人有权扣除履约保证金</w:t>
            </w:r>
            <w:r>
              <w:rPr>
                <w:rFonts w:hint="eastAsia" w:ascii="宋体" w:hAnsi="宋体" w:eastAsia="宋体" w:cs="宋体"/>
                <w:sz w:val="24"/>
                <w:szCs w:val="24"/>
                <w:lang w:eastAsia="zh-CN"/>
              </w:rPr>
              <w:t>。</w:t>
            </w:r>
          </w:p>
        </w:tc>
      </w:tr>
      <w:tr w14:paraId="2350F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566298BC">
            <w:pPr>
              <w:tabs>
                <w:tab w:val="left" w:pos="3234"/>
              </w:tabs>
              <w:spacing w:line="360" w:lineRule="exact"/>
              <w:rPr>
                <w:rFonts w:hint="eastAsia" w:ascii="宋体" w:hAnsi="宋体" w:eastAsia="宋体" w:cs="宋体"/>
                <w:sz w:val="24"/>
                <w:szCs w:val="24"/>
              </w:rPr>
            </w:pPr>
            <w:r>
              <w:rPr>
                <w:rFonts w:hint="eastAsia" w:ascii="宋体" w:hAnsi="宋体" w:cs="宋体"/>
                <w:sz w:val="24"/>
                <w:lang w:val="en-US" w:eastAsia="zh-CN"/>
              </w:rPr>
              <w:t>4</w:t>
            </w:r>
            <w:r>
              <w:rPr>
                <w:rFonts w:hint="eastAsia" w:ascii="宋体" w:hAnsi="宋体" w:cs="宋体"/>
                <w:sz w:val="24"/>
              </w:rPr>
              <w:t>、合同终止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退出机制</w:t>
            </w:r>
            <w:r>
              <w:rPr>
                <w:rFonts w:hint="eastAsia" w:ascii="宋体" w:hAnsi="宋体" w:eastAsia="宋体" w:cs="宋体"/>
                <w:sz w:val="24"/>
                <w:szCs w:val="24"/>
                <w:lang w:eastAsia="zh-CN"/>
              </w:rPr>
              <w:t>）</w:t>
            </w:r>
          </w:p>
        </w:tc>
        <w:tc>
          <w:tcPr>
            <w:tcW w:w="6601" w:type="dxa"/>
            <w:tcBorders>
              <w:top w:val="single" w:color="auto" w:sz="4" w:space="0"/>
              <w:left w:val="single" w:color="auto" w:sz="4" w:space="0"/>
              <w:bottom w:val="single" w:color="auto" w:sz="4" w:space="0"/>
              <w:right w:val="single" w:color="auto" w:sz="4" w:space="0"/>
            </w:tcBorders>
            <w:noWrap w:val="0"/>
            <w:vAlign w:val="center"/>
          </w:tcPr>
          <w:p w14:paraId="16EF7E0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（1）供应商在合同有效期内，不得无理由终止合同，确有特殊情况的，须提前向采购人提出书面申请，经采购人同意后，方可终止合同。</w:t>
            </w:r>
          </w:p>
          <w:p w14:paraId="56C2E2A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（2）供应商在服务过程中，发生如下情况的，采购人有权终止合同，采购人将以书面形式提前一个月通知中标人，服务费按实际结算，多退少补：</w:t>
            </w:r>
          </w:p>
          <w:p w14:paraId="3C6DBB4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①合同服务期内，</w:t>
            </w:r>
            <w:r>
              <w:rPr>
                <w:rFonts w:hint="eastAsia" w:ascii="宋体" w:hAnsi="宋体" w:eastAsia="宋体" w:cs="宋体"/>
                <w:color w:val="auto"/>
                <w:sz w:val="24"/>
                <w:szCs w:val="24"/>
                <w:highlight w:val="none"/>
                <w:lang w:val="en-US" w:eastAsia="zh-CN"/>
              </w:rPr>
              <w:t>水质标准降低或水质检测不合格时，接采购人通知后，拒不整改或整改不及时的</w:t>
            </w:r>
            <w:r>
              <w:rPr>
                <w:rFonts w:hint="eastAsia" w:ascii="宋体" w:hAnsi="宋体" w:eastAsia="宋体" w:cs="宋体"/>
                <w:sz w:val="24"/>
                <w:szCs w:val="24"/>
                <w:lang w:val="en-US" w:eastAsia="zh-CN"/>
              </w:rPr>
              <w:t>；</w:t>
            </w:r>
          </w:p>
          <w:p w14:paraId="645672A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②供应商拖欠员工工资导致被投诉，造成采购人恶劣影响的；</w:t>
            </w:r>
          </w:p>
          <w:p w14:paraId="0CFF386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③因不可抗力、政策调整等原因，项目需要重新进行招标或已无法继续实施的；</w:t>
            </w:r>
          </w:p>
          <w:p w14:paraId="5E943FD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④采购人要求供应商对其养护方式、养护工艺、养护人员等进行整改、教育或更换，供应商拒不执行且无正当理由的，发生2次（不含）以上时；</w:t>
            </w:r>
          </w:p>
          <w:p w14:paraId="052FF8C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⑤被认定为重大差错事故或弄虚作假的其他事项。</w:t>
            </w:r>
          </w:p>
          <w:p w14:paraId="4DE35C6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（3）供应商不论何种原因解除合同（退出项目），须做好对接工作，保证采购人养护工作的顺利过渡，否则采购人有权扣除全部履约保证金。</w:t>
            </w:r>
          </w:p>
        </w:tc>
      </w:tr>
      <w:tr w14:paraId="606C3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3BDEB0F8">
            <w:pPr>
              <w:tabs>
                <w:tab w:val="left" w:pos="3234"/>
              </w:tabs>
              <w:spacing w:line="360" w:lineRule="exact"/>
              <w:rPr>
                <w:rFonts w:hint="eastAsia" w:ascii="宋体" w:hAnsi="宋体" w:eastAsia="宋体" w:cs="宋体"/>
                <w:kern w:val="2"/>
                <w:sz w:val="24"/>
                <w:szCs w:val="24"/>
                <w:lang w:val="en-US" w:eastAsia="zh-CN" w:bidi="ar-SA"/>
              </w:rPr>
            </w:pPr>
            <w:r>
              <w:rPr>
                <w:rFonts w:hint="eastAsia" w:ascii="宋体" w:hAnsi="宋体" w:cs="宋体"/>
                <w:sz w:val="24"/>
                <w:lang w:val="en-US" w:eastAsia="zh-CN"/>
              </w:rPr>
              <w:t>5</w:t>
            </w:r>
            <w:r>
              <w:rPr>
                <w:rFonts w:hint="eastAsia" w:ascii="宋体" w:hAnsi="宋体" w:cs="宋体"/>
                <w:sz w:val="24"/>
              </w:rPr>
              <w:t>、其他</w:t>
            </w:r>
          </w:p>
        </w:tc>
        <w:tc>
          <w:tcPr>
            <w:tcW w:w="6601" w:type="dxa"/>
            <w:tcBorders>
              <w:top w:val="single" w:color="auto" w:sz="4" w:space="0"/>
              <w:left w:val="single" w:color="auto" w:sz="4" w:space="0"/>
              <w:bottom w:val="single" w:color="auto" w:sz="4" w:space="0"/>
              <w:right w:val="single" w:color="auto" w:sz="4" w:space="0"/>
            </w:tcBorders>
            <w:noWrap w:val="0"/>
            <w:vAlign w:val="center"/>
          </w:tcPr>
          <w:p w14:paraId="778FF51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①</w:t>
            </w:r>
            <w:r>
              <w:rPr>
                <w:rFonts w:hint="eastAsia" w:ascii="宋体" w:hAnsi="宋体" w:eastAsia="宋体" w:cs="宋体"/>
                <w:b/>
                <w:bCs/>
                <w:sz w:val="24"/>
                <w:szCs w:val="24"/>
                <w:lang w:val="en-US" w:eastAsia="zh-CN"/>
              </w:rPr>
              <w:t>供应商可在采购人</w:t>
            </w:r>
            <w:r>
              <w:rPr>
                <w:rFonts w:hint="eastAsia" w:ascii="宋体" w:hAnsi="宋体" w:eastAsia="宋体" w:cs="宋体"/>
                <w:b/>
                <w:bCs/>
                <w:sz w:val="24"/>
                <w:szCs w:val="24"/>
                <w:lang w:eastAsia="zh-CN"/>
              </w:rPr>
              <w:t>所在区域设立固定服务维护场所，便于在需要时及时安排相关服务。</w:t>
            </w:r>
          </w:p>
          <w:p w14:paraId="59A330A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②</w:t>
            </w:r>
            <w:r>
              <w:rPr>
                <w:rFonts w:hint="eastAsia" w:ascii="宋体" w:hAnsi="宋体" w:eastAsia="宋体" w:cs="宋体"/>
                <w:b/>
                <w:bCs/>
                <w:sz w:val="24"/>
                <w:szCs w:val="24"/>
                <w:lang w:val="en-US" w:eastAsia="zh-CN"/>
              </w:rPr>
              <w:t>应急</w:t>
            </w:r>
            <w:r>
              <w:rPr>
                <w:rFonts w:hint="eastAsia" w:ascii="宋体" w:hAnsi="宋体" w:eastAsia="宋体" w:cs="宋体"/>
                <w:b/>
                <w:bCs/>
                <w:sz w:val="24"/>
                <w:szCs w:val="24"/>
                <w:lang w:eastAsia="zh-CN"/>
              </w:rPr>
              <w:t>响应应在接到通知后</w:t>
            </w:r>
            <w:r>
              <w:rPr>
                <w:rFonts w:hint="eastAsia" w:ascii="宋体" w:hAnsi="宋体" w:eastAsia="宋体" w:cs="宋体"/>
                <w:b/>
                <w:bCs/>
                <w:sz w:val="24"/>
                <w:szCs w:val="24"/>
                <w:lang w:val="en-US" w:eastAsia="zh-CN"/>
              </w:rPr>
              <w:t>30</w:t>
            </w:r>
            <w:r>
              <w:rPr>
                <w:rFonts w:hint="eastAsia" w:ascii="宋体" w:hAnsi="宋体" w:eastAsia="宋体" w:cs="宋体"/>
                <w:b/>
                <w:bCs/>
                <w:sz w:val="24"/>
                <w:szCs w:val="24"/>
                <w:lang w:eastAsia="zh-CN"/>
              </w:rPr>
              <w:t>分钟内做出响应。</w:t>
            </w:r>
          </w:p>
          <w:p w14:paraId="44C940D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③按照</w:t>
            </w:r>
            <w:r>
              <w:rPr>
                <w:rFonts w:hint="eastAsia" w:ascii="宋体" w:hAnsi="宋体" w:cs="宋体"/>
                <w:b/>
                <w:bCs/>
                <w:sz w:val="24"/>
                <w:szCs w:val="24"/>
                <w:lang w:val="en-US" w:eastAsia="zh-CN"/>
              </w:rPr>
              <w:t>招标</w:t>
            </w:r>
            <w:r>
              <w:rPr>
                <w:rFonts w:hint="eastAsia" w:ascii="宋体" w:hAnsi="宋体" w:eastAsia="宋体" w:cs="宋体"/>
                <w:b/>
                <w:bCs/>
                <w:sz w:val="24"/>
                <w:szCs w:val="24"/>
                <w:lang w:eastAsia="zh-CN"/>
              </w:rPr>
              <w:t>文件确定的事项、采购内容变更的规定、</w:t>
            </w:r>
            <w:r>
              <w:rPr>
                <w:rFonts w:hint="eastAsia" w:ascii="宋体" w:hAnsi="宋体" w:eastAsia="宋体" w:cs="宋体"/>
                <w:b/>
                <w:bCs/>
                <w:sz w:val="24"/>
                <w:szCs w:val="24"/>
                <w:lang w:val="en-US" w:eastAsia="zh-CN"/>
              </w:rPr>
              <w:t>供应商</w:t>
            </w:r>
            <w:r>
              <w:rPr>
                <w:rFonts w:hint="eastAsia" w:ascii="宋体" w:hAnsi="宋体" w:eastAsia="宋体" w:cs="宋体"/>
                <w:b/>
                <w:bCs/>
                <w:sz w:val="24"/>
                <w:szCs w:val="24"/>
                <w:lang w:eastAsia="zh-CN"/>
              </w:rPr>
              <w:t>的投标响应、</w:t>
            </w:r>
            <w:r>
              <w:rPr>
                <w:rFonts w:hint="eastAsia" w:ascii="宋体" w:hAnsi="宋体" w:eastAsia="宋体" w:cs="宋体"/>
                <w:b/>
                <w:bCs/>
                <w:sz w:val="24"/>
                <w:szCs w:val="24"/>
                <w:lang w:val="en-US" w:eastAsia="zh-CN"/>
              </w:rPr>
              <w:t>供应商</w:t>
            </w:r>
            <w:r>
              <w:rPr>
                <w:rFonts w:hint="eastAsia" w:ascii="宋体" w:hAnsi="宋体" w:eastAsia="宋体" w:cs="宋体"/>
                <w:b/>
                <w:bCs/>
                <w:sz w:val="24"/>
                <w:szCs w:val="24"/>
                <w:lang w:eastAsia="zh-CN"/>
              </w:rPr>
              <w:t>的投标承诺、中标通知书确定的数量和金额签订合同。</w:t>
            </w:r>
          </w:p>
          <w:p w14:paraId="338F083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Times New Roman" w:hAnsi="Times New Roman" w:eastAsia="宋体" w:cs="Times New Roman"/>
                <w:kern w:val="2"/>
                <w:sz w:val="21"/>
                <w:szCs w:val="24"/>
                <w:lang w:val="en-US" w:eastAsia="zh-CN" w:bidi="ar-SA"/>
              </w:rPr>
            </w:pPr>
            <w:r>
              <w:rPr>
                <w:rFonts w:hint="eastAsia" w:ascii="宋体" w:hAnsi="宋体" w:eastAsia="宋体" w:cs="宋体"/>
                <w:b/>
                <w:bCs/>
                <w:sz w:val="24"/>
                <w:szCs w:val="24"/>
                <w:lang w:eastAsia="zh-CN"/>
              </w:rPr>
              <w:t>④同意采购方对</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lang w:eastAsia="zh-CN"/>
              </w:rPr>
              <w:t>文件内容的真实性和有效性进行任何形式的监督审查、验证。</w:t>
            </w:r>
          </w:p>
        </w:tc>
      </w:tr>
      <w:bookmarkEnd w:id="42"/>
    </w:tbl>
    <w:p w14:paraId="53EDF828">
      <w:pPr>
        <w:spacing w:line="360" w:lineRule="auto"/>
        <w:jc w:val="center"/>
        <w:outlineLvl w:val="0"/>
        <w:rPr>
          <w:rFonts w:hint="eastAsia" w:ascii="宋体" w:hAnsi="宋体" w:eastAsia="宋体" w:cs="宋体"/>
          <w:b/>
          <w:bCs/>
          <w:color w:val="auto"/>
          <w:kern w:val="0"/>
          <w:sz w:val="28"/>
          <w:szCs w:val="28"/>
          <w:lang w:val="en-US" w:eastAsia="zh-CN"/>
        </w:rPr>
        <w:sectPr>
          <w:footerReference r:id="rId10" w:type="first"/>
          <w:footerReference r:id="rId9" w:type="default"/>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0" w:charSpace="0"/>
        </w:sectPr>
      </w:pPr>
    </w:p>
    <w:p w14:paraId="3752B528">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43" w:name="_Toc184308041"/>
      <w:bookmarkEnd w:id="43"/>
      <w:bookmarkStart w:id="44" w:name="_Toc184313275"/>
      <w:bookmarkEnd w:id="44"/>
      <w:bookmarkStart w:id="45" w:name="_Toc184312123"/>
      <w:bookmarkEnd w:id="45"/>
      <w:bookmarkStart w:id="46" w:name="_Toc184308096"/>
      <w:bookmarkEnd w:id="46"/>
      <w:bookmarkStart w:id="47" w:name="_Toc184313287"/>
      <w:bookmarkEnd w:id="47"/>
      <w:bookmarkStart w:id="48" w:name="_Toc184312137"/>
      <w:bookmarkEnd w:id="48"/>
      <w:bookmarkStart w:id="49" w:name="_Toc184310303"/>
      <w:bookmarkEnd w:id="49"/>
      <w:bookmarkStart w:id="50" w:name="_Toc184312116"/>
      <w:bookmarkEnd w:id="50"/>
      <w:bookmarkStart w:id="51" w:name="_Toc184314417"/>
      <w:bookmarkEnd w:id="51"/>
      <w:bookmarkStart w:id="52" w:name="_Toc184314410"/>
      <w:bookmarkEnd w:id="52"/>
      <w:bookmarkStart w:id="53" w:name="_Toc184308088"/>
      <w:bookmarkEnd w:id="53"/>
      <w:bookmarkStart w:id="54" w:name="_Toc184310312"/>
      <w:bookmarkEnd w:id="54"/>
      <w:bookmarkStart w:id="55" w:name="_Toc184310275"/>
      <w:bookmarkEnd w:id="55"/>
      <w:bookmarkStart w:id="56" w:name="_Toc184312125"/>
      <w:bookmarkEnd w:id="56"/>
      <w:bookmarkStart w:id="57" w:name="_Toc184308082"/>
      <w:bookmarkEnd w:id="57"/>
      <w:bookmarkStart w:id="58" w:name="_Toc184312114"/>
      <w:bookmarkEnd w:id="58"/>
      <w:bookmarkStart w:id="59" w:name="_Toc184313297"/>
      <w:bookmarkEnd w:id="59"/>
      <w:bookmarkStart w:id="60" w:name="_Toc184308085"/>
      <w:bookmarkEnd w:id="60"/>
      <w:bookmarkStart w:id="61" w:name="_Toc184312097"/>
      <w:bookmarkEnd w:id="61"/>
      <w:bookmarkStart w:id="62" w:name="_Toc184314415"/>
      <w:bookmarkEnd w:id="62"/>
      <w:bookmarkStart w:id="63" w:name="_Toc184314413"/>
      <w:bookmarkEnd w:id="63"/>
      <w:bookmarkStart w:id="64" w:name="_Toc184310311"/>
      <w:bookmarkEnd w:id="64"/>
      <w:bookmarkStart w:id="65" w:name="_Toc184313309"/>
      <w:bookmarkEnd w:id="65"/>
      <w:bookmarkStart w:id="66" w:name="_Toc184310305"/>
      <w:bookmarkEnd w:id="66"/>
      <w:bookmarkStart w:id="67" w:name="_Toc184308058"/>
      <w:bookmarkEnd w:id="67"/>
      <w:bookmarkStart w:id="68" w:name="_Toc184310343"/>
      <w:bookmarkEnd w:id="68"/>
      <w:bookmarkStart w:id="69" w:name="_Toc184308043"/>
      <w:bookmarkEnd w:id="69"/>
      <w:bookmarkStart w:id="70" w:name="_Toc184312068"/>
      <w:bookmarkEnd w:id="70"/>
      <w:bookmarkStart w:id="71" w:name="_Toc184308046"/>
      <w:bookmarkEnd w:id="71"/>
      <w:bookmarkStart w:id="72" w:name="_Toc184313272"/>
      <w:bookmarkEnd w:id="72"/>
      <w:bookmarkStart w:id="73" w:name="_Toc184314464"/>
      <w:bookmarkEnd w:id="73"/>
      <w:bookmarkStart w:id="74" w:name="_Toc184312102"/>
      <w:bookmarkEnd w:id="74"/>
      <w:bookmarkStart w:id="75" w:name="_Toc184310336"/>
      <w:bookmarkEnd w:id="75"/>
      <w:bookmarkStart w:id="76" w:name="_Toc184308083"/>
      <w:bookmarkEnd w:id="76"/>
      <w:bookmarkStart w:id="77" w:name="_Toc184312111"/>
      <w:bookmarkEnd w:id="77"/>
      <w:bookmarkStart w:id="78" w:name="_Toc184308078"/>
      <w:bookmarkEnd w:id="78"/>
      <w:bookmarkStart w:id="79" w:name="_Toc184310293"/>
      <w:bookmarkEnd w:id="79"/>
      <w:bookmarkStart w:id="80" w:name="_Toc184314478"/>
      <w:bookmarkEnd w:id="80"/>
      <w:bookmarkStart w:id="81" w:name="_Toc184310327"/>
      <w:bookmarkEnd w:id="81"/>
      <w:bookmarkStart w:id="82" w:name="_Toc184308054"/>
      <w:bookmarkEnd w:id="82"/>
      <w:bookmarkStart w:id="83" w:name="_Toc184308061"/>
      <w:bookmarkEnd w:id="83"/>
      <w:bookmarkStart w:id="84" w:name="_Toc184312072"/>
      <w:bookmarkEnd w:id="84"/>
      <w:bookmarkStart w:id="85" w:name="_Toc184313303"/>
      <w:bookmarkEnd w:id="85"/>
      <w:bookmarkStart w:id="86" w:name="_Toc184312074"/>
      <w:bookmarkEnd w:id="86"/>
      <w:bookmarkStart w:id="87" w:name="_Toc184314459"/>
      <w:bookmarkEnd w:id="87"/>
      <w:bookmarkStart w:id="88" w:name="_Toc184313250"/>
      <w:bookmarkEnd w:id="88"/>
      <w:bookmarkStart w:id="89" w:name="_Toc184308081"/>
      <w:bookmarkEnd w:id="89"/>
      <w:bookmarkStart w:id="90" w:name="_Toc184312131"/>
      <w:bookmarkEnd w:id="90"/>
      <w:bookmarkStart w:id="91" w:name="_Toc184310318"/>
      <w:bookmarkEnd w:id="91"/>
      <w:bookmarkStart w:id="92" w:name="_Toc184314482"/>
      <w:bookmarkEnd w:id="92"/>
      <w:bookmarkStart w:id="93" w:name="_Toc184308038"/>
      <w:bookmarkEnd w:id="93"/>
      <w:bookmarkStart w:id="94" w:name="_Toc184313255"/>
      <w:bookmarkEnd w:id="94"/>
      <w:bookmarkStart w:id="95" w:name="_Toc184313262"/>
      <w:bookmarkEnd w:id="95"/>
      <w:bookmarkStart w:id="96" w:name="_Toc184313258"/>
      <w:bookmarkEnd w:id="96"/>
      <w:bookmarkStart w:id="97" w:name="_Toc184308103"/>
      <w:bookmarkEnd w:id="97"/>
      <w:bookmarkStart w:id="98" w:name="_Toc184314471"/>
      <w:bookmarkEnd w:id="98"/>
      <w:bookmarkStart w:id="99" w:name="_Toc184313263"/>
      <w:bookmarkEnd w:id="99"/>
      <w:bookmarkStart w:id="100" w:name="_Toc184308101"/>
      <w:bookmarkEnd w:id="100"/>
      <w:bookmarkStart w:id="101" w:name="_Toc184310302"/>
      <w:bookmarkEnd w:id="101"/>
      <w:bookmarkStart w:id="102" w:name="_Toc184308076"/>
      <w:bookmarkEnd w:id="102"/>
      <w:bookmarkStart w:id="103" w:name="_Toc184312133"/>
      <w:bookmarkEnd w:id="103"/>
      <w:bookmarkStart w:id="104" w:name="_Toc184313310"/>
      <w:bookmarkEnd w:id="104"/>
      <w:bookmarkStart w:id="105" w:name="_Toc184308105"/>
      <w:bookmarkEnd w:id="105"/>
      <w:bookmarkStart w:id="106" w:name="_Toc184313276"/>
      <w:bookmarkEnd w:id="106"/>
      <w:bookmarkStart w:id="107" w:name="_Toc184310278"/>
      <w:bookmarkEnd w:id="107"/>
      <w:bookmarkStart w:id="108" w:name="_Toc184308090"/>
      <w:bookmarkEnd w:id="108"/>
      <w:bookmarkStart w:id="109" w:name="_Toc184308042"/>
      <w:bookmarkEnd w:id="109"/>
      <w:bookmarkStart w:id="110" w:name="_Toc184313281"/>
      <w:bookmarkEnd w:id="110"/>
      <w:bookmarkStart w:id="111" w:name="_Toc184308092"/>
      <w:bookmarkEnd w:id="111"/>
      <w:bookmarkStart w:id="112" w:name="_Toc184310333"/>
      <w:bookmarkEnd w:id="112"/>
      <w:bookmarkStart w:id="113" w:name="_Toc184312094"/>
      <w:bookmarkEnd w:id="113"/>
      <w:bookmarkStart w:id="114" w:name="_Toc184313307"/>
      <w:bookmarkEnd w:id="114"/>
      <w:bookmarkStart w:id="115" w:name="_Toc184312134"/>
      <w:bookmarkEnd w:id="115"/>
      <w:bookmarkStart w:id="116" w:name="_Toc184314430"/>
      <w:bookmarkEnd w:id="116"/>
      <w:bookmarkStart w:id="117" w:name="_Toc184313241"/>
      <w:bookmarkEnd w:id="117"/>
      <w:bookmarkStart w:id="118" w:name="_Toc184308044"/>
      <w:bookmarkEnd w:id="118"/>
      <w:bookmarkStart w:id="119" w:name="_Toc184312118"/>
      <w:bookmarkEnd w:id="119"/>
      <w:bookmarkStart w:id="120" w:name="_Toc184308049"/>
      <w:bookmarkEnd w:id="120"/>
      <w:bookmarkStart w:id="121" w:name="_Toc184313269"/>
      <w:bookmarkEnd w:id="121"/>
      <w:bookmarkStart w:id="122" w:name="_Toc184310324"/>
      <w:bookmarkEnd w:id="122"/>
      <w:bookmarkStart w:id="123" w:name="_Toc184314458"/>
      <w:bookmarkEnd w:id="123"/>
      <w:bookmarkStart w:id="124" w:name="_Toc184312132"/>
      <w:bookmarkEnd w:id="124"/>
      <w:bookmarkStart w:id="125" w:name="_Toc184313260"/>
      <w:bookmarkEnd w:id="125"/>
      <w:bookmarkStart w:id="126" w:name="_Toc184308069"/>
      <w:bookmarkEnd w:id="126"/>
      <w:bookmarkStart w:id="127" w:name="_Toc184313253"/>
      <w:bookmarkEnd w:id="127"/>
      <w:bookmarkStart w:id="128" w:name="_Toc184314427"/>
      <w:bookmarkEnd w:id="128"/>
      <w:bookmarkStart w:id="129" w:name="_Toc184314456"/>
      <w:bookmarkEnd w:id="129"/>
      <w:bookmarkStart w:id="130" w:name="_Toc184313242"/>
      <w:bookmarkEnd w:id="130"/>
      <w:bookmarkStart w:id="131" w:name="_Toc184310286"/>
      <w:bookmarkEnd w:id="131"/>
      <w:bookmarkStart w:id="132" w:name="_Toc184312069"/>
      <w:bookmarkEnd w:id="132"/>
      <w:bookmarkStart w:id="133" w:name="_Toc184312084"/>
      <w:bookmarkEnd w:id="133"/>
      <w:bookmarkStart w:id="134" w:name="_Toc184312098"/>
      <w:bookmarkEnd w:id="134"/>
      <w:bookmarkStart w:id="135" w:name="_Toc184314435"/>
      <w:bookmarkEnd w:id="135"/>
      <w:bookmarkStart w:id="136" w:name="_Toc184310334"/>
      <w:bookmarkEnd w:id="136"/>
      <w:bookmarkStart w:id="137" w:name="_Toc184314468"/>
      <w:bookmarkEnd w:id="137"/>
      <w:bookmarkStart w:id="138" w:name="_Toc184312139"/>
      <w:bookmarkEnd w:id="138"/>
      <w:bookmarkStart w:id="139" w:name="_Toc184314466"/>
      <w:bookmarkEnd w:id="139"/>
      <w:bookmarkStart w:id="140" w:name="_Toc184308057"/>
      <w:bookmarkEnd w:id="140"/>
      <w:bookmarkStart w:id="141" w:name="_Toc184312078"/>
      <w:bookmarkEnd w:id="141"/>
      <w:bookmarkStart w:id="142" w:name="_Toc184312075"/>
      <w:bookmarkEnd w:id="142"/>
      <w:bookmarkStart w:id="143" w:name="_Toc184312109"/>
      <w:bookmarkEnd w:id="143"/>
      <w:bookmarkStart w:id="144" w:name="_Toc184312089"/>
      <w:bookmarkEnd w:id="144"/>
      <w:bookmarkStart w:id="145" w:name="_Toc184313268"/>
      <w:bookmarkEnd w:id="145"/>
      <w:bookmarkStart w:id="146" w:name="_Toc184312129"/>
      <w:bookmarkEnd w:id="146"/>
      <w:bookmarkStart w:id="147" w:name="_Toc184308068"/>
      <w:bookmarkEnd w:id="147"/>
      <w:bookmarkStart w:id="148" w:name="_Toc184308104"/>
      <w:bookmarkEnd w:id="148"/>
      <w:bookmarkStart w:id="149" w:name="_Toc184310287"/>
      <w:bookmarkEnd w:id="149"/>
      <w:bookmarkStart w:id="150" w:name="_Toc184314473"/>
      <w:bookmarkEnd w:id="150"/>
      <w:bookmarkStart w:id="151" w:name="_Toc184313270"/>
      <w:bookmarkEnd w:id="151"/>
      <w:bookmarkStart w:id="152" w:name="_Toc184308050"/>
      <w:bookmarkEnd w:id="152"/>
      <w:bookmarkStart w:id="153" w:name="_Toc184314480"/>
      <w:bookmarkEnd w:id="153"/>
      <w:bookmarkStart w:id="154" w:name="_Toc184312136"/>
      <w:bookmarkEnd w:id="154"/>
      <w:bookmarkStart w:id="155" w:name="_Toc184312127"/>
      <w:bookmarkEnd w:id="155"/>
      <w:bookmarkStart w:id="156" w:name="_Toc184314461"/>
      <w:bookmarkEnd w:id="156"/>
      <w:bookmarkStart w:id="157" w:name="_Toc184313279"/>
      <w:bookmarkEnd w:id="157"/>
      <w:bookmarkStart w:id="158" w:name="_Toc184314414"/>
      <w:bookmarkEnd w:id="158"/>
      <w:bookmarkStart w:id="159" w:name="_Toc184308045"/>
      <w:bookmarkEnd w:id="159"/>
      <w:bookmarkStart w:id="160" w:name="_Toc184308100"/>
      <w:bookmarkEnd w:id="160"/>
      <w:bookmarkStart w:id="161" w:name="_Toc184310289"/>
      <w:bookmarkEnd w:id="161"/>
      <w:bookmarkStart w:id="162" w:name="_Toc184310321"/>
      <w:bookmarkEnd w:id="162"/>
      <w:bookmarkStart w:id="163" w:name="_Toc184314440"/>
      <w:bookmarkEnd w:id="163"/>
      <w:bookmarkStart w:id="164" w:name="_Toc184308059"/>
      <w:bookmarkEnd w:id="164"/>
      <w:bookmarkStart w:id="165" w:name="_Toc184312115"/>
      <w:bookmarkEnd w:id="165"/>
      <w:bookmarkStart w:id="166" w:name="_Toc184312083"/>
      <w:bookmarkEnd w:id="166"/>
      <w:bookmarkStart w:id="167" w:name="_Toc184310288"/>
      <w:bookmarkEnd w:id="167"/>
      <w:bookmarkStart w:id="168" w:name="_Toc184313282"/>
      <w:bookmarkEnd w:id="168"/>
      <w:bookmarkStart w:id="169" w:name="_Toc184312100"/>
      <w:bookmarkEnd w:id="169"/>
      <w:bookmarkStart w:id="170" w:name="_Toc184313238"/>
      <w:bookmarkEnd w:id="170"/>
      <w:bookmarkStart w:id="171" w:name="_Toc184310313"/>
      <w:bookmarkEnd w:id="171"/>
      <w:bookmarkStart w:id="172" w:name="_Toc184312135"/>
      <w:bookmarkEnd w:id="172"/>
      <w:bookmarkStart w:id="173" w:name="_Toc184308099"/>
      <w:bookmarkEnd w:id="173"/>
      <w:bookmarkStart w:id="174" w:name="_Toc184313239"/>
      <w:bookmarkEnd w:id="174"/>
      <w:bookmarkStart w:id="175" w:name="_Toc184313308"/>
      <w:bookmarkEnd w:id="175"/>
      <w:bookmarkStart w:id="176" w:name="_Toc184308062"/>
      <w:bookmarkEnd w:id="176"/>
      <w:bookmarkStart w:id="177" w:name="_Toc184314462"/>
      <w:bookmarkEnd w:id="177"/>
      <w:bookmarkStart w:id="178" w:name="_Toc184313302"/>
      <w:bookmarkEnd w:id="178"/>
      <w:bookmarkStart w:id="179" w:name="_Toc184310304"/>
      <w:bookmarkEnd w:id="179"/>
      <w:bookmarkStart w:id="180" w:name="_Toc184312091"/>
      <w:bookmarkEnd w:id="180"/>
      <w:bookmarkStart w:id="181" w:name="_Toc184313277"/>
      <w:bookmarkEnd w:id="181"/>
      <w:bookmarkStart w:id="182" w:name="_Toc184314411"/>
      <w:bookmarkEnd w:id="182"/>
      <w:bookmarkStart w:id="183" w:name="_Toc184314421"/>
      <w:bookmarkEnd w:id="183"/>
      <w:bookmarkStart w:id="184" w:name="_Toc184308070"/>
      <w:bookmarkEnd w:id="184"/>
      <w:bookmarkStart w:id="185" w:name="_Toc184313296"/>
      <w:bookmarkEnd w:id="185"/>
      <w:bookmarkStart w:id="186" w:name="_Toc184312088"/>
      <w:bookmarkEnd w:id="186"/>
      <w:bookmarkStart w:id="187" w:name="_Toc184310274"/>
      <w:bookmarkEnd w:id="187"/>
      <w:bookmarkStart w:id="188" w:name="_Toc184314474"/>
      <w:bookmarkEnd w:id="188"/>
      <w:bookmarkStart w:id="189" w:name="_Toc184308084"/>
      <w:bookmarkEnd w:id="189"/>
      <w:bookmarkStart w:id="190" w:name="_Toc184310319"/>
      <w:bookmarkEnd w:id="190"/>
      <w:bookmarkStart w:id="191" w:name="_Toc184314469"/>
      <w:bookmarkEnd w:id="191"/>
      <w:bookmarkStart w:id="192" w:name="_Toc184313249"/>
      <w:bookmarkEnd w:id="192"/>
      <w:bookmarkStart w:id="193" w:name="_Toc184314470"/>
      <w:bookmarkEnd w:id="193"/>
      <w:bookmarkStart w:id="194" w:name="_Toc184313244"/>
      <w:bookmarkEnd w:id="194"/>
      <w:bookmarkStart w:id="195" w:name="_Toc184314436"/>
      <w:bookmarkEnd w:id="195"/>
      <w:bookmarkStart w:id="196" w:name="_Toc184308098"/>
      <w:bookmarkEnd w:id="196"/>
      <w:bookmarkStart w:id="197" w:name="_Toc184314439"/>
      <w:bookmarkEnd w:id="197"/>
      <w:bookmarkStart w:id="198" w:name="_Toc184312093"/>
      <w:bookmarkEnd w:id="198"/>
      <w:bookmarkStart w:id="199" w:name="_Toc184312104"/>
      <w:bookmarkEnd w:id="199"/>
      <w:bookmarkStart w:id="200" w:name="_Toc184312071"/>
      <w:bookmarkEnd w:id="200"/>
      <w:bookmarkStart w:id="201" w:name="_Toc184313248"/>
      <w:bookmarkEnd w:id="201"/>
      <w:bookmarkStart w:id="202" w:name="_Toc184308072"/>
      <w:bookmarkEnd w:id="202"/>
      <w:bookmarkStart w:id="203" w:name="_Toc184314418"/>
      <w:bookmarkEnd w:id="203"/>
      <w:bookmarkStart w:id="204" w:name="_Toc184314450"/>
      <w:bookmarkEnd w:id="204"/>
      <w:bookmarkStart w:id="205" w:name="_Toc184314446"/>
      <w:bookmarkEnd w:id="205"/>
      <w:bookmarkStart w:id="206" w:name="_Toc184313285"/>
      <w:bookmarkEnd w:id="206"/>
      <w:bookmarkStart w:id="207" w:name="_Toc184308056"/>
      <w:bookmarkEnd w:id="207"/>
      <w:bookmarkStart w:id="208" w:name="_Toc184312130"/>
      <w:bookmarkEnd w:id="208"/>
      <w:bookmarkStart w:id="209" w:name="_Toc184313265"/>
      <w:bookmarkEnd w:id="209"/>
      <w:bookmarkStart w:id="210" w:name="_Toc184314467"/>
      <w:bookmarkEnd w:id="210"/>
      <w:bookmarkStart w:id="211" w:name="_Toc184314434"/>
      <w:bookmarkEnd w:id="211"/>
      <w:bookmarkStart w:id="212" w:name="_Toc184314453"/>
      <w:bookmarkEnd w:id="212"/>
      <w:bookmarkStart w:id="213" w:name="_Toc184310283"/>
      <w:bookmarkEnd w:id="213"/>
      <w:bookmarkStart w:id="214" w:name="_Toc184312112"/>
      <w:bookmarkEnd w:id="214"/>
      <w:bookmarkStart w:id="215" w:name="_Toc184310279"/>
      <w:bookmarkEnd w:id="215"/>
      <w:bookmarkStart w:id="216" w:name="_Toc184312077"/>
      <w:bookmarkEnd w:id="216"/>
      <w:bookmarkStart w:id="217" w:name="_Toc184313304"/>
      <w:bookmarkEnd w:id="217"/>
      <w:bookmarkStart w:id="218" w:name="_Toc184310296"/>
      <w:bookmarkEnd w:id="218"/>
      <w:bookmarkStart w:id="219" w:name="_Toc184314460"/>
      <w:bookmarkEnd w:id="219"/>
      <w:bookmarkStart w:id="220" w:name="_Toc184313301"/>
      <w:bookmarkEnd w:id="220"/>
      <w:bookmarkStart w:id="221" w:name="_Toc184312113"/>
      <w:bookmarkEnd w:id="221"/>
      <w:bookmarkStart w:id="222" w:name="_Toc184308052"/>
      <w:bookmarkEnd w:id="222"/>
      <w:bookmarkStart w:id="223" w:name="_Toc184310309"/>
      <w:bookmarkEnd w:id="223"/>
      <w:bookmarkStart w:id="224" w:name="_Toc184314437"/>
      <w:bookmarkEnd w:id="224"/>
      <w:bookmarkStart w:id="225" w:name="_Toc184308051"/>
      <w:bookmarkEnd w:id="225"/>
      <w:bookmarkStart w:id="226" w:name="_Toc184312081"/>
      <w:bookmarkEnd w:id="226"/>
      <w:bookmarkStart w:id="227" w:name="_Toc184310344"/>
      <w:bookmarkEnd w:id="227"/>
      <w:bookmarkStart w:id="228" w:name="_Toc184314412"/>
      <w:bookmarkEnd w:id="228"/>
      <w:bookmarkStart w:id="229" w:name="_Toc184313252"/>
      <w:bookmarkEnd w:id="229"/>
      <w:bookmarkStart w:id="230" w:name="_Toc184310298"/>
      <w:bookmarkEnd w:id="230"/>
      <w:bookmarkStart w:id="231" w:name="_Toc184308102"/>
      <w:bookmarkEnd w:id="231"/>
      <w:bookmarkStart w:id="232" w:name="_Toc184313280"/>
      <w:bookmarkEnd w:id="232"/>
      <w:bookmarkStart w:id="233" w:name="_Toc184313266"/>
      <w:bookmarkEnd w:id="233"/>
      <w:bookmarkStart w:id="234" w:name="_Toc184310340"/>
      <w:bookmarkEnd w:id="234"/>
      <w:bookmarkStart w:id="235" w:name="_Toc184312110"/>
      <w:bookmarkEnd w:id="235"/>
      <w:bookmarkStart w:id="236" w:name="_Toc184313251"/>
      <w:bookmarkEnd w:id="236"/>
      <w:bookmarkStart w:id="237" w:name="_Toc184313299"/>
      <w:bookmarkEnd w:id="237"/>
      <w:bookmarkStart w:id="238" w:name="_Toc184314455"/>
      <w:bookmarkEnd w:id="238"/>
      <w:bookmarkStart w:id="239" w:name="_Toc184308108"/>
      <w:bookmarkEnd w:id="239"/>
      <w:bookmarkStart w:id="240" w:name="_Toc184312107"/>
      <w:bookmarkEnd w:id="240"/>
      <w:bookmarkStart w:id="241" w:name="_Toc184312099"/>
      <w:bookmarkEnd w:id="241"/>
      <w:bookmarkStart w:id="242" w:name="_Toc184308071"/>
      <w:bookmarkEnd w:id="242"/>
      <w:bookmarkStart w:id="243" w:name="_Toc184310323"/>
      <w:bookmarkEnd w:id="243"/>
      <w:bookmarkStart w:id="244" w:name="_Toc184308086"/>
      <w:bookmarkEnd w:id="244"/>
      <w:bookmarkStart w:id="245" w:name="_Toc184314479"/>
      <w:bookmarkEnd w:id="245"/>
      <w:bookmarkStart w:id="246" w:name="_Toc184310299"/>
      <w:bookmarkEnd w:id="246"/>
      <w:bookmarkStart w:id="247" w:name="_Toc184310280"/>
      <w:bookmarkEnd w:id="247"/>
      <w:bookmarkStart w:id="248" w:name="_Toc184310277"/>
      <w:bookmarkEnd w:id="248"/>
      <w:bookmarkStart w:id="249" w:name="_Toc184308040"/>
      <w:bookmarkEnd w:id="249"/>
      <w:bookmarkStart w:id="250" w:name="_Toc184312121"/>
      <w:bookmarkEnd w:id="250"/>
      <w:bookmarkStart w:id="251" w:name="_Toc184314431"/>
      <w:bookmarkEnd w:id="251"/>
      <w:bookmarkStart w:id="252" w:name="_Toc184314447"/>
      <w:bookmarkEnd w:id="252"/>
      <w:bookmarkStart w:id="253" w:name="_Toc184310332"/>
      <w:bookmarkEnd w:id="253"/>
      <w:bookmarkStart w:id="254" w:name="_Toc184314433"/>
      <w:bookmarkEnd w:id="254"/>
      <w:bookmarkStart w:id="255" w:name="_Toc184308048"/>
      <w:bookmarkEnd w:id="255"/>
      <w:bookmarkStart w:id="256" w:name="_Toc184314463"/>
      <w:bookmarkEnd w:id="256"/>
      <w:bookmarkStart w:id="257" w:name="_Toc184314444"/>
      <w:bookmarkEnd w:id="257"/>
      <w:bookmarkStart w:id="258" w:name="_Toc184313240"/>
      <w:bookmarkEnd w:id="258"/>
      <w:bookmarkStart w:id="259" w:name="_Toc184313283"/>
      <w:bookmarkEnd w:id="259"/>
      <w:bookmarkStart w:id="260" w:name="_Toc184314424"/>
      <w:bookmarkEnd w:id="260"/>
      <w:bookmarkStart w:id="261" w:name="_Toc184314432"/>
      <w:bookmarkEnd w:id="261"/>
      <w:bookmarkStart w:id="262" w:name="_Toc184310320"/>
      <w:bookmarkEnd w:id="262"/>
      <w:bookmarkStart w:id="263" w:name="_Toc184310328"/>
      <w:bookmarkEnd w:id="263"/>
      <w:bookmarkStart w:id="264" w:name="_Toc184312103"/>
      <w:bookmarkEnd w:id="264"/>
      <w:bookmarkStart w:id="265" w:name="_Toc184313293"/>
      <w:bookmarkEnd w:id="265"/>
      <w:bookmarkStart w:id="266" w:name="_Toc184312092"/>
      <w:bookmarkEnd w:id="266"/>
      <w:bookmarkStart w:id="267" w:name="_Toc184313278"/>
      <w:bookmarkEnd w:id="267"/>
      <w:bookmarkStart w:id="268" w:name="_Toc184314475"/>
      <w:bookmarkEnd w:id="268"/>
      <w:bookmarkStart w:id="269" w:name="_Toc184310294"/>
      <w:bookmarkEnd w:id="269"/>
      <w:bookmarkStart w:id="270" w:name="_Toc184310341"/>
      <w:bookmarkEnd w:id="270"/>
      <w:bookmarkStart w:id="271" w:name="_Toc184310291"/>
      <w:bookmarkEnd w:id="271"/>
      <w:bookmarkStart w:id="272" w:name="_Toc184310322"/>
      <w:bookmarkEnd w:id="272"/>
      <w:bookmarkStart w:id="273" w:name="_Toc184314465"/>
      <w:bookmarkEnd w:id="273"/>
      <w:bookmarkStart w:id="274" w:name="_Toc184314428"/>
      <w:bookmarkEnd w:id="274"/>
      <w:bookmarkStart w:id="275" w:name="_Toc184314448"/>
      <w:bookmarkEnd w:id="275"/>
      <w:bookmarkStart w:id="276" w:name="_Toc184310276"/>
      <w:bookmarkEnd w:id="276"/>
      <w:bookmarkStart w:id="277" w:name="_Toc184308095"/>
      <w:bookmarkEnd w:id="277"/>
      <w:bookmarkStart w:id="278" w:name="_Toc184310306"/>
      <w:bookmarkEnd w:id="278"/>
      <w:bookmarkStart w:id="279" w:name="_Toc184313300"/>
      <w:bookmarkEnd w:id="279"/>
      <w:bookmarkStart w:id="280" w:name="_Toc184308089"/>
      <w:bookmarkEnd w:id="280"/>
      <w:bookmarkStart w:id="281" w:name="_Toc184310331"/>
      <w:bookmarkEnd w:id="281"/>
      <w:bookmarkStart w:id="282" w:name="_Toc184312085"/>
      <w:bookmarkEnd w:id="282"/>
      <w:bookmarkStart w:id="283" w:name="_Toc184308097"/>
      <w:bookmarkEnd w:id="283"/>
      <w:bookmarkStart w:id="284" w:name="_Toc184308075"/>
      <w:bookmarkEnd w:id="284"/>
      <w:bookmarkStart w:id="285" w:name="_Toc184312087"/>
      <w:bookmarkEnd w:id="285"/>
      <w:bookmarkStart w:id="286" w:name="_Toc184310300"/>
      <w:bookmarkEnd w:id="286"/>
      <w:bookmarkStart w:id="287" w:name="_Toc184310273"/>
      <w:bookmarkEnd w:id="287"/>
      <w:bookmarkStart w:id="288" w:name="_Toc184312070"/>
      <w:bookmarkEnd w:id="288"/>
      <w:bookmarkStart w:id="289" w:name="_Toc184313243"/>
      <w:bookmarkEnd w:id="289"/>
      <w:bookmarkStart w:id="290" w:name="_Toc184314426"/>
      <w:bookmarkEnd w:id="290"/>
      <w:bookmarkStart w:id="291" w:name="_Toc184310290"/>
      <w:bookmarkEnd w:id="291"/>
      <w:bookmarkStart w:id="292" w:name="_Toc184308064"/>
      <w:bookmarkEnd w:id="292"/>
      <w:bookmarkStart w:id="293" w:name="_Toc184314438"/>
      <w:bookmarkEnd w:id="293"/>
      <w:bookmarkStart w:id="294" w:name="_Toc184308073"/>
      <w:bookmarkEnd w:id="294"/>
      <w:bookmarkStart w:id="295" w:name="_Toc184312126"/>
      <w:bookmarkEnd w:id="295"/>
      <w:bookmarkStart w:id="296" w:name="_Toc184314445"/>
      <w:bookmarkEnd w:id="296"/>
      <w:bookmarkStart w:id="297" w:name="_Toc184313294"/>
      <w:bookmarkEnd w:id="297"/>
      <w:bookmarkStart w:id="298" w:name="_Toc184313245"/>
      <w:bookmarkEnd w:id="298"/>
      <w:bookmarkStart w:id="299" w:name="_Toc184312076"/>
      <w:bookmarkEnd w:id="299"/>
      <w:bookmarkStart w:id="300" w:name="_Toc184308066"/>
      <w:bookmarkEnd w:id="300"/>
      <w:bookmarkStart w:id="301" w:name="_Toc184310292"/>
      <w:bookmarkEnd w:id="301"/>
      <w:bookmarkStart w:id="302" w:name="_Toc184313305"/>
      <w:bookmarkEnd w:id="302"/>
      <w:bookmarkStart w:id="303" w:name="_Toc184314452"/>
      <w:bookmarkEnd w:id="303"/>
      <w:bookmarkStart w:id="304" w:name="_Toc184314477"/>
      <w:bookmarkEnd w:id="304"/>
      <w:bookmarkStart w:id="305" w:name="_Toc184308037"/>
      <w:bookmarkEnd w:id="305"/>
      <w:bookmarkStart w:id="306" w:name="_Toc184308036"/>
      <w:bookmarkEnd w:id="306"/>
      <w:bookmarkStart w:id="307" w:name="_Toc184314429"/>
      <w:bookmarkEnd w:id="307"/>
      <w:bookmarkStart w:id="308" w:name="_Toc184314476"/>
      <w:bookmarkEnd w:id="308"/>
      <w:bookmarkStart w:id="309" w:name="_Toc184314423"/>
      <w:bookmarkEnd w:id="309"/>
      <w:bookmarkStart w:id="310" w:name="_Toc184312138"/>
      <w:bookmarkEnd w:id="310"/>
      <w:bookmarkStart w:id="311" w:name="_Toc184310308"/>
      <w:bookmarkEnd w:id="311"/>
      <w:bookmarkStart w:id="312" w:name="_Toc184313274"/>
      <w:bookmarkEnd w:id="312"/>
      <w:bookmarkStart w:id="313" w:name="_Toc184314420"/>
      <w:bookmarkEnd w:id="313"/>
      <w:bookmarkStart w:id="314" w:name="_Toc184312080"/>
      <w:bookmarkEnd w:id="314"/>
      <w:bookmarkStart w:id="315" w:name="_Toc184308107"/>
      <w:bookmarkEnd w:id="315"/>
      <w:bookmarkStart w:id="316" w:name="_Toc184308039"/>
      <w:bookmarkEnd w:id="316"/>
      <w:bookmarkStart w:id="317" w:name="_Toc184310301"/>
      <w:bookmarkEnd w:id="317"/>
      <w:bookmarkStart w:id="318" w:name="_Toc184312082"/>
      <w:bookmarkEnd w:id="318"/>
      <w:bookmarkStart w:id="319" w:name="_Toc184312124"/>
      <w:bookmarkEnd w:id="319"/>
      <w:bookmarkStart w:id="320" w:name="_Toc184310317"/>
      <w:bookmarkEnd w:id="320"/>
      <w:bookmarkStart w:id="321" w:name="_Toc184308079"/>
      <w:bookmarkEnd w:id="321"/>
      <w:bookmarkStart w:id="322" w:name="_Toc184312101"/>
      <w:bookmarkEnd w:id="322"/>
      <w:bookmarkStart w:id="323" w:name="_Toc184313257"/>
      <w:bookmarkEnd w:id="323"/>
      <w:bookmarkStart w:id="324" w:name="_Toc184314441"/>
      <w:bookmarkEnd w:id="324"/>
      <w:bookmarkStart w:id="325" w:name="_Toc184314454"/>
      <w:bookmarkEnd w:id="325"/>
      <w:bookmarkStart w:id="326" w:name="_Toc184308106"/>
      <w:bookmarkEnd w:id="326"/>
      <w:bookmarkStart w:id="327" w:name="_Toc184310330"/>
      <w:bookmarkEnd w:id="327"/>
      <w:bookmarkStart w:id="328" w:name="_Toc184313246"/>
      <w:bookmarkEnd w:id="328"/>
      <w:bookmarkStart w:id="329" w:name="_Toc184310310"/>
      <w:bookmarkEnd w:id="329"/>
      <w:bookmarkStart w:id="330" w:name="_Toc184308060"/>
      <w:bookmarkEnd w:id="330"/>
      <w:bookmarkStart w:id="331" w:name="_Toc184310307"/>
      <w:bookmarkEnd w:id="331"/>
      <w:bookmarkStart w:id="332" w:name="_Toc184313271"/>
      <w:bookmarkEnd w:id="332"/>
      <w:bookmarkStart w:id="333" w:name="_Toc184314457"/>
      <w:bookmarkEnd w:id="333"/>
      <w:bookmarkStart w:id="334" w:name="_Toc184308063"/>
      <w:bookmarkEnd w:id="334"/>
      <w:bookmarkStart w:id="335" w:name="_Toc184314451"/>
      <w:bookmarkEnd w:id="335"/>
      <w:bookmarkStart w:id="336" w:name="_Toc184314472"/>
      <w:bookmarkEnd w:id="336"/>
      <w:bookmarkStart w:id="337" w:name="_Toc184310335"/>
      <w:bookmarkEnd w:id="337"/>
      <w:bookmarkStart w:id="338" w:name="_Toc184310337"/>
      <w:bookmarkEnd w:id="338"/>
      <w:bookmarkStart w:id="339" w:name="_Toc184310339"/>
      <w:bookmarkEnd w:id="339"/>
      <w:bookmarkStart w:id="340" w:name="_Toc184312073"/>
      <w:bookmarkEnd w:id="340"/>
      <w:bookmarkStart w:id="341" w:name="_Toc184310295"/>
      <w:bookmarkEnd w:id="341"/>
      <w:bookmarkStart w:id="342" w:name="_Toc184312122"/>
      <w:bookmarkEnd w:id="342"/>
      <w:bookmarkStart w:id="343" w:name="_Toc184310272"/>
      <w:bookmarkEnd w:id="343"/>
      <w:bookmarkStart w:id="344" w:name="_Toc184308053"/>
      <w:bookmarkEnd w:id="344"/>
      <w:bookmarkStart w:id="345" w:name="_Toc184314425"/>
      <w:bookmarkEnd w:id="345"/>
      <w:bookmarkStart w:id="346" w:name="_Toc184310297"/>
      <w:bookmarkEnd w:id="346"/>
      <w:bookmarkStart w:id="347" w:name="_Toc184312119"/>
      <w:bookmarkEnd w:id="347"/>
      <w:bookmarkStart w:id="348" w:name="_Toc184313267"/>
      <w:bookmarkEnd w:id="348"/>
      <w:bookmarkStart w:id="349" w:name="_Toc184313256"/>
      <w:bookmarkEnd w:id="349"/>
      <w:bookmarkStart w:id="350" w:name="_Toc184312128"/>
      <w:bookmarkEnd w:id="350"/>
      <w:bookmarkStart w:id="351" w:name="_Toc184314416"/>
      <w:bookmarkEnd w:id="351"/>
      <w:bookmarkStart w:id="352" w:name="_Toc184312120"/>
      <w:bookmarkEnd w:id="352"/>
      <w:bookmarkStart w:id="353" w:name="_Toc184313247"/>
      <w:bookmarkEnd w:id="353"/>
      <w:bookmarkStart w:id="354" w:name="_Toc184313290"/>
      <w:bookmarkEnd w:id="354"/>
      <w:bookmarkStart w:id="355" w:name="_Toc184308055"/>
      <w:bookmarkEnd w:id="355"/>
      <w:bookmarkStart w:id="356" w:name="_Toc184313288"/>
      <w:bookmarkEnd w:id="356"/>
      <w:bookmarkStart w:id="357" w:name="_Toc184314442"/>
      <w:bookmarkEnd w:id="357"/>
      <w:bookmarkStart w:id="358" w:name="_Toc184313291"/>
      <w:bookmarkEnd w:id="358"/>
      <w:bookmarkStart w:id="359" w:name="_Toc184310342"/>
      <w:bookmarkEnd w:id="359"/>
      <w:bookmarkStart w:id="360" w:name="_Toc184314449"/>
      <w:bookmarkEnd w:id="360"/>
      <w:bookmarkStart w:id="361" w:name="_Toc184313259"/>
      <w:bookmarkEnd w:id="361"/>
      <w:bookmarkStart w:id="362" w:name="_Toc184312079"/>
      <w:bookmarkEnd w:id="362"/>
      <w:bookmarkStart w:id="363" w:name="_Toc184308080"/>
      <w:bookmarkEnd w:id="363"/>
      <w:bookmarkStart w:id="364" w:name="_Toc184310338"/>
      <w:bookmarkEnd w:id="364"/>
      <w:bookmarkStart w:id="365" w:name="_Toc184308077"/>
      <w:bookmarkEnd w:id="365"/>
      <w:bookmarkStart w:id="366" w:name="_Toc184312086"/>
      <w:bookmarkEnd w:id="366"/>
      <w:bookmarkStart w:id="367" w:name="_Toc184313292"/>
      <w:bookmarkEnd w:id="367"/>
      <w:bookmarkStart w:id="368" w:name="_Toc184308074"/>
      <w:bookmarkEnd w:id="368"/>
      <w:bookmarkStart w:id="369" w:name="_Toc184313254"/>
      <w:bookmarkEnd w:id="369"/>
      <w:bookmarkStart w:id="370" w:name="_Toc184313284"/>
      <w:bookmarkEnd w:id="370"/>
      <w:bookmarkStart w:id="371" w:name="_Toc184312117"/>
      <w:bookmarkEnd w:id="371"/>
      <w:bookmarkStart w:id="372" w:name="_Toc184312090"/>
      <w:bookmarkEnd w:id="372"/>
      <w:bookmarkStart w:id="373" w:name="_Toc184314481"/>
      <w:bookmarkEnd w:id="373"/>
      <w:bookmarkStart w:id="374" w:name="_Toc184312108"/>
      <w:bookmarkEnd w:id="374"/>
      <w:bookmarkStart w:id="375" w:name="_Toc184310326"/>
      <w:bookmarkEnd w:id="375"/>
      <w:bookmarkStart w:id="376" w:name="_Toc184308094"/>
      <w:bookmarkEnd w:id="376"/>
      <w:bookmarkStart w:id="377" w:name="_Toc184310316"/>
      <w:bookmarkEnd w:id="377"/>
      <w:bookmarkStart w:id="378" w:name="_Toc184314419"/>
      <w:bookmarkEnd w:id="378"/>
      <w:bookmarkStart w:id="379" w:name="_Toc184313261"/>
      <w:bookmarkEnd w:id="379"/>
      <w:bookmarkStart w:id="380" w:name="_Toc184310314"/>
      <w:bookmarkEnd w:id="380"/>
      <w:bookmarkStart w:id="381" w:name="_Toc184312096"/>
      <w:bookmarkEnd w:id="381"/>
      <w:bookmarkStart w:id="382" w:name="_Toc184312106"/>
      <w:bookmarkEnd w:id="382"/>
      <w:bookmarkStart w:id="383" w:name="_Toc184310282"/>
      <w:bookmarkEnd w:id="383"/>
      <w:bookmarkStart w:id="384" w:name="_Toc184310285"/>
      <w:bookmarkEnd w:id="384"/>
      <w:bookmarkStart w:id="385" w:name="_Toc184312105"/>
      <w:bookmarkEnd w:id="385"/>
      <w:bookmarkStart w:id="386" w:name="_Toc184310281"/>
      <w:bookmarkEnd w:id="386"/>
      <w:bookmarkStart w:id="387" w:name="_Toc184310315"/>
      <w:bookmarkEnd w:id="387"/>
      <w:bookmarkStart w:id="388" w:name="_Toc184308067"/>
      <w:bookmarkEnd w:id="388"/>
      <w:bookmarkStart w:id="389" w:name="_Toc184313289"/>
      <w:bookmarkEnd w:id="389"/>
      <w:bookmarkStart w:id="390" w:name="_Toc184308093"/>
      <w:bookmarkEnd w:id="390"/>
      <w:bookmarkStart w:id="391" w:name="_Toc184310329"/>
      <w:bookmarkEnd w:id="391"/>
      <w:bookmarkStart w:id="392" w:name="_Toc184314422"/>
      <w:bookmarkEnd w:id="392"/>
      <w:bookmarkStart w:id="393" w:name="_Toc184314443"/>
      <w:bookmarkEnd w:id="393"/>
      <w:bookmarkStart w:id="394" w:name="_Toc184308087"/>
      <w:bookmarkEnd w:id="394"/>
      <w:bookmarkStart w:id="395" w:name="_Toc184313273"/>
      <w:bookmarkEnd w:id="395"/>
      <w:bookmarkStart w:id="396" w:name="_Toc184313286"/>
      <w:bookmarkEnd w:id="396"/>
      <w:bookmarkStart w:id="397" w:name="_Toc184312067"/>
      <w:bookmarkEnd w:id="397"/>
      <w:bookmarkStart w:id="398" w:name="_Toc184313298"/>
      <w:bookmarkEnd w:id="398"/>
      <w:bookmarkStart w:id="399" w:name="_Toc184313295"/>
      <w:bookmarkEnd w:id="399"/>
      <w:bookmarkStart w:id="400" w:name="_Toc184308065"/>
      <w:bookmarkEnd w:id="400"/>
      <w:bookmarkStart w:id="401" w:name="_Toc184313306"/>
      <w:bookmarkEnd w:id="401"/>
      <w:bookmarkStart w:id="402" w:name="_Toc184308047"/>
      <w:bookmarkEnd w:id="402"/>
      <w:bookmarkStart w:id="403" w:name="_Toc184310325"/>
      <w:bookmarkEnd w:id="403"/>
      <w:bookmarkStart w:id="404" w:name="_Toc184310284"/>
      <w:bookmarkEnd w:id="404"/>
      <w:bookmarkStart w:id="405" w:name="_Toc184312095"/>
      <w:bookmarkEnd w:id="405"/>
      <w:bookmarkStart w:id="406" w:name="_Toc184308091"/>
      <w:bookmarkEnd w:id="406"/>
      <w:bookmarkStart w:id="407" w:name="_Toc184313264"/>
      <w:bookmarkEnd w:id="407"/>
      <w:r>
        <w:rPr>
          <w:rFonts w:hint="eastAsia" w:ascii="宋体" w:hAnsi="宋体" w:cs="宋体"/>
          <w:b/>
          <w:color w:val="auto"/>
          <w:sz w:val="36"/>
          <w:szCs w:val="36"/>
          <w:highlight w:val="none"/>
        </w:rPr>
        <w:t>评标办法</w:t>
      </w:r>
    </w:p>
    <w:p w14:paraId="5FE4951C">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10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9"/>
        <w:gridCol w:w="1348"/>
        <w:gridCol w:w="1391"/>
        <w:gridCol w:w="5453"/>
        <w:gridCol w:w="963"/>
      </w:tblGrid>
      <w:tr w14:paraId="1CDE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atLeast"/>
          <w:jc w:val="center"/>
        </w:trPr>
        <w:tc>
          <w:tcPr>
            <w:tcW w:w="9191" w:type="dxa"/>
            <w:gridSpan w:val="4"/>
            <w:tcBorders>
              <w:left w:val="single" w:color="auto" w:sz="4" w:space="0"/>
              <w:right w:val="single" w:color="auto" w:sz="2" w:space="0"/>
            </w:tcBorders>
            <w:noWrap w:val="0"/>
            <w:vAlign w:val="center"/>
          </w:tcPr>
          <w:p w14:paraId="4D56C206">
            <w:pPr>
              <w:spacing w:line="360" w:lineRule="exact"/>
              <w:ind w:left="0" w:leftChars="0" w:right="0" w:rightChars="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评分项及</w:t>
            </w:r>
            <w:r>
              <w:rPr>
                <w:rFonts w:hint="eastAsia" w:ascii="宋体" w:hAnsi="宋体" w:eastAsia="宋体" w:cs="宋体"/>
                <w:color w:val="000000"/>
                <w:sz w:val="24"/>
                <w:szCs w:val="24"/>
                <w:lang w:val="en-US" w:eastAsia="zh-CN"/>
              </w:rPr>
              <w:t>标准</w:t>
            </w:r>
          </w:p>
        </w:tc>
        <w:tc>
          <w:tcPr>
            <w:tcW w:w="963" w:type="dxa"/>
            <w:tcBorders>
              <w:left w:val="single" w:color="auto" w:sz="4" w:space="0"/>
              <w:right w:val="single" w:color="auto" w:sz="2" w:space="0"/>
            </w:tcBorders>
            <w:noWrap w:val="0"/>
            <w:vAlign w:val="center"/>
          </w:tcPr>
          <w:p w14:paraId="5D54CB74">
            <w:pPr>
              <w:spacing w:line="360" w:lineRule="exact"/>
              <w:ind w:left="0" w:leftChars="0" w:right="0" w:righ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分值</w:t>
            </w:r>
          </w:p>
        </w:tc>
      </w:tr>
      <w:tr w14:paraId="4A0A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999" w:type="dxa"/>
            <w:vMerge w:val="restart"/>
            <w:tcBorders>
              <w:left w:val="single" w:color="auto" w:sz="4" w:space="0"/>
              <w:right w:val="single" w:color="auto" w:sz="2" w:space="0"/>
            </w:tcBorders>
            <w:noWrap w:val="0"/>
            <w:vAlign w:val="center"/>
          </w:tcPr>
          <w:p w14:paraId="08CD7237">
            <w:pPr>
              <w:spacing w:line="3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商</w:t>
            </w:r>
          </w:p>
          <w:p w14:paraId="0CFA49CA">
            <w:pPr>
              <w:spacing w:line="3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务</w:t>
            </w:r>
          </w:p>
          <w:p w14:paraId="35390C61">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w:t>
            </w:r>
          </w:p>
          <w:p w14:paraId="4539AA0C">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术</w:t>
            </w:r>
          </w:p>
          <w:p w14:paraId="20BF7B61">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w:t>
            </w:r>
          </w:p>
          <w:p w14:paraId="0B9686EF">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70</w:t>
            </w:r>
            <w:r>
              <w:rPr>
                <w:rFonts w:hint="eastAsia" w:ascii="宋体" w:hAnsi="宋体" w:eastAsia="宋体" w:cs="宋体"/>
                <w:color w:val="000000"/>
                <w:sz w:val="24"/>
                <w:szCs w:val="24"/>
              </w:rPr>
              <w:t>分）</w:t>
            </w:r>
          </w:p>
        </w:tc>
        <w:tc>
          <w:tcPr>
            <w:tcW w:w="1348" w:type="dxa"/>
            <w:tcBorders>
              <w:top w:val="single" w:color="auto" w:sz="2" w:space="0"/>
              <w:left w:val="single" w:color="auto" w:sz="2" w:space="0"/>
              <w:right w:val="single" w:color="auto" w:sz="4" w:space="0"/>
            </w:tcBorders>
            <w:noWrap w:val="0"/>
            <w:vAlign w:val="center"/>
          </w:tcPr>
          <w:p w14:paraId="54180831">
            <w:pPr>
              <w:spacing w:line="360" w:lineRule="exact"/>
              <w:ind w:left="0" w:leftChars="0" w:right="0" w:rightChars="0" w:firstLine="0" w:firstLineChars="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）项目总体理解程度（</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eastAsia="zh-CN"/>
              </w:rPr>
              <w:t>）</w:t>
            </w:r>
          </w:p>
        </w:tc>
        <w:tc>
          <w:tcPr>
            <w:tcW w:w="6844" w:type="dxa"/>
            <w:gridSpan w:val="2"/>
            <w:tcBorders>
              <w:top w:val="single" w:color="auto" w:sz="2" w:space="0"/>
              <w:left w:val="single" w:color="auto" w:sz="4" w:space="0"/>
              <w:right w:val="single" w:color="auto" w:sz="2" w:space="0"/>
            </w:tcBorders>
            <w:noWrap w:val="0"/>
            <w:vAlign w:val="center"/>
          </w:tcPr>
          <w:p w14:paraId="5F8D73AD">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根据供应商对本项目的总体理解程度进行综合评分（包括</w:t>
            </w:r>
            <w:r>
              <w:rPr>
                <w:rFonts w:hint="eastAsia" w:ascii="宋体" w:hAnsi="宋体" w:eastAsia="宋体" w:cs="宋体"/>
                <w:bCs/>
                <w:sz w:val="24"/>
                <w:szCs w:val="24"/>
              </w:rPr>
              <w:t>对</w:t>
            </w:r>
            <w:r>
              <w:rPr>
                <w:rFonts w:hint="eastAsia" w:ascii="宋体" w:hAnsi="宋体" w:eastAsia="宋体" w:cs="宋体"/>
                <w:bCs/>
                <w:sz w:val="24"/>
                <w:szCs w:val="24"/>
                <w:lang w:val="en-US" w:eastAsia="zh-CN"/>
              </w:rPr>
              <w:t>本</w:t>
            </w:r>
            <w:r>
              <w:rPr>
                <w:rFonts w:hint="eastAsia" w:ascii="宋体" w:hAnsi="宋体" w:eastAsia="宋体" w:cs="宋体"/>
                <w:bCs/>
                <w:sz w:val="24"/>
                <w:szCs w:val="24"/>
              </w:rPr>
              <w:t>项目现有状况</w:t>
            </w:r>
            <w:r>
              <w:rPr>
                <w:rFonts w:hint="eastAsia" w:ascii="宋体" w:hAnsi="宋体" w:eastAsia="宋体" w:cs="宋体"/>
                <w:bCs/>
                <w:sz w:val="24"/>
                <w:szCs w:val="24"/>
                <w:lang w:eastAsia="zh-CN"/>
              </w:rPr>
              <w:t>的</w:t>
            </w:r>
            <w:r>
              <w:rPr>
                <w:rFonts w:hint="eastAsia" w:ascii="宋体" w:hAnsi="宋体" w:eastAsia="宋体" w:cs="宋体"/>
                <w:bCs/>
                <w:sz w:val="24"/>
                <w:szCs w:val="24"/>
                <w:lang w:val="en-US" w:eastAsia="zh-CN"/>
              </w:rPr>
              <w:t>了解、</w:t>
            </w:r>
            <w:r>
              <w:rPr>
                <w:rFonts w:hint="eastAsia" w:ascii="宋体" w:hAnsi="宋体" w:eastAsia="宋体" w:cs="宋体"/>
                <w:bCs/>
                <w:sz w:val="24"/>
                <w:szCs w:val="24"/>
              </w:rPr>
              <w:t>调研、分析程度</w:t>
            </w:r>
            <w:r>
              <w:rPr>
                <w:rFonts w:hint="eastAsia" w:ascii="宋体" w:hAnsi="宋体" w:cs="宋体"/>
                <w:bCs/>
                <w:sz w:val="24"/>
                <w:szCs w:val="24"/>
                <w:lang w:eastAsia="zh-CN"/>
              </w:rPr>
              <w:t>，</w:t>
            </w:r>
            <w:r>
              <w:rPr>
                <w:rFonts w:hint="eastAsia" w:ascii="宋体" w:hAnsi="宋体" w:eastAsia="宋体" w:cs="宋体"/>
                <w:color w:val="auto"/>
                <w:sz w:val="24"/>
                <w:szCs w:val="24"/>
                <w:lang w:val="en-US" w:eastAsia="zh-CN"/>
              </w:rPr>
              <w:t>对本</w:t>
            </w:r>
            <w:r>
              <w:rPr>
                <w:rFonts w:hint="eastAsia" w:ascii="宋体" w:hAnsi="宋体" w:eastAsia="宋体" w:cs="宋体"/>
                <w:color w:val="auto"/>
                <w:sz w:val="24"/>
                <w:szCs w:val="24"/>
                <w:lang w:eastAsia="zh-CN"/>
              </w:rPr>
              <w:t>项目工作</w:t>
            </w:r>
            <w:r>
              <w:rPr>
                <w:rFonts w:hint="eastAsia" w:ascii="宋体" w:hAnsi="宋体" w:eastAsia="宋体" w:cs="宋体"/>
                <w:color w:val="auto"/>
                <w:sz w:val="24"/>
                <w:szCs w:val="24"/>
                <w:lang w:val="en-US" w:eastAsia="zh-CN"/>
              </w:rPr>
              <w:t>内容及要求是否全面理解并体现）：</w:t>
            </w:r>
          </w:p>
          <w:p w14:paraId="0796EE9D">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①了解全面、分析透彻的，得4分；</w:t>
            </w:r>
          </w:p>
          <w:p w14:paraId="3F0C81DE">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②了解较全面、分析较透彻的，得3分；</w:t>
            </w:r>
          </w:p>
          <w:p w14:paraId="3CB45BD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③了解欠全面、分析欠透彻的，得2分；</w:t>
            </w:r>
          </w:p>
          <w:p w14:paraId="6387DE2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④了解不够全面、分析不够透彻的，得1分；</w:t>
            </w:r>
          </w:p>
          <w:p w14:paraId="7CF78A15">
            <w:pPr>
              <w:spacing w:line="3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⑤未提供相关内容的不得分。</w:t>
            </w:r>
          </w:p>
        </w:tc>
        <w:tc>
          <w:tcPr>
            <w:tcW w:w="963" w:type="dxa"/>
            <w:tcBorders>
              <w:top w:val="single" w:color="auto" w:sz="2" w:space="0"/>
              <w:left w:val="single" w:color="auto" w:sz="4" w:space="0"/>
              <w:bottom w:val="single" w:color="auto" w:sz="2" w:space="0"/>
              <w:right w:val="single" w:color="auto" w:sz="2" w:space="0"/>
            </w:tcBorders>
            <w:noWrap w:val="0"/>
            <w:vAlign w:val="center"/>
          </w:tcPr>
          <w:p w14:paraId="297A6F6D">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4</w:t>
            </w:r>
          </w:p>
        </w:tc>
      </w:tr>
      <w:tr w14:paraId="44FD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999" w:type="dxa"/>
            <w:vMerge w:val="continue"/>
            <w:tcBorders>
              <w:left w:val="single" w:color="auto" w:sz="4" w:space="0"/>
              <w:right w:val="single" w:color="auto" w:sz="2" w:space="0"/>
            </w:tcBorders>
            <w:noWrap w:val="0"/>
            <w:vAlign w:val="center"/>
          </w:tcPr>
          <w:p w14:paraId="50CDF799">
            <w:pPr>
              <w:spacing w:line="360" w:lineRule="exact"/>
              <w:rPr>
                <w:rFonts w:hint="eastAsia" w:ascii="宋体" w:hAnsi="宋体" w:eastAsia="宋体" w:cs="宋体"/>
                <w:color w:val="000000"/>
                <w:sz w:val="24"/>
                <w:szCs w:val="24"/>
              </w:rPr>
            </w:pPr>
          </w:p>
        </w:tc>
        <w:tc>
          <w:tcPr>
            <w:tcW w:w="1348" w:type="dxa"/>
            <w:vMerge w:val="restart"/>
            <w:tcBorders>
              <w:left w:val="single" w:color="auto" w:sz="2" w:space="0"/>
              <w:right w:val="single" w:color="auto" w:sz="4" w:space="0"/>
            </w:tcBorders>
            <w:noWrap w:val="0"/>
            <w:vAlign w:val="center"/>
          </w:tcPr>
          <w:p w14:paraId="422A7BD0">
            <w:pPr>
              <w:spacing w:line="360" w:lineRule="exact"/>
              <w:ind w:left="0" w:leftChars="0" w:right="0" w:rightChars="0" w:firstLine="0" w:firstLineChars="0"/>
              <w:jc w:val="both"/>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（二）实施方案（</w:t>
            </w:r>
            <w:r>
              <w:rPr>
                <w:rFonts w:hint="eastAsia" w:ascii="宋体" w:hAnsi="宋体" w:cs="宋体"/>
                <w:color w:val="auto"/>
                <w:sz w:val="24"/>
                <w:szCs w:val="24"/>
                <w:lang w:val="en-US" w:eastAsia="zh-CN"/>
              </w:rPr>
              <w:t>44</w:t>
            </w:r>
            <w:r>
              <w:rPr>
                <w:rFonts w:hint="eastAsia" w:ascii="宋体" w:hAnsi="宋体" w:eastAsia="宋体" w:cs="宋体"/>
                <w:color w:val="auto"/>
                <w:sz w:val="24"/>
                <w:szCs w:val="24"/>
                <w:lang w:val="en-US" w:eastAsia="zh-CN"/>
              </w:rPr>
              <w:t>分）</w:t>
            </w:r>
          </w:p>
        </w:tc>
        <w:tc>
          <w:tcPr>
            <w:tcW w:w="6844" w:type="dxa"/>
            <w:gridSpan w:val="2"/>
            <w:tcBorders>
              <w:top w:val="single" w:color="auto" w:sz="2" w:space="0"/>
              <w:left w:val="single" w:color="auto" w:sz="4" w:space="0"/>
              <w:bottom w:val="single" w:color="auto" w:sz="2" w:space="0"/>
              <w:right w:val="single" w:color="auto" w:sz="2" w:space="0"/>
            </w:tcBorders>
            <w:noWrap w:val="0"/>
            <w:vAlign w:val="center"/>
          </w:tcPr>
          <w:p w14:paraId="11F82A5A">
            <w:pPr>
              <w:spacing w:line="360" w:lineRule="exact"/>
              <w:rPr>
                <w:rFonts w:hint="eastAsia" w:ascii="宋体" w:hAnsi="宋体" w:eastAsia="宋体" w:cs="宋体"/>
                <w:bCs/>
                <w:sz w:val="24"/>
                <w:szCs w:val="24"/>
              </w:rPr>
            </w:pPr>
            <w:r>
              <w:rPr>
                <w:rFonts w:hint="eastAsia" w:ascii="宋体" w:hAnsi="宋体" w:eastAsia="宋体" w:cs="宋体"/>
                <w:color w:val="auto"/>
                <w:sz w:val="24"/>
                <w:szCs w:val="24"/>
                <w:lang w:val="en-US" w:eastAsia="zh-CN"/>
              </w:rPr>
              <w:t>(1)养护管理实施方案是否全面，是否细化到月度、季度等各方面，从完整性、合理性、可行性出发，</w:t>
            </w:r>
            <w:r>
              <w:rPr>
                <w:rFonts w:hint="eastAsia" w:ascii="宋体" w:hAnsi="宋体" w:eastAsia="宋体" w:cs="宋体"/>
                <w:bCs/>
                <w:sz w:val="24"/>
                <w:szCs w:val="24"/>
              </w:rPr>
              <w:t>由评委综合评议打分。</w:t>
            </w:r>
          </w:p>
          <w:p w14:paraId="135FEC51">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①方案完整，合理性、可行性强的，得4分；</w:t>
            </w:r>
          </w:p>
          <w:p w14:paraId="2A763FCF">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②方案较完整，合理性、可行性较强的，得3分；</w:t>
            </w:r>
          </w:p>
          <w:p w14:paraId="41895F0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③方案欠完整，合理性、可行性较弱的，得2分；</w:t>
            </w:r>
          </w:p>
          <w:p w14:paraId="27527857">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④方案较差，合理性、可行性弱的，得1分；</w:t>
            </w:r>
          </w:p>
          <w:p w14:paraId="1496965D">
            <w:pPr>
              <w:spacing w:line="360" w:lineRule="exact"/>
              <w:rPr>
                <w:rFonts w:hint="eastAsia" w:ascii="宋体" w:hAnsi="宋体" w:eastAsia="宋体" w:cs="宋体"/>
                <w:bCs/>
                <w:sz w:val="24"/>
                <w:szCs w:val="24"/>
                <w:lang w:val="en-US" w:eastAsia="zh-CN"/>
              </w:rPr>
            </w:pPr>
            <w:r>
              <w:rPr>
                <w:rFonts w:hint="eastAsia" w:ascii="宋体" w:hAnsi="宋体" w:eastAsia="宋体" w:cs="宋体"/>
                <w:color w:val="auto"/>
                <w:sz w:val="24"/>
                <w:szCs w:val="24"/>
                <w:lang w:val="en-US" w:eastAsia="zh-CN"/>
              </w:rPr>
              <w:t>⑤未提供相关内容的不得分。</w:t>
            </w:r>
          </w:p>
        </w:tc>
        <w:tc>
          <w:tcPr>
            <w:tcW w:w="963" w:type="dxa"/>
            <w:tcBorders>
              <w:top w:val="single" w:color="auto" w:sz="2" w:space="0"/>
              <w:left w:val="single" w:color="auto" w:sz="4" w:space="0"/>
              <w:bottom w:val="single" w:color="auto" w:sz="2" w:space="0"/>
              <w:right w:val="single" w:color="auto" w:sz="2" w:space="0"/>
            </w:tcBorders>
            <w:noWrap w:val="0"/>
            <w:vAlign w:val="center"/>
          </w:tcPr>
          <w:p w14:paraId="26F27DE0">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color w:val="auto"/>
                <w:sz w:val="24"/>
                <w:szCs w:val="24"/>
                <w:lang w:val="en-US" w:eastAsia="zh-CN"/>
              </w:rPr>
              <w:t>4</w:t>
            </w:r>
          </w:p>
        </w:tc>
      </w:tr>
      <w:tr w14:paraId="62FD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999" w:type="dxa"/>
            <w:vMerge w:val="continue"/>
            <w:tcBorders>
              <w:left w:val="single" w:color="auto" w:sz="4" w:space="0"/>
              <w:right w:val="single" w:color="auto" w:sz="2" w:space="0"/>
            </w:tcBorders>
            <w:noWrap w:val="0"/>
            <w:vAlign w:val="center"/>
          </w:tcPr>
          <w:p w14:paraId="66356177">
            <w:pPr>
              <w:spacing w:line="360" w:lineRule="exact"/>
              <w:rPr>
                <w:rFonts w:hint="eastAsia" w:ascii="宋体" w:hAnsi="宋体" w:eastAsia="宋体" w:cs="宋体"/>
                <w:color w:val="000000"/>
                <w:sz w:val="24"/>
                <w:szCs w:val="24"/>
              </w:rPr>
            </w:pPr>
          </w:p>
        </w:tc>
        <w:tc>
          <w:tcPr>
            <w:tcW w:w="1348" w:type="dxa"/>
            <w:vMerge w:val="continue"/>
            <w:tcBorders>
              <w:left w:val="single" w:color="auto" w:sz="2" w:space="0"/>
              <w:right w:val="single" w:color="auto" w:sz="4" w:space="0"/>
            </w:tcBorders>
            <w:noWrap w:val="0"/>
            <w:vAlign w:val="center"/>
          </w:tcPr>
          <w:p w14:paraId="16BFB6AB">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p>
        </w:tc>
        <w:tc>
          <w:tcPr>
            <w:tcW w:w="1391" w:type="dxa"/>
            <w:vMerge w:val="restart"/>
            <w:tcBorders>
              <w:top w:val="single" w:color="auto" w:sz="2" w:space="0"/>
              <w:left w:val="single" w:color="auto" w:sz="4" w:space="0"/>
              <w:right w:val="single" w:color="auto" w:sz="2" w:space="0"/>
            </w:tcBorders>
            <w:noWrap w:val="0"/>
            <w:vAlign w:val="center"/>
          </w:tcPr>
          <w:p w14:paraId="50620A0E">
            <w:pPr>
              <w:spacing w:line="360" w:lineRule="exact"/>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(2)精细化管理实施方案（</w:t>
            </w:r>
            <w:r>
              <w:rPr>
                <w:rFonts w:hint="eastAsia" w:ascii="宋体" w:hAnsi="宋体" w:cs="宋体"/>
                <w:color w:val="auto"/>
                <w:sz w:val="24"/>
                <w:szCs w:val="24"/>
                <w:lang w:val="en-US" w:eastAsia="zh-CN"/>
              </w:rPr>
              <w:t>24</w:t>
            </w:r>
            <w:r>
              <w:rPr>
                <w:rFonts w:hint="eastAsia" w:ascii="宋体" w:hAnsi="宋体" w:eastAsia="宋体" w:cs="宋体"/>
                <w:color w:val="auto"/>
                <w:sz w:val="24"/>
                <w:szCs w:val="24"/>
                <w:lang w:val="en-US" w:eastAsia="zh-CN"/>
              </w:rPr>
              <w:t>分）</w:t>
            </w:r>
          </w:p>
        </w:tc>
        <w:tc>
          <w:tcPr>
            <w:tcW w:w="5453" w:type="dxa"/>
            <w:tcBorders>
              <w:top w:val="single" w:color="auto" w:sz="2" w:space="0"/>
              <w:left w:val="single" w:color="auto" w:sz="4" w:space="0"/>
              <w:bottom w:val="single" w:color="auto" w:sz="2" w:space="0"/>
              <w:right w:val="single" w:color="auto" w:sz="2" w:space="0"/>
            </w:tcBorders>
            <w:noWrap w:val="0"/>
            <w:vAlign w:val="center"/>
          </w:tcPr>
          <w:p w14:paraId="5F48793D">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①根据供应商方案中的水体水质养护内容，从完整性、合理性、可行性出发，由评委综合评议打分</w:t>
            </w:r>
            <w:r>
              <w:rPr>
                <w:rFonts w:hint="eastAsia" w:ascii="宋体" w:hAnsi="宋体" w:cs="宋体"/>
                <w:color w:val="auto"/>
                <w:sz w:val="24"/>
                <w:szCs w:val="24"/>
                <w:lang w:val="en-US" w:eastAsia="zh-CN"/>
              </w:rPr>
              <w:t>。</w:t>
            </w:r>
          </w:p>
          <w:p w14:paraId="29B07C56">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①方案完整，合理性、可行性强的，得4分；</w:t>
            </w:r>
          </w:p>
          <w:p w14:paraId="5C871287">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②方案较完整，合理性、可行性较强的，得3分；</w:t>
            </w:r>
          </w:p>
          <w:p w14:paraId="0C49A0E6">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③方案欠完整，合理性、可行性较弱的，得2分；</w:t>
            </w:r>
          </w:p>
          <w:p w14:paraId="48904D08">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④方案较差，合理性、可行性弱的，得1分；</w:t>
            </w:r>
          </w:p>
          <w:p w14:paraId="4F77D30A">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⑤未提供相关内容的不得分。</w:t>
            </w:r>
          </w:p>
        </w:tc>
        <w:tc>
          <w:tcPr>
            <w:tcW w:w="963" w:type="dxa"/>
            <w:tcBorders>
              <w:top w:val="single" w:color="auto" w:sz="2" w:space="0"/>
              <w:left w:val="single" w:color="auto" w:sz="4" w:space="0"/>
              <w:bottom w:val="single" w:color="auto" w:sz="2" w:space="0"/>
              <w:right w:val="single" w:color="auto" w:sz="2" w:space="0"/>
            </w:tcBorders>
            <w:noWrap w:val="0"/>
            <w:vAlign w:val="center"/>
          </w:tcPr>
          <w:p w14:paraId="4986136F">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eastAsia="宋体" w:cs="宋体"/>
                <w:color w:val="auto"/>
                <w:sz w:val="24"/>
                <w:szCs w:val="24"/>
                <w:lang w:val="en-US" w:eastAsia="zh-CN"/>
              </w:rPr>
              <w:t>4</w:t>
            </w:r>
          </w:p>
        </w:tc>
      </w:tr>
      <w:tr w14:paraId="3102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60" w:hRule="atLeast"/>
          <w:jc w:val="center"/>
        </w:trPr>
        <w:tc>
          <w:tcPr>
            <w:tcW w:w="999" w:type="dxa"/>
            <w:vMerge w:val="continue"/>
            <w:tcBorders>
              <w:left w:val="single" w:color="auto" w:sz="4" w:space="0"/>
              <w:right w:val="single" w:color="auto" w:sz="2" w:space="0"/>
            </w:tcBorders>
            <w:noWrap w:val="0"/>
            <w:vAlign w:val="center"/>
          </w:tcPr>
          <w:p w14:paraId="34F25BF1">
            <w:pPr>
              <w:spacing w:line="360" w:lineRule="exact"/>
              <w:rPr>
                <w:rFonts w:hint="eastAsia" w:ascii="宋体" w:hAnsi="宋体" w:eastAsia="宋体" w:cs="宋体"/>
                <w:color w:val="000000"/>
                <w:sz w:val="24"/>
                <w:szCs w:val="24"/>
              </w:rPr>
            </w:pPr>
          </w:p>
        </w:tc>
        <w:tc>
          <w:tcPr>
            <w:tcW w:w="1348" w:type="dxa"/>
            <w:vMerge w:val="continue"/>
            <w:tcBorders>
              <w:left w:val="single" w:color="auto" w:sz="2" w:space="0"/>
              <w:right w:val="single" w:color="auto" w:sz="4" w:space="0"/>
            </w:tcBorders>
            <w:noWrap w:val="0"/>
            <w:vAlign w:val="center"/>
          </w:tcPr>
          <w:p w14:paraId="56556284">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p>
        </w:tc>
        <w:tc>
          <w:tcPr>
            <w:tcW w:w="1391" w:type="dxa"/>
            <w:vMerge w:val="continue"/>
            <w:tcBorders>
              <w:left w:val="single" w:color="auto" w:sz="4" w:space="0"/>
              <w:right w:val="single" w:color="auto" w:sz="2" w:space="0"/>
            </w:tcBorders>
            <w:noWrap w:val="0"/>
            <w:vAlign w:val="center"/>
          </w:tcPr>
          <w:p w14:paraId="4B82C272">
            <w:pPr>
              <w:spacing w:line="360" w:lineRule="exact"/>
              <w:rPr>
                <w:rFonts w:hint="eastAsia" w:ascii="宋体" w:hAnsi="宋体" w:eastAsia="宋体" w:cs="宋体"/>
                <w:color w:val="auto"/>
                <w:sz w:val="24"/>
                <w:szCs w:val="24"/>
                <w:lang w:val="en-US" w:eastAsia="zh-CN"/>
              </w:rPr>
            </w:pPr>
          </w:p>
        </w:tc>
        <w:tc>
          <w:tcPr>
            <w:tcW w:w="5453" w:type="dxa"/>
            <w:tcBorders>
              <w:top w:val="single" w:color="auto" w:sz="2" w:space="0"/>
              <w:left w:val="single" w:color="auto" w:sz="4" w:space="0"/>
              <w:bottom w:val="single" w:color="auto" w:sz="2" w:space="0"/>
              <w:right w:val="single" w:color="auto" w:sz="2" w:space="0"/>
            </w:tcBorders>
            <w:noWrap w:val="0"/>
            <w:vAlign w:val="center"/>
          </w:tcPr>
          <w:p w14:paraId="6EFDBECE">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②根据供应商方案中的水体绿化养护内容，从完整性、合理性、可行性出发，由评委综合评议打分</w:t>
            </w:r>
            <w:r>
              <w:rPr>
                <w:rFonts w:hint="eastAsia" w:ascii="宋体" w:hAnsi="宋体" w:cs="宋体"/>
                <w:color w:val="auto"/>
                <w:sz w:val="24"/>
                <w:szCs w:val="24"/>
                <w:lang w:val="en-US" w:eastAsia="zh-CN"/>
              </w:rPr>
              <w:t>。</w:t>
            </w:r>
          </w:p>
          <w:p w14:paraId="72CF1B86">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①方案完整，合理性、可行性强的，得4分；</w:t>
            </w:r>
          </w:p>
          <w:p w14:paraId="399658E4">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②方案较完整，合理性、可行性较强的，得3分；</w:t>
            </w:r>
          </w:p>
          <w:p w14:paraId="7272C2FE">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③方案欠完整，合理性、可行性较弱的，得2分；</w:t>
            </w:r>
          </w:p>
          <w:p w14:paraId="2EF428ED">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④方案较差，合理性、可行性弱的，得1分；</w:t>
            </w:r>
          </w:p>
          <w:p w14:paraId="13694787">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⑤未提供相关内容的不得分。</w:t>
            </w:r>
          </w:p>
        </w:tc>
        <w:tc>
          <w:tcPr>
            <w:tcW w:w="963" w:type="dxa"/>
            <w:tcBorders>
              <w:top w:val="single" w:color="auto" w:sz="2" w:space="0"/>
              <w:left w:val="single" w:color="auto" w:sz="4" w:space="0"/>
              <w:bottom w:val="single" w:color="auto" w:sz="2" w:space="0"/>
              <w:right w:val="single" w:color="auto" w:sz="2" w:space="0"/>
            </w:tcBorders>
            <w:noWrap w:val="0"/>
            <w:vAlign w:val="center"/>
          </w:tcPr>
          <w:p w14:paraId="67BA6624">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eastAsia="宋体" w:cs="宋体"/>
                <w:color w:val="auto"/>
                <w:sz w:val="24"/>
                <w:szCs w:val="24"/>
                <w:lang w:val="en-US" w:eastAsia="zh-CN"/>
              </w:rPr>
              <w:t>4</w:t>
            </w:r>
          </w:p>
        </w:tc>
      </w:tr>
      <w:tr w14:paraId="6CA9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5" w:hRule="atLeast"/>
          <w:jc w:val="center"/>
        </w:trPr>
        <w:tc>
          <w:tcPr>
            <w:tcW w:w="999" w:type="dxa"/>
            <w:vMerge w:val="continue"/>
            <w:tcBorders>
              <w:left w:val="single" w:color="auto" w:sz="4" w:space="0"/>
              <w:right w:val="single" w:color="auto" w:sz="2" w:space="0"/>
            </w:tcBorders>
            <w:noWrap w:val="0"/>
            <w:vAlign w:val="center"/>
          </w:tcPr>
          <w:p w14:paraId="235B877B">
            <w:pPr>
              <w:spacing w:line="360" w:lineRule="exact"/>
              <w:rPr>
                <w:rFonts w:hint="eastAsia" w:ascii="宋体" w:hAnsi="宋体" w:eastAsia="宋体" w:cs="宋体"/>
                <w:color w:val="000000"/>
                <w:sz w:val="24"/>
                <w:szCs w:val="24"/>
              </w:rPr>
            </w:pPr>
          </w:p>
        </w:tc>
        <w:tc>
          <w:tcPr>
            <w:tcW w:w="1348" w:type="dxa"/>
            <w:vMerge w:val="continue"/>
            <w:tcBorders>
              <w:left w:val="single" w:color="auto" w:sz="2" w:space="0"/>
              <w:right w:val="single" w:color="auto" w:sz="4" w:space="0"/>
            </w:tcBorders>
            <w:noWrap w:val="0"/>
            <w:vAlign w:val="center"/>
          </w:tcPr>
          <w:p w14:paraId="05C10F0F">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p>
        </w:tc>
        <w:tc>
          <w:tcPr>
            <w:tcW w:w="1391" w:type="dxa"/>
            <w:vMerge w:val="continue"/>
            <w:tcBorders>
              <w:left w:val="single" w:color="auto" w:sz="4" w:space="0"/>
              <w:right w:val="single" w:color="auto" w:sz="2" w:space="0"/>
            </w:tcBorders>
            <w:noWrap w:val="0"/>
            <w:vAlign w:val="center"/>
          </w:tcPr>
          <w:p w14:paraId="2CB340B4">
            <w:pPr>
              <w:spacing w:line="360" w:lineRule="exact"/>
              <w:rPr>
                <w:rFonts w:hint="eastAsia" w:ascii="宋体" w:hAnsi="宋体" w:eastAsia="宋体" w:cs="宋体"/>
                <w:color w:val="auto"/>
                <w:sz w:val="24"/>
                <w:szCs w:val="24"/>
                <w:lang w:val="en-US" w:eastAsia="zh-CN"/>
              </w:rPr>
            </w:pPr>
          </w:p>
        </w:tc>
        <w:tc>
          <w:tcPr>
            <w:tcW w:w="5453" w:type="dxa"/>
            <w:tcBorders>
              <w:top w:val="single" w:color="auto" w:sz="2" w:space="0"/>
              <w:left w:val="single" w:color="auto" w:sz="4" w:space="0"/>
              <w:bottom w:val="single" w:color="auto" w:sz="2" w:space="0"/>
              <w:right w:val="single" w:color="auto" w:sz="2" w:space="0"/>
            </w:tcBorders>
            <w:noWrap w:val="0"/>
            <w:vAlign w:val="center"/>
          </w:tcPr>
          <w:p w14:paraId="7A38C149">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③根据供应商方案中的病虫害防治、试剂与用药内容，从完整性、合理性、可行性出发，由评委综合评议打分</w:t>
            </w:r>
            <w:r>
              <w:rPr>
                <w:rFonts w:hint="eastAsia" w:ascii="宋体" w:hAnsi="宋体" w:cs="宋体"/>
                <w:color w:val="auto"/>
                <w:sz w:val="24"/>
                <w:szCs w:val="24"/>
                <w:lang w:val="en-US" w:eastAsia="zh-CN"/>
              </w:rPr>
              <w:t>。</w:t>
            </w:r>
          </w:p>
          <w:p w14:paraId="1D0D8A4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①方案完整，合理性、可行性强的，得4分；</w:t>
            </w:r>
          </w:p>
          <w:p w14:paraId="52FF77C2">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②方案较完整，合理性、可行性较强的，得3分；</w:t>
            </w:r>
          </w:p>
          <w:p w14:paraId="2BEAAB81">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③方案欠完整，合理性、可行性较弱的，得2分；</w:t>
            </w:r>
          </w:p>
          <w:p w14:paraId="1D7D523B">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④方案较差，合理性、可行性弱的，得1分；</w:t>
            </w:r>
          </w:p>
          <w:p w14:paraId="3B21A65D">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⑤未提供相关内容的不得分。</w:t>
            </w:r>
          </w:p>
        </w:tc>
        <w:tc>
          <w:tcPr>
            <w:tcW w:w="963" w:type="dxa"/>
            <w:tcBorders>
              <w:top w:val="single" w:color="auto" w:sz="2" w:space="0"/>
              <w:left w:val="single" w:color="auto" w:sz="4" w:space="0"/>
              <w:bottom w:val="single" w:color="auto" w:sz="2" w:space="0"/>
              <w:right w:val="single" w:color="auto" w:sz="2" w:space="0"/>
            </w:tcBorders>
            <w:noWrap w:val="0"/>
            <w:vAlign w:val="center"/>
          </w:tcPr>
          <w:p w14:paraId="3DC4BD8E">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color w:val="auto"/>
                <w:sz w:val="24"/>
                <w:szCs w:val="24"/>
                <w:lang w:val="en-US" w:eastAsia="zh-CN"/>
              </w:rPr>
              <w:t>4</w:t>
            </w:r>
          </w:p>
        </w:tc>
      </w:tr>
      <w:tr w14:paraId="78E6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8" w:hRule="atLeast"/>
          <w:jc w:val="center"/>
        </w:trPr>
        <w:tc>
          <w:tcPr>
            <w:tcW w:w="999" w:type="dxa"/>
            <w:vMerge w:val="continue"/>
            <w:tcBorders>
              <w:left w:val="single" w:color="auto" w:sz="4" w:space="0"/>
              <w:right w:val="single" w:color="auto" w:sz="2" w:space="0"/>
            </w:tcBorders>
            <w:noWrap w:val="0"/>
            <w:vAlign w:val="center"/>
          </w:tcPr>
          <w:p w14:paraId="665A680D">
            <w:pPr>
              <w:spacing w:line="360" w:lineRule="exact"/>
              <w:rPr>
                <w:rFonts w:hint="eastAsia" w:ascii="宋体" w:hAnsi="宋体" w:eastAsia="宋体" w:cs="宋体"/>
                <w:color w:val="000000"/>
                <w:sz w:val="24"/>
                <w:szCs w:val="24"/>
              </w:rPr>
            </w:pPr>
          </w:p>
        </w:tc>
        <w:tc>
          <w:tcPr>
            <w:tcW w:w="1348" w:type="dxa"/>
            <w:vMerge w:val="continue"/>
            <w:tcBorders>
              <w:left w:val="single" w:color="auto" w:sz="2" w:space="0"/>
              <w:right w:val="single" w:color="auto" w:sz="4" w:space="0"/>
            </w:tcBorders>
            <w:noWrap w:val="0"/>
            <w:vAlign w:val="center"/>
          </w:tcPr>
          <w:p w14:paraId="647B2B66">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p>
        </w:tc>
        <w:tc>
          <w:tcPr>
            <w:tcW w:w="1391" w:type="dxa"/>
            <w:vMerge w:val="continue"/>
            <w:tcBorders>
              <w:left w:val="single" w:color="auto" w:sz="4" w:space="0"/>
              <w:right w:val="single" w:color="auto" w:sz="2" w:space="0"/>
            </w:tcBorders>
            <w:noWrap w:val="0"/>
            <w:vAlign w:val="center"/>
          </w:tcPr>
          <w:p w14:paraId="1615A6D2">
            <w:pPr>
              <w:spacing w:line="360" w:lineRule="exact"/>
              <w:rPr>
                <w:rFonts w:hint="eastAsia" w:ascii="宋体" w:hAnsi="宋体" w:eastAsia="宋体" w:cs="宋体"/>
                <w:color w:val="auto"/>
                <w:sz w:val="24"/>
                <w:szCs w:val="24"/>
                <w:lang w:val="en-US" w:eastAsia="zh-CN"/>
              </w:rPr>
            </w:pPr>
          </w:p>
        </w:tc>
        <w:tc>
          <w:tcPr>
            <w:tcW w:w="5453" w:type="dxa"/>
            <w:tcBorders>
              <w:top w:val="single" w:color="auto" w:sz="2" w:space="0"/>
              <w:left w:val="single" w:color="auto" w:sz="4" w:space="0"/>
              <w:bottom w:val="single" w:color="auto" w:sz="2" w:space="0"/>
              <w:right w:val="single" w:color="auto" w:sz="2" w:space="0"/>
            </w:tcBorders>
            <w:noWrap w:val="0"/>
            <w:vAlign w:val="center"/>
          </w:tcPr>
          <w:p w14:paraId="12681269">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④根据供应商方案中的水污染防治和水质恶化应急处理内容，从完整性、合理性、可行性出发，由评委综合评议打分</w:t>
            </w:r>
            <w:r>
              <w:rPr>
                <w:rFonts w:hint="eastAsia" w:ascii="宋体" w:hAnsi="宋体" w:cs="宋体"/>
                <w:color w:val="auto"/>
                <w:sz w:val="24"/>
                <w:szCs w:val="24"/>
                <w:lang w:val="en-US" w:eastAsia="zh-CN"/>
              </w:rPr>
              <w:t>。</w:t>
            </w:r>
          </w:p>
          <w:p w14:paraId="05FEA79D">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①方案完整，合理性、可行性强的，得4分；</w:t>
            </w:r>
          </w:p>
          <w:p w14:paraId="00F36A0F">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②方案较完整，合理性、可行性较强的，得3分；</w:t>
            </w:r>
          </w:p>
          <w:p w14:paraId="228424E5">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③方案欠完整，合理性、可行性较弱的，得2分；</w:t>
            </w:r>
          </w:p>
          <w:p w14:paraId="5DF5E819">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④方案较差，合理性、可行性弱的，得1分；</w:t>
            </w:r>
          </w:p>
          <w:p w14:paraId="51F0D09C">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⑤未提供相关内容的不得分。</w:t>
            </w:r>
          </w:p>
        </w:tc>
        <w:tc>
          <w:tcPr>
            <w:tcW w:w="963" w:type="dxa"/>
            <w:tcBorders>
              <w:top w:val="single" w:color="auto" w:sz="2" w:space="0"/>
              <w:left w:val="single" w:color="auto" w:sz="4" w:space="0"/>
              <w:bottom w:val="single" w:color="auto" w:sz="2" w:space="0"/>
              <w:right w:val="single" w:color="auto" w:sz="2" w:space="0"/>
            </w:tcBorders>
            <w:noWrap w:val="0"/>
            <w:vAlign w:val="center"/>
          </w:tcPr>
          <w:p w14:paraId="34D7FD4D">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color w:val="auto"/>
                <w:sz w:val="24"/>
                <w:szCs w:val="24"/>
                <w:lang w:val="en-US" w:eastAsia="zh-CN"/>
              </w:rPr>
              <w:t>4</w:t>
            </w:r>
          </w:p>
        </w:tc>
      </w:tr>
      <w:tr w14:paraId="7219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0" w:hRule="atLeast"/>
          <w:jc w:val="center"/>
        </w:trPr>
        <w:tc>
          <w:tcPr>
            <w:tcW w:w="999" w:type="dxa"/>
            <w:vMerge w:val="continue"/>
            <w:tcBorders>
              <w:left w:val="single" w:color="auto" w:sz="4" w:space="0"/>
              <w:right w:val="single" w:color="auto" w:sz="2" w:space="0"/>
            </w:tcBorders>
            <w:noWrap w:val="0"/>
            <w:vAlign w:val="center"/>
          </w:tcPr>
          <w:p w14:paraId="34672B72">
            <w:pPr>
              <w:spacing w:line="360" w:lineRule="exact"/>
              <w:rPr>
                <w:rFonts w:hint="eastAsia" w:ascii="宋体" w:hAnsi="宋体" w:eastAsia="宋体" w:cs="宋体"/>
                <w:color w:val="000000"/>
                <w:sz w:val="24"/>
                <w:szCs w:val="24"/>
              </w:rPr>
            </w:pPr>
          </w:p>
        </w:tc>
        <w:tc>
          <w:tcPr>
            <w:tcW w:w="1348" w:type="dxa"/>
            <w:vMerge w:val="continue"/>
            <w:tcBorders>
              <w:left w:val="single" w:color="auto" w:sz="2" w:space="0"/>
              <w:right w:val="single" w:color="auto" w:sz="4" w:space="0"/>
            </w:tcBorders>
            <w:noWrap w:val="0"/>
            <w:vAlign w:val="center"/>
          </w:tcPr>
          <w:p w14:paraId="29F81505">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p>
        </w:tc>
        <w:tc>
          <w:tcPr>
            <w:tcW w:w="1391" w:type="dxa"/>
            <w:vMerge w:val="continue"/>
            <w:tcBorders>
              <w:left w:val="single" w:color="auto" w:sz="4" w:space="0"/>
              <w:right w:val="single" w:color="auto" w:sz="2" w:space="0"/>
            </w:tcBorders>
            <w:noWrap w:val="0"/>
            <w:vAlign w:val="center"/>
          </w:tcPr>
          <w:p w14:paraId="34016D5E">
            <w:pPr>
              <w:spacing w:line="360" w:lineRule="exact"/>
              <w:rPr>
                <w:rFonts w:hint="eastAsia" w:ascii="宋体" w:hAnsi="宋体" w:eastAsia="宋体" w:cs="宋体"/>
                <w:color w:val="auto"/>
                <w:kern w:val="2"/>
                <w:sz w:val="24"/>
                <w:szCs w:val="24"/>
                <w:lang w:val="en-US" w:eastAsia="zh-CN" w:bidi="ar-SA"/>
              </w:rPr>
            </w:pPr>
          </w:p>
        </w:tc>
        <w:tc>
          <w:tcPr>
            <w:tcW w:w="5453" w:type="dxa"/>
            <w:tcBorders>
              <w:top w:val="single" w:color="auto" w:sz="2" w:space="0"/>
              <w:left w:val="single" w:color="auto" w:sz="4" w:space="0"/>
              <w:bottom w:val="single" w:color="auto" w:sz="2" w:space="0"/>
              <w:right w:val="single" w:color="auto" w:sz="2" w:space="0"/>
            </w:tcBorders>
            <w:noWrap w:val="0"/>
            <w:vAlign w:val="center"/>
          </w:tcPr>
          <w:p w14:paraId="0CD1DB58">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⑤根据供应商方案中的水质检测与监测内容，从完整性、合理性、可行性出发，由评委综合评议打分</w:t>
            </w:r>
            <w:r>
              <w:rPr>
                <w:rFonts w:hint="eastAsia" w:ascii="宋体" w:hAnsi="宋体" w:cs="宋体"/>
                <w:color w:val="auto"/>
                <w:sz w:val="24"/>
                <w:szCs w:val="24"/>
                <w:lang w:val="en-US" w:eastAsia="zh-CN"/>
              </w:rPr>
              <w:t>。</w:t>
            </w:r>
          </w:p>
          <w:p w14:paraId="39377B8C">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①方案完整，合理性、可行性强的，得4分；</w:t>
            </w:r>
          </w:p>
          <w:p w14:paraId="3FD62E6E">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②方案较完整，合理性、可行性较强的，得3分；</w:t>
            </w:r>
          </w:p>
          <w:p w14:paraId="7E3ABADE">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③方案欠完整，合理性、可行性较弱的，得2分；</w:t>
            </w:r>
          </w:p>
          <w:p w14:paraId="028A6E55">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④方案较差，合理性、可行性弱的，得1分；</w:t>
            </w:r>
          </w:p>
          <w:p w14:paraId="2310D7D6">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⑤未提供相关内容的不得分。</w:t>
            </w:r>
          </w:p>
        </w:tc>
        <w:tc>
          <w:tcPr>
            <w:tcW w:w="963" w:type="dxa"/>
            <w:tcBorders>
              <w:top w:val="single" w:color="auto" w:sz="2" w:space="0"/>
              <w:left w:val="single" w:color="auto" w:sz="4" w:space="0"/>
              <w:bottom w:val="single" w:color="auto" w:sz="2" w:space="0"/>
              <w:right w:val="single" w:color="auto" w:sz="2" w:space="0"/>
            </w:tcBorders>
            <w:noWrap w:val="0"/>
            <w:vAlign w:val="center"/>
          </w:tcPr>
          <w:p w14:paraId="3298061F">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color w:val="auto"/>
                <w:sz w:val="24"/>
                <w:szCs w:val="24"/>
                <w:lang w:val="en-US" w:eastAsia="zh-CN"/>
              </w:rPr>
              <w:t>4</w:t>
            </w:r>
          </w:p>
        </w:tc>
      </w:tr>
      <w:tr w14:paraId="42D4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0" w:hRule="atLeast"/>
          <w:jc w:val="center"/>
        </w:trPr>
        <w:tc>
          <w:tcPr>
            <w:tcW w:w="999" w:type="dxa"/>
            <w:vMerge w:val="continue"/>
            <w:tcBorders>
              <w:left w:val="single" w:color="auto" w:sz="4" w:space="0"/>
              <w:right w:val="single" w:color="auto" w:sz="2" w:space="0"/>
            </w:tcBorders>
            <w:noWrap w:val="0"/>
            <w:vAlign w:val="center"/>
          </w:tcPr>
          <w:p w14:paraId="20241073">
            <w:pPr>
              <w:spacing w:line="360" w:lineRule="exact"/>
              <w:rPr>
                <w:rFonts w:hint="eastAsia" w:ascii="宋体" w:hAnsi="宋体" w:eastAsia="宋体" w:cs="宋体"/>
                <w:color w:val="000000"/>
                <w:sz w:val="24"/>
                <w:szCs w:val="24"/>
              </w:rPr>
            </w:pPr>
          </w:p>
        </w:tc>
        <w:tc>
          <w:tcPr>
            <w:tcW w:w="1348" w:type="dxa"/>
            <w:vMerge w:val="continue"/>
            <w:tcBorders>
              <w:left w:val="single" w:color="auto" w:sz="2" w:space="0"/>
              <w:right w:val="single" w:color="auto" w:sz="4" w:space="0"/>
            </w:tcBorders>
            <w:noWrap w:val="0"/>
            <w:vAlign w:val="center"/>
          </w:tcPr>
          <w:p w14:paraId="74466F7E">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p>
        </w:tc>
        <w:tc>
          <w:tcPr>
            <w:tcW w:w="1391" w:type="dxa"/>
            <w:vMerge w:val="continue"/>
            <w:tcBorders>
              <w:left w:val="single" w:color="auto" w:sz="4" w:space="0"/>
              <w:right w:val="single" w:color="auto" w:sz="2" w:space="0"/>
            </w:tcBorders>
            <w:noWrap w:val="0"/>
            <w:vAlign w:val="center"/>
          </w:tcPr>
          <w:p w14:paraId="3E237021">
            <w:pPr>
              <w:spacing w:line="360" w:lineRule="exact"/>
              <w:rPr>
                <w:rFonts w:hint="eastAsia" w:ascii="宋体" w:hAnsi="宋体" w:eastAsia="宋体" w:cs="宋体"/>
                <w:color w:val="auto"/>
                <w:kern w:val="2"/>
                <w:sz w:val="24"/>
                <w:szCs w:val="24"/>
                <w:lang w:val="en-US" w:eastAsia="zh-CN" w:bidi="ar-SA"/>
              </w:rPr>
            </w:pPr>
          </w:p>
        </w:tc>
        <w:tc>
          <w:tcPr>
            <w:tcW w:w="5453" w:type="dxa"/>
            <w:tcBorders>
              <w:top w:val="single" w:color="auto" w:sz="2" w:space="0"/>
              <w:left w:val="single" w:color="auto" w:sz="4" w:space="0"/>
              <w:bottom w:val="single" w:color="auto" w:sz="2" w:space="0"/>
              <w:right w:val="single" w:color="auto" w:sz="2" w:space="0"/>
            </w:tcBorders>
            <w:shd w:val="clear"/>
            <w:noWrap w:val="0"/>
            <w:vAlign w:val="center"/>
          </w:tcPr>
          <w:p w14:paraId="2892BEFC">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w:t>
            </w:r>
            <w:r>
              <w:rPr>
                <w:rFonts w:hint="eastAsia" w:ascii="宋体" w:hAnsi="宋体" w:eastAsia="宋体" w:cs="宋体"/>
                <w:color w:val="auto"/>
                <w:sz w:val="24"/>
                <w:szCs w:val="24"/>
                <w:lang w:val="en-US" w:eastAsia="zh-CN"/>
              </w:rPr>
              <w:t>根据供应商方案中的针对本项目有关的创新性服务措施（包括但不限于创新性养护理念、养护措施、水质保护与宣传等），从完整性、合理性、可行性出发，由评委综合评议打分。</w:t>
            </w:r>
          </w:p>
          <w:p w14:paraId="5A5FC3D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①方案完整，合理性、可行性强的，得4分；</w:t>
            </w:r>
          </w:p>
          <w:p w14:paraId="271F45FC">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②方案较完整，合理性、可行性较强的，得3分；</w:t>
            </w:r>
          </w:p>
          <w:p w14:paraId="0EFE3D9D">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③方案欠完整，合理性、可行性较弱的，得2分；</w:t>
            </w:r>
          </w:p>
          <w:p w14:paraId="48165F13">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④方案较差，合理性、可行性弱的，得1分；</w:t>
            </w:r>
          </w:p>
          <w:p w14:paraId="6060C7B8">
            <w:pPr>
              <w:spacing w:line="36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⑤未提供相关内容的不得分。</w:t>
            </w:r>
          </w:p>
        </w:tc>
        <w:tc>
          <w:tcPr>
            <w:tcW w:w="963" w:type="dxa"/>
            <w:tcBorders>
              <w:top w:val="single" w:color="auto" w:sz="2" w:space="0"/>
              <w:left w:val="single" w:color="auto" w:sz="4" w:space="0"/>
              <w:bottom w:val="single" w:color="auto" w:sz="2" w:space="0"/>
              <w:right w:val="single" w:color="auto" w:sz="2" w:space="0"/>
            </w:tcBorders>
            <w:shd w:val="clear"/>
            <w:noWrap w:val="0"/>
            <w:vAlign w:val="center"/>
          </w:tcPr>
          <w:p w14:paraId="7C5B5C18">
            <w:pPr>
              <w:spacing w:line="36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Cs/>
                <w:sz w:val="24"/>
                <w:szCs w:val="24"/>
                <w:lang w:val="en-US" w:eastAsia="zh-CN"/>
              </w:rPr>
              <w:t>0～</w:t>
            </w:r>
            <w:r>
              <w:rPr>
                <w:rFonts w:hint="eastAsia" w:ascii="宋体" w:hAnsi="宋体" w:cs="宋体"/>
                <w:color w:val="auto"/>
                <w:sz w:val="24"/>
                <w:szCs w:val="24"/>
                <w:lang w:val="en-US" w:eastAsia="zh-CN"/>
              </w:rPr>
              <w:t>4</w:t>
            </w:r>
          </w:p>
        </w:tc>
      </w:tr>
      <w:tr w14:paraId="531E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36" w:hRule="atLeast"/>
          <w:jc w:val="center"/>
        </w:trPr>
        <w:tc>
          <w:tcPr>
            <w:tcW w:w="999" w:type="dxa"/>
            <w:vMerge w:val="continue"/>
            <w:tcBorders>
              <w:left w:val="single" w:color="auto" w:sz="4" w:space="0"/>
              <w:right w:val="single" w:color="auto" w:sz="2" w:space="0"/>
            </w:tcBorders>
            <w:noWrap w:val="0"/>
            <w:vAlign w:val="center"/>
          </w:tcPr>
          <w:p w14:paraId="1BCCAE71">
            <w:pPr>
              <w:spacing w:line="360" w:lineRule="exact"/>
              <w:rPr>
                <w:rFonts w:hint="eastAsia" w:ascii="宋体" w:hAnsi="宋体" w:eastAsia="宋体" w:cs="宋体"/>
                <w:color w:val="000000"/>
                <w:sz w:val="24"/>
                <w:szCs w:val="24"/>
              </w:rPr>
            </w:pPr>
          </w:p>
        </w:tc>
        <w:tc>
          <w:tcPr>
            <w:tcW w:w="1348" w:type="dxa"/>
            <w:vMerge w:val="continue"/>
            <w:tcBorders>
              <w:left w:val="single" w:color="auto" w:sz="2" w:space="0"/>
              <w:right w:val="single" w:color="auto" w:sz="4" w:space="0"/>
            </w:tcBorders>
            <w:noWrap w:val="0"/>
            <w:vAlign w:val="center"/>
          </w:tcPr>
          <w:p w14:paraId="401DAE00">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p>
        </w:tc>
        <w:tc>
          <w:tcPr>
            <w:tcW w:w="1391" w:type="dxa"/>
            <w:vMerge w:val="restart"/>
            <w:tcBorders>
              <w:top w:val="single" w:color="auto" w:sz="2" w:space="0"/>
              <w:left w:val="single" w:color="auto" w:sz="4" w:space="0"/>
              <w:right w:val="single" w:color="auto" w:sz="2" w:space="0"/>
            </w:tcBorders>
            <w:noWrap w:val="0"/>
            <w:vAlign w:val="center"/>
          </w:tcPr>
          <w:p w14:paraId="25DF56CA">
            <w:pPr>
              <w:spacing w:line="360" w:lineRule="exac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(3)保障措施（6分）</w:t>
            </w:r>
          </w:p>
        </w:tc>
        <w:tc>
          <w:tcPr>
            <w:tcW w:w="5453" w:type="dxa"/>
            <w:tcBorders>
              <w:top w:val="single" w:color="auto" w:sz="2" w:space="0"/>
              <w:left w:val="single" w:color="auto" w:sz="4" w:space="0"/>
              <w:bottom w:val="single" w:color="auto" w:sz="2" w:space="0"/>
              <w:right w:val="single" w:color="auto" w:sz="2" w:space="0"/>
            </w:tcBorders>
            <w:noWrap w:val="0"/>
            <w:vAlign w:val="center"/>
          </w:tcPr>
          <w:p w14:paraId="70F35D16">
            <w:pPr>
              <w:spacing w:line="360" w:lineRule="exact"/>
              <w:rPr>
                <w:rFonts w:hint="eastAsia" w:ascii="宋体" w:hAnsi="宋体" w:eastAsia="宋体" w:cs="宋体"/>
                <w:bCs/>
                <w:sz w:val="24"/>
                <w:szCs w:val="24"/>
              </w:rPr>
            </w:pPr>
            <w:r>
              <w:rPr>
                <w:rFonts w:hint="eastAsia" w:ascii="宋体" w:hAnsi="宋体" w:eastAsia="宋体" w:cs="宋体"/>
                <w:color w:val="auto"/>
                <w:sz w:val="24"/>
                <w:szCs w:val="24"/>
                <w:lang w:val="en-US" w:eastAsia="zh-CN"/>
              </w:rPr>
              <w:t>①根据供应商针对本项目实施制定的安全文明作业保障措施，从完整性、合理性、可行性出发，</w:t>
            </w:r>
            <w:r>
              <w:rPr>
                <w:rFonts w:hint="eastAsia" w:ascii="宋体" w:hAnsi="宋体" w:eastAsia="宋体" w:cs="宋体"/>
                <w:bCs/>
                <w:sz w:val="24"/>
                <w:szCs w:val="24"/>
              </w:rPr>
              <w:t>由评委综合评议打分。</w:t>
            </w:r>
          </w:p>
          <w:p w14:paraId="0380C608">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①措施完整，合理性、可行性强的，得3分；</w:t>
            </w:r>
          </w:p>
          <w:p w14:paraId="7CC936F0">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②措施较完整，合理性、可行性较强的，得2分；</w:t>
            </w:r>
          </w:p>
          <w:p w14:paraId="42144D56">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③措施欠完整，合理性、可行性较弱的，得1分；</w:t>
            </w:r>
          </w:p>
          <w:p w14:paraId="3442682A">
            <w:pPr>
              <w:spacing w:line="360" w:lineRule="exact"/>
              <w:rPr>
                <w:rFonts w:hint="eastAsia" w:ascii="宋体" w:hAnsi="宋体" w:eastAsia="宋体" w:cs="宋体"/>
                <w:bCs/>
                <w:sz w:val="24"/>
                <w:szCs w:val="24"/>
                <w:lang w:val="en-US" w:eastAsia="zh-CN"/>
              </w:rPr>
            </w:pPr>
            <w:r>
              <w:rPr>
                <w:rFonts w:hint="eastAsia" w:ascii="宋体" w:hAnsi="宋体" w:eastAsia="宋体" w:cs="宋体"/>
                <w:color w:val="auto"/>
                <w:sz w:val="24"/>
                <w:szCs w:val="24"/>
                <w:lang w:val="en-US" w:eastAsia="zh-CN"/>
              </w:rPr>
              <w:t>④未提供相关内容的不得分。</w:t>
            </w:r>
          </w:p>
        </w:tc>
        <w:tc>
          <w:tcPr>
            <w:tcW w:w="963" w:type="dxa"/>
            <w:tcBorders>
              <w:top w:val="single" w:color="auto" w:sz="2" w:space="0"/>
              <w:left w:val="single" w:color="auto" w:sz="4" w:space="0"/>
              <w:bottom w:val="single" w:color="auto" w:sz="2" w:space="0"/>
              <w:right w:val="single" w:color="auto" w:sz="2" w:space="0"/>
            </w:tcBorders>
            <w:noWrap w:val="0"/>
            <w:vAlign w:val="center"/>
          </w:tcPr>
          <w:p w14:paraId="14D66251">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color w:val="auto"/>
                <w:sz w:val="24"/>
                <w:szCs w:val="24"/>
                <w:lang w:val="en-US" w:eastAsia="zh-CN"/>
              </w:rPr>
              <w:t>3</w:t>
            </w:r>
          </w:p>
        </w:tc>
      </w:tr>
      <w:tr w14:paraId="3D3E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20" w:hRule="atLeast"/>
          <w:jc w:val="center"/>
        </w:trPr>
        <w:tc>
          <w:tcPr>
            <w:tcW w:w="999" w:type="dxa"/>
            <w:vMerge w:val="continue"/>
            <w:tcBorders>
              <w:left w:val="single" w:color="auto" w:sz="4" w:space="0"/>
              <w:right w:val="single" w:color="auto" w:sz="2" w:space="0"/>
            </w:tcBorders>
            <w:noWrap w:val="0"/>
            <w:vAlign w:val="center"/>
          </w:tcPr>
          <w:p w14:paraId="7E5D81A8">
            <w:pPr>
              <w:spacing w:line="360" w:lineRule="exact"/>
            </w:pPr>
          </w:p>
        </w:tc>
        <w:tc>
          <w:tcPr>
            <w:tcW w:w="1348" w:type="dxa"/>
            <w:vMerge w:val="continue"/>
            <w:tcBorders>
              <w:left w:val="single" w:color="auto" w:sz="2" w:space="0"/>
              <w:right w:val="single" w:color="auto" w:sz="4" w:space="0"/>
            </w:tcBorders>
            <w:noWrap w:val="0"/>
            <w:vAlign w:val="center"/>
          </w:tcPr>
          <w:p w14:paraId="6EAD1F1C">
            <w:pPr>
              <w:spacing w:line="360" w:lineRule="exact"/>
            </w:pPr>
          </w:p>
        </w:tc>
        <w:tc>
          <w:tcPr>
            <w:tcW w:w="1391" w:type="dxa"/>
            <w:vMerge w:val="continue"/>
            <w:tcBorders>
              <w:left w:val="single" w:color="auto" w:sz="4" w:space="0"/>
              <w:right w:val="single" w:color="auto" w:sz="2" w:space="0"/>
            </w:tcBorders>
            <w:noWrap w:val="0"/>
            <w:vAlign w:val="center"/>
          </w:tcPr>
          <w:p w14:paraId="5C57A1C3">
            <w:pPr>
              <w:spacing w:line="360" w:lineRule="exact"/>
            </w:pPr>
          </w:p>
        </w:tc>
        <w:tc>
          <w:tcPr>
            <w:tcW w:w="5453" w:type="dxa"/>
            <w:tcBorders>
              <w:top w:val="single" w:color="auto" w:sz="2" w:space="0"/>
              <w:left w:val="single" w:color="auto" w:sz="4" w:space="0"/>
              <w:bottom w:val="single" w:color="auto" w:sz="2" w:space="0"/>
              <w:right w:val="single" w:color="auto" w:sz="2" w:space="0"/>
            </w:tcBorders>
            <w:noWrap w:val="0"/>
            <w:vAlign w:val="center"/>
          </w:tcPr>
          <w:p w14:paraId="031CB13A">
            <w:pPr>
              <w:spacing w:line="360" w:lineRule="exact"/>
              <w:rPr>
                <w:rFonts w:hint="eastAsia" w:ascii="宋体" w:hAnsi="宋体" w:eastAsia="宋体" w:cs="宋体"/>
                <w:bCs/>
                <w:sz w:val="24"/>
                <w:szCs w:val="24"/>
              </w:rPr>
            </w:pPr>
            <w:r>
              <w:rPr>
                <w:rFonts w:hint="eastAsia" w:ascii="宋体" w:hAnsi="宋体" w:eastAsia="宋体" w:cs="宋体"/>
                <w:color w:val="auto"/>
                <w:sz w:val="24"/>
                <w:szCs w:val="24"/>
                <w:lang w:val="en-US" w:eastAsia="zh-CN"/>
              </w:rPr>
              <w:t>②根据供应商针对本项目实施制定的质量保障措施，从完整性、合理性、可行性出发，</w:t>
            </w:r>
            <w:r>
              <w:rPr>
                <w:rFonts w:hint="eastAsia" w:ascii="宋体" w:hAnsi="宋体" w:eastAsia="宋体" w:cs="宋体"/>
                <w:bCs/>
                <w:sz w:val="24"/>
                <w:szCs w:val="24"/>
              </w:rPr>
              <w:t>由评委综合评议打分。</w:t>
            </w:r>
          </w:p>
          <w:p w14:paraId="1C2CC7FB">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①措施完整，合理性、可行性强的，得3分；</w:t>
            </w:r>
          </w:p>
          <w:p w14:paraId="37EB8BB3">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②措施较完整，合理性、可行性较强的，得2分；</w:t>
            </w:r>
          </w:p>
          <w:p w14:paraId="066DC2F9">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③措施欠完整，合理性、可行性较弱的，得1分；</w:t>
            </w:r>
          </w:p>
          <w:p w14:paraId="76501A55">
            <w:pPr>
              <w:spacing w:line="360" w:lineRule="exact"/>
              <w:rPr>
                <w:rFonts w:hint="eastAsia" w:ascii="宋体" w:hAnsi="宋体" w:eastAsia="宋体" w:cs="宋体"/>
                <w:bCs/>
                <w:sz w:val="24"/>
                <w:szCs w:val="24"/>
                <w:lang w:val="en-US" w:eastAsia="zh-CN"/>
              </w:rPr>
            </w:pPr>
            <w:r>
              <w:rPr>
                <w:rFonts w:hint="eastAsia" w:ascii="宋体" w:hAnsi="宋体" w:eastAsia="宋体" w:cs="宋体"/>
                <w:color w:val="auto"/>
                <w:sz w:val="24"/>
                <w:szCs w:val="24"/>
                <w:lang w:val="en-US" w:eastAsia="zh-CN"/>
              </w:rPr>
              <w:t>④未提供相关内容的不得分。</w:t>
            </w:r>
          </w:p>
        </w:tc>
        <w:tc>
          <w:tcPr>
            <w:tcW w:w="963" w:type="dxa"/>
            <w:tcBorders>
              <w:top w:val="single" w:color="auto" w:sz="2" w:space="0"/>
              <w:left w:val="single" w:color="auto" w:sz="4" w:space="0"/>
              <w:bottom w:val="single" w:color="auto" w:sz="2" w:space="0"/>
              <w:right w:val="single" w:color="auto" w:sz="2" w:space="0"/>
            </w:tcBorders>
            <w:noWrap w:val="0"/>
            <w:vAlign w:val="center"/>
          </w:tcPr>
          <w:p w14:paraId="663614C5">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color w:val="auto"/>
                <w:sz w:val="24"/>
                <w:szCs w:val="24"/>
                <w:lang w:val="en-US" w:eastAsia="zh-CN"/>
              </w:rPr>
              <w:t>3</w:t>
            </w:r>
          </w:p>
        </w:tc>
      </w:tr>
      <w:tr w14:paraId="3948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999" w:type="dxa"/>
            <w:vMerge w:val="continue"/>
            <w:tcBorders>
              <w:left w:val="single" w:color="auto" w:sz="4" w:space="0"/>
              <w:right w:val="single" w:color="auto" w:sz="2" w:space="0"/>
            </w:tcBorders>
            <w:noWrap w:val="0"/>
            <w:vAlign w:val="center"/>
          </w:tcPr>
          <w:p w14:paraId="4C357449">
            <w:pPr>
              <w:spacing w:line="360" w:lineRule="exact"/>
              <w:rPr>
                <w:rFonts w:hint="eastAsia" w:ascii="宋体" w:hAnsi="宋体" w:eastAsia="宋体" w:cs="宋体"/>
                <w:color w:val="000000"/>
                <w:sz w:val="24"/>
                <w:szCs w:val="24"/>
              </w:rPr>
            </w:pPr>
          </w:p>
        </w:tc>
        <w:tc>
          <w:tcPr>
            <w:tcW w:w="1348" w:type="dxa"/>
            <w:vMerge w:val="continue"/>
            <w:tcBorders>
              <w:left w:val="single" w:color="auto" w:sz="2" w:space="0"/>
              <w:right w:val="single" w:color="auto" w:sz="4" w:space="0"/>
            </w:tcBorders>
            <w:noWrap w:val="0"/>
            <w:vAlign w:val="center"/>
          </w:tcPr>
          <w:p w14:paraId="16A4678E">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p>
        </w:tc>
        <w:tc>
          <w:tcPr>
            <w:tcW w:w="1391" w:type="dxa"/>
            <w:tcBorders>
              <w:top w:val="single" w:color="auto" w:sz="2" w:space="0"/>
              <w:left w:val="single" w:color="auto" w:sz="4" w:space="0"/>
              <w:right w:val="single" w:color="auto" w:sz="2" w:space="0"/>
            </w:tcBorders>
            <w:noWrap w:val="0"/>
            <w:vAlign w:val="center"/>
          </w:tcPr>
          <w:p w14:paraId="0EFC3487">
            <w:pPr>
              <w:spacing w:line="360" w:lineRule="exac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r>
              <w:rPr>
                <w:rFonts w:hint="eastAsia" w:ascii="宋体" w:hAnsi="宋体" w:cs="宋体"/>
                <w:color w:val="auto"/>
                <w:kern w:val="2"/>
                <w:sz w:val="24"/>
                <w:szCs w:val="24"/>
                <w:lang w:val="en-US" w:eastAsia="zh-CN" w:bidi="ar-SA"/>
              </w:rPr>
              <w:t>内部</w:t>
            </w:r>
            <w:r>
              <w:rPr>
                <w:rFonts w:hint="eastAsia" w:ascii="宋体" w:hAnsi="宋体" w:eastAsia="宋体" w:cs="宋体"/>
                <w:color w:val="auto"/>
                <w:kern w:val="2"/>
                <w:sz w:val="24"/>
                <w:szCs w:val="24"/>
                <w:lang w:val="en-US" w:eastAsia="zh-CN" w:bidi="ar-SA"/>
              </w:rPr>
              <w:t>管理体系（</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分）</w:t>
            </w:r>
          </w:p>
        </w:tc>
        <w:tc>
          <w:tcPr>
            <w:tcW w:w="5453" w:type="dxa"/>
            <w:tcBorders>
              <w:top w:val="single" w:color="auto" w:sz="2" w:space="0"/>
              <w:left w:val="single" w:color="auto" w:sz="4" w:space="0"/>
              <w:right w:val="single" w:color="auto" w:sz="2" w:space="0"/>
            </w:tcBorders>
            <w:noWrap w:val="0"/>
            <w:vAlign w:val="center"/>
          </w:tcPr>
          <w:p w14:paraId="66459E4A">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根据供应商提供的内部规章制度，包括人员管理、培训方案以及内部考核奖惩制度等进行综合评分：</w:t>
            </w:r>
          </w:p>
          <w:p w14:paraId="22157A09">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①制度、方案完善，科学性、合理性强的，得5分；</w:t>
            </w:r>
          </w:p>
          <w:p w14:paraId="7D09C49D">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②制度、方案较完善，科学性、合理性较强的，得4分；</w:t>
            </w:r>
          </w:p>
          <w:p w14:paraId="41D23F2E">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③制度、方案一般，科学性、合理性一般的，得3分；</w:t>
            </w:r>
          </w:p>
          <w:p w14:paraId="577AC28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④制度、方案欠缺，科学性、合理性较弱的，得2分；</w:t>
            </w:r>
          </w:p>
          <w:p w14:paraId="362AAA30">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⑤制度、方案差，科学性、合理性弱的，得1分；</w:t>
            </w:r>
          </w:p>
          <w:p w14:paraId="5C253DBE">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⑥未提供相关内容的不得分。</w:t>
            </w:r>
          </w:p>
        </w:tc>
        <w:tc>
          <w:tcPr>
            <w:tcW w:w="963" w:type="dxa"/>
            <w:tcBorders>
              <w:top w:val="single" w:color="auto" w:sz="2" w:space="0"/>
              <w:left w:val="single" w:color="auto" w:sz="4" w:space="0"/>
              <w:bottom w:val="single" w:color="auto" w:sz="2" w:space="0"/>
              <w:right w:val="single" w:color="auto" w:sz="2" w:space="0"/>
            </w:tcBorders>
            <w:noWrap w:val="0"/>
            <w:vAlign w:val="center"/>
          </w:tcPr>
          <w:p w14:paraId="71D816C7">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color w:val="auto"/>
                <w:sz w:val="24"/>
                <w:szCs w:val="24"/>
                <w:lang w:val="en-US" w:eastAsia="zh-CN"/>
              </w:rPr>
              <w:t>5</w:t>
            </w:r>
          </w:p>
        </w:tc>
      </w:tr>
      <w:tr w14:paraId="0278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9" w:hRule="atLeast"/>
          <w:jc w:val="center"/>
        </w:trPr>
        <w:tc>
          <w:tcPr>
            <w:tcW w:w="999" w:type="dxa"/>
            <w:vMerge w:val="continue"/>
            <w:tcBorders>
              <w:left w:val="single" w:color="auto" w:sz="4" w:space="0"/>
              <w:right w:val="single" w:color="auto" w:sz="2" w:space="0"/>
            </w:tcBorders>
            <w:noWrap w:val="0"/>
            <w:vAlign w:val="center"/>
          </w:tcPr>
          <w:p w14:paraId="0BF77769">
            <w:pPr>
              <w:spacing w:line="360" w:lineRule="exact"/>
              <w:rPr>
                <w:rFonts w:hint="eastAsia" w:ascii="宋体" w:hAnsi="宋体" w:eastAsia="宋体" w:cs="宋体"/>
                <w:color w:val="000000"/>
                <w:sz w:val="24"/>
                <w:szCs w:val="24"/>
              </w:rPr>
            </w:pPr>
          </w:p>
        </w:tc>
        <w:tc>
          <w:tcPr>
            <w:tcW w:w="1348" w:type="dxa"/>
            <w:vMerge w:val="continue"/>
            <w:tcBorders>
              <w:left w:val="single" w:color="auto" w:sz="2" w:space="0"/>
              <w:right w:val="single" w:color="auto" w:sz="4" w:space="0"/>
            </w:tcBorders>
            <w:noWrap w:val="0"/>
            <w:vAlign w:val="center"/>
          </w:tcPr>
          <w:p w14:paraId="7A4B9BB3">
            <w:pPr>
              <w:spacing w:line="360" w:lineRule="exact"/>
              <w:ind w:left="0" w:leftChars="0" w:right="0" w:rightChars="0" w:firstLine="0" w:firstLineChars="0"/>
              <w:jc w:val="center"/>
              <w:rPr>
                <w:rFonts w:hint="eastAsia" w:ascii="宋体" w:hAnsi="宋体" w:eastAsia="宋体" w:cs="宋体"/>
                <w:color w:val="auto"/>
                <w:sz w:val="24"/>
                <w:szCs w:val="24"/>
                <w:lang w:eastAsia="zh-CN"/>
              </w:rPr>
            </w:pPr>
          </w:p>
        </w:tc>
        <w:tc>
          <w:tcPr>
            <w:tcW w:w="1391" w:type="dxa"/>
            <w:tcBorders>
              <w:top w:val="single" w:color="auto" w:sz="2" w:space="0"/>
              <w:left w:val="single" w:color="auto" w:sz="4" w:space="0"/>
              <w:right w:val="single" w:color="auto" w:sz="2" w:space="0"/>
            </w:tcBorders>
            <w:noWrap w:val="0"/>
            <w:vAlign w:val="center"/>
          </w:tcPr>
          <w:p w14:paraId="24A966D4">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)特殊时期的应急保障</w:t>
            </w:r>
            <w:r>
              <w:rPr>
                <w:rFonts w:hint="eastAsia" w:ascii="宋体" w:hAnsi="宋体" w:eastAsia="宋体" w:cs="宋体"/>
                <w:bCs/>
                <w:sz w:val="24"/>
                <w:szCs w:val="24"/>
              </w:rPr>
              <w:t>（</w:t>
            </w:r>
            <w:r>
              <w:rPr>
                <w:rFonts w:hint="eastAsia" w:ascii="宋体" w:hAnsi="宋体" w:cs="宋体"/>
                <w:bCs/>
                <w:sz w:val="24"/>
                <w:szCs w:val="24"/>
                <w:lang w:val="en-US" w:eastAsia="zh-CN"/>
              </w:rPr>
              <w:t>5</w:t>
            </w:r>
            <w:r>
              <w:rPr>
                <w:rFonts w:hint="eastAsia" w:ascii="宋体" w:hAnsi="宋体" w:eastAsia="宋体" w:cs="宋体"/>
                <w:bCs/>
                <w:sz w:val="24"/>
                <w:szCs w:val="24"/>
              </w:rPr>
              <w:t>分）</w:t>
            </w:r>
          </w:p>
        </w:tc>
        <w:tc>
          <w:tcPr>
            <w:tcW w:w="5453" w:type="dxa"/>
            <w:tcBorders>
              <w:top w:val="single" w:color="auto" w:sz="2" w:space="0"/>
              <w:left w:val="single" w:color="auto" w:sz="4" w:space="0"/>
              <w:right w:val="single" w:color="auto" w:sz="2" w:space="0"/>
            </w:tcBorders>
            <w:noWrap w:val="0"/>
            <w:vAlign w:val="center"/>
          </w:tcPr>
          <w:p w14:paraId="133CDF4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根据供应商提供的针对本项目遇特殊时期时的应急保障措施（包括大型活动、节庆假日、防台防汛期间、重大事件期间、创优评优、突击检查等）进行综合评分：</w:t>
            </w:r>
          </w:p>
          <w:p w14:paraId="459C6C46">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①措施、方案完善，科学性、合理性强的，得5分；</w:t>
            </w:r>
          </w:p>
          <w:p w14:paraId="02130956">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②措施、方案较完善，科学性、合理性较强的，得4分；</w:t>
            </w:r>
          </w:p>
          <w:p w14:paraId="1701261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③措施、方案一般，科学性、合理性一般的，得3分；</w:t>
            </w:r>
          </w:p>
          <w:p w14:paraId="0B285941">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④措施、方案欠缺，科学性、合理性较弱的，得2分；</w:t>
            </w:r>
          </w:p>
          <w:p w14:paraId="3E63E109">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⑤措施、方案差，科学性、合理性弱的，得1分；</w:t>
            </w:r>
          </w:p>
          <w:p w14:paraId="300FDD9A">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⑥未提供相关内容的不得分。</w:t>
            </w:r>
          </w:p>
        </w:tc>
        <w:tc>
          <w:tcPr>
            <w:tcW w:w="963" w:type="dxa"/>
            <w:tcBorders>
              <w:top w:val="single" w:color="auto" w:sz="2" w:space="0"/>
              <w:left w:val="single" w:color="auto" w:sz="4" w:space="0"/>
              <w:bottom w:val="single" w:color="auto" w:sz="2" w:space="0"/>
              <w:right w:val="single" w:color="auto" w:sz="2" w:space="0"/>
            </w:tcBorders>
            <w:noWrap w:val="0"/>
            <w:vAlign w:val="center"/>
          </w:tcPr>
          <w:p w14:paraId="6D62B6A1">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color w:val="auto"/>
                <w:sz w:val="24"/>
                <w:szCs w:val="24"/>
                <w:lang w:val="en-US" w:eastAsia="zh-CN"/>
              </w:rPr>
              <w:t>5</w:t>
            </w:r>
          </w:p>
        </w:tc>
      </w:tr>
      <w:tr w14:paraId="5AF7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20" w:hRule="atLeast"/>
          <w:jc w:val="center"/>
        </w:trPr>
        <w:tc>
          <w:tcPr>
            <w:tcW w:w="999" w:type="dxa"/>
            <w:vMerge w:val="continue"/>
            <w:tcBorders>
              <w:left w:val="single" w:color="auto" w:sz="4" w:space="0"/>
              <w:right w:val="single" w:color="auto" w:sz="2" w:space="0"/>
            </w:tcBorders>
            <w:noWrap w:val="0"/>
            <w:vAlign w:val="center"/>
          </w:tcPr>
          <w:p w14:paraId="2EC71A04">
            <w:pPr>
              <w:spacing w:line="360" w:lineRule="exact"/>
              <w:rPr>
                <w:rFonts w:hint="eastAsia" w:ascii="宋体" w:hAnsi="宋体" w:eastAsia="宋体" w:cs="宋体"/>
                <w:color w:val="000000"/>
                <w:sz w:val="24"/>
                <w:szCs w:val="24"/>
              </w:rPr>
            </w:pPr>
          </w:p>
        </w:tc>
        <w:tc>
          <w:tcPr>
            <w:tcW w:w="1348" w:type="dxa"/>
            <w:vMerge w:val="restart"/>
            <w:tcBorders>
              <w:left w:val="single" w:color="auto" w:sz="2" w:space="0"/>
              <w:right w:val="single" w:color="auto" w:sz="4" w:space="0"/>
            </w:tcBorders>
            <w:noWrap w:val="0"/>
            <w:vAlign w:val="center"/>
          </w:tcPr>
          <w:p w14:paraId="5FD12072">
            <w:pPr>
              <w:spacing w:line="360" w:lineRule="exact"/>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（三）综合实力（</w:t>
            </w:r>
            <w:r>
              <w:rPr>
                <w:rFonts w:hint="eastAsia" w:ascii="宋体" w:hAnsi="宋体" w:cs="宋体"/>
                <w:color w:val="auto"/>
                <w:sz w:val="24"/>
                <w:szCs w:val="24"/>
                <w:lang w:val="en-US" w:eastAsia="zh-CN"/>
              </w:rPr>
              <w:t>16</w:t>
            </w:r>
            <w:r>
              <w:rPr>
                <w:rFonts w:hint="eastAsia" w:ascii="宋体" w:hAnsi="宋体" w:eastAsia="宋体" w:cs="宋体"/>
                <w:color w:val="auto"/>
                <w:sz w:val="24"/>
                <w:szCs w:val="24"/>
                <w:lang w:val="en-US" w:eastAsia="zh-CN"/>
              </w:rPr>
              <w:t>分）</w:t>
            </w:r>
          </w:p>
        </w:tc>
        <w:tc>
          <w:tcPr>
            <w:tcW w:w="1391" w:type="dxa"/>
            <w:vMerge w:val="restart"/>
            <w:tcBorders>
              <w:top w:val="single" w:color="auto" w:sz="2" w:space="0"/>
              <w:left w:val="single" w:color="auto" w:sz="4" w:space="0"/>
              <w:right w:val="single" w:color="auto" w:sz="2" w:space="0"/>
            </w:tcBorders>
            <w:noWrap w:val="0"/>
            <w:vAlign w:val="center"/>
          </w:tcPr>
          <w:p w14:paraId="2D54A32B">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(1)养护团队人员配置（10分）</w:t>
            </w:r>
          </w:p>
        </w:tc>
        <w:tc>
          <w:tcPr>
            <w:tcW w:w="5453" w:type="dxa"/>
            <w:tcBorders>
              <w:top w:val="single" w:color="auto" w:sz="2" w:space="0"/>
              <w:left w:val="single" w:color="auto" w:sz="4" w:space="0"/>
              <w:bottom w:val="single" w:color="auto" w:sz="2" w:space="0"/>
              <w:right w:val="single" w:color="auto" w:sz="2" w:space="0"/>
            </w:tcBorders>
            <w:noWrap w:val="0"/>
            <w:vAlign w:val="center"/>
          </w:tcPr>
          <w:p w14:paraId="6EEAC829">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1）项目负责人（2分）：</w:t>
            </w:r>
          </w:p>
          <w:p w14:paraId="62EDA7DA">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拟派项目负责人具有环境类高级及以上工程师职称的得2分，具有环境类工程师职称的得1分，不重复得分。</w:t>
            </w:r>
          </w:p>
          <w:p w14:paraId="181C9567">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（提供人员证书及</w:t>
            </w:r>
            <w:r>
              <w:rPr>
                <w:rFonts w:hint="eastAsia" w:ascii="宋体" w:hAnsi="宋体" w:cs="宋体"/>
                <w:color w:val="auto"/>
                <w:sz w:val="24"/>
                <w:szCs w:val="24"/>
                <w:lang w:val="en-US" w:eastAsia="zh-CN"/>
              </w:rPr>
              <w:t>开标时间前3个月内任一一个月</w:t>
            </w:r>
            <w:r>
              <w:rPr>
                <w:rFonts w:hint="eastAsia" w:ascii="宋体" w:hAnsi="宋体" w:eastAsia="宋体" w:cs="宋体"/>
                <w:color w:val="auto"/>
                <w:sz w:val="24"/>
                <w:szCs w:val="24"/>
                <w:lang w:val="en-US" w:eastAsia="zh-CN"/>
              </w:rPr>
              <w:t>的本单位社保证明，复印件加盖公章编入投标文件，未提供的不得分。）</w:t>
            </w:r>
          </w:p>
        </w:tc>
        <w:tc>
          <w:tcPr>
            <w:tcW w:w="963" w:type="dxa"/>
            <w:tcBorders>
              <w:top w:val="single" w:color="auto" w:sz="2" w:space="0"/>
              <w:left w:val="single" w:color="auto" w:sz="4" w:space="0"/>
              <w:right w:val="single" w:color="auto" w:sz="2" w:space="0"/>
            </w:tcBorders>
            <w:noWrap w:val="0"/>
            <w:vAlign w:val="center"/>
          </w:tcPr>
          <w:p w14:paraId="2F4528A6">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eastAsia="宋体" w:cs="宋体"/>
                <w:color w:val="auto"/>
                <w:sz w:val="24"/>
                <w:szCs w:val="24"/>
                <w:lang w:val="en-US" w:eastAsia="zh-CN"/>
              </w:rPr>
              <w:t>2</w:t>
            </w:r>
          </w:p>
        </w:tc>
      </w:tr>
      <w:tr w14:paraId="5A48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75" w:hRule="atLeast"/>
          <w:jc w:val="center"/>
        </w:trPr>
        <w:tc>
          <w:tcPr>
            <w:tcW w:w="999" w:type="dxa"/>
            <w:vMerge w:val="continue"/>
            <w:tcBorders>
              <w:left w:val="single" w:color="auto" w:sz="4" w:space="0"/>
              <w:right w:val="single" w:color="auto" w:sz="2" w:space="0"/>
            </w:tcBorders>
            <w:noWrap w:val="0"/>
            <w:vAlign w:val="center"/>
          </w:tcPr>
          <w:p w14:paraId="1D95BDA6">
            <w:pPr>
              <w:spacing w:line="360" w:lineRule="exact"/>
            </w:pPr>
          </w:p>
        </w:tc>
        <w:tc>
          <w:tcPr>
            <w:tcW w:w="1348" w:type="dxa"/>
            <w:vMerge w:val="continue"/>
            <w:tcBorders>
              <w:left w:val="single" w:color="auto" w:sz="2" w:space="0"/>
              <w:right w:val="single" w:color="auto" w:sz="4" w:space="0"/>
            </w:tcBorders>
            <w:noWrap w:val="0"/>
            <w:vAlign w:val="center"/>
          </w:tcPr>
          <w:p w14:paraId="7723E8A4">
            <w:pPr>
              <w:spacing w:line="360" w:lineRule="exact"/>
            </w:pPr>
          </w:p>
        </w:tc>
        <w:tc>
          <w:tcPr>
            <w:tcW w:w="1391" w:type="dxa"/>
            <w:vMerge w:val="continue"/>
            <w:tcBorders>
              <w:left w:val="single" w:color="auto" w:sz="4" w:space="0"/>
              <w:right w:val="single" w:color="auto" w:sz="2" w:space="0"/>
            </w:tcBorders>
            <w:noWrap w:val="0"/>
            <w:vAlign w:val="center"/>
          </w:tcPr>
          <w:p w14:paraId="64AE11DD">
            <w:pPr>
              <w:spacing w:line="360" w:lineRule="exact"/>
            </w:pPr>
          </w:p>
        </w:tc>
        <w:tc>
          <w:tcPr>
            <w:tcW w:w="5453" w:type="dxa"/>
            <w:tcBorders>
              <w:top w:val="single" w:color="auto" w:sz="2" w:space="0"/>
              <w:left w:val="single" w:color="auto" w:sz="4" w:space="0"/>
              <w:bottom w:val="single" w:color="auto" w:sz="2" w:space="0"/>
              <w:right w:val="single" w:color="auto" w:sz="2" w:space="0"/>
            </w:tcBorders>
            <w:noWrap w:val="0"/>
            <w:vAlign w:val="center"/>
          </w:tcPr>
          <w:p w14:paraId="2AE1E790">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2）项目管理人员（除项目负责人外）（3分）：</w:t>
            </w:r>
          </w:p>
          <w:p w14:paraId="2E4FDD06">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拟派项目管理人员中有园林绿化或风景园林或环境类工程师及以上职称的，每有一人得1分，最多得3分，同一人有多本证书的不重复计分。</w:t>
            </w:r>
          </w:p>
          <w:p w14:paraId="07941D61">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（提供人员证书及</w:t>
            </w:r>
            <w:r>
              <w:rPr>
                <w:rFonts w:hint="eastAsia" w:ascii="宋体" w:hAnsi="宋体" w:cs="宋体"/>
                <w:color w:val="auto"/>
                <w:sz w:val="24"/>
                <w:szCs w:val="24"/>
                <w:lang w:val="en-US" w:eastAsia="zh-CN"/>
              </w:rPr>
              <w:t>开标时间前3个月内任一一个月</w:t>
            </w:r>
            <w:r>
              <w:rPr>
                <w:rFonts w:hint="eastAsia" w:ascii="宋体" w:hAnsi="宋体" w:eastAsia="宋体" w:cs="宋体"/>
                <w:color w:val="auto"/>
                <w:sz w:val="24"/>
                <w:szCs w:val="24"/>
                <w:lang w:val="en-US" w:eastAsia="zh-CN"/>
              </w:rPr>
              <w:t>的本单位社保证明，复印件加盖公章编入投标文件，未提供的不得分。）</w:t>
            </w:r>
          </w:p>
        </w:tc>
        <w:tc>
          <w:tcPr>
            <w:tcW w:w="963" w:type="dxa"/>
            <w:tcBorders>
              <w:left w:val="single" w:color="auto" w:sz="4" w:space="0"/>
              <w:right w:val="single" w:color="auto" w:sz="2" w:space="0"/>
            </w:tcBorders>
            <w:noWrap w:val="0"/>
            <w:vAlign w:val="center"/>
          </w:tcPr>
          <w:p w14:paraId="5B5E554D">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eastAsia="宋体" w:cs="宋体"/>
                <w:color w:val="auto"/>
                <w:sz w:val="24"/>
                <w:szCs w:val="24"/>
                <w:lang w:val="en-US" w:eastAsia="zh-CN"/>
              </w:rPr>
              <w:t>3</w:t>
            </w:r>
          </w:p>
        </w:tc>
      </w:tr>
      <w:tr w14:paraId="54B0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999" w:type="dxa"/>
            <w:vMerge w:val="continue"/>
            <w:tcBorders>
              <w:left w:val="single" w:color="auto" w:sz="4" w:space="0"/>
              <w:right w:val="single" w:color="auto" w:sz="2" w:space="0"/>
            </w:tcBorders>
            <w:noWrap w:val="0"/>
            <w:vAlign w:val="center"/>
          </w:tcPr>
          <w:p w14:paraId="6C3C23E1">
            <w:pPr>
              <w:spacing w:line="360" w:lineRule="exact"/>
              <w:rPr>
                <w:rFonts w:hint="eastAsia" w:ascii="宋体" w:hAnsi="宋体" w:eastAsia="宋体" w:cs="宋体"/>
                <w:color w:val="auto"/>
                <w:sz w:val="24"/>
                <w:szCs w:val="24"/>
                <w:lang w:val="en-US" w:eastAsia="zh-CN"/>
              </w:rPr>
            </w:pPr>
          </w:p>
        </w:tc>
        <w:tc>
          <w:tcPr>
            <w:tcW w:w="1348" w:type="dxa"/>
            <w:vMerge w:val="continue"/>
            <w:tcBorders>
              <w:left w:val="single" w:color="auto" w:sz="2" w:space="0"/>
              <w:right w:val="single" w:color="auto" w:sz="4" w:space="0"/>
            </w:tcBorders>
            <w:noWrap w:val="0"/>
            <w:vAlign w:val="center"/>
          </w:tcPr>
          <w:p w14:paraId="42DA6C13">
            <w:pPr>
              <w:spacing w:line="360" w:lineRule="exact"/>
              <w:rPr>
                <w:rFonts w:hint="eastAsia" w:ascii="宋体" w:hAnsi="宋体" w:eastAsia="宋体" w:cs="宋体"/>
                <w:color w:val="auto"/>
                <w:sz w:val="24"/>
                <w:szCs w:val="24"/>
                <w:lang w:val="en-US" w:eastAsia="zh-CN"/>
              </w:rPr>
            </w:pPr>
          </w:p>
        </w:tc>
        <w:tc>
          <w:tcPr>
            <w:tcW w:w="1391" w:type="dxa"/>
            <w:vMerge w:val="continue"/>
            <w:tcBorders>
              <w:left w:val="single" w:color="auto" w:sz="4" w:space="0"/>
              <w:bottom w:val="single" w:color="auto" w:sz="2" w:space="0"/>
              <w:right w:val="single" w:color="auto" w:sz="2" w:space="0"/>
            </w:tcBorders>
            <w:noWrap w:val="0"/>
            <w:vAlign w:val="center"/>
          </w:tcPr>
          <w:p w14:paraId="38DEE62F">
            <w:pPr>
              <w:spacing w:line="360" w:lineRule="exact"/>
              <w:rPr>
                <w:rFonts w:hint="eastAsia" w:ascii="宋体" w:hAnsi="宋体" w:eastAsia="宋体" w:cs="宋体"/>
                <w:color w:val="auto"/>
                <w:sz w:val="24"/>
                <w:szCs w:val="24"/>
                <w:lang w:val="en-US" w:eastAsia="zh-CN"/>
              </w:rPr>
            </w:pPr>
          </w:p>
        </w:tc>
        <w:tc>
          <w:tcPr>
            <w:tcW w:w="5453" w:type="dxa"/>
            <w:tcBorders>
              <w:top w:val="single" w:color="auto" w:sz="2" w:space="0"/>
              <w:left w:val="single" w:color="auto" w:sz="4" w:space="0"/>
              <w:bottom w:val="single" w:color="auto" w:sz="2" w:space="0"/>
              <w:right w:val="single" w:color="auto" w:sz="2" w:space="0"/>
            </w:tcBorders>
            <w:noWrap w:val="0"/>
            <w:vAlign w:val="center"/>
          </w:tcPr>
          <w:p w14:paraId="2CEB98D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3）人员服务方案（5分）：</w:t>
            </w:r>
          </w:p>
          <w:p w14:paraId="7E94AC7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根据供应商拟投入本项目的人员服务方案</w:t>
            </w:r>
            <w:r>
              <w:rPr>
                <w:rFonts w:hint="eastAsia" w:ascii="宋体" w:hAnsi="宋体" w:cs="宋体"/>
                <w:color w:val="auto"/>
                <w:sz w:val="24"/>
                <w:szCs w:val="24"/>
                <w:lang w:val="en-US" w:eastAsia="zh-CN"/>
              </w:rPr>
              <w:t>（包括</w:t>
            </w:r>
            <w:r>
              <w:rPr>
                <w:rFonts w:hint="eastAsia" w:ascii="宋体" w:hAnsi="宋体" w:eastAsia="宋体" w:cs="宋体"/>
                <w:color w:val="auto"/>
                <w:sz w:val="24"/>
                <w:szCs w:val="24"/>
                <w:lang w:val="en-US" w:eastAsia="zh-CN"/>
              </w:rPr>
              <w:t>岗位设置、人员层次、技能水平、年龄结构、数量、工作内容等</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进行综合评议（5分）。</w:t>
            </w:r>
          </w:p>
          <w:p w14:paraId="3201F6CC">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①方案详尽、可行性高的，得5分；</w:t>
            </w:r>
          </w:p>
          <w:p w14:paraId="557DC280">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②方案较详尽、可行性较高的，得4分；</w:t>
            </w:r>
          </w:p>
          <w:p w14:paraId="1D1FF705">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③方案一般、可行性一般的，得3分；</w:t>
            </w:r>
          </w:p>
          <w:p w14:paraId="231EA3CB">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④方案欠详尽、可行性较弱的，得2分；</w:t>
            </w:r>
          </w:p>
          <w:p w14:paraId="02B034BD">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⑤方案较差、可行性弱的，得1分；</w:t>
            </w:r>
          </w:p>
          <w:p w14:paraId="36E5D298">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⑥未提供相关内容的不得分。</w:t>
            </w:r>
          </w:p>
        </w:tc>
        <w:tc>
          <w:tcPr>
            <w:tcW w:w="963" w:type="dxa"/>
            <w:tcBorders>
              <w:left w:val="single" w:color="auto" w:sz="4" w:space="0"/>
              <w:bottom w:val="single" w:color="auto" w:sz="2" w:space="0"/>
              <w:right w:val="single" w:color="auto" w:sz="2" w:space="0"/>
            </w:tcBorders>
            <w:noWrap w:val="0"/>
            <w:vAlign w:val="center"/>
          </w:tcPr>
          <w:p w14:paraId="6D5E069E">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eastAsia="宋体" w:cs="宋体"/>
                <w:color w:val="auto"/>
                <w:sz w:val="24"/>
                <w:szCs w:val="24"/>
                <w:lang w:val="en-US" w:eastAsia="zh-CN"/>
              </w:rPr>
              <w:t>5</w:t>
            </w:r>
          </w:p>
        </w:tc>
      </w:tr>
      <w:tr w14:paraId="2BA9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999" w:type="dxa"/>
            <w:vMerge w:val="continue"/>
            <w:tcBorders>
              <w:left w:val="single" w:color="auto" w:sz="4" w:space="0"/>
              <w:right w:val="single" w:color="auto" w:sz="2" w:space="0"/>
            </w:tcBorders>
            <w:noWrap w:val="0"/>
            <w:vAlign w:val="center"/>
          </w:tcPr>
          <w:p w14:paraId="1A1B7B00">
            <w:pPr>
              <w:spacing w:line="360" w:lineRule="exact"/>
              <w:rPr>
                <w:rFonts w:hint="eastAsia" w:ascii="宋体" w:hAnsi="宋体" w:eastAsia="宋体" w:cs="宋体"/>
                <w:color w:val="000000"/>
                <w:sz w:val="24"/>
                <w:szCs w:val="24"/>
              </w:rPr>
            </w:pPr>
          </w:p>
        </w:tc>
        <w:tc>
          <w:tcPr>
            <w:tcW w:w="1348" w:type="dxa"/>
            <w:vMerge w:val="continue"/>
            <w:tcBorders>
              <w:left w:val="single" w:color="auto" w:sz="2" w:space="0"/>
              <w:right w:val="single" w:color="auto" w:sz="4" w:space="0"/>
            </w:tcBorders>
            <w:noWrap w:val="0"/>
            <w:vAlign w:val="center"/>
          </w:tcPr>
          <w:p w14:paraId="1C622006">
            <w:pPr>
              <w:spacing w:line="360" w:lineRule="exact"/>
              <w:ind w:left="0" w:leftChars="0" w:right="0" w:rightChars="0" w:firstLine="0" w:firstLineChars="0"/>
              <w:jc w:val="center"/>
              <w:rPr>
                <w:rFonts w:hint="eastAsia" w:ascii="宋体" w:hAnsi="宋体" w:eastAsia="宋体" w:cs="宋体"/>
                <w:sz w:val="24"/>
                <w:szCs w:val="24"/>
                <w:lang w:eastAsia="zh-CN"/>
              </w:rPr>
            </w:pPr>
          </w:p>
        </w:tc>
        <w:tc>
          <w:tcPr>
            <w:tcW w:w="1391" w:type="dxa"/>
            <w:vMerge w:val="restart"/>
            <w:tcBorders>
              <w:top w:val="single" w:color="auto" w:sz="2" w:space="0"/>
              <w:left w:val="single" w:color="auto" w:sz="4" w:space="0"/>
              <w:right w:val="single" w:color="auto" w:sz="2" w:space="0"/>
            </w:tcBorders>
            <w:noWrap w:val="0"/>
            <w:vAlign w:val="center"/>
          </w:tcPr>
          <w:p w14:paraId="06E168D4">
            <w:pPr>
              <w:spacing w:line="360" w:lineRule="exact"/>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(2)机械设备或工具装备（</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w:t>
            </w:r>
          </w:p>
        </w:tc>
        <w:tc>
          <w:tcPr>
            <w:tcW w:w="5453" w:type="dxa"/>
            <w:tcBorders>
              <w:top w:val="single" w:color="auto" w:sz="2" w:space="0"/>
              <w:left w:val="single" w:color="auto" w:sz="4" w:space="0"/>
              <w:bottom w:val="single" w:color="auto" w:sz="2" w:space="0"/>
              <w:right w:val="single" w:color="auto" w:sz="2" w:space="0"/>
            </w:tcBorders>
            <w:noWrap w:val="0"/>
            <w:vAlign w:val="center"/>
          </w:tcPr>
          <w:p w14:paraId="72532697">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1）供应商配备</w:t>
            </w:r>
            <w:r>
              <w:rPr>
                <w:rFonts w:hint="eastAsia" w:ascii="宋体" w:hAnsi="宋体" w:cs="宋体"/>
                <w:color w:val="auto"/>
                <w:sz w:val="24"/>
                <w:szCs w:val="24"/>
                <w:lang w:val="en-US" w:eastAsia="zh-CN"/>
              </w:rPr>
              <w:t>有</w:t>
            </w:r>
            <w:r>
              <w:rPr>
                <w:rFonts w:hint="eastAsia" w:ascii="宋体" w:hAnsi="宋体" w:eastAsia="宋体" w:cs="宋体"/>
                <w:color w:val="auto"/>
                <w:sz w:val="24"/>
                <w:szCs w:val="24"/>
                <w:lang w:val="en-US" w:eastAsia="zh-CN"/>
              </w:rPr>
              <w:t>下列主要机械</w:t>
            </w:r>
            <w:r>
              <w:rPr>
                <w:rFonts w:hint="eastAsia" w:ascii="宋体" w:hAnsi="宋体" w:cs="宋体"/>
                <w:color w:val="auto"/>
                <w:sz w:val="24"/>
                <w:szCs w:val="24"/>
                <w:lang w:val="en-US" w:eastAsia="zh-CN"/>
              </w:rPr>
              <w:t>设备</w:t>
            </w:r>
            <w:r>
              <w:rPr>
                <w:rFonts w:hint="eastAsia" w:ascii="宋体" w:hAnsi="宋体" w:eastAsia="宋体" w:cs="宋体"/>
                <w:color w:val="auto"/>
                <w:sz w:val="24"/>
                <w:szCs w:val="24"/>
                <w:lang w:val="en-US" w:eastAsia="zh-CN"/>
              </w:rPr>
              <w:t>的（</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p>
          <w:p w14:paraId="6D6E106F">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巡查车辆</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每配备1辆得1分，最多得2分；</w:t>
            </w:r>
          </w:p>
          <w:p w14:paraId="2D39146E">
            <w:pPr>
              <w:spacing w:line="360" w:lineRule="exact"/>
              <w:rPr>
                <w:rFonts w:hint="default"/>
                <w:lang w:val="en-US" w:eastAsia="zh-CN"/>
              </w:rPr>
            </w:pPr>
            <w:r>
              <w:rPr>
                <w:rFonts w:hint="eastAsia" w:ascii="宋体" w:hAnsi="宋体" w:eastAsia="宋体" w:cs="宋体"/>
                <w:color w:val="auto"/>
                <w:sz w:val="24"/>
                <w:szCs w:val="24"/>
                <w:lang w:val="en-US" w:eastAsia="zh-CN"/>
              </w:rPr>
              <w:t>（提供相关证明材料：清晰的实物照片、购置发票、车辆行驶证；复印件加盖公章编入投标文件，未提供的不得分。）</w:t>
            </w:r>
          </w:p>
        </w:tc>
        <w:tc>
          <w:tcPr>
            <w:tcW w:w="963" w:type="dxa"/>
            <w:tcBorders>
              <w:top w:val="single" w:color="auto" w:sz="2" w:space="0"/>
              <w:left w:val="single" w:color="auto" w:sz="4" w:space="0"/>
              <w:right w:val="single" w:color="auto" w:sz="2" w:space="0"/>
            </w:tcBorders>
            <w:noWrap w:val="0"/>
            <w:vAlign w:val="center"/>
          </w:tcPr>
          <w:p w14:paraId="7A4AC6C4">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color w:val="auto"/>
                <w:sz w:val="24"/>
                <w:szCs w:val="24"/>
                <w:lang w:val="en-US" w:eastAsia="zh-CN"/>
              </w:rPr>
              <w:t>2</w:t>
            </w:r>
          </w:p>
        </w:tc>
      </w:tr>
      <w:tr w14:paraId="20FD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80" w:hRule="atLeast"/>
          <w:jc w:val="center"/>
        </w:trPr>
        <w:tc>
          <w:tcPr>
            <w:tcW w:w="999" w:type="dxa"/>
            <w:vMerge w:val="continue"/>
            <w:tcBorders>
              <w:left w:val="single" w:color="auto" w:sz="4" w:space="0"/>
              <w:right w:val="single" w:color="auto" w:sz="2" w:space="0"/>
            </w:tcBorders>
            <w:noWrap w:val="0"/>
            <w:vAlign w:val="center"/>
          </w:tcPr>
          <w:p w14:paraId="6260C1BF">
            <w:pPr>
              <w:spacing w:line="360" w:lineRule="exact"/>
            </w:pPr>
          </w:p>
        </w:tc>
        <w:tc>
          <w:tcPr>
            <w:tcW w:w="1348" w:type="dxa"/>
            <w:vMerge w:val="continue"/>
            <w:tcBorders>
              <w:left w:val="single" w:color="auto" w:sz="2" w:space="0"/>
              <w:right w:val="single" w:color="auto" w:sz="4" w:space="0"/>
            </w:tcBorders>
            <w:noWrap w:val="0"/>
            <w:vAlign w:val="center"/>
          </w:tcPr>
          <w:p w14:paraId="4B7EFA72">
            <w:pPr>
              <w:spacing w:line="360" w:lineRule="exact"/>
            </w:pPr>
          </w:p>
        </w:tc>
        <w:tc>
          <w:tcPr>
            <w:tcW w:w="1391" w:type="dxa"/>
            <w:vMerge w:val="continue"/>
            <w:tcBorders>
              <w:left w:val="single" w:color="auto" w:sz="4" w:space="0"/>
              <w:bottom w:val="single" w:color="auto" w:sz="2" w:space="0"/>
              <w:right w:val="single" w:color="auto" w:sz="2" w:space="0"/>
            </w:tcBorders>
            <w:noWrap w:val="0"/>
            <w:vAlign w:val="center"/>
          </w:tcPr>
          <w:p w14:paraId="0758E7CC">
            <w:pPr>
              <w:spacing w:line="360" w:lineRule="exact"/>
            </w:pPr>
          </w:p>
        </w:tc>
        <w:tc>
          <w:tcPr>
            <w:tcW w:w="5453" w:type="dxa"/>
            <w:tcBorders>
              <w:top w:val="single" w:color="auto" w:sz="2" w:space="0"/>
              <w:left w:val="single" w:color="auto" w:sz="4" w:space="0"/>
              <w:bottom w:val="single" w:color="auto" w:sz="2" w:space="0"/>
              <w:right w:val="single" w:color="auto" w:sz="2" w:space="0"/>
            </w:tcBorders>
            <w:noWrap w:val="0"/>
            <w:vAlign w:val="center"/>
          </w:tcPr>
          <w:p w14:paraId="6D57F3BC">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2）根据供应商拟投入本项目使用的机械设备、工具装备等，进行综合评议（4分）：</w:t>
            </w:r>
          </w:p>
          <w:p w14:paraId="4C9708EB">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①数量及种类是否全面（1分）；②比例是否适当（1分）；③维修是否有保障（1分）；④存放是否便捷（1分）。</w:t>
            </w:r>
          </w:p>
          <w:p w14:paraId="19EFC39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（可提供机械设备或工具装备的证明材料：清晰的实物照片、购置发票、租赁合同等；复印件加盖公章编入投标文件。）</w:t>
            </w:r>
          </w:p>
        </w:tc>
        <w:tc>
          <w:tcPr>
            <w:tcW w:w="963" w:type="dxa"/>
            <w:tcBorders>
              <w:left w:val="single" w:color="auto" w:sz="4" w:space="0"/>
              <w:bottom w:val="single" w:color="auto" w:sz="2" w:space="0"/>
              <w:right w:val="single" w:color="auto" w:sz="2" w:space="0"/>
            </w:tcBorders>
            <w:noWrap w:val="0"/>
            <w:vAlign w:val="center"/>
          </w:tcPr>
          <w:p w14:paraId="4DAF00E6">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eastAsia="宋体" w:cs="宋体"/>
                <w:color w:val="auto"/>
                <w:sz w:val="24"/>
                <w:szCs w:val="24"/>
                <w:lang w:val="en-US" w:eastAsia="zh-CN"/>
              </w:rPr>
              <w:t>4</w:t>
            </w:r>
          </w:p>
        </w:tc>
      </w:tr>
      <w:tr w14:paraId="1F70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999" w:type="dxa"/>
            <w:vMerge w:val="continue"/>
            <w:tcBorders>
              <w:left w:val="single" w:color="auto" w:sz="4" w:space="0"/>
              <w:right w:val="single" w:color="auto" w:sz="2" w:space="0"/>
            </w:tcBorders>
            <w:noWrap w:val="0"/>
            <w:textDirection w:val="tbRlV"/>
            <w:vAlign w:val="center"/>
          </w:tcPr>
          <w:p w14:paraId="040735ED">
            <w:pPr>
              <w:spacing w:line="360" w:lineRule="exact"/>
              <w:rPr>
                <w:rFonts w:hint="eastAsia" w:ascii="宋体" w:hAnsi="宋体" w:eastAsia="宋体" w:cs="宋体"/>
                <w:color w:val="000000"/>
                <w:sz w:val="24"/>
                <w:szCs w:val="24"/>
              </w:rPr>
            </w:pPr>
          </w:p>
        </w:tc>
        <w:tc>
          <w:tcPr>
            <w:tcW w:w="1348" w:type="dxa"/>
            <w:tcBorders>
              <w:left w:val="single" w:color="auto" w:sz="2" w:space="0"/>
              <w:right w:val="single" w:color="auto" w:sz="4" w:space="0"/>
            </w:tcBorders>
            <w:noWrap w:val="0"/>
            <w:vAlign w:val="center"/>
          </w:tcPr>
          <w:p w14:paraId="7B40941A">
            <w:pPr>
              <w:spacing w:line="360" w:lineRule="exact"/>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（四）服务便捷性（</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p>
        </w:tc>
        <w:tc>
          <w:tcPr>
            <w:tcW w:w="6844" w:type="dxa"/>
            <w:gridSpan w:val="2"/>
            <w:tcBorders>
              <w:top w:val="single" w:color="auto" w:sz="2" w:space="0"/>
              <w:left w:val="single" w:color="auto" w:sz="4" w:space="0"/>
              <w:bottom w:val="single" w:color="auto" w:sz="2" w:space="0"/>
              <w:right w:val="single" w:color="auto" w:sz="2" w:space="0"/>
            </w:tcBorders>
            <w:noWrap w:val="0"/>
            <w:vAlign w:val="center"/>
          </w:tcPr>
          <w:p w14:paraId="5E94F9E3">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根据供应商提供的针对本项目服务的便捷性服务方案（包括服务机构设置、场所的大小、响应时间、服务体系完善性等）进行综合评分：</w:t>
            </w:r>
          </w:p>
          <w:p w14:paraId="2326FA3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①方案详尽、可行性高的，得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bookmarkStart w:id="414" w:name="_GoBack"/>
            <w:bookmarkEnd w:id="414"/>
          </w:p>
          <w:p w14:paraId="5E2B868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②方案一般、可行性一般的，得2分；</w:t>
            </w:r>
          </w:p>
          <w:p w14:paraId="4F446EB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③方案较差、可行性较弱的，得1分；</w:t>
            </w:r>
          </w:p>
          <w:p w14:paraId="03E30A2F">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④未提供相关内容的不得分。</w:t>
            </w:r>
          </w:p>
        </w:tc>
        <w:tc>
          <w:tcPr>
            <w:tcW w:w="963" w:type="dxa"/>
            <w:tcBorders>
              <w:top w:val="single" w:color="auto" w:sz="2" w:space="0"/>
              <w:left w:val="single" w:color="auto" w:sz="4" w:space="0"/>
              <w:bottom w:val="single" w:color="auto" w:sz="2" w:space="0"/>
              <w:right w:val="single" w:color="auto" w:sz="2" w:space="0"/>
            </w:tcBorders>
            <w:noWrap w:val="0"/>
            <w:vAlign w:val="center"/>
          </w:tcPr>
          <w:p w14:paraId="5A0FEB69">
            <w:pPr>
              <w:spacing w:line="360" w:lineRule="exact"/>
              <w:jc w:val="center"/>
              <w:rPr>
                <w:rFonts w:hint="default" w:ascii="宋体" w:hAnsi="宋体" w:eastAsia="宋体" w:cs="宋体"/>
                <w:color w:val="000000"/>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color w:val="000000"/>
                <w:sz w:val="24"/>
                <w:szCs w:val="24"/>
                <w:lang w:val="en-US" w:eastAsia="zh-CN"/>
              </w:rPr>
              <w:t>3</w:t>
            </w:r>
          </w:p>
        </w:tc>
      </w:tr>
      <w:tr w14:paraId="0C85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20" w:hRule="atLeast"/>
          <w:jc w:val="center"/>
        </w:trPr>
        <w:tc>
          <w:tcPr>
            <w:tcW w:w="999" w:type="dxa"/>
            <w:vMerge w:val="continue"/>
            <w:tcBorders>
              <w:left w:val="single" w:color="auto" w:sz="4" w:space="0"/>
              <w:right w:val="single" w:color="auto" w:sz="2" w:space="0"/>
            </w:tcBorders>
            <w:noWrap w:val="0"/>
            <w:textDirection w:val="tbRlV"/>
            <w:vAlign w:val="center"/>
          </w:tcPr>
          <w:p w14:paraId="77023A15">
            <w:pPr>
              <w:spacing w:line="360" w:lineRule="exact"/>
              <w:rPr>
                <w:rFonts w:hint="eastAsia" w:ascii="宋体" w:hAnsi="宋体" w:eastAsia="宋体" w:cs="宋体"/>
                <w:color w:val="000000"/>
                <w:sz w:val="24"/>
                <w:szCs w:val="24"/>
              </w:rPr>
            </w:pPr>
          </w:p>
        </w:tc>
        <w:tc>
          <w:tcPr>
            <w:tcW w:w="1348" w:type="dxa"/>
            <w:tcBorders>
              <w:left w:val="single" w:color="auto" w:sz="2" w:space="0"/>
              <w:right w:val="single" w:color="auto" w:sz="4" w:space="0"/>
            </w:tcBorders>
            <w:noWrap w:val="0"/>
            <w:vAlign w:val="center"/>
          </w:tcPr>
          <w:p w14:paraId="391245DD">
            <w:pPr>
              <w:spacing w:line="360" w:lineRule="exact"/>
              <w:ind w:left="0" w:leftChars="0" w:right="0" w:rightChars="0" w:firstLine="0" w:firstLineChars="0"/>
              <w:jc w:val="both"/>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（五）业绩（3分）</w:t>
            </w:r>
          </w:p>
        </w:tc>
        <w:tc>
          <w:tcPr>
            <w:tcW w:w="6844" w:type="dxa"/>
            <w:gridSpan w:val="2"/>
            <w:tcBorders>
              <w:top w:val="single" w:color="auto" w:sz="2" w:space="0"/>
              <w:left w:val="single" w:color="auto" w:sz="4" w:space="0"/>
              <w:bottom w:val="single" w:color="auto" w:sz="2" w:space="0"/>
              <w:right w:val="single" w:color="auto" w:sz="2" w:space="0"/>
            </w:tcBorders>
            <w:noWrap w:val="0"/>
            <w:vAlign w:val="center"/>
          </w:tcPr>
          <w:p w14:paraId="29F19812">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自20</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月1日起（以合同签订时间为准）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承接</w:t>
            </w:r>
            <w:r>
              <w:rPr>
                <w:rFonts w:hint="eastAsia" w:ascii="宋体" w:hAnsi="宋体" w:eastAsia="宋体" w:cs="宋体"/>
                <w:color w:val="auto"/>
                <w:sz w:val="24"/>
                <w:szCs w:val="24"/>
              </w:rPr>
              <w:t>过</w:t>
            </w:r>
            <w:r>
              <w:rPr>
                <w:rFonts w:hint="eastAsia" w:ascii="宋体" w:hAnsi="宋体" w:eastAsia="宋体" w:cs="宋体"/>
                <w:color w:val="auto"/>
                <w:sz w:val="24"/>
                <w:szCs w:val="24"/>
                <w:lang w:val="en-US" w:eastAsia="zh-CN"/>
              </w:rPr>
              <w:t>或已承接</w:t>
            </w:r>
            <w:r>
              <w:rPr>
                <w:rFonts w:hint="eastAsia" w:ascii="宋体" w:hAnsi="宋体" w:eastAsia="宋体" w:cs="宋体"/>
                <w:color w:val="auto"/>
                <w:sz w:val="24"/>
                <w:szCs w:val="24"/>
              </w:rPr>
              <w:t>类似</w:t>
            </w:r>
            <w:r>
              <w:rPr>
                <w:rFonts w:hint="eastAsia" w:ascii="宋体" w:hAnsi="宋体" w:cs="宋体"/>
                <w:color w:val="auto"/>
                <w:sz w:val="24"/>
                <w:szCs w:val="24"/>
                <w:lang w:val="en-US" w:eastAsia="zh-CN"/>
              </w:rPr>
              <w:t>水质养护服务项目</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，每</w:t>
            </w:r>
            <w:r>
              <w:rPr>
                <w:rFonts w:hint="eastAsia" w:ascii="宋体" w:hAnsi="宋体" w:eastAsia="宋体" w:cs="宋体"/>
                <w:color w:val="auto"/>
                <w:sz w:val="24"/>
                <w:szCs w:val="24"/>
                <w:lang w:val="en-US" w:eastAsia="zh-CN"/>
              </w:rPr>
              <w:t>提供1</w:t>
            </w:r>
            <w:r>
              <w:rPr>
                <w:rFonts w:hint="eastAsia" w:ascii="宋体" w:hAnsi="宋体" w:eastAsia="宋体" w:cs="宋体"/>
                <w:color w:val="auto"/>
                <w:sz w:val="24"/>
                <w:szCs w:val="24"/>
              </w:rPr>
              <w:t>个得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分，最高得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14:paraId="2616A1E8">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eastAsia="宋体" w:cs="宋体"/>
                <w:color w:val="auto"/>
                <w:sz w:val="24"/>
                <w:szCs w:val="24"/>
                <w:lang w:val="en-US" w:eastAsia="zh-CN"/>
              </w:rPr>
              <w:t>提供中标结果公告（官网打印件）、中标通知书及合同，复印件加盖公章编入投标文件，未提供的不得分。</w:t>
            </w:r>
            <w:r>
              <w:rPr>
                <w:rFonts w:hint="eastAsia" w:ascii="宋体" w:hAnsi="宋体" w:eastAsia="宋体" w:cs="宋体"/>
                <w:color w:val="000000"/>
                <w:sz w:val="24"/>
                <w:szCs w:val="24"/>
                <w:lang w:val="en-US" w:eastAsia="zh-CN"/>
              </w:rPr>
              <w:t>]</w:t>
            </w:r>
          </w:p>
        </w:tc>
        <w:tc>
          <w:tcPr>
            <w:tcW w:w="963" w:type="dxa"/>
            <w:tcBorders>
              <w:top w:val="single" w:color="auto" w:sz="2" w:space="0"/>
              <w:left w:val="single" w:color="auto" w:sz="4" w:space="0"/>
              <w:bottom w:val="single" w:color="auto" w:sz="2" w:space="0"/>
              <w:right w:val="single" w:color="auto" w:sz="2" w:space="0"/>
            </w:tcBorders>
            <w:noWrap w:val="0"/>
            <w:vAlign w:val="center"/>
          </w:tcPr>
          <w:p w14:paraId="2A05E290">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color w:val="000000"/>
                <w:sz w:val="24"/>
                <w:szCs w:val="24"/>
                <w:lang w:val="en-US" w:eastAsia="zh-CN"/>
              </w:rPr>
              <w:t>3</w:t>
            </w:r>
          </w:p>
        </w:tc>
      </w:tr>
      <w:tr w14:paraId="6A22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80" w:hRule="atLeast"/>
          <w:jc w:val="center"/>
        </w:trPr>
        <w:tc>
          <w:tcPr>
            <w:tcW w:w="999" w:type="dxa"/>
            <w:tcBorders>
              <w:left w:val="single" w:color="auto" w:sz="4" w:space="0"/>
              <w:right w:val="single" w:color="auto" w:sz="2" w:space="0"/>
            </w:tcBorders>
            <w:noWrap w:val="0"/>
            <w:vAlign w:val="center"/>
          </w:tcPr>
          <w:p w14:paraId="257B54BD">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价</w:t>
            </w:r>
          </w:p>
          <w:p w14:paraId="07A4BFF5">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格</w:t>
            </w:r>
          </w:p>
          <w:p w14:paraId="0B8FB1FE">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w:t>
            </w:r>
          </w:p>
          <w:p w14:paraId="03FF4EF5">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rPr>
              <w:t>分）</w:t>
            </w:r>
          </w:p>
        </w:tc>
        <w:tc>
          <w:tcPr>
            <w:tcW w:w="8192" w:type="dxa"/>
            <w:gridSpan w:val="3"/>
            <w:tcBorders>
              <w:top w:val="single" w:color="auto" w:sz="2" w:space="0"/>
              <w:left w:val="single" w:color="auto" w:sz="2" w:space="0"/>
              <w:bottom w:val="single" w:color="auto" w:sz="2" w:space="0"/>
              <w:right w:val="single" w:color="auto" w:sz="2" w:space="0"/>
            </w:tcBorders>
            <w:noWrap w:val="0"/>
            <w:vAlign w:val="center"/>
          </w:tcPr>
          <w:p w14:paraId="37D57752">
            <w:pPr>
              <w:spacing w:line="360" w:lineRule="exact"/>
              <w:rPr>
                <w:rFonts w:ascii="宋体" w:hAnsi="宋体" w:eastAsia="宋体" w:cs="宋体"/>
                <w:sz w:val="24"/>
              </w:rPr>
            </w:pPr>
            <w:r>
              <w:rPr>
                <w:rFonts w:hint="eastAsia" w:ascii="宋体" w:hAnsi="宋体" w:eastAsia="宋体" w:cs="宋体"/>
                <w:sz w:val="24"/>
              </w:rPr>
              <w:t>参与评审的响应文件的最低报价（最终）为评标基准价</w:t>
            </w:r>
            <w:r>
              <w:rPr>
                <w:rFonts w:hint="eastAsia" w:ascii="宋体" w:hAnsi="宋体" w:eastAsia="宋体" w:cs="宋体"/>
                <w:sz w:val="24"/>
                <w:lang w:eastAsia="zh-CN"/>
              </w:rPr>
              <w:t>，</w:t>
            </w:r>
            <w:r>
              <w:rPr>
                <w:rFonts w:hint="eastAsia" w:ascii="宋体" w:hAnsi="宋体" w:eastAsia="宋体" w:cs="宋体"/>
                <w:sz w:val="24"/>
              </w:rPr>
              <w:t>基准价得分为满分</w:t>
            </w:r>
            <w:r>
              <w:rPr>
                <w:rFonts w:hint="eastAsia" w:ascii="宋体" w:hAnsi="宋体" w:cs="宋体"/>
                <w:sz w:val="24"/>
                <w:lang w:val="en-US" w:eastAsia="zh-CN"/>
              </w:rPr>
              <w:t>3</w:t>
            </w:r>
            <w:r>
              <w:rPr>
                <w:rFonts w:hint="eastAsia" w:ascii="宋体" w:hAnsi="宋体" w:eastAsia="宋体" w:cs="宋体"/>
                <w:sz w:val="24"/>
                <w:lang w:val="en-US" w:eastAsia="zh-CN"/>
              </w:rPr>
              <w:t>0</w:t>
            </w:r>
            <w:r>
              <w:rPr>
                <w:rFonts w:hint="eastAsia" w:ascii="宋体" w:hAnsi="宋体" w:eastAsia="宋体" w:cs="宋体"/>
                <w:sz w:val="24"/>
              </w:rPr>
              <w:t>分；</w:t>
            </w:r>
          </w:p>
          <w:p w14:paraId="30357920">
            <w:pPr>
              <w:spacing w:line="360" w:lineRule="exact"/>
              <w:rPr>
                <w:rFonts w:ascii="宋体" w:hAnsi="宋体" w:eastAsia="宋体" w:cs="宋体"/>
                <w:color w:val="auto"/>
                <w:sz w:val="24"/>
              </w:rPr>
            </w:pPr>
            <w:r>
              <w:rPr>
                <w:rFonts w:hint="eastAsia" w:ascii="宋体" w:hAnsi="宋体" w:eastAsia="宋体" w:cs="宋体"/>
                <w:color w:val="auto"/>
                <w:sz w:val="24"/>
              </w:rPr>
              <w:t>参与评审的价格 = 有效供应商的最终报价；</w:t>
            </w:r>
          </w:p>
          <w:p w14:paraId="4B832E4C">
            <w:pPr>
              <w:spacing w:line="360" w:lineRule="exact"/>
              <w:rPr>
                <w:rFonts w:ascii="宋体" w:hAnsi="宋体" w:eastAsia="宋体" w:cs="宋体"/>
                <w:sz w:val="24"/>
              </w:rPr>
            </w:pPr>
            <w:r>
              <w:rPr>
                <w:rFonts w:hint="eastAsia" w:ascii="宋体" w:hAnsi="宋体" w:eastAsia="宋体" w:cs="宋体"/>
                <w:sz w:val="24"/>
              </w:rPr>
              <w:t>其他供应商的价格分按照下列公式计算：</w:t>
            </w:r>
          </w:p>
          <w:p w14:paraId="5875CD1A">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z w:val="24"/>
                <w:szCs w:val="24"/>
              </w:rPr>
            </w:pPr>
            <w:r>
              <w:rPr>
                <w:rFonts w:hint="eastAsia" w:ascii="宋体" w:hAnsi="宋体" w:eastAsia="宋体" w:cs="宋体"/>
                <w:sz w:val="24"/>
              </w:rPr>
              <w:t>各供应商的最终报价得分 =（</w:t>
            </w:r>
            <w:r>
              <w:rPr>
                <w:rFonts w:hint="eastAsia" w:ascii="宋体" w:hAnsi="宋体" w:eastAsia="宋体" w:cs="宋体"/>
                <w:sz w:val="24"/>
                <w:lang w:val="en-US" w:eastAsia="zh-CN"/>
              </w:rPr>
              <w:t>评标</w:t>
            </w:r>
            <w:r>
              <w:rPr>
                <w:rFonts w:hint="eastAsia" w:ascii="宋体" w:hAnsi="宋体" w:eastAsia="宋体" w:cs="宋体"/>
                <w:sz w:val="24"/>
              </w:rPr>
              <w:t xml:space="preserve">基准价/参与评审的价格）× </w:t>
            </w:r>
            <w:r>
              <w:rPr>
                <w:rFonts w:hint="eastAsia" w:ascii="宋体" w:hAnsi="宋体" w:cs="宋体"/>
                <w:sz w:val="24"/>
                <w:lang w:val="en-US" w:eastAsia="zh-CN"/>
              </w:rPr>
              <w:t>3</w:t>
            </w:r>
            <w:r>
              <w:rPr>
                <w:rFonts w:hint="eastAsia" w:ascii="宋体" w:hAnsi="宋体" w:eastAsia="宋体" w:cs="宋体"/>
                <w:sz w:val="24"/>
                <w:lang w:val="en-US" w:eastAsia="zh-CN"/>
              </w:rPr>
              <w:t>0%</w:t>
            </w:r>
            <w:r>
              <w:rPr>
                <w:rFonts w:hint="eastAsia" w:ascii="宋体" w:hAnsi="宋体" w:eastAsia="宋体" w:cs="宋体"/>
                <w:sz w:val="24"/>
              </w:rPr>
              <w:t xml:space="preserve"> × 100</w:t>
            </w:r>
          </w:p>
        </w:tc>
        <w:tc>
          <w:tcPr>
            <w:tcW w:w="963" w:type="dxa"/>
            <w:tcBorders>
              <w:top w:val="single" w:color="auto" w:sz="2" w:space="0"/>
              <w:left w:val="single" w:color="auto" w:sz="2" w:space="0"/>
              <w:bottom w:val="single" w:color="auto" w:sz="2" w:space="0"/>
              <w:right w:val="single" w:color="auto" w:sz="2" w:space="0"/>
            </w:tcBorders>
            <w:noWrap w:val="0"/>
            <w:vAlign w:val="center"/>
          </w:tcPr>
          <w:p w14:paraId="4479776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bCs/>
                <w:sz w:val="24"/>
                <w:szCs w:val="24"/>
                <w:lang w:val="en-US" w:eastAsia="zh-CN"/>
              </w:rPr>
              <w:t>0～</w:t>
            </w:r>
            <w:r>
              <w:rPr>
                <w:rFonts w:hint="eastAsia" w:ascii="宋体" w:hAnsi="宋体" w:eastAsia="宋体" w:cs="宋体"/>
                <w:sz w:val="24"/>
                <w:szCs w:val="24"/>
                <w:lang w:val="en-US" w:eastAsia="zh-CN"/>
              </w:rPr>
              <w:t>30</w:t>
            </w:r>
          </w:p>
        </w:tc>
      </w:tr>
      <w:tr w14:paraId="2F0C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9191" w:type="dxa"/>
            <w:gridSpan w:val="4"/>
            <w:tcBorders>
              <w:top w:val="single" w:color="auto" w:sz="4" w:space="0"/>
              <w:left w:val="single" w:color="auto" w:sz="4" w:space="0"/>
              <w:bottom w:val="single" w:color="auto" w:sz="4" w:space="0"/>
              <w:right w:val="single" w:color="auto" w:sz="2" w:space="0"/>
            </w:tcBorders>
            <w:noWrap w:val="0"/>
            <w:vAlign w:val="center"/>
          </w:tcPr>
          <w:p w14:paraId="37F67070">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总分（100分）</w:t>
            </w:r>
          </w:p>
        </w:tc>
        <w:tc>
          <w:tcPr>
            <w:tcW w:w="963" w:type="dxa"/>
            <w:tcBorders>
              <w:top w:val="single" w:color="auto" w:sz="4" w:space="0"/>
              <w:left w:val="single" w:color="auto" w:sz="4" w:space="0"/>
              <w:bottom w:val="single" w:color="auto" w:sz="4" w:space="0"/>
              <w:right w:val="single" w:color="auto" w:sz="2" w:space="0"/>
            </w:tcBorders>
            <w:noWrap w:val="0"/>
            <w:vAlign w:val="center"/>
          </w:tcPr>
          <w:p w14:paraId="52DBA265">
            <w:pPr>
              <w:spacing w:line="320" w:lineRule="exact"/>
              <w:jc w:val="center"/>
              <w:rPr>
                <w:rFonts w:hint="default" w:ascii="宋体" w:hAnsi="宋体" w:eastAsia="宋体" w:cs="宋体"/>
                <w:color w:val="000000"/>
                <w:sz w:val="24"/>
                <w:szCs w:val="24"/>
                <w:lang w:val="en-US" w:eastAsia="zh-CN"/>
              </w:rPr>
            </w:pPr>
            <w:r>
              <w:rPr>
                <w:rFonts w:hint="eastAsia" w:ascii="宋体" w:hAnsi="宋体" w:eastAsia="宋体" w:cs="宋体"/>
                <w:bCs/>
                <w:sz w:val="24"/>
                <w:szCs w:val="24"/>
                <w:lang w:val="en-US" w:eastAsia="zh-CN"/>
              </w:rPr>
              <w:t>0～</w:t>
            </w:r>
            <w:r>
              <w:rPr>
                <w:rFonts w:hint="eastAsia" w:ascii="宋体" w:hAnsi="宋体" w:eastAsia="宋体" w:cs="宋体"/>
                <w:color w:val="000000"/>
                <w:sz w:val="24"/>
                <w:szCs w:val="24"/>
                <w:lang w:val="en-US" w:eastAsia="zh-CN"/>
              </w:rPr>
              <w:t>100</w:t>
            </w:r>
          </w:p>
        </w:tc>
      </w:tr>
    </w:tbl>
    <w:p w14:paraId="65567ED3">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宋体" w:hAnsi="宋体" w:eastAsia="宋体" w:cs="宋体"/>
          <w:color w:val="auto"/>
          <w:kern w:val="0"/>
          <w:sz w:val="24"/>
          <w:highlight w:val="none"/>
        </w:rPr>
      </w:pPr>
    </w:p>
    <w:p w14:paraId="38670409">
      <w:pPr>
        <w:pageBreakBefore w:val="0"/>
        <w:kinsoku/>
        <w:wordWrap/>
        <w:overflowPunct/>
        <w:topLinePunct w:val="0"/>
        <w:bidi w:val="0"/>
        <w:adjustRightInd/>
        <w:spacing w:line="360" w:lineRule="auto"/>
        <w:ind w:left="0" w:lef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投标人编制投标文件（商务技术文件部分）时，建议按此目录（序号和内容）提供评标标准相应的商务技术资料。</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、小数点后保留</w:t>
      </w:r>
      <w:r>
        <w:rPr>
          <w:rFonts w:hint="eastAsia" w:ascii="宋体" w:hAnsi="宋体" w:eastAsia="宋体" w:cs="宋体"/>
          <w:color w:val="auto"/>
          <w:kern w:val="0"/>
          <w:sz w:val="24"/>
          <w:highlight w:val="none"/>
          <w:lang w:val="en-US" w:eastAsia="zh-CN"/>
        </w:rPr>
        <w:t>二</w:t>
      </w:r>
      <w:r>
        <w:rPr>
          <w:rFonts w:hint="eastAsia" w:ascii="宋体" w:hAnsi="宋体" w:eastAsia="宋体" w:cs="宋体"/>
          <w:color w:val="auto"/>
          <w:kern w:val="0"/>
          <w:sz w:val="24"/>
          <w:highlight w:val="none"/>
        </w:rPr>
        <w:t>位数。</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、各评标委员会成员自行按以上参考分值评分。</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、重大事件由评标委员会集体讨论，应当按照少数服从多数的原则作出结论。</w:t>
      </w:r>
    </w:p>
    <w:p w14:paraId="05E1D502">
      <w:pPr>
        <w:pageBreakBefore w:val="0"/>
        <w:kinsoku/>
        <w:wordWrap/>
        <w:overflowPunct/>
        <w:topLinePunct w:val="0"/>
        <w:bidi w:val="0"/>
        <w:adjustRightInd/>
        <w:spacing w:line="360" w:lineRule="auto"/>
        <w:ind w:left="0" w:leftChars="0" w:firstLine="480" w:firstLineChars="200"/>
        <w:jc w:val="both"/>
        <w:textAlignment w:val="auto"/>
        <w:rPr>
          <w:rFonts w:hint="eastAsia" w:ascii="宋体" w:hAnsi="宋体" w:eastAsia="宋体" w:cs="宋体"/>
          <w:color w:val="auto"/>
          <w:kern w:val="0"/>
          <w:sz w:val="24"/>
          <w:highlight w:val="none"/>
        </w:rPr>
      </w:pPr>
    </w:p>
    <w:p w14:paraId="17C5B059">
      <w:pPr>
        <w:pageBreakBefore w:val="0"/>
        <w:kinsoku/>
        <w:wordWrap/>
        <w:overflowPunct/>
        <w:topLinePunct w:val="0"/>
        <w:bidi w:val="0"/>
        <w:snapToGrid w:val="0"/>
        <w:spacing w:line="360" w:lineRule="auto"/>
        <w:jc w:val="both"/>
        <w:textAlignment w:val="auto"/>
        <w:rPr>
          <w:rFonts w:hint="eastAsia" w:ascii="宋体" w:hAnsi="宋体" w:cs="宋体"/>
          <w:b/>
          <w:color w:val="auto"/>
          <w:sz w:val="32"/>
          <w:highlight w:val="none"/>
        </w:rPr>
      </w:pPr>
      <w:r>
        <w:rPr>
          <w:rFonts w:hint="eastAsia" w:ascii="宋体" w:hAnsi="宋体" w:cs="宋体"/>
          <w:b/>
          <w:color w:val="auto"/>
          <w:sz w:val="32"/>
          <w:highlight w:val="none"/>
        </w:rPr>
        <w:t>一、评标方法</w:t>
      </w:r>
    </w:p>
    <w:p w14:paraId="01D519FE">
      <w:pPr>
        <w:pageBreakBefore w:val="0"/>
        <w:kinsoku/>
        <w:wordWrap/>
        <w:overflowPunct/>
        <w:topLinePunct w:val="0"/>
        <w:bidi w:val="0"/>
        <w:adjustRightInd/>
        <w:spacing w:line="360" w:lineRule="auto"/>
        <w:ind w:left="0" w:leftChars="0" w:firstLine="482"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004CDE22">
      <w:pPr>
        <w:pageBreakBefore w:val="0"/>
        <w:kinsoku/>
        <w:wordWrap/>
        <w:overflowPunct/>
        <w:topLinePunct w:val="0"/>
        <w:bidi w:val="0"/>
        <w:snapToGrid w:val="0"/>
        <w:spacing w:line="360" w:lineRule="auto"/>
        <w:jc w:val="both"/>
        <w:textAlignment w:val="auto"/>
        <w:rPr>
          <w:rFonts w:hint="eastAsia" w:ascii="宋体" w:hAnsi="宋体" w:cs="宋体"/>
          <w:b/>
          <w:color w:val="auto"/>
          <w:sz w:val="32"/>
          <w:highlight w:val="none"/>
        </w:rPr>
      </w:pPr>
      <w:r>
        <w:rPr>
          <w:rFonts w:hint="eastAsia" w:ascii="宋体" w:hAnsi="宋体" w:cs="宋体"/>
          <w:b/>
          <w:color w:val="auto"/>
          <w:sz w:val="32"/>
          <w:highlight w:val="none"/>
        </w:rPr>
        <w:t>二、评标标准</w:t>
      </w:r>
    </w:p>
    <w:p w14:paraId="7A27C189">
      <w:pPr>
        <w:pageBreakBefore w:val="0"/>
        <w:kinsoku/>
        <w:wordWrap/>
        <w:overflowPunct/>
        <w:topLinePunct w:val="0"/>
        <w:bidi w:val="0"/>
        <w:spacing w:line="360" w:lineRule="auto"/>
        <w:ind w:left="0" w:leftChars="0"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99A5F63">
      <w:pPr>
        <w:pageBreakBefore w:val="0"/>
        <w:kinsoku/>
        <w:wordWrap/>
        <w:overflowPunct/>
        <w:topLinePunct w:val="0"/>
        <w:bidi w:val="0"/>
        <w:snapToGrid w:val="0"/>
        <w:spacing w:line="360" w:lineRule="auto"/>
        <w:jc w:val="both"/>
        <w:textAlignment w:val="auto"/>
        <w:rPr>
          <w:rFonts w:hint="eastAsia" w:ascii="宋体" w:hAnsi="宋体" w:cs="宋体"/>
          <w:b/>
          <w:color w:val="auto"/>
          <w:sz w:val="32"/>
          <w:highlight w:val="none"/>
        </w:rPr>
      </w:pPr>
      <w:r>
        <w:rPr>
          <w:rFonts w:hint="eastAsia" w:ascii="宋体" w:hAnsi="宋体" w:cs="宋体"/>
          <w:b/>
          <w:color w:val="auto"/>
          <w:sz w:val="32"/>
          <w:highlight w:val="none"/>
        </w:rPr>
        <w:t>三、评标程序</w:t>
      </w:r>
    </w:p>
    <w:p w14:paraId="137ED001">
      <w:pPr>
        <w:pageBreakBefore w:val="0"/>
        <w:kinsoku/>
        <w:wordWrap/>
        <w:overflowPunct/>
        <w:topLinePunct w:val="0"/>
        <w:bidi w:val="0"/>
        <w:spacing w:line="360" w:lineRule="auto"/>
        <w:ind w:left="0" w:leftChars="0" w:firstLine="482" w:firstLineChars="200"/>
        <w:jc w:val="both"/>
        <w:textAlignment w:val="auto"/>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1D8B29F">
      <w:pPr>
        <w:pageBreakBefore w:val="0"/>
        <w:kinsoku/>
        <w:wordWrap/>
        <w:overflowPunct/>
        <w:topLinePunct w:val="0"/>
        <w:bidi w:val="0"/>
        <w:spacing w:line="360" w:lineRule="auto"/>
        <w:ind w:left="0" w:leftChars="0" w:firstLine="482" w:firstLineChars="200"/>
        <w:jc w:val="both"/>
        <w:textAlignment w:val="auto"/>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AD8FD13">
      <w:pPr>
        <w:pageBreakBefore w:val="0"/>
        <w:kinsoku/>
        <w:wordWrap/>
        <w:overflowPunct/>
        <w:topLinePunct w:val="0"/>
        <w:bidi w:val="0"/>
        <w:spacing w:line="360" w:lineRule="auto"/>
        <w:ind w:left="0" w:leftChars="0" w:firstLine="482" w:firstLineChars="200"/>
        <w:jc w:val="both"/>
        <w:textAlignment w:val="auto"/>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C866D8D">
      <w:pPr>
        <w:pageBreakBefore w:val="0"/>
        <w:kinsoku/>
        <w:wordWrap/>
        <w:overflowPunct/>
        <w:topLinePunct w:val="0"/>
        <w:bidi w:val="0"/>
        <w:spacing w:line="360" w:lineRule="auto"/>
        <w:ind w:left="0" w:leftChars="0" w:firstLine="482" w:firstLineChars="200"/>
        <w:jc w:val="both"/>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B5C0830">
      <w:pPr>
        <w:pStyle w:val="132"/>
        <w:pageBreakBefore w:val="0"/>
        <w:kinsoku/>
        <w:wordWrap/>
        <w:overflowPunct/>
        <w:topLinePunct w:val="0"/>
        <w:bidi w:val="0"/>
        <w:spacing w:before="0" w:line="360" w:lineRule="auto"/>
        <w:ind w:left="0" w:leftChars="0" w:firstLine="480" w:firstLineChars="200"/>
        <w:jc w:val="both"/>
        <w:textAlignment w:val="auto"/>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16F5425">
      <w:pPr>
        <w:pStyle w:val="132"/>
        <w:pageBreakBefore w:val="0"/>
        <w:kinsoku/>
        <w:wordWrap/>
        <w:overflowPunct/>
        <w:topLinePunct w:val="0"/>
        <w:bidi w:val="0"/>
        <w:spacing w:before="0" w:line="360" w:lineRule="auto"/>
        <w:ind w:left="0" w:leftChars="0" w:firstLine="480" w:firstLineChars="200"/>
        <w:jc w:val="both"/>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14:paraId="79D6ED0F">
      <w:pPr>
        <w:pStyle w:val="132"/>
        <w:pageBreakBefore w:val="0"/>
        <w:kinsoku/>
        <w:wordWrap/>
        <w:overflowPunct/>
        <w:topLinePunct w:val="0"/>
        <w:bidi w:val="0"/>
        <w:spacing w:before="0" w:line="360" w:lineRule="auto"/>
        <w:ind w:left="0" w:leftChars="0" w:firstLine="480" w:firstLineChars="200"/>
        <w:jc w:val="both"/>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0AF4AFDB">
      <w:pPr>
        <w:pStyle w:val="132"/>
        <w:pageBreakBefore w:val="0"/>
        <w:kinsoku/>
        <w:wordWrap/>
        <w:overflowPunct/>
        <w:topLinePunct w:val="0"/>
        <w:bidi w:val="0"/>
        <w:spacing w:before="0" w:line="360" w:lineRule="auto"/>
        <w:ind w:left="0" w:leftChars="0" w:firstLine="480" w:firstLineChars="200"/>
        <w:jc w:val="both"/>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77F6D2FB">
      <w:pPr>
        <w:pStyle w:val="132"/>
        <w:pageBreakBefore w:val="0"/>
        <w:kinsoku/>
        <w:wordWrap/>
        <w:overflowPunct/>
        <w:topLinePunct w:val="0"/>
        <w:bidi w:val="0"/>
        <w:spacing w:before="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981F409">
      <w:pPr>
        <w:pStyle w:val="132"/>
        <w:pageBreakBefore w:val="0"/>
        <w:kinsoku/>
        <w:wordWrap/>
        <w:overflowPunct/>
        <w:topLinePunct w:val="0"/>
        <w:bidi w:val="0"/>
        <w:spacing w:before="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BD60790">
      <w:pPr>
        <w:pageBreakBefore w:val="0"/>
        <w:kinsoku/>
        <w:wordWrap/>
        <w:overflowPunct/>
        <w:topLinePunct w:val="0"/>
        <w:bidi w:val="0"/>
        <w:snapToGrid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924CE1">
      <w:pPr>
        <w:pageBreakBefore w:val="0"/>
        <w:kinsoku/>
        <w:wordWrap/>
        <w:overflowPunct/>
        <w:topLinePunct w:val="0"/>
        <w:bidi w:val="0"/>
        <w:snapToGrid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87ED25E">
      <w:pPr>
        <w:pStyle w:val="132"/>
        <w:pageBreakBefore w:val="0"/>
        <w:kinsoku/>
        <w:wordWrap/>
        <w:overflowPunct/>
        <w:topLinePunct w:val="0"/>
        <w:bidi w:val="0"/>
        <w:spacing w:before="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CF96754">
      <w:pPr>
        <w:pStyle w:val="132"/>
        <w:pageBreakBefore w:val="0"/>
        <w:kinsoku/>
        <w:wordWrap/>
        <w:overflowPunct/>
        <w:topLinePunct w:val="0"/>
        <w:bidi w:val="0"/>
        <w:spacing w:before="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C26E337">
      <w:pPr>
        <w:pageBreakBefore w:val="0"/>
        <w:kinsoku/>
        <w:wordWrap/>
        <w:overflowPunct/>
        <w:topLinePunct w:val="0"/>
        <w:bidi w:val="0"/>
        <w:spacing w:line="360" w:lineRule="auto"/>
        <w:ind w:left="0" w:leftChars="0" w:firstLine="482" w:firstLineChars="200"/>
        <w:jc w:val="both"/>
        <w:textAlignment w:val="auto"/>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得分相同的，按投标报价由</w:t>
      </w:r>
      <w:r>
        <w:rPr>
          <w:rFonts w:hint="eastAsia" w:ascii="宋体" w:hAnsi="宋体" w:eastAsia="宋体" w:cs="宋体"/>
          <w:color w:val="auto"/>
          <w:kern w:val="0"/>
          <w:sz w:val="24"/>
          <w:highlight w:val="none"/>
        </w:rPr>
        <w:t>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b/>
          <w:bCs/>
          <w:color w:val="auto"/>
          <w:kern w:val="0"/>
          <w:sz w:val="24"/>
          <w:highlight w:val="none"/>
        </w:rPr>
        <w:t>有效投标供应商数量等于3家时，中标候选人数量为1家；有效投标供应商数量等于4家时，中标候选人数量为2家；有效投标供应商数量大于等于5家时，中标候选人数量为3家。</w:t>
      </w:r>
    </w:p>
    <w:p w14:paraId="10E4E0E5">
      <w:pPr>
        <w:pageBreakBefore w:val="0"/>
        <w:kinsoku/>
        <w:wordWrap/>
        <w:overflowPunct/>
        <w:topLinePunct w:val="0"/>
        <w:bidi w:val="0"/>
        <w:spacing w:line="360" w:lineRule="auto"/>
        <w:ind w:left="0" w:leftChars="0" w:firstLine="480" w:firstLineChars="200"/>
        <w:jc w:val="both"/>
        <w:textAlignment w:val="auto"/>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0EC055A">
      <w:pPr>
        <w:pageBreakBefore w:val="0"/>
        <w:kinsoku/>
        <w:wordWrap/>
        <w:overflowPunct/>
        <w:topLinePunct w:val="0"/>
        <w:bidi w:val="0"/>
        <w:spacing w:line="360" w:lineRule="auto"/>
        <w:ind w:left="0" w:leftChars="0" w:firstLine="482" w:firstLineChars="200"/>
        <w:jc w:val="both"/>
        <w:textAlignment w:val="auto"/>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D8A9BAE">
      <w:pPr>
        <w:pageBreakBefore w:val="0"/>
        <w:kinsoku/>
        <w:wordWrap/>
        <w:overflowPunct/>
        <w:topLinePunct w:val="0"/>
        <w:bidi w:val="0"/>
        <w:snapToGrid w:val="0"/>
        <w:spacing w:line="360" w:lineRule="auto"/>
        <w:jc w:val="both"/>
        <w:textAlignment w:val="auto"/>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4986816C">
      <w:pPr>
        <w:pStyle w:val="132"/>
        <w:pageBreakBefore w:val="0"/>
        <w:kinsoku/>
        <w:wordWrap/>
        <w:overflowPunct/>
        <w:topLinePunct w:val="0"/>
        <w:bidi w:val="0"/>
        <w:spacing w:before="0" w:line="360" w:lineRule="auto"/>
        <w:ind w:left="0" w:leftChars="0" w:firstLine="482" w:firstLineChars="200"/>
        <w:jc w:val="both"/>
        <w:textAlignment w:val="auto"/>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BB8AD03">
      <w:pPr>
        <w:pStyle w:val="25"/>
        <w:pageBreakBefore w:val="0"/>
        <w:kinsoku/>
        <w:wordWrap/>
        <w:overflowPunct/>
        <w:topLinePunct w:val="0"/>
        <w:bidi w:val="0"/>
        <w:spacing w:line="360" w:lineRule="auto"/>
        <w:ind w:left="0" w:leftChars="0" w:firstLine="482" w:firstLineChars="200"/>
        <w:jc w:val="both"/>
        <w:textAlignment w:val="auto"/>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9A23859">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314D350">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C58B9BD">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91F7690">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956D065">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75782C">
      <w:pPr>
        <w:pageBreakBefore w:val="0"/>
        <w:kinsoku/>
        <w:wordWrap/>
        <w:overflowPunct/>
        <w:topLinePunct w:val="0"/>
        <w:bidi w:val="0"/>
        <w:snapToGrid w:val="0"/>
        <w:spacing w:line="360" w:lineRule="auto"/>
        <w:ind w:left="0" w:leftChars="0" w:firstLine="480" w:firstLineChars="200"/>
        <w:jc w:val="both"/>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4.2.6投标文件出现不是唯一的、有选择性投标报价的</w:t>
      </w:r>
      <w:r>
        <w:rPr>
          <w:rFonts w:hint="eastAsia" w:ascii="宋体" w:hAnsi="宋体" w:cs="宋体"/>
          <w:color w:val="auto"/>
          <w:kern w:val="0"/>
          <w:sz w:val="24"/>
          <w:highlight w:val="none"/>
          <w:lang w:eastAsia="zh-CN"/>
        </w:rPr>
        <w:t>；</w:t>
      </w:r>
    </w:p>
    <w:p w14:paraId="2D6E9ED6">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2FC99F87">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0ED12B41">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44713973">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0B844CBB">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4.2.11投标人有恶意串通、妨碍其他投标人的竞争行为、损害采购人或者其他投标人的合法权益情形的；</w:t>
      </w:r>
    </w:p>
    <w:p w14:paraId="4D683DED">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3AEE72EE">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4.2.13 投标文件不满足招标文件的其它实质性要求的；</w:t>
      </w:r>
    </w:p>
    <w:p w14:paraId="5DF4A48F">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28DE74DD">
      <w:pPr>
        <w:pStyle w:val="25"/>
        <w:pageBreakBefore w:val="0"/>
        <w:kinsoku/>
        <w:wordWrap/>
        <w:overflowPunct/>
        <w:topLinePunct w:val="0"/>
        <w:bidi w:val="0"/>
        <w:snapToGrid w:val="0"/>
        <w:spacing w:line="360" w:lineRule="auto"/>
        <w:ind w:left="0" w:leftChars="0" w:firstLine="482" w:firstLineChars="200"/>
        <w:jc w:val="both"/>
        <w:textAlignment w:val="auto"/>
        <w:rPr>
          <w:rFonts w:hint="eastAsia" w:cs="宋体"/>
          <w:b/>
          <w:color w:val="auto"/>
          <w:highlight w:val="none"/>
        </w:rPr>
      </w:pPr>
      <w:r>
        <w:rPr>
          <w:rFonts w:hint="eastAsia" w:cs="宋体"/>
          <w:b/>
          <w:color w:val="auto"/>
          <w:highlight w:val="none"/>
        </w:rPr>
        <w:t>4.2.15上传投标文件同一网卡地址、同一IP地址的为无效标。</w:t>
      </w:r>
    </w:p>
    <w:p w14:paraId="492BED88">
      <w:pPr>
        <w:pStyle w:val="25"/>
        <w:pageBreakBefore w:val="0"/>
        <w:kinsoku/>
        <w:wordWrap/>
        <w:overflowPunct/>
        <w:topLinePunct w:val="0"/>
        <w:bidi w:val="0"/>
        <w:snapToGrid w:val="0"/>
        <w:spacing w:line="360" w:lineRule="auto"/>
        <w:ind w:left="0" w:leftChars="0" w:firstLine="482" w:firstLineChars="200"/>
        <w:jc w:val="both"/>
        <w:textAlignment w:val="auto"/>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18A6256">
      <w:pPr>
        <w:pStyle w:val="25"/>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14:paraId="0E844EB7">
      <w:pPr>
        <w:pStyle w:val="25"/>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5.2出现影响采购公正的违法、违规行为的；</w:t>
      </w:r>
    </w:p>
    <w:p w14:paraId="1B98D7AC">
      <w:pPr>
        <w:pStyle w:val="25"/>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5.3投标人的报价均超过了采购预算，采购人不能支付的；</w:t>
      </w:r>
    </w:p>
    <w:p w14:paraId="0E3C18A4">
      <w:pPr>
        <w:pStyle w:val="25"/>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5.4因重大变故，采购任务取消的。</w:t>
      </w:r>
    </w:p>
    <w:p w14:paraId="2E34B89E">
      <w:pPr>
        <w:pStyle w:val="25"/>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88A3D12">
      <w:pPr>
        <w:pStyle w:val="25"/>
        <w:pageBreakBefore w:val="0"/>
        <w:kinsoku/>
        <w:wordWrap/>
        <w:overflowPunct/>
        <w:topLinePunct w:val="0"/>
        <w:bidi w:val="0"/>
        <w:snapToGrid w:val="0"/>
        <w:spacing w:line="360" w:lineRule="auto"/>
        <w:ind w:left="0" w:leftChars="0" w:firstLine="482" w:firstLineChars="200"/>
        <w:jc w:val="both"/>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717BE8BC">
      <w:pPr>
        <w:pStyle w:val="25"/>
        <w:pageBreakBefore w:val="0"/>
        <w:kinsoku/>
        <w:wordWrap/>
        <w:overflowPunct/>
        <w:topLinePunct w:val="0"/>
        <w:bidi w:val="0"/>
        <w:snapToGrid w:val="0"/>
        <w:spacing w:line="360" w:lineRule="auto"/>
        <w:ind w:left="0" w:leftChars="0" w:firstLine="482" w:firstLineChars="200"/>
        <w:jc w:val="both"/>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A5C0D8">
      <w:pPr>
        <w:pStyle w:val="25"/>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7.1未确定</w:t>
      </w:r>
      <w:r>
        <w:rPr>
          <w:rFonts w:hint="eastAsia" w:cs="宋体"/>
          <w:color w:val="auto"/>
          <w:highlight w:val="none"/>
          <w:lang w:eastAsia="zh-CN"/>
        </w:rPr>
        <w:t>中标人</w:t>
      </w:r>
      <w:r>
        <w:rPr>
          <w:rFonts w:hint="eastAsia" w:cs="宋体"/>
          <w:color w:val="auto"/>
          <w:highlight w:val="none"/>
        </w:rPr>
        <w:t>的，终止本次政府采购活动，重新开展政府采购活动。</w:t>
      </w:r>
    </w:p>
    <w:p w14:paraId="13D6A9B9">
      <w:pPr>
        <w:pStyle w:val="25"/>
        <w:pageBreakBefore w:val="0"/>
        <w:kinsoku/>
        <w:wordWrap/>
        <w:overflowPunct/>
        <w:topLinePunct w:val="0"/>
        <w:bidi w:val="0"/>
        <w:snapToGrid w:val="0"/>
        <w:spacing w:line="360" w:lineRule="auto"/>
        <w:ind w:left="0" w:leftChars="0" w:firstLine="480" w:firstLineChars="200"/>
        <w:jc w:val="both"/>
        <w:textAlignment w:val="auto"/>
        <w:rPr>
          <w:rFonts w:hint="eastAsia" w:cs="宋体"/>
          <w:color w:val="auto"/>
          <w:highlight w:val="none"/>
        </w:rPr>
      </w:pPr>
      <w:r>
        <w:rPr>
          <w:rFonts w:hint="eastAsia" w:cs="宋体"/>
          <w:color w:val="auto"/>
          <w:highlight w:val="none"/>
        </w:rPr>
        <w:t>7.2已确定</w:t>
      </w:r>
      <w:r>
        <w:rPr>
          <w:rFonts w:hint="eastAsia" w:cs="宋体"/>
          <w:color w:val="auto"/>
          <w:highlight w:val="none"/>
          <w:lang w:eastAsia="zh-CN"/>
        </w:rPr>
        <w:t>中标人</w:t>
      </w:r>
      <w:r>
        <w:rPr>
          <w:rFonts w:hint="eastAsia" w:cs="宋体"/>
          <w:color w:val="auto"/>
          <w:highlight w:val="none"/>
        </w:rPr>
        <w:t>但尚未签订政府采购合同的，中标结果无效，从合格的中标候选人中另行确定</w:t>
      </w:r>
      <w:r>
        <w:rPr>
          <w:rFonts w:hint="eastAsia" w:cs="宋体"/>
          <w:color w:val="auto"/>
          <w:highlight w:val="none"/>
          <w:lang w:eastAsia="zh-CN"/>
        </w:rPr>
        <w:t>中标人</w:t>
      </w:r>
      <w:r>
        <w:rPr>
          <w:rFonts w:hint="eastAsia" w:cs="宋体"/>
          <w:color w:val="auto"/>
          <w:highlight w:val="none"/>
        </w:rPr>
        <w:t>；没有合格的中标候选人的，重新开展政府采购活动。</w:t>
      </w:r>
    </w:p>
    <w:p w14:paraId="12802624">
      <w:pPr>
        <w:pStyle w:val="25"/>
        <w:pageBreakBefore w:val="0"/>
        <w:kinsoku/>
        <w:wordWrap/>
        <w:overflowPunct/>
        <w:topLinePunct w:val="0"/>
        <w:bidi w:val="0"/>
        <w:snapToGrid w:val="0"/>
        <w:spacing w:line="360" w:lineRule="auto"/>
        <w:ind w:left="0" w:leftChars="0" w:firstLine="480" w:firstLineChars="200"/>
        <w:jc w:val="both"/>
        <w:textAlignment w:val="auto"/>
        <w:rPr>
          <w:rFonts w:hint="eastAsia" w:cs="宋体"/>
          <w:color w:val="auto"/>
          <w:highlight w:val="none"/>
        </w:rPr>
      </w:pPr>
      <w:r>
        <w:rPr>
          <w:rFonts w:hint="eastAsia" w:cs="宋体"/>
          <w:color w:val="auto"/>
          <w:highlight w:val="none"/>
        </w:rPr>
        <w:t>7.3政府采购合同已签订但尚未履行的，撤销合同，从合格的中标候选人中另行确定</w:t>
      </w:r>
      <w:r>
        <w:rPr>
          <w:rFonts w:hint="eastAsia" w:cs="宋体"/>
          <w:color w:val="auto"/>
          <w:highlight w:val="none"/>
          <w:lang w:eastAsia="zh-CN"/>
        </w:rPr>
        <w:t>中标人</w:t>
      </w:r>
      <w:r>
        <w:rPr>
          <w:rFonts w:hint="eastAsia" w:cs="宋体"/>
          <w:color w:val="auto"/>
          <w:highlight w:val="none"/>
        </w:rPr>
        <w:t>；没有合格的中标候选人的，重新开展政府采购活动。</w:t>
      </w:r>
    </w:p>
    <w:p w14:paraId="4990096F">
      <w:pPr>
        <w:pStyle w:val="25"/>
        <w:pageBreakBefore w:val="0"/>
        <w:kinsoku/>
        <w:wordWrap/>
        <w:overflowPunct/>
        <w:topLinePunct w:val="0"/>
        <w:bidi w:val="0"/>
        <w:snapToGrid w:val="0"/>
        <w:spacing w:line="360" w:lineRule="auto"/>
        <w:ind w:left="0" w:leftChars="0" w:firstLine="480" w:firstLineChars="200"/>
        <w:jc w:val="both"/>
        <w:textAlignment w:val="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40D05027">
      <w:pPr>
        <w:pStyle w:val="25"/>
        <w:pageBreakBefore w:val="0"/>
        <w:kinsoku/>
        <w:wordWrap/>
        <w:overflowPunct/>
        <w:topLinePunct w:val="0"/>
        <w:bidi w:val="0"/>
        <w:snapToGrid w:val="0"/>
        <w:spacing w:line="360" w:lineRule="auto"/>
        <w:ind w:left="0" w:leftChars="0" w:firstLine="480" w:firstLineChars="200"/>
        <w:jc w:val="both"/>
        <w:textAlignment w:val="auto"/>
        <w:rPr>
          <w:rFonts w:hint="eastAsia"/>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6"/>
      <w:bookmarkStart w:id="408" w:name="第五部分"/>
      <w:bookmarkStart w:id="409" w:name="_Toc86217003"/>
    </w:p>
    <w:p w14:paraId="484DB184">
      <w:pPr>
        <w:pStyle w:val="23"/>
        <w:pageBreakBefore w:val="0"/>
        <w:kinsoku/>
        <w:wordWrap/>
        <w:overflowPunct/>
        <w:topLinePunct w:val="0"/>
        <w:bidi w:val="0"/>
        <w:spacing w:line="360" w:lineRule="auto"/>
        <w:ind w:left="0" w:leftChars="0" w:firstLine="480" w:firstLineChars="200"/>
        <w:jc w:val="both"/>
        <w:textAlignment w:val="auto"/>
        <w:rPr>
          <w:rFonts w:hint="eastAsia"/>
          <w:color w:val="auto"/>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0" w:charSpace="0"/>
        </w:sectPr>
      </w:pPr>
    </w:p>
    <w:p w14:paraId="04170A7E">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0A074EE">
      <w:pPr>
        <w:adjustRightInd/>
        <w:snapToGrid w:val="0"/>
        <w:spacing w:before="156" w:after="156" w:line="720" w:lineRule="exact"/>
        <w:jc w:val="center"/>
        <w:rPr>
          <w:rFonts w:hint="eastAsia" w:ascii="宋体" w:cs="Times New Roman"/>
          <w:b/>
          <w:color w:val="auto"/>
          <w:sz w:val="44"/>
          <w:szCs w:val="44"/>
          <w:highlight w:val="none"/>
          <w:lang w:eastAsia="zh-CN"/>
        </w:rPr>
      </w:pPr>
    </w:p>
    <w:p w14:paraId="6E40B5E7">
      <w:pPr>
        <w:pStyle w:val="79"/>
        <w:rPr>
          <w:rFonts w:hint="eastAsia"/>
          <w:lang w:eastAsia="zh-CN"/>
        </w:rPr>
      </w:pPr>
    </w:p>
    <w:p w14:paraId="39BADEBD">
      <w:pPr>
        <w:adjustRightInd/>
        <w:snapToGrid w:val="0"/>
        <w:spacing w:before="156" w:after="156" w:line="720" w:lineRule="exact"/>
        <w:jc w:val="center"/>
        <w:rPr>
          <w:rFonts w:hint="eastAsia" w:ascii="宋体" w:cs="Times New Roman"/>
          <w:b/>
          <w:color w:val="auto"/>
          <w:sz w:val="44"/>
          <w:szCs w:val="44"/>
          <w:highlight w:val="none"/>
          <w:lang w:val="en-US" w:eastAsia="zh-CN"/>
        </w:rPr>
      </w:pPr>
      <w:r>
        <w:rPr>
          <w:rFonts w:hint="eastAsia" w:ascii="宋体" w:cs="Times New Roman"/>
          <w:b/>
          <w:color w:val="auto"/>
          <w:sz w:val="44"/>
          <w:szCs w:val="44"/>
          <w:highlight w:val="none"/>
          <w:lang w:val="en-US" w:eastAsia="zh-CN"/>
        </w:rPr>
        <w:t>宁海县柔石公园、正学公园、眠牛山公园、</w:t>
      </w:r>
    </w:p>
    <w:p w14:paraId="3827C4B8">
      <w:pPr>
        <w:adjustRightInd/>
        <w:snapToGrid w:val="0"/>
        <w:spacing w:before="156" w:after="156" w:line="720" w:lineRule="exact"/>
        <w:jc w:val="center"/>
        <w:rPr>
          <w:rFonts w:hint="eastAsia" w:ascii="宋体" w:cs="Times New Roman"/>
          <w:b/>
          <w:color w:val="auto"/>
          <w:sz w:val="44"/>
          <w:szCs w:val="44"/>
          <w:highlight w:val="none"/>
          <w:lang w:val="en-US" w:eastAsia="zh-CN"/>
        </w:rPr>
      </w:pPr>
      <w:r>
        <w:rPr>
          <w:rFonts w:hint="eastAsia" w:ascii="宋体" w:cs="Times New Roman"/>
          <w:b/>
          <w:color w:val="auto"/>
          <w:sz w:val="44"/>
          <w:szCs w:val="44"/>
          <w:highlight w:val="none"/>
          <w:lang w:val="en-US" w:eastAsia="zh-CN"/>
        </w:rPr>
        <w:t>潘天寿广场水质养护项目</w:t>
      </w:r>
    </w:p>
    <w:p w14:paraId="6AAFBD6A">
      <w:pPr>
        <w:adjustRightInd/>
        <w:snapToGrid w:val="0"/>
        <w:spacing w:before="156" w:after="156" w:line="720" w:lineRule="exact"/>
        <w:jc w:val="center"/>
        <w:rPr>
          <w:rFonts w:hint="eastAsia" w:ascii="宋体" w:cs="Times New Roman"/>
          <w:b/>
          <w:color w:val="auto"/>
          <w:sz w:val="44"/>
          <w:szCs w:val="44"/>
          <w:highlight w:val="none"/>
          <w:lang w:val="en-US" w:eastAsia="zh-CN"/>
        </w:rPr>
      </w:pPr>
    </w:p>
    <w:p w14:paraId="5A12B7CA">
      <w:pPr>
        <w:adjustRightInd/>
        <w:snapToGrid w:val="0"/>
        <w:spacing w:before="156" w:after="156" w:line="720" w:lineRule="exact"/>
        <w:jc w:val="center"/>
        <w:rPr>
          <w:rFonts w:ascii="宋体" w:hAnsi="Times New Roman" w:eastAsia="宋体" w:cs="Times New Roman"/>
          <w:b/>
          <w:color w:val="auto"/>
          <w:sz w:val="44"/>
          <w:szCs w:val="44"/>
          <w:highlight w:val="none"/>
        </w:rPr>
      </w:pPr>
      <w:r>
        <w:rPr>
          <w:rFonts w:hint="eastAsia" w:ascii="宋体" w:cs="Times New Roman"/>
          <w:b/>
          <w:color w:val="auto"/>
          <w:sz w:val="44"/>
          <w:szCs w:val="44"/>
          <w:highlight w:val="none"/>
          <w:lang w:val="en-US" w:eastAsia="zh-CN"/>
        </w:rPr>
        <w:t>服务</w:t>
      </w:r>
      <w:r>
        <w:rPr>
          <w:rFonts w:hint="eastAsia" w:ascii="宋体" w:hAnsi="Times New Roman" w:eastAsia="宋体" w:cs="Times New Roman"/>
          <w:b/>
          <w:color w:val="auto"/>
          <w:sz w:val="44"/>
          <w:szCs w:val="44"/>
          <w:highlight w:val="none"/>
        </w:rPr>
        <w:t>合同</w:t>
      </w:r>
    </w:p>
    <w:p w14:paraId="0DD24A3E">
      <w:pPr>
        <w:adjustRightInd/>
        <w:snapToGrid w:val="0"/>
        <w:spacing w:before="156" w:after="156" w:line="360" w:lineRule="auto"/>
        <w:jc w:val="center"/>
        <w:rPr>
          <w:rFonts w:ascii="宋体" w:hAnsi="Times New Roman" w:eastAsia="宋体" w:cs="Times New Roman"/>
          <w:b/>
          <w:color w:val="auto"/>
          <w:sz w:val="36"/>
          <w:szCs w:val="36"/>
          <w:highlight w:val="none"/>
        </w:rPr>
      </w:pPr>
    </w:p>
    <w:p w14:paraId="47E5A50D">
      <w:pPr>
        <w:adjustRightInd/>
        <w:snapToGrid w:val="0"/>
        <w:spacing w:before="156" w:after="156" w:line="360" w:lineRule="auto"/>
        <w:jc w:val="center"/>
        <w:rPr>
          <w:rFonts w:ascii="宋体" w:hAnsi="Times New Roman" w:eastAsia="宋体" w:cs="Times New Roman"/>
          <w:b/>
          <w:color w:val="auto"/>
          <w:sz w:val="36"/>
          <w:szCs w:val="36"/>
          <w:highlight w:val="none"/>
        </w:rPr>
      </w:pPr>
    </w:p>
    <w:p w14:paraId="44E4E84C">
      <w:pPr>
        <w:adjustRightInd/>
        <w:snapToGrid w:val="0"/>
        <w:spacing w:before="156" w:after="156" w:line="360" w:lineRule="auto"/>
        <w:jc w:val="center"/>
        <w:rPr>
          <w:rFonts w:ascii="宋体" w:hAnsi="Times New Roman" w:eastAsia="宋体" w:cs="Times New Roman"/>
          <w:b/>
          <w:color w:val="auto"/>
          <w:sz w:val="36"/>
          <w:szCs w:val="36"/>
          <w:highlight w:val="none"/>
        </w:rPr>
      </w:pPr>
    </w:p>
    <w:p w14:paraId="6FE0F06A">
      <w:pPr>
        <w:pStyle w:val="79"/>
      </w:pPr>
    </w:p>
    <w:p w14:paraId="7F473549">
      <w:pPr>
        <w:adjustRightInd/>
        <w:spacing w:line="360" w:lineRule="auto"/>
        <w:ind w:firstLine="800" w:firstLineChars="250"/>
        <w:rPr>
          <w:rFonts w:hint="eastAsia" w:ascii="宋体" w:hAnsi="Times New Roman" w:eastAsia="宋体" w:cs="Times New Roman"/>
          <w:color w:val="auto"/>
          <w:sz w:val="32"/>
          <w:szCs w:val="32"/>
          <w:highlight w:val="none"/>
          <w:lang w:eastAsia="zh-CN"/>
        </w:rPr>
      </w:pPr>
      <w:r>
        <w:rPr>
          <w:rFonts w:hint="eastAsia" w:ascii="宋体" w:hAnsi="Times New Roman" w:eastAsia="宋体" w:cs="Times New Roman"/>
          <w:color w:val="auto"/>
          <w:sz w:val="32"/>
          <w:szCs w:val="32"/>
          <w:highlight w:val="none"/>
        </w:rPr>
        <w:t>甲方</w:t>
      </w:r>
      <w:r>
        <w:rPr>
          <w:rFonts w:hint="eastAsia" w:ascii="Times New Roman" w:eastAsia="宋体"/>
          <w:color w:val="auto"/>
          <w:sz w:val="32"/>
          <w:szCs w:val="32"/>
          <w:highlight w:val="none"/>
          <w:lang w:val="en-US" w:eastAsia="zh-CN"/>
        </w:rPr>
        <w:t>（发包人）</w:t>
      </w:r>
      <w:r>
        <w:rPr>
          <w:rFonts w:hint="eastAsia" w:ascii="宋体" w:hAnsi="Times New Roman" w:eastAsia="宋体" w:cs="Times New Roman"/>
          <w:color w:val="auto"/>
          <w:sz w:val="32"/>
          <w:szCs w:val="32"/>
          <w:highlight w:val="none"/>
        </w:rPr>
        <w:t>：</w:t>
      </w:r>
      <w:r>
        <w:rPr>
          <w:rFonts w:hint="eastAsia" w:ascii="宋体" w:cs="Times New Roman"/>
          <w:color w:val="auto"/>
          <w:sz w:val="32"/>
          <w:szCs w:val="32"/>
          <w:highlight w:val="none"/>
          <w:lang w:eastAsia="zh-CN"/>
        </w:rPr>
        <w:t>宁海县住房和城乡建设局</w:t>
      </w:r>
    </w:p>
    <w:p w14:paraId="412824F4">
      <w:pPr>
        <w:adjustRightInd/>
        <w:spacing w:line="360" w:lineRule="auto"/>
        <w:ind w:firstLine="800" w:firstLineChars="250"/>
        <w:rPr>
          <w:rFonts w:ascii="宋体" w:hAnsi="Times New Roman" w:eastAsia="宋体" w:cs="Times New Roman"/>
          <w:color w:val="auto"/>
          <w:sz w:val="32"/>
          <w:szCs w:val="32"/>
          <w:highlight w:val="none"/>
        </w:rPr>
      </w:pPr>
    </w:p>
    <w:p w14:paraId="0BF038CA">
      <w:pPr>
        <w:adjustRightInd/>
        <w:spacing w:line="360" w:lineRule="auto"/>
        <w:ind w:firstLine="800" w:firstLineChars="250"/>
        <w:rPr>
          <w:rFonts w:hint="default" w:ascii="宋体" w:hAnsi="Times New Roman" w:eastAsia="宋体" w:cs="Times New Roman"/>
          <w:color w:val="auto"/>
          <w:sz w:val="32"/>
          <w:szCs w:val="32"/>
          <w:highlight w:val="none"/>
          <w:lang w:val="en-US" w:eastAsia="zh-CN"/>
        </w:rPr>
      </w:pPr>
      <w:r>
        <w:rPr>
          <w:rFonts w:hint="eastAsia" w:ascii="宋体" w:hAnsi="Times New Roman" w:eastAsia="宋体" w:cs="Times New Roman"/>
          <w:color w:val="auto"/>
          <w:sz w:val="32"/>
          <w:szCs w:val="32"/>
          <w:highlight w:val="none"/>
        </w:rPr>
        <w:t>乙方</w:t>
      </w:r>
      <w:r>
        <w:rPr>
          <w:rFonts w:hint="eastAsia" w:eastAsia="宋体"/>
          <w:color w:val="auto"/>
          <w:sz w:val="32"/>
          <w:szCs w:val="32"/>
          <w:highlight w:val="none"/>
          <w:lang w:eastAsia="zh-CN"/>
        </w:rPr>
        <w:t>（承包人）</w:t>
      </w:r>
      <w:r>
        <w:rPr>
          <w:rFonts w:hint="eastAsia" w:ascii="宋体" w:hAnsi="Times New Roman" w:eastAsia="宋体" w:cs="Times New Roman"/>
          <w:color w:val="auto"/>
          <w:sz w:val="32"/>
          <w:szCs w:val="32"/>
          <w:highlight w:val="none"/>
        </w:rPr>
        <w:t>：</w:t>
      </w:r>
      <w:r>
        <w:rPr>
          <w:rFonts w:hint="eastAsia" w:ascii="Calibri" w:hAnsi="Calibri" w:eastAsia="宋体" w:cs="Times New Roman"/>
          <w:color w:val="auto"/>
          <w:sz w:val="32"/>
          <w:szCs w:val="32"/>
          <w:highlight w:val="none"/>
          <w:u w:val="single"/>
          <w:lang w:val="en-US" w:eastAsia="zh-CN"/>
        </w:rPr>
        <w:t xml:space="preserve">                       </w:t>
      </w:r>
    </w:p>
    <w:p w14:paraId="090E9D49">
      <w:pPr>
        <w:adjustRightInd/>
        <w:spacing w:line="360" w:lineRule="auto"/>
        <w:rPr>
          <w:rFonts w:ascii="宋体" w:hAnsi="Times New Roman" w:eastAsia="宋体" w:cs="Times New Roman"/>
          <w:color w:val="auto"/>
          <w:sz w:val="32"/>
          <w:szCs w:val="32"/>
          <w:highlight w:val="none"/>
        </w:rPr>
      </w:pPr>
    </w:p>
    <w:p w14:paraId="70DCF257">
      <w:pPr>
        <w:adjustRightInd/>
        <w:spacing w:line="360" w:lineRule="auto"/>
        <w:ind w:firstLine="800" w:firstLineChars="250"/>
        <w:rPr>
          <w:rFonts w:ascii="宋体" w:hAnsi="Times New Roman" w:eastAsia="宋体" w:cs="Times New Roman"/>
          <w:color w:val="auto"/>
          <w:sz w:val="32"/>
          <w:szCs w:val="32"/>
          <w:highlight w:val="none"/>
        </w:rPr>
      </w:pPr>
      <w:r>
        <w:rPr>
          <w:rFonts w:hint="eastAsia" w:ascii="宋体" w:hAnsi="Times New Roman" w:eastAsia="宋体" w:cs="Times New Roman"/>
          <w:color w:val="auto"/>
          <w:sz w:val="32"/>
          <w:szCs w:val="32"/>
          <w:highlight w:val="none"/>
        </w:rPr>
        <w:t>签署日期：</w:t>
      </w:r>
      <w:r>
        <w:rPr>
          <w:rFonts w:hint="eastAsia" w:ascii="宋体" w:hAnsi="Times New Roman" w:eastAsia="宋体" w:cs="Times New Roman"/>
          <w:color w:val="auto"/>
          <w:sz w:val="32"/>
          <w:szCs w:val="32"/>
          <w:highlight w:val="none"/>
          <w:lang w:eastAsia="zh-CN"/>
        </w:rPr>
        <w:t>202</w:t>
      </w:r>
      <w:r>
        <w:rPr>
          <w:rFonts w:hint="eastAsia" w:ascii="宋体" w:cs="Times New Roman"/>
          <w:color w:val="auto"/>
          <w:sz w:val="32"/>
          <w:szCs w:val="32"/>
          <w:highlight w:val="none"/>
          <w:lang w:val="en-US" w:eastAsia="zh-CN"/>
        </w:rPr>
        <w:t>5</w:t>
      </w:r>
      <w:r>
        <w:rPr>
          <w:rFonts w:hint="eastAsia" w:ascii="宋体" w:hAnsi="Times New Roman" w:eastAsia="宋体" w:cs="Times New Roman"/>
          <w:color w:val="auto"/>
          <w:sz w:val="32"/>
          <w:szCs w:val="32"/>
          <w:highlight w:val="none"/>
        </w:rPr>
        <w:t xml:space="preserve">年     月     日 </w:t>
      </w:r>
    </w:p>
    <w:p w14:paraId="71ABB1A2">
      <w:pPr>
        <w:shd w:val="clear" w:color="auto" w:fill="auto"/>
        <w:adjustRightInd/>
        <w:jc w:val="center"/>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36"/>
          <w:szCs w:val="36"/>
          <w:highlight w:val="none"/>
        </w:rPr>
        <w:br w:type="page"/>
      </w:r>
    </w:p>
    <w:p w14:paraId="21D7C2C9">
      <w:pPr>
        <w:pStyle w:val="33"/>
        <w:snapToGrid w:val="0"/>
        <w:spacing w:line="500" w:lineRule="exact"/>
        <w:jc w:val="center"/>
        <w:rPr>
          <w:rFonts w:ascii="宋体" w:hAnsi="宋体" w:eastAsia="宋体" w:cs="宋体"/>
          <w:b/>
          <w:bCs/>
          <w:sz w:val="32"/>
          <w:szCs w:val="32"/>
        </w:rPr>
      </w:pPr>
      <w:r>
        <w:rPr>
          <w:rFonts w:hint="eastAsia" w:ascii="宋体" w:hAnsi="宋体" w:eastAsia="宋体" w:cs="宋体"/>
          <w:b/>
          <w:bCs/>
          <w:sz w:val="32"/>
          <w:szCs w:val="32"/>
        </w:rPr>
        <w:t>采购合同</w:t>
      </w:r>
    </w:p>
    <w:p w14:paraId="6BA0F456">
      <w:pPr>
        <w:pStyle w:val="33"/>
        <w:snapToGrid w:val="0"/>
        <w:spacing w:line="500" w:lineRule="exact"/>
        <w:jc w:val="center"/>
        <w:rPr>
          <w:rFonts w:ascii="宋体" w:hAnsi="宋体" w:eastAsia="宋体" w:cs="宋体"/>
          <w:b/>
          <w:bCs/>
          <w:sz w:val="32"/>
          <w:szCs w:val="32"/>
        </w:rPr>
      </w:pPr>
      <w:r>
        <w:rPr>
          <w:rFonts w:hint="eastAsia" w:ascii="宋体" w:hAnsi="宋体" w:eastAsia="宋体" w:cs="宋体"/>
          <w:b/>
          <w:bCs/>
          <w:sz w:val="32"/>
          <w:szCs w:val="32"/>
        </w:rPr>
        <w:t>（参考版本）</w:t>
      </w:r>
    </w:p>
    <w:p w14:paraId="530F1F8B">
      <w:pPr>
        <w:pStyle w:val="33"/>
        <w:snapToGrid w:val="0"/>
        <w:rPr>
          <w:rFonts w:ascii="宋体" w:hAnsi="宋体" w:eastAsia="宋体" w:cs="宋体"/>
          <w:sz w:val="24"/>
        </w:rPr>
      </w:pPr>
    </w:p>
    <w:p w14:paraId="6E929A63">
      <w:pPr>
        <w:pStyle w:val="33"/>
        <w:snapToGrid w:val="0"/>
        <w:spacing w:line="360" w:lineRule="auto"/>
        <w:rPr>
          <w:rFonts w:ascii="宋体" w:hAnsi="宋体" w:eastAsia="宋体" w:cs="宋体"/>
          <w:sz w:val="24"/>
        </w:rPr>
      </w:pPr>
      <w:r>
        <w:rPr>
          <w:rFonts w:hint="eastAsia" w:ascii="宋体" w:hAnsi="宋体" w:eastAsia="宋体" w:cs="宋体"/>
          <w:sz w:val="24"/>
        </w:rPr>
        <w:t>项目名称：                                          项目编号：</w:t>
      </w:r>
    </w:p>
    <w:p w14:paraId="6C550924">
      <w:pPr>
        <w:pStyle w:val="33"/>
        <w:adjustRightInd w:val="0"/>
        <w:snapToGrid w:val="0"/>
        <w:spacing w:line="360" w:lineRule="auto"/>
        <w:textAlignment w:val="baseline"/>
        <w:rPr>
          <w:rFonts w:ascii="宋体" w:hAnsi="宋体" w:eastAsia="宋体" w:cs="宋体"/>
          <w:sz w:val="24"/>
        </w:rPr>
      </w:pPr>
      <w:r>
        <w:rPr>
          <w:rFonts w:hint="eastAsia" w:ascii="宋体" w:hAnsi="宋体" w:eastAsia="宋体" w:cs="宋体"/>
          <w:sz w:val="24"/>
        </w:rPr>
        <w:t>甲方：（采购人）</w:t>
      </w:r>
    </w:p>
    <w:p w14:paraId="5CE92FB2">
      <w:pPr>
        <w:pStyle w:val="33"/>
        <w:adjustRightInd w:val="0"/>
        <w:snapToGrid w:val="0"/>
        <w:spacing w:line="360" w:lineRule="auto"/>
        <w:textAlignment w:val="baseline"/>
        <w:rPr>
          <w:rFonts w:ascii="宋体" w:hAnsi="宋体" w:eastAsia="宋体" w:cs="宋体"/>
          <w:sz w:val="24"/>
        </w:rPr>
      </w:pPr>
      <w:r>
        <w:rPr>
          <w:rFonts w:hint="eastAsia" w:ascii="宋体" w:hAnsi="宋体" w:eastAsia="宋体" w:cs="宋体"/>
          <w:sz w:val="24"/>
        </w:rPr>
        <w:t>乙方：（供应商）</w:t>
      </w:r>
    </w:p>
    <w:p w14:paraId="4BD33D18">
      <w:pPr>
        <w:spacing w:line="360" w:lineRule="auto"/>
        <w:ind w:firstLine="480" w:firstLineChars="200"/>
        <w:rPr>
          <w:rFonts w:ascii="宋体" w:hAnsi="宋体" w:cs="宋体"/>
          <w:sz w:val="24"/>
        </w:rPr>
      </w:pPr>
      <w:r>
        <w:rPr>
          <w:rFonts w:hint="eastAsia" w:ascii="宋体" w:hAnsi="宋体" w:cs="宋体"/>
          <w:sz w:val="24"/>
        </w:rPr>
        <w:t>根据《中华人民共和国政府采购法》、《中华人民共和国政府采购法实施条例》、《政府采购货物和服务招标投标管理办法》等法律法规，</w:t>
      </w:r>
      <w:r>
        <w:rPr>
          <w:rFonts w:hint="eastAsia" w:ascii="宋体" w:hAnsi="宋体" w:cs="宋体"/>
          <w:sz w:val="24"/>
          <w:u w:val="single"/>
        </w:rPr>
        <w:t>项目名称（项目编号）</w:t>
      </w:r>
      <w:r>
        <w:rPr>
          <w:rFonts w:hint="eastAsia" w:ascii="宋体" w:hAnsi="宋体" w:cs="宋体"/>
          <w:sz w:val="24"/>
        </w:rPr>
        <w:t>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日，在宁波市宁海县公共资源交易中心进行公开招标，经结果公告确定由乙方中标。按照《中华人民共和国民法典》</w:t>
      </w:r>
      <w:r>
        <w:rPr>
          <w:rFonts w:hint="eastAsia" w:ascii="宋体" w:hAnsi="宋体" w:cs="宋体"/>
          <w:sz w:val="24"/>
          <w:lang w:val="en-US" w:eastAsia="zh-CN"/>
        </w:rPr>
        <w:t>等</w:t>
      </w:r>
      <w:r>
        <w:rPr>
          <w:rFonts w:hint="eastAsia" w:ascii="宋体" w:hAnsi="宋体" w:cs="宋体"/>
          <w:sz w:val="24"/>
        </w:rPr>
        <w:t>有关规定，在自愿、平等、公平、诚信的基础上，经双方协商一致，签订本合同。</w:t>
      </w:r>
    </w:p>
    <w:p w14:paraId="6E40B901">
      <w:pPr>
        <w:spacing w:line="360" w:lineRule="auto"/>
        <w:ind w:firstLine="480" w:firstLineChars="200"/>
        <w:rPr>
          <w:rFonts w:ascii="宋体" w:hAnsi="宋体" w:cs="宋体"/>
          <w:sz w:val="24"/>
        </w:rPr>
      </w:pPr>
      <w:r>
        <w:rPr>
          <w:rFonts w:hint="eastAsia" w:ascii="宋体" w:hAnsi="宋体" w:cs="宋体"/>
          <w:sz w:val="24"/>
        </w:rPr>
        <w:t>下述文件作为附件，是合同的组成部分，并与本合同一起阅读和解释：</w:t>
      </w:r>
    </w:p>
    <w:p w14:paraId="72A99835">
      <w:pPr>
        <w:spacing w:line="360" w:lineRule="auto"/>
        <w:ind w:firstLine="480" w:firstLineChars="200"/>
        <w:rPr>
          <w:rFonts w:ascii="宋体" w:hAnsi="宋体" w:cs="宋体"/>
          <w:sz w:val="24"/>
        </w:rPr>
      </w:pPr>
      <w:r>
        <w:rPr>
          <w:rFonts w:hint="eastAsia" w:ascii="宋体" w:hAnsi="宋体" w:cs="宋体"/>
          <w:sz w:val="24"/>
        </w:rPr>
        <w:t>a.文件；</w:t>
      </w:r>
    </w:p>
    <w:p w14:paraId="2AE98245">
      <w:pPr>
        <w:spacing w:line="360" w:lineRule="auto"/>
        <w:ind w:firstLine="480" w:firstLineChars="200"/>
        <w:rPr>
          <w:rFonts w:ascii="宋体" w:hAnsi="宋体" w:cs="宋体"/>
          <w:sz w:val="24"/>
        </w:rPr>
      </w:pPr>
      <w:r>
        <w:rPr>
          <w:rFonts w:hint="eastAsia" w:ascii="宋体" w:hAnsi="宋体" w:cs="宋体"/>
          <w:sz w:val="24"/>
        </w:rPr>
        <w:t>b.响应文件及澄清文件；</w:t>
      </w:r>
    </w:p>
    <w:p w14:paraId="154C0240">
      <w:pPr>
        <w:spacing w:line="360" w:lineRule="auto"/>
        <w:ind w:firstLine="480" w:firstLineChars="200"/>
        <w:rPr>
          <w:rFonts w:ascii="宋体" w:hAnsi="宋体" w:cs="宋体"/>
          <w:sz w:val="24"/>
        </w:rPr>
      </w:pPr>
      <w:r>
        <w:rPr>
          <w:rFonts w:hint="eastAsia" w:ascii="宋体" w:hAnsi="宋体" w:cs="宋体"/>
          <w:sz w:val="24"/>
        </w:rPr>
        <w:t>c.成交通知书；</w:t>
      </w:r>
    </w:p>
    <w:p w14:paraId="0E3C2308">
      <w:pPr>
        <w:spacing w:line="360" w:lineRule="auto"/>
        <w:ind w:firstLine="480" w:firstLineChars="200"/>
        <w:rPr>
          <w:rFonts w:ascii="宋体" w:hAnsi="宋体" w:cs="宋体"/>
          <w:sz w:val="24"/>
        </w:rPr>
      </w:pPr>
      <w:r>
        <w:rPr>
          <w:rFonts w:hint="eastAsia" w:ascii="宋体" w:hAnsi="宋体" w:cs="宋体"/>
          <w:sz w:val="24"/>
        </w:rPr>
        <w:t>上述文件与合同若有不一致之处，优先次序第一应为合同、第二应为附件（附件的优先次序为c，b，a）。</w:t>
      </w:r>
    </w:p>
    <w:p w14:paraId="6A45525C">
      <w:pPr>
        <w:pStyle w:val="33"/>
        <w:adjustRightInd w:val="0"/>
        <w:snapToGrid w:val="0"/>
        <w:spacing w:line="360" w:lineRule="auto"/>
        <w:textAlignment w:val="baseline"/>
        <w:rPr>
          <w:rFonts w:hint="default" w:ascii="宋体" w:hAnsi="宋体" w:eastAsia="宋体" w:cs="宋体"/>
          <w:b/>
          <w:sz w:val="24"/>
          <w:lang w:val="en-US" w:eastAsia="zh-CN"/>
        </w:rPr>
      </w:pPr>
      <w:r>
        <w:rPr>
          <w:rFonts w:hint="eastAsia" w:ascii="宋体" w:hAnsi="宋体" w:eastAsia="宋体" w:cs="宋体"/>
          <w:b/>
          <w:sz w:val="24"/>
        </w:rPr>
        <w:t>一、服务内容</w:t>
      </w:r>
      <w:r>
        <w:rPr>
          <w:rFonts w:hint="eastAsia" w:ascii="宋体" w:hAnsi="宋体" w:eastAsia="宋体" w:cs="宋体"/>
          <w:b/>
          <w:sz w:val="24"/>
          <w:lang w:val="en-US" w:eastAsia="zh-CN"/>
        </w:rPr>
        <w:t>及要求</w:t>
      </w:r>
    </w:p>
    <w:p w14:paraId="0F70F509">
      <w:pPr>
        <w:pStyle w:val="33"/>
        <w:adjustRightInd w:val="0"/>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（同项目需求）</w:t>
      </w:r>
    </w:p>
    <w:p w14:paraId="559A1F21">
      <w:pPr>
        <w:pStyle w:val="33"/>
        <w:adjustRightInd w:val="0"/>
        <w:snapToGrid w:val="0"/>
        <w:spacing w:line="360" w:lineRule="auto"/>
        <w:textAlignment w:val="baseline"/>
        <w:rPr>
          <w:rFonts w:ascii="宋体" w:hAnsi="宋体" w:eastAsia="宋体" w:cs="宋体"/>
          <w:b/>
          <w:sz w:val="24"/>
        </w:rPr>
      </w:pPr>
      <w:r>
        <w:rPr>
          <w:rFonts w:hint="eastAsia" w:ascii="宋体" w:hAnsi="宋体" w:eastAsia="宋体" w:cs="宋体"/>
          <w:b/>
          <w:sz w:val="24"/>
        </w:rPr>
        <w:t>二、合同金额</w:t>
      </w:r>
    </w:p>
    <w:p w14:paraId="30ABB472">
      <w:pPr>
        <w:pStyle w:val="33"/>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本合同金额为人民币（大写）：</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sz w:val="24"/>
          <w:u w:val="single"/>
        </w:rPr>
        <w:t xml:space="preserve">         </w:t>
      </w:r>
      <w:r>
        <w:rPr>
          <w:rFonts w:hint="eastAsia" w:ascii="宋体" w:hAnsi="宋体" w:eastAsia="宋体" w:cs="宋体"/>
          <w:sz w:val="24"/>
        </w:rPr>
        <w:t>元）。</w:t>
      </w:r>
    </w:p>
    <w:p w14:paraId="0789C091">
      <w:pPr>
        <w:pStyle w:val="33"/>
        <w:adjustRightInd w:val="0"/>
        <w:snapToGrid w:val="0"/>
        <w:spacing w:line="360" w:lineRule="auto"/>
        <w:textAlignment w:val="baseline"/>
        <w:rPr>
          <w:rFonts w:ascii="宋体" w:hAnsi="宋体" w:eastAsia="宋体" w:cs="宋体"/>
          <w:b/>
          <w:sz w:val="24"/>
        </w:rPr>
      </w:pPr>
      <w:r>
        <w:rPr>
          <w:rFonts w:hint="eastAsia" w:ascii="宋体" w:hAnsi="宋体" w:eastAsia="宋体" w:cs="宋体"/>
          <w:b/>
          <w:sz w:val="24"/>
        </w:rPr>
        <w:t>三、技术资料</w:t>
      </w:r>
    </w:p>
    <w:p w14:paraId="2395AFF9">
      <w:pPr>
        <w:pStyle w:val="33"/>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（1）甲方应按</w:t>
      </w:r>
      <w:r>
        <w:rPr>
          <w:rFonts w:hint="eastAsia" w:hAnsi="宋体" w:cs="宋体"/>
          <w:sz w:val="24"/>
          <w:lang w:val="en-US" w:eastAsia="zh-CN"/>
        </w:rPr>
        <w:t>招标</w:t>
      </w:r>
      <w:r>
        <w:rPr>
          <w:rFonts w:hint="eastAsia" w:ascii="宋体" w:hAnsi="宋体" w:eastAsia="宋体" w:cs="宋体"/>
          <w:sz w:val="24"/>
        </w:rPr>
        <w:t>文件规定的时间向乙方提供有关技术资料。</w:t>
      </w:r>
    </w:p>
    <w:p w14:paraId="31916EA9">
      <w:pPr>
        <w:pStyle w:val="33"/>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须范围。</w:t>
      </w:r>
    </w:p>
    <w:p w14:paraId="418FBA88">
      <w:pPr>
        <w:pStyle w:val="33"/>
        <w:adjustRightInd w:val="0"/>
        <w:snapToGrid w:val="0"/>
        <w:spacing w:line="360" w:lineRule="auto"/>
        <w:textAlignment w:val="baseline"/>
        <w:rPr>
          <w:rFonts w:ascii="宋体" w:hAnsi="宋体" w:eastAsia="宋体" w:cs="宋体"/>
          <w:b/>
          <w:sz w:val="24"/>
        </w:rPr>
      </w:pPr>
      <w:r>
        <w:rPr>
          <w:rFonts w:hint="eastAsia" w:ascii="宋体" w:hAnsi="宋体" w:eastAsia="宋体" w:cs="宋体"/>
          <w:b/>
          <w:sz w:val="24"/>
        </w:rPr>
        <w:t>四、知识产权</w:t>
      </w:r>
    </w:p>
    <w:p w14:paraId="4E4ADBA6">
      <w:pPr>
        <w:pStyle w:val="33"/>
        <w:adjustRightInd w:val="0"/>
        <w:snapToGrid w:val="0"/>
        <w:spacing w:line="360" w:lineRule="auto"/>
        <w:ind w:firstLine="480" w:firstLineChars="200"/>
        <w:textAlignment w:val="baseline"/>
        <w:rPr>
          <w:rFonts w:ascii="宋体" w:hAnsi="宋体" w:eastAsia="宋体" w:cs="宋体"/>
          <w:bCs/>
          <w:sz w:val="24"/>
        </w:rPr>
      </w:pPr>
      <w:r>
        <w:rPr>
          <w:rFonts w:hint="eastAsia" w:ascii="宋体" w:hAnsi="宋体" w:eastAsia="宋体" w:cs="宋体"/>
          <w:sz w:val="24"/>
        </w:rPr>
        <w:t>乙方应保证提供服务过程中不会侵犯任何第三方的知识产权</w:t>
      </w:r>
      <w:r>
        <w:rPr>
          <w:rFonts w:hint="eastAsia" w:ascii="宋体" w:hAnsi="宋体" w:eastAsia="宋体" w:cs="宋体"/>
          <w:bCs/>
          <w:sz w:val="24"/>
        </w:rPr>
        <w:t>。</w:t>
      </w:r>
    </w:p>
    <w:p w14:paraId="2F4173C3">
      <w:pPr>
        <w:pStyle w:val="33"/>
        <w:adjustRightInd w:val="0"/>
        <w:snapToGrid w:val="0"/>
        <w:spacing w:line="360" w:lineRule="auto"/>
        <w:textAlignment w:val="baseline"/>
        <w:rPr>
          <w:rFonts w:ascii="宋体" w:hAnsi="宋体" w:eastAsia="宋体" w:cs="宋体"/>
          <w:sz w:val="24"/>
          <w:u w:val="single"/>
        </w:rPr>
      </w:pPr>
      <w:r>
        <w:rPr>
          <w:rFonts w:hint="eastAsia" w:ascii="宋体" w:hAnsi="宋体" w:eastAsia="宋体" w:cs="宋体"/>
          <w:b/>
          <w:sz w:val="24"/>
        </w:rPr>
        <w:t>五、履约保证金</w:t>
      </w:r>
    </w:p>
    <w:p w14:paraId="0D929B4A">
      <w:pPr>
        <w:pStyle w:val="33"/>
        <w:adjustRightInd w:val="0"/>
        <w:snapToGrid w:val="0"/>
        <w:spacing w:line="360" w:lineRule="auto"/>
        <w:ind w:firstLine="480" w:firstLineChars="200"/>
        <w:textAlignment w:val="baseline"/>
        <w:rPr>
          <w:rFonts w:ascii="宋体" w:hAnsi="宋体" w:eastAsia="宋体" w:cs="宋体"/>
          <w:sz w:val="24"/>
          <w:u w:val="single"/>
        </w:rPr>
      </w:pPr>
      <w:r>
        <w:rPr>
          <w:rFonts w:hint="eastAsia" w:ascii="宋体" w:hAnsi="宋体" w:eastAsia="宋体" w:cs="宋体"/>
          <w:sz w:val="24"/>
        </w:rPr>
        <w:t>履约保证金的额度为：</w:t>
      </w:r>
      <w:r>
        <w:rPr>
          <w:rFonts w:hint="eastAsia" w:ascii="宋体" w:hAnsi="宋体" w:eastAsia="宋体" w:cs="宋体"/>
          <w:sz w:val="24"/>
          <w:u w:val="single"/>
        </w:rPr>
        <w:t xml:space="preserve">               </w:t>
      </w:r>
    </w:p>
    <w:p w14:paraId="058D1783">
      <w:pPr>
        <w:pStyle w:val="33"/>
        <w:adjustRightInd w:val="0"/>
        <w:snapToGrid w:val="0"/>
        <w:spacing w:line="360" w:lineRule="auto"/>
        <w:ind w:firstLine="480" w:firstLineChars="200"/>
        <w:textAlignment w:val="baseline"/>
        <w:rPr>
          <w:rFonts w:ascii="宋体" w:hAnsi="宋体" w:eastAsia="宋体" w:cs="宋体"/>
          <w:sz w:val="24"/>
          <w:u w:val="single"/>
        </w:rPr>
      </w:pPr>
      <w:r>
        <w:rPr>
          <w:rFonts w:hint="eastAsia" w:ascii="宋体" w:hAnsi="宋体" w:eastAsia="宋体" w:cs="宋体"/>
          <w:sz w:val="24"/>
        </w:rPr>
        <w:t>履约保证金的形式为：</w:t>
      </w:r>
      <w:r>
        <w:rPr>
          <w:rFonts w:hint="eastAsia" w:ascii="宋体" w:hAnsi="宋体" w:eastAsia="宋体" w:cs="宋体"/>
          <w:sz w:val="24"/>
          <w:u w:val="single"/>
        </w:rPr>
        <w:t xml:space="preserve">               </w:t>
      </w:r>
    </w:p>
    <w:p w14:paraId="7387AC39">
      <w:pPr>
        <w:pStyle w:val="33"/>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履约保证金的退回：除发生约定的不予退还的情形外，履约保证金或发生扣除情况扣除后剩余的履约保证金在本合同履行完毕后15日内无息退还。</w:t>
      </w:r>
    </w:p>
    <w:p w14:paraId="26471AB6">
      <w:pPr>
        <w:pStyle w:val="33"/>
        <w:adjustRightInd w:val="0"/>
        <w:snapToGrid w:val="0"/>
        <w:spacing w:line="360" w:lineRule="auto"/>
        <w:textAlignment w:val="baseline"/>
        <w:rPr>
          <w:rFonts w:ascii="宋体" w:hAnsi="宋体" w:eastAsia="宋体" w:cs="宋体"/>
          <w:b/>
          <w:sz w:val="24"/>
        </w:rPr>
      </w:pPr>
      <w:r>
        <w:rPr>
          <w:rFonts w:hint="eastAsia" w:ascii="宋体" w:hAnsi="宋体" w:eastAsia="宋体" w:cs="宋体"/>
          <w:b/>
          <w:sz w:val="24"/>
        </w:rPr>
        <w:t>六、转包或分包</w:t>
      </w:r>
    </w:p>
    <w:p w14:paraId="750C9ECE">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（1）本合同范围的服务，应由乙方直接供应，不得转让他人供应；</w:t>
      </w:r>
    </w:p>
    <w:p w14:paraId="25FEAB42">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（2）除非得到甲方的书面同意，乙方不得将本合同范围的服务全部或部分分包给他人供应；</w:t>
      </w:r>
    </w:p>
    <w:p w14:paraId="4B922C45">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（3）如有转让和未经甲方同意的分包行为，甲方有权解除合同，没收履约保证金并追究乙方的违约责任。</w:t>
      </w:r>
    </w:p>
    <w:p w14:paraId="7AE20C39">
      <w:pPr>
        <w:pStyle w:val="33"/>
        <w:adjustRightInd w:val="0"/>
        <w:snapToGrid w:val="0"/>
        <w:spacing w:line="360" w:lineRule="auto"/>
        <w:textAlignment w:val="baseline"/>
        <w:rPr>
          <w:rFonts w:ascii="宋体" w:hAnsi="宋体" w:eastAsia="宋体" w:cs="宋体"/>
          <w:b/>
          <w:sz w:val="24"/>
        </w:rPr>
      </w:pPr>
      <w:r>
        <w:rPr>
          <w:rFonts w:hint="eastAsia" w:ascii="宋体" w:hAnsi="宋体" w:eastAsia="宋体" w:cs="宋体"/>
          <w:b/>
          <w:sz w:val="24"/>
        </w:rPr>
        <w:t>七、服务响应时间和服务人员</w:t>
      </w:r>
    </w:p>
    <w:p w14:paraId="0AB406CE">
      <w:pPr>
        <w:adjustRightInd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eastAsia="宋体" w:cs="宋体"/>
          <w:sz w:val="24"/>
        </w:rPr>
        <w:t>（1）接到甲方通知后</w:t>
      </w:r>
      <w:r>
        <w:rPr>
          <w:rFonts w:hint="eastAsia" w:ascii="宋体" w:hAnsi="宋体" w:eastAsia="宋体" w:cs="宋体"/>
          <w:sz w:val="24"/>
          <w:lang w:eastAsia="zh-CN"/>
        </w:rPr>
        <w:t>，</w:t>
      </w:r>
      <w:r>
        <w:rPr>
          <w:rFonts w:hint="eastAsia" w:ascii="宋体" w:hAnsi="宋体" w:eastAsia="宋体" w:cs="宋体"/>
          <w:sz w:val="24"/>
          <w:lang w:val="en-US" w:eastAsia="zh-CN"/>
        </w:rPr>
        <w:t>30分钟</w:t>
      </w:r>
      <w:r>
        <w:rPr>
          <w:rFonts w:hint="eastAsia" w:ascii="宋体" w:hAnsi="宋体" w:eastAsia="宋体" w:cs="宋体"/>
          <w:sz w:val="24"/>
        </w:rPr>
        <w:t>内响应</w:t>
      </w:r>
      <w:r>
        <w:rPr>
          <w:rFonts w:hint="eastAsia" w:ascii="宋体" w:hAnsi="宋体" w:eastAsia="宋体" w:cs="宋体"/>
          <w:sz w:val="24"/>
          <w:lang w:eastAsia="zh-CN"/>
        </w:rPr>
        <w:t>。</w:t>
      </w:r>
    </w:p>
    <w:p w14:paraId="58CE386B">
      <w:pPr>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（2）服务人员：未经甲方同意，合同履行期内乙方的服务人员不得更换。</w:t>
      </w:r>
    </w:p>
    <w:p w14:paraId="41305E17">
      <w:pPr>
        <w:pStyle w:val="33"/>
        <w:adjustRightInd w:val="0"/>
        <w:snapToGrid w:val="0"/>
        <w:spacing w:line="360" w:lineRule="auto"/>
        <w:textAlignment w:val="baseline"/>
        <w:rPr>
          <w:rFonts w:ascii="宋体" w:hAnsi="宋体" w:eastAsia="宋体" w:cs="宋体"/>
          <w:b/>
          <w:sz w:val="24"/>
        </w:rPr>
      </w:pPr>
      <w:r>
        <w:rPr>
          <w:rFonts w:hint="eastAsia" w:ascii="宋体" w:hAnsi="宋体" w:eastAsia="宋体" w:cs="宋体"/>
          <w:b/>
          <w:sz w:val="24"/>
        </w:rPr>
        <w:t>八、合同履行时间及履行地点</w:t>
      </w:r>
    </w:p>
    <w:p w14:paraId="16AC785F">
      <w:pPr>
        <w:adjustRightInd w:val="0"/>
        <w:snapToGrid w:val="0"/>
        <w:spacing w:line="360" w:lineRule="auto"/>
        <w:ind w:firstLine="480" w:firstLineChars="200"/>
        <w:textAlignment w:val="baseline"/>
        <w:rPr>
          <w:rFonts w:hint="default" w:ascii="宋体" w:hAnsi="宋体" w:eastAsia="宋体" w:cs="宋体"/>
          <w:sz w:val="24"/>
          <w:lang w:val="en-US" w:eastAsia="zh-CN"/>
        </w:rPr>
      </w:pPr>
      <w:r>
        <w:rPr>
          <w:rFonts w:hint="eastAsia" w:ascii="宋体" w:hAnsi="宋体" w:eastAsia="宋体" w:cs="宋体"/>
          <w:sz w:val="24"/>
        </w:rPr>
        <w:t>（1）履行时间：</w:t>
      </w:r>
      <w:r>
        <w:rPr>
          <w:rFonts w:hint="eastAsia" w:ascii="宋体" w:hAnsi="宋体" w:eastAsia="宋体" w:cs="宋体"/>
          <w:sz w:val="24"/>
          <w:lang w:val="en-US" w:eastAsia="zh-CN"/>
        </w:rPr>
        <w:t>本项目一招三年，合同为一年一签。经采购人考核同意后，续订下一年度合同。本次合同服务时间为：2025年   月   日至2026年   月   日</w:t>
      </w:r>
      <w:r>
        <w:rPr>
          <w:rFonts w:hint="eastAsia" w:ascii="宋体" w:hAnsi="宋体" w:cs="宋体"/>
          <w:sz w:val="24"/>
          <w:lang w:val="en-US" w:eastAsia="zh-CN"/>
        </w:rPr>
        <w:t>。</w:t>
      </w:r>
    </w:p>
    <w:p w14:paraId="6F82185D">
      <w:pPr>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（2）履行地点：</w:t>
      </w:r>
      <w:r>
        <w:rPr>
          <w:rFonts w:hint="eastAsia" w:ascii="宋体" w:hAnsi="宋体" w:eastAsia="宋体" w:cs="宋体"/>
          <w:sz w:val="24"/>
          <w:lang w:val="en-US" w:eastAsia="zh-CN"/>
        </w:rPr>
        <w:t>宁海县城区，采购人指定地点</w:t>
      </w:r>
      <w:r>
        <w:rPr>
          <w:rFonts w:hint="eastAsia" w:ascii="宋体" w:hAnsi="宋体" w:eastAsia="宋体" w:cs="宋体"/>
          <w:sz w:val="24"/>
          <w:lang w:eastAsia="zh-CN"/>
        </w:rPr>
        <w:t>。</w:t>
      </w:r>
    </w:p>
    <w:p w14:paraId="085676C8">
      <w:pPr>
        <w:pStyle w:val="33"/>
        <w:adjustRightInd w:val="0"/>
        <w:snapToGrid w:val="0"/>
        <w:spacing w:line="360" w:lineRule="auto"/>
        <w:textAlignment w:val="baseline"/>
        <w:rPr>
          <w:rFonts w:ascii="宋体" w:hAnsi="宋体" w:eastAsia="宋体" w:cs="宋体"/>
          <w:b/>
          <w:sz w:val="24"/>
        </w:rPr>
      </w:pPr>
      <w:r>
        <w:rPr>
          <w:rFonts w:hint="eastAsia" w:ascii="宋体" w:hAnsi="宋体" w:eastAsia="宋体" w:cs="宋体"/>
          <w:b/>
          <w:sz w:val="24"/>
        </w:rPr>
        <w:t>九、款项支付</w:t>
      </w:r>
    </w:p>
    <w:p w14:paraId="5DA1A6D3">
      <w:pPr>
        <w:adjustRightInd w:val="0"/>
        <w:snapToGrid w:val="0"/>
        <w:spacing w:line="360" w:lineRule="auto"/>
        <w:ind w:firstLine="480" w:firstLineChars="200"/>
        <w:textAlignment w:val="baseline"/>
        <w:rPr>
          <w:rFonts w:hint="default" w:ascii="宋体" w:hAnsi="宋体" w:eastAsia="宋体" w:cs="宋体"/>
          <w:sz w:val="24"/>
          <w:lang w:val="en-US" w:eastAsia="zh-CN"/>
        </w:rPr>
      </w:pPr>
      <w:r>
        <w:rPr>
          <w:rFonts w:hint="eastAsia" w:ascii="宋体" w:hAnsi="宋体" w:eastAsia="宋体" w:cs="宋体"/>
          <w:sz w:val="24"/>
          <w:lang w:val="en-US" w:eastAsia="zh-CN"/>
        </w:rPr>
        <w:t>（1）合同生效以及具备实施条件后，7个工作日内支付单年合同价的20%作为预付款；</w:t>
      </w:r>
    </w:p>
    <w:p w14:paraId="773807C7">
      <w:pPr>
        <w:adjustRightInd w:val="0"/>
        <w:snapToGrid w:val="0"/>
        <w:spacing w:line="360" w:lineRule="auto"/>
        <w:ind w:firstLine="480" w:firstLineChars="200"/>
        <w:textAlignment w:val="baseline"/>
        <w:rPr>
          <w:rFonts w:hint="default" w:ascii="宋体" w:hAnsi="宋体" w:eastAsia="宋体" w:cs="宋体"/>
          <w:sz w:val="24"/>
          <w:lang w:val="en-US" w:eastAsia="zh-CN"/>
        </w:rPr>
      </w:pPr>
      <w:r>
        <w:rPr>
          <w:rFonts w:hint="eastAsia" w:ascii="宋体" w:hAnsi="宋体" w:eastAsia="宋体" w:cs="宋体"/>
          <w:sz w:val="24"/>
          <w:lang w:val="en-US" w:eastAsia="zh-CN"/>
        </w:rPr>
        <w:t>（2）剩余服务报酬按季度平均支付；</w:t>
      </w:r>
    </w:p>
    <w:p w14:paraId="40168668">
      <w:pPr>
        <w:adjustRightInd w:val="0"/>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（3）合同服务期限内所有费用为包干价，如水域养护面积发生增加或减少的情况，供应商须积极配合采购人做出的相关调整，服务报酬根据实际水域养护面积结合中标单价计算调整。</w:t>
      </w:r>
    </w:p>
    <w:p w14:paraId="0ABE2773">
      <w:pPr>
        <w:adjustRightInd w:val="0"/>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注：如供应商未能按要求完成相关工作或存在弄虚作假的，采购人有权不支付任何费用，并没收其履约保证金。</w:t>
      </w:r>
    </w:p>
    <w:p w14:paraId="4727CDAE">
      <w:pPr>
        <w:adjustRightInd w:val="0"/>
        <w:snapToGrid w:val="0"/>
        <w:spacing w:line="360" w:lineRule="auto"/>
        <w:textAlignment w:val="baseline"/>
        <w:rPr>
          <w:rFonts w:ascii="宋体" w:hAnsi="宋体" w:eastAsia="宋体" w:cs="宋体"/>
          <w:b/>
          <w:sz w:val="24"/>
        </w:rPr>
      </w:pPr>
      <w:r>
        <w:rPr>
          <w:rFonts w:hint="eastAsia" w:ascii="宋体" w:hAnsi="宋体" w:eastAsia="宋体" w:cs="宋体"/>
          <w:b/>
          <w:sz w:val="24"/>
        </w:rPr>
        <w:t>十、税费</w:t>
      </w:r>
    </w:p>
    <w:p w14:paraId="2B750D4C">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本合同执行中相关的一切税费均由乙方负担。</w:t>
      </w:r>
    </w:p>
    <w:p w14:paraId="64EAD925">
      <w:pPr>
        <w:pStyle w:val="33"/>
        <w:adjustRightInd w:val="0"/>
        <w:snapToGrid w:val="0"/>
        <w:spacing w:line="360" w:lineRule="auto"/>
        <w:textAlignment w:val="baseline"/>
        <w:rPr>
          <w:rFonts w:ascii="宋体" w:hAnsi="宋体" w:eastAsia="宋体" w:cs="宋体"/>
          <w:b/>
          <w:sz w:val="24"/>
        </w:rPr>
      </w:pPr>
      <w:r>
        <w:rPr>
          <w:rFonts w:hint="eastAsia" w:ascii="宋体" w:hAnsi="宋体" w:eastAsia="宋体" w:cs="宋体"/>
          <w:b/>
          <w:sz w:val="24"/>
        </w:rPr>
        <w:t>十一、质量保证及后续服务</w:t>
      </w:r>
    </w:p>
    <w:p w14:paraId="35BEB22E">
      <w:pPr>
        <w:pStyle w:val="33"/>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（1）乙方应按</w:t>
      </w:r>
      <w:r>
        <w:rPr>
          <w:rFonts w:hint="eastAsia" w:hAnsi="宋体" w:cs="宋体"/>
          <w:sz w:val="24"/>
          <w:lang w:val="en-US" w:eastAsia="zh-CN"/>
        </w:rPr>
        <w:t>招标</w:t>
      </w:r>
      <w:r>
        <w:rPr>
          <w:rFonts w:hint="eastAsia" w:ascii="宋体" w:hAnsi="宋体" w:eastAsia="宋体" w:cs="宋体"/>
          <w:sz w:val="24"/>
        </w:rPr>
        <w:t>文件规定向甲方提供服务。</w:t>
      </w:r>
    </w:p>
    <w:p w14:paraId="768531E3">
      <w:pPr>
        <w:pStyle w:val="33"/>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（2）乙方提供的服务及成果在</w:t>
      </w:r>
      <w:r>
        <w:rPr>
          <w:rFonts w:hint="eastAsia" w:ascii="宋体" w:hAnsi="宋体" w:eastAsia="宋体" w:cs="宋体"/>
          <w:sz w:val="24"/>
          <w:lang w:val="en-US" w:eastAsia="zh-CN"/>
        </w:rPr>
        <w:t>1</w:t>
      </w:r>
      <w:r>
        <w:rPr>
          <w:rFonts w:hint="eastAsia" w:ascii="宋体" w:hAnsi="宋体" w:eastAsia="宋体" w:cs="宋体"/>
          <w:sz w:val="24"/>
        </w:rPr>
        <w:t>年内发生质疑或抽查，乙方应负责免费配合或提供后续服务；在达不到要求时，根据实际情况，经双方协商，可按以下办法处理：</w:t>
      </w:r>
    </w:p>
    <w:p w14:paraId="3D44A1D5">
      <w:pPr>
        <w:pStyle w:val="33"/>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1）重做：由乙方承担所发生的全部费用；</w:t>
      </w:r>
    </w:p>
    <w:p w14:paraId="0453C008">
      <w:pPr>
        <w:pStyle w:val="33"/>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2）解除合同。</w:t>
      </w:r>
    </w:p>
    <w:p w14:paraId="0F9F343A">
      <w:pPr>
        <w:pStyle w:val="33"/>
        <w:adjustRightInd w:val="0"/>
        <w:snapToGrid w:val="0"/>
        <w:spacing w:line="360" w:lineRule="auto"/>
        <w:ind w:firstLine="480" w:firstLineChars="200"/>
        <w:textAlignment w:val="baseline"/>
        <w:rPr>
          <w:rFonts w:hint="default"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乙方保证</w:t>
      </w:r>
      <w:r>
        <w:rPr>
          <w:rFonts w:hint="eastAsia" w:ascii="宋体" w:hAnsi="宋体" w:eastAsia="宋体" w:cs="宋体"/>
          <w:sz w:val="24"/>
          <w:lang w:val="en-US" w:eastAsia="zh-CN"/>
        </w:rPr>
        <w:t>实施的养护服务</w:t>
      </w:r>
      <w:r>
        <w:rPr>
          <w:rFonts w:hint="eastAsia" w:ascii="宋体" w:hAnsi="宋体" w:eastAsia="宋体" w:cs="宋体"/>
          <w:sz w:val="24"/>
        </w:rPr>
        <w:t>是</w:t>
      </w:r>
      <w:r>
        <w:rPr>
          <w:rFonts w:hint="eastAsia" w:ascii="宋体" w:hAnsi="宋体" w:eastAsia="宋体" w:cs="宋体"/>
          <w:sz w:val="24"/>
          <w:lang w:val="en-US" w:eastAsia="zh-CN"/>
        </w:rPr>
        <w:t>按甲、乙双方确定的方案进行，</w:t>
      </w:r>
      <w:r>
        <w:rPr>
          <w:rFonts w:hint="eastAsia" w:ascii="宋体" w:hAnsi="宋体" w:eastAsia="宋体" w:cs="宋体"/>
          <w:sz w:val="24"/>
          <w:lang w:eastAsia="zh-CN"/>
        </w:rPr>
        <w:t>验收标准按国家现行相关法规、技术标准和规范执行。</w:t>
      </w:r>
      <w:r>
        <w:rPr>
          <w:rFonts w:hint="eastAsia" w:ascii="宋体" w:hAnsi="宋体" w:eastAsia="宋体" w:cs="宋体"/>
          <w:sz w:val="24"/>
        </w:rPr>
        <w:t>本</w:t>
      </w:r>
      <w:r>
        <w:rPr>
          <w:rFonts w:hint="eastAsia" w:ascii="宋体" w:hAnsi="宋体" w:eastAsia="宋体" w:cs="宋体"/>
          <w:sz w:val="24"/>
          <w:lang w:val="en-US" w:eastAsia="zh-CN"/>
        </w:rPr>
        <w:t>项目</w:t>
      </w:r>
      <w:r>
        <w:rPr>
          <w:rFonts w:hint="eastAsia" w:ascii="宋体" w:hAnsi="宋体" w:eastAsia="宋体" w:cs="宋体"/>
          <w:sz w:val="24"/>
        </w:rPr>
        <w:t>质量保证期为</w:t>
      </w:r>
      <w:r>
        <w:rPr>
          <w:rFonts w:hint="eastAsia" w:ascii="宋体" w:hAnsi="宋体" w:eastAsia="宋体" w:cs="宋体"/>
          <w:sz w:val="24"/>
          <w:lang w:val="en-US" w:eastAsia="zh-CN"/>
        </w:rPr>
        <w:t>合同履约结束</w:t>
      </w:r>
      <w:r>
        <w:rPr>
          <w:rFonts w:hint="eastAsia" w:ascii="宋体" w:hAnsi="宋体" w:eastAsia="宋体" w:cs="宋体"/>
          <w:sz w:val="24"/>
          <w:lang w:eastAsia="zh-CN"/>
        </w:rPr>
        <w:t>之日起</w:t>
      </w:r>
      <w:r>
        <w:rPr>
          <w:rFonts w:hint="eastAsia" w:ascii="宋体" w:hAnsi="宋体" w:eastAsia="宋体" w:cs="宋体"/>
          <w:sz w:val="24"/>
          <w:lang w:val="en-US" w:eastAsia="zh-CN"/>
        </w:rPr>
        <w:t>1</w:t>
      </w:r>
      <w:r>
        <w:rPr>
          <w:rFonts w:hint="eastAsia" w:ascii="宋体" w:hAnsi="宋体" w:eastAsia="宋体" w:cs="宋体"/>
          <w:sz w:val="24"/>
        </w:rPr>
        <w:t>年</w:t>
      </w:r>
      <w:r>
        <w:rPr>
          <w:rFonts w:hint="eastAsia" w:ascii="宋体" w:hAnsi="宋体" w:eastAsia="宋体" w:cs="宋体"/>
          <w:sz w:val="24"/>
          <w:lang w:val="en-US" w:eastAsia="zh-CN"/>
        </w:rPr>
        <w:t>。</w:t>
      </w:r>
    </w:p>
    <w:p w14:paraId="1830799B">
      <w:pPr>
        <w:pStyle w:val="33"/>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）在</w:t>
      </w:r>
      <w:r>
        <w:rPr>
          <w:rFonts w:hint="eastAsia" w:ascii="宋体" w:hAnsi="宋体" w:eastAsia="宋体" w:cs="宋体"/>
          <w:sz w:val="24"/>
          <w:lang w:val="en-US" w:eastAsia="zh-CN"/>
        </w:rPr>
        <w:t>1</w:t>
      </w:r>
      <w:r>
        <w:rPr>
          <w:rFonts w:hint="eastAsia" w:ascii="宋体" w:hAnsi="宋体" w:eastAsia="宋体" w:cs="宋体"/>
          <w:sz w:val="24"/>
        </w:rPr>
        <w:t>年内，乙方应对出现的质量及安全问题负全责，及时处理、解决相关问题并承担一切费用。</w:t>
      </w:r>
    </w:p>
    <w:p w14:paraId="02F66204">
      <w:pPr>
        <w:pStyle w:val="33"/>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）如在使用过程中发现问题，乙方须在接到甲方通知后2小时内到达甲方现场。</w:t>
      </w:r>
    </w:p>
    <w:p w14:paraId="55583A82">
      <w:pPr>
        <w:pStyle w:val="33"/>
        <w:adjustRightInd w:val="0"/>
        <w:snapToGrid w:val="0"/>
        <w:spacing w:line="360" w:lineRule="auto"/>
        <w:textAlignment w:val="baseline"/>
        <w:rPr>
          <w:rFonts w:ascii="宋体" w:hAnsi="宋体" w:eastAsia="宋体" w:cs="宋体"/>
          <w:b/>
          <w:sz w:val="24"/>
        </w:rPr>
      </w:pPr>
      <w:r>
        <w:rPr>
          <w:rFonts w:hint="eastAsia" w:ascii="宋体" w:hAnsi="宋体" w:eastAsia="宋体" w:cs="宋体"/>
          <w:b/>
          <w:sz w:val="24"/>
        </w:rPr>
        <w:t>十二、违约责任</w:t>
      </w:r>
    </w:p>
    <w:p w14:paraId="5DDFAB3B">
      <w:pPr>
        <w:pStyle w:val="33"/>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（1）甲方无正当理由拒绝接受服务的，向乙方偿付合同价5%的违约金。</w:t>
      </w:r>
    </w:p>
    <w:p w14:paraId="2CFB835A">
      <w:pPr>
        <w:pStyle w:val="33"/>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（2）甲方无故逾期验收、支付服务费的，向乙方偿付合同价5%的违约金。</w:t>
      </w:r>
    </w:p>
    <w:p w14:paraId="78876F22">
      <w:pPr>
        <w:pStyle w:val="33"/>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3）乙方未能如期提供服务的，每日向甲方支付违约金1000元；乙方超过约定日期10个工作日仍不能提供服务的，甲方可解除本合同；乙方因未能如期提供服务或因其他违约行为导致甲方解除合同的，乙方应向甲方支付合同价5%的违约金，并被没收全部履约保证金，同时扣回已支付的所有款项，如造成甲方较大损失的，超出部分由乙方继续承担赔偿责任。</w:t>
      </w:r>
    </w:p>
    <w:p w14:paraId="1DC94E11">
      <w:pPr>
        <w:pStyle w:val="33"/>
        <w:adjustRightInd w:val="0"/>
        <w:snapToGrid w:val="0"/>
        <w:spacing w:line="360" w:lineRule="auto"/>
        <w:textAlignment w:val="baseline"/>
        <w:rPr>
          <w:rFonts w:ascii="宋体" w:hAnsi="宋体" w:eastAsia="宋体" w:cs="宋体"/>
          <w:b/>
          <w:sz w:val="24"/>
        </w:rPr>
      </w:pPr>
      <w:r>
        <w:rPr>
          <w:rFonts w:hint="eastAsia" w:ascii="宋体" w:hAnsi="宋体" w:eastAsia="宋体" w:cs="宋体"/>
          <w:b/>
          <w:sz w:val="24"/>
        </w:rPr>
        <w:t>十三、不可抗力事件处理</w:t>
      </w:r>
    </w:p>
    <w:p w14:paraId="1ABDEE91">
      <w:pPr>
        <w:pStyle w:val="33"/>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（1）在合同有效期内，任何一方因不可抗力事件导致不能履行合同，则合同履行期可延长，其延长期与不可抗力影响期相同；</w:t>
      </w:r>
    </w:p>
    <w:p w14:paraId="6D9EC27E">
      <w:pPr>
        <w:pStyle w:val="33"/>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（2）不可抗力事件发生后，应立即通知对方，并寄送有关权威机构出具的证明；</w:t>
      </w:r>
    </w:p>
    <w:p w14:paraId="25355D46">
      <w:pPr>
        <w:pStyle w:val="33"/>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（3）不可抗力事件延续120天以上，双方应通过友好协商，确定是否继续履行合同。</w:t>
      </w:r>
    </w:p>
    <w:p w14:paraId="5DB2DA79">
      <w:pPr>
        <w:pStyle w:val="33"/>
        <w:adjustRightInd w:val="0"/>
        <w:snapToGrid w:val="0"/>
        <w:spacing w:line="360" w:lineRule="auto"/>
        <w:textAlignment w:val="baseline"/>
        <w:rPr>
          <w:rFonts w:ascii="宋体" w:hAnsi="宋体" w:eastAsia="宋体" w:cs="宋体"/>
          <w:b/>
          <w:sz w:val="24"/>
        </w:rPr>
      </w:pPr>
      <w:r>
        <w:rPr>
          <w:rFonts w:hint="eastAsia" w:ascii="宋体" w:hAnsi="宋体" w:eastAsia="宋体" w:cs="宋体"/>
          <w:b/>
          <w:sz w:val="24"/>
        </w:rPr>
        <w:t>十四、诉讼</w:t>
      </w:r>
    </w:p>
    <w:p w14:paraId="2A550A38">
      <w:pPr>
        <w:pStyle w:val="33"/>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双方在执行合同中所发生的一切争议，应通过协商解决；如协商不成，可向甲方所在地法院起诉。</w:t>
      </w:r>
    </w:p>
    <w:p w14:paraId="50B64910">
      <w:pPr>
        <w:pStyle w:val="33"/>
        <w:adjustRightInd w:val="0"/>
        <w:snapToGrid w:val="0"/>
        <w:spacing w:line="360" w:lineRule="auto"/>
        <w:textAlignment w:val="baseline"/>
        <w:rPr>
          <w:rFonts w:ascii="宋体" w:hAnsi="宋体" w:eastAsia="宋体" w:cs="宋体"/>
          <w:b/>
          <w:sz w:val="24"/>
        </w:rPr>
      </w:pPr>
      <w:r>
        <w:rPr>
          <w:rFonts w:hint="eastAsia" w:ascii="宋体" w:hAnsi="宋体" w:eastAsia="宋体" w:cs="宋体"/>
          <w:b/>
          <w:sz w:val="24"/>
        </w:rPr>
        <w:t>十五、合同生效及其他</w:t>
      </w:r>
    </w:p>
    <w:p w14:paraId="229531B2">
      <w:pPr>
        <w:pStyle w:val="33"/>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（1）合同经双方法定代表人或其授权代表人签字并加盖单位公章后生效。</w:t>
      </w:r>
    </w:p>
    <w:p w14:paraId="5B829874">
      <w:pPr>
        <w:pStyle w:val="33"/>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（2）合同执行中涉及采购资金和采购内容修改或补充的，须经相关部门审批，并签署书面补充协议报相关部门备案，方可作为主合同不可分割的一部分。</w:t>
      </w:r>
    </w:p>
    <w:p w14:paraId="377AC36C">
      <w:pPr>
        <w:pStyle w:val="33"/>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（3）本合同未尽事宜，遵照《民法典》有关条文执行。</w:t>
      </w:r>
    </w:p>
    <w:p w14:paraId="40974237">
      <w:pPr>
        <w:pStyle w:val="33"/>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（4）本合同正本一式</w:t>
      </w:r>
      <w:r>
        <w:rPr>
          <w:rFonts w:hint="eastAsia" w:ascii="宋体" w:hAnsi="宋体" w:eastAsia="宋体" w:cs="宋体"/>
          <w:sz w:val="24"/>
          <w:u w:val="single"/>
          <w:lang w:val="en-US" w:eastAsia="zh-CN"/>
        </w:rPr>
        <w:t xml:space="preserve">  </w:t>
      </w:r>
      <w:r>
        <w:rPr>
          <w:rFonts w:hint="eastAsia" w:ascii="宋体" w:hAnsi="宋体" w:eastAsia="宋体" w:cs="宋体"/>
          <w:sz w:val="24"/>
        </w:rPr>
        <w:t>份，甲乙双方各执</w:t>
      </w:r>
      <w:r>
        <w:rPr>
          <w:rFonts w:hint="eastAsia" w:ascii="宋体" w:hAnsi="宋体" w:eastAsia="宋体" w:cs="宋体"/>
          <w:strike w:val="0"/>
          <w:dstrike w:val="0"/>
          <w:sz w:val="24"/>
          <w:u w:val="single"/>
          <w:lang w:val="en-US" w:eastAsia="zh-CN"/>
        </w:rPr>
        <w:t xml:space="preserve">  </w:t>
      </w:r>
      <w:r>
        <w:rPr>
          <w:rFonts w:hint="eastAsia" w:ascii="宋体" w:hAnsi="宋体" w:eastAsia="宋体" w:cs="宋体"/>
          <w:sz w:val="24"/>
        </w:rPr>
        <w:t>份；副本</w:t>
      </w:r>
      <w:r>
        <w:rPr>
          <w:rFonts w:hint="eastAsia" w:ascii="宋体" w:hAnsi="宋体" w:eastAsia="宋体" w:cs="宋体"/>
          <w:sz w:val="24"/>
          <w:u w:val="single"/>
          <w:lang w:val="en-US" w:eastAsia="zh-CN"/>
        </w:rPr>
        <w:t xml:space="preserve">  </w:t>
      </w:r>
      <w:r>
        <w:rPr>
          <w:rFonts w:hint="eastAsia" w:ascii="宋体" w:hAnsi="宋体" w:eastAsia="宋体" w:cs="宋体"/>
          <w:sz w:val="24"/>
        </w:rPr>
        <w:t>份，甲乙双方各执</w:t>
      </w:r>
      <w:r>
        <w:rPr>
          <w:rFonts w:hint="eastAsia" w:ascii="宋体" w:hAnsi="宋体" w:eastAsia="宋体" w:cs="宋体"/>
          <w:sz w:val="24"/>
          <w:u w:val="single"/>
        </w:rPr>
        <w:t xml:space="preserve">  </w:t>
      </w:r>
      <w:r>
        <w:rPr>
          <w:rFonts w:hint="eastAsia" w:ascii="宋体" w:hAnsi="宋体" w:eastAsia="宋体" w:cs="宋体"/>
          <w:sz w:val="24"/>
        </w:rPr>
        <w:t>份。合同正副本具有同等法律效力。</w:t>
      </w:r>
    </w:p>
    <w:p w14:paraId="62F735BA">
      <w:pPr>
        <w:pStyle w:val="33"/>
        <w:adjustRightInd w:val="0"/>
        <w:snapToGrid w:val="0"/>
        <w:spacing w:line="360" w:lineRule="auto"/>
        <w:ind w:firstLine="480" w:firstLineChars="200"/>
        <w:textAlignment w:val="baseline"/>
        <w:rPr>
          <w:rFonts w:ascii="宋体" w:hAnsi="宋体" w:eastAsia="宋体" w:cs="宋体"/>
          <w:sz w:val="24"/>
        </w:rPr>
      </w:pPr>
    </w:p>
    <w:p w14:paraId="44858664">
      <w:pPr>
        <w:pStyle w:val="33"/>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甲方：                                  乙方：</w:t>
      </w:r>
    </w:p>
    <w:p w14:paraId="476C86BD">
      <w:pPr>
        <w:pStyle w:val="33"/>
        <w:adjustRightInd w:val="0"/>
        <w:snapToGrid w:val="0"/>
        <w:spacing w:line="360" w:lineRule="auto"/>
        <w:ind w:firstLine="480" w:firstLineChars="200"/>
        <w:textAlignment w:val="baseline"/>
        <w:rPr>
          <w:rFonts w:ascii="宋体" w:hAnsi="宋体" w:eastAsia="宋体" w:cs="宋体"/>
          <w:sz w:val="24"/>
        </w:rPr>
      </w:pPr>
    </w:p>
    <w:p w14:paraId="5C3F361D">
      <w:pPr>
        <w:pStyle w:val="33"/>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地址：                                  地址：</w:t>
      </w:r>
    </w:p>
    <w:p w14:paraId="7F5F1755">
      <w:pPr>
        <w:pStyle w:val="33"/>
        <w:adjustRightInd w:val="0"/>
        <w:snapToGrid w:val="0"/>
        <w:spacing w:line="360" w:lineRule="auto"/>
        <w:ind w:firstLine="480" w:firstLineChars="200"/>
        <w:textAlignment w:val="baseline"/>
        <w:rPr>
          <w:rFonts w:ascii="宋体" w:hAnsi="宋体" w:eastAsia="宋体" w:cs="宋体"/>
          <w:sz w:val="24"/>
        </w:rPr>
      </w:pPr>
    </w:p>
    <w:p w14:paraId="12D0A8E9">
      <w:pPr>
        <w:pStyle w:val="33"/>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法定（授权）代表人：                    法定（授权）代表人：</w:t>
      </w:r>
    </w:p>
    <w:p w14:paraId="160F6CA8">
      <w:pPr>
        <w:pStyle w:val="33"/>
        <w:adjustRightInd w:val="0"/>
        <w:snapToGrid w:val="0"/>
        <w:spacing w:line="360" w:lineRule="auto"/>
        <w:ind w:firstLine="480" w:firstLineChars="200"/>
        <w:textAlignment w:val="baseline"/>
        <w:rPr>
          <w:rFonts w:ascii="宋体" w:hAnsi="宋体" w:eastAsia="宋体" w:cs="宋体"/>
          <w:sz w:val="24"/>
        </w:rPr>
      </w:pPr>
    </w:p>
    <w:p w14:paraId="1F9484B4">
      <w:pPr>
        <w:pStyle w:val="33"/>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签字日期：      年    月    日          签字日期：      年    月    日</w:t>
      </w:r>
    </w:p>
    <w:p w14:paraId="6766019D">
      <w:pPr>
        <w:pStyle w:val="33"/>
        <w:adjustRightInd w:val="0"/>
        <w:snapToGrid w:val="0"/>
        <w:spacing w:line="360" w:lineRule="auto"/>
        <w:ind w:firstLine="480" w:firstLineChars="200"/>
        <w:textAlignment w:val="baseline"/>
        <w:rPr>
          <w:rFonts w:ascii="宋体" w:hAnsi="宋体" w:eastAsia="宋体" w:cs="宋体"/>
          <w:sz w:val="24"/>
        </w:rPr>
      </w:pPr>
    </w:p>
    <w:p w14:paraId="0EC476A2">
      <w:pPr>
        <w:adjustRightInd w:val="0"/>
        <w:spacing w:line="360" w:lineRule="auto"/>
        <w:ind w:firstLine="480" w:firstLineChars="200"/>
        <w:textAlignment w:val="baseline"/>
        <w:rPr>
          <w:rFonts w:ascii="宋体" w:hAnsi="宋体" w:eastAsia="宋体" w:cs="宋体"/>
          <w:sz w:val="24"/>
        </w:rPr>
      </w:pPr>
    </w:p>
    <w:p w14:paraId="440A1628">
      <w:pPr>
        <w:pStyle w:val="33"/>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合同见证方：浙江国信工程管理咨询有限公司</w:t>
      </w:r>
    </w:p>
    <w:p w14:paraId="0DF15750">
      <w:pPr>
        <w:pStyle w:val="33"/>
        <w:adjustRightInd w:val="0"/>
        <w:snapToGrid w:val="0"/>
        <w:spacing w:line="360" w:lineRule="auto"/>
        <w:ind w:firstLine="480" w:firstLineChars="200"/>
        <w:textAlignment w:val="baseline"/>
        <w:rPr>
          <w:rFonts w:ascii="宋体" w:hAnsi="宋体" w:cs="宋体"/>
          <w:sz w:val="24"/>
        </w:rPr>
      </w:pPr>
      <w:r>
        <w:rPr>
          <w:rFonts w:hint="eastAsia" w:ascii="宋体" w:hAnsi="宋体" w:eastAsia="宋体" w:cs="宋体"/>
          <w:sz w:val="24"/>
        </w:rPr>
        <w:t>日期：</w:t>
      </w:r>
    </w:p>
    <w:p w14:paraId="39F47A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p>
    <w:p w14:paraId="39F2F57E">
      <w:pPr>
        <w:pStyle w:val="33"/>
        <w:keepNext w:val="0"/>
        <w:keepLines w:val="0"/>
        <w:pageBreakBefore w:val="0"/>
        <w:kinsoku/>
        <w:wordWrap/>
        <w:topLinePunct w:val="0"/>
        <w:bidi w:val="0"/>
        <w:snapToGrid/>
        <w:spacing w:before="0" w:after="0" w:line="360" w:lineRule="auto"/>
        <w:ind w:firstLine="482" w:firstLineChars="200"/>
        <w:jc w:val="both"/>
        <w:outlineLvl w:val="0"/>
        <w:rPr>
          <w:rFonts w:hint="eastAsia" w:ascii="宋体" w:hAnsi="宋体" w:eastAsia="宋体" w:cs="宋体"/>
          <w:b/>
          <w:color w:val="FF0000"/>
          <w:sz w:val="24"/>
          <w:szCs w:val="24"/>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6A5EC737">
      <w:pPr>
        <w:keepNext w:val="0"/>
        <w:keepLines w:val="0"/>
        <w:pageBreakBefore w:val="0"/>
        <w:widowControl w:val="0"/>
        <w:kinsoku/>
        <w:wordWrap/>
        <w:overflowPunct/>
        <w:topLinePunct w:val="0"/>
        <w:bidi w:val="0"/>
        <w:snapToGrid/>
        <w:spacing w:line="360" w:lineRule="auto"/>
        <w:ind w:right="0"/>
        <w:contextualSpacing/>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安全生产责任书</w:t>
      </w:r>
    </w:p>
    <w:p w14:paraId="4106158D">
      <w:pPr>
        <w:pStyle w:val="96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供参考，后期无条件配合采购人作出的有关调整</w:t>
      </w:r>
      <w:r>
        <w:rPr>
          <w:rFonts w:hint="eastAsia" w:ascii="宋体" w:hAnsi="宋体" w:eastAsia="宋体" w:cs="宋体"/>
          <w:sz w:val="24"/>
          <w:szCs w:val="24"/>
          <w:lang w:eastAsia="zh-CN"/>
        </w:rPr>
        <w:t>）</w:t>
      </w:r>
    </w:p>
    <w:p w14:paraId="1A378558">
      <w:pPr>
        <w:keepNext w:val="0"/>
        <w:keepLines w:val="0"/>
        <w:pageBreakBefore w:val="0"/>
        <w:widowControl w:val="0"/>
        <w:kinsoku/>
        <w:wordWrap/>
        <w:overflowPunct/>
        <w:topLinePunct w:val="0"/>
        <w:autoSpaceDE w:val="0"/>
        <w:autoSpaceDN w:val="0"/>
        <w:bidi w:val="0"/>
        <w:adjustRightInd w:val="0"/>
        <w:snapToGrid/>
        <w:spacing w:line="360" w:lineRule="auto"/>
        <w:ind w:right="0"/>
        <w:jc w:val="both"/>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甲方（全称）：</w:t>
      </w:r>
      <w:r>
        <w:rPr>
          <w:rFonts w:hint="eastAsia" w:ascii="宋体" w:hAnsi="宋体" w:eastAsia="宋体" w:cs="宋体"/>
          <w:sz w:val="24"/>
          <w:szCs w:val="24"/>
          <w:u w:val="single"/>
          <w:lang w:val="en-US" w:eastAsia="zh-CN"/>
        </w:rPr>
        <w:t xml:space="preserve">                       </w:t>
      </w:r>
    </w:p>
    <w:p w14:paraId="6878ABE7">
      <w:pPr>
        <w:keepNext w:val="0"/>
        <w:keepLines w:val="0"/>
        <w:pageBreakBefore w:val="0"/>
        <w:widowControl w:val="0"/>
        <w:kinsoku/>
        <w:wordWrap/>
        <w:overflowPunct/>
        <w:topLinePunct w:val="0"/>
        <w:autoSpaceDE w:val="0"/>
        <w:autoSpaceDN w:val="0"/>
        <w:bidi w:val="0"/>
        <w:adjustRightInd w:val="0"/>
        <w:snapToGrid/>
        <w:spacing w:line="360" w:lineRule="auto"/>
        <w:ind w:right="0"/>
        <w:jc w:val="both"/>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乙方（全称）：</w:t>
      </w:r>
      <w:r>
        <w:rPr>
          <w:rFonts w:hint="eastAsia" w:ascii="宋体" w:hAnsi="宋体" w:eastAsia="宋体" w:cs="宋体"/>
          <w:sz w:val="24"/>
          <w:szCs w:val="24"/>
          <w:u w:val="single"/>
          <w:lang w:val="en-US" w:eastAsia="zh-CN"/>
        </w:rPr>
        <w:t xml:space="preserve">                       </w:t>
      </w:r>
    </w:p>
    <w:p w14:paraId="4D2A4ECF">
      <w:pPr>
        <w:keepNext w:val="0"/>
        <w:keepLines w:val="0"/>
        <w:pageBreakBefore w:val="0"/>
        <w:widowControl w:val="0"/>
        <w:kinsoku/>
        <w:wordWrap/>
        <w:overflowPunct/>
        <w:topLinePunct w:val="0"/>
        <w:bidi w:val="0"/>
        <w:snapToGrid/>
        <w:spacing w:line="360" w:lineRule="auto"/>
        <w:ind w:right="0"/>
        <w:jc w:val="both"/>
        <w:textAlignment w:val="auto"/>
        <w:rPr>
          <w:rFonts w:hint="eastAsia" w:ascii="宋体" w:hAnsi="宋体" w:eastAsia="宋体" w:cs="宋体"/>
          <w:b/>
          <w:sz w:val="24"/>
          <w:szCs w:val="24"/>
        </w:rPr>
      </w:pPr>
      <w:r>
        <w:rPr>
          <w:rFonts w:hint="eastAsia" w:ascii="宋体" w:hAnsi="宋体" w:eastAsia="宋体" w:cs="宋体"/>
          <w:b/>
          <w:sz w:val="24"/>
          <w:szCs w:val="24"/>
        </w:rPr>
        <w:t>一、甲方职责</w:t>
      </w:r>
    </w:p>
    <w:p w14:paraId="242DAC59">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1．严格遵守国家有关安全生产的法律法规，认真执行合同中的有关安全要求。</w:t>
      </w:r>
    </w:p>
    <w:p w14:paraId="55A39432">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2．按照“安全第一、预防为主”和坚持“管生产必须管安全”的原则进行安全生产管理，做到生产与安全工作同时计划、布置、检查、总结和评比。</w:t>
      </w:r>
    </w:p>
    <w:p w14:paraId="235C3D4C">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3．定期召开安全生产调度会，及时传达中央及地方有关安全生产的精神。</w:t>
      </w:r>
    </w:p>
    <w:p w14:paraId="606D7F3E">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4．组织对乙方施工现场安全生产检查，监督乙方及时处理发现的各种安全隐患。</w:t>
      </w:r>
    </w:p>
    <w:p w14:paraId="5C3ED900">
      <w:pPr>
        <w:keepNext w:val="0"/>
        <w:keepLines w:val="0"/>
        <w:pageBreakBefore w:val="0"/>
        <w:widowControl w:val="0"/>
        <w:kinsoku/>
        <w:wordWrap/>
        <w:overflowPunct/>
        <w:topLinePunct w:val="0"/>
        <w:bidi w:val="0"/>
        <w:snapToGrid/>
        <w:spacing w:line="360" w:lineRule="auto"/>
        <w:ind w:right="0"/>
        <w:jc w:val="both"/>
        <w:textAlignment w:val="auto"/>
        <w:rPr>
          <w:rFonts w:hint="eastAsia" w:ascii="宋体" w:hAnsi="宋体" w:eastAsia="宋体" w:cs="宋体"/>
          <w:sz w:val="24"/>
          <w:szCs w:val="24"/>
        </w:rPr>
      </w:pPr>
      <w:r>
        <w:rPr>
          <w:rFonts w:hint="eastAsia" w:ascii="宋体" w:hAnsi="宋体" w:eastAsia="宋体" w:cs="宋体"/>
          <w:b/>
          <w:sz w:val="24"/>
          <w:szCs w:val="24"/>
        </w:rPr>
        <w:t>二、乙方职责</w:t>
      </w:r>
    </w:p>
    <w:p w14:paraId="75F453D0">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1．严格遵守国家有关安全生产的法律法规，认真执行合同中的有关安全要求。</w:t>
      </w:r>
    </w:p>
    <w:p w14:paraId="1F1CA893">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项目技术人员、生产管理人员和具体操作人员，必须熟悉和遵守本条款的各项规定，做到生产与安全工作同时计划、布置、检查、总结和评比。</w:t>
      </w:r>
    </w:p>
    <w:p w14:paraId="5EF6DC41">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建立健全安全生产责任制。从派往项目实施的项目负责人到其他生产工人(包括临时雇请的民工)的安全生产管理系统必须做到纵向到底，一环不漏；各职能部门、人员的安全生产责任制做到横向到边，人人有责。项目负责人理是安全生产的第一责任人。现场设置的安全机构，应配备安全员，专职负责所有员工的安全和治安保卫工作及预防事故的发生。安全机构人员，有权按有关规定发布指令，并采取保护性措施防止事故发生。</w:t>
      </w:r>
    </w:p>
    <w:p w14:paraId="4BB3C2D6">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4．乙方在任何时候都应采取各种合理的预防措施，防止其员工发生任何违法、违禁、暴力或妨碍治安的行为。</w:t>
      </w:r>
    </w:p>
    <w:p w14:paraId="6CDE44C6">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14:paraId="68780AE6">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6181523">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7．操作人员上岗，必须按规定穿戴防护用品。项目负责人和安全检查员应随时检查劳动防护用品的穿戴情况，不按规定穿戴防护用品的人员不得上岗。</w:t>
      </w:r>
    </w:p>
    <w:p w14:paraId="5D4C924C">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8．所有施工机具设备和高空作业的设备均应定期检查，并有安全员的签字记录，保证其经常处于完好状态；不合格的机具、设备和劳动保护用品严禁使用。</w:t>
      </w:r>
    </w:p>
    <w:p w14:paraId="55FB66C1">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9．施工中采用新技术、新工艺、新设备、新材料时，必须制定相应的安全技术措施，施工现场必须具有相关的安全标志牌。</w:t>
      </w:r>
    </w:p>
    <w:p w14:paraId="25890345">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1C984AB8">
      <w:pPr>
        <w:keepNext w:val="0"/>
        <w:keepLines w:val="0"/>
        <w:pageBreakBefore w:val="0"/>
        <w:widowControl w:val="0"/>
        <w:kinsoku/>
        <w:wordWrap/>
        <w:overflowPunct/>
        <w:topLinePunct w:val="0"/>
        <w:bidi w:val="0"/>
        <w:snapToGrid/>
        <w:spacing w:line="360" w:lineRule="auto"/>
        <w:ind w:right="0"/>
        <w:jc w:val="both"/>
        <w:textAlignment w:val="auto"/>
        <w:rPr>
          <w:rFonts w:hint="eastAsia" w:ascii="宋体" w:hAnsi="宋体" w:eastAsia="宋体" w:cs="宋体"/>
          <w:b/>
          <w:sz w:val="24"/>
          <w:szCs w:val="24"/>
        </w:rPr>
      </w:pPr>
      <w:r>
        <w:rPr>
          <w:rFonts w:hint="eastAsia" w:ascii="宋体" w:hAnsi="宋体" w:eastAsia="宋体" w:cs="宋体"/>
          <w:b/>
          <w:sz w:val="24"/>
          <w:szCs w:val="24"/>
        </w:rPr>
        <w:t>三、违约责任</w:t>
      </w:r>
    </w:p>
    <w:p w14:paraId="43785FE0">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．如因甲方或乙方违约造成安全事故，将依法追究责任。</w:t>
      </w:r>
    </w:p>
    <w:p w14:paraId="4667E92A">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．本协议书由双方法定代表人或其授权的代理人签署与加盖公章后生效，项目竣工验收后失效。</w:t>
      </w:r>
    </w:p>
    <w:p w14:paraId="07B8E6C0">
      <w:pPr>
        <w:keepNext w:val="0"/>
        <w:keepLines w:val="0"/>
        <w:pageBreakBefore w:val="0"/>
        <w:widowControl w:val="0"/>
        <w:tabs>
          <w:tab w:val="left" w:pos="0"/>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p>
    <w:p w14:paraId="56D4FF01">
      <w:pPr>
        <w:keepNext w:val="0"/>
        <w:keepLines w:val="0"/>
        <w:pageBreakBefore w:val="0"/>
        <w:widowControl w:val="0"/>
        <w:tabs>
          <w:tab w:val="left" w:pos="0"/>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甲方单位：（盖章）           乙方单位：（盖章）</w:t>
      </w:r>
    </w:p>
    <w:p w14:paraId="48FA5A8D">
      <w:pPr>
        <w:keepNext w:val="0"/>
        <w:keepLines w:val="0"/>
        <w:pageBreakBefore w:val="0"/>
        <w:widowControl w:val="0"/>
        <w:tabs>
          <w:tab w:val="left" w:pos="0"/>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p>
    <w:p w14:paraId="0F02A6FA">
      <w:pPr>
        <w:keepNext w:val="0"/>
        <w:keepLines w:val="0"/>
        <w:pageBreakBefore w:val="0"/>
        <w:widowControl w:val="0"/>
        <w:tabs>
          <w:tab w:val="left" w:pos="0"/>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法定（授权）代表人：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法定（授权）代表人：</w:t>
      </w:r>
    </w:p>
    <w:p w14:paraId="102A2005">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61CB8248">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地址：                       地址：</w:t>
      </w:r>
    </w:p>
    <w:p w14:paraId="2B3671B6">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p>
    <w:p w14:paraId="071F29FE">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电话：                       电话：</w:t>
      </w:r>
    </w:p>
    <w:p w14:paraId="1E9B665C">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p>
    <w:p w14:paraId="54842CC8">
      <w:pPr>
        <w:keepNext w:val="0"/>
        <w:keepLines w:val="0"/>
        <w:pageBreakBefore w:val="0"/>
        <w:widowControl w:val="0"/>
        <w:kinsoku/>
        <w:wordWrap/>
        <w:overflowPunct/>
        <w:topLinePunct w:val="0"/>
        <w:bidi w:val="0"/>
        <w:snapToGrid/>
        <w:spacing w:line="360" w:lineRule="auto"/>
        <w:ind w:left="0" w:leftChars="0" w:right="0" w:firstLine="480" w:firstLineChars="200"/>
        <w:jc w:val="right"/>
        <w:textAlignment w:val="auto"/>
        <w:rPr>
          <w:rFonts w:hint="eastAsia" w:ascii="宋体" w:hAnsi="宋体" w:eastAsia="宋体" w:cs="宋体"/>
          <w:sz w:val="24"/>
          <w:szCs w:val="24"/>
        </w:rPr>
      </w:pPr>
      <w:r>
        <w:rPr>
          <w:rFonts w:hint="eastAsia" w:ascii="宋体" w:hAnsi="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日</w:t>
      </w:r>
    </w:p>
    <w:p w14:paraId="1693C7AF">
      <w:pPr>
        <w:pStyle w:val="79"/>
        <w:rPr>
          <w:rFonts w:hint="eastAsia"/>
        </w:rPr>
      </w:pPr>
    </w:p>
    <w:p w14:paraId="574FE27B">
      <w:pPr>
        <w:widowControl/>
        <w:adjustRightInd/>
        <w:jc w:val="center"/>
        <w:rPr>
          <w:rFonts w:hint="eastAsia" w:ascii="宋体" w:hAnsi="宋体" w:cs="宋体"/>
          <w:b/>
          <w:color w:val="auto"/>
          <w:sz w:val="36"/>
          <w:szCs w:val="20"/>
          <w:highlight w:val="none"/>
        </w:rPr>
      </w:pPr>
    </w:p>
    <w:p w14:paraId="1A36990C">
      <w:pPr>
        <w:widowControl/>
        <w:adjustRightInd/>
        <w:jc w:val="center"/>
        <w:rPr>
          <w:rFonts w:hint="eastAsia" w:ascii="宋体" w:hAnsi="宋体" w:cs="宋体"/>
          <w:b/>
          <w:color w:val="auto"/>
          <w:sz w:val="36"/>
          <w:szCs w:val="20"/>
          <w:highlight w:val="none"/>
        </w:rPr>
        <w:sectPr>
          <w:headerReference r:id="rId12" w:type="first"/>
          <w:footerReference r:id="rId14" w:type="first"/>
          <w:headerReference r:id="rId11" w:type="default"/>
          <w:footerReference r:id="rId13" w:type="default"/>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51200681">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8"/>
      <w:r>
        <w:rPr>
          <w:rFonts w:hint="eastAsia" w:ascii="宋体" w:hAnsi="宋体" w:cs="宋体"/>
          <w:b/>
          <w:color w:val="auto"/>
          <w:sz w:val="36"/>
          <w:szCs w:val="20"/>
          <w:highlight w:val="none"/>
        </w:rPr>
        <w:t xml:space="preserve"> </w:t>
      </w:r>
      <w:bookmarkEnd w:id="409"/>
      <w:r>
        <w:rPr>
          <w:rFonts w:hint="eastAsia" w:ascii="宋体" w:hAnsi="宋体" w:cs="宋体"/>
          <w:b/>
          <w:color w:val="auto"/>
          <w:sz w:val="36"/>
          <w:szCs w:val="20"/>
          <w:highlight w:val="none"/>
        </w:rPr>
        <w:t>应提交的有关格式范例</w:t>
      </w:r>
    </w:p>
    <w:p w14:paraId="29ACB946">
      <w:pPr>
        <w:spacing w:line="360" w:lineRule="auto"/>
        <w:jc w:val="center"/>
        <w:outlineLvl w:val="0"/>
        <w:rPr>
          <w:rFonts w:ascii="宋体" w:hAnsi="宋体" w:cs="宋体"/>
          <w:b/>
          <w:color w:val="auto"/>
          <w:kern w:val="0"/>
          <w:sz w:val="36"/>
          <w:szCs w:val="36"/>
          <w:highlight w:val="none"/>
        </w:rPr>
      </w:pPr>
    </w:p>
    <w:p w14:paraId="1256BED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3278B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92FE4F9">
      <w:pPr>
        <w:spacing w:line="360" w:lineRule="auto"/>
        <w:jc w:val="center"/>
        <w:outlineLvl w:val="0"/>
        <w:rPr>
          <w:rFonts w:ascii="宋体" w:hAnsi="宋体" w:cs="宋体"/>
          <w:b/>
          <w:color w:val="auto"/>
          <w:kern w:val="0"/>
          <w:sz w:val="36"/>
          <w:szCs w:val="36"/>
          <w:highlight w:val="none"/>
        </w:rPr>
      </w:pPr>
    </w:p>
    <w:p w14:paraId="3DD987F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8BD1685">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005B793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38E301C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如果有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4B9785F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sz w:val="24"/>
        </w:rPr>
        <w:t>中小企业声明函</w:t>
      </w:r>
      <w:r>
        <w:rPr>
          <w:rFonts w:hint="eastAsia" w:ascii="宋体" w:hAnsi="宋体" w:eastAsia="宋体" w:cs="宋体"/>
          <w:color w:val="auto"/>
          <w:sz w:val="24"/>
          <w:highlight w:val="none"/>
        </w:rPr>
        <w:t>………………………………………………………（页码）</w:t>
      </w:r>
    </w:p>
    <w:p w14:paraId="6FD27D0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eastAsia="宋体" w:cs="宋体"/>
          <w:sz w:val="24"/>
        </w:rPr>
        <w:t>残疾人福利性单位声明函（如果有）</w:t>
      </w:r>
      <w:r>
        <w:rPr>
          <w:rFonts w:hint="eastAsia" w:ascii="宋体" w:hAnsi="宋体" w:eastAsia="宋体" w:cs="宋体"/>
          <w:color w:val="auto"/>
          <w:sz w:val="24"/>
          <w:highlight w:val="none"/>
        </w:rPr>
        <w:t>………………………………（页码）</w:t>
      </w:r>
    </w:p>
    <w:p w14:paraId="596ED981">
      <w:pPr>
        <w:pStyle w:val="23"/>
        <w:rPr>
          <w:rFonts w:hint="eastAsia"/>
        </w:rPr>
      </w:pPr>
    </w:p>
    <w:p w14:paraId="6714DE5B">
      <w:pPr>
        <w:snapToGrid w:val="0"/>
        <w:spacing w:line="360" w:lineRule="auto"/>
        <w:ind w:firstLine="480" w:firstLineChars="200"/>
        <w:rPr>
          <w:rFonts w:ascii="宋体" w:hAnsi="宋体" w:cs="宋体"/>
          <w:color w:val="auto"/>
          <w:sz w:val="24"/>
          <w:highlight w:val="none"/>
        </w:rPr>
      </w:pPr>
    </w:p>
    <w:p w14:paraId="738C026D">
      <w:pPr>
        <w:spacing w:line="360" w:lineRule="auto"/>
        <w:ind w:firstLine="480" w:firstLineChars="200"/>
        <w:rPr>
          <w:rFonts w:ascii="宋体" w:hAnsi="宋体" w:cs="宋体"/>
          <w:color w:val="auto"/>
          <w:sz w:val="24"/>
          <w:highlight w:val="none"/>
        </w:rPr>
      </w:pPr>
    </w:p>
    <w:p w14:paraId="483D96B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14:paraId="28067396">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浙江国信工程管理咨询有限公司</w:t>
      </w:r>
      <w:r>
        <w:rPr>
          <w:rFonts w:hint="eastAsia" w:ascii="宋体" w:hAnsi="宋体" w:cs="宋体"/>
          <w:color w:val="auto"/>
          <w:sz w:val="24"/>
          <w:highlight w:val="none"/>
        </w:rPr>
        <w:t>：</w:t>
      </w:r>
    </w:p>
    <w:p w14:paraId="07CCED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宁海县柔石公园、正学公园、眠牛山公园、潘天寿广场水质养护项目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GXZB-NH2025-005</w:t>
      </w:r>
      <w:r>
        <w:rPr>
          <w:rFonts w:hint="eastAsia" w:ascii="宋体" w:hAnsi="宋体" w:cs="宋体"/>
          <w:color w:val="auto"/>
          <w:sz w:val="24"/>
          <w:highlight w:val="none"/>
        </w:rPr>
        <w:t>】政府采购活动，郑重承诺：</w:t>
      </w:r>
    </w:p>
    <w:p w14:paraId="5C20348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0AF88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44457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494752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1449F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D0BD0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5840C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DA15B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重大税收违法失信主体</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、政府采购严重违法失信行为记录名单。</w:t>
      </w:r>
    </w:p>
    <w:p w14:paraId="71DAD0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CED5AE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w:t>
      </w:r>
      <w:r>
        <w:rPr>
          <w:rFonts w:hint="eastAsia" w:ascii="宋体" w:hAnsi="宋体" w:eastAsia="宋体" w:cs="宋体"/>
          <w:color w:val="auto"/>
          <w:sz w:val="24"/>
          <w:highlight w:val="none"/>
        </w:rPr>
        <w:t>府采购活动的；</w:t>
      </w:r>
    </w:p>
    <w:p w14:paraId="1459DB46">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r>
        <w:rPr>
          <w:rFonts w:hint="eastAsia" w:ascii="宋体" w:hAnsi="宋体" w:cs="宋体"/>
          <w:color w:val="auto"/>
          <w:sz w:val="24"/>
          <w:highlight w:val="none"/>
          <w:lang w:eastAsia="zh-CN"/>
        </w:rPr>
        <w:t>；</w:t>
      </w:r>
    </w:p>
    <w:p w14:paraId="7EDC7C09">
      <w:pPr>
        <w:snapToGrid w:val="0"/>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rPr>
        <w:t>未在中国裁判文书网有行贿犯罪相关记录。</w:t>
      </w:r>
    </w:p>
    <w:p w14:paraId="6B31127D">
      <w:pPr>
        <w:pStyle w:val="79"/>
        <w:rPr>
          <w:rFonts w:hint="default"/>
          <w:lang w:val="en-US" w:eastAsia="zh-CN"/>
        </w:rPr>
      </w:pPr>
    </w:p>
    <w:p w14:paraId="2E6D80C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33BF9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BA218F5">
      <w:pPr>
        <w:snapToGrid w:val="0"/>
        <w:spacing w:line="360" w:lineRule="auto"/>
        <w:ind w:right="480"/>
        <w:jc w:val="center"/>
        <w:rPr>
          <w:rFonts w:ascii="宋体" w:hAnsi="宋体" w:cs="宋体"/>
          <w:b/>
          <w:color w:val="auto"/>
          <w:kern w:val="0"/>
          <w:sz w:val="32"/>
          <w:szCs w:val="32"/>
          <w:highlight w:val="none"/>
        </w:rPr>
      </w:pPr>
    </w:p>
    <w:p w14:paraId="322208A4">
      <w:pPr>
        <w:rPr>
          <w:rFonts w:ascii="宋体" w:hAnsi="宋体" w:cs="宋体"/>
          <w:color w:val="auto"/>
          <w:highlight w:val="none"/>
        </w:rPr>
      </w:pPr>
    </w:p>
    <w:p w14:paraId="5446CE9C">
      <w:pPr>
        <w:snapToGrid w:val="0"/>
        <w:spacing w:line="360" w:lineRule="auto"/>
        <w:ind w:right="480"/>
        <w:jc w:val="center"/>
        <w:rPr>
          <w:rFonts w:ascii="宋体" w:hAnsi="宋体" w:cs="宋体"/>
          <w:b/>
          <w:color w:val="auto"/>
          <w:kern w:val="0"/>
          <w:sz w:val="32"/>
          <w:szCs w:val="32"/>
          <w:highlight w:val="none"/>
        </w:rPr>
      </w:pPr>
    </w:p>
    <w:p w14:paraId="68C91AE5">
      <w:pPr>
        <w:snapToGrid w:val="0"/>
        <w:spacing w:line="360" w:lineRule="auto"/>
        <w:ind w:right="480"/>
        <w:jc w:val="center"/>
        <w:rPr>
          <w:rFonts w:ascii="宋体" w:hAnsi="宋体" w:cs="宋体"/>
          <w:b/>
          <w:color w:val="auto"/>
          <w:kern w:val="0"/>
          <w:sz w:val="32"/>
          <w:szCs w:val="32"/>
          <w:highlight w:val="none"/>
        </w:rPr>
      </w:pPr>
    </w:p>
    <w:p w14:paraId="529414C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5B6CBEE">
      <w:pPr>
        <w:widowControl/>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87C880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）；本项目不接受联合体投标或者投标人不以联合体形式投标的，则不需要提供）]</w:t>
      </w:r>
    </w:p>
    <w:p w14:paraId="3C1342BB">
      <w:pPr>
        <w:snapToGrid w:val="0"/>
        <w:spacing w:line="360" w:lineRule="auto"/>
        <w:ind w:right="480"/>
        <w:jc w:val="center"/>
        <w:rPr>
          <w:rFonts w:ascii="宋体" w:hAnsi="宋体" w:cs="宋体"/>
          <w:b/>
          <w:color w:val="auto"/>
          <w:kern w:val="0"/>
          <w:sz w:val="32"/>
          <w:szCs w:val="32"/>
          <w:highlight w:val="none"/>
        </w:rPr>
      </w:pPr>
    </w:p>
    <w:p w14:paraId="2E43A5CC">
      <w:pPr>
        <w:snapToGrid w:val="0"/>
        <w:spacing w:line="360" w:lineRule="auto"/>
        <w:ind w:right="480"/>
        <w:jc w:val="center"/>
        <w:rPr>
          <w:rFonts w:ascii="宋体" w:hAnsi="宋体" w:cs="宋体"/>
          <w:b/>
          <w:color w:val="auto"/>
          <w:kern w:val="0"/>
          <w:sz w:val="32"/>
          <w:szCs w:val="32"/>
          <w:highlight w:val="none"/>
        </w:rPr>
      </w:pPr>
    </w:p>
    <w:p w14:paraId="1690D560">
      <w:pPr>
        <w:snapToGrid w:val="0"/>
        <w:spacing w:line="360" w:lineRule="auto"/>
        <w:ind w:right="480"/>
        <w:jc w:val="center"/>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三、落实政府采购政策需满足的资格要求</w:t>
      </w:r>
      <w:r>
        <w:rPr>
          <w:rFonts w:hint="eastAsia" w:ascii="宋体" w:hAnsi="宋体" w:cs="宋体"/>
          <w:b/>
          <w:color w:val="auto"/>
          <w:kern w:val="0"/>
          <w:sz w:val="32"/>
          <w:szCs w:val="32"/>
          <w:highlight w:val="none"/>
          <w:lang w:eastAsia="zh-CN"/>
        </w:rPr>
        <w:t>（</w:t>
      </w:r>
      <w:r>
        <w:rPr>
          <w:rFonts w:hint="eastAsia" w:ascii="宋体" w:hAnsi="宋体" w:cs="宋体"/>
          <w:b/>
          <w:color w:val="auto"/>
          <w:kern w:val="0"/>
          <w:sz w:val="32"/>
          <w:szCs w:val="32"/>
          <w:highlight w:val="none"/>
          <w:lang w:val="en-US" w:eastAsia="zh-CN"/>
        </w:rPr>
        <w:t>如果有</w:t>
      </w:r>
      <w:r>
        <w:rPr>
          <w:rFonts w:hint="eastAsia" w:ascii="宋体" w:hAnsi="宋体" w:cs="宋体"/>
          <w:b/>
          <w:color w:val="auto"/>
          <w:kern w:val="0"/>
          <w:sz w:val="32"/>
          <w:szCs w:val="32"/>
          <w:highlight w:val="none"/>
          <w:lang w:eastAsia="zh-CN"/>
        </w:rPr>
        <w:t>）</w:t>
      </w:r>
    </w:p>
    <w:p w14:paraId="124F7708">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C0010B1">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w:t>
      </w:r>
    </w:p>
    <w:p w14:paraId="40AA8D3E">
      <w:pPr>
        <w:widowControl/>
        <w:spacing w:line="360" w:lineRule="auto"/>
        <w:jc w:val="center"/>
        <w:rPr>
          <w:rFonts w:ascii="宋体" w:hAnsi="宋体" w:cs="宋体"/>
          <w:color w:val="auto"/>
          <w:sz w:val="24"/>
          <w:highlight w:val="none"/>
        </w:rPr>
      </w:pPr>
    </w:p>
    <w:p w14:paraId="0E4FA621">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要求以联合体形式参加的，提供联合协议和中小企业声明函，联合协议中中小企业合同金额应当达到招标公告载明的比例；如果供应商本身提供所有标的均由中小企业承接的，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F008C6F">
      <w:pPr>
        <w:snapToGrid w:val="0"/>
        <w:spacing w:before="50" w:after="50" w:line="360" w:lineRule="auto"/>
        <w:jc w:val="center"/>
        <w:rPr>
          <w:rFonts w:ascii="宋体" w:hAnsi="宋体" w:cs="宋体"/>
          <w:color w:val="auto"/>
          <w:sz w:val="24"/>
          <w:highlight w:val="none"/>
        </w:rPr>
      </w:pPr>
    </w:p>
    <w:p w14:paraId="3AA655B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）和中小企业声明函，分包意向协议中中小企业合同金额应当达到招标公告载明的比例；如果供应商本身提供所有标的均由中小企业承接的，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C1221E9">
      <w:pPr>
        <w:widowControl/>
        <w:spacing w:line="360" w:lineRule="auto"/>
        <w:ind w:left="150"/>
        <w:jc w:val="center"/>
        <w:rPr>
          <w:rFonts w:ascii="宋体" w:hAnsi="宋体" w:cs="宋体"/>
          <w:b/>
          <w:color w:val="auto"/>
          <w:kern w:val="0"/>
          <w:sz w:val="32"/>
          <w:szCs w:val="32"/>
          <w:highlight w:val="none"/>
        </w:rPr>
      </w:pPr>
    </w:p>
    <w:p w14:paraId="523720E1">
      <w:pPr>
        <w:widowControl/>
        <w:spacing w:line="360" w:lineRule="auto"/>
        <w:ind w:left="150"/>
        <w:jc w:val="center"/>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四、本项目的特定资格要求</w:t>
      </w:r>
      <w:r>
        <w:rPr>
          <w:rFonts w:hint="eastAsia" w:ascii="宋体" w:hAnsi="宋体" w:cs="宋体"/>
          <w:b/>
          <w:color w:val="auto"/>
          <w:kern w:val="0"/>
          <w:sz w:val="32"/>
          <w:szCs w:val="32"/>
          <w:highlight w:val="none"/>
          <w:lang w:eastAsia="zh-CN"/>
        </w:rPr>
        <w:t>（</w:t>
      </w:r>
      <w:r>
        <w:rPr>
          <w:rFonts w:hint="eastAsia" w:ascii="宋体" w:hAnsi="宋体" w:cs="宋体"/>
          <w:b/>
          <w:color w:val="auto"/>
          <w:kern w:val="0"/>
          <w:sz w:val="32"/>
          <w:szCs w:val="32"/>
          <w:highlight w:val="none"/>
          <w:lang w:val="en-US" w:eastAsia="zh-CN"/>
        </w:rPr>
        <w:t>如果有</w:t>
      </w:r>
      <w:r>
        <w:rPr>
          <w:rFonts w:hint="eastAsia" w:ascii="宋体" w:hAnsi="宋体" w:cs="宋体"/>
          <w:b/>
          <w:color w:val="auto"/>
          <w:kern w:val="0"/>
          <w:sz w:val="32"/>
          <w:szCs w:val="32"/>
          <w:highlight w:val="none"/>
          <w:lang w:eastAsia="zh-CN"/>
        </w:rPr>
        <w:t>）</w:t>
      </w:r>
    </w:p>
    <w:p w14:paraId="63A69F7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A2F2407">
      <w:pPr>
        <w:rPr>
          <w:rFonts w:ascii="宋体" w:hAnsi="宋体" w:cs="宋体"/>
          <w:color w:val="auto"/>
          <w:highlight w:val="none"/>
        </w:rPr>
      </w:pPr>
    </w:p>
    <w:p w14:paraId="174DE785">
      <w:pPr>
        <w:snapToGrid w:val="0"/>
        <w:spacing w:line="360" w:lineRule="auto"/>
        <w:ind w:right="480"/>
        <w:jc w:val="center"/>
        <w:rPr>
          <w:rFonts w:ascii="宋体" w:hAnsi="宋体" w:cs="宋体"/>
          <w:b/>
          <w:color w:val="auto"/>
          <w:kern w:val="0"/>
          <w:sz w:val="32"/>
          <w:szCs w:val="32"/>
          <w:highlight w:val="none"/>
        </w:rPr>
      </w:pPr>
    </w:p>
    <w:p w14:paraId="341D79F0">
      <w:pPr>
        <w:pStyle w:val="33"/>
        <w:snapToGrid w:val="0"/>
        <w:spacing w:line="360" w:lineRule="auto"/>
        <w:ind w:firstLine="723" w:firstLineChars="200"/>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B56B2D0">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中小企业声明函（服务）</w:t>
      </w:r>
    </w:p>
    <w:p w14:paraId="0CCB343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宁海县柔石公园、正学公园、眠牛山公园、潘天寿广场水质养护项目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E827E6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sz w:val="24"/>
          <w:szCs w:val="24"/>
          <w:u w:val="single"/>
          <w:lang w:eastAsia="zh-CN"/>
        </w:rPr>
        <w:t>水质养护服务</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56823F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eastAsia="zh-CN"/>
        </w:rPr>
        <w:t>其他未列明行业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76FC83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E13188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D825A9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11AE096">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A8F6106">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5638CDED">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1DAE2EEA">
      <w:pPr>
        <w:spacing w:line="360" w:lineRule="auto"/>
        <w:ind w:right="420"/>
        <w:rPr>
          <w:rFonts w:ascii="宋体" w:hAnsi="宋体" w:cs="宋体"/>
          <w:color w:val="auto"/>
          <w:sz w:val="24"/>
          <w:highlight w:val="none"/>
        </w:rPr>
      </w:pPr>
    </w:p>
    <w:p w14:paraId="663582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7E86028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22086EB">
      <w:pPr>
        <w:spacing w:line="360" w:lineRule="auto"/>
        <w:ind w:right="420" w:firstLine="720" w:firstLineChars="3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E98BF35">
      <w:pPr>
        <w:spacing w:line="360" w:lineRule="auto"/>
        <w:ind w:right="420" w:firstLine="723" w:firstLineChars="3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3、本采购文件中明确的所属行业为其他未列明行业：从业人员300人以下的为中小微型企业。其中，从业人员100人及以上的为中型企业；从业人员10人及以上的为小型企业；从业人员10人以下的为微型企业。</w:t>
      </w:r>
    </w:p>
    <w:p w14:paraId="383545E5">
      <w:pPr>
        <w:pStyle w:val="33"/>
        <w:snapToGrid w:val="0"/>
        <w:spacing w:line="360" w:lineRule="auto"/>
        <w:ind w:firstLine="723" w:firstLineChars="200"/>
        <w:rPr>
          <w:rFonts w:ascii="宋体" w:hAnsi="宋体" w:cs="宋体"/>
          <w:b/>
          <w:color w:val="auto"/>
          <w:kern w:val="0"/>
          <w:sz w:val="36"/>
          <w:szCs w:val="36"/>
          <w:highlight w:val="none"/>
        </w:rPr>
      </w:pPr>
    </w:p>
    <w:p w14:paraId="41EDE12D">
      <w:pPr>
        <w:pStyle w:val="33"/>
        <w:snapToGrid w:val="0"/>
        <w:spacing w:line="360" w:lineRule="auto"/>
        <w:ind w:firstLine="723" w:firstLineChars="200"/>
        <w:rPr>
          <w:rFonts w:ascii="宋体" w:hAnsi="宋体" w:cs="宋体"/>
          <w:b/>
          <w:color w:val="auto"/>
          <w:kern w:val="0"/>
          <w:sz w:val="36"/>
          <w:szCs w:val="36"/>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61AF3967">
      <w:pPr>
        <w:widowControl/>
        <w:spacing w:line="360" w:lineRule="auto"/>
        <w:ind w:left="150"/>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六、残疾人福利性单位声明函</w:t>
      </w:r>
    </w:p>
    <w:p w14:paraId="6940B7B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pacing w:val="6"/>
          <w:sz w:val="21"/>
          <w:szCs w:val="21"/>
          <w:highlight w:val="none"/>
        </w:rPr>
      </w:pPr>
    </w:p>
    <w:p w14:paraId="33A559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宁海县柔石公园、正学公园、眠牛山公园、潘天寿广场水质养护项目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605EBA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8CBFBD9">
      <w:pPr>
        <w:spacing w:line="360" w:lineRule="auto"/>
        <w:ind w:firstLine="480" w:firstLineChars="200"/>
        <w:rPr>
          <w:rFonts w:ascii="宋体" w:hAnsi="宋体" w:cs="宋体"/>
          <w:color w:val="auto"/>
          <w:sz w:val="24"/>
          <w:highlight w:val="none"/>
        </w:rPr>
      </w:pPr>
    </w:p>
    <w:p w14:paraId="4DD86ADB">
      <w:pPr>
        <w:spacing w:line="360" w:lineRule="auto"/>
        <w:ind w:firstLine="480" w:firstLineChars="200"/>
        <w:rPr>
          <w:rFonts w:ascii="宋体" w:hAnsi="宋体" w:cs="宋体"/>
          <w:color w:val="auto"/>
          <w:sz w:val="24"/>
          <w:highlight w:val="none"/>
        </w:rPr>
      </w:pPr>
    </w:p>
    <w:p w14:paraId="0C8E96F6">
      <w:pPr>
        <w:tabs>
          <w:tab w:val="left" w:pos="4860"/>
        </w:tabs>
        <w:spacing w:line="360" w:lineRule="auto"/>
        <w:ind w:right="1560" w:firstLine="3840" w:firstLineChars="1600"/>
        <w:jc w:val="both"/>
        <w:rPr>
          <w:rFonts w:ascii="宋体" w:hAnsi="宋体" w:cs="宋体"/>
          <w:color w:val="auto"/>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CB0022C">
      <w:pPr>
        <w:tabs>
          <w:tab w:val="left" w:pos="4860"/>
        </w:tabs>
        <w:spacing w:line="360" w:lineRule="auto"/>
        <w:ind w:right="1560" w:firstLine="3840" w:firstLineChars="1600"/>
        <w:jc w:val="both"/>
        <w:rPr>
          <w:rFonts w:ascii="宋体" w:hAnsi="宋体" w:cs="宋体"/>
          <w:color w:val="auto"/>
          <w:sz w:val="24"/>
          <w:highlight w:val="none"/>
        </w:rPr>
      </w:pPr>
      <w:r>
        <w:rPr>
          <w:rFonts w:hint="eastAsia" w:ascii="宋体" w:hAnsi="宋体" w:cs="宋体"/>
          <w:color w:val="auto"/>
          <w:sz w:val="24"/>
          <w:highlight w:val="none"/>
        </w:rPr>
        <w:t>日  期：</w:t>
      </w:r>
    </w:p>
    <w:p w14:paraId="666EBF08">
      <w:pPr>
        <w:spacing w:line="360" w:lineRule="auto"/>
        <w:ind w:firstLine="480" w:firstLineChars="200"/>
        <w:rPr>
          <w:rFonts w:ascii="宋体" w:hAnsi="宋体" w:cs="宋体"/>
          <w:color w:val="auto"/>
          <w:sz w:val="24"/>
          <w:highlight w:val="none"/>
        </w:rPr>
      </w:pPr>
    </w:p>
    <w:p w14:paraId="256BD115">
      <w:pPr>
        <w:spacing w:line="360" w:lineRule="auto"/>
        <w:ind w:firstLine="420" w:firstLineChars="200"/>
        <w:rPr>
          <w:rFonts w:ascii="宋体" w:hAnsi="宋体" w:cs="宋体"/>
          <w:color w:val="auto"/>
          <w:highlight w:val="none"/>
        </w:rPr>
      </w:pPr>
    </w:p>
    <w:p w14:paraId="327DC965">
      <w:pPr>
        <w:spacing w:line="360" w:lineRule="auto"/>
        <w:ind w:firstLine="420" w:firstLineChars="200"/>
        <w:rPr>
          <w:rFonts w:ascii="宋体" w:hAnsi="宋体" w:cs="宋体"/>
          <w:color w:val="auto"/>
          <w:highlight w:val="none"/>
        </w:rPr>
      </w:pPr>
    </w:p>
    <w:p w14:paraId="0056D065">
      <w:pPr>
        <w:spacing w:line="360" w:lineRule="auto"/>
        <w:ind w:firstLine="420" w:firstLineChars="200"/>
        <w:rPr>
          <w:rFonts w:ascii="宋体" w:hAnsi="宋体" w:cs="宋体"/>
          <w:color w:val="auto"/>
          <w:highlight w:val="none"/>
        </w:rPr>
      </w:pPr>
    </w:p>
    <w:p w14:paraId="0E754CAA">
      <w:pPr>
        <w:spacing w:line="360" w:lineRule="auto"/>
        <w:ind w:firstLine="420" w:firstLineChars="200"/>
        <w:rPr>
          <w:rFonts w:ascii="宋体" w:hAnsi="宋体" w:cs="宋体"/>
          <w:color w:val="auto"/>
          <w:highlight w:val="none"/>
        </w:rPr>
      </w:pPr>
    </w:p>
    <w:p w14:paraId="0EC28DAF">
      <w:pPr>
        <w:spacing w:line="360" w:lineRule="auto"/>
        <w:rPr>
          <w:rFonts w:ascii="宋体" w:hAnsi="宋体" w:cs="宋体"/>
          <w:b/>
          <w:color w:val="auto"/>
          <w:sz w:val="24"/>
          <w:highlight w:val="none"/>
        </w:rPr>
      </w:pPr>
    </w:p>
    <w:p w14:paraId="7A6755B8">
      <w:pPr>
        <w:pStyle w:val="33"/>
        <w:snapToGrid w:val="0"/>
        <w:spacing w:line="360" w:lineRule="auto"/>
        <w:ind w:firstLine="723" w:firstLineChars="200"/>
        <w:rPr>
          <w:rFonts w:ascii="宋体" w:hAnsi="宋体" w:cs="宋体"/>
          <w:b/>
          <w:color w:val="auto"/>
          <w:kern w:val="0"/>
          <w:sz w:val="36"/>
          <w:szCs w:val="36"/>
          <w:highlight w:val="none"/>
        </w:rPr>
      </w:pPr>
    </w:p>
    <w:p w14:paraId="78DF2590">
      <w:pPr>
        <w:pStyle w:val="33"/>
        <w:snapToGrid w:val="0"/>
        <w:spacing w:line="360" w:lineRule="auto"/>
        <w:ind w:firstLine="723" w:firstLineChars="200"/>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4BFDB8AC">
      <w:pPr>
        <w:pStyle w:val="79"/>
      </w:pPr>
    </w:p>
    <w:p w14:paraId="03F8CB1A">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BB1679F">
      <w:pPr>
        <w:spacing w:line="360" w:lineRule="auto"/>
        <w:jc w:val="center"/>
        <w:outlineLvl w:val="0"/>
        <w:rPr>
          <w:rFonts w:ascii="宋体" w:hAnsi="宋体" w:cs="宋体"/>
          <w:b/>
          <w:color w:val="auto"/>
          <w:kern w:val="0"/>
          <w:sz w:val="24"/>
          <w:highlight w:val="none"/>
        </w:rPr>
      </w:pPr>
    </w:p>
    <w:p w14:paraId="3EEA8E9F">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1A6DA35">
      <w:pPr>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）投标函…………………………………………………………………………（页码）</w:t>
      </w:r>
    </w:p>
    <w:p w14:paraId="2FFA30C1">
      <w:pPr>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）授权委托书或法定代表人（单位负责人、自然人本人）身份证明………（页码）</w:t>
      </w:r>
    </w:p>
    <w:p w14:paraId="1FB4AF0A">
      <w:pPr>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（3）分包意向协议</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如果有</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zh-CN"/>
        </w:rPr>
        <w:t>……………………………………………………（页码）</w:t>
      </w:r>
    </w:p>
    <w:p w14:paraId="781451BA">
      <w:pPr>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（4）符合性审查资料………………………………………………………………（页码）</w:t>
      </w:r>
    </w:p>
    <w:p w14:paraId="1C163736">
      <w:pPr>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（5）评标标准相应的商务技术资料………………………………………………（页码）</w:t>
      </w:r>
    </w:p>
    <w:p w14:paraId="4955E482">
      <w:pPr>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）商务技术偏离表………………………………………………………………（页码）</w:t>
      </w:r>
    </w:p>
    <w:p w14:paraId="583D935B">
      <w:pPr>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）政府采购供应商廉洁自律承诺书……………………………………………（页码）</w:t>
      </w:r>
    </w:p>
    <w:p w14:paraId="52D3323E">
      <w:pPr>
        <w:snapToGrid w:val="0"/>
        <w:spacing w:line="360" w:lineRule="auto"/>
        <w:jc w:val="center"/>
        <w:rPr>
          <w:rFonts w:ascii="宋体" w:hAnsi="宋体" w:cs="宋体"/>
          <w:b/>
          <w:color w:val="auto"/>
          <w:kern w:val="0"/>
          <w:sz w:val="32"/>
          <w:szCs w:val="32"/>
          <w:highlight w:val="none"/>
          <w:lang w:val="zh-CN"/>
        </w:rPr>
      </w:pPr>
    </w:p>
    <w:p w14:paraId="5F2D211A">
      <w:pPr>
        <w:snapToGrid w:val="0"/>
        <w:spacing w:line="360" w:lineRule="auto"/>
        <w:jc w:val="center"/>
        <w:rPr>
          <w:rFonts w:ascii="宋体" w:hAnsi="宋体" w:cs="宋体"/>
          <w:b/>
          <w:color w:val="auto"/>
          <w:kern w:val="0"/>
          <w:sz w:val="32"/>
          <w:szCs w:val="32"/>
          <w:highlight w:val="none"/>
          <w:lang w:val="zh-CN"/>
        </w:rPr>
      </w:pPr>
    </w:p>
    <w:p w14:paraId="38E709CB">
      <w:pPr>
        <w:snapToGrid w:val="0"/>
        <w:spacing w:line="360" w:lineRule="auto"/>
        <w:jc w:val="center"/>
        <w:rPr>
          <w:rFonts w:ascii="宋体" w:hAnsi="宋体" w:cs="宋体"/>
          <w:b/>
          <w:color w:val="auto"/>
          <w:kern w:val="0"/>
          <w:sz w:val="32"/>
          <w:szCs w:val="32"/>
          <w:highlight w:val="none"/>
          <w:lang w:val="zh-CN"/>
        </w:rPr>
      </w:pPr>
    </w:p>
    <w:p w14:paraId="634F94E7">
      <w:pPr>
        <w:snapToGrid w:val="0"/>
        <w:spacing w:line="360" w:lineRule="auto"/>
        <w:jc w:val="center"/>
        <w:rPr>
          <w:rFonts w:ascii="宋体" w:hAnsi="宋体" w:cs="宋体"/>
          <w:b/>
          <w:color w:val="auto"/>
          <w:kern w:val="0"/>
          <w:sz w:val="32"/>
          <w:szCs w:val="32"/>
          <w:highlight w:val="none"/>
          <w:lang w:val="zh-CN"/>
        </w:rPr>
      </w:pPr>
    </w:p>
    <w:p w14:paraId="2C15E6A9">
      <w:pPr>
        <w:snapToGrid w:val="0"/>
        <w:spacing w:line="360" w:lineRule="auto"/>
        <w:jc w:val="center"/>
        <w:rPr>
          <w:rFonts w:ascii="宋体" w:hAnsi="宋体" w:cs="宋体"/>
          <w:b/>
          <w:color w:val="auto"/>
          <w:kern w:val="0"/>
          <w:sz w:val="32"/>
          <w:szCs w:val="32"/>
          <w:highlight w:val="none"/>
          <w:lang w:val="zh-CN"/>
        </w:rPr>
      </w:pPr>
    </w:p>
    <w:p w14:paraId="4058B8F2">
      <w:pPr>
        <w:snapToGrid w:val="0"/>
        <w:spacing w:line="360" w:lineRule="auto"/>
        <w:jc w:val="center"/>
        <w:rPr>
          <w:rFonts w:ascii="宋体" w:hAnsi="宋体" w:cs="宋体"/>
          <w:b/>
          <w:color w:val="auto"/>
          <w:kern w:val="0"/>
          <w:sz w:val="32"/>
          <w:szCs w:val="32"/>
          <w:highlight w:val="none"/>
          <w:lang w:val="zh-CN"/>
        </w:rPr>
      </w:pPr>
    </w:p>
    <w:p w14:paraId="688C9AF3">
      <w:pPr>
        <w:snapToGrid w:val="0"/>
        <w:spacing w:line="360" w:lineRule="auto"/>
        <w:jc w:val="center"/>
        <w:rPr>
          <w:rFonts w:ascii="宋体" w:hAnsi="宋体" w:cs="宋体"/>
          <w:b/>
          <w:color w:val="auto"/>
          <w:kern w:val="0"/>
          <w:sz w:val="32"/>
          <w:szCs w:val="32"/>
          <w:highlight w:val="none"/>
          <w:lang w:val="zh-CN"/>
        </w:rPr>
      </w:pPr>
    </w:p>
    <w:p w14:paraId="5C1A4F88">
      <w:pPr>
        <w:snapToGrid w:val="0"/>
        <w:spacing w:line="360" w:lineRule="auto"/>
        <w:jc w:val="center"/>
        <w:rPr>
          <w:rFonts w:ascii="宋体" w:hAnsi="宋体" w:cs="宋体"/>
          <w:b/>
          <w:color w:val="auto"/>
          <w:kern w:val="0"/>
          <w:sz w:val="32"/>
          <w:szCs w:val="32"/>
          <w:highlight w:val="none"/>
          <w:lang w:val="zh-CN"/>
        </w:rPr>
      </w:pPr>
    </w:p>
    <w:p w14:paraId="09AC652F">
      <w:pPr>
        <w:snapToGrid w:val="0"/>
        <w:spacing w:line="360" w:lineRule="auto"/>
        <w:jc w:val="center"/>
        <w:rPr>
          <w:rFonts w:ascii="宋体" w:hAnsi="宋体" w:cs="宋体"/>
          <w:b/>
          <w:color w:val="auto"/>
          <w:kern w:val="0"/>
          <w:sz w:val="32"/>
          <w:szCs w:val="32"/>
          <w:highlight w:val="none"/>
          <w:lang w:val="zh-CN"/>
        </w:rPr>
      </w:pPr>
    </w:p>
    <w:p w14:paraId="7EE0D39A">
      <w:pPr>
        <w:snapToGrid w:val="0"/>
        <w:spacing w:line="360" w:lineRule="auto"/>
        <w:jc w:val="center"/>
        <w:rPr>
          <w:rFonts w:ascii="宋体" w:hAnsi="宋体" w:cs="宋体"/>
          <w:b/>
          <w:color w:val="auto"/>
          <w:kern w:val="0"/>
          <w:sz w:val="32"/>
          <w:szCs w:val="32"/>
          <w:highlight w:val="none"/>
          <w:lang w:val="zh-CN"/>
        </w:rPr>
      </w:pPr>
    </w:p>
    <w:p w14:paraId="465D6EE3">
      <w:pPr>
        <w:snapToGrid w:val="0"/>
        <w:spacing w:line="360" w:lineRule="auto"/>
        <w:jc w:val="center"/>
        <w:rPr>
          <w:rFonts w:ascii="宋体" w:hAnsi="宋体" w:cs="宋体"/>
          <w:b/>
          <w:color w:val="auto"/>
          <w:kern w:val="0"/>
          <w:sz w:val="32"/>
          <w:szCs w:val="32"/>
          <w:highlight w:val="none"/>
          <w:lang w:val="zh-CN"/>
        </w:rPr>
      </w:pPr>
    </w:p>
    <w:p w14:paraId="4AABE41A">
      <w:pPr>
        <w:jc w:val="center"/>
        <w:rPr>
          <w:rFonts w:ascii="宋体" w:hAnsi="宋体" w:cs="宋体"/>
          <w:b/>
          <w:color w:val="auto"/>
          <w:kern w:val="0"/>
          <w:sz w:val="32"/>
          <w:szCs w:val="32"/>
          <w:highlight w:val="none"/>
          <w:lang w:val="zh-CN"/>
        </w:rPr>
      </w:pPr>
    </w:p>
    <w:p w14:paraId="246145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2B0F3EB">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E46FC8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浙江国信工程管理咨询有限公司</w:t>
      </w:r>
      <w:r>
        <w:rPr>
          <w:rFonts w:hint="eastAsia" w:ascii="宋体" w:hAnsi="宋体" w:cs="宋体"/>
          <w:color w:val="auto"/>
          <w:sz w:val="24"/>
          <w:highlight w:val="none"/>
        </w:rPr>
        <w:t>：</w:t>
      </w:r>
    </w:p>
    <w:p w14:paraId="33A8FF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宁海县柔石公园、正学公园、眠牛山公园、潘天寿广场水质养护项目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GXZB-NH2025-005</w:t>
      </w:r>
      <w:r>
        <w:rPr>
          <w:rFonts w:hint="eastAsia" w:ascii="宋体" w:hAnsi="宋体" w:cs="宋体"/>
          <w:color w:val="auto"/>
          <w:sz w:val="24"/>
          <w:highlight w:val="none"/>
        </w:rPr>
        <w:t>】招标的有关活动，并对此项目进行投标。为此：</w:t>
      </w:r>
    </w:p>
    <w:p w14:paraId="3173A5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59C434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0D4895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9193E7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2.1.1符合参加政府采购活动应当具备的一般条件的承诺函；</w:t>
      </w:r>
    </w:p>
    <w:p w14:paraId="4F72843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2.1.2联合协议</w:t>
      </w:r>
      <w:bookmarkStart w:id="410" w:name="_Hlk101257010"/>
      <w:r>
        <w:rPr>
          <w:rFonts w:hint="eastAsia" w:ascii="宋体" w:hAnsi="宋体" w:eastAsia="宋体" w:cs="宋体"/>
          <w:color w:val="auto"/>
          <w:sz w:val="24"/>
          <w:highlight w:val="none"/>
        </w:rPr>
        <w:t>（如果有</w:t>
      </w:r>
      <w:bookmarkEnd w:id="410"/>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69A265B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61C006C0">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2.1.4本项目的特定资格要求（如果有</w:t>
      </w:r>
      <w:r>
        <w:rPr>
          <w:rFonts w:hint="eastAsia" w:ascii="宋体" w:hAnsi="宋体" w:eastAsia="宋体" w:cs="宋体"/>
          <w:color w:val="auto"/>
          <w:sz w:val="24"/>
          <w:highlight w:val="none"/>
          <w:lang w:eastAsia="zh-CN"/>
        </w:rPr>
        <w:t>）；</w:t>
      </w:r>
    </w:p>
    <w:p w14:paraId="22954CE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2.1.5中小企业声明函；</w:t>
      </w:r>
    </w:p>
    <w:p w14:paraId="04E6E1CF">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2.1.6残疾人福利性单位声明函（如果有）。</w:t>
      </w:r>
    </w:p>
    <w:p w14:paraId="3ECE5E3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52D025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2.2.1投</w:t>
      </w:r>
      <w:r>
        <w:rPr>
          <w:rFonts w:hint="eastAsia" w:ascii="宋体" w:hAnsi="宋体" w:eastAsia="宋体" w:cs="宋体"/>
          <w:color w:val="auto"/>
          <w:sz w:val="24"/>
          <w:highlight w:val="none"/>
        </w:rPr>
        <w:t>标函；</w:t>
      </w:r>
    </w:p>
    <w:p w14:paraId="630D9B0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sz w:val="24"/>
          <w:highlight w:val="none"/>
          <w:lang w:val="zh-CN"/>
        </w:rPr>
        <w:t>授权委托书或法定代表人（单位负责人、自然人本人）身份证明</w:t>
      </w:r>
      <w:r>
        <w:rPr>
          <w:rFonts w:hint="eastAsia" w:ascii="宋体" w:hAnsi="宋体" w:eastAsia="宋体" w:cs="宋体"/>
          <w:color w:val="auto"/>
          <w:sz w:val="24"/>
          <w:highlight w:val="none"/>
        </w:rPr>
        <w:t>；</w:t>
      </w:r>
    </w:p>
    <w:p w14:paraId="225935C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A22B56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5549C5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44BCDFF">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rPr>
        <w:t>2</w:t>
      </w: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商务技术偏离表；</w:t>
      </w:r>
    </w:p>
    <w:p w14:paraId="42C11EAE">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r>
        <w:rPr>
          <w:rFonts w:hint="eastAsia" w:ascii="宋体" w:hAnsi="宋体" w:cs="宋体"/>
          <w:color w:val="auto"/>
          <w:sz w:val="24"/>
          <w:highlight w:val="none"/>
          <w:lang w:val="zh-CN"/>
        </w:rPr>
        <w:t>。</w:t>
      </w:r>
    </w:p>
    <w:p w14:paraId="2DDB7EE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10A2FD6">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2.3.1开标一览表（报价表）</w:t>
      </w:r>
      <w:r>
        <w:rPr>
          <w:rFonts w:hint="eastAsia" w:ascii="宋体" w:hAnsi="宋体" w:cs="宋体"/>
          <w:color w:val="auto"/>
          <w:sz w:val="24"/>
          <w:highlight w:val="none"/>
          <w:lang w:eastAsia="zh-CN"/>
        </w:rPr>
        <w:t>。</w:t>
      </w:r>
    </w:p>
    <w:p w14:paraId="217250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5F223E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8A01C4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4.1在收到中标通知书后，在中标通知书规定的期限内与你方签订合同；</w:t>
      </w:r>
    </w:p>
    <w:p w14:paraId="542FB2F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4.2在签订合同时不向你方提出附加条件；</w:t>
      </w:r>
    </w:p>
    <w:p w14:paraId="657337A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4.3按照招标文件要求提交履约保证金；</w:t>
      </w:r>
    </w:p>
    <w:p w14:paraId="3268C4D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4.4在合同约定的期限内完成合同规定的全部义务。</w:t>
      </w:r>
    </w:p>
    <w:p w14:paraId="51A2265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A0A5EC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0A2B97A">
      <w:pPr>
        <w:spacing w:line="360" w:lineRule="auto"/>
        <w:ind w:firstLine="3600" w:firstLineChars="1500"/>
        <w:jc w:val="both"/>
        <w:rPr>
          <w:rFonts w:ascii="宋体" w:hAnsi="宋体" w:cs="宋体"/>
          <w:color w:val="auto"/>
          <w:sz w:val="24"/>
          <w:highlight w:val="none"/>
        </w:rPr>
      </w:pPr>
      <w:r>
        <w:rPr>
          <w:rFonts w:hint="eastAsia" w:ascii="宋体" w:hAnsi="宋体" w:cs="宋体"/>
          <w:color w:val="auto"/>
          <w:sz w:val="24"/>
          <w:highlight w:val="none"/>
        </w:rPr>
        <w:t xml:space="preserve">日期：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   月   日</w:t>
      </w:r>
    </w:p>
    <w:p w14:paraId="5B62F1B1">
      <w:pPr>
        <w:snapToGrid w:val="0"/>
        <w:spacing w:line="360" w:lineRule="auto"/>
        <w:ind w:left="420" w:leftChars="200" w:firstLine="4200" w:firstLineChars="1750"/>
        <w:rPr>
          <w:rFonts w:ascii="宋体" w:hAnsi="宋体" w:cs="宋体"/>
          <w:color w:val="auto"/>
          <w:kern w:val="0"/>
          <w:sz w:val="24"/>
          <w:highlight w:val="none"/>
          <w:u w:val="single"/>
        </w:rPr>
      </w:pPr>
    </w:p>
    <w:p w14:paraId="4B157FB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7596607">
      <w:pPr>
        <w:snapToGrid w:val="0"/>
        <w:spacing w:line="360" w:lineRule="auto"/>
        <w:jc w:val="center"/>
        <w:rPr>
          <w:rFonts w:ascii="宋体" w:hAnsi="宋体" w:cs="宋体"/>
          <w:b/>
          <w:color w:val="auto"/>
          <w:kern w:val="0"/>
          <w:sz w:val="32"/>
          <w:szCs w:val="32"/>
          <w:highlight w:val="none"/>
        </w:rPr>
      </w:pPr>
    </w:p>
    <w:p w14:paraId="5D514407">
      <w:pPr>
        <w:snapToGrid w:val="0"/>
        <w:spacing w:line="360" w:lineRule="auto"/>
        <w:rPr>
          <w:rFonts w:ascii="宋体" w:hAnsi="宋体" w:cs="宋体"/>
          <w:color w:val="auto"/>
          <w:sz w:val="24"/>
          <w:highlight w:val="none"/>
        </w:rPr>
      </w:pPr>
    </w:p>
    <w:p w14:paraId="14B7E9AF">
      <w:pPr>
        <w:jc w:val="center"/>
        <w:rPr>
          <w:rFonts w:ascii="宋体" w:hAnsi="宋体" w:cs="宋体"/>
          <w:b/>
          <w:color w:val="auto"/>
          <w:kern w:val="0"/>
          <w:sz w:val="32"/>
          <w:szCs w:val="32"/>
          <w:highlight w:val="none"/>
        </w:rPr>
      </w:pPr>
    </w:p>
    <w:p w14:paraId="20105DF3">
      <w:pPr>
        <w:jc w:val="center"/>
        <w:rPr>
          <w:rFonts w:ascii="宋体" w:hAnsi="宋体" w:cs="宋体"/>
          <w:b/>
          <w:color w:val="auto"/>
          <w:kern w:val="0"/>
          <w:sz w:val="32"/>
          <w:szCs w:val="32"/>
          <w:highlight w:val="none"/>
        </w:rPr>
      </w:pPr>
    </w:p>
    <w:p w14:paraId="7BAD3F74">
      <w:pPr>
        <w:jc w:val="center"/>
        <w:rPr>
          <w:rFonts w:ascii="宋体" w:hAnsi="宋体" w:cs="宋体"/>
          <w:b/>
          <w:color w:val="auto"/>
          <w:kern w:val="0"/>
          <w:sz w:val="32"/>
          <w:szCs w:val="32"/>
          <w:highlight w:val="none"/>
        </w:rPr>
      </w:pPr>
    </w:p>
    <w:p w14:paraId="3C18CF32">
      <w:pPr>
        <w:jc w:val="center"/>
        <w:rPr>
          <w:rFonts w:ascii="宋体" w:hAnsi="宋体" w:cs="宋体"/>
          <w:b/>
          <w:color w:val="auto"/>
          <w:kern w:val="0"/>
          <w:sz w:val="32"/>
          <w:szCs w:val="32"/>
          <w:highlight w:val="none"/>
        </w:rPr>
      </w:pPr>
    </w:p>
    <w:p w14:paraId="45959BFD">
      <w:pPr>
        <w:jc w:val="center"/>
        <w:rPr>
          <w:rFonts w:ascii="宋体" w:hAnsi="宋体" w:cs="宋体"/>
          <w:b/>
          <w:color w:val="auto"/>
          <w:kern w:val="0"/>
          <w:sz w:val="32"/>
          <w:szCs w:val="32"/>
          <w:highlight w:val="none"/>
        </w:rPr>
      </w:pPr>
    </w:p>
    <w:p w14:paraId="497D7149">
      <w:pPr>
        <w:jc w:val="center"/>
        <w:rPr>
          <w:rFonts w:ascii="宋体" w:hAnsi="宋体" w:cs="宋体"/>
          <w:b/>
          <w:color w:val="auto"/>
          <w:kern w:val="0"/>
          <w:sz w:val="32"/>
          <w:szCs w:val="32"/>
          <w:highlight w:val="none"/>
        </w:rPr>
      </w:pPr>
    </w:p>
    <w:p w14:paraId="286540FD">
      <w:pPr>
        <w:jc w:val="center"/>
        <w:rPr>
          <w:rFonts w:ascii="宋体" w:hAnsi="宋体" w:cs="宋体"/>
          <w:b/>
          <w:color w:val="auto"/>
          <w:kern w:val="0"/>
          <w:sz w:val="32"/>
          <w:szCs w:val="32"/>
          <w:highlight w:val="none"/>
        </w:rPr>
      </w:pPr>
    </w:p>
    <w:p w14:paraId="5250E0F6">
      <w:pPr>
        <w:jc w:val="center"/>
        <w:rPr>
          <w:rFonts w:ascii="宋体" w:hAnsi="宋体" w:cs="宋体"/>
          <w:b/>
          <w:color w:val="auto"/>
          <w:kern w:val="0"/>
          <w:sz w:val="32"/>
          <w:szCs w:val="32"/>
          <w:highlight w:val="none"/>
        </w:rPr>
      </w:pPr>
    </w:p>
    <w:p w14:paraId="4E4A536E">
      <w:pPr>
        <w:jc w:val="center"/>
        <w:rPr>
          <w:rFonts w:ascii="宋体" w:hAnsi="宋体" w:cs="宋体"/>
          <w:b/>
          <w:color w:val="auto"/>
          <w:kern w:val="0"/>
          <w:sz w:val="32"/>
          <w:szCs w:val="32"/>
          <w:highlight w:val="none"/>
        </w:rPr>
      </w:pPr>
    </w:p>
    <w:p w14:paraId="67CC820B">
      <w:pPr>
        <w:jc w:val="center"/>
        <w:rPr>
          <w:rFonts w:ascii="宋体" w:hAnsi="宋体" w:cs="宋体"/>
          <w:b/>
          <w:color w:val="auto"/>
          <w:kern w:val="0"/>
          <w:sz w:val="32"/>
          <w:szCs w:val="32"/>
          <w:highlight w:val="none"/>
        </w:rPr>
      </w:pPr>
    </w:p>
    <w:p w14:paraId="1791EF4B">
      <w:pPr>
        <w:jc w:val="center"/>
        <w:rPr>
          <w:rFonts w:ascii="宋体" w:hAnsi="宋体" w:cs="宋体"/>
          <w:b/>
          <w:color w:val="auto"/>
          <w:kern w:val="0"/>
          <w:sz w:val="32"/>
          <w:szCs w:val="32"/>
          <w:highlight w:val="none"/>
        </w:rPr>
      </w:pPr>
    </w:p>
    <w:p w14:paraId="0CCFCF07">
      <w:pPr>
        <w:jc w:val="center"/>
        <w:rPr>
          <w:rFonts w:ascii="宋体" w:hAnsi="宋体" w:cs="宋体"/>
          <w:b/>
          <w:color w:val="auto"/>
          <w:kern w:val="0"/>
          <w:sz w:val="32"/>
          <w:szCs w:val="32"/>
          <w:highlight w:val="none"/>
        </w:rPr>
      </w:pPr>
    </w:p>
    <w:p w14:paraId="088EC416">
      <w:pPr>
        <w:jc w:val="center"/>
        <w:rPr>
          <w:rFonts w:ascii="宋体" w:hAnsi="宋体" w:cs="宋体"/>
          <w:b/>
          <w:color w:val="auto"/>
          <w:kern w:val="0"/>
          <w:sz w:val="32"/>
          <w:szCs w:val="32"/>
          <w:highlight w:val="none"/>
        </w:rPr>
      </w:pPr>
    </w:p>
    <w:p w14:paraId="28CB34BE">
      <w:pPr>
        <w:jc w:val="center"/>
        <w:rPr>
          <w:rFonts w:ascii="宋体" w:hAnsi="宋体" w:cs="宋体"/>
          <w:b/>
          <w:color w:val="auto"/>
          <w:kern w:val="0"/>
          <w:sz w:val="32"/>
          <w:szCs w:val="32"/>
          <w:highlight w:val="none"/>
        </w:rPr>
      </w:pPr>
    </w:p>
    <w:p w14:paraId="26B2AB00">
      <w:pPr>
        <w:jc w:val="center"/>
        <w:rPr>
          <w:rFonts w:ascii="宋体" w:hAnsi="宋体" w:cs="宋体"/>
          <w:b/>
          <w:color w:val="auto"/>
          <w:kern w:val="0"/>
          <w:sz w:val="32"/>
          <w:szCs w:val="32"/>
          <w:highlight w:val="none"/>
        </w:rPr>
      </w:pPr>
    </w:p>
    <w:p w14:paraId="240B25A3">
      <w:pPr>
        <w:jc w:val="center"/>
        <w:rPr>
          <w:rFonts w:ascii="宋体" w:hAnsi="宋体" w:cs="宋体"/>
          <w:b/>
          <w:color w:val="auto"/>
          <w:kern w:val="0"/>
          <w:sz w:val="32"/>
          <w:szCs w:val="32"/>
          <w:highlight w:val="none"/>
        </w:rPr>
      </w:pPr>
    </w:p>
    <w:p w14:paraId="5B0270B0">
      <w:pPr>
        <w:jc w:val="center"/>
        <w:rPr>
          <w:rFonts w:ascii="宋体" w:hAnsi="宋体" w:cs="宋体"/>
          <w:b/>
          <w:color w:val="auto"/>
          <w:kern w:val="0"/>
          <w:sz w:val="32"/>
          <w:szCs w:val="32"/>
          <w:highlight w:val="none"/>
        </w:rPr>
      </w:pPr>
    </w:p>
    <w:p w14:paraId="106E4CB1">
      <w:pPr>
        <w:jc w:val="center"/>
        <w:rPr>
          <w:rFonts w:ascii="宋体" w:hAnsi="宋体" w:cs="宋体"/>
          <w:b/>
          <w:color w:val="auto"/>
          <w:kern w:val="0"/>
          <w:sz w:val="32"/>
          <w:szCs w:val="32"/>
          <w:highlight w:val="none"/>
        </w:rPr>
      </w:pPr>
    </w:p>
    <w:p w14:paraId="0B7834AB">
      <w:pPr>
        <w:jc w:val="center"/>
        <w:rPr>
          <w:rFonts w:ascii="宋体" w:hAnsi="宋体" w:cs="宋体"/>
          <w:b/>
          <w:color w:val="auto"/>
          <w:kern w:val="0"/>
          <w:sz w:val="32"/>
          <w:szCs w:val="32"/>
          <w:highlight w:val="none"/>
        </w:rPr>
      </w:pPr>
    </w:p>
    <w:p w14:paraId="10405AF5">
      <w:pPr>
        <w:jc w:val="center"/>
        <w:rPr>
          <w:rFonts w:ascii="宋体" w:hAnsi="宋体" w:cs="宋体"/>
          <w:b/>
          <w:color w:val="auto"/>
          <w:kern w:val="0"/>
          <w:sz w:val="32"/>
          <w:szCs w:val="32"/>
          <w:highlight w:val="none"/>
        </w:rPr>
      </w:pPr>
    </w:p>
    <w:p w14:paraId="3E32010C">
      <w:pPr>
        <w:jc w:val="center"/>
        <w:rPr>
          <w:rFonts w:hint="eastAsia" w:ascii="宋体" w:hAnsi="宋体" w:cs="宋体"/>
          <w:b/>
          <w:color w:val="auto"/>
          <w:kern w:val="0"/>
          <w:sz w:val="32"/>
          <w:szCs w:val="32"/>
          <w:highlight w:val="none"/>
          <w:lang w:val="zh-CN"/>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4EABC4CE">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w:t>
      </w:r>
    </w:p>
    <w:p w14:paraId="549868C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身份证明</w:t>
      </w:r>
    </w:p>
    <w:p w14:paraId="235B44B0">
      <w:pPr>
        <w:snapToGrid w:val="0"/>
        <w:spacing w:line="360" w:lineRule="auto"/>
        <w:rPr>
          <w:rFonts w:ascii="宋体" w:hAnsi="宋体" w:cs="宋体"/>
          <w:color w:val="auto"/>
          <w:sz w:val="24"/>
          <w:highlight w:val="none"/>
        </w:rPr>
      </w:pPr>
    </w:p>
    <w:p w14:paraId="3FF06BE7">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7210AFE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浙江国信工程管理咨询有限公司</w:t>
      </w:r>
      <w:r>
        <w:rPr>
          <w:rFonts w:hint="eastAsia" w:ascii="宋体" w:hAnsi="宋体" w:cs="宋体"/>
          <w:color w:val="auto"/>
          <w:kern w:val="0"/>
          <w:sz w:val="24"/>
          <w:highlight w:val="none"/>
          <w:lang w:val="zh-CN"/>
        </w:rPr>
        <w:t>：</w:t>
      </w:r>
    </w:p>
    <w:p w14:paraId="4B521C0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宁海县柔石公园、正学公园、眠牛山公园、潘天寿广场水质养护项目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GXZB-NH2025-005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50F3E1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9635AE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39CDC6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3601B7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FB7CA03">
      <w:pPr>
        <w:snapToGrid w:val="0"/>
        <w:spacing w:line="360" w:lineRule="auto"/>
        <w:rPr>
          <w:rFonts w:hint="eastAsia" w:ascii="宋体" w:hAnsi="宋体" w:eastAsia="宋体" w:cs="宋体"/>
          <w:b/>
          <w:color w:val="auto"/>
          <w:kern w:val="0"/>
          <w:sz w:val="32"/>
          <w:szCs w:val="32"/>
          <w:highlight w:val="none"/>
          <w:lang w:val="zh-CN"/>
        </w:rPr>
      </w:pPr>
    </w:p>
    <w:p w14:paraId="0C0097B2">
      <w:pPr>
        <w:snapToGrid w:val="0"/>
        <w:spacing w:line="360" w:lineRule="auto"/>
        <w:jc w:val="center"/>
        <w:rPr>
          <w:rFonts w:ascii="宋体" w:hAnsi="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w:t>
      </w:r>
      <w:r>
        <w:rPr>
          <w:rFonts w:hint="eastAsia" w:ascii="宋体" w:hAnsi="宋体" w:cs="宋体"/>
          <w:b/>
          <w:color w:val="auto"/>
          <w:kern w:val="0"/>
          <w:sz w:val="32"/>
          <w:szCs w:val="32"/>
          <w:highlight w:val="none"/>
          <w:lang w:val="zh-CN"/>
        </w:rPr>
        <w:t>委托书（适用于联合体投标）</w:t>
      </w:r>
    </w:p>
    <w:p w14:paraId="5ED2977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浙江国信工程管理咨询有限公司</w:t>
      </w:r>
      <w:r>
        <w:rPr>
          <w:rFonts w:hint="eastAsia" w:ascii="宋体" w:hAnsi="宋体" w:cs="宋体"/>
          <w:color w:val="auto"/>
          <w:kern w:val="0"/>
          <w:sz w:val="24"/>
          <w:highlight w:val="none"/>
          <w:lang w:val="zh-CN"/>
        </w:rPr>
        <w:t>：</w:t>
      </w:r>
    </w:p>
    <w:p w14:paraId="3A30472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宁海县柔石公园、正学公园、眠牛山公园、潘天寿广场水质养护项目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GXZB-NH2025-005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E3E82C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523C5C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672E71">
      <w:pPr>
        <w:jc w:val="center"/>
        <w:rPr>
          <w:rFonts w:ascii="宋体" w:hAnsi="宋体" w:cs="宋体"/>
          <w:b/>
          <w:color w:val="auto"/>
          <w:kern w:val="0"/>
          <w:sz w:val="32"/>
          <w:szCs w:val="32"/>
          <w:highlight w:val="none"/>
        </w:rPr>
      </w:pPr>
    </w:p>
    <w:p w14:paraId="1C212A4C">
      <w:pPr>
        <w:rPr>
          <w:rFonts w:ascii="宋体" w:hAnsi="宋体" w:cs="宋体"/>
          <w:color w:val="auto"/>
          <w:highlight w:val="none"/>
        </w:rPr>
      </w:pPr>
    </w:p>
    <w:p w14:paraId="1582E14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C58306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C4BFD1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4DB54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7A32B29">
      <w:pPr>
        <w:autoSpaceDE w:val="0"/>
        <w:autoSpaceDN w:val="0"/>
        <w:spacing w:line="360" w:lineRule="auto"/>
        <w:jc w:val="center"/>
        <w:rPr>
          <w:rFonts w:ascii="宋体" w:hAnsi="宋体" w:cs="宋体"/>
          <w:b/>
          <w:color w:val="auto"/>
          <w:kern w:val="0"/>
          <w:sz w:val="32"/>
          <w:szCs w:val="32"/>
          <w:highlight w:val="none"/>
          <w:lang w:val="zh-CN"/>
        </w:rPr>
      </w:pPr>
    </w:p>
    <w:p w14:paraId="54140AE3">
      <w:pPr>
        <w:autoSpaceDE w:val="0"/>
        <w:autoSpaceDN w:val="0"/>
        <w:spacing w:line="360" w:lineRule="auto"/>
        <w:jc w:val="center"/>
        <w:rPr>
          <w:rFonts w:ascii="宋体" w:hAnsi="宋体" w:cs="宋体"/>
          <w:b/>
          <w:color w:val="auto"/>
          <w:kern w:val="0"/>
          <w:sz w:val="32"/>
          <w:szCs w:val="32"/>
          <w:highlight w:val="none"/>
          <w:lang w:val="zh-CN"/>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24FEFA4D">
      <w:pPr>
        <w:autoSpaceDE w:val="0"/>
        <w:autoSpaceDN w:val="0"/>
        <w:spacing w:line="360" w:lineRule="auto"/>
        <w:jc w:val="center"/>
        <w:rPr>
          <w:rFonts w:ascii="宋体" w:hAnsi="宋体" w:cs="宋体"/>
          <w:b/>
          <w:color w:val="auto"/>
          <w:kern w:val="0"/>
          <w:sz w:val="32"/>
          <w:szCs w:val="32"/>
          <w:highlight w:val="none"/>
          <w:lang w:val="zh-CN"/>
        </w:rPr>
      </w:pPr>
    </w:p>
    <w:p w14:paraId="6EA0FBBA">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1DC0BDB">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93C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46AA125">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71EE673">
            <w:pPr>
              <w:pStyle w:val="150"/>
              <w:adjustRightInd w:val="0"/>
              <w:spacing w:line="360" w:lineRule="auto"/>
              <w:rPr>
                <w:rFonts w:hAnsi="宋体" w:cs="宋体"/>
                <w:bCs/>
                <w:color w:val="auto"/>
                <w:sz w:val="24"/>
                <w:highlight w:val="none"/>
              </w:rPr>
            </w:pPr>
          </w:p>
        </w:tc>
      </w:tr>
    </w:tbl>
    <w:p w14:paraId="54474D1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D340AA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8F7849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C7A5CAF">
      <w:pPr>
        <w:jc w:val="center"/>
        <w:rPr>
          <w:rFonts w:ascii="宋体" w:hAnsi="宋体" w:cs="宋体"/>
          <w:b/>
          <w:color w:val="auto"/>
          <w:kern w:val="0"/>
          <w:sz w:val="32"/>
          <w:szCs w:val="32"/>
          <w:highlight w:val="none"/>
        </w:rPr>
      </w:pPr>
    </w:p>
    <w:p w14:paraId="75ED0E14">
      <w:pPr>
        <w:jc w:val="center"/>
        <w:rPr>
          <w:rFonts w:ascii="宋体" w:hAnsi="宋体" w:cs="宋体"/>
          <w:b/>
          <w:color w:val="auto"/>
          <w:kern w:val="0"/>
          <w:sz w:val="32"/>
          <w:szCs w:val="32"/>
          <w:highlight w:val="none"/>
        </w:rPr>
      </w:pPr>
    </w:p>
    <w:p w14:paraId="07F53BB1">
      <w:pPr>
        <w:jc w:val="center"/>
        <w:rPr>
          <w:rFonts w:ascii="宋体" w:hAnsi="宋体" w:cs="宋体"/>
          <w:b/>
          <w:color w:val="auto"/>
          <w:kern w:val="0"/>
          <w:sz w:val="32"/>
          <w:szCs w:val="32"/>
          <w:highlight w:val="none"/>
        </w:rPr>
      </w:pPr>
    </w:p>
    <w:p w14:paraId="36D99D37">
      <w:pPr>
        <w:jc w:val="center"/>
        <w:rPr>
          <w:rFonts w:ascii="宋体" w:hAnsi="宋体" w:cs="宋体"/>
          <w:b/>
          <w:color w:val="auto"/>
          <w:kern w:val="0"/>
          <w:sz w:val="32"/>
          <w:szCs w:val="32"/>
          <w:highlight w:val="none"/>
        </w:rPr>
      </w:pPr>
    </w:p>
    <w:p w14:paraId="15523964">
      <w:pPr>
        <w:jc w:val="center"/>
        <w:rPr>
          <w:rFonts w:ascii="宋体" w:hAnsi="宋体" w:cs="宋体"/>
          <w:b/>
          <w:color w:val="auto"/>
          <w:kern w:val="0"/>
          <w:sz w:val="32"/>
          <w:szCs w:val="32"/>
          <w:highlight w:val="none"/>
        </w:rPr>
      </w:pPr>
    </w:p>
    <w:p w14:paraId="1F2EF0D2">
      <w:pPr>
        <w:jc w:val="center"/>
        <w:rPr>
          <w:rFonts w:ascii="宋体" w:hAnsi="宋体" w:cs="宋体"/>
          <w:b/>
          <w:color w:val="auto"/>
          <w:kern w:val="0"/>
          <w:sz w:val="32"/>
          <w:szCs w:val="32"/>
          <w:highlight w:val="none"/>
        </w:rPr>
      </w:pPr>
    </w:p>
    <w:p w14:paraId="014A6C22">
      <w:pPr>
        <w:jc w:val="center"/>
        <w:rPr>
          <w:rFonts w:ascii="宋体" w:hAnsi="宋体" w:cs="宋体"/>
          <w:b/>
          <w:color w:val="auto"/>
          <w:kern w:val="0"/>
          <w:sz w:val="32"/>
          <w:szCs w:val="32"/>
          <w:highlight w:val="none"/>
        </w:rPr>
      </w:pPr>
    </w:p>
    <w:p w14:paraId="3CF606A8">
      <w:pPr>
        <w:jc w:val="center"/>
        <w:rPr>
          <w:rFonts w:ascii="宋体" w:hAnsi="宋体" w:cs="宋体"/>
          <w:b/>
          <w:color w:val="auto"/>
          <w:kern w:val="0"/>
          <w:sz w:val="32"/>
          <w:szCs w:val="32"/>
          <w:highlight w:val="none"/>
        </w:rPr>
      </w:pPr>
    </w:p>
    <w:p w14:paraId="2572FC53">
      <w:pPr>
        <w:jc w:val="center"/>
        <w:rPr>
          <w:rFonts w:ascii="宋体" w:hAnsi="宋体" w:cs="宋体"/>
          <w:b/>
          <w:color w:val="auto"/>
          <w:kern w:val="0"/>
          <w:sz w:val="32"/>
          <w:szCs w:val="32"/>
          <w:highlight w:val="none"/>
        </w:rPr>
      </w:pPr>
    </w:p>
    <w:p w14:paraId="20923C3C">
      <w:pPr>
        <w:jc w:val="center"/>
        <w:rPr>
          <w:rFonts w:ascii="宋体" w:hAnsi="宋体" w:cs="宋体"/>
          <w:b/>
          <w:color w:val="auto"/>
          <w:kern w:val="0"/>
          <w:sz w:val="32"/>
          <w:szCs w:val="32"/>
          <w:highlight w:val="none"/>
        </w:rPr>
      </w:pPr>
    </w:p>
    <w:p w14:paraId="1D138BB7">
      <w:pPr>
        <w:snapToGrid w:val="0"/>
        <w:spacing w:line="360" w:lineRule="auto"/>
        <w:ind w:right="480"/>
        <w:rPr>
          <w:rFonts w:ascii="宋体" w:hAnsi="宋体" w:cs="宋体"/>
          <w:b/>
          <w:color w:val="auto"/>
          <w:kern w:val="0"/>
          <w:sz w:val="32"/>
          <w:szCs w:val="32"/>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72C81BC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861AC8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CE6E632">
      <w:pPr>
        <w:snapToGrid w:val="0"/>
        <w:spacing w:line="360" w:lineRule="auto"/>
        <w:rPr>
          <w:rFonts w:ascii="宋体" w:hAnsi="宋体" w:cs="宋体"/>
          <w:color w:val="auto"/>
          <w:kern w:val="0"/>
          <w:sz w:val="24"/>
          <w:highlight w:val="none"/>
        </w:rPr>
      </w:pPr>
    </w:p>
    <w:p w14:paraId="742678D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2812CFE">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DE7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0DE791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0E63D5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38980F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245817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D5A1B3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D81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E1F75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4E364D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B737724">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8354F30">
            <w:pPr>
              <w:rPr>
                <w:rFonts w:ascii="宋体" w:hAnsi="宋体" w:cs="宋体"/>
                <w:color w:val="auto"/>
                <w:sz w:val="24"/>
                <w:highlight w:val="none"/>
              </w:rPr>
            </w:pPr>
            <w:r>
              <w:rPr>
                <w:rFonts w:hint="eastAsia" w:ascii="宋体" w:hAnsi="宋体" w:cs="宋体"/>
                <w:color w:val="auto"/>
                <w:sz w:val="24"/>
                <w:highlight w:val="none"/>
              </w:rPr>
              <w:t>见投标文件</w:t>
            </w:r>
          </w:p>
          <w:p w14:paraId="3B471607">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E8A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74242C">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42E4D6FA">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80115E5">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6E3EFC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8ADC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646" w:type="dxa"/>
            <w:vAlign w:val="center"/>
          </w:tcPr>
          <w:p w14:paraId="7D92F58D">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36D111A2">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2F98586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23C082CD">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637744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817372">
      <w:pPr>
        <w:jc w:val="center"/>
        <w:rPr>
          <w:rFonts w:ascii="宋体" w:hAnsi="宋体" w:cs="宋体"/>
          <w:b/>
          <w:color w:val="auto"/>
          <w:kern w:val="0"/>
          <w:sz w:val="32"/>
          <w:szCs w:val="32"/>
          <w:highlight w:val="none"/>
        </w:rPr>
      </w:pPr>
    </w:p>
    <w:p w14:paraId="18FA338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B01C223">
      <w:pPr>
        <w:jc w:val="center"/>
        <w:rPr>
          <w:rFonts w:ascii="宋体" w:hAnsi="宋体" w:cs="宋体"/>
          <w:b/>
          <w:color w:val="auto"/>
          <w:kern w:val="0"/>
          <w:sz w:val="32"/>
          <w:szCs w:val="32"/>
          <w:highlight w:val="none"/>
        </w:rPr>
      </w:pPr>
    </w:p>
    <w:p w14:paraId="16F1CBFB">
      <w:pPr>
        <w:jc w:val="center"/>
        <w:rPr>
          <w:rFonts w:ascii="宋体" w:hAnsi="宋体" w:cs="宋体"/>
          <w:b/>
          <w:color w:val="auto"/>
          <w:kern w:val="0"/>
          <w:sz w:val="32"/>
          <w:szCs w:val="32"/>
          <w:highlight w:val="none"/>
        </w:rPr>
      </w:pPr>
    </w:p>
    <w:p w14:paraId="6AF4C56F">
      <w:pPr>
        <w:jc w:val="center"/>
        <w:rPr>
          <w:rFonts w:ascii="宋体" w:hAnsi="宋体" w:cs="宋体"/>
          <w:b/>
          <w:color w:val="auto"/>
          <w:kern w:val="0"/>
          <w:sz w:val="32"/>
          <w:szCs w:val="32"/>
          <w:highlight w:val="none"/>
        </w:rPr>
      </w:pPr>
    </w:p>
    <w:p w14:paraId="5A3EA6C9">
      <w:pPr>
        <w:jc w:val="center"/>
        <w:rPr>
          <w:rFonts w:ascii="宋体" w:hAnsi="宋体" w:cs="宋体"/>
          <w:b/>
          <w:color w:val="auto"/>
          <w:kern w:val="0"/>
          <w:sz w:val="32"/>
          <w:szCs w:val="32"/>
          <w:highlight w:val="none"/>
        </w:rPr>
      </w:pPr>
    </w:p>
    <w:p w14:paraId="53DD34EA">
      <w:pPr>
        <w:jc w:val="center"/>
        <w:rPr>
          <w:rFonts w:ascii="宋体" w:hAnsi="宋体" w:cs="宋体"/>
          <w:b/>
          <w:color w:val="auto"/>
          <w:kern w:val="0"/>
          <w:sz w:val="32"/>
          <w:szCs w:val="32"/>
          <w:highlight w:val="none"/>
        </w:rPr>
        <w:sectPr>
          <w:headerReference r:id="rId16" w:type="first"/>
          <w:footerReference r:id="rId18" w:type="first"/>
          <w:headerReference r:id="rId15" w:type="default"/>
          <w:footerReference r:id="rId17" w:type="default"/>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4D55BA9F">
      <w:pPr>
        <w:jc w:val="center"/>
        <w:rPr>
          <w:rFonts w:ascii="宋体" w:hAnsi="宋体" w:cs="宋体"/>
          <w:b/>
          <w:color w:val="auto"/>
          <w:kern w:val="0"/>
          <w:sz w:val="32"/>
          <w:szCs w:val="32"/>
          <w:highlight w:val="none"/>
        </w:rPr>
      </w:pPr>
    </w:p>
    <w:p w14:paraId="57F030A6">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52158BB">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B4CBFB0">
      <w:pPr>
        <w:jc w:val="center"/>
        <w:rPr>
          <w:rFonts w:ascii="宋体" w:hAnsi="宋体" w:cs="宋体"/>
          <w:b/>
          <w:color w:val="auto"/>
          <w:kern w:val="0"/>
          <w:sz w:val="32"/>
          <w:szCs w:val="32"/>
          <w:highlight w:val="none"/>
        </w:rPr>
      </w:pPr>
    </w:p>
    <w:p w14:paraId="6D337E0B">
      <w:pPr>
        <w:jc w:val="center"/>
        <w:rPr>
          <w:rFonts w:ascii="宋体" w:hAnsi="宋体" w:cs="宋体"/>
          <w:b/>
          <w:color w:val="auto"/>
          <w:kern w:val="0"/>
          <w:sz w:val="32"/>
          <w:szCs w:val="32"/>
          <w:highlight w:val="none"/>
        </w:rPr>
      </w:pPr>
    </w:p>
    <w:p w14:paraId="28460890">
      <w:pPr>
        <w:pStyle w:val="80"/>
      </w:pPr>
    </w:p>
    <w:p w14:paraId="759B70E8">
      <w:pPr>
        <w:jc w:val="center"/>
        <w:rPr>
          <w:rFonts w:ascii="宋体" w:hAnsi="宋体" w:cs="宋体"/>
          <w:b/>
          <w:color w:val="auto"/>
          <w:kern w:val="0"/>
          <w:sz w:val="32"/>
          <w:szCs w:val="32"/>
          <w:highlight w:val="none"/>
        </w:rPr>
      </w:pPr>
    </w:p>
    <w:p w14:paraId="1DE286F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507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7696E6F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CFD22C4">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956545F">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0F356E9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399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77AE68">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02F4DD1">
            <w:pPr>
              <w:jc w:val="center"/>
              <w:rPr>
                <w:rFonts w:ascii="宋体" w:hAnsi="宋体" w:cs="宋体"/>
                <w:b/>
                <w:color w:val="auto"/>
                <w:kern w:val="0"/>
                <w:sz w:val="32"/>
                <w:szCs w:val="32"/>
                <w:highlight w:val="none"/>
              </w:rPr>
            </w:pPr>
          </w:p>
        </w:tc>
        <w:tc>
          <w:tcPr>
            <w:tcW w:w="3546" w:type="dxa"/>
          </w:tcPr>
          <w:p w14:paraId="655A4EA9">
            <w:pPr>
              <w:jc w:val="center"/>
              <w:rPr>
                <w:rFonts w:ascii="宋体" w:hAnsi="宋体" w:cs="宋体"/>
                <w:b/>
                <w:color w:val="auto"/>
                <w:kern w:val="0"/>
                <w:sz w:val="32"/>
                <w:szCs w:val="32"/>
                <w:highlight w:val="none"/>
              </w:rPr>
            </w:pPr>
          </w:p>
        </w:tc>
        <w:tc>
          <w:tcPr>
            <w:tcW w:w="1276" w:type="dxa"/>
          </w:tcPr>
          <w:p w14:paraId="1F7B100E">
            <w:pPr>
              <w:jc w:val="center"/>
              <w:rPr>
                <w:rFonts w:ascii="宋体" w:hAnsi="宋体" w:cs="宋体"/>
                <w:b/>
                <w:color w:val="auto"/>
                <w:kern w:val="0"/>
                <w:sz w:val="32"/>
                <w:szCs w:val="32"/>
                <w:highlight w:val="none"/>
              </w:rPr>
            </w:pPr>
          </w:p>
        </w:tc>
      </w:tr>
      <w:tr w14:paraId="7ED4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151A4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F580130">
            <w:pPr>
              <w:jc w:val="center"/>
              <w:rPr>
                <w:rFonts w:ascii="宋体" w:hAnsi="宋体" w:cs="宋体"/>
                <w:b/>
                <w:color w:val="auto"/>
                <w:kern w:val="0"/>
                <w:sz w:val="32"/>
                <w:szCs w:val="32"/>
                <w:highlight w:val="none"/>
              </w:rPr>
            </w:pPr>
          </w:p>
        </w:tc>
        <w:tc>
          <w:tcPr>
            <w:tcW w:w="3546" w:type="dxa"/>
          </w:tcPr>
          <w:p w14:paraId="3C739187">
            <w:pPr>
              <w:jc w:val="center"/>
              <w:rPr>
                <w:rFonts w:ascii="宋体" w:hAnsi="宋体" w:cs="宋体"/>
                <w:b/>
                <w:color w:val="auto"/>
                <w:kern w:val="0"/>
                <w:sz w:val="32"/>
                <w:szCs w:val="32"/>
                <w:highlight w:val="none"/>
              </w:rPr>
            </w:pPr>
          </w:p>
        </w:tc>
        <w:tc>
          <w:tcPr>
            <w:tcW w:w="1276" w:type="dxa"/>
          </w:tcPr>
          <w:p w14:paraId="1FD09F89">
            <w:pPr>
              <w:jc w:val="center"/>
              <w:rPr>
                <w:rFonts w:ascii="宋体" w:hAnsi="宋体" w:cs="宋体"/>
                <w:b/>
                <w:color w:val="auto"/>
                <w:kern w:val="0"/>
                <w:sz w:val="32"/>
                <w:szCs w:val="32"/>
                <w:highlight w:val="none"/>
              </w:rPr>
            </w:pPr>
          </w:p>
        </w:tc>
      </w:tr>
      <w:tr w14:paraId="008B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5B1B21">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1AA4142">
            <w:pPr>
              <w:jc w:val="center"/>
              <w:rPr>
                <w:rFonts w:ascii="宋体" w:hAnsi="宋体" w:cs="宋体"/>
                <w:b/>
                <w:color w:val="auto"/>
                <w:kern w:val="0"/>
                <w:sz w:val="32"/>
                <w:szCs w:val="32"/>
                <w:highlight w:val="none"/>
              </w:rPr>
            </w:pPr>
          </w:p>
        </w:tc>
        <w:tc>
          <w:tcPr>
            <w:tcW w:w="3546" w:type="dxa"/>
          </w:tcPr>
          <w:p w14:paraId="097756EF">
            <w:pPr>
              <w:jc w:val="center"/>
              <w:rPr>
                <w:rFonts w:ascii="宋体" w:hAnsi="宋体" w:cs="宋体"/>
                <w:b/>
                <w:color w:val="auto"/>
                <w:kern w:val="0"/>
                <w:sz w:val="32"/>
                <w:szCs w:val="32"/>
                <w:highlight w:val="none"/>
              </w:rPr>
            </w:pPr>
          </w:p>
        </w:tc>
        <w:tc>
          <w:tcPr>
            <w:tcW w:w="1276" w:type="dxa"/>
          </w:tcPr>
          <w:p w14:paraId="01CEDB2B">
            <w:pPr>
              <w:jc w:val="center"/>
              <w:rPr>
                <w:rFonts w:ascii="宋体" w:hAnsi="宋体" w:cs="宋体"/>
                <w:b/>
                <w:color w:val="auto"/>
                <w:kern w:val="0"/>
                <w:sz w:val="32"/>
                <w:szCs w:val="32"/>
                <w:highlight w:val="none"/>
              </w:rPr>
            </w:pPr>
          </w:p>
        </w:tc>
      </w:tr>
    </w:tbl>
    <w:p w14:paraId="54CE17B5">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EEA3FC4">
      <w:pPr>
        <w:jc w:val="center"/>
        <w:rPr>
          <w:rFonts w:ascii="宋体" w:hAnsi="宋体" w:cs="宋体"/>
          <w:b/>
          <w:color w:val="auto"/>
          <w:kern w:val="0"/>
          <w:sz w:val="32"/>
          <w:szCs w:val="32"/>
          <w:highlight w:val="none"/>
        </w:rPr>
      </w:pPr>
    </w:p>
    <w:p w14:paraId="0413F35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F15E2BE">
      <w:pPr>
        <w:ind w:firstLine="1911" w:firstLineChars="595"/>
        <w:rPr>
          <w:rFonts w:ascii="宋体" w:hAnsi="宋体" w:cs="宋体"/>
          <w:b/>
          <w:bCs/>
          <w:color w:val="auto"/>
          <w:sz w:val="32"/>
          <w:szCs w:val="32"/>
          <w:highlight w:val="none"/>
        </w:rPr>
      </w:pPr>
    </w:p>
    <w:p w14:paraId="0AA5E5A9">
      <w:pPr>
        <w:ind w:firstLine="1911" w:firstLineChars="595"/>
        <w:rPr>
          <w:rFonts w:ascii="宋体" w:hAnsi="宋体" w:cs="宋体"/>
          <w:b/>
          <w:bCs/>
          <w:color w:val="auto"/>
          <w:sz w:val="32"/>
          <w:szCs w:val="32"/>
          <w:highlight w:val="none"/>
        </w:rPr>
      </w:pPr>
    </w:p>
    <w:p w14:paraId="0A3AD6B1">
      <w:pPr>
        <w:ind w:firstLine="1911" w:firstLineChars="595"/>
        <w:rPr>
          <w:rFonts w:ascii="宋体" w:hAnsi="宋体" w:cs="宋体"/>
          <w:b/>
          <w:bCs/>
          <w:color w:val="auto"/>
          <w:sz w:val="32"/>
          <w:szCs w:val="32"/>
          <w:highlight w:val="none"/>
        </w:rPr>
      </w:pPr>
    </w:p>
    <w:p w14:paraId="5EA8CCEB">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850DBC5">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0A74E3A">
      <w:pPr>
        <w:snapToGrid w:val="0"/>
        <w:spacing w:line="360" w:lineRule="auto"/>
        <w:rPr>
          <w:rFonts w:ascii="宋体" w:hAnsi="宋体" w:cs="宋体"/>
          <w:color w:val="auto"/>
          <w:sz w:val="24"/>
          <w:highlight w:val="none"/>
        </w:rPr>
      </w:pPr>
    </w:p>
    <w:p w14:paraId="0C5D28F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浙江国信工程管理咨询有限公司</w:t>
      </w:r>
      <w:r>
        <w:rPr>
          <w:rFonts w:hint="eastAsia" w:ascii="宋体" w:hAnsi="宋体" w:cs="宋体"/>
          <w:color w:val="auto"/>
          <w:kern w:val="0"/>
          <w:sz w:val="24"/>
          <w:highlight w:val="none"/>
          <w:lang w:val="zh-CN"/>
        </w:rPr>
        <w:t>：</w:t>
      </w:r>
    </w:p>
    <w:p w14:paraId="53A16C36">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我单位响应你单位项目招标要求参加投标。在这次投标过程中和中标后，我们将严格遵守国家法律法规要求，并郑重承诺：</w:t>
      </w:r>
    </w:p>
    <w:p w14:paraId="282A71B7">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p>
    <w:p w14:paraId="417E0EFD">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p>
    <w:p w14:paraId="39A575F5">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p>
    <w:p w14:paraId="19B010D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B57DA3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EB7A204">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59D5CEE">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六、严格遵守《中华人民共和国政府采购法》《中华人民共和国招标投标法》《中华人民共和国民法典》等法律法规，诚实守信，合法经营，坚决抵制各种违法违纪行为。</w:t>
      </w:r>
    </w:p>
    <w:p w14:paraId="01134721">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w:t>
      </w:r>
      <w:r>
        <w:rPr>
          <w:rFonts w:hint="eastAsia" w:ascii="宋体" w:hAnsi="宋体" w:cs="宋体"/>
          <w:color w:val="auto"/>
          <w:kern w:val="0"/>
          <w:sz w:val="24"/>
          <w:highlight w:val="none"/>
          <w:lang w:val="en-US" w:eastAsia="zh-CN"/>
        </w:rPr>
        <w:t>区</w:t>
      </w:r>
      <w:r>
        <w:rPr>
          <w:rFonts w:hint="eastAsia" w:ascii="宋体" w:hAnsi="宋体" w:cs="宋体"/>
          <w:color w:val="auto"/>
          <w:kern w:val="0"/>
          <w:sz w:val="24"/>
          <w:highlight w:val="none"/>
          <w:lang w:val="zh-CN"/>
        </w:rPr>
        <w:t>财政局。由此引起的相应损失均由我单位承担。</w:t>
      </w:r>
    </w:p>
    <w:p w14:paraId="092C8CAB">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p>
    <w:p w14:paraId="5BE3C3D5">
      <w:pPr>
        <w:autoSpaceDE w:val="0"/>
        <w:autoSpaceDN w:val="0"/>
        <w:spacing w:line="360" w:lineRule="auto"/>
        <w:ind w:left="2"/>
        <w:jc w:val="left"/>
        <w:rPr>
          <w:rFonts w:ascii="宋体" w:hAnsi="宋体" w:cs="宋体"/>
          <w:color w:val="auto"/>
          <w:kern w:val="0"/>
          <w:sz w:val="24"/>
          <w:highlight w:val="none"/>
          <w:lang w:val="zh-CN"/>
        </w:rPr>
      </w:pPr>
    </w:p>
    <w:p w14:paraId="7A6574C1">
      <w:pPr>
        <w:autoSpaceDE w:val="0"/>
        <w:autoSpaceDN w:val="0"/>
        <w:spacing w:line="360" w:lineRule="auto"/>
        <w:ind w:left="2"/>
        <w:jc w:val="left"/>
        <w:rPr>
          <w:rFonts w:ascii="宋体" w:hAnsi="宋体" w:cs="宋体"/>
          <w:color w:val="auto"/>
          <w:kern w:val="0"/>
          <w:sz w:val="24"/>
          <w:highlight w:val="none"/>
          <w:lang w:val="zh-CN"/>
        </w:rPr>
      </w:pPr>
    </w:p>
    <w:p w14:paraId="66C94AF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12DB424">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25634B7">
      <w:pPr>
        <w:spacing w:line="360" w:lineRule="auto"/>
        <w:jc w:val="center"/>
        <w:rPr>
          <w:rFonts w:ascii="宋体" w:hAnsi="宋体" w:cs="宋体"/>
          <w:b/>
          <w:bCs/>
          <w:color w:val="auto"/>
          <w:sz w:val="24"/>
          <w:highlight w:val="none"/>
        </w:rPr>
      </w:pPr>
    </w:p>
    <w:p w14:paraId="5F4B0AF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247093C">
      <w:pPr>
        <w:spacing w:line="360" w:lineRule="auto"/>
        <w:jc w:val="center"/>
        <w:rPr>
          <w:rFonts w:ascii="宋体" w:hAnsi="宋体" w:cs="宋体"/>
          <w:b/>
          <w:bCs/>
          <w:color w:val="auto"/>
          <w:sz w:val="24"/>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54AFD835">
      <w:pPr>
        <w:jc w:val="center"/>
        <w:rPr>
          <w:rFonts w:hint="eastAsia" w:ascii="宋体" w:hAnsi="宋体" w:eastAsia="宋体" w:cs="宋体"/>
          <w:b/>
          <w:color w:val="auto"/>
          <w:kern w:val="0"/>
          <w:sz w:val="32"/>
          <w:szCs w:val="32"/>
          <w:highlight w:val="none"/>
          <w:lang w:val="en-US" w:eastAsia="zh-CN"/>
        </w:rPr>
      </w:pPr>
    </w:p>
    <w:p w14:paraId="49091F0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874080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0EDE24F">
      <w:pPr>
        <w:spacing w:line="360" w:lineRule="auto"/>
        <w:jc w:val="center"/>
        <w:outlineLvl w:val="0"/>
        <w:rPr>
          <w:rFonts w:ascii="宋体" w:hAnsi="宋体" w:cs="宋体"/>
          <w:b/>
          <w:color w:val="auto"/>
          <w:kern w:val="0"/>
          <w:sz w:val="36"/>
          <w:szCs w:val="36"/>
          <w:highlight w:val="none"/>
        </w:rPr>
      </w:pPr>
    </w:p>
    <w:p w14:paraId="4FBAA361">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（1）开标一览</w:t>
      </w:r>
      <w:r>
        <w:rPr>
          <w:rFonts w:hint="eastAsia" w:ascii="宋体" w:hAnsi="宋体" w:eastAsia="宋体" w:cs="宋体"/>
          <w:color w:val="auto"/>
          <w:sz w:val="24"/>
          <w:highlight w:val="none"/>
        </w:rPr>
        <w:t>表（报价表）………………………………………………………（页码）</w:t>
      </w:r>
    </w:p>
    <w:p w14:paraId="6FCE5ECB">
      <w:pPr>
        <w:pStyle w:val="23"/>
        <w:rPr>
          <w:rFonts w:hint="eastAsia"/>
          <w:color w:val="auto"/>
          <w:highlight w:val="none"/>
        </w:rPr>
      </w:pPr>
    </w:p>
    <w:p w14:paraId="7BCFDBD4">
      <w:pPr>
        <w:snapToGrid w:val="0"/>
        <w:spacing w:line="360" w:lineRule="auto"/>
        <w:ind w:right="480"/>
        <w:jc w:val="center"/>
        <w:rPr>
          <w:rFonts w:ascii="宋体" w:hAnsi="宋体" w:cs="宋体"/>
          <w:b/>
          <w:color w:val="auto"/>
          <w:kern w:val="0"/>
          <w:sz w:val="32"/>
          <w:szCs w:val="32"/>
          <w:highlight w:val="none"/>
        </w:rPr>
      </w:pPr>
    </w:p>
    <w:p w14:paraId="423864EB">
      <w:pPr>
        <w:snapToGrid w:val="0"/>
        <w:spacing w:line="360" w:lineRule="auto"/>
        <w:ind w:right="480"/>
        <w:jc w:val="center"/>
        <w:rPr>
          <w:rFonts w:ascii="宋体" w:hAnsi="宋体" w:cs="宋体"/>
          <w:b/>
          <w:color w:val="auto"/>
          <w:kern w:val="0"/>
          <w:sz w:val="32"/>
          <w:szCs w:val="32"/>
          <w:highlight w:val="none"/>
        </w:rPr>
      </w:pPr>
    </w:p>
    <w:p w14:paraId="4C549F78">
      <w:pPr>
        <w:snapToGrid w:val="0"/>
        <w:spacing w:line="360" w:lineRule="auto"/>
        <w:ind w:right="480"/>
        <w:jc w:val="center"/>
        <w:rPr>
          <w:rFonts w:ascii="宋体" w:hAnsi="宋体" w:cs="宋体"/>
          <w:b/>
          <w:color w:val="auto"/>
          <w:kern w:val="0"/>
          <w:sz w:val="32"/>
          <w:szCs w:val="32"/>
          <w:highlight w:val="none"/>
        </w:rPr>
      </w:pPr>
    </w:p>
    <w:p w14:paraId="64AD3A9A">
      <w:pPr>
        <w:snapToGrid w:val="0"/>
        <w:spacing w:line="360" w:lineRule="auto"/>
        <w:ind w:right="480"/>
        <w:jc w:val="center"/>
        <w:rPr>
          <w:rFonts w:ascii="宋体" w:hAnsi="宋体" w:cs="宋体"/>
          <w:b/>
          <w:color w:val="auto"/>
          <w:kern w:val="0"/>
          <w:sz w:val="32"/>
          <w:szCs w:val="32"/>
          <w:highlight w:val="none"/>
        </w:rPr>
      </w:pPr>
    </w:p>
    <w:p w14:paraId="2EE8C700">
      <w:pPr>
        <w:snapToGrid w:val="0"/>
        <w:spacing w:line="360" w:lineRule="auto"/>
        <w:ind w:right="480"/>
        <w:jc w:val="center"/>
        <w:rPr>
          <w:rFonts w:ascii="宋体" w:hAnsi="宋体" w:cs="宋体"/>
          <w:b/>
          <w:color w:val="auto"/>
          <w:kern w:val="0"/>
          <w:sz w:val="32"/>
          <w:szCs w:val="32"/>
          <w:highlight w:val="none"/>
        </w:rPr>
      </w:pPr>
    </w:p>
    <w:p w14:paraId="1873544B">
      <w:pPr>
        <w:snapToGrid w:val="0"/>
        <w:spacing w:line="360" w:lineRule="auto"/>
        <w:ind w:right="480"/>
        <w:jc w:val="center"/>
        <w:rPr>
          <w:rFonts w:ascii="宋体" w:hAnsi="宋体" w:cs="宋体"/>
          <w:b/>
          <w:color w:val="auto"/>
          <w:kern w:val="0"/>
          <w:sz w:val="32"/>
          <w:szCs w:val="32"/>
          <w:highlight w:val="none"/>
        </w:rPr>
      </w:pPr>
    </w:p>
    <w:p w14:paraId="6974E20E">
      <w:pPr>
        <w:snapToGrid w:val="0"/>
        <w:spacing w:line="360" w:lineRule="auto"/>
        <w:ind w:right="480"/>
        <w:jc w:val="center"/>
        <w:rPr>
          <w:rFonts w:ascii="宋体" w:hAnsi="宋体" w:cs="宋体"/>
          <w:b/>
          <w:color w:val="auto"/>
          <w:kern w:val="0"/>
          <w:sz w:val="32"/>
          <w:szCs w:val="32"/>
          <w:highlight w:val="none"/>
        </w:rPr>
      </w:pPr>
    </w:p>
    <w:p w14:paraId="63237A13">
      <w:pPr>
        <w:snapToGrid w:val="0"/>
        <w:spacing w:line="360" w:lineRule="auto"/>
        <w:ind w:right="480"/>
        <w:jc w:val="center"/>
        <w:rPr>
          <w:rFonts w:ascii="宋体" w:hAnsi="宋体" w:cs="宋体"/>
          <w:b/>
          <w:color w:val="auto"/>
          <w:kern w:val="0"/>
          <w:sz w:val="32"/>
          <w:szCs w:val="32"/>
          <w:highlight w:val="none"/>
        </w:rPr>
      </w:pPr>
    </w:p>
    <w:p w14:paraId="36D15D2F">
      <w:pPr>
        <w:snapToGrid w:val="0"/>
        <w:spacing w:line="360" w:lineRule="auto"/>
        <w:ind w:right="480"/>
        <w:jc w:val="center"/>
        <w:rPr>
          <w:rFonts w:ascii="宋体" w:hAnsi="宋体" w:cs="宋体"/>
          <w:b/>
          <w:color w:val="auto"/>
          <w:kern w:val="0"/>
          <w:sz w:val="32"/>
          <w:szCs w:val="32"/>
          <w:highlight w:val="none"/>
        </w:rPr>
      </w:pPr>
    </w:p>
    <w:p w14:paraId="604F28BF">
      <w:pPr>
        <w:snapToGrid w:val="0"/>
        <w:spacing w:line="360" w:lineRule="auto"/>
        <w:ind w:right="480"/>
        <w:jc w:val="center"/>
        <w:rPr>
          <w:rFonts w:ascii="宋体" w:hAnsi="宋体" w:cs="宋体"/>
          <w:b/>
          <w:color w:val="auto"/>
          <w:kern w:val="0"/>
          <w:sz w:val="32"/>
          <w:szCs w:val="32"/>
          <w:highlight w:val="none"/>
        </w:rPr>
      </w:pPr>
    </w:p>
    <w:p w14:paraId="3B5CC447">
      <w:pPr>
        <w:snapToGrid w:val="0"/>
        <w:spacing w:line="360" w:lineRule="auto"/>
        <w:ind w:right="480"/>
        <w:jc w:val="center"/>
        <w:rPr>
          <w:rFonts w:ascii="宋体" w:hAnsi="宋体" w:cs="宋体"/>
          <w:b/>
          <w:color w:val="auto"/>
          <w:kern w:val="0"/>
          <w:sz w:val="32"/>
          <w:szCs w:val="32"/>
          <w:highlight w:val="none"/>
        </w:rPr>
      </w:pPr>
    </w:p>
    <w:p w14:paraId="6488442D">
      <w:pPr>
        <w:snapToGrid w:val="0"/>
        <w:spacing w:line="360" w:lineRule="auto"/>
        <w:ind w:right="480"/>
        <w:jc w:val="center"/>
        <w:rPr>
          <w:rFonts w:ascii="宋体" w:hAnsi="宋体" w:cs="宋体"/>
          <w:b/>
          <w:color w:val="auto"/>
          <w:kern w:val="0"/>
          <w:sz w:val="32"/>
          <w:szCs w:val="32"/>
          <w:highlight w:val="none"/>
        </w:rPr>
      </w:pPr>
    </w:p>
    <w:p w14:paraId="64F15AB8">
      <w:pPr>
        <w:snapToGrid w:val="0"/>
        <w:spacing w:line="360" w:lineRule="auto"/>
        <w:ind w:right="480"/>
        <w:jc w:val="center"/>
        <w:rPr>
          <w:rFonts w:ascii="宋体" w:hAnsi="宋体" w:cs="宋体"/>
          <w:b/>
          <w:color w:val="auto"/>
          <w:kern w:val="0"/>
          <w:sz w:val="32"/>
          <w:szCs w:val="32"/>
          <w:highlight w:val="none"/>
        </w:rPr>
      </w:pPr>
    </w:p>
    <w:p w14:paraId="27997127">
      <w:pPr>
        <w:snapToGrid w:val="0"/>
        <w:spacing w:line="360" w:lineRule="auto"/>
        <w:ind w:right="480"/>
        <w:jc w:val="center"/>
        <w:rPr>
          <w:rFonts w:ascii="宋体" w:hAnsi="宋体" w:cs="宋体"/>
          <w:b/>
          <w:color w:val="auto"/>
          <w:kern w:val="0"/>
          <w:sz w:val="32"/>
          <w:szCs w:val="32"/>
          <w:highlight w:val="none"/>
        </w:rPr>
      </w:pPr>
    </w:p>
    <w:p w14:paraId="74193E45">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0" w:type="first"/>
          <w:footerReference r:id="rId22" w:type="first"/>
          <w:headerReference r:id="rId19" w:type="default"/>
          <w:footerReference r:id="rId21" w:type="default"/>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03DA18D7">
      <w:pPr>
        <w:pStyle w:val="693"/>
        <w:keepNext w:val="0"/>
        <w:pageBreakBefore w:val="0"/>
        <w:tabs>
          <w:tab w:val="clear" w:pos="720"/>
        </w:tabs>
        <w:snapToGrid w:val="0"/>
        <w:spacing w:before="120" w:after="120"/>
        <w:jc w:val="center"/>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110549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浙江国信工程管理咨询有限公司</w:t>
      </w:r>
      <w:r>
        <w:rPr>
          <w:rFonts w:hint="eastAsia" w:ascii="宋体" w:hAnsi="宋体" w:cs="宋体"/>
          <w:color w:val="auto"/>
          <w:kern w:val="0"/>
          <w:sz w:val="24"/>
          <w:highlight w:val="none"/>
          <w:lang w:val="zh-CN"/>
        </w:rPr>
        <w:t>：</w:t>
      </w:r>
    </w:p>
    <w:p w14:paraId="34723CF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宁海县柔石公园、正学公园、眠牛山公园、潘天寿广场水质养护项目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GXZB-NH2025-005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0751792">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266"/>
        <w:gridCol w:w="2414"/>
        <w:gridCol w:w="3897"/>
      </w:tblGrid>
      <w:tr w14:paraId="5E00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63" w:type="dxa"/>
            <w:noWrap w:val="0"/>
            <w:vAlign w:val="center"/>
          </w:tcPr>
          <w:p w14:paraId="3C4A1AD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宋体" w:hAnsi="宋体" w:eastAsia="宋体" w:cs="宋体"/>
                <w:b/>
                <w:bCs/>
                <w:color w:val="auto"/>
                <w:sz w:val="24"/>
                <w:szCs w:val="24"/>
                <w:highlight w:val="none"/>
                <w:lang w:val="en-US"/>
              </w:rPr>
            </w:pPr>
            <w:r>
              <w:rPr>
                <w:rFonts w:hint="eastAsia" w:ascii="宋体" w:hAnsi="宋体" w:cs="宋体"/>
                <w:b/>
                <w:bCs/>
                <w:color w:val="auto"/>
                <w:sz w:val="24"/>
                <w:szCs w:val="24"/>
                <w:highlight w:val="none"/>
                <w:lang w:val="en-US" w:eastAsia="zh-CN"/>
              </w:rPr>
              <w:t>序号</w:t>
            </w:r>
          </w:p>
        </w:tc>
        <w:tc>
          <w:tcPr>
            <w:tcW w:w="2266" w:type="dxa"/>
            <w:noWrap w:val="0"/>
            <w:vAlign w:val="center"/>
          </w:tcPr>
          <w:p w14:paraId="11580CF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采购内容</w:t>
            </w:r>
          </w:p>
        </w:tc>
        <w:tc>
          <w:tcPr>
            <w:tcW w:w="2414" w:type="dxa"/>
            <w:noWrap w:val="0"/>
            <w:vAlign w:val="center"/>
          </w:tcPr>
          <w:p w14:paraId="71C5C52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3897" w:type="dxa"/>
            <w:noWrap w:val="0"/>
            <w:vAlign w:val="center"/>
          </w:tcPr>
          <w:p w14:paraId="1AF2407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合同履行期限</w:t>
            </w:r>
          </w:p>
        </w:tc>
      </w:tr>
      <w:tr w14:paraId="29A8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63" w:type="dxa"/>
            <w:noWrap w:val="0"/>
            <w:vAlign w:val="center"/>
          </w:tcPr>
          <w:p w14:paraId="5309B95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p>
        </w:tc>
        <w:tc>
          <w:tcPr>
            <w:tcW w:w="2266" w:type="dxa"/>
            <w:noWrap w:val="0"/>
            <w:vAlign w:val="center"/>
          </w:tcPr>
          <w:p w14:paraId="4865891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p>
        </w:tc>
        <w:tc>
          <w:tcPr>
            <w:tcW w:w="2414" w:type="dxa"/>
            <w:noWrap w:val="0"/>
            <w:vAlign w:val="center"/>
          </w:tcPr>
          <w:p w14:paraId="11B4A230">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4"/>
                <w:szCs w:val="24"/>
                <w:highlight w:val="none"/>
              </w:rPr>
            </w:pPr>
          </w:p>
        </w:tc>
        <w:tc>
          <w:tcPr>
            <w:tcW w:w="3897" w:type="dxa"/>
            <w:noWrap w:val="0"/>
            <w:vAlign w:val="center"/>
          </w:tcPr>
          <w:p w14:paraId="005C66C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lang w:val="en-US" w:eastAsia="zh-CN"/>
              </w:rPr>
            </w:pPr>
          </w:p>
        </w:tc>
      </w:tr>
      <w:tr w14:paraId="6203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3529" w:type="dxa"/>
            <w:gridSpan w:val="2"/>
            <w:noWrap w:val="0"/>
            <w:vAlign w:val="center"/>
          </w:tcPr>
          <w:p w14:paraId="340B6B2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单年</w:t>
            </w:r>
            <w:r>
              <w:rPr>
                <w:rFonts w:hint="eastAsia" w:ascii="宋体" w:hAnsi="宋体" w:eastAsia="宋体" w:cs="宋体"/>
                <w:color w:val="auto"/>
                <w:sz w:val="24"/>
                <w:szCs w:val="24"/>
                <w:highlight w:val="none"/>
              </w:rPr>
              <w:t>投标价</w:t>
            </w:r>
          </w:p>
        </w:tc>
        <w:tc>
          <w:tcPr>
            <w:tcW w:w="6311" w:type="dxa"/>
            <w:gridSpan w:val="2"/>
            <w:noWrap w:val="0"/>
            <w:vAlign w:val="center"/>
          </w:tcPr>
          <w:p w14:paraId="4DC52F84">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p w14:paraId="59A9536C">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大写：</w:t>
            </w:r>
          </w:p>
        </w:tc>
      </w:tr>
      <w:tr w14:paraId="3CFB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3529" w:type="dxa"/>
            <w:gridSpan w:val="2"/>
            <w:noWrap w:val="0"/>
            <w:vAlign w:val="center"/>
          </w:tcPr>
          <w:p w14:paraId="713D3C7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年投标总价</w:t>
            </w:r>
          </w:p>
        </w:tc>
        <w:tc>
          <w:tcPr>
            <w:tcW w:w="6311" w:type="dxa"/>
            <w:gridSpan w:val="2"/>
            <w:noWrap w:val="0"/>
            <w:vAlign w:val="center"/>
          </w:tcPr>
          <w:p w14:paraId="5E856FD8">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p w14:paraId="0D4FE4E4">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大写：</w:t>
            </w:r>
          </w:p>
        </w:tc>
      </w:tr>
      <w:tr w14:paraId="18A85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263" w:type="dxa"/>
            <w:noWrap w:val="0"/>
            <w:vAlign w:val="center"/>
          </w:tcPr>
          <w:p w14:paraId="209F907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投标声明</w:t>
            </w:r>
          </w:p>
        </w:tc>
        <w:tc>
          <w:tcPr>
            <w:tcW w:w="8577" w:type="dxa"/>
            <w:gridSpan w:val="3"/>
            <w:noWrap w:val="0"/>
            <w:vAlign w:val="center"/>
          </w:tcPr>
          <w:p w14:paraId="6AE1F40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p>
        </w:tc>
      </w:tr>
    </w:tbl>
    <w:p w14:paraId="2B77BE6B">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06D82BC">
      <w:pPr>
        <w:spacing w:line="360" w:lineRule="auto"/>
        <w:ind w:left="-2" w:leftChars="-1" w:firstLine="480" w:firstLineChars="200"/>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sz w:val="24"/>
          <w:highlight w:val="none"/>
          <w:lang w:eastAsia="zh-CN"/>
        </w:rPr>
        <w:t>。</w:t>
      </w:r>
    </w:p>
    <w:p w14:paraId="706461E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63658C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3、特别提示：采购代理机构将对项目名称和项目编号，中标人名称、地址和中标金额，主要中标标的名称、服务范围、服务要求、服务时间、服务标准等予以公示。</w:t>
      </w:r>
    </w:p>
    <w:p w14:paraId="21640EF1">
      <w:pPr>
        <w:snapToGrid w:val="0"/>
        <w:spacing w:line="360" w:lineRule="auto"/>
        <w:ind w:firstLine="480" w:firstLineChars="200"/>
        <w:jc w:val="left"/>
        <w:rPr>
          <w:rFonts w:ascii="宋体" w:hAnsi="宋体" w:eastAsia="宋体" w:cs="宋体"/>
          <w:color w:val="auto"/>
          <w:kern w:val="2"/>
          <w:sz w:val="32"/>
          <w:szCs w:val="32"/>
          <w:highlight w:val="none"/>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4C8A35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64902997">
      <w:pPr>
        <w:pStyle w:val="2"/>
        <w:keepNext w:val="0"/>
        <w:keepLines w:val="0"/>
        <w:pageBreakBefore/>
        <w:widowControl/>
        <w:spacing w:before="100" w:beforeAutospacing="1" w:after="100" w:afterAutospacing="1" w:line="360" w:lineRule="auto"/>
        <w:ind w:left="1290" w:firstLine="3092" w:firstLineChars="700"/>
        <w:jc w:val="both"/>
        <w:rPr>
          <w:rFonts w:ascii="宋体" w:hAnsi="宋体" w:cs="宋体"/>
          <w:color w:val="auto"/>
          <w:highlight w:val="none"/>
        </w:rPr>
      </w:pPr>
      <w:r>
        <w:rPr>
          <w:rFonts w:hint="eastAsia" w:ascii="宋体" w:hAnsi="宋体" w:cs="宋体"/>
          <w:color w:val="auto"/>
          <w:highlight w:val="none"/>
        </w:rPr>
        <w:t>附件</w:t>
      </w:r>
    </w:p>
    <w:p w14:paraId="6F28CEA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1</w:t>
      </w:r>
      <w:r>
        <w:rPr>
          <w:rFonts w:hint="eastAsia" w:ascii="宋体" w:hAnsi="宋体" w:cs="宋体"/>
          <w:b/>
          <w:color w:val="auto"/>
          <w:spacing w:val="6"/>
          <w:sz w:val="32"/>
          <w:szCs w:val="32"/>
          <w:highlight w:val="none"/>
        </w:rPr>
        <w:t>：质疑函范本及制作说明</w:t>
      </w:r>
    </w:p>
    <w:p w14:paraId="54941E4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F2116A3">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F52A3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CCA6F5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7B83DD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B4B2B0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F716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1B817E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B85A1D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823E96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D730F3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5DE39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22F533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23EAF4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84F683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C784B8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EA07C97">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153C31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C8EE39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A7CC28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FF1FA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88021B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73BA6D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27F7F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70194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BCEC16C">
      <w:pPr>
        <w:spacing w:line="360" w:lineRule="auto"/>
        <w:jc w:val="center"/>
        <w:rPr>
          <w:rFonts w:ascii="宋体" w:hAnsi="宋体" w:cs="宋体"/>
          <w:b/>
          <w:bCs/>
          <w:color w:val="auto"/>
          <w:sz w:val="24"/>
          <w:highlight w:val="none"/>
        </w:rPr>
      </w:pPr>
    </w:p>
    <w:p w14:paraId="277D4FA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35B896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F0C8E6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B7DA6C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177B6C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3A9FD7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FC63BC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EF730D1">
      <w:pPr>
        <w:widowControl/>
        <w:spacing w:line="360" w:lineRule="auto"/>
        <w:ind w:firstLine="600" w:firstLineChars="200"/>
        <w:jc w:val="left"/>
        <w:rPr>
          <w:rFonts w:ascii="宋体" w:hAnsi="宋体" w:cs="宋体"/>
          <w:color w:val="auto"/>
          <w:sz w:val="30"/>
          <w:szCs w:val="30"/>
          <w:highlight w:val="none"/>
        </w:rPr>
      </w:pPr>
    </w:p>
    <w:p w14:paraId="6728316E">
      <w:pPr>
        <w:spacing w:line="360" w:lineRule="auto"/>
        <w:jc w:val="center"/>
        <w:rPr>
          <w:rFonts w:ascii="宋体" w:hAnsi="宋体" w:cs="宋体"/>
          <w:b/>
          <w:color w:val="auto"/>
          <w:spacing w:val="6"/>
          <w:sz w:val="32"/>
          <w:szCs w:val="32"/>
          <w:highlight w:val="none"/>
        </w:rPr>
      </w:pPr>
    </w:p>
    <w:p w14:paraId="4820192D">
      <w:pPr>
        <w:spacing w:line="360" w:lineRule="auto"/>
        <w:jc w:val="center"/>
        <w:rPr>
          <w:rFonts w:ascii="宋体" w:hAnsi="宋体" w:cs="宋体"/>
          <w:b/>
          <w:color w:val="auto"/>
          <w:spacing w:val="6"/>
          <w:sz w:val="32"/>
          <w:szCs w:val="32"/>
          <w:highlight w:val="none"/>
        </w:rPr>
      </w:pPr>
    </w:p>
    <w:p w14:paraId="16D92237">
      <w:pPr>
        <w:spacing w:line="360" w:lineRule="auto"/>
        <w:jc w:val="center"/>
        <w:rPr>
          <w:rFonts w:ascii="宋体" w:hAnsi="宋体" w:cs="宋体"/>
          <w:b/>
          <w:color w:val="auto"/>
          <w:spacing w:val="6"/>
          <w:sz w:val="32"/>
          <w:szCs w:val="32"/>
          <w:highlight w:val="none"/>
        </w:rPr>
      </w:pPr>
    </w:p>
    <w:p w14:paraId="47E9B243">
      <w:pPr>
        <w:spacing w:line="360" w:lineRule="auto"/>
        <w:jc w:val="center"/>
        <w:rPr>
          <w:rFonts w:ascii="宋体" w:hAnsi="宋体" w:cs="宋体"/>
          <w:b/>
          <w:color w:val="auto"/>
          <w:spacing w:val="6"/>
          <w:sz w:val="32"/>
          <w:szCs w:val="32"/>
          <w:highlight w:val="none"/>
        </w:rPr>
      </w:pPr>
    </w:p>
    <w:p w14:paraId="04E24EA2">
      <w:pPr>
        <w:spacing w:line="360" w:lineRule="auto"/>
        <w:jc w:val="center"/>
        <w:rPr>
          <w:rFonts w:ascii="宋体" w:hAnsi="宋体" w:cs="宋体"/>
          <w:b/>
          <w:color w:val="auto"/>
          <w:spacing w:val="6"/>
          <w:sz w:val="32"/>
          <w:szCs w:val="32"/>
          <w:highlight w:val="none"/>
        </w:rPr>
      </w:pPr>
    </w:p>
    <w:p w14:paraId="21B4B981">
      <w:pPr>
        <w:spacing w:line="360" w:lineRule="auto"/>
        <w:jc w:val="center"/>
        <w:rPr>
          <w:rFonts w:ascii="宋体" w:hAnsi="宋体" w:cs="宋体"/>
          <w:b/>
          <w:color w:val="auto"/>
          <w:spacing w:val="6"/>
          <w:sz w:val="32"/>
          <w:szCs w:val="32"/>
          <w:highlight w:val="none"/>
        </w:rPr>
      </w:pPr>
    </w:p>
    <w:p w14:paraId="51F061CB">
      <w:pPr>
        <w:spacing w:line="360" w:lineRule="auto"/>
        <w:jc w:val="center"/>
        <w:rPr>
          <w:rFonts w:ascii="宋体" w:hAnsi="宋体" w:cs="宋体"/>
          <w:b/>
          <w:color w:val="auto"/>
          <w:spacing w:val="6"/>
          <w:sz w:val="32"/>
          <w:szCs w:val="32"/>
          <w:highlight w:val="none"/>
        </w:rPr>
      </w:pPr>
    </w:p>
    <w:p w14:paraId="3E2E0FF7">
      <w:pPr>
        <w:spacing w:line="360" w:lineRule="auto"/>
        <w:jc w:val="center"/>
        <w:rPr>
          <w:rFonts w:ascii="宋体" w:hAnsi="宋体" w:cs="宋体"/>
          <w:b/>
          <w:color w:val="auto"/>
          <w:spacing w:val="6"/>
          <w:sz w:val="32"/>
          <w:szCs w:val="32"/>
          <w:highlight w:val="none"/>
        </w:rPr>
      </w:pPr>
    </w:p>
    <w:p w14:paraId="12F7EDFA">
      <w:pPr>
        <w:spacing w:line="360" w:lineRule="auto"/>
        <w:jc w:val="center"/>
        <w:rPr>
          <w:rFonts w:ascii="宋体" w:hAnsi="宋体" w:cs="宋体"/>
          <w:b/>
          <w:color w:val="auto"/>
          <w:spacing w:val="6"/>
          <w:sz w:val="32"/>
          <w:szCs w:val="32"/>
          <w:highlight w:val="none"/>
        </w:rPr>
      </w:pPr>
    </w:p>
    <w:p w14:paraId="719D7CCF">
      <w:pPr>
        <w:spacing w:line="360" w:lineRule="auto"/>
        <w:jc w:val="center"/>
        <w:rPr>
          <w:rFonts w:ascii="宋体" w:hAnsi="宋体" w:cs="宋体"/>
          <w:b/>
          <w:color w:val="auto"/>
          <w:spacing w:val="6"/>
          <w:sz w:val="32"/>
          <w:szCs w:val="32"/>
          <w:highlight w:val="none"/>
        </w:rPr>
      </w:pPr>
    </w:p>
    <w:p w14:paraId="105C810E">
      <w:pPr>
        <w:spacing w:line="360" w:lineRule="auto"/>
        <w:jc w:val="center"/>
        <w:rPr>
          <w:rFonts w:ascii="宋体" w:hAnsi="宋体" w:cs="宋体"/>
          <w:b/>
          <w:color w:val="auto"/>
          <w:spacing w:val="6"/>
          <w:sz w:val="32"/>
          <w:szCs w:val="32"/>
          <w:highlight w:val="none"/>
        </w:rPr>
      </w:pPr>
    </w:p>
    <w:p w14:paraId="57EDB71C">
      <w:pPr>
        <w:spacing w:line="360" w:lineRule="auto"/>
        <w:jc w:val="center"/>
        <w:rPr>
          <w:rFonts w:ascii="宋体" w:hAnsi="宋体" w:cs="宋体"/>
          <w:b/>
          <w:color w:val="auto"/>
          <w:spacing w:val="6"/>
          <w:sz w:val="32"/>
          <w:szCs w:val="32"/>
          <w:highlight w:val="none"/>
        </w:rPr>
      </w:pPr>
    </w:p>
    <w:p w14:paraId="46765757">
      <w:pPr>
        <w:spacing w:line="360" w:lineRule="auto"/>
        <w:jc w:val="left"/>
        <w:rPr>
          <w:rFonts w:ascii="宋体" w:hAnsi="宋体" w:cs="宋体"/>
          <w:b/>
          <w:color w:val="auto"/>
          <w:spacing w:val="6"/>
          <w:sz w:val="32"/>
          <w:szCs w:val="32"/>
          <w:highlight w:val="none"/>
        </w:rPr>
      </w:pPr>
    </w:p>
    <w:p w14:paraId="74D61050">
      <w:pPr>
        <w:spacing w:line="360" w:lineRule="auto"/>
        <w:jc w:val="left"/>
        <w:rPr>
          <w:rFonts w:ascii="宋体" w:hAnsi="宋体" w:cs="宋体"/>
          <w:b/>
          <w:color w:val="auto"/>
          <w:spacing w:val="6"/>
          <w:sz w:val="32"/>
          <w:szCs w:val="32"/>
          <w:highlight w:val="none"/>
        </w:rPr>
      </w:pPr>
    </w:p>
    <w:p w14:paraId="0E80992C">
      <w:pPr>
        <w:pStyle w:val="80"/>
      </w:pPr>
    </w:p>
    <w:p w14:paraId="2B39274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：投诉书范本及制作说明</w:t>
      </w:r>
    </w:p>
    <w:p w14:paraId="5450D7FE">
      <w:pPr>
        <w:spacing w:line="360" w:lineRule="auto"/>
        <w:jc w:val="center"/>
        <w:rPr>
          <w:rFonts w:ascii="宋体" w:hAnsi="宋体" w:cs="宋体"/>
          <w:b/>
          <w:color w:val="auto"/>
          <w:sz w:val="24"/>
          <w:highlight w:val="none"/>
        </w:rPr>
      </w:pPr>
    </w:p>
    <w:p w14:paraId="2125326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4C75C9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6139B1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4796C3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B72F2A">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DCB8DAE">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0BC417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43BA02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5037F7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2CC495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CB89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9CE1F9">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87475F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DAF2A1B">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39AEC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4F22C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908BCF">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079C29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4FFF6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0DA6CC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C27F7C">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6F08DE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B942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DEAC29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5323ECC">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C25D06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E2420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D026EDC">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16AC0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89882C4">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0A7C2A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5B46AD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4FA9D8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5781F5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293DF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555B36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4857577">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581DD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130093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1DE33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A6BF7D7">
      <w:pPr>
        <w:spacing w:line="360" w:lineRule="auto"/>
        <w:rPr>
          <w:rFonts w:ascii="宋体" w:hAnsi="宋体" w:cs="宋体"/>
          <w:b/>
          <w:color w:val="auto"/>
          <w:sz w:val="24"/>
          <w:highlight w:val="none"/>
        </w:rPr>
      </w:pPr>
    </w:p>
    <w:p w14:paraId="102D83DA">
      <w:pPr>
        <w:spacing w:line="360" w:lineRule="auto"/>
        <w:rPr>
          <w:rFonts w:ascii="宋体" w:hAnsi="宋体" w:cs="宋体"/>
          <w:b/>
          <w:color w:val="auto"/>
          <w:sz w:val="24"/>
          <w:highlight w:val="none"/>
        </w:rPr>
      </w:pPr>
    </w:p>
    <w:p w14:paraId="4E1EEABC">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A3EA6B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3FAD86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EF4E50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CA4560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E44AF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BE561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4BA6A6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B6E7296">
      <w:pPr>
        <w:spacing w:line="360" w:lineRule="auto"/>
        <w:rPr>
          <w:rFonts w:ascii="宋体" w:hAnsi="宋体" w:cs="宋体"/>
          <w:b/>
          <w:color w:val="auto"/>
          <w:sz w:val="24"/>
          <w:highlight w:val="none"/>
        </w:rPr>
      </w:pPr>
    </w:p>
    <w:p w14:paraId="6E5FC210">
      <w:pPr>
        <w:autoSpaceDE w:val="0"/>
        <w:autoSpaceDN w:val="0"/>
        <w:jc w:val="center"/>
        <w:rPr>
          <w:rFonts w:ascii="宋体" w:hAnsi="宋体" w:cs="宋体"/>
          <w:b/>
          <w:color w:val="auto"/>
          <w:spacing w:val="6"/>
          <w:sz w:val="32"/>
          <w:szCs w:val="32"/>
          <w:highlight w:val="none"/>
        </w:rPr>
      </w:pPr>
    </w:p>
    <w:p w14:paraId="2A5EB7BF">
      <w:pPr>
        <w:autoSpaceDE w:val="0"/>
        <w:autoSpaceDN w:val="0"/>
        <w:jc w:val="center"/>
        <w:rPr>
          <w:rFonts w:ascii="宋体" w:hAnsi="宋体" w:cs="宋体"/>
          <w:b/>
          <w:color w:val="auto"/>
          <w:spacing w:val="6"/>
          <w:sz w:val="32"/>
          <w:szCs w:val="32"/>
          <w:highlight w:val="none"/>
        </w:rPr>
      </w:pPr>
    </w:p>
    <w:p w14:paraId="40F5FB41">
      <w:pPr>
        <w:autoSpaceDE w:val="0"/>
        <w:autoSpaceDN w:val="0"/>
        <w:jc w:val="center"/>
        <w:rPr>
          <w:rFonts w:hint="eastAsia" w:ascii="宋体" w:hAnsi="宋体" w:cs="宋体"/>
          <w:b/>
          <w:color w:val="auto"/>
          <w:spacing w:val="6"/>
          <w:sz w:val="32"/>
          <w:szCs w:val="32"/>
          <w:highlight w:val="none"/>
        </w:rPr>
      </w:pPr>
    </w:p>
    <w:p w14:paraId="700B9993">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793FEDD3">
      <w:pPr>
        <w:spacing w:line="360" w:lineRule="auto"/>
        <w:rPr>
          <w:rFonts w:ascii="宋体" w:hAnsi="宋体" w:cs="宋体"/>
          <w:color w:val="auto"/>
          <w:sz w:val="24"/>
          <w:highlight w:val="none"/>
          <w:u w:val="single"/>
        </w:rPr>
      </w:pPr>
    </w:p>
    <w:p w14:paraId="3622EA25">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浙江国信工程管理咨询有限公司</w:t>
      </w:r>
      <w:r>
        <w:rPr>
          <w:rFonts w:hint="eastAsia" w:ascii="宋体" w:hAnsi="宋体" w:cs="宋体"/>
          <w:color w:val="auto"/>
          <w:sz w:val="24"/>
          <w:highlight w:val="none"/>
          <w:u w:val="single"/>
        </w:rPr>
        <w:t>：</w:t>
      </w:r>
    </w:p>
    <w:p w14:paraId="08037A4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宁海县柔石公园、正学公园、眠牛山公园、潘天寿广场水质养护项目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GXZB-NH2025-005</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我方所使用的“XX专用章”与法定名称章具有同等的法律效力，对使用“XX专用章”的行为予以完全承认，并愿意承担相应责任。</w:t>
      </w:r>
    </w:p>
    <w:p w14:paraId="12F4EB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FFCB64B">
      <w:pPr>
        <w:spacing w:line="360" w:lineRule="auto"/>
        <w:ind w:firstLine="494"/>
        <w:rPr>
          <w:rFonts w:ascii="宋体" w:hAnsi="宋体" w:cs="宋体"/>
          <w:color w:val="auto"/>
          <w:sz w:val="24"/>
          <w:highlight w:val="none"/>
        </w:rPr>
      </w:pPr>
    </w:p>
    <w:p w14:paraId="6625ECCF">
      <w:pPr>
        <w:spacing w:line="360" w:lineRule="auto"/>
        <w:ind w:firstLine="494"/>
        <w:rPr>
          <w:rFonts w:ascii="宋体" w:hAnsi="宋体" w:cs="宋体"/>
          <w:color w:val="auto"/>
          <w:sz w:val="24"/>
          <w:highlight w:val="none"/>
        </w:rPr>
      </w:pPr>
    </w:p>
    <w:p w14:paraId="18353743">
      <w:pPr>
        <w:spacing w:line="360" w:lineRule="auto"/>
        <w:ind w:firstLine="494"/>
        <w:rPr>
          <w:rFonts w:ascii="宋体" w:hAnsi="宋体" w:cs="宋体"/>
          <w:color w:val="auto"/>
          <w:sz w:val="24"/>
          <w:highlight w:val="none"/>
        </w:rPr>
      </w:pPr>
    </w:p>
    <w:p w14:paraId="23C7DA77">
      <w:pPr>
        <w:spacing w:line="360" w:lineRule="auto"/>
        <w:ind w:firstLine="494"/>
        <w:rPr>
          <w:rFonts w:ascii="宋体" w:hAnsi="宋体" w:cs="宋体"/>
          <w:color w:val="auto"/>
          <w:sz w:val="24"/>
          <w:highlight w:val="none"/>
        </w:rPr>
      </w:pPr>
    </w:p>
    <w:p w14:paraId="0129B00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3B9E7E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B3E77D4">
      <w:pPr>
        <w:rPr>
          <w:rFonts w:ascii="宋体" w:hAnsi="宋体" w:cs="宋体"/>
          <w:color w:val="auto"/>
          <w:sz w:val="24"/>
          <w:highlight w:val="none"/>
        </w:rPr>
      </w:pPr>
      <w:r>
        <w:rPr>
          <w:rFonts w:hint="eastAsia" w:ascii="宋体" w:hAnsi="宋体" w:cs="宋体"/>
          <w:b/>
          <w:bCs/>
          <w:color w:val="auto"/>
          <w:sz w:val="24"/>
          <w:highlight w:val="none"/>
        </w:rPr>
        <w:t>附：</w:t>
      </w:r>
    </w:p>
    <w:p w14:paraId="46234BD1">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438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17885DF0">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209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17885DF0">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540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2BD577BA">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107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2BD577BA">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131CFDA1">
      <w:pPr>
        <w:autoSpaceDE w:val="0"/>
        <w:autoSpaceDN w:val="0"/>
        <w:jc w:val="center"/>
        <w:rPr>
          <w:rFonts w:ascii="宋体" w:hAnsi="宋体" w:cs="宋体"/>
          <w:b/>
          <w:color w:val="auto"/>
          <w:spacing w:val="6"/>
          <w:sz w:val="32"/>
          <w:szCs w:val="32"/>
          <w:highlight w:val="none"/>
        </w:rPr>
      </w:pPr>
    </w:p>
    <w:p w14:paraId="0F3AAF63">
      <w:pPr>
        <w:autoSpaceDE w:val="0"/>
        <w:autoSpaceDN w:val="0"/>
        <w:jc w:val="center"/>
        <w:rPr>
          <w:rFonts w:ascii="宋体" w:hAnsi="宋体" w:cs="宋体"/>
          <w:b/>
          <w:color w:val="auto"/>
          <w:spacing w:val="6"/>
          <w:sz w:val="32"/>
          <w:szCs w:val="32"/>
          <w:highlight w:val="none"/>
        </w:rPr>
      </w:pPr>
    </w:p>
    <w:p w14:paraId="3373C558">
      <w:pPr>
        <w:autoSpaceDE w:val="0"/>
        <w:autoSpaceDN w:val="0"/>
        <w:jc w:val="center"/>
        <w:rPr>
          <w:rFonts w:ascii="宋体" w:hAnsi="宋体" w:cs="宋体"/>
          <w:b/>
          <w:color w:val="auto"/>
          <w:spacing w:val="6"/>
          <w:sz w:val="32"/>
          <w:szCs w:val="32"/>
          <w:highlight w:val="none"/>
        </w:rPr>
      </w:pPr>
    </w:p>
    <w:p w14:paraId="3FCA2D0E">
      <w:pPr>
        <w:autoSpaceDE w:val="0"/>
        <w:autoSpaceDN w:val="0"/>
        <w:jc w:val="center"/>
        <w:rPr>
          <w:rFonts w:ascii="宋体" w:hAnsi="宋体" w:cs="宋体"/>
          <w:b/>
          <w:color w:val="auto"/>
          <w:spacing w:val="6"/>
          <w:sz w:val="32"/>
          <w:szCs w:val="32"/>
          <w:highlight w:val="none"/>
        </w:rPr>
      </w:pPr>
    </w:p>
    <w:p w14:paraId="6E3EDD3E">
      <w:pPr>
        <w:autoSpaceDE w:val="0"/>
        <w:autoSpaceDN w:val="0"/>
        <w:jc w:val="center"/>
        <w:rPr>
          <w:rFonts w:ascii="宋体" w:hAnsi="宋体" w:cs="宋体"/>
          <w:b/>
          <w:color w:val="auto"/>
          <w:spacing w:val="6"/>
          <w:sz w:val="32"/>
          <w:szCs w:val="32"/>
          <w:highlight w:val="none"/>
        </w:rPr>
      </w:pPr>
    </w:p>
    <w:p w14:paraId="329D3758">
      <w:pPr>
        <w:autoSpaceDE w:val="0"/>
        <w:autoSpaceDN w:val="0"/>
        <w:jc w:val="center"/>
        <w:rPr>
          <w:rFonts w:ascii="宋体" w:hAnsi="宋体" w:cs="宋体"/>
          <w:b/>
          <w:color w:val="auto"/>
          <w:spacing w:val="6"/>
          <w:sz w:val="32"/>
          <w:szCs w:val="32"/>
          <w:highlight w:val="none"/>
        </w:rPr>
      </w:pPr>
    </w:p>
    <w:p w14:paraId="2795E1EA">
      <w:pPr>
        <w:autoSpaceDE w:val="0"/>
        <w:autoSpaceDN w:val="0"/>
        <w:jc w:val="center"/>
        <w:rPr>
          <w:rFonts w:ascii="宋体" w:hAnsi="宋体" w:cs="宋体"/>
          <w:b/>
          <w:color w:val="auto"/>
          <w:spacing w:val="6"/>
          <w:sz w:val="32"/>
          <w:szCs w:val="32"/>
          <w:highlight w:val="none"/>
        </w:rPr>
      </w:pPr>
    </w:p>
    <w:p w14:paraId="050058C8">
      <w:pPr>
        <w:autoSpaceDE w:val="0"/>
        <w:autoSpaceDN w:val="0"/>
        <w:jc w:val="center"/>
        <w:rPr>
          <w:rFonts w:ascii="宋体" w:hAnsi="宋体" w:cs="宋体"/>
          <w:b/>
          <w:color w:val="auto"/>
          <w:spacing w:val="6"/>
          <w:sz w:val="32"/>
          <w:szCs w:val="32"/>
          <w:highlight w:val="none"/>
        </w:rPr>
      </w:pPr>
    </w:p>
    <w:p w14:paraId="7AB83400">
      <w:pPr>
        <w:autoSpaceDE w:val="0"/>
        <w:autoSpaceDN w:val="0"/>
        <w:jc w:val="center"/>
        <w:rPr>
          <w:rFonts w:ascii="宋体" w:hAnsi="宋体" w:cs="宋体"/>
          <w:b/>
          <w:color w:val="auto"/>
          <w:spacing w:val="6"/>
          <w:sz w:val="32"/>
          <w:szCs w:val="32"/>
          <w:highlight w:val="none"/>
        </w:rPr>
      </w:pPr>
    </w:p>
    <w:p w14:paraId="630554B6">
      <w:pPr>
        <w:autoSpaceDE w:val="0"/>
        <w:autoSpaceDN w:val="0"/>
        <w:jc w:val="center"/>
        <w:rPr>
          <w:rFonts w:ascii="宋体" w:hAnsi="宋体" w:cs="宋体"/>
          <w:b/>
          <w:color w:val="auto"/>
          <w:spacing w:val="6"/>
          <w:sz w:val="32"/>
          <w:szCs w:val="32"/>
          <w:highlight w:val="none"/>
        </w:rPr>
      </w:pPr>
    </w:p>
    <w:p w14:paraId="2AA0F753">
      <w:pPr>
        <w:autoSpaceDE w:val="0"/>
        <w:autoSpaceDN w:val="0"/>
        <w:jc w:val="center"/>
        <w:rPr>
          <w:rFonts w:ascii="宋体" w:hAnsi="宋体" w:cs="宋体"/>
          <w:b/>
          <w:color w:val="auto"/>
          <w:spacing w:val="6"/>
          <w:sz w:val="32"/>
          <w:szCs w:val="32"/>
          <w:highlight w:val="none"/>
        </w:rPr>
      </w:pPr>
    </w:p>
    <w:p w14:paraId="41728ECB">
      <w:pPr>
        <w:autoSpaceDE w:val="0"/>
        <w:autoSpaceDN w:val="0"/>
        <w:jc w:val="center"/>
        <w:rPr>
          <w:rFonts w:ascii="宋体" w:hAnsi="宋体" w:cs="宋体"/>
          <w:b/>
          <w:color w:val="auto"/>
          <w:spacing w:val="6"/>
          <w:sz w:val="32"/>
          <w:szCs w:val="32"/>
          <w:highlight w:val="none"/>
        </w:rPr>
      </w:pPr>
    </w:p>
    <w:p w14:paraId="5A9C1A1F">
      <w:pPr>
        <w:autoSpaceDE w:val="0"/>
        <w:autoSpaceDN w:val="0"/>
        <w:jc w:val="center"/>
        <w:rPr>
          <w:rFonts w:ascii="宋体" w:hAnsi="宋体" w:cs="宋体"/>
          <w:b/>
          <w:color w:val="auto"/>
          <w:spacing w:val="6"/>
          <w:sz w:val="32"/>
          <w:szCs w:val="32"/>
          <w:highlight w:val="none"/>
        </w:rPr>
      </w:pPr>
    </w:p>
    <w:p w14:paraId="66D9765F">
      <w:pPr>
        <w:pStyle w:val="80"/>
        <w:rPr>
          <w:rFonts w:ascii="宋体" w:hAnsi="宋体" w:cs="宋体"/>
          <w:b/>
          <w:color w:val="auto"/>
          <w:spacing w:val="6"/>
          <w:sz w:val="32"/>
          <w:szCs w:val="32"/>
          <w:highlight w:val="none"/>
        </w:rPr>
      </w:pPr>
    </w:p>
    <w:p w14:paraId="541512C9">
      <w:pPr>
        <w:pStyle w:val="80"/>
        <w:rPr>
          <w:rFonts w:ascii="宋体" w:hAnsi="宋体" w:cs="宋体"/>
          <w:b/>
          <w:color w:val="auto"/>
          <w:spacing w:val="6"/>
          <w:sz w:val="32"/>
          <w:szCs w:val="32"/>
          <w:highlight w:val="none"/>
        </w:rPr>
      </w:pPr>
    </w:p>
    <w:p w14:paraId="7627289A">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4</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45E56BE">
      <w:pPr>
        <w:keepNext w:val="0"/>
        <w:keepLines w:val="0"/>
        <w:pageBreakBefore w:val="0"/>
        <w:widowControl/>
        <w:kinsoku/>
        <w:wordWrap/>
        <w:overflowPunct/>
        <w:topLinePunct w:val="0"/>
        <w:bidi w:val="0"/>
        <w:adjustRightInd w:val="0"/>
        <w:snapToGrid/>
        <w:spacing w:line="360" w:lineRule="auto"/>
        <w:ind w:firstLine="482" w:firstLineChars="200"/>
        <w:jc w:val="left"/>
        <w:textAlignment w:val="auto"/>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0EC25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宁海县柔石公园、正学公园、眠牛山公园、潘天寿广场水质养护项目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GXZB-NH2025-005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投标。</w:t>
      </w:r>
    </w:p>
    <w:p w14:paraId="3E80ED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B489D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52ABC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4B139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FD8B1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733BA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1B8A9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AC364BF">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1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2"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2"/>
      <w:r>
        <w:rPr>
          <w:rFonts w:hint="eastAsia" w:ascii="宋体" w:hAnsi="宋体" w:cs="宋体"/>
          <w:b/>
          <w:color w:val="auto"/>
          <w:kern w:val="0"/>
          <w:sz w:val="24"/>
          <w:highlight w:val="none"/>
          <w:lang w:val="zh-CN"/>
        </w:rPr>
        <w:t>）</w:t>
      </w:r>
    </w:p>
    <w:p w14:paraId="3BD13E7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3"/>
    </w:p>
    <w:p w14:paraId="429491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74E6A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F8A555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4E01F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20EF7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D4054D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582915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0BA52B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F97328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87A7F9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7EEDAFD">
      <w:pPr>
        <w:autoSpaceDE w:val="0"/>
        <w:autoSpaceDN w:val="0"/>
        <w:jc w:val="center"/>
        <w:rPr>
          <w:rFonts w:ascii="宋体" w:hAnsi="宋体" w:cs="宋体"/>
          <w:b/>
          <w:color w:val="auto"/>
          <w:spacing w:val="6"/>
          <w:sz w:val="32"/>
          <w:szCs w:val="32"/>
          <w:highlight w:val="none"/>
        </w:rPr>
      </w:pPr>
    </w:p>
    <w:p w14:paraId="4375CA33">
      <w:pPr>
        <w:autoSpaceDE w:val="0"/>
        <w:autoSpaceDN w:val="0"/>
        <w:jc w:val="center"/>
        <w:rPr>
          <w:rFonts w:ascii="宋体" w:hAnsi="宋体" w:cs="宋体"/>
          <w:b/>
          <w:color w:val="auto"/>
          <w:spacing w:val="6"/>
          <w:sz w:val="32"/>
          <w:szCs w:val="32"/>
          <w:highlight w:val="none"/>
        </w:rPr>
      </w:pPr>
    </w:p>
    <w:p w14:paraId="0B105D4E">
      <w:pPr>
        <w:autoSpaceDE w:val="0"/>
        <w:autoSpaceDN w:val="0"/>
        <w:jc w:val="center"/>
        <w:rPr>
          <w:rFonts w:ascii="宋体" w:hAnsi="宋体" w:cs="宋体"/>
          <w:b/>
          <w:color w:val="auto"/>
          <w:spacing w:val="6"/>
          <w:sz w:val="32"/>
          <w:szCs w:val="32"/>
          <w:highlight w:val="none"/>
        </w:rPr>
      </w:pPr>
    </w:p>
    <w:p w14:paraId="4C4FD4EE">
      <w:pPr>
        <w:autoSpaceDE w:val="0"/>
        <w:autoSpaceDN w:val="0"/>
        <w:jc w:val="center"/>
        <w:rPr>
          <w:rFonts w:ascii="宋体" w:hAnsi="宋体" w:cs="宋体"/>
          <w:b/>
          <w:color w:val="auto"/>
          <w:spacing w:val="6"/>
          <w:sz w:val="32"/>
          <w:szCs w:val="32"/>
          <w:highlight w:val="none"/>
        </w:rPr>
      </w:pPr>
    </w:p>
    <w:p w14:paraId="52C3EFDB">
      <w:pPr>
        <w:autoSpaceDE w:val="0"/>
        <w:autoSpaceDN w:val="0"/>
        <w:jc w:val="center"/>
        <w:rPr>
          <w:rFonts w:ascii="宋体" w:hAnsi="宋体" w:cs="宋体"/>
          <w:b/>
          <w:color w:val="auto"/>
          <w:spacing w:val="6"/>
          <w:sz w:val="32"/>
          <w:szCs w:val="32"/>
          <w:highlight w:val="none"/>
        </w:rPr>
      </w:pPr>
    </w:p>
    <w:p w14:paraId="060C9175">
      <w:pPr>
        <w:autoSpaceDE w:val="0"/>
        <w:autoSpaceDN w:val="0"/>
        <w:jc w:val="center"/>
        <w:rPr>
          <w:rFonts w:ascii="宋体" w:hAnsi="宋体" w:cs="宋体"/>
          <w:b/>
          <w:color w:val="auto"/>
          <w:spacing w:val="6"/>
          <w:sz w:val="32"/>
          <w:szCs w:val="32"/>
          <w:highlight w:val="none"/>
        </w:rPr>
      </w:pPr>
    </w:p>
    <w:p w14:paraId="3942392C">
      <w:pPr>
        <w:autoSpaceDE w:val="0"/>
        <w:autoSpaceDN w:val="0"/>
        <w:jc w:val="center"/>
        <w:rPr>
          <w:rFonts w:ascii="宋体" w:hAnsi="宋体" w:cs="宋体"/>
          <w:b/>
          <w:color w:val="auto"/>
          <w:spacing w:val="6"/>
          <w:sz w:val="32"/>
          <w:szCs w:val="32"/>
          <w:highlight w:val="none"/>
        </w:rPr>
      </w:pPr>
    </w:p>
    <w:p w14:paraId="529CFC42">
      <w:pPr>
        <w:autoSpaceDE w:val="0"/>
        <w:autoSpaceDN w:val="0"/>
        <w:jc w:val="center"/>
        <w:rPr>
          <w:rFonts w:ascii="宋体" w:hAnsi="宋体" w:cs="宋体"/>
          <w:b/>
          <w:color w:val="auto"/>
          <w:spacing w:val="6"/>
          <w:sz w:val="32"/>
          <w:szCs w:val="32"/>
          <w:highlight w:val="none"/>
        </w:rPr>
      </w:pPr>
    </w:p>
    <w:p w14:paraId="50F2E4BF">
      <w:pPr>
        <w:autoSpaceDE w:val="0"/>
        <w:autoSpaceDN w:val="0"/>
        <w:jc w:val="center"/>
        <w:rPr>
          <w:rFonts w:ascii="宋体" w:hAnsi="宋体" w:cs="宋体"/>
          <w:b/>
          <w:color w:val="auto"/>
          <w:spacing w:val="6"/>
          <w:sz w:val="32"/>
          <w:szCs w:val="32"/>
          <w:highlight w:val="none"/>
        </w:rPr>
      </w:pPr>
    </w:p>
    <w:p w14:paraId="609C379C">
      <w:pPr>
        <w:autoSpaceDE w:val="0"/>
        <w:autoSpaceDN w:val="0"/>
        <w:jc w:val="center"/>
        <w:rPr>
          <w:rFonts w:ascii="宋体" w:hAnsi="宋体" w:cs="宋体"/>
          <w:b/>
          <w:color w:val="auto"/>
          <w:spacing w:val="6"/>
          <w:sz w:val="32"/>
          <w:szCs w:val="32"/>
          <w:highlight w:val="none"/>
        </w:rPr>
      </w:pPr>
    </w:p>
    <w:p w14:paraId="2FF92F47">
      <w:pPr>
        <w:autoSpaceDE w:val="0"/>
        <w:autoSpaceDN w:val="0"/>
        <w:jc w:val="center"/>
        <w:rPr>
          <w:rFonts w:ascii="宋体" w:hAnsi="宋体" w:cs="宋体"/>
          <w:b/>
          <w:color w:val="auto"/>
          <w:spacing w:val="6"/>
          <w:sz w:val="32"/>
          <w:szCs w:val="32"/>
          <w:highlight w:val="none"/>
        </w:rPr>
      </w:pPr>
    </w:p>
    <w:p w14:paraId="296EF570">
      <w:pPr>
        <w:autoSpaceDE w:val="0"/>
        <w:autoSpaceDN w:val="0"/>
        <w:jc w:val="center"/>
        <w:rPr>
          <w:rFonts w:ascii="宋体" w:hAnsi="宋体" w:cs="宋体"/>
          <w:b/>
          <w:color w:val="auto"/>
          <w:spacing w:val="6"/>
          <w:sz w:val="32"/>
          <w:szCs w:val="32"/>
          <w:highlight w:val="none"/>
        </w:rPr>
      </w:pPr>
    </w:p>
    <w:p w14:paraId="489EA671">
      <w:pPr>
        <w:autoSpaceDE w:val="0"/>
        <w:autoSpaceDN w:val="0"/>
        <w:jc w:val="center"/>
        <w:rPr>
          <w:rFonts w:ascii="宋体" w:hAnsi="宋体" w:cs="宋体"/>
          <w:b/>
          <w:color w:val="auto"/>
          <w:spacing w:val="6"/>
          <w:sz w:val="32"/>
          <w:szCs w:val="32"/>
          <w:highlight w:val="none"/>
        </w:rPr>
      </w:pPr>
    </w:p>
    <w:p w14:paraId="15F06889">
      <w:pPr>
        <w:autoSpaceDE w:val="0"/>
        <w:autoSpaceDN w:val="0"/>
        <w:jc w:val="center"/>
        <w:rPr>
          <w:rFonts w:ascii="宋体" w:hAnsi="宋体" w:cs="宋体"/>
          <w:b/>
          <w:color w:val="auto"/>
          <w:spacing w:val="6"/>
          <w:sz w:val="32"/>
          <w:szCs w:val="32"/>
          <w:highlight w:val="none"/>
        </w:rPr>
      </w:pPr>
    </w:p>
    <w:p w14:paraId="3649284D">
      <w:pPr>
        <w:autoSpaceDE w:val="0"/>
        <w:autoSpaceDN w:val="0"/>
        <w:jc w:val="center"/>
        <w:rPr>
          <w:rFonts w:ascii="宋体" w:hAnsi="宋体" w:cs="宋体"/>
          <w:b/>
          <w:color w:val="auto"/>
          <w:spacing w:val="6"/>
          <w:sz w:val="32"/>
          <w:szCs w:val="32"/>
          <w:highlight w:val="none"/>
        </w:rPr>
      </w:pPr>
    </w:p>
    <w:p w14:paraId="0309B593">
      <w:pPr>
        <w:autoSpaceDE w:val="0"/>
        <w:autoSpaceDN w:val="0"/>
        <w:jc w:val="center"/>
        <w:rPr>
          <w:rFonts w:ascii="宋体" w:hAnsi="宋体" w:cs="宋体"/>
          <w:b/>
          <w:color w:val="auto"/>
          <w:spacing w:val="6"/>
          <w:sz w:val="32"/>
          <w:szCs w:val="32"/>
          <w:highlight w:val="none"/>
        </w:rPr>
      </w:pPr>
    </w:p>
    <w:p w14:paraId="45560F45">
      <w:pPr>
        <w:autoSpaceDE w:val="0"/>
        <w:autoSpaceDN w:val="0"/>
        <w:jc w:val="center"/>
        <w:rPr>
          <w:rFonts w:ascii="宋体" w:hAnsi="宋体" w:cs="宋体"/>
          <w:b/>
          <w:color w:val="auto"/>
          <w:spacing w:val="6"/>
          <w:sz w:val="32"/>
          <w:szCs w:val="32"/>
          <w:highlight w:val="none"/>
        </w:rPr>
      </w:pPr>
    </w:p>
    <w:p w14:paraId="79B280F9">
      <w:pPr>
        <w:autoSpaceDE w:val="0"/>
        <w:autoSpaceDN w:val="0"/>
        <w:jc w:val="center"/>
        <w:rPr>
          <w:rFonts w:ascii="宋体" w:hAnsi="宋体" w:cs="宋体"/>
          <w:b/>
          <w:color w:val="auto"/>
          <w:spacing w:val="6"/>
          <w:sz w:val="32"/>
          <w:szCs w:val="32"/>
          <w:highlight w:val="none"/>
        </w:rPr>
      </w:pPr>
    </w:p>
    <w:p w14:paraId="0B580F61">
      <w:pPr>
        <w:autoSpaceDE w:val="0"/>
        <w:autoSpaceDN w:val="0"/>
        <w:jc w:val="center"/>
        <w:rPr>
          <w:rFonts w:ascii="宋体" w:hAnsi="宋体" w:cs="宋体"/>
          <w:b/>
          <w:color w:val="auto"/>
          <w:spacing w:val="6"/>
          <w:sz w:val="32"/>
          <w:szCs w:val="32"/>
          <w:highlight w:val="none"/>
        </w:rPr>
      </w:pPr>
    </w:p>
    <w:p w14:paraId="766858F8">
      <w:pPr>
        <w:autoSpaceDE w:val="0"/>
        <w:autoSpaceDN w:val="0"/>
        <w:jc w:val="center"/>
        <w:rPr>
          <w:rFonts w:ascii="宋体" w:hAnsi="宋体" w:cs="宋体"/>
          <w:b/>
          <w:color w:val="auto"/>
          <w:spacing w:val="6"/>
          <w:sz w:val="32"/>
          <w:szCs w:val="32"/>
          <w:highlight w:val="none"/>
        </w:rPr>
      </w:pPr>
    </w:p>
    <w:p w14:paraId="44CF079B">
      <w:pPr>
        <w:autoSpaceDE w:val="0"/>
        <w:autoSpaceDN w:val="0"/>
        <w:jc w:val="center"/>
        <w:rPr>
          <w:rFonts w:ascii="宋体" w:hAnsi="宋体" w:cs="宋体"/>
          <w:b/>
          <w:color w:val="auto"/>
          <w:spacing w:val="6"/>
          <w:sz w:val="32"/>
          <w:szCs w:val="32"/>
          <w:highlight w:val="none"/>
        </w:rPr>
      </w:pPr>
    </w:p>
    <w:p w14:paraId="40FDFA57">
      <w:pPr>
        <w:autoSpaceDE w:val="0"/>
        <w:autoSpaceDN w:val="0"/>
        <w:jc w:val="center"/>
        <w:rPr>
          <w:rFonts w:ascii="宋体" w:hAnsi="宋体" w:cs="宋体"/>
          <w:b/>
          <w:color w:val="auto"/>
          <w:spacing w:val="6"/>
          <w:sz w:val="32"/>
          <w:szCs w:val="32"/>
          <w:highlight w:val="none"/>
        </w:rPr>
      </w:pPr>
    </w:p>
    <w:p w14:paraId="7B7FD1D4">
      <w:pPr>
        <w:autoSpaceDE w:val="0"/>
        <w:autoSpaceDN w:val="0"/>
        <w:jc w:val="center"/>
        <w:rPr>
          <w:rFonts w:ascii="宋体" w:hAnsi="宋体" w:cs="宋体"/>
          <w:b/>
          <w:color w:val="auto"/>
          <w:spacing w:val="6"/>
          <w:sz w:val="32"/>
          <w:szCs w:val="32"/>
          <w:highlight w:val="none"/>
        </w:rPr>
      </w:pPr>
    </w:p>
    <w:p w14:paraId="1CBFD602">
      <w:pPr>
        <w:snapToGrid w:val="0"/>
        <w:spacing w:line="360" w:lineRule="auto"/>
        <w:ind w:firstLine="3666" w:firstLineChars="1100"/>
        <w:rPr>
          <w:rFonts w:ascii="宋体" w:hAnsi="宋体" w:cs="宋体"/>
          <w:b/>
          <w:color w:val="auto"/>
          <w:spacing w:val="6"/>
          <w:sz w:val="32"/>
          <w:szCs w:val="32"/>
          <w:highlight w:val="none"/>
        </w:rPr>
      </w:pPr>
    </w:p>
    <w:p w14:paraId="064C190D">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13526332">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5</w:t>
      </w:r>
      <w:r>
        <w:rPr>
          <w:rFonts w:hint="eastAsia" w:ascii="宋体" w:hAnsi="宋体" w:eastAsia="宋体" w:cs="宋体"/>
          <w:b/>
          <w:color w:val="auto"/>
          <w:spacing w:val="6"/>
          <w:sz w:val="32"/>
          <w:szCs w:val="32"/>
          <w:highlight w:val="none"/>
        </w:rPr>
        <w:t>：分包意向协议</w:t>
      </w:r>
    </w:p>
    <w:p w14:paraId="62661089">
      <w:pPr>
        <w:pageBreakBefore w:val="0"/>
        <w:widowControl/>
        <w:kinsoku/>
        <w:wordWrap/>
        <w:overflowPunct/>
        <w:topLinePunct w:val="0"/>
        <w:autoSpaceDE/>
        <w:autoSpaceDN/>
        <w:bidi w:val="0"/>
        <w:spacing w:line="312" w:lineRule="auto"/>
        <w:ind w:firstLine="120" w:firstLineChars="50"/>
        <w:jc w:val="left"/>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（中标后以分包方式履行合同的，提供分包意向协议；采购人不同意分包或者</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中标后不以分包方式履行合同的，则不需要提供。）</w:t>
      </w:r>
    </w:p>
    <w:p w14:paraId="6BE5EEA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w:t>
      </w:r>
    </w:p>
    <w:p w14:paraId="4970BE1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91CB7D4">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451685C">
      <w:pPr>
        <w:pageBreakBefore w:val="0"/>
        <w:tabs>
          <w:tab w:val="left" w:pos="432"/>
        </w:tabs>
        <w:kinsoku/>
        <w:wordWrap/>
        <w:overflowPunct/>
        <w:topLinePunct w:val="0"/>
        <w:autoSpaceDE/>
        <w:autoSpaceDN/>
        <w:bidi w:val="0"/>
        <w:spacing w:line="312" w:lineRule="auto"/>
        <w:ind w:left="664" w:leftChars="316" w:firstLine="228" w:firstLineChars="95"/>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F2FD92C">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52D807B">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4E8BA99">
      <w:pPr>
        <w:pageBreakBefore w:val="0"/>
        <w:kinsoku/>
        <w:wordWrap/>
        <w:overflowPunct/>
        <w:topLinePunct w:val="0"/>
        <w:autoSpaceDE/>
        <w:autoSpaceDN/>
        <w:bidi w:val="0"/>
        <w:spacing w:line="312" w:lineRule="auto"/>
        <w:ind w:firstLine="480" w:firstLineChars="200"/>
        <w:textAlignment w:val="auto"/>
        <w:outlineLvl w:val="9"/>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7B0C0CA">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FB65847">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highlight w:val="none"/>
          <w:u w:val="single"/>
        </w:rPr>
      </w:pPr>
      <w:r>
        <w:rPr>
          <w:rFonts w:hint="eastAsia" w:ascii="宋体" w:hAnsi="宋体" w:cs="宋体"/>
          <w:color w:val="auto"/>
          <w:highlight w:val="none"/>
          <w:u w:val="single"/>
        </w:rPr>
        <w:t xml:space="preserve">                                                                                  </w:t>
      </w:r>
    </w:p>
    <w:p w14:paraId="4B258A7D">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2B6EB6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917B4D6">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CCB6721">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A58F97E">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ABDE7DF">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5A3C6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5FE986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174288B">
      <w:pPr>
        <w:pageBreakBefore w:val="0"/>
        <w:kinsoku/>
        <w:wordWrap/>
        <w:overflowPunct/>
        <w:topLinePunct w:val="0"/>
        <w:autoSpaceDE/>
        <w:autoSpaceDN/>
        <w:bidi w:val="0"/>
        <w:snapToGrid w:val="0"/>
        <w:spacing w:line="312" w:lineRule="auto"/>
        <w:ind w:left="5758" w:leftChars="342" w:hanging="5040" w:hanging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29F0C2AF">
      <w:pPr>
        <w:pageBreakBefore w:val="0"/>
        <w:kinsoku/>
        <w:wordWrap/>
        <w:overflowPunct/>
        <w:topLinePunct w:val="0"/>
        <w:autoSpaceDE/>
        <w:autoSpaceDN/>
        <w:bidi w:val="0"/>
        <w:snapToGrid w:val="0"/>
        <w:spacing w:line="312"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F4D213D">
      <w:pPr>
        <w:pageBreakBefore w:val="0"/>
        <w:kinsoku/>
        <w:wordWrap/>
        <w:overflowPunct/>
        <w:topLinePunct w:val="0"/>
        <w:autoSpaceDE/>
        <w:autoSpaceDN/>
        <w:bidi w:val="0"/>
        <w:snapToGrid w:val="0"/>
        <w:spacing w:line="312" w:lineRule="auto"/>
        <w:ind w:firstLine="5760" w:firstLineChars="2400"/>
        <w:textAlignment w:val="auto"/>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30A84CFB">
      <w:pPr>
        <w:pageBreakBefore w:val="0"/>
        <w:kinsoku/>
        <w:wordWrap/>
        <w:overflowPunct/>
        <w:topLinePunct w:val="0"/>
        <w:autoSpaceDE/>
        <w:autoSpaceDN/>
        <w:bidi w:val="0"/>
        <w:spacing w:line="312" w:lineRule="auto"/>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087BD7A">
      <w:pPr>
        <w:widowControl/>
        <w:kinsoku/>
        <w:wordWrap/>
        <w:overflowPunct/>
        <w:topLinePunct w:val="0"/>
        <w:bidi w:val="0"/>
        <w:adjustRightInd/>
        <w:jc w:val="left"/>
        <w:outlineLvl w:val="9"/>
        <w:rPr>
          <w:rFonts w:ascii="宋体" w:hAnsi="宋体" w:cs="宋体"/>
          <w:color w:val="auto"/>
          <w:highlight w:val="none"/>
        </w:rPr>
      </w:pPr>
      <w:r>
        <w:rPr>
          <w:rFonts w:hint="eastAsia" w:ascii="宋体" w:hAnsi="宋体" w:cs="宋体"/>
          <w:color w:val="auto"/>
          <w:sz w:val="24"/>
          <w:highlight w:val="none"/>
        </w:rPr>
        <w:t>注：按本格式和要求提供。</w:t>
      </w:r>
    </w:p>
    <w:sectPr>
      <w:headerReference r:id="rId24" w:type="first"/>
      <w:footerReference r:id="rId27" w:type="first"/>
      <w:headerReference r:id="rId23" w:type="default"/>
      <w:footerReference r:id="rId25" w:type="default"/>
      <w:footerReference r:id="rId26" w:type="even"/>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微软雅黑 Light">
    <w:panose1 w:val="020B0502040204020203"/>
    <w:charset w:val="86"/>
    <w:family w:val="swiss"/>
    <w:pitch w:val="default"/>
    <w:sig w:usb0="80000287" w:usb1="2ACF001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F2376">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B0054">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AC46B">
                          <w:pPr>
                            <w:pStyle w:val="4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19AC46B">
                    <w:pPr>
                      <w:pStyle w:val="4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7F2DF">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F6122">
                          <w:pPr>
                            <w:pStyle w:val="4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8DF6122">
                    <w:pPr>
                      <w:pStyle w:val="4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2D9E6">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CEA1A">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51CEA1A">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25E38">
    <w:pPr>
      <w:rPr>
        <w:rFonts w:ascii="仿宋_GB2312" w:eastAsia="仿宋_GB2312"/>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BBB25">
                          <w:pPr>
                            <w:pStyle w:val="4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9CBBB25">
                    <w:pPr>
                      <w:pStyle w:val="4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2A249">
    <w:pPr>
      <w:pStyle w:val="40"/>
      <w:rPr>
        <w:rFonts w:ascii="仿宋_GB2312" w:eastAsia="仿宋_GB2312"/>
        <w:szCs w:val="24"/>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41BA7">
                          <w:pPr>
                            <w:pStyle w:val="4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1C41BA7">
                    <w:pPr>
                      <w:pStyle w:val="4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B4E6D">
    <w:pPr>
      <w:pStyle w:val="40"/>
      <w:ind w:right="360"/>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2DD3A">
                          <w:pPr>
                            <w:pStyle w:val="4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2842DD3A">
                    <w:pPr>
                      <w:pStyle w:val="4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1D2C9">
    <w:pPr>
      <w:pStyle w:val="40"/>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93238">
                          <w:pPr>
                            <w:pStyle w:val="4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5B93238">
                    <w:pPr>
                      <w:pStyle w:val="4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5A0B2">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B236A">
                          <w:pPr>
                            <w:pStyle w:val="4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3DB236A">
                    <w:pPr>
                      <w:pStyle w:val="4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35D4A">
    <w:pPr>
      <w:pStyle w:val="40"/>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28F6E">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F428F6E">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48FDD">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9E4E5">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A49E4E5">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8CEFA">
    <w:pPr>
      <w:pStyle w:val="40"/>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CD1C0">
                          <w:pPr>
                            <w:pStyle w:val="4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71CD1C0">
                    <w:pPr>
                      <w:pStyle w:val="4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30C53">
    <w:pPr>
      <w:spacing w:line="230" w:lineRule="auto"/>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02847">
                          <w:pPr>
                            <w:pStyle w:val="4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4002847">
                    <w:pPr>
                      <w:pStyle w:val="4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0D24E">
    <w:pPr>
      <w:pStyle w:val="4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D3FE0">
                          <w:pPr>
                            <w:pStyle w:val="4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14D3FE0">
                    <w:pPr>
                      <w:pStyle w:val="4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91533">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8C2B3">
                          <w:pPr>
                            <w:pStyle w:val="4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828C2B3">
                    <w:pPr>
                      <w:pStyle w:val="4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31B30">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8B9C9">
                          <w:pPr>
                            <w:pStyle w:val="4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3F8B9C9">
                    <w:pPr>
                      <w:pStyle w:val="4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1DE19">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EE96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BFCA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9DEE5">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3F7D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92E60">
    <w:pPr>
      <w:pStyle w:val="41"/>
      <w:jc w:val="right"/>
      <w:rPr>
        <w:rFonts w:hint="eastAsia"/>
      </w:rPr>
    </w:pPr>
    <w:r>
      <w:rPr>
        <w:rFonts w:hint="eastAsia"/>
      </w:rPr>
      <w:t xml:space="preserve">                                  </w:t>
    </w:r>
  </w:p>
  <w:p w14:paraId="110DFC84">
    <w:pPr>
      <w:pStyle w:val="41"/>
      <w:jc w:val="right"/>
      <w:rPr>
        <w:rFonts w:ascii="仿宋_GB2312" w:eastAsia="仿宋_GB2312"/>
        <w:b/>
        <w:i/>
        <w:u w:val="single"/>
      </w:rPr>
    </w:pPr>
    <w:r>
      <w:t>政府采购公开招标文件</w:t>
    </w:r>
  </w:p>
  <w:p w14:paraId="335917C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2F2A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A3CD9">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E13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lowerLetter"/>
      <w:pStyle w:val="964"/>
      <w:lvlText w:val="%1."/>
      <w:lvlJc w:val="left"/>
      <w:pPr>
        <w:tabs>
          <w:tab w:val="left" w:pos="4755"/>
        </w:tabs>
        <w:ind w:left="4696" w:hanging="301"/>
      </w:pPr>
      <w:rPr>
        <w:rFonts w:hint="eastAsia"/>
      </w:rPr>
    </w:lvl>
    <w:lvl w:ilvl="1" w:tentative="0">
      <w:start w:val="1"/>
      <w:numFmt w:val="decimal"/>
      <w:pStyle w:val="965"/>
      <w:lvlText w:val="%2．"/>
      <w:lvlJc w:val="left"/>
      <w:pPr>
        <w:tabs>
          <w:tab w:val="left" w:pos="1260"/>
        </w:tabs>
        <w:ind w:left="1260" w:hanging="360"/>
      </w:pPr>
      <w:rPr>
        <w:rFonts w:hint="eastAsia"/>
      </w:rPr>
    </w:lvl>
    <w:lvl w:ilvl="2" w:tentative="0">
      <w:start w:val="1"/>
      <w:numFmt w:val="lowerRoman"/>
      <w:pStyle w:val="966"/>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20826B32"/>
    <w:multiLevelType w:val="singleLevel"/>
    <w:tmpl w:val="20826B32"/>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yMjQzZGVlODUwMWM4NmI3ZTk0NzMyOGM2MWZlOWY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48B5"/>
    <w:rsid w:val="011F6449"/>
    <w:rsid w:val="01236AFB"/>
    <w:rsid w:val="019F7441"/>
    <w:rsid w:val="01B37585"/>
    <w:rsid w:val="01BD3BBD"/>
    <w:rsid w:val="01D55165"/>
    <w:rsid w:val="01DF6BF8"/>
    <w:rsid w:val="01EC2C57"/>
    <w:rsid w:val="02117D9A"/>
    <w:rsid w:val="025F0711"/>
    <w:rsid w:val="026B2E25"/>
    <w:rsid w:val="02824D4D"/>
    <w:rsid w:val="02DC4B10"/>
    <w:rsid w:val="02DD76CE"/>
    <w:rsid w:val="02F36323"/>
    <w:rsid w:val="02F5619C"/>
    <w:rsid w:val="02FD2E8D"/>
    <w:rsid w:val="03215DBB"/>
    <w:rsid w:val="0326446A"/>
    <w:rsid w:val="032B4FD7"/>
    <w:rsid w:val="032D5555"/>
    <w:rsid w:val="036634D2"/>
    <w:rsid w:val="03DD35E4"/>
    <w:rsid w:val="04076900"/>
    <w:rsid w:val="04161230"/>
    <w:rsid w:val="041A5A3B"/>
    <w:rsid w:val="042311BA"/>
    <w:rsid w:val="042B157A"/>
    <w:rsid w:val="0436375F"/>
    <w:rsid w:val="046917C8"/>
    <w:rsid w:val="048F763B"/>
    <w:rsid w:val="049F330E"/>
    <w:rsid w:val="04AA775C"/>
    <w:rsid w:val="04AF1889"/>
    <w:rsid w:val="04F66F48"/>
    <w:rsid w:val="04FA2CD2"/>
    <w:rsid w:val="05251E14"/>
    <w:rsid w:val="05A16594"/>
    <w:rsid w:val="05A7762D"/>
    <w:rsid w:val="060E5941"/>
    <w:rsid w:val="06110FAF"/>
    <w:rsid w:val="063D009B"/>
    <w:rsid w:val="06493CA7"/>
    <w:rsid w:val="065A6178"/>
    <w:rsid w:val="066F1CF3"/>
    <w:rsid w:val="06930BB8"/>
    <w:rsid w:val="07245D42"/>
    <w:rsid w:val="07264C62"/>
    <w:rsid w:val="077706A0"/>
    <w:rsid w:val="0779354C"/>
    <w:rsid w:val="07832BA1"/>
    <w:rsid w:val="078400DD"/>
    <w:rsid w:val="07DD5238"/>
    <w:rsid w:val="08061376"/>
    <w:rsid w:val="08452D77"/>
    <w:rsid w:val="086401F8"/>
    <w:rsid w:val="08751CAA"/>
    <w:rsid w:val="087E4C40"/>
    <w:rsid w:val="08A871D0"/>
    <w:rsid w:val="08D66AD6"/>
    <w:rsid w:val="08D8486D"/>
    <w:rsid w:val="08DA33A3"/>
    <w:rsid w:val="08E80F13"/>
    <w:rsid w:val="09335624"/>
    <w:rsid w:val="0944690F"/>
    <w:rsid w:val="094A7645"/>
    <w:rsid w:val="09535675"/>
    <w:rsid w:val="09587320"/>
    <w:rsid w:val="095F057D"/>
    <w:rsid w:val="09642282"/>
    <w:rsid w:val="097201EA"/>
    <w:rsid w:val="09733572"/>
    <w:rsid w:val="09772C16"/>
    <w:rsid w:val="098353B5"/>
    <w:rsid w:val="09A92330"/>
    <w:rsid w:val="09B06B87"/>
    <w:rsid w:val="09C13146"/>
    <w:rsid w:val="09E04166"/>
    <w:rsid w:val="0A1C0718"/>
    <w:rsid w:val="0A3E7710"/>
    <w:rsid w:val="0A5B7E63"/>
    <w:rsid w:val="0A965773"/>
    <w:rsid w:val="0AA374A5"/>
    <w:rsid w:val="0AA56AB0"/>
    <w:rsid w:val="0AAB7649"/>
    <w:rsid w:val="0ABC5606"/>
    <w:rsid w:val="0B30404E"/>
    <w:rsid w:val="0B3A3D07"/>
    <w:rsid w:val="0B3D575C"/>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3715BC"/>
    <w:rsid w:val="0D4A7419"/>
    <w:rsid w:val="0D827401"/>
    <w:rsid w:val="0D84094E"/>
    <w:rsid w:val="0D8A00E9"/>
    <w:rsid w:val="0D8D589E"/>
    <w:rsid w:val="0DA01C73"/>
    <w:rsid w:val="0DD63300"/>
    <w:rsid w:val="0DDE0BF3"/>
    <w:rsid w:val="0DE16873"/>
    <w:rsid w:val="0DF50604"/>
    <w:rsid w:val="0DF702FE"/>
    <w:rsid w:val="0E060E51"/>
    <w:rsid w:val="0E5604B2"/>
    <w:rsid w:val="0E602003"/>
    <w:rsid w:val="0E6D5D79"/>
    <w:rsid w:val="0E9D0089"/>
    <w:rsid w:val="0EB803EE"/>
    <w:rsid w:val="0EB96A4C"/>
    <w:rsid w:val="0EF94D4B"/>
    <w:rsid w:val="0F4958DC"/>
    <w:rsid w:val="0F515DF7"/>
    <w:rsid w:val="0F596BA8"/>
    <w:rsid w:val="0F6248D2"/>
    <w:rsid w:val="0F693536"/>
    <w:rsid w:val="0F7B0511"/>
    <w:rsid w:val="0F7B76D9"/>
    <w:rsid w:val="0F816ACD"/>
    <w:rsid w:val="0F9832DB"/>
    <w:rsid w:val="0FBF3FD2"/>
    <w:rsid w:val="0FBF7FF3"/>
    <w:rsid w:val="101E3DAE"/>
    <w:rsid w:val="102A4F72"/>
    <w:rsid w:val="10646583"/>
    <w:rsid w:val="107D4B15"/>
    <w:rsid w:val="108A3C80"/>
    <w:rsid w:val="10C26171"/>
    <w:rsid w:val="10F33360"/>
    <w:rsid w:val="10FC16EA"/>
    <w:rsid w:val="110F1D40"/>
    <w:rsid w:val="11266F33"/>
    <w:rsid w:val="118963A1"/>
    <w:rsid w:val="11C6522A"/>
    <w:rsid w:val="11E104CC"/>
    <w:rsid w:val="11E20309"/>
    <w:rsid w:val="12255233"/>
    <w:rsid w:val="1240216F"/>
    <w:rsid w:val="12530213"/>
    <w:rsid w:val="127723A9"/>
    <w:rsid w:val="12862074"/>
    <w:rsid w:val="12883966"/>
    <w:rsid w:val="129E45B4"/>
    <w:rsid w:val="12C64289"/>
    <w:rsid w:val="12D81596"/>
    <w:rsid w:val="12F3356E"/>
    <w:rsid w:val="13072A44"/>
    <w:rsid w:val="135F4BE2"/>
    <w:rsid w:val="139B1A0A"/>
    <w:rsid w:val="139D25C7"/>
    <w:rsid w:val="13BE7DBE"/>
    <w:rsid w:val="13BF3CE4"/>
    <w:rsid w:val="141008D8"/>
    <w:rsid w:val="14125FE6"/>
    <w:rsid w:val="143E57C7"/>
    <w:rsid w:val="146D271E"/>
    <w:rsid w:val="14982588"/>
    <w:rsid w:val="149A5AD9"/>
    <w:rsid w:val="14A7619D"/>
    <w:rsid w:val="14BF6273"/>
    <w:rsid w:val="14C86B97"/>
    <w:rsid w:val="150536C3"/>
    <w:rsid w:val="150C1963"/>
    <w:rsid w:val="151447A0"/>
    <w:rsid w:val="154A6454"/>
    <w:rsid w:val="15762120"/>
    <w:rsid w:val="15F61834"/>
    <w:rsid w:val="16A8729C"/>
    <w:rsid w:val="16AF2A39"/>
    <w:rsid w:val="16B33777"/>
    <w:rsid w:val="16BC70A7"/>
    <w:rsid w:val="16C6339E"/>
    <w:rsid w:val="17260F0E"/>
    <w:rsid w:val="172F2D79"/>
    <w:rsid w:val="17557BEF"/>
    <w:rsid w:val="17606A5A"/>
    <w:rsid w:val="17965EAF"/>
    <w:rsid w:val="17D349C1"/>
    <w:rsid w:val="17E40634"/>
    <w:rsid w:val="1830729E"/>
    <w:rsid w:val="1864152A"/>
    <w:rsid w:val="1870062C"/>
    <w:rsid w:val="18817102"/>
    <w:rsid w:val="18830A15"/>
    <w:rsid w:val="18852B28"/>
    <w:rsid w:val="18860372"/>
    <w:rsid w:val="188B5321"/>
    <w:rsid w:val="19932372"/>
    <w:rsid w:val="19A20DD5"/>
    <w:rsid w:val="19AE03F1"/>
    <w:rsid w:val="1A071A03"/>
    <w:rsid w:val="1A1F16AE"/>
    <w:rsid w:val="1A3B5C77"/>
    <w:rsid w:val="1A8342DE"/>
    <w:rsid w:val="1A984BAD"/>
    <w:rsid w:val="1AB8220E"/>
    <w:rsid w:val="1AE4166C"/>
    <w:rsid w:val="1AF06CFB"/>
    <w:rsid w:val="1AF11B8D"/>
    <w:rsid w:val="1B11359C"/>
    <w:rsid w:val="1B2A271F"/>
    <w:rsid w:val="1B327CEE"/>
    <w:rsid w:val="1B530544"/>
    <w:rsid w:val="1B713184"/>
    <w:rsid w:val="1BA209CF"/>
    <w:rsid w:val="1BB4777D"/>
    <w:rsid w:val="1BCC153A"/>
    <w:rsid w:val="1BD75AB8"/>
    <w:rsid w:val="1C0459C2"/>
    <w:rsid w:val="1C1B3B4A"/>
    <w:rsid w:val="1C2269D4"/>
    <w:rsid w:val="1C88086E"/>
    <w:rsid w:val="1D266CE1"/>
    <w:rsid w:val="1D3963AF"/>
    <w:rsid w:val="1D465F9A"/>
    <w:rsid w:val="1D6A673C"/>
    <w:rsid w:val="1D9247AE"/>
    <w:rsid w:val="1D936093"/>
    <w:rsid w:val="1DB567EC"/>
    <w:rsid w:val="1DF51A98"/>
    <w:rsid w:val="1E276524"/>
    <w:rsid w:val="1E2A1362"/>
    <w:rsid w:val="1E2D5BB4"/>
    <w:rsid w:val="1E361291"/>
    <w:rsid w:val="1E3D060F"/>
    <w:rsid w:val="1E3F7D2E"/>
    <w:rsid w:val="1E4134E4"/>
    <w:rsid w:val="1E5062B3"/>
    <w:rsid w:val="1E523514"/>
    <w:rsid w:val="1E714A66"/>
    <w:rsid w:val="1E802593"/>
    <w:rsid w:val="1E8B6156"/>
    <w:rsid w:val="1EA402FF"/>
    <w:rsid w:val="1EA703CC"/>
    <w:rsid w:val="1EB06519"/>
    <w:rsid w:val="1EB7330C"/>
    <w:rsid w:val="1EFD0128"/>
    <w:rsid w:val="1F0A0FF3"/>
    <w:rsid w:val="1F0C1276"/>
    <w:rsid w:val="1F572E39"/>
    <w:rsid w:val="1F5771FF"/>
    <w:rsid w:val="1F907E61"/>
    <w:rsid w:val="1FD52DD5"/>
    <w:rsid w:val="1FE868A9"/>
    <w:rsid w:val="20034907"/>
    <w:rsid w:val="20173E4B"/>
    <w:rsid w:val="204E48BC"/>
    <w:rsid w:val="208921B3"/>
    <w:rsid w:val="20973DEB"/>
    <w:rsid w:val="20B26522"/>
    <w:rsid w:val="20B44310"/>
    <w:rsid w:val="211116EB"/>
    <w:rsid w:val="216133FC"/>
    <w:rsid w:val="21BC51D5"/>
    <w:rsid w:val="21D56769"/>
    <w:rsid w:val="21E52EF3"/>
    <w:rsid w:val="21F77FBB"/>
    <w:rsid w:val="21FB5D7B"/>
    <w:rsid w:val="22015E94"/>
    <w:rsid w:val="220B1C3D"/>
    <w:rsid w:val="221D1D20"/>
    <w:rsid w:val="22334A87"/>
    <w:rsid w:val="227143A8"/>
    <w:rsid w:val="22BE6801"/>
    <w:rsid w:val="22D26EB7"/>
    <w:rsid w:val="22E65DFF"/>
    <w:rsid w:val="233500BF"/>
    <w:rsid w:val="23377FF7"/>
    <w:rsid w:val="236B425F"/>
    <w:rsid w:val="23836192"/>
    <w:rsid w:val="23901F29"/>
    <w:rsid w:val="239C0061"/>
    <w:rsid w:val="23B908A4"/>
    <w:rsid w:val="23E95BEF"/>
    <w:rsid w:val="23FD0064"/>
    <w:rsid w:val="24174945"/>
    <w:rsid w:val="244F60E9"/>
    <w:rsid w:val="245375B0"/>
    <w:rsid w:val="24642C0A"/>
    <w:rsid w:val="24B22173"/>
    <w:rsid w:val="24B95AD9"/>
    <w:rsid w:val="24BE24DA"/>
    <w:rsid w:val="24CF5825"/>
    <w:rsid w:val="24D663E6"/>
    <w:rsid w:val="24D77F2B"/>
    <w:rsid w:val="257A33DD"/>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A07666"/>
    <w:rsid w:val="280741FF"/>
    <w:rsid w:val="28333E1D"/>
    <w:rsid w:val="28454BD6"/>
    <w:rsid w:val="28455253"/>
    <w:rsid w:val="28551971"/>
    <w:rsid w:val="285B1C53"/>
    <w:rsid w:val="289F7086"/>
    <w:rsid w:val="28B94DA8"/>
    <w:rsid w:val="28C32028"/>
    <w:rsid w:val="28CC490F"/>
    <w:rsid w:val="28DE40AA"/>
    <w:rsid w:val="29345E77"/>
    <w:rsid w:val="294C65AD"/>
    <w:rsid w:val="29806583"/>
    <w:rsid w:val="298B3C4C"/>
    <w:rsid w:val="29C24E06"/>
    <w:rsid w:val="29F26D24"/>
    <w:rsid w:val="2A15033F"/>
    <w:rsid w:val="2A1662C1"/>
    <w:rsid w:val="2A1C7367"/>
    <w:rsid w:val="2A2815FA"/>
    <w:rsid w:val="2A6D6092"/>
    <w:rsid w:val="2A7D76B4"/>
    <w:rsid w:val="2B021058"/>
    <w:rsid w:val="2B437463"/>
    <w:rsid w:val="2B7807EE"/>
    <w:rsid w:val="2BA50BF7"/>
    <w:rsid w:val="2BBF00EC"/>
    <w:rsid w:val="2BC37CFD"/>
    <w:rsid w:val="2BD5237F"/>
    <w:rsid w:val="2BD82891"/>
    <w:rsid w:val="2BE536CE"/>
    <w:rsid w:val="2BE758D9"/>
    <w:rsid w:val="2C09049E"/>
    <w:rsid w:val="2C0A653C"/>
    <w:rsid w:val="2C191F85"/>
    <w:rsid w:val="2CAB47C4"/>
    <w:rsid w:val="2CE82D6F"/>
    <w:rsid w:val="2D343236"/>
    <w:rsid w:val="2D52755A"/>
    <w:rsid w:val="2D5C23F2"/>
    <w:rsid w:val="2D8D5C78"/>
    <w:rsid w:val="2DD15014"/>
    <w:rsid w:val="2DE60D5F"/>
    <w:rsid w:val="2DF72DE4"/>
    <w:rsid w:val="2E0220AF"/>
    <w:rsid w:val="2E4B082A"/>
    <w:rsid w:val="2E513149"/>
    <w:rsid w:val="2E5D4E86"/>
    <w:rsid w:val="2E5D790B"/>
    <w:rsid w:val="2E9A3C18"/>
    <w:rsid w:val="2EBB0FEE"/>
    <w:rsid w:val="2EBC05C2"/>
    <w:rsid w:val="2EC63002"/>
    <w:rsid w:val="2EE50179"/>
    <w:rsid w:val="2F0A6B38"/>
    <w:rsid w:val="2F4D3910"/>
    <w:rsid w:val="2F946CCB"/>
    <w:rsid w:val="2FD25781"/>
    <w:rsid w:val="2FDC745C"/>
    <w:rsid w:val="2FFD7934"/>
    <w:rsid w:val="30252E9E"/>
    <w:rsid w:val="305F4400"/>
    <w:rsid w:val="30733ACD"/>
    <w:rsid w:val="308C3862"/>
    <w:rsid w:val="309379D8"/>
    <w:rsid w:val="30A270F7"/>
    <w:rsid w:val="30B07CFC"/>
    <w:rsid w:val="30B61A06"/>
    <w:rsid w:val="30DF1478"/>
    <w:rsid w:val="30E46C50"/>
    <w:rsid w:val="30EC586F"/>
    <w:rsid w:val="314550B7"/>
    <w:rsid w:val="319C6071"/>
    <w:rsid w:val="31AC537E"/>
    <w:rsid w:val="31E3679B"/>
    <w:rsid w:val="31E732FD"/>
    <w:rsid w:val="32006FCE"/>
    <w:rsid w:val="322546D1"/>
    <w:rsid w:val="32517576"/>
    <w:rsid w:val="32BE5C2C"/>
    <w:rsid w:val="32C640F8"/>
    <w:rsid w:val="32C97752"/>
    <w:rsid w:val="32E241A7"/>
    <w:rsid w:val="32FB6478"/>
    <w:rsid w:val="33263B3F"/>
    <w:rsid w:val="336963EB"/>
    <w:rsid w:val="33816EEB"/>
    <w:rsid w:val="33E347C2"/>
    <w:rsid w:val="33EB55CD"/>
    <w:rsid w:val="33EC4C02"/>
    <w:rsid w:val="340D2360"/>
    <w:rsid w:val="3410665D"/>
    <w:rsid w:val="34211214"/>
    <w:rsid w:val="342E63AB"/>
    <w:rsid w:val="34950E68"/>
    <w:rsid w:val="34986E94"/>
    <w:rsid w:val="34AF62C9"/>
    <w:rsid w:val="34CB4388"/>
    <w:rsid w:val="34FA6E12"/>
    <w:rsid w:val="354D7158"/>
    <w:rsid w:val="358D5588"/>
    <w:rsid w:val="361E7DB5"/>
    <w:rsid w:val="363A3B40"/>
    <w:rsid w:val="365302AE"/>
    <w:rsid w:val="36607A0A"/>
    <w:rsid w:val="366E227C"/>
    <w:rsid w:val="366F2E0D"/>
    <w:rsid w:val="367B6A5C"/>
    <w:rsid w:val="36A74ADA"/>
    <w:rsid w:val="36AD60D5"/>
    <w:rsid w:val="36B224F9"/>
    <w:rsid w:val="36DE2FD6"/>
    <w:rsid w:val="36EC0CC9"/>
    <w:rsid w:val="36FE2772"/>
    <w:rsid w:val="37232BF3"/>
    <w:rsid w:val="37233CB4"/>
    <w:rsid w:val="373F410B"/>
    <w:rsid w:val="37CF0CE0"/>
    <w:rsid w:val="37EE7094"/>
    <w:rsid w:val="38296C89"/>
    <w:rsid w:val="383002EB"/>
    <w:rsid w:val="38586797"/>
    <w:rsid w:val="38BC0149"/>
    <w:rsid w:val="38D87D1C"/>
    <w:rsid w:val="38E8321F"/>
    <w:rsid w:val="38EE74F9"/>
    <w:rsid w:val="393136BF"/>
    <w:rsid w:val="39423DBA"/>
    <w:rsid w:val="39636459"/>
    <w:rsid w:val="396B7F6C"/>
    <w:rsid w:val="39987E7E"/>
    <w:rsid w:val="39B417A9"/>
    <w:rsid w:val="39FC5695"/>
    <w:rsid w:val="3A006D8E"/>
    <w:rsid w:val="3A3651E5"/>
    <w:rsid w:val="3A744481"/>
    <w:rsid w:val="3A8C7BEF"/>
    <w:rsid w:val="3A906246"/>
    <w:rsid w:val="3B087C6D"/>
    <w:rsid w:val="3B2349B7"/>
    <w:rsid w:val="3B616CFF"/>
    <w:rsid w:val="3B6259F6"/>
    <w:rsid w:val="3B976654"/>
    <w:rsid w:val="3BC01EFC"/>
    <w:rsid w:val="3BCA786A"/>
    <w:rsid w:val="3BD31E2F"/>
    <w:rsid w:val="3BF15831"/>
    <w:rsid w:val="3C105946"/>
    <w:rsid w:val="3C1A0D8D"/>
    <w:rsid w:val="3C471448"/>
    <w:rsid w:val="3C5F759A"/>
    <w:rsid w:val="3C6C525A"/>
    <w:rsid w:val="3CA1195A"/>
    <w:rsid w:val="3CC95775"/>
    <w:rsid w:val="3CCE23CB"/>
    <w:rsid w:val="3CD17D17"/>
    <w:rsid w:val="3D3C7F39"/>
    <w:rsid w:val="3D440F09"/>
    <w:rsid w:val="3D4504A0"/>
    <w:rsid w:val="3D842BF3"/>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3326AF"/>
    <w:rsid w:val="40592157"/>
    <w:rsid w:val="406E1CAE"/>
    <w:rsid w:val="40827192"/>
    <w:rsid w:val="40A0133A"/>
    <w:rsid w:val="40C31A53"/>
    <w:rsid w:val="40FF545D"/>
    <w:rsid w:val="410067C8"/>
    <w:rsid w:val="4178148A"/>
    <w:rsid w:val="418F0D2A"/>
    <w:rsid w:val="41A82C28"/>
    <w:rsid w:val="41D01505"/>
    <w:rsid w:val="42075E9B"/>
    <w:rsid w:val="42246753"/>
    <w:rsid w:val="42474939"/>
    <w:rsid w:val="424C3C57"/>
    <w:rsid w:val="424D2F17"/>
    <w:rsid w:val="42613FF3"/>
    <w:rsid w:val="42660D96"/>
    <w:rsid w:val="428667D2"/>
    <w:rsid w:val="42CD1CE0"/>
    <w:rsid w:val="42E1381E"/>
    <w:rsid w:val="42ED6459"/>
    <w:rsid w:val="42FE58DD"/>
    <w:rsid w:val="43081BD1"/>
    <w:rsid w:val="43174B3D"/>
    <w:rsid w:val="4341799C"/>
    <w:rsid w:val="434626F9"/>
    <w:rsid w:val="434B790E"/>
    <w:rsid w:val="4360274F"/>
    <w:rsid w:val="4371496E"/>
    <w:rsid w:val="438675AD"/>
    <w:rsid w:val="43977AB6"/>
    <w:rsid w:val="43A3342B"/>
    <w:rsid w:val="43C77C27"/>
    <w:rsid w:val="43DE09EE"/>
    <w:rsid w:val="43FF6362"/>
    <w:rsid w:val="44002FAD"/>
    <w:rsid w:val="449101DD"/>
    <w:rsid w:val="44DE1391"/>
    <w:rsid w:val="44EB409B"/>
    <w:rsid w:val="451B225C"/>
    <w:rsid w:val="452410C9"/>
    <w:rsid w:val="45317DFB"/>
    <w:rsid w:val="456D3CE4"/>
    <w:rsid w:val="4579042C"/>
    <w:rsid w:val="457F0571"/>
    <w:rsid w:val="45851176"/>
    <w:rsid w:val="45B93E99"/>
    <w:rsid w:val="45C63B94"/>
    <w:rsid w:val="460E7DA5"/>
    <w:rsid w:val="462B0339"/>
    <w:rsid w:val="46422483"/>
    <w:rsid w:val="4659254A"/>
    <w:rsid w:val="465B0637"/>
    <w:rsid w:val="465E3F0D"/>
    <w:rsid w:val="466A16E6"/>
    <w:rsid w:val="467C286D"/>
    <w:rsid w:val="46893F2B"/>
    <w:rsid w:val="46C4686E"/>
    <w:rsid w:val="470A697F"/>
    <w:rsid w:val="473531B0"/>
    <w:rsid w:val="477B778F"/>
    <w:rsid w:val="478203EC"/>
    <w:rsid w:val="47B025FA"/>
    <w:rsid w:val="47D06A35"/>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DC433C"/>
    <w:rsid w:val="49E56AF9"/>
    <w:rsid w:val="49F6167F"/>
    <w:rsid w:val="4A0347A8"/>
    <w:rsid w:val="4A064FA0"/>
    <w:rsid w:val="4A16615C"/>
    <w:rsid w:val="4A4424D7"/>
    <w:rsid w:val="4A621854"/>
    <w:rsid w:val="4A770F9A"/>
    <w:rsid w:val="4AB82D0F"/>
    <w:rsid w:val="4AC77045"/>
    <w:rsid w:val="4AEB7664"/>
    <w:rsid w:val="4AFD7C19"/>
    <w:rsid w:val="4B0567D1"/>
    <w:rsid w:val="4B236AAE"/>
    <w:rsid w:val="4B707271"/>
    <w:rsid w:val="4B9739F7"/>
    <w:rsid w:val="4BCA036B"/>
    <w:rsid w:val="4BEE2503"/>
    <w:rsid w:val="4C245A30"/>
    <w:rsid w:val="4CB6685F"/>
    <w:rsid w:val="4CC367FE"/>
    <w:rsid w:val="4CDB0FD6"/>
    <w:rsid w:val="4CE7337C"/>
    <w:rsid w:val="4D077F3C"/>
    <w:rsid w:val="4D123355"/>
    <w:rsid w:val="4D2A3B31"/>
    <w:rsid w:val="4D312C52"/>
    <w:rsid w:val="4D4E12EF"/>
    <w:rsid w:val="4D781630"/>
    <w:rsid w:val="4D7A4C4B"/>
    <w:rsid w:val="4D905305"/>
    <w:rsid w:val="4D964A72"/>
    <w:rsid w:val="4D9C1254"/>
    <w:rsid w:val="4DAE7276"/>
    <w:rsid w:val="4E2A3343"/>
    <w:rsid w:val="4E793892"/>
    <w:rsid w:val="4E800872"/>
    <w:rsid w:val="4E867065"/>
    <w:rsid w:val="4EC569ED"/>
    <w:rsid w:val="4ED50EA1"/>
    <w:rsid w:val="4EE3038C"/>
    <w:rsid w:val="4EEC050C"/>
    <w:rsid w:val="4F104EC3"/>
    <w:rsid w:val="4F247375"/>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B00B4"/>
    <w:rsid w:val="519D3C50"/>
    <w:rsid w:val="51A0432A"/>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97272"/>
    <w:rsid w:val="53544462"/>
    <w:rsid w:val="53650979"/>
    <w:rsid w:val="5369177E"/>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8F1899"/>
    <w:rsid w:val="57921984"/>
    <w:rsid w:val="579737F0"/>
    <w:rsid w:val="57AB7B30"/>
    <w:rsid w:val="57AF5251"/>
    <w:rsid w:val="57B26373"/>
    <w:rsid w:val="57B63F04"/>
    <w:rsid w:val="57CD20C2"/>
    <w:rsid w:val="57D675AB"/>
    <w:rsid w:val="57D95FDD"/>
    <w:rsid w:val="585208FE"/>
    <w:rsid w:val="58917D2F"/>
    <w:rsid w:val="5894085C"/>
    <w:rsid w:val="589715D5"/>
    <w:rsid w:val="58AE4F0C"/>
    <w:rsid w:val="58B85899"/>
    <w:rsid w:val="58BB257A"/>
    <w:rsid w:val="58C61EBA"/>
    <w:rsid w:val="58E363A9"/>
    <w:rsid w:val="59080464"/>
    <w:rsid w:val="590E560F"/>
    <w:rsid w:val="591C3667"/>
    <w:rsid w:val="594632CD"/>
    <w:rsid w:val="595E1678"/>
    <w:rsid w:val="596D5BD4"/>
    <w:rsid w:val="597E3DD8"/>
    <w:rsid w:val="59F50429"/>
    <w:rsid w:val="59F80043"/>
    <w:rsid w:val="5A09252F"/>
    <w:rsid w:val="5A0B2778"/>
    <w:rsid w:val="5A2A7C7B"/>
    <w:rsid w:val="5A3E2560"/>
    <w:rsid w:val="5A5D3B6E"/>
    <w:rsid w:val="5A637A76"/>
    <w:rsid w:val="5A6D33BA"/>
    <w:rsid w:val="5A792B1F"/>
    <w:rsid w:val="5A874767"/>
    <w:rsid w:val="5AA85BE2"/>
    <w:rsid w:val="5AAD6F28"/>
    <w:rsid w:val="5AD63A24"/>
    <w:rsid w:val="5B2E1A1D"/>
    <w:rsid w:val="5B706967"/>
    <w:rsid w:val="5B843A1C"/>
    <w:rsid w:val="5B873E3F"/>
    <w:rsid w:val="5C02690E"/>
    <w:rsid w:val="5C196DA7"/>
    <w:rsid w:val="5C2A048C"/>
    <w:rsid w:val="5C80234E"/>
    <w:rsid w:val="5C8A680C"/>
    <w:rsid w:val="5D0C4701"/>
    <w:rsid w:val="5D0F0395"/>
    <w:rsid w:val="5D221076"/>
    <w:rsid w:val="5D397964"/>
    <w:rsid w:val="5D5A2EE3"/>
    <w:rsid w:val="5D5A391C"/>
    <w:rsid w:val="5D5F10C0"/>
    <w:rsid w:val="5D891B7B"/>
    <w:rsid w:val="5DAD38EE"/>
    <w:rsid w:val="5E006862"/>
    <w:rsid w:val="5E0207B9"/>
    <w:rsid w:val="5E1834A1"/>
    <w:rsid w:val="5E261785"/>
    <w:rsid w:val="5E4A7017"/>
    <w:rsid w:val="5E552BBA"/>
    <w:rsid w:val="5E6006BB"/>
    <w:rsid w:val="5E611C10"/>
    <w:rsid w:val="5E7A0F3F"/>
    <w:rsid w:val="5E975130"/>
    <w:rsid w:val="5EFC7377"/>
    <w:rsid w:val="5F06174D"/>
    <w:rsid w:val="5F254825"/>
    <w:rsid w:val="5F3A3602"/>
    <w:rsid w:val="5F45733B"/>
    <w:rsid w:val="5F6277C6"/>
    <w:rsid w:val="5F6D0B1D"/>
    <w:rsid w:val="5F8D0B82"/>
    <w:rsid w:val="5F945952"/>
    <w:rsid w:val="5FCC5339"/>
    <w:rsid w:val="5FE34A5B"/>
    <w:rsid w:val="5FFE1E36"/>
    <w:rsid w:val="60232584"/>
    <w:rsid w:val="607330CE"/>
    <w:rsid w:val="60825176"/>
    <w:rsid w:val="609F2AC4"/>
    <w:rsid w:val="60D15C66"/>
    <w:rsid w:val="60FA2EE8"/>
    <w:rsid w:val="61054A27"/>
    <w:rsid w:val="610A52BC"/>
    <w:rsid w:val="611D2366"/>
    <w:rsid w:val="61211EFE"/>
    <w:rsid w:val="61421856"/>
    <w:rsid w:val="615227C4"/>
    <w:rsid w:val="61654E3F"/>
    <w:rsid w:val="6182292A"/>
    <w:rsid w:val="619F7F92"/>
    <w:rsid w:val="61F94C26"/>
    <w:rsid w:val="62000E56"/>
    <w:rsid w:val="624F3E49"/>
    <w:rsid w:val="62632286"/>
    <w:rsid w:val="62885958"/>
    <w:rsid w:val="62F40B65"/>
    <w:rsid w:val="62FC2CFE"/>
    <w:rsid w:val="63024505"/>
    <w:rsid w:val="63444C14"/>
    <w:rsid w:val="635600A5"/>
    <w:rsid w:val="635B1DB5"/>
    <w:rsid w:val="63711FED"/>
    <w:rsid w:val="63880DDC"/>
    <w:rsid w:val="638D750D"/>
    <w:rsid w:val="63AC6CC0"/>
    <w:rsid w:val="64055776"/>
    <w:rsid w:val="64240056"/>
    <w:rsid w:val="643B41CE"/>
    <w:rsid w:val="643E143A"/>
    <w:rsid w:val="64491666"/>
    <w:rsid w:val="648B6EEF"/>
    <w:rsid w:val="64C158BF"/>
    <w:rsid w:val="64CE2EAA"/>
    <w:rsid w:val="64E77440"/>
    <w:rsid w:val="64F675CC"/>
    <w:rsid w:val="65202952"/>
    <w:rsid w:val="653C3090"/>
    <w:rsid w:val="65854376"/>
    <w:rsid w:val="658767BE"/>
    <w:rsid w:val="65892531"/>
    <w:rsid w:val="65A14D25"/>
    <w:rsid w:val="66195831"/>
    <w:rsid w:val="662E75B1"/>
    <w:rsid w:val="66342C2E"/>
    <w:rsid w:val="663E784C"/>
    <w:rsid w:val="66486C7B"/>
    <w:rsid w:val="6663423B"/>
    <w:rsid w:val="668B6A45"/>
    <w:rsid w:val="66FB1331"/>
    <w:rsid w:val="67011F07"/>
    <w:rsid w:val="672F3F24"/>
    <w:rsid w:val="673E055F"/>
    <w:rsid w:val="67551CE3"/>
    <w:rsid w:val="67A22552"/>
    <w:rsid w:val="67A25B5A"/>
    <w:rsid w:val="67B22DCC"/>
    <w:rsid w:val="67BE71AA"/>
    <w:rsid w:val="67D90273"/>
    <w:rsid w:val="67DE5875"/>
    <w:rsid w:val="67E55852"/>
    <w:rsid w:val="67EB1AB4"/>
    <w:rsid w:val="67FA1285"/>
    <w:rsid w:val="68551F4F"/>
    <w:rsid w:val="687C10C9"/>
    <w:rsid w:val="68840C16"/>
    <w:rsid w:val="68872541"/>
    <w:rsid w:val="68876EFB"/>
    <w:rsid w:val="68884654"/>
    <w:rsid w:val="689D4DB0"/>
    <w:rsid w:val="689F444F"/>
    <w:rsid w:val="68B96DBB"/>
    <w:rsid w:val="68CA2805"/>
    <w:rsid w:val="68DD6BF5"/>
    <w:rsid w:val="68E937A3"/>
    <w:rsid w:val="691664E5"/>
    <w:rsid w:val="693E15D3"/>
    <w:rsid w:val="69627681"/>
    <w:rsid w:val="6977531D"/>
    <w:rsid w:val="69C13687"/>
    <w:rsid w:val="69CC2BFF"/>
    <w:rsid w:val="69FD55B8"/>
    <w:rsid w:val="6A0B1C62"/>
    <w:rsid w:val="6A2406C8"/>
    <w:rsid w:val="6ADE0BD1"/>
    <w:rsid w:val="6AE96859"/>
    <w:rsid w:val="6B147746"/>
    <w:rsid w:val="6B24787C"/>
    <w:rsid w:val="6B4F325E"/>
    <w:rsid w:val="6B573233"/>
    <w:rsid w:val="6B5B6274"/>
    <w:rsid w:val="6B79100E"/>
    <w:rsid w:val="6B935D53"/>
    <w:rsid w:val="6BF57110"/>
    <w:rsid w:val="6C196F71"/>
    <w:rsid w:val="6C226FCB"/>
    <w:rsid w:val="6C31226F"/>
    <w:rsid w:val="6C552F0B"/>
    <w:rsid w:val="6C8C67B7"/>
    <w:rsid w:val="6C9D744C"/>
    <w:rsid w:val="6CC449A5"/>
    <w:rsid w:val="6CFA617E"/>
    <w:rsid w:val="6D167928"/>
    <w:rsid w:val="6D26299B"/>
    <w:rsid w:val="6D4772EC"/>
    <w:rsid w:val="6D9078AF"/>
    <w:rsid w:val="6DAA3FEF"/>
    <w:rsid w:val="6DC0172B"/>
    <w:rsid w:val="6DCB690C"/>
    <w:rsid w:val="6DD41A5B"/>
    <w:rsid w:val="6DF43C2E"/>
    <w:rsid w:val="6DF51CA3"/>
    <w:rsid w:val="6E3F6C56"/>
    <w:rsid w:val="6E4F43AE"/>
    <w:rsid w:val="6E8335BD"/>
    <w:rsid w:val="6E8E12EF"/>
    <w:rsid w:val="6E972936"/>
    <w:rsid w:val="6E9A19C7"/>
    <w:rsid w:val="6ED446C5"/>
    <w:rsid w:val="6F026C6E"/>
    <w:rsid w:val="6F2A7D94"/>
    <w:rsid w:val="6F700D66"/>
    <w:rsid w:val="6F8331F1"/>
    <w:rsid w:val="6FAE1A09"/>
    <w:rsid w:val="6FBB0D6D"/>
    <w:rsid w:val="6FD75BF8"/>
    <w:rsid w:val="707723D0"/>
    <w:rsid w:val="70B54BB7"/>
    <w:rsid w:val="70F5661B"/>
    <w:rsid w:val="71360107"/>
    <w:rsid w:val="713B688E"/>
    <w:rsid w:val="715A72E9"/>
    <w:rsid w:val="71D43752"/>
    <w:rsid w:val="71D86D40"/>
    <w:rsid w:val="71F1796A"/>
    <w:rsid w:val="72154626"/>
    <w:rsid w:val="72262B5D"/>
    <w:rsid w:val="72283FF7"/>
    <w:rsid w:val="722E7212"/>
    <w:rsid w:val="723A0474"/>
    <w:rsid w:val="725923E4"/>
    <w:rsid w:val="72864BF7"/>
    <w:rsid w:val="729023FC"/>
    <w:rsid w:val="731E1DE7"/>
    <w:rsid w:val="734C360E"/>
    <w:rsid w:val="73520AC2"/>
    <w:rsid w:val="73852C46"/>
    <w:rsid w:val="73C0646E"/>
    <w:rsid w:val="74212243"/>
    <w:rsid w:val="742222F5"/>
    <w:rsid w:val="74476126"/>
    <w:rsid w:val="74706664"/>
    <w:rsid w:val="747F3682"/>
    <w:rsid w:val="749C4185"/>
    <w:rsid w:val="75067759"/>
    <w:rsid w:val="75297AE2"/>
    <w:rsid w:val="752E6DCD"/>
    <w:rsid w:val="7551380D"/>
    <w:rsid w:val="75600BE5"/>
    <w:rsid w:val="7564475C"/>
    <w:rsid w:val="7583797F"/>
    <w:rsid w:val="75CB320E"/>
    <w:rsid w:val="75D20F1D"/>
    <w:rsid w:val="75D66E2D"/>
    <w:rsid w:val="75DA2C18"/>
    <w:rsid w:val="75F54412"/>
    <w:rsid w:val="761D08E0"/>
    <w:rsid w:val="765D347C"/>
    <w:rsid w:val="76826699"/>
    <w:rsid w:val="76BA4408"/>
    <w:rsid w:val="76C87133"/>
    <w:rsid w:val="76CD08D5"/>
    <w:rsid w:val="76DB4B92"/>
    <w:rsid w:val="76FA0980"/>
    <w:rsid w:val="76FD013A"/>
    <w:rsid w:val="77052AA4"/>
    <w:rsid w:val="77136511"/>
    <w:rsid w:val="77340A39"/>
    <w:rsid w:val="77351FD0"/>
    <w:rsid w:val="77472422"/>
    <w:rsid w:val="777F31F2"/>
    <w:rsid w:val="77D1700D"/>
    <w:rsid w:val="77EC04CC"/>
    <w:rsid w:val="783B7D77"/>
    <w:rsid w:val="78617D97"/>
    <w:rsid w:val="78775729"/>
    <w:rsid w:val="787F7779"/>
    <w:rsid w:val="78A42DB0"/>
    <w:rsid w:val="78A656AB"/>
    <w:rsid w:val="78B2245C"/>
    <w:rsid w:val="78BF3DE8"/>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E53BE0"/>
    <w:rsid w:val="7B257FFD"/>
    <w:rsid w:val="7B273D20"/>
    <w:rsid w:val="7B343476"/>
    <w:rsid w:val="7B5A2978"/>
    <w:rsid w:val="7B5A7E4C"/>
    <w:rsid w:val="7B667AF9"/>
    <w:rsid w:val="7B7468F8"/>
    <w:rsid w:val="7BEE0103"/>
    <w:rsid w:val="7C0A0FE4"/>
    <w:rsid w:val="7C254906"/>
    <w:rsid w:val="7C590818"/>
    <w:rsid w:val="7C6D071B"/>
    <w:rsid w:val="7C7C10F6"/>
    <w:rsid w:val="7C853BEA"/>
    <w:rsid w:val="7C881368"/>
    <w:rsid w:val="7CAD2AA8"/>
    <w:rsid w:val="7CE27788"/>
    <w:rsid w:val="7CEA3B1A"/>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F66BC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2"/>
    <w:qFormat/>
    <w:uiPriority w:val="0"/>
    <w:pPr>
      <w:ind w:firstLine="420"/>
    </w:pPr>
    <w:rPr>
      <w:rFonts w:hAnsi="Calibri" w:cs="Times New Roman"/>
      <w:snapToGrid/>
      <w:szCs w:val="20"/>
    </w:rPr>
  </w:style>
  <w:style w:type="paragraph" w:styleId="25">
    <w:name w:val="Body Text Indent"/>
    <w:basedOn w:val="1"/>
    <w:next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2"/>
    <w:basedOn w:val="25"/>
    <w:next w:val="1"/>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3"/>
    <w:basedOn w:val="33"/>
    <w:next w:val="1"/>
    <w:qFormat/>
    <w:uiPriority w:val="0"/>
    <w:pPr>
      <w:tabs>
        <w:tab w:val="left" w:pos="2790"/>
        <w:tab w:val="left" w:pos="4230"/>
      </w:tabs>
      <w:spacing w:before="312" w:beforeLines="100"/>
      <w:jc w:val="left"/>
    </w:pPr>
  </w:style>
  <w:style w:type="paragraph" w:customStyle="1" w:styleId="8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1">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82">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 第一章"/>
    <w:basedOn w:val="1"/>
    <w:next w:val="965"/>
    <w:qFormat/>
    <w:uiPriority w:val="0"/>
    <w:pPr>
      <w:pageBreakBefore/>
      <w:numPr>
        <w:ilvl w:val="0"/>
        <w:numId w:val="1"/>
      </w:numPr>
      <w:tabs>
        <w:tab w:val="left" w:pos="360"/>
      </w:tabs>
      <w:spacing w:before="240" w:after="240" w:line="480" w:lineRule="auto"/>
      <w:jc w:val="center"/>
      <w:outlineLvl w:val="0"/>
    </w:pPr>
    <w:rPr>
      <w:rFonts w:ascii="黑体" w:hAnsi="宋体" w:eastAsia="黑体"/>
      <w:sz w:val="36"/>
    </w:rPr>
  </w:style>
  <w:style w:type="paragraph" w:customStyle="1" w:styleId="965">
    <w:name w:val="正文 1.1"/>
    <w:basedOn w:val="1"/>
    <w:next w:val="966"/>
    <w:qFormat/>
    <w:uiPriority w:val="0"/>
    <w:pPr>
      <w:numPr>
        <w:ilvl w:val="1"/>
        <w:numId w:val="1"/>
      </w:numPr>
      <w:tabs>
        <w:tab w:val="left" w:pos="4755"/>
        <w:tab w:val="clear" w:pos="1260"/>
      </w:tabs>
      <w:ind w:left="980" w:hanging="980" w:hangingChars="350"/>
      <w:outlineLvl w:val="1"/>
    </w:pPr>
    <w:rPr>
      <w:rFonts w:ascii="仿宋" w:hAnsi="仿宋"/>
      <w:b/>
    </w:rPr>
  </w:style>
  <w:style w:type="paragraph" w:customStyle="1" w:styleId="966">
    <w:name w:val="正文 1.1.1"/>
    <w:basedOn w:val="1"/>
    <w:next w:val="1"/>
    <w:qFormat/>
    <w:uiPriority w:val="0"/>
    <w:pPr>
      <w:numPr>
        <w:ilvl w:val="2"/>
        <w:numId w:val="1"/>
      </w:numPr>
      <w:tabs>
        <w:tab w:val="left" w:pos="851"/>
        <w:tab w:val="left" w:pos="4755"/>
        <w:tab w:val="clear" w:pos="1740"/>
      </w:tabs>
      <w:outlineLvl w:val="2"/>
    </w:pPr>
    <w:rPr>
      <w:rFonts w:hAnsi="宋体"/>
      <w:color w:val="FF0000"/>
    </w:rPr>
  </w:style>
  <w:style w:type="paragraph" w:customStyle="1" w:styleId="967">
    <w:name w:val="无间距1"/>
    <w:qFormat/>
    <w:uiPriority w:val="1"/>
    <w:pPr>
      <w:widowControl w:val="0"/>
      <w:jc w:val="both"/>
    </w:pPr>
    <w:rPr>
      <w:rFonts w:ascii="Calibri" w:hAnsi="Calibri" w:eastAsia="微软雅黑 Light"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header" Target="header8.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28730</Words>
  <Characters>30250</Characters>
  <Lines>281</Lines>
  <Paragraphs>79</Paragraphs>
  <TotalTime>30</TotalTime>
  <ScaleCrop>false</ScaleCrop>
  <LinksUpToDate>false</LinksUpToDate>
  <CharactersWithSpaces>31031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Libra</cp:lastModifiedBy>
  <cp:lastPrinted>2024-12-23T10:39:00Z</cp:lastPrinted>
  <dcterms:modified xsi:type="dcterms:W3CDTF">2025-03-10T08:00:05Z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4CDC440351774FC9B02B3DA926F1D9B7_13</vt:lpwstr>
  </property>
  <property fmtid="{D5CDD505-2E9C-101B-9397-08002B2CF9AE}" pid="5" name="KSOTemplateDocerSaveRecord">
    <vt:lpwstr>eyJoZGlkIjoiYTMyMjQzZGVlODUwMWM4NmI3ZTk0NzMyOGM2MWZlOWYiLCJ1c2VySWQiOiI1MjI1MDM4NDgifQ==</vt:lpwstr>
  </property>
</Properties>
</file>